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png" ContentType="image/png"/>
  <Override PartName="/word/media/rId41.png" ContentType="image/png"/>
  <Override PartName="/word/media/rId45.png" ContentType="image/png"/>
  <Override PartName="/word/media/rId49.png" ContentType="image/png"/>
  <Override PartName="/word/media/rId53.png" ContentType="image/png"/>
  <Override PartName="/word/media/rId57.png" ContentType="image/png"/>
  <Override PartName="/word/media/rId61.png" ContentType="image/png"/>
  <Override PartName="/word/media/rId65.png" ContentType="image/png"/>
  <Override PartName="/word/media/rId6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2" w:name="supplementary-materials"/>
    <w:p>
      <w:pPr>
        <w:pStyle w:val="Heading1"/>
      </w:pPr>
      <w:r>
        <w:t xml:space="preserve">Supplementary Materials</w:t>
      </w:r>
    </w:p>
    <w:bookmarkStart w:id="9" w:name="Xa72bf4ee726e69f6a9cf4fb56131e8ae2def462"/>
    <w:p>
      <w:pPr>
        <w:pStyle w:val="Heading2"/>
      </w:pPr>
      <w:r>
        <w:t xml:space="preserve">When Fairness Metrics Mislead: Demographic Parity Reduces HIV Screening for High-Burden Populations</w:t>
      </w:r>
    </w:p>
    <w:p>
      <w:r>
        <w:pict>
          <v:rect style="width:0;height:1.5pt" o:hralign="center" o:hrstd="t" o:hr="t"/>
        </w:pict>
      </w:r>
    </w:p>
    <w:bookmarkEnd w:id="9"/>
    <w:bookmarkStart w:id="10" w:name="table-of-contents"/>
    <w:p>
      <w:pPr>
        <w:pStyle w:val="Heading2"/>
      </w:pPr>
      <w:r>
        <w:t xml:space="preserve">Table of Contents</w:t>
      </w:r>
    </w:p>
    <w:p>
      <w:pPr>
        <w:pStyle w:val="Compact"/>
        <w:numPr>
          <w:ilvl w:val="0"/>
          <w:numId w:val="1001"/>
        </w:numPr>
      </w:pPr>
      <w:r>
        <w:t xml:space="preserve">Supplementary Methods</w:t>
      </w:r>
    </w:p>
    <w:p>
      <w:pPr>
        <w:pStyle w:val="Compact"/>
        <w:numPr>
          <w:ilvl w:val="0"/>
          <w:numId w:val="1001"/>
        </w:numPr>
      </w:pPr>
      <w:r>
        <w:t xml:space="preserve">Supplementary Tables S1–S10</w:t>
      </w:r>
    </w:p>
    <w:p>
      <w:pPr>
        <w:pStyle w:val="Compact"/>
        <w:numPr>
          <w:ilvl w:val="0"/>
          <w:numId w:val="1001"/>
        </w:numPr>
      </w:pPr>
      <w:r>
        <w:t xml:space="preserve">Supplementary Figures S1–S9</w:t>
      </w:r>
    </w:p>
    <w:p>
      <w:pPr>
        <w:pStyle w:val="Compact"/>
        <w:numPr>
          <w:ilvl w:val="0"/>
          <w:numId w:val="1001"/>
        </w:numPr>
      </w:pPr>
      <w:r>
        <w:t xml:space="preserve">Additional Sensitivity Analyses</w:t>
      </w:r>
    </w:p>
    <w:p>
      <w:pPr>
        <w:pStyle w:val="Compact"/>
        <w:numPr>
          <w:ilvl w:val="0"/>
          <w:numId w:val="1001"/>
        </w:numPr>
      </w:pPr>
      <w:r>
        <w:t xml:space="preserve">Geographic Disparity Analysis</w:t>
      </w:r>
    </w:p>
    <w:p>
      <w:pPr>
        <w:pStyle w:val="Compact"/>
        <w:numPr>
          <w:ilvl w:val="0"/>
          <w:numId w:val="1001"/>
        </w:numPr>
      </w:pPr>
      <w:r>
        <w:t xml:space="preserve">Literature Review Details</w:t>
      </w:r>
    </w:p>
    <w:p>
      <w:r>
        <w:pict>
          <v:rect style="width:0;height:1.5pt" o:hralign="center" o:hrstd="t" o:hr="t"/>
        </w:pict>
      </w:r>
    </w:p>
    <w:bookmarkEnd w:id="10"/>
    <w:bookmarkStart w:id="17" w:name="supplementary-methods"/>
    <w:p>
      <w:pPr>
        <w:pStyle w:val="Heading2"/>
      </w:pPr>
      <w:r>
        <w:t xml:space="preserve">1. Supplementary Methods</w:t>
      </w:r>
    </w:p>
    <w:bookmarkStart w:id="13" w:name="data-sources-and-processing"/>
    <w:p>
      <w:pPr>
        <w:pStyle w:val="Heading3"/>
      </w:pPr>
      <w:r>
        <w:t xml:space="preserve">1.1 Data Sources and Processing</w:t>
      </w:r>
    </w:p>
    <w:bookmarkStart w:id="11" w:name="brfss-2024-data-processing-pipeline"/>
    <w:p>
      <w:pPr>
        <w:pStyle w:val="Heading4"/>
      </w:pPr>
      <w:r>
        <w:t xml:space="preserve">BRFSS 2024 Data Processing Pipeline</w:t>
      </w:r>
    </w:p>
    <w:p>
      <w:pPr>
        <w:pStyle w:val="FirstParagraph"/>
      </w:pPr>
      <w:r>
        <w:t xml:space="preserve">The Behavioral Risk Factor Surveillance System (BRFSS) 2024 ASCII data file (944 MB) was parsed using exact column positions specified in the BRFSS codebook. The following variables were extracted:</w:t>
      </w:r>
    </w:p>
    <w:tbl>
      <w:tblPr>
        <w:tblStyle w:val="Table"/>
        <w:tblW w:type="pct" w:w="5000"/>
        <w:tblLayout w:type="fixed"/>
        <w:tblLook w:firstRow="1" w:lastRow="0" w:firstColumn="0" w:lastColumn="0" w:noHBand="0" w:noVBand="0" w:val="0020"/>
      </w:tblPr>
      <w:tblGrid>
        <w:gridCol w:w="1685"/>
        <w:gridCol w:w="2022"/>
        <w:gridCol w:w="2190"/>
        <w:gridCol w:w="2022"/>
      </w:tblGrid>
      <w:tr>
        <w:trPr>
          <w:tblHeader w:val="on"/>
        </w:trPr>
        <w:tc>
          <w:tcPr/>
          <w:p>
            <w:pPr>
              <w:pStyle w:val="Compact"/>
            </w:pPr>
            <w:r>
              <w:t xml:space="preserve">Variable</w:t>
            </w:r>
          </w:p>
        </w:tc>
        <w:tc>
          <w:tcPr/>
          <w:p>
            <w:pPr>
              <w:pStyle w:val="Compact"/>
            </w:pPr>
            <w:r>
              <w:t xml:space="preserve">BRFSS Code</w:t>
            </w:r>
          </w:p>
        </w:tc>
        <w:tc>
          <w:tcPr/>
          <w:p>
            <w:pPr>
              <w:pStyle w:val="Compact"/>
            </w:pPr>
            <w:r>
              <w:t xml:space="preserve">Description</w:t>
            </w:r>
          </w:p>
        </w:tc>
        <w:tc>
          <w:tcPr/>
          <w:p>
            <w:pPr>
              <w:pStyle w:val="Compact"/>
            </w:pPr>
            <w:r>
              <w:t xml:space="preserve">Processing</w:t>
            </w:r>
          </w:p>
        </w:tc>
      </w:tr>
      <w:tr>
        <w:tc>
          <w:tcPr/>
          <w:p>
            <w:pPr>
              <w:pStyle w:val="Compact"/>
            </w:pPr>
            <w:r>
              <w:t xml:space="preserve">HIV Testing</w:t>
            </w:r>
          </w:p>
        </w:tc>
        <w:tc>
          <w:tcPr/>
          <w:p>
            <w:pPr>
              <w:pStyle w:val="Compact"/>
            </w:pPr>
            <w:r>
              <w:t xml:space="preserve">HIVTST7</w:t>
            </w:r>
          </w:p>
        </w:tc>
        <w:tc>
          <w:tcPr/>
          <w:p>
            <w:pPr>
              <w:pStyle w:val="Compact"/>
            </w:pPr>
            <w:r>
              <w:t xml:space="preserve">Ever tested for HIV</w:t>
            </w:r>
          </w:p>
        </w:tc>
        <w:tc>
          <w:tcPr/>
          <w:p>
            <w:pPr>
              <w:pStyle w:val="Compact"/>
            </w:pPr>
            <w:r>
              <w:t xml:space="preserve">1=Yes, 2=No, 7/9=Missing</w:t>
            </w:r>
          </w:p>
        </w:tc>
      </w:tr>
      <w:tr>
        <w:tc>
          <w:tcPr/>
          <w:p>
            <w:pPr>
              <w:pStyle w:val="Compact"/>
            </w:pPr>
            <w:r>
              <w:t xml:space="preserve">Age</w:t>
            </w:r>
          </w:p>
        </w:tc>
        <w:tc>
          <w:tcPr/>
          <w:p>
            <w:pPr>
              <w:pStyle w:val="Compact"/>
            </w:pPr>
            <w:r>
              <w:t xml:space="preserve">_AGEG5YR</w:t>
            </w:r>
          </w:p>
        </w:tc>
        <w:tc>
          <w:tcPr/>
          <w:p>
            <w:pPr>
              <w:pStyle w:val="Compact"/>
            </w:pPr>
            <w:r>
              <w:t xml:space="preserve">Age category</w:t>
            </w:r>
          </w:p>
        </w:tc>
        <w:tc>
          <w:tcPr/>
          <w:p>
            <w:pPr>
              <w:pStyle w:val="Compact"/>
            </w:pPr>
            <w:r>
              <w:t xml:space="preserve">Converted to continuous</w:t>
            </w:r>
          </w:p>
        </w:tc>
      </w:tr>
      <w:tr>
        <w:tc>
          <w:tcPr/>
          <w:p>
            <w:pPr>
              <w:pStyle w:val="Compact"/>
            </w:pPr>
            <w:r>
              <w:t xml:space="preserve">Sex</w:t>
            </w:r>
          </w:p>
        </w:tc>
        <w:tc>
          <w:tcPr/>
          <w:p>
            <w:pPr>
              <w:pStyle w:val="Compact"/>
            </w:pPr>
            <w:r>
              <w:t xml:space="preserve">SEXVAR</w:t>
            </w:r>
          </w:p>
        </w:tc>
        <w:tc>
          <w:tcPr/>
          <w:p>
            <w:pPr>
              <w:pStyle w:val="Compact"/>
            </w:pPr>
            <w:r>
              <w:t xml:space="preserve">Sex at birth</w:t>
            </w:r>
          </w:p>
        </w:tc>
        <w:tc>
          <w:tcPr/>
          <w:p>
            <w:pPr>
              <w:pStyle w:val="Compact"/>
            </w:pPr>
            <w:r>
              <w:t xml:space="preserve">1=Male, 2=Female</w:t>
            </w:r>
          </w:p>
        </w:tc>
      </w:tr>
      <w:tr>
        <w:tc>
          <w:tcPr/>
          <w:p>
            <w:pPr>
              <w:pStyle w:val="Compact"/>
            </w:pPr>
            <w:r>
              <w:t xml:space="preserve">Race/Ethnicity</w:t>
            </w:r>
          </w:p>
        </w:tc>
        <w:tc>
          <w:tcPr/>
          <w:p>
            <w:pPr>
              <w:pStyle w:val="Compact"/>
            </w:pPr>
            <w:r>
              <w:t xml:space="preserve">_RACE</w:t>
            </w:r>
          </w:p>
        </w:tc>
        <w:tc>
          <w:tcPr/>
          <w:p>
            <w:pPr>
              <w:pStyle w:val="Compact"/>
            </w:pPr>
            <w:r>
              <w:t xml:space="preserve">Computed race variable</w:t>
            </w:r>
          </w:p>
        </w:tc>
        <w:tc>
          <w:tcPr/>
          <w:p>
            <w:pPr>
              <w:pStyle w:val="Compact"/>
            </w:pPr>
            <w:r>
              <w:t xml:space="preserve">8 categories</w:t>
            </w:r>
          </w:p>
        </w:tc>
      </w:tr>
      <w:tr>
        <w:tc>
          <w:tcPr/>
          <w:p>
            <w:pPr>
              <w:pStyle w:val="Compact"/>
            </w:pPr>
            <w:r>
              <w:t xml:space="preserve">Income</w:t>
            </w:r>
          </w:p>
        </w:tc>
        <w:tc>
          <w:tcPr/>
          <w:p>
            <w:pPr>
              <w:pStyle w:val="Compact"/>
            </w:pPr>
            <w:r>
              <w:t xml:space="preserve">INCOME3</w:t>
            </w:r>
          </w:p>
        </w:tc>
        <w:tc>
          <w:tcPr/>
          <w:p>
            <w:pPr>
              <w:pStyle w:val="Compact"/>
            </w:pPr>
            <w:r>
              <w:t xml:space="preserve">Household income</w:t>
            </w:r>
          </w:p>
        </w:tc>
        <w:tc>
          <w:tcPr/>
          <w:p>
            <w:pPr>
              <w:pStyle w:val="Compact"/>
            </w:pPr>
            <w:r>
              <w:t xml:space="preserve">&lt;$25K = Low income</w:t>
            </w:r>
          </w:p>
        </w:tc>
      </w:tr>
      <w:tr>
        <w:tc>
          <w:tcPr/>
          <w:p>
            <w:pPr>
              <w:pStyle w:val="Compact"/>
            </w:pPr>
            <w:r>
              <w:t xml:space="preserve">Depression</w:t>
            </w:r>
          </w:p>
        </w:tc>
        <w:tc>
          <w:tcPr/>
          <w:p>
            <w:pPr>
              <w:pStyle w:val="Compact"/>
            </w:pPr>
            <w:r>
              <w:t xml:space="preserve">ADDEPEV3</w:t>
            </w:r>
          </w:p>
        </w:tc>
        <w:tc>
          <w:tcPr/>
          <w:p>
            <w:pPr>
              <w:pStyle w:val="Compact"/>
            </w:pPr>
            <w:r>
              <w:t xml:space="preserve">Ever told depressive disorder</w:t>
            </w:r>
          </w:p>
        </w:tc>
        <w:tc>
          <w:tcPr/>
          <w:p>
            <w:pPr>
              <w:pStyle w:val="Compact"/>
            </w:pPr>
            <w:r>
              <w:t xml:space="preserve">Binary</w:t>
            </w:r>
          </w:p>
        </w:tc>
      </w:tr>
      <w:tr>
        <w:tc>
          <w:tcPr/>
          <w:p>
            <w:pPr>
              <w:pStyle w:val="Compact"/>
            </w:pPr>
            <w:r>
              <w:t xml:space="preserve">Cost Barrier</w:t>
            </w:r>
          </w:p>
        </w:tc>
        <w:tc>
          <w:tcPr/>
          <w:p>
            <w:pPr>
              <w:pStyle w:val="Compact"/>
            </w:pPr>
            <w:r>
              <w:t xml:space="preserve">MEDCOST1</w:t>
            </w:r>
          </w:p>
        </w:tc>
        <w:tc>
          <w:tcPr/>
          <w:p>
            <w:pPr>
              <w:pStyle w:val="Compact"/>
            </w:pPr>
            <w:r>
              <w:t xml:space="preserve">Could not see doctor due to cost</w:t>
            </w:r>
          </w:p>
        </w:tc>
        <w:tc>
          <w:tcPr/>
          <w:p>
            <w:pPr>
              <w:pStyle w:val="Compact"/>
            </w:pPr>
            <w:r>
              <w:t xml:space="preserve">Binary</w:t>
            </w:r>
          </w:p>
        </w:tc>
      </w:tr>
      <w:tr>
        <w:tc>
          <w:tcPr/>
          <w:p>
            <w:pPr>
              <w:pStyle w:val="Compact"/>
            </w:pPr>
            <w:r>
              <w:t xml:space="preserve">Health Status</w:t>
            </w:r>
          </w:p>
        </w:tc>
        <w:tc>
          <w:tcPr/>
          <w:p>
            <w:pPr>
              <w:pStyle w:val="Compact"/>
            </w:pPr>
            <w:r>
              <w:t xml:space="preserve">GENHLTH</w:t>
            </w:r>
          </w:p>
        </w:tc>
        <w:tc>
          <w:tcPr/>
          <w:p>
            <w:pPr>
              <w:pStyle w:val="Compact"/>
            </w:pPr>
            <w:r>
              <w:t xml:space="preserve">General health status</w:t>
            </w:r>
          </w:p>
        </w:tc>
        <w:tc>
          <w:tcPr/>
          <w:p>
            <w:pPr>
              <w:pStyle w:val="Compact"/>
            </w:pPr>
            <w:r>
              <w:t xml:space="preserve">Poor/Fair vs Good+</w:t>
            </w:r>
          </w:p>
        </w:tc>
      </w:tr>
      <w:tr>
        <w:tc>
          <w:tcPr/>
          <w:p>
            <w:pPr>
              <w:pStyle w:val="Compact"/>
            </w:pPr>
            <w:r>
              <w:t xml:space="preserve">Region</w:t>
            </w:r>
          </w:p>
        </w:tc>
        <w:tc>
          <w:tcPr/>
          <w:p>
            <w:pPr>
              <w:pStyle w:val="Compact"/>
            </w:pPr>
            <w:r>
              <w:t xml:space="preserve">_STATE</w:t>
            </w:r>
          </w:p>
        </w:tc>
        <w:tc>
          <w:tcPr/>
          <w:p>
            <w:pPr>
              <w:pStyle w:val="Compact"/>
            </w:pPr>
            <w:r>
              <w:t xml:space="preserve">State FIPS code</w:t>
            </w:r>
          </w:p>
        </w:tc>
        <w:tc>
          <w:tcPr/>
          <w:p>
            <w:pPr>
              <w:pStyle w:val="Compact"/>
            </w:pPr>
            <w:r>
              <w:t xml:space="preserve">South vs Non-South</w:t>
            </w:r>
          </w:p>
        </w:tc>
      </w:tr>
      <w:tr>
        <w:tc>
          <w:tcPr/>
          <w:p>
            <w:pPr>
              <w:pStyle w:val="Compact"/>
            </w:pPr>
            <w:r>
              <w:t xml:space="preserve">Survey Weight</w:t>
            </w:r>
          </w:p>
        </w:tc>
        <w:tc>
          <w:tcPr/>
          <w:p>
            <w:pPr>
              <w:pStyle w:val="Compact"/>
            </w:pPr>
            <w:r>
              <w:t xml:space="preserve">_LLCPWT</w:t>
            </w:r>
          </w:p>
        </w:tc>
        <w:tc>
          <w:tcPr/>
          <w:p>
            <w:pPr>
              <w:pStyle w:val="Compact"/>
            </w:pPr>
            <w:r>
              <w:t xml:space="preserve">Final sampling weight</w:t>
            </w:r>
          </w:p>
        </w:tc>
        <w:tc>
          <w:tcPr/>
          <w:p>
            <w:pPr>
              <w:pStyle w:val="Compact"/>
            </w:pPr>
            <w:r>
              <w:t xml:space="preserve">Used in sensitivity analysis</w:t>
            </w:r>
          </w:p>
        </w:tc>
      </w:tr>
    </w:tbl>
    <w:p>
      <w:pPr>
        <w:pStyle w:val="BodyText"/>
      </w:pPr>
      <w:r>
        <w:t xml:space="preserve">Southern states defined as: Alabama, Arkansas, Delaware, DC, Florida, Georgia, Kentucky, Louisiana, Maryland, Mississippi, North Carolina, Oklahoma, South Carolina, Tennessee, Texas, Virginia, West Virginia.</w:t>
      </w:r>
    </w:p>
    <w:bookmarkEnd w:id="11"/>
    <w:bookmarkStart w:id="12" w:name="data-quality-assessment"/>
    <w:p>
      <w:pPr>
        <w:pStyle w:val="Heading4"/>
      </w:pPr>
      <w:r>
        <w:t xml:space="preserve">Data Quality Assessment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Records</w:t>
            </w:r>
          </w:p>
        </w:tc>
        <w:tc>
          <w:tcPr/>
          <w:p>
            <w:pPr>
              <w:pStyle w:val="Compact"/>
            </w:pPr>
            <w:r>
              <w:t xml:space="preserve">% Retained</w:t>
            </w:r>
          </w:p>
        </w:tc>
      </w:tr>
      <w:tr>
        <w:tc>
          <w:tcPr/>
          <w:p>
            <w:pPr>
              <w:pStyle w:val="Compact"/>
            </w:pPr>
            <w:r>
              <w:t xml:space="preserve">Raw BRFSS 2024</w:t>
            </w:r>
          </w:p>
        </w:tc>
        <w:tc>
          <w:tcPr/>
          <w:p>
            <w:pPr>
              <w:pStyle w:val="Compact"/>
            </w:pPr>
            <w:r>
              <w:t xml:space="preserve">457,670</w:t>
            </w:r>
          </w:p>
        </w:tc>
        <w:tc>
          <w:tcPr/>
          <w:p>
            <w:pPr>
              <w:pStyle w:val="Compact"/>
            </w:pPr>
            <w:r>
              <w:t xml:space="preserve">100%</w:t>
            </w:r>
          </w:p>
        </w:tc>
      </w:tr>
      <w:tr>
        <w:tc>
          <w:tcPr/>
          <w:p>
            <w:pPr>
              <w:pStyle w:val="Compact"/>
            </w:pPr>
            <w:r>
              <w:t xml:space="preserve">Valid HIV testing response</w:t>
            </w:r>
          </w:p>
        </w:tc>
        <w:tc>
          <w:tcPr/>
          <w:p>
            <w:pPr>
              <w:pStyle w:val="Compact"/>
            </w:pPr>
            <w:r>
              <w:t xml:space="preserve">393,676</w:t>
            </w:r>
          </w:p>
        </w:tc>
        <w:tc>
          <w:tcPr/>
          <w:p>
            <w:pPr>
              <w:pStyle w:val="Compact"/>
            </w:pPr>
            <w:r>
              <w:t xml:space="preserve">86.0%</w:t>
            </w:r>
          </w:p>
        </w:tc>
      </w:tr>
      <w:tr>
        <w:tc>
          <w:tcPr/>
          <w:p>
            <w:pPr>
              <w:pStyle w:val="Compact"/>
            </w:pPr>
            <w:r>
              <w:t xml:space="preserve">Valid demographics</w:t>
            </w:r>
          </w:p>
        </w:tc>
        <w:tc>
          <w:tcPr/>
          <w:p>
            <w:pPr>
              <w:pStyle w:val="Compact"/>
            </w:pPr>
            <w:r>
              <w:t xml:space="preserve">386,775</w:t>
            </w:r>
          </w:p>
        </w:tc>
        <w:tc>
          <w:tcPr/>
          <w:p>
            <w:pPr>
              <w:pStyle w:val="Compact"/>
            </w:pPr>
            <w:r>
              <w:t xml:space="preserve">84.5%</w:t>
            </w:r>
          </w:p>
        </w:tc>
      </w:tr>
      <w:tr>
        <w:tc>
          <w:tcPr/>
          <w:p>
            <w:pPr>
              <w:pStyle w:val="Compact"/>
            </w:pPr>
            <w:r>
              <w:t xml:space="preserve">Final analysis dataset</w:t>
            </w:r>
          </w:p>
        </w:tc>
        <w:tc>
          <w:tcPr/>
          <w:p>
            <w:pPr>
              <w:pStyle w:val="Compact"/>
            </w:pPr>
            <w:r>
              <w:t xml:space="preserve">386,775</w:t>
            </w:r>
          </w:p>
        </w:tc>
        <w:tc>
          <w:tcPr/>
          <w:p>
            <w:pPr>
              <w:pStyle w:val="Compact"/>
            </w:pPr>
            <w:r>
              <w:t xml:space="preserve">84.5%</w:t>
            </w:r>
          </w:p>
        </w:tc>
      </w:tr>
    </w:tbl>
    <w:p>
      <w:pPr>
        <w:pStyle w:val="BodyText"/>
      </w:pPr>
      <w:r>
        <w:t xml:space="preserve">Missing data patterns were examined for differential missingness by race. No significant differential missingness was observed (chi-squared = 12.4, p = 0.088).</w:t>
      </w:r>
    </w:p>
    <w:bookmarkEnd w:id="12"/>
    <w:bookmarkEnd w:id="13"/>
    <w:bookmarkStart w:id="14" w:name="fairness-metrics-definitions"/>
    <w:p>
      <w:pPr>
        <w:pStyle w:val="Heading3"/>
      </w:pPr>
      <w:r>
        <w:t xml:space="preserve">1.2 Fairness Metrics Definitions</w:t>
      </w:r>
    </w:p>
    <w:p>
      <w:pPr>
        <w:pStyle w:val="FirstParagraph"/>
      </w:pPr>
      <w:r>
        <w:rPr>
          <w:b/>
          <w:bCs/>
        </w:rPr>
        <w:t xml:space="preserve">Demographic Parity Difference (DPD):</w:t>
      </w:r>
      <w:r>
        <w:t xml:space="preserve"> </w:t>
      </w:r>
      <w:r>
        <w:t xml:space="preserve">DPD = max P(Y-hat=1|A=a) - min P(Y-hat=1|A=a) across all protected attribute values a</w:t>
      </w:r>
    </w:p>
    <w:p>
      <w:pPr>
        <w:pStyle w:val="BodyText"/>
      </w:pPr>
      <w:r>
        <w:rPr>
          <w:i/>
          <w:iCs/>
        </w:rPr>
        <w:t xml:space="preserve">Note: DPD does not condition on the outcome and assumes equal selection rates across groups are desirable. As demonstrated in the main text, this assumption is inappropriate in differential-burden clinical contexts.</w:t>
      </w:r>
    </w:p>
    <w:p>
      <w:pPr>
        <w:pStyle w:val="BodyText"/>
      </w:pPr>
      <w:r>
        <w:rPr>
          <w:b/>
          <w:bCs/>
        </w:rPr>
        <w:t xml:space="preserve">Equalized Odds Difference (EOD):</w:t>
      </w:r>
      <w:r>
        <w:t xml:space="preserve"> </w:t>
      </w:r>
      <w:r>
        <w:t xml:space="preserve">EOD = max(max|TPR_a - TPR_b|, max|FPR_a - FPR_b|) for all group pairs (a,b)</w:t>
      </w:r>
    </w:p>
    <w:p>
      <w:pPr>
        <w:pStyle w:val="BodyText"/>
      </w:pPr>
      <w:r>
        <w:rPr>
          <w:i/>
          <w:iCs/>
        </w:rPr>
        <w:t xml:space="preserve">EOD conditions on the actual outcome and captures whether the model is equally accurate across groups, independent of base rates. This metric permits higher selection rates for higher-burden groups while demanding equal accuracy.</w:t>
      </w:r>
    </w:p>
    <w:p>
      <w:pPr>
        <w:pStyle w:val="BodyText"/>
      </w:pPr>
      <w:r>
        <w:rPr>
          <w:b/>
          <w:bCs/>
        </w:rPr>
        <w:t xml:space="preserve">Calibration (Brier Score):</w:t>
      </w:r>
      <w:r>
        <w:t xml:space="preserve"> </w:t>
      </w:r>
      <w:r>
        <w:t xml:space="preserve">Brier = (1/N) * sum((p_i - y_i)^2)</w:t>
      </w:r>
    </w:p>
    <w:p>
      <w:pPr>
        <w:pStyle w:val="BodyText"/>
      </w:pPr>
      <w:r>
        <w:rPr>
          <w:i/>
          <w:iCs/>
        </w:rPr>
        <w:t xml:space="preserve">Calibration assesses whether predicted probabilities carry the same meaning across groups. Among individuals predicted to have 70% probability, approximately 70% should truly be positive regardless of group membership.</w:t>
      </w:r>
    </w:p>
    <w:p>
      <w:pPr>
        <w:pStyle w:val="BodyText"/>
      </w:pPr>
      <w:r>
        <w:rPr>
          <w:b/>
          <w:bCs/>
        </w:rPr>
        <w:t xml:space="preserve">Cohen’s h Effect Size:</w:t>
      </w:r>
      <w:r>
        <w:t xml:space="preserve"> </w:t>
      </w:r>
      <w:r>
        <w:t xml:space="preserve">h = 2</w:t>
      </w:r>
      <w:r>
        <w:rPr>
          <w:i/>
          <w:iCs/>
        </w:rPr>
        <w:t xml:space="preserve">arcsin(sqrt(p1)) - 2</w:t>
      </w:r>
      <w:r>
        <w:t xml:space="preserve">arcsin(sqrt(p2))</w:t>
      </w:r>
    </w:p>
    <w:p>
      <w:pPr>
        <w:pStyle w:val="BodyText"/>
      </w:pPr>
      <w:r>
        <w:t xml:space="preserve">Where |h| &lt; 0.2 is small, 0.2-0.8 is medium, &gt; 0.8 is large.</w:t>
      </w:r>
    </w:p>
    <w:bookmarkEnd w:id="14"/>
    <w:bookmarkStart w:id="15" w:name="outcome-interpretation"/>
    <w:p>
      <w:pPr>
        <w:pStyle w:val="Heading3"/>
      </w:pPr>
      <w:r>
        <w:t xml:space="preserve">1.3 Outcome Interpretation</w:t>
      </w:r>
    </w:p>
    <w:p>
      <w:pPr>
        <w:pStyle w:val="FirstParagraph"/>
      </w:pPr>
      <w:r>
        <w:t xml:space="preserve">The primary outcome (ever tested for HIV) captures healthcare utilization rather than clinical need. Models trained on this outcome learn existing care-seeking and public health targeting patterns, including any systematic differences across demographic groups. Higher selection rates for groups with higher testing rates (e.g., Black Americans) therefore reflect the model correctly predicting the utilization-based outcome, not algorithmic malfunction. This distinction is central to interpreting the fairness analyses: enforcing equal selection rates forces the model to deviate from the outcome it was trained to predict.</w:t>
      </w:r>
    </w:p>
    <w:bookmarkEnd w:id="15"/>
    <w:bookmarkStart w:id="16" w:name="computational-environment"/>
    <w:p>
      <w:pPr>
        <w:pStyle w:val="Heading3"/>
      </w:pPr>
      <w:r>
        <w:t xml:space="preserve">1.4 Computational Environment</w:t>
      </w:r>
    </w:p>
    <w:p>
      <w:pPr>
        <w:pStyle w:val="FirstParagraph"/>
      </w:pPr>
      <w:r>
        <w:t xml:space="preserve">All analyses were conducted using:</w:t>
      </w:r>
      <w:r>
        <w:t xml:space="preserve"> </w:t>
      </w:r>
      <w:r>
        <w:t xml:space="preserve">- Python 3.12</w:t>
      </w:r>
      <w:r>
        <w:t xml:space="preserve"> </w:t>
      </w:r>
      <w:r>
        <w:t xml:space="preserve">- scikit-learn 1.8.0</w:t>
      </w:r>
      <w:r>
        <w:t xml:space="preserve"> </w:t>
      </w:r>
      <w:r>
        <w:t xml:space="preserve">- Fairlearn 0.13.0</w:t>
      </w:r>
      <w:r>
        <w:t xml:space="preserve"> </w:t>
      </w:r>
      <w:r>
        <w:t xml:space="preserve">- XGBoost 3.2.0</w:t>
      </w:r>
      <w:r>
        <w:t xml:space="preserve"> </w:t>
      </w:r>
      <w:r>
        <w:t xml:space="preserve">- pandas 2.3.3</w:t>
      </w:r>
      <w:r>
        <w:t xml:space="preserve"> </w:t>
      </w:r>
      <w:r>
        <w:t xml:space="preserve">- numpy</w:t>
      </w:r>
      <w:r>
        <w:t xml:space="preserve"> </w:t>
      </w:r>
      <w:r>
        <w:t xml:space="preserve">- scipy, statsmodels (statistical tests)</w:t>
      </w:r>
      <w:r>
        <w:t xml:space="preserve"> </w:t>
      </w:r>
      <w:r>
        <w:t xml:space="preserve">- matplotlib, seaborn (visualisation)</w:t>
      </w:r>
    </w:p>
    <w:p>
      <w:r>
        <w:pict>
          <v:rect style="width:0;height:1.5pt" o:hralign="center" o:hrstd="t" o:hr="t"/>
        </w:pict>
      </w:r>
    </w:p>
    <w:bookmarkEnd w:id="16"/>
    <w:bookmarkEnd w:id="17"/>
    <w:bookmarkStart w:id="36" w:name="supplementary-tables"/>
    <w:p>
      <w:pPr>
        <w:pStyle w:val="Heading2"/>
      </w:pPr>
      <w:r>
        <w:t xml:space="preserve">2. Supplementary Tables</w:t>
      </w:r>
    </w:p>
    <w:bookmarkStart w:id="18" w:name="X8adfbafd03ea693d325d7716054dea95665b0c9"/>
    <w:p>
      <w:pPr>
        <w:pStyle w:val="Heading3"/>
      </w:pPr>
      <w:r>
        <w:t xml:space="preserve">Table S1. Weighted vs. Unweighted Fairness Metrics by Classifier</w:t>
      </w:r>
    </w:p>
    <w:p>
      <w:pPr>
        <w:pStyle w:val="FirstParagraph"/>
      </w:pPr>
      <w:r>
        <w:t xml:space="preserve">*Sensitivity analysis using BRFSS survey weights (_LLCPWT) to assess whether unweighted analyses biased fairness estimates.*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Classifier</w:t>
            </w:r>
          </w:p>
        </w:tc>
        <w:tc>
          <w:tcPr/>
          <w:p>
            <w:pPr>
              <w:pStyle w:val="Compact"/>
            </w:pPr>
            <w:r>
              <w:t xml:space="preserve">Metric</w:t>
            </w:r>
          </w:p>
        </w:tc>
        <w:tc>
          <w:tcPr/>
          <w:p>
            <w:pPr>
              <w:pStyle w:val="Compact"/>
            </w:pPr>
            <w:r>
              <w:t xml:space="preserve">Unweighted</w:t>
            </w:r>
          </w:p>
        </w:tc>
        <w:tc>
          <w:tcPr/>
          <w:p>
            <w:pPr>
              <w:pStyle w:val="Compact"/>
            </w:pPr>
            <w:r>
              <w:t xml:space="preserve">Weighted</w:t>
            </w:r>
          </w:p>
        </w:tc>
        <w:tc>
          <w:tcPr/>
          <w:p>
            <w:pPr>
              <w:pStyle w:val="Compact"/>
            </w:pPr>
            <w:r>
              <w:t xml:space="preserve">Difference</w:t>
            </w:r>
          </w:p>
        </w:tc>
        <w:tc>
          <w:tcPr/>
          <w:p>
            <w:pPr>
              <w:pStyle w:val="Compact"/>
            </w:pPr>
            <w:r>
              <w:t xml:space="preserve">Direction</w:t>
            </w:r>
          </w:p>
        </w:tc>
      </w:tr>
      <w:tr>
        <w:tc>
          <w:tcPr/>
          <w:p>
            <w:pPr>
              <w:pStyle w:val="Compact"/>
            </w:pPr>
            <w:r>
              <w:t xml:space="preserve">Logistic Regression</w:t>
            </w:r>
          </w:p>
        </w:tc>
        <w:tc>
          <w:tcPr/>
          <w:p>
            <w:pPr>
              <w:pStyle w:val="Compact"/>
            </w:pPr>
            <w:r>
              <w:t xml:space="preserve">DPD</w:t>
            </w:r>
          </w:p>
        </w:tc>
        <w:tc>
          <w:tcPr/>
          <w:p>
            <w:pPr>
              <w:pStyle w:val="Compact"/>
            </w:pPr>
            <w:r>
              <w:t xml:space="preserve">0.634</w:t>
            </w:r>
          </w:p>
        </w:tc>
        <w:tc>
          <w:tcPr/>
          <w:p>
            <w:pPr>
              <w:pStyle w:val="Compact"/>
            </w:pPr>
            <w:r>
              <w:t xml:space="preserve">0.676</w:t>
            </w:r>
          </w:p>
        </w:tc>
        <w:tc>
          <w:tcPr/>
          <w:p>
            <w:pPr>
              <w:pStyle w:val="Compact"/>
            </w:pPr>
            <w:r>
              <w:t xml:space="preserve">+0.042</w:t>
            </w:r>
          </w:p>
        </w:tc>
        <w:tc>
          <w:tcPr/>
          <w:p>
            <w:pPr>
              <w:pStyle w:val="Compact"/>
            </w:pPr>
            <w:r>
              <w:t xml:space="preserve">Larger</w:t>
            </w:r>
          </w:p>
        </w:tc>
      </w:tr>
      <w:tr>
        <w:tc>
          <w:tcPr/>
          <w:p>
            <w:pPr>
              <w:pStyle w:val="Compact"/>
            </w:pPr>
            <w:r>
              <w:t xml:space="preserve">Logistic Regression</w:t>
            </w:r>
          </w:p>
        </w:tc>
        <w:tc>
          <w:tcPr/>
          <w:p>
            <w:pPr>
              <w:pStyle w:val="Compact"/>
            </w:pPr>
            <w:r>
              <w:t xml:space="preserve">EOD</w:t>
            </w:r>
          </w:p>
        </w:tc>
        <w:tc>
          <w:tcPr/>
          <w:p>
            <w:pPr>
              <w:pStyle w:val="Compact"/>
            </w:pPr>
            <w:r>
              <w:t xml:space="preserve">0.669</w:t>
            </w:r>
          </w:p>
        </w:tc>
        <w:tc>
          <w:tcPr/>
          <w:p>
            <w:pPr>
              <w:pStyle w:val="Compact"/>
            </w:pPr>
            <w:r>
              <w:t xml:space="preserve">0.712</w:t>
            </w:r>
          </w:p>
        </w:tc>
        <w:tc>
          <w:tcPr/>
          <w:p>
            <w:pPr>
              <w:pStyle w:val="Compact"/>
            </w:pPr>
            <w:r>
              <w:t xml:space="preserve">+0.043</w:t>
            </w:r>
          </w:p>
        </w:tc>
        <w:tc>
          <w:tcPr/>
          <w:p>
            <w:pPr>
              <w:pStyle w:val="Compact"/>
            </w:pPr>
            <w:r>
              <w:t xml:space="preserve">Larger</w:t>
            </w:r>
          </w:p>
        </w:tc>
      </w:tr>
      <w:tr>
        <w:tc>
          <w:tcPr/>
          <w:p>
            <w:pPr>
              <w:pStyle w:val="Compact"/>
            </w:pPr>
            <w:r>
              <w:t xml:space="preserve">Random Forest</w:t>
            </w:r>
          </w:p>
        </w:tc>
        <w:tc>
          <w:tcPr/>
          <w:p>
            <w:pPr>
              <w:pStyle w:val="Compact"/>
            </w:pPr>
            <w:r>
              <w:t xml:space="preserve">DPD</w:t>
            </w:r>
          </w:p>
        </w:tc>
        <w:tc>
          <w:tcPr/>
          <w:p>
            <w:pPr>
              <w:pStyle w:val="Compact"/>
            </w:pPr>
            <w:r>
              <w:t xml:space="preserve">0.579</w:t>
            </w:r>
          </w:p>
        </w:tc>
        <w:tc>
          <w:tcPr/>
          <w:p>
            <w:pPr>
              <w:pStyle w:val="Compact"/>
            </w:pPr>
            <w:r>
              <w:t xml:space="preserve">0.617</w:t>
            </w:r>
          </w:p>
        </w:tc>
        <w:tc>
          <w:tcPr/>
          <w:p>
            <w:pPr>
              <w:pStyle w:val="Compact"/>
            </w:pPr>
            <w:r>
              <w:t xml:space="preserve">+0.038</w:t>
            </w:r>
          </w:p>
        </w:tc>
        <w:tc>
          <w:tcPr/>
          <w:p>
            <w:pPr>
              <w:pStyle w:val="Compact"/>
            </w:pPr>
            <w:r>
              <w:t xml:space="preserve">Larger</w:t>
            </w:r>
          </w:p>
        </w:tc>
      </w:tr>
      <w:tr>
        <w:tc>
          <w:tcPr/>
          <w:p>
            <w:pPr>
              <w:pStyle w:val="Compact"/>
            </w:pPr>
            <w:r>
              <w:t xml:space="preserve">Random Forest</w:t>
            </w:r>
          </w:p>
        </w:tc>
        <w:tc>
          <w:tcPr/>
          <w:p>
            <w:pPr>
              <w:pStyle w:val="Compact"/>
            </w:pPr>
            <w:r>
              <w:t xml:space="preserve">EOD</w:t>
            </w:r>
          </w:p>
        </w:tc>
        <w:tc>
          <w:tcPr/>
          <w:p>
            <w:pPr>
              <w:pStyle w:val="Compact"/>
            </w:pPr>
            <w:r>
              <w:t xml:space="preserve">0.627</w:t>
            </w:r>
          </w:p>
        </w:tc>
        <w:tc>
          <w:tcPr/>
          <w:p>
            <w:pPr>
              <w:pStyle w:val="Compact"/>
            </w:pPr>
            <w:r>
              <w:t xml:space="preserve">0.667</w:t>
            </w:r>
          </w:p>
        </w:tc>
        <w:tc>
          <w:tcPr/>
          <w:p>
            <w:pPr>
              <w:pStyle w:val="Compact"/>
            </w:pPr>
            <w:r>
              <w:t xml:space="preserve">+0.040</w:t>
            </w:r>
          </w:p>
        </w:tc>
        <w:tc>
          <w:tcPr/>
          <w:p>
            <w:pPr>
              <w:pStyle w:val="Compact"/>
            </w:pPr>
            <w:r>
              <w:t xml:space="preserve">Larger</w:t>
            </w:r>
          </w:p>
        </w:tc>
      </w:tr>
      <w:tr>
        <w:tc>
          <w:tcPr/>
          <w:p>
            <w:pPr>
              <w:pStyle w:val="Compact"/>
            </w:pPr>
            <w:r>
              <w:t xml:space="preserve">XGBoost</w:t>
            </w:r>
          </w:p>
        </w:tc>
        <w:tc>
          <w:tcPr/>
          <w:p>
            <w:pPr>
              <w:pStyle w:val="Compact"/>
            </w:pPr>
            <w:r>
              <w:t xml:space="preserve">DPD</w:t>
            </w:r>
          </w:p>
        </w:tc>
        <w:tc>
          <w:tcPr/>
          <w:p>
            <w:pPr>
              <w:pStyle w:val="Compact"/>
            </w:pPr>
            <w:r>
              <w:t xml:space="preserve">0.539</w:t>
            </w:r>
          </w:p>
        </w:tc>
        <w:tc>
          <w:tcPr/>
          <w:p>
            <w:pPr>
              <w:pStyle w:val="Compact"/>
            </w:pPr>
            <w:r>
              <w:t xml:space="preserve">0.574</w:t>
            </w:r>
          </w:p>
        </w:tc>
        <w:tc>
          <w:tcPr/>
          <w:p>
            <w:pPr>
              <w:pStyle w:val="Compact"/>
            </w:pPr>
            <w:r>
              <w:t xml:space="preserve">+0.036</w:t>
            </w:r>
          </w:p>
        </w:tc>
        <w:tc>
          <w:tcPr/>
          <w:p>
            <w:pPr>
              <w:pStyle w:val="Compact"/>
            </w:pPr>
            <w:r>
              <w:t xml:space="preserve">Larger</w:t>
            </w:r>
          </w:p>
        </w:tc>
      </w:tr>
      <w:tr>
        <w:tc>
          <w:tcPr/>
          <w:p>
            <w:pPr>
              <w:pStyle w:val="Compact"/>
            </w:pPr>
            <w:r>
              <w:t xml:space="preserve">XGBoost</w:t>
            </w:r>
          </w:p>
        </w:tc>
        <w:tc>
          <w:tcPr/>
          <w:p>
            <w:pPr>
              <w:pStyle w:val="Compact"/>
            </w:pPr>
            <w:r>
              <w:t xml:space="preserve">EOD</w:t>
            </w:r>
          </w:p>
        </w:tc>
        <w:tc>
          <w:tcPr/>
          <w:p>
            <w:pPr>
              <w:pStyle w:val="Compact"/>
            </w:pPr>
            <w:r>
              <w:t xml:space="preserve">0.625</w:t>
            </w:r>
          </w:p>
        </w:tc>
        <w:tc>
          <w:tcPr/>
          <w:p>
            <w:pPr>
              <w:pStyle w:val="Compact"/>
            </w:pPr>
            <w:r>
              <w:t xml:space="preserve">0.666</w:t>
            </w:r>
          </w:p>
        </w:tc>
        <w:tc>
          <w:tcPr/>
          <w:p>
            <w:pPr>
              <w:pStyle w:val="Compact"/>
            </w:pPr>
            <w:r>
              <w:t xml:space="preserve">+0.040</w:t>
            </w:r>
          </w:p>
        </w:tc>
        <w:tc>
          <w:tcPr/>
          <w:p>
            <w:pPr>
              <w:pStyle w:val="Compact"/>
            </w:pPr>
            <w:r>
              <w:t xml:space="preserve">Larger</w:t>
            </w:r>
          </w:p>
        </w:tc>
      </w:tr>
      <w:tr>
        <w:tc>
          <w:tcPr/>
          <w:p>
            <w:pPr>
              <w:pStyle w:val="Compact"/>
            </w:pPr>
            <w:r>
              <w:t xml:space="preserve">Gradient Boosting</w:t>
            </w:r>
          </w:p>
        </w:tc>
        <w:tc>
          <w:tcPr/>
          <w:p>
            <w:pPr>
              <w:pStyle w:val="Compact"/>
            </w:pPr>
            <w:r>
              <w:t xml:space="preserve">DPD</w:t>
            </w:r>
          </w:p>
        </w:tc>
        <w:tc>
          <w:tcPr/>
          <w:p>
            <w:pPr>
              <w:pStyle w:val="Compact"/>
            </w:pPr>
            <w:r>
              <w:t xml:space="preserve">0.519</w:t>
            </w:r>
          </w:p>
        </w:tc>
        <w:tc>
          <w:tcPr/>
          <w:p>
            <w:pPr>
              <w:pStyle w:val="Compact"/>
            </w:pPr>
            <w:r>
              <w:t xml:space="preserve">0.554</w:t>
            </w:r>
          </w:p>
        </w:tc>
        <w:tc>
          <w:tcPr/>
          <w:p>
            <w:pPr>
              <w:pStyle w:val="Compact"/>
            </w:pPr>
            <w:r>
              <w:t xml:space="preserve">+0.035</w:t>
            </w:r>
          </w:p>
        </w:tc>
        <w:tc>
          <w:tcPr/>
          <w:p>
            <w:pPr>
              <w:pStyle w:val="Compact"/>
            </w:pPr>
            <w:r>
              <w:t xml:space="preserve">Larger</w:t>
            </w:r>
          </w:p>
        </w:tc>
      </w:tr>
      <w:tr>
        <w:tc>
          <w:tcPr/>
          <w:p>
            <w:pPr>
              <w:pStyle w:val="Compact"/>
            </w:pPr>
            <w:r>
              <w:t xml:space="preserve">Gradient Boosting</w:t>
            </w:r>
          </w:p>
        </w:tc>
        <w:tc>
          <w:tcPr/>
          <w:p>
            <w:pPr>
              <w:pStyle w:val="Compact"/>
            </w:pPr>
            <w:r>
              <w:t xml:space="preserve">EOD</w:t>
            </w:r>
          </w:p>
        </w:tc>
        <w:tc>
          <w:tcPr/>
          <w:p>
            <w:pPr>
              <w:pStyle w:val="Compact"/>
            </w:pPr>
            <w:r>
              <w:t xml:space="preserve">0.565</w:t>
            </w:r>
          </w:p>
        </w:tc>
        <w:tc>
          <w:tcPr/>
          <w:p>
            <w:pPr>
              <w:pStyle w:val="Compact"/>
            </w:pPr>
            <w:r>
              <w:t xml:space="preserve">0.602</w:t>
            </w:r>
          </w:p>
        </w:tc>
        <w:tc>
          <w:tcPr/>
          <w:p>
            <w:pPr>
              <w:pStyle w:val="Compact"/>
            </w:pPr>
            <w:r>
              <w:t xml:space="preserve">+0.037</w:t>
            </w:r>
          </w:p>
        </w:tc>
        <w:tc>
          <w:tcPr/>
          <w:p>
            <w:pPr>
              <w:pStyle w:val="Compact"/>
            </w:pPr>
            <w:r>
              <w:t xml:space="preserve">Larger</w:t>
            </w:r>
          </w:p>
        </w:tc>
      </w:tr>
    </w:tbl>
    <w:p>
      <w:pPr>
        <w:pStyle w:val="BodyText"/>
      </w:pPr>
      <w:r>
        <w:rPr>
          <w:i/>
          <w:iCs/>
        </w:rPr>
        <w:t xml:space="preserve">Weighted estimates yielded consistently larger disparities across all classifiers and both metrics, indicating that unweighted analyses underestimate rather than overestimate the true magnitude of differential prediction. All qualitative conclusions are unchanged under weighting.</w:t>
      </w:r>
    </w:p>
    <w:bookmarkEnd w:id="18"/>
    <w:bookmarkStart w:id="23" w:name="Xcd86d8bf965d909ebf24de47501bc7bf912a042"/>
    <w:p>
      <w:pPr>
        <w:pStyle w:val="Heading3"/>
      </w:pPr>
      <w:r>
        <w:t xml:space="preserve">Table S2. Complete Performance Metrics by Race/Ethnicity (All Models)</w:t>
      </w:r>
    </w:p>
    <w:bookmarkStart w:id="19" w:name="logistic-regression"/>
    <w:p>
      <w:pPr>
        <w:pStyle w:val="Heading4"/>
      </w:pPr>
      <w:r>
        <w:t xml:space="preserve">Logistic Regression</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Race</w:t>
            </w:r>
          </w:p>
        </w:tc>
        <w:tc>
          <w:tcPr/>
          <w:p>
            <w:pPr>
              <w:pStyle w:val="Compact"/>
            </w:pPr>
            <w:r>
              <w:t xml:space="preserve">N</w:t>
            </w:r>
          </w:p>
        </w:tc>
        <w:tc>
          <w:tcPr/>
          <w:p>
            <w:pPr>
              <w:pStyle w:val="Compact"/>
            </w:pPr>
            <w:r>
              <w:t xml:space="preserve">Prevalence</w:t>
            </w:r>
          </w:p>
        </w:tc>
        <w:tc>
          <w:tcPr/>
          <w:p>
            <w:pPr>
              <w:pStyle w:val="Compact"/>
            </w:pPr>
            <w:r>
              <w:t xml:space="preserve">Selection Rate</w:t>
            </w:r>
          </w:p>
        </w:tc>
        <w:tc>
          <w:tcPr/>
          <w:p>
            <w:pPr>
              <w:pStyle w:val="Compact"/>
            </w:pPr>
            <w:r>
              <w:t xml:space="preserve">TPR</w:t>
            </w:r>
          </w:p>
        </w:tc>
        <w:tc>
          <w:tcPr/>
          <w:p>
            <w:pPr>
              <w:pStyle w:val="Compact"/>
            </w:pPr>
            <w:r>
              <w:t xml:space="preserve">FPR</w:t>
            </w:r>
          </w:p>
        </w:tc>
        <w:tc>
          <w:tcPr/>
          <w:p>
            <w:pPr>
              <w:pStyle w:val="Compact"/>
            </w:pPr>
            <w:r>
              <w:t xml:space="preserve">Precision</w:t>
            </w:r>
          </w:p>
        </w:tc>
        <w:tc>
          <w:tcPr/>
          <w:p>
            <w:pPr>
              <w:pStyle w:val="Compact"/>
            </w:pPr>
            <w:r>
              <w:t xml:space="preserve">F1</w:t>
            </w:r>
          </w:p>
        </w:tc>
      </w:tr>
      <w:tr>
        <w:tc>
          <w:tcPr/>
          <w:p>
            <w:pPr>
              <w:pStyle w:val="Compact"/>
            </w:pPr>
            <w:r>
              <w:t xml:space="preserve">White</w:t>
            </w:r>
          </w:p>
        </w:tc>
        <w:tc>
          <w:tcPr/>
          <w:p>
            <w:pPr>
              <w:pStyle w:val="Compact"/>
            </w:pPr>
            <w:r>
              <w:t xml:space="preserve">48,173</w:t>
            </w:r>
          </w:p>
        </w:tc>
        <w:tc>
          <w:tcPr/>
          <w:p>
            <w:pPr>
              <w:pStyle w:val="Compact"/>
            </w:pPr>
            <w:r>
              <w:t xml:space="preserve">34.0%</w:t>
            </w:r>
          </w:p>
        </w:tc>
        <w:tc>
          <w:tcPr/>
          <w:p>
            <w:pPr>
              <w:pStyle w:val="Compact"/>
            </w:pPr>
            <w:r>
              <w:t xml:space="preserve">14.8%</w:t>
            </w:r>
          </w:p>
        </w:tc>
        <w:tc>
          <w:tcPr/>
          <w:p>
            <w:pPr>
              <w:pStyle w:val="Compact"/>
            </w:pPr>
            <w:r>
              <w:t xml:space="preserve">25.3%</w:t>
            </w:r>
          </w:p>
        </w:tc>
        <w:tc>
          <w:tcPr/>
          <w:p>
            <w:pPr>
              <w:pStyle w:val="Compact"/>
            </w:pPr>
            <w:r>
              <w:t xml:space="preserve">9.3%</w:t>
            </w:r>
          </w:p>
        </w:tc>
        <w:tc>
          <w:tcPr/>
          <w:p>
            <w:pPr>
              <w:pStyle w:val="Compact"/>
            </w:pPr>
            <w:r>
              <w:t xml:space="preserve">0.582</w:t>
            </w:r>
          </w:p>
        </w:tc>
        <w:tc>
          <w:tcPr/>
          <w:p>
            <w:pPr>
              <w:pStyle w:val="Compact"/>
            </w:pPr>
            <w:r>
              <w:t xml:space="preserve">0.353</w:t>
            </w:r>
          </w:p>
        </w:tc>
      </w:tr>
      <w:tr>
        <w:tc>
          <w:tcPr/>
          <w:p>
            <w:pPr>
              <w:pStyle w:val="Compact"/>
            </w:pPr>
            <w:r>
              <w:t xml:space="preserve">Black</w:t>
            </w:r>
          </w:p>
        </w:tc>
        <w:tc>
          <w:tcPr/>
          <w:p>
            <w:pPr>
              <w:pStyle w:val="Compact"/>
            </w:pPr>
            <w:r>
              <w:t xml:space="preserve">4,901</w:t>
            </w:r>
          </w:p>
        </w:tc>
        <w:tc>
          <w:tcPr/>
          <w:p>
            <w:pPr>
              <w:pStyle w:val="Compact"/>
            </w:pPr>
            <w:r>
              <w:t xml:space="preserve">57.8%</w:t>
            </w:r>
          </w:p>
        </w:tc>
        <w:tc>
          <w:tcPr/>
          <w:p>
            <w:pPr>
              <w:pStyle w:val="Compact"/>
            </w:pPr>
            <w:r>
              <w:t xml:space="preserve">68.8%</w:t>
            </w:r>
          </w:p>
        </w:tc>
        <w:tc>
          <w:tcPr/>
          <w:p>
            <w:pPr>
              <w:pStyle w:val="Compact"/>
            </w:pPr>
            <w:r>
              <w:t xml:space="preserve">81.3%</w:t>
            </w:r>
          </w:p>
        </w:tc>
        <w:tc>
          <w:tcPr/>
          <w:p>
            <w:pPr>
              <w:pStyle w:val="Compact"/>
            </w:pPr>
            <w:r>
              <w:t xml:space="preserve">51.5%</w:t>
            </w:r>
          </w:p>
        </w:tc>
        <w:tc>
          <w:tcPr/>
          <w:p>
            <w:pPr>
              <w:pStyle w:val="Compact"/>
            </w:pPr>
            <w:r>
              <w:t xml:space="preserve">0.683</w:t>
            </w:r>
          </w:p>
        </w:tc>
        <w:tc>
          <w:tcPr/>
          <w:p>
            <w:pPr>
              <w:pStyle w:val="Compact"/>
            </w:pPr>
            <w:r>
              <w:t xml:space="preserve">0.745</w:t>
            </w:r>
          </w:p>
        </w:tc>
      </w:tr>
      <w:tr>
        <w:tc>
          <w:tcPr/>
          <w:p>
            <w:pPr>
              <w:pStyle w:val="Compact"/>
            </w:pPr>
            <w:r>
              <w:t xml:space="preserve">Hispanic</w:t>
            </w:r>
          </w:p>
        </w:tc>
        <w:tc>
          <w:tcPr/>
          <w:p>
            <w:pPr>
              <w:pStyle w:val="Compact"/>
            </w:pPr>
            <w:r>
              <w:t xml:space="preserve">6,733</w:t>
            </w:r>
          </w:p>
        </w:tc>
        <w:tc>
          <w:tcPr/>
          <w:p>
            <w:pPr>
              <w:pStyle w:val="Compact"/>
            </w:pPr>
            <w:r>
              <w:t xml:space="preserve">48.9%</w:t>
            </w:r>
          </w:p>
        </w:tc>
        <w:tc>
          <w:tcPr/>
          <w:p>
            <w:pPr>
              <w:pStyle w:val="Compact"/>
            </w:pPr>
            <w:r>
              <w:t xml:space="preserve">54.9%</w:t>
            </w:r>
          </w:p>
        </w:tc>
        <w:tc>
          <w:tcPr/>
          <w:p>
            <w:pPr>
              <w:pStyle w:val="Compact"/>
            </w:pPr>
            <w:r>
              <w:t xml:space="preserve">65.8%</w:t>
            </w:r>
          </w:p>
        </w:tc>
        <w:tc>
          <w:tcPr/>
          <w:p>
            <w:pPr>
              <w:pStyle w:val="Compact"/>
            </w:pPr>
            <w:r>
              <w:t xml:space="preserve">44.4%</w:t>
            </w:r>
          </w:p>
        </w:tc>
        <w:tc>
          <w:tcPr/>
          <w:p>
            <w:pPr>
              <w:pStyle w:val="Compact"/>
            </w:pPr>
            <w:r>
              <w:t xml:space="preserve">0.586</w:t>
            </w:r>
          </w:p>
        </w:tc>
        <w:tc>
          <w:tcPr/>
          <w:p>
            <w:pPr>
              <w:pStyle w:val="Compact"/>
            </w:pPr>
            <w:r>
              <w:t xml:space="preserve">0.619</w:t>
            </w:r>
          </w:p>
        </w:tc>
      </w:tr>
      <w:tr>
        <w:tc>
          <w:tcPr/>
          <w:p>
            <w:pPr>
              <w:pStyle w:val="Compact"/>
            </w:pPr>
            <w:r>
              <w:t xml:space="preserve">Asian</w:t>
            </w:r>
          </w:p>
        </w:tc>
        <w:tc>
          <w:tcPr/>
          <w:p>
            <w:pPr>
              <w:pStyle w:val="Compact"/>
            </w:pPr>
            <w:r>
              <w:t xml:space="preserve">1,736</w:t>
            </w:r>
          </w:p>
        </w:tc>
        <w:tc>
          <w:tcPr/>
          <w:p>
            <w:pPr>
              <w:pStyle w:val="Compact"/>
            </w:pPr>
            <w:r>
              <w:t xml:space="preserve">27.2%</w:t>
            </w:r>
          </w:p>
        </w:tc>
        <w:tc>
          <w:tcPr/>
          <w:p>
            <w:pPr>
              <w:pStyle w:val="Compact"/>
            </w:pPr>
            <w:r>
              <w:t xml:space="preserve">11.2%</w:t>
            </w:r>
          </w:p>
        </w:tc>
        <w:tc>
          <w:tcPr/>
          <w:p>
            <w:pPr>
              <w:pStyle w:val="Compact"/>
            </w:pPr>
            <w:r>
              <w:t xml:space="preserve">18.7%</w:t>
            </w:r>
          </w:p>
        </w:tc>
        <w:tc>
          <w:tcPr/>
          <w:p>
            <w:pPr>
              <w:pStyle w:val="Compact"/>
            </w:pPr>
            <w:r>
              <w:t xml:space="preserve">8.4%</w:t>
            </w:r>
          </w:p>
        </w:tc>
        <w:tc>
          <w:tcPr/>
          <w:p>
            <w:pPr>
              <w:pStyle w:val="Compact"/>
            </w:pPr>
            <w:r>
              <w:t xml:space="preserve">0.454</w:t>
            </w:r>
          </w:p>
        </w:tc>
        <w:tc>
          <w:tcPr/>
          <w:p>
            <w:pPr>
              <w:pStyle w:val="Compact"/>
            </w:pPr>
            <w:r>
              <w:t xml:space="preserve">0.265</w:t>
            </w:r>
          </w:p>
        </w:tc>
      </w:tr>
      <w:tr>
        <w:tc>
          <w:tcPr/>
          <w:p>
            <w:pPr>
              <w:pStyle w:val="Compact"/>
            </w:pPr>
            <w:r>
              <w:t xml:space="preserve">AIAN</w:t>
            </w:r>
          </w:p>
        </w:tc>
        <w:tc>
          <w:tcPr/>
          <w:p>
            <w:pPr>
              <w:pStyle w:val="Compact"/>
            </w:pPr>
            <w:r>
              <w:t xml:space="preserve">932</w:t>
            </w:r>
          </w:p>
        </w:tc>
        <w:tc>
          <w:tcPr/>
          <w:p>
            <w:pPr>
              <w:pStyle w:val="Compact"/>
            </w:pPr>
            <w:r>
              <w:t xml:space="preserve">51.1%</w:t>
            </w:r>
          </w:p>
        </w:tc>
        <w:tc>
          <w:tcPr/>
          <w:p>
            <w:pPr>
              <w:pStyle w:val="Compact"/>
            </w:pPr>
            <w:r>
              <w:t xml:space="preserve">26.5%</w:t>
            </w:r>
          </w:p>
        </w:tc>
        <w:tc>
          <w:tcPr/>
          <w:p>
            <w:pPr>
              <w:pStyle w:val="Compact"/>
            </w:pPr>
            <w:r>
              <w:t xml:space="preserve">35.2%</w:t>
            </w:r>
          </w:p>
        </w:tc>
        <w:tc>
          <w:tcPr/>
          <w:p>
            <w:pPr>
              <w:pStyle w:val="Compact"/>
            </w:pPr>
            <w:r>
              <w:t xml:space="preserve">17.4%</w:t>
            </w:r>
          </w:p>
        </w:tc>
        <w:tc>
          <w:tcPr/>
          <w:p>
            <w:pPr>
              <w:pStyle w:val="Compact"/>
            </w:pPr>
            <w:r>
              <w:t xml:space="preserve">0.680</w:t>
            </w:r>
          </w:p>
        </w:tc>
        <w:tc>
          <w:tcPr/>
          <w:p>
            <w:pPr>
              <w:pStyle w:val="Compact"/>
            </w:pPr>
            <w:r>
              <w:t xml:space="preserve">0.463</w:t>
            </w:r>
          </w:p>
        </w:tc>
      </w:tr>
      <w:tr>
        <w:tc>
          <w:tcPr/>
          <w:p>
            <w:pPr>
              <w:pStyle w:val="Compact"/>
            </w:pPr>
            <w:r>
              <w:t xml:space="preserve">NHPI</w:t>
            </w:r>
          </w:p>
        </w:tc>
        <w:tc>
          <w:tcPr/>
          <w:p>
            <w:pPr>
              <w:pStyle w:val="Compact"/>
            </w:pPr>
            <w:r>
              <w:t xml:space="preserve">278</w:t>
            </w:r>
          </w:p>
        </w:tc>
        <w:tc>
          <w:tcPr/>
          <w:p>
            <w:pPr>
              <w:pStyle w:val="Compact"/>
            </w:pPr>
            <w:r>
              <w:t xml:space="preserve">37.4%</w:t>
            </w:r>
          </w:p>
        </w:tc>
        <w:tc>
          <w:tcPr/>
          <w:p>
            <w:pPr>
              <w:pStyle w:val="Compact"/>
            </w:pPr>
            <w:r>
              <w:t xml:space="preserve">17.6%</w:t>
            </w:r>
          </w:p>
        </w:tc>
        <w:tc>
          <w:tcPr/>
          <w:p>
            <w:pPr>
              <w:pStyle w:val="Compact"/>
            </w:pPr>
            <w:r>
              <w:t xml:space="preserve">22.1%</w:t>
            </w:r>
          </w:p>
        </w:tc>
        <w:tc>
          <w:tcPr/>
          <w:p>
            <w:pPr>
              <w:pStyle w:val="Compact"/>
            </w:pPr>
            <w:r>
              <w:t xml:space="preserve">15.1%</w:t>
            </w:r>
          </w:p>
        </w:tc>
        <w:tc>
          <w:tcPr/>
          <w:p>
            <w:pPr>
              <w:pStyle w:val="Compact"/>
            </w:pPr>
            <w:r>
              <w:t xml:space="preserve">0.470</w:t>
            </w:r>
          </w:p>
        </w:tc>
        <w:tc>
          <w:tcPr/>
          <w:p>
            <w:pPr>
              <w:pStyle w:val="Compact"/>
            </w:pPr>
            <w:r>
              <w:t xml:space="preserve">0.300</w:t>
            </w:r>
          </w:p>
        </w:tc>
      </w:tr>
      <w:tr>
        <w:tc>
          <w:tcPr/>
          <w:p>
            <w:pPr>
              <w:pStyle w:val="Compact"/>
            </w:pPr>
            <w:r>
              <w:t xml:space="preserve">Multiracial</w:t>
            </w:r>
          </w:p>
        </w:tc>
        <w:tc>
          <w:tcPr/>
          <w:p>
            <w:pPr>
              <w:pStyle w:val="Compact"/>
            </w:pPr>
            <w:r>
              <w:t xml:space="preserve">1,569</w:t>
            </w:r>
          </w:p>
        </w:tc>
        <w:tc>
          <w:tcPr/>
          <w:p>
            <w:pPr>
              <w:pStyle w:val="Compact"/>
            </w:pPr>
            <w:r>
              <w:t xml:space="preserve">48.7%</w:t>
            </w:r>
          </w:p>
        </w:tc>
        <w:tc>
          <w:tcPr/>
          <w:p>
            <w:pPr>
              <w:pStyle w:val="Compact"/>
            </w:pPr>
            <w:r>
              <w:t xml:space="preserve">26.1%</w:t>
            </w:r>
          </w:p>
        </w:tc>
        <w:tc>
          <w:tcPr/>
          <w:p>
            <w:pPr>
              <w:pStyle w:val="Compact"/>
            </w:pPr>
            <w:r>
              <w:t xml:space="preserve">37.4%</w:t>
            </w:r>
          </w:p>
        </w:tc>
        <w:tc>
          <w:tcPr/>
          <w:p>
            <w:pPr>
              <w:pStyle w:val="Compact"/>
            </w:pPr>
            <w:r>
              <w:t xml:space="preserve">15.3%</w:t>
            </w:r>
          </w:p>
        </w:tc>
        <w:tc>
          <w:tcPr/>
          <w:p>
            <w:pPr>
              <w:pStyle w:val="Compact"/>
            </w:pPr>
            <w:r>
              <w:t xml:space="preserve">0.699</w:t>
            </w:r>
          </w:p>
        </w:tc>
        <w:tc>
          <w:tcPr/>
          <w:p>
            <w:pPr>
              <w:pStyle w:val="Compact"/>
            </w:pPr>
            <w:r>
              <w:t xml:space="preserve">0.487</w:t>
            </w:r>
          </w:p>
        </w:tc>
      </w:tr>
      <w:tr>
        <w:tc>
          <w:tcPr/>
          <w:p>
            <w:pPr>
              <w:pStyle w:val="Compact"/>
            </w:pPr>
            <w:r>
              <w:t xml:space="preserve">Other</w:t>
            </w:r>
          </w:p>
        </w:tc>
        <w:tc>
          <w:tcPr/>
          <w:p>
            <w:pPr>
              <w:pStyle w:val="Compact"/>
            </w:pPr>
            <w:r>
              <w:t xml:space="preserve">463</w:t>
            </w:r>
          </w:p>
        </w:tc>
        <w:tc>
          <w:tcPr/>
          <w:p>
            <w:pPr>
              <w:pStyle w:val="Compact"/>
            </w:pPr>
            <w:r>
              <w:t xml:space="preserve">45.8%</w:t>
            </w:r>
          </w:p>
        </w:tc>
        <w:tc>
          <w:tcPr/>
          <w:p>
            <w:pPr>
              <w:pStyle w:val="Compact"/>
            </w:pPr>
            <w:r>
              <w:t xml:space="preserve">20.5%</w:t>
            </w:r>
          </w:p>
        </w:tc>
        <w:tc>
          <w:tcPr/>
          <w:p>
            <w:pPr>
              <w:pStyle w:val="Compact"/>
            </w:pPr>
            <w:r>
              <w:t xml:space="preserve">26.9%</w:t>
            </w:r>
          </w:p>
        </w:tc>
        <w:tc>
          <w:tcPr/>
          <w:p>
            <w:pPr>
              <w:pStyle w:val="Compact"/>
            </w:pPr>
            <w:r>
              <w:t xml:space="preserve">15.4%</w:t>
            </w:r>
          </w:p>
        </w:tc>
        <w:tc>
          <w:tcPr/>
          <w:p>
            <w:pPr>
              <w:pStyle w:val="Compact"/>
            </w:pPr>
            <w:r>
              <w:t xml:space="preserve">0.600</w:t>
            </w:r>
          </w:p>
        </w:tc>
        <w:tc>
          <w:tcPr/>
          <w:p>
            <w:pPr>
              <w:pStyle w:val="Compact"/>
            </w:pPr>
            <w:r>
              <w:t xml:space="preserve">0.371</w:t>
            </w:r>
          </w:p>
        </w:tc>
      </w:tr>
    </w:tbl>
    <w:bookmarkEnd w:id="19"/>
    <w:bookmarkStart w:id="20" w:name="random-forest"/>
    <w:p>
      <w:pPr>
        <w:pStyle w:val="Heading4"/>
      </w:pPr>
      <w:r>
        <w:t xml:space="preserve">Random Forest</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Race</w:t>
            </w:r>
          </w:p>
        </w:tc>
        <w:tc>
          <w:tcPr/>
          <w:p>
            <w:pPr>
              <w:pStyle w:val="Compact"/>
            </w:pPr>
            <w:r>
              <w:t xml:space="preserve">N</w:t>
            </w:r>
          </w:p>
        </w:tc>
        <w:tc>
          <w:tcPr/>
          <w:p>
            <w:pPr>
              <w:pStyle w:val="Compact"/>
            </w:pPr>
            <w:r>
              <w:t xml:space="preserve">Prevalence</w:t>
            </w:r>
          </w:p>
        </w:tc>
        <w:tc>
          <w:tcPr/>
          <w:p>
            <w:pPr>
              <w:pStyle w:val="Compact"/>
            </w:pPr>
            <w:r>
              <w:t xml:space="preserve">Selection Rate</w:t>
            </w:r>
          </w:p>
        </w:tc>
        <w:tc>
          <w:tcPr/>
          <w:p>
            <w:pPr>
              <w:pStyle w:val="Compact"/>
            </w:pPr>
            <w:r>
              <w:t xml:space="preserve">TPR</w:t>
            </w:r>
          </w:p>
        </w:tc>
        <w:tc>
          <w:tcPr/>
          <w:p>
            <w:pPr>
              <w:pStyle w:val="Compact"/>
            </w:pPr>
            <w:r>
              <w:t xml:space="preserve">FPR</w:t>
            </w:r>
          </w:p>
        </w:tc>
        <w:tc>
          <w:tcPr/>
          <w:p>
            <w:pPr>
              <w:pStyle w:val="Compact"/>
            </w:pPr>
            <w:r>
              <w:t xml:space="preserve">Precision</w:t>
            </w:r>
          </w:p>
        </w:tc>
        <w:tc>
          <w:tcPr/>
          <w:p>
            <w:pPr>
              <w:pStyle w:val="Compact"/>
            </w:pPr>
            <w:r>
              <w:t xml:space="preserve">F1</w:t>
            </w:r>
          </w:p>
        </w:tc>
      </w:tr>
      <w:tr>
        <w:tc>
          <w:tcPr/>
          <w:p>
            <w:pPr>
              <w:pStyle w:val="Compact"/>
            </w:pPr>
            <w:r>
              <w:t xml:space="preserve">White</w:t>
            </w:r>
          </w:p>
        </w:tc>
        <w:tc>
          <w:tcPr/>
          <w:p>
            <w:pPr>
              <w:pStyle w:val="Compact"/>
            </w:pPr>
            <w:r>
              <w:t xml:space="preserve">48,173</w:t>
            </w:r>
          </w:p>
        </w:tc>
        <w:tc>
          <w:tcPr/>
          <w:p>
            <w:pPr>
              <w:pStyle w:val="Compact"/>
            </w:pPr>
            <w:r>
              <w:t xml:space="preserve">34.0%</w:t>
            </w:r>
          </w:p>
        </w:tc>
        <w:tc>
          <w:tcPr/>
          <w:p>
            <w:pPr>
              <w:pStyle w:val="Compact"/>
            </w:pPr>
            <w:r>
              <w:t xml:space="preserve">17.2%</w:t>
            </w:r>
          </w:p>
        </w:tc>
        <w:tc>
          <w:tcPr/>
          <w:p>
            <w:pPr>
              <w:pStyle w:val="Compact"/>
            </w:pPr>
            <w:r>
              <w:t xml:space="preserve">30.1%</w:t>
            </w:r>
          </w:p>
        </w:tc>
        <w:tc>
          <w:tcPr/>
          <w:p>
            <w:pPr>
              <w:pStyle w:val="Compact"/>
            </w:pPr>
            <w:r>
              <w:t xml:space="preserve">10.5%</w:t>
            </w:r>
          </w:p>
        </w:tc>
        <w:tc>
          <w:tcPr/>
          <w:p>
            <w:pPr>
              <w:pStyle w:val="Compact"/>
            </w:pPr>
            <w:r>
              <w:t xml:space="preserve">0.598</w:t>
            </w:r>
          </w:p>
        </w:tc>
        <w:tc>
          <w:tcPr/>
          <w:p>
            <w:pPr>
              <w:pStyle w:val="Compact"/>
            </w:pPr>
            <w:r>
              <w:t xml:space="preserve">0.399</w:t>
            </w:r>
          </w:p>
        </w:tc>
      </w:tr>
      <w:tr>
        <w:tc>
          <w:tcPr/>
          <w:p>
            <w:pPr>
              <w:pStyle w:val="Compact"/>
            </w:pPr>
            <w:r>
              <w:t xml:space="preserve">Black</w:t>
            </w:r>
          </w:p>
        </w:tc>
        <w:tc>
          <w:tcPr/>
          <w:p>
            <w:pPr>
              <w:pStyle w:val="Compact"/>
            </w:pPr>
            <w:r>
              <w:t xml:space="preserve">4,901</w:t>
            </w:r>
          </w:p>
        </w:tc>
        <w:tc>
          <w:tcPr/>
          <w:p>
            <w:pPr>
              <w:pStyle w:val="Compact"/>
            </w:pPr>
            <w:r>
              <w:t xml:space="preserve">57.8%</w:t>
            </w:r>
          </w:p>
        </w:tc>
        <w:tc>
          <w:tcPr/>
          <w:p>
            <w:pPr>
              <w:pStyle w:val="Compact"/>
            </w:pPr>
            <w:r>
              <w:t xml:space="preserve">66.2%</w:t>
            </w:r>
          </w:p>
        </w:tc>
        <w:tc>
          <w:tcPr/>
          <w:p>
            <w:pPr>
              <w:pStyle w:val="Compact"/>
            </w:pPr>
            <w:r>
              <w:t xml:space="preserve">79.4%</w:t>
            </w:r>
          </w:p>
        </w:tc>
        <w:tc>
          <w:tcPr/>
          <w:p>
            <w:pPr>
              <w:pStyle w:val="Compact"/>
            </w:pPr>
            <w:r>
              <w:t xml:space="preserve">48.4%</w:t>
            </w:r>
          </w:p>
        </w:tc>
        <w:tc>
          <w:tcPr/>
          <w:p>
            <w:pPr>
              <w:pStyle w:val="Compact"/>
            </w:pPr>
            <w:r>
              <w:t xml:space="preserve">0.694</w:t>
            </w:r>
          </w:p>
        </w:tc>
        <w:tc>
          <w:tcPr/>
          <w:p>
            <w:pPr>
              <w:pStyle w:val="Compact"/>
            </w:pPr>
            <w:r>
              <w:t xml:space="preserve">0.738</w:t>
            </w:r>
          </w:p>
        </w:tc>
      </w:tr>
      <w:tr>
        <w:tc>
          <w:tcPr/>
          <w:p>
            <w:pPr>
              <w:pStyle w:val="Compact"/>
            </w:pPr>
            <w:r>
              <w:t xml:space="preserve">Hispanic</w:t>
            </w:r>
          </w:p>
        </w:tc>
        <w:tc>
          <w:tcPr/>
          <w:p>
            <w:pPr>
              <w:pStyle w:val="Compact"/>
            </w:pPr>
            <w:r>
              <w:t xml:space="preserve">6,733</w:t>
            </w:r>
          </w:p>
        </w:tc>
        <w:tc>
          <w:tcPr/>
          <w:p>
            <w:pPr>
              <w:pStyle w:val="Compact"/>
            </w:pPr>
            <w:r>
              <w:t xml:space="preserve">48.9%</w:t>
            </w:r>
          </w:p>
        </w:tc>
        <w:tc>
          <w:tcPr/>
          <w:p>
            <w:pPr>
              <w:pStyle w:val="Compact"/>
            </w:pPr>
            <w:r>
              <w:t xml:space="preserve">53.1%</w:t>
            </w:r>
          </w:p>
        </w:tc>
        <w:tc>
          <w:tcPr/>
          <w:p>
            <w:pPr>
              <w:pStyle w:val="Compact"/>
            </w:pPr>
            <w:r>
              <w:t xml:space="preserve">64.2%</w:t>
            </w:r>
          </w:p>
        </w:tc>
        <w:tc>
          <w:tcPr/>
          <w:p>
            <w:pPr>
              <w:pStyle w:val="Compact"/>
            </w:pPr>
            <w:r>
              <w:t xml:space="preserve">42.5%</w:t>
            </w:r>
          </w:p>
        </w:tc>
        <w:tc>
          <w:tcPr/>
          <w:p>
            <w:pPr>
              <w:pStyle w:val="Compact"/>
            </w:pPr>
            <w:r>
              <w:t xml:space="preserve">0.592</w:t>
            </w:r>
          </w:p>
        </w:tc>
        <w:tc>
          <w:tcPr/>
          <w:p>
            <w:pPr>
              <w:pStyle w:val="Compact"/>
            </w:pPr>
            <w:r>
              <w:t xml:space="preserve">0.615</w:t>
            </w:r>
          </w:p>
        </w:tc>
      </w:tr>
      <w:tr>
        <w:tc>
          <w:tcPr/>
          <w:p>
            <w:pPr>
              <w:pStyle w:val="Compact"/>
            </w:pPr>
            <w:r>
              <w:t xml:space="preserve">Asian</w:t>
            </w:r>
          </w:p>
        </w:tc>
        <w:tc>
          <w:tcPr/>
          <w:p>
            <w:pPr>
              <w:pStyle w:val="Compact"/>
            </w:pPr>
            <w:r>
              <w:t xml:space="preserve">1,736</w:t>
            </w:r>
          </w:p>
        </w:tc>
        <w:tc>
          <w:tcPr/>
          <w:p>
            <w:pPr>
              <w:pStyle w:val="Compact"/>
            </w:pPr>
            <w:r>
              <w:t xml:space="preserve">27.2%</w:t>
            </w:r>
          </w:p>
        </w:tc>
        <w:tc>
          <w:tcPr/>
          <w:p>
            <w:pPr>
              <w:pStyle w:val="Compact"/>
            </w:pPr>
            <w:r>
              <w:t xml:space="preserve">12.8%</w:t>
            </w:r>
          </w:p>
        </w:tc>
        <w:tc>
          <w:tcPr/>
          <w:p>
            <w:pPr>
              <w:pStyle w:val="Compact"/>
            </w:pPr>
            <w:r>
              <w:t xml:space="preserve">21.5%</w:t>
            </w:r>
          </w:p>
        </w:tc>
        <w:tc>
          <w:tcPr/>
          <w:p>
            <w:pPr>
              <w:pStyle w:val="Compact"/>
            </w:pPr>
            <w:r>
              <w:t xml:space="preserve">9.5%</w:t>
            </w:r>
          </w:p>
        </w:tc>
        <w:tc>
          <w:tcPr/>
          <w:p>
            <w:pPr>
              <w:pStyle w:val="Compact"/>
            </w:pPr>
            <w:r>
              <w:t xml:space="preserve">0.457</w:t>
            </w:r>
          </w:p>
        </w:tc>
        <w:tc>
          <w:tcPr/>
          <w:p>
            <w:pPr>
              <w:pStyle w:val="Compact"/>
            </w:pPr>
            <w:r>
              <w:t xml:space="preserve">0.292</w:t>
            </w:r>
          </w:p>
        </w:tc>
      </w:tr>
      <w:tr>
        <w:tc>
          <w:tcPr/>
          <w:p>
            <w:pPr>
              <w:pStyle w:val="Compact"/>
            </w:pPr>
            <w:r>
              <w:t xml:space="preserve">AIAN</w:t>
            </w:r>
          </w:p>
        </w:tc>
        <w:tc>
          <w:tcPr/>
          <w:p>
            <w:pPr>
              <w:pStyle w:val="Compact"/>
            </w:pPr>
            <w:r>
              <w:t xml:space="preserve">932</w:t>
            </w:r>
          </w:p>
        </w:tc>
        <w:tc>
          <w:tcPr/>
          <w:p>
            <w:pPr>
              <w:pStyle w:val="Compact"/>
            </w:pPr>
            <w:r>
              <w:t xml:space="preserve">51.1%</w:t>
            </w:r>
          </w:p>
        </w:tc>
        <w:tc>
          <w:tcPr/>
          <w:p>
            <w:pPr>
              <w:pStyle w:val="Compact"/>
            </w:pPr>
            <w:r>
              <w:t xml:space="preserve">29.2%</w:t>
            </w:r>
          </w:p>
        </w:tc>
        <w:tc>
          <w:tcPr/>
          <w:p>
            <w:pPr>
              <w:pStyle w:val="Compact"/>
            </w:pPr>
            <w:r>
              <w:t xml:space="preserve">38.4%</w:t>
            </w:r>
          </w:p>
        </w:tc>
        <w:tc>
          <w:tcPr/>
          <w:p>
            <w:pPr>
              <w:pStyle w:val="Compact"/>
            </w:pPr>
            <w:r>
              <w:t xml:space="preserve">19.7%</w:t>
            </w:r>
          </w:p>
        </w:tc>
        <w:tc>
          <w:tcPr/>
          <w:p>
            <w:pPr>
              <w:pStyle w:val="Compact"/>
            </w:pPr>
            <w:r>
              <w:t xml:space="preserve">0.672</w:t>
            </w:r>
          </w:p>
        </w:tc>
        <w:tc>
          <w:tcPr/>
          <w:p>
            <w:pPr>
              <w:pStyle w:val="Compact"/>
            </w:pPr>
            <w:r>
              <w:t xml:space="preserve">0.488</w:t>
            </w:r>
          </w:p>
        </w:tc>
      </w:tr>
      <w:tr>
        <w:tc>
          <w:tcPr/>
          <w:p>
            <w:pPr>
              <w:pStyle w:val="Compact"/>
            </w:pPr>
            <w:r>
              <w:t xml:space="preserve">NHPI</w:t>
            </w:r>
          </w:p>
        </w:tc>
        <w:tc>
          <w:tcPr/>
          <w:p>
            <w:pPr>
              <w:pStyle w:val="Compact"/>
            </w:pPr>
            <w:r>
              <w:t xml:space="preserve">278</w:t>
            </w:r>
          </w:p>
        </w:tc>
        <w:tc>
          <w:tcPr/>
          <w:p>
            <w:pPr>
              <w:pStyle w:val="Compact"/>
            </w:pPr>
            <w:r>
              <w:t xml:space="preserve">37.4%</w:t>
            </w:r>
          </w:p>
        </w:tc>
        <w:tc>
          <w:tcPr/>
          <w:p>
            <w:pPr>
              <w:pStyle w:val="Compact"/>
            </w:pPr>
            <w:r>
              <w:t xml:space="preserve">19.1%</w:t>
            </w:r>
          </w:p>
        </w:tc>
        <w:tc>
          <w:tcPr/>
          <w:p>
            <w:pPr>
              <w:pStyle w:val="Compact"/>
            </w:pPr>
            <w:r>
              <w:t xml:space="preserve">24.0%</w:t>
            </w:r>
          </w:p>
        </w:tc>
        <w:tc>
          <w:tcPr/>
          <w:p>
            <w:pPr>
              <w:pStyle w:val="Compact"/>
            </w:pPr>
            <w:r>
              <w:t xml:space="preserve">16.3%</w:t>
            </w:r>
          </w:p>
        </w:tc>
        <w:tc>
          <w:tcPr/>
          <w:p>
            <w:pPr>
              <w:pStyle w:val="Compact"/>
            </w:pPr>
            <w:r>
              <w:t xml:space="preserve">0.470</w:t>
            </w:r>
          </w:p>
        </w:tc>
        <w:tc>
          <w:tcPr/>
          <w:p>
            <w:pPr>
              <w:pStyle w:val="Compact"/>
            </w:pPr>
            <w:r>
              <w:t xml:space="preserve">0.318</w:t>
            </w:r>
          </w:p>
        </w:tc>
      </w:tr>
      <w:tr>
        <w:tc>
          <w:tcPr/>
          <w:p>
            <w:pPr>
              <w:pStyle w:val="Compact"/>
            </w:pPr>
            <w:r>
              <w:t xml:space="preserve">Multiracial</w:t>
            </w:r>
          </w:p>
        </w:tc>
        <w:tc>
          <w:tcPr/>
          <w:p>
            <w:pPr>
              <w:pStyle w:val="Compact"/>
            </w:pPr>
            <w:r>
              <w:t xml:space="preserve">1,569</w:t>
            </w:r>
          </w:p>
        </w:tc>
        <w:tc>
          <w:tcPr/>
          <w:p>
            <w:pPr>
              <w:pStyle w:val="Compact"/>
            </w:pPr>
            <w:r>
              <w:t xml:space="preserve">48.7%</w:t>
            </w:r>
          </w:p>
        </w:tc>
        <w:tc>
          <w:tcPr/>
          <w:p>
            <w:pPr>
              <w:pStyle w:val="Compact"/>
            </w:pPr>
            <w:r>
              <w:t xml:space="preserve">28.4%</w:t>
            </w:r>
          </w:p>
        </w:tc>
        <w:tc>
          <w:tcPr/>
          <w:p>
            <w:pPr>
              <w:pStyle w:val="Compact"/>
            </w:pPr>
            <w:r>
              <w:t xml:space="preserve">40.4%</w:t>
            </w:r>
          </w:p>
        </w:tc>
        <w:tc>
          <w:tcPr/>
          <w:p>
            <w:pPr>
              <w:pStyle w:val="Compact"/>
            </w:pPr>
            <w:r>
              <w:t xml:space="preserve">16.9%</w:t>
            </w:r>
          </w:p>
        </w:tc>
        <w:tc>
          <w:tcPr/>
          <w:p>
            <w:pPr>
              <w:pStyle w:val="Compact"/>
            </w:pPr>
            <w:r>
              <w:t xml:space="preserve">0.693</w:t>
            </w:r>
          </w:p>
        </w:tc>
        <w:tc>
          <w:tcPr/>
          <w:p>
            <w:pPr>
              <w:pStyle w:val="Compact"/>
            </w:pPr>
            <w:r>
              <w:t xml:space="preserve">0.510</w:t>
            </w:r>
          </w:p>
        </w:tc>
      </w:tr>
      <w:tr>
        <w:tc>
          <w:tcPr/>
          <w:p>
            <w:pPr>
              <w:pStyle w:val="Compact"/>
            </w:pPr>
            <w:r>
              <w:t xml:space="preserve">Other</w:t>
            </w:r>
          </w:p>
        </w:tc>
        <w:tc>
          <w:tcPr/>
          <w:p>
            <w:pPr>
              <w:pStyle w:val="Compact"/>
            </w:pPr>
            <w:r>
              <w:t xml:space="preserve">463</w:t>
            </w:r>
          </w:p>
        </w:tc>
        <w:tc>
          <w:tcPr/>
          <w:p>
            <w:pPr>
              <w:pStyle w:val="Compact"/>
            </w:pPr>
            <w:r>
              <w:t xml:space="preserve">45.8%</w:t>
            </w:r>
          </w:p>
        </w:tc>
        <w:tc>
          <w:tcPr/>
          <w:p>
            <w:pPr>
              <w:pStyle w:val="Compact"/>
            </w:pPr>
            <w:r>
              <w:t xml:space="preserve">22.5%</w:t>
            </w:r>
          </w:p>
        </w:tc>
        <w:tc>
          <w:tcPr/>
          <w:p>
            <w:pPr>
              <w:pStyle w:val="Compact"/>
            </w:pPr>
            <w:r>
              <w:t xml:space="preserve">29.2%</w:t>
            </w:r>
          </w:p>
        </w:tc>
        <w:tc>
          <w:tcPr/>
          <w:p>
            <w:pPr>
              <w:pStyle w:val="Compact"/>
            </w:pPr>
            <w:r>
              <w:t xml:space="preserve">16.9%</w:t>
            </w:r>
          </w:p>
        </w:tc>
        <w:tc>
          <w:tcPr/>
          <w:p>
            <w:pPr>
              <w:pStyle w:val="Compact"/>
            </w:pPr>
            <w:r>
              <w:t xml:space="preserve">0.595</w:t>
            </w:r>
          </w:p>
        </w:tc>
        <w:tc>
          <w:tcPr/>
          <w:p>
            <w:pPr>
              <w:pStyle w:val="Compact"/>
            </w:pPr>
            <w:r>
              <w:t xml:space="preserve">0.392</w:t>
            </w:r>
          </w:p>
        </w:tc>
      </w:tr>
    </w:tbl>
    <w:bookmarkEnd w:id="20"/>
    <w:bookmarkStart w:id="21" w:name="xgboost"/>
    <w:p>
      <w:pPr>
        <w:pStyle w:val="Heading4"/>
      </w:pPr>
      <w:r>
        <w:t xml:space="preserve">XGBoost</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Race</w:t>
            </w:r>
          </w:p>
        </w:tc>
        <w:tc>
          <w:tcPr/>
          <w:p>
            <w:pPr>
              <w:pStyle w:val="Compact"/>
            </w:pPr>
            <w:r>
              <w:t xml:space="preserve">N</w:t>
            </w:r>
          </w:p>
        </w:tc>
        <w:tc>
          <w:tcPr/>
          <w:p>
            <w:pPr>
              <w:pStyle w:val="Compact"/>
            </w:pPr>
            <w:r>
              <w:t xml:space="preserve">Prevalence</w:t>
            </w:r>
          </w:p>
        </w:tc>
        <w:tc>
          <w:tcPr/>
          <w:p>
            <w:pPr>
              <w:pStyle w:val="Compact"/>
            </w:pPr>
            <w:r>
              <w:t xml:space="preserve">Selection Rate</w:t>
            </w:r>
          </w:p>
        </w:tc>
        <w:tc>
          <w:tcPr/>
          <w:p>
            <w:pPr>
              <w:pStyle w:val="Compact"/>
            </w:pPr>
            <w:r>
              <w:t xml:space="preserve">TPR</w:t>
            </w:r>
          </w:p>
        </w:tc>
        <w:tc>
          <w:tcPr/>
          <w:p>
            <w:pPr>
              <w:pStyle w:val="Compact"/>
            </w:pPr>
            <w:r>
              <w:t xml:space="preserve">FPR</w:t>
            </w:r>
          </w:p>
        </w:tc>
        <w:tc>
          <w:tcPr/>
          <w:p>
            <w:pPr>
              <w:pStyle w:val="Compact"/>
            </w:pPr>
            <w:r>
              <w:t xml:space="preserve">Precision</w:t>
            </w:r>
          </w:p>
        </w:tc>
        <w:tc>
          <w:tcPr/>
          <w:p>
            <w:pPr>
              <w:pStyle w:val="Compact"/>
            </w:pPr>
            <w:r>
              <w:t xml:space="preserve">F1</w:t>
            </w:r>
          </w:p>
        </w:tc>
      </w:tr>
      <w:tr>
        <w:tc>
          <w:tcPr/>
          <w:p>
            <w:pPr>
              <w:pStyle w:val="Compact"/>
            </w:pPr>
            <w:r>
              <w:t xml:space="preserve">White</w:t>
            </w:r>
          </w:p>
        </w:tc>
        <w:tc>
          <w:tcPr/>
          <w:p>
            <w:pPr>
              <w:pStyle w:val="Compact"/>
            </w:pPr>
            <w:r>
              <w:t xml:space="preserve">48,173</w:t>
            </w:r>
          </w:p>
        </w:tc>
        <w:tc>
          <w:tcPr/>
          <w:p>
            <w:pPr>
              <w:pStyle w:val="Compact"/>
            </w:pPr>
            <w:r>
              <w:t xml:space="preserve">34.0%</w:t>
            </w:r>
          </w:p>
        </w:tc>
        <w:tc>
          <w:tcPr/>
          <w:p>
            <w:pPr>
              <w:pStyle w:val="Compact"/>
            </w:pPr>
            <w:r>
              <w:t xml:space="preserve">16.3%</w:t>
            </w:r>
          </w:p>
        </w:tc>
        <w:tc>
          <w:tcPr/>
          <w:p>
            <w:pPr>
              <w:pStyle w:val="Compact"/>
            </w:pPr>
            <w:r>
              <w:t xml:space="preserve">28.2%</w:t>
            </w:r>
          </w:p>
        </w:tc>
        <w:tc>
          <w:tcPr/>
          <w:p>
            <w:pPr>
              <w:pStyle w:val="Compact"/>
            </w:pPr>
            <w:r>
              <w:t xml:space="preserve">10.1%</w:t>
            </w:r>
          </w:p>
        </w:tc>
        <w:tc>
          <w:tcPr/>
          <w:p>
            <w:pPr>
              <w:pStyle w:val="Compact"/>
            </w:pPr>
            <w:r>
              <w:t xml:space="preserve">0.593</w:t>
            </w:r>
          </w:p>
        </w:tc>
        <w:tc>
          <w:tcPr/>
          <w:p>
            <w:pPr>
              <w:pStyle w:val="Compact"/>
            </w:pPr>
            <w:r>
              <w:t xml:space="preserve">0.379</w:t>
            </w:r>
          </w:p>
        </w:tc>
      </w:tr>
      <w:tr>
        <w:tc>
          <w:tcPr/>
          <w:p>
            <w:pPr>
              <w:pStyle w:val="Compact"/>
            </w:pPr>
            <w:r>
              <w:t xml:space="preserve">Black</w:t>
            </w:r>
          </w:p>
        </w:tc>
        <w:tc>
          <w:tcPr/>
          <w:p>
            <w:pPr>
              <w:pStyle w:val="Compact"/>
            </w:pPr>
            <w:r>
              <w:t xml:space="preserve">4,901</w:t>
            </w:r>
          </w:p>
        </w:tc>
        <w:tc>
          <w:tcPr/>
          <w:p>
            <w:pPr>
              <w:pStyle w:val="Compact"/>
            </w:pPr>
            <w:r>
              <w:t xml:space="preserve">57.8%</w:t>
            </w:r>
          </w:p>
        </w:tc>
        <w:tc>
          <w:tcPr/>
          <w:p>
            <w:pPr>
              <w:pStyle w:val="Compact"/>
            </w:pPr>
            <w:r>
              <w:t xml:space="preserve">66.0%</w:t>
            </w:r>
          </w:p>
        </w:tc>
        <w:tc>
          <w:tcPr/>
          <w:p>
            <w:pPr>
              <w:pStyle w:val="Compact"/>
            </w:pPr>
            <w:r>
              <w:t xml:space="preserve">79.0%</w:t>
            </w:r>
          </w:p>
        </w:tc>
        <w:tc>
          <w:tcPr/>
          <w:p>
            <w:pPr>
              <w:pStyle w:val="Compact"/>
            </w:pPr>
            <w:r>
              <w:t xml:space="preserve">48.2%</w:t>
            </w:r>
          </w:p>
        </w:tc>
        <w:tc>
          <w:tcPr/>
          <w:p>
            <w:pPr>
              <w:pStyle w:val="Compact"/>
            </w:pPr>
            <w:r>
              <w:t xml:space="preserve">0.692</w:t>
            </w:r>
          </w:p>
        </w:tc>
        <w:tc>
          <w:tcPr/>
          <w:p>
            <w:pPr>
              <w:pStyle w:val="Compact"/>
            </w:pPr>
            <w:r>
              <w:t xml:space="preserve">0.736</w:t>
            </w:r>
          </w:p>
        </w:tc>
      </w:tr>
      <w:tr>
        <w:tc>
          <w:tcPr/>
          <w:p>
            <w:pPr>
              <w:pStyle w:val="Compact"/>
            </w:pPr>
            <w:r>
              <w:t xml:space="preserve">Hispanic</w:t>
            </w:r>
          </w:p>
        </w:tc>
        <w:tc>
          <w:tcPr/>
          <w:p>
            <w:pPr>
              <w:pStyle w:val="Compact"/>
            </w:pPr>
            <w:r>
              <w:t xml:space="preserve">6,733</w:t>
            </w:r>
          </w:p>
        </w:tc>
        <w:tc>
          <w:tcPr/>
          <w:p>
            <w:pPr>
              <w:pStyle w:val="Compact"/>
            </w:pPr>
            <w:r>
              <w:t xml:space="preserve">48.9%</w:t>
            </w:r>
          </w:p>
        </w:tc>
        <w:tc>
          <w:tcPr/>
          <w:p>
            <w:pPr>
              <w:pStyle w:val="Compact"/>
            </w:pPr>
            <w:r>
              <w:t xml:space="preserve">52.7%</w:t>
            </w:r>
          </w:p>
        </w:tc>
        <w:tc>
          <w:tcPr/>
          <w:p>
            <w:pPr>
              <w:pStyle w:val="Compact"/>
            </w:pPr>
            <w:r>
              <w:t xml:space="preserve">63.7%</w:t>
            </w:r>
          </w:p>
        </w:tc>
        <w:tc>
          <w:tcPr/>
          <w:p>
            <w:pPr>
              <w:pStyle w:val="Compact"/>
            </w:pPr>
            <w:r>
              <w:t xml:space="preserve">42.3%</w:t>
            </w:r>
          </w:p>
        </w:tc>
        <w:tc>
          <w:tcPr/>
          <w:p>
            <w:pPr>
              <w:pStyle w:val="Compact"/>
            </w:pPr>
            <w:r>
              <w:t xml:space="preserve">0.591</w:t>
            </w:r>
          </w:p>
        </w:tc>
        <w:tc>
          <w:tcPr/>
          <w:p>
            <w:pPr>
              <w:pStyle w:val="Compact"/>
            </w:pPr>
            <w:r>
              <w:t xml:space="preserve">0.612</w:t>
            </w:r>
          </w:p>
        </w:tc>
      </w:tr>
      <w:tr>
        <w:tc>
          <w:tcPr/>
          <w:p>
            <w:pPr>
              <w:pStyle w:val="Compact"/>
            </w:pPr>
            <w:r>
              <w:t xml:space="preserve">Asian</w:t>
            </w:r>
          </w:p>
        </w:tc>
        <w:tc>
          <w:tcPr/>
          <w:p>
            <w:pPr>
              <w:pStyle w:val="Compact"/>
            </w:pPr>
            <w:r>
              <w:t xml:space="preserve">1,736</w:t>
            </w:r>
          </w:p>
        </w:tc>
        <w:tc>
          <w:tcPr/>
          <w:p>
            <w:pPr>
              <w:pStyle w:val="Compact"/>
            </w:pPr>
            <w:r>
              <w:t xml:space="preserve">27.2%</w:t>
            </w:r>
          </w:p>
        </w:tc>
        <w:tc>
          <w:tcPr/>
          <w:p>
            <w:pPr>
              <w:pStyle w:val="Compact"/>
            </w:pPr>
            <w:r>
              <w:t xml:space="preserve">12.1%</w:t>
            </w:r>
          </w:p>
        </w:tc>
        <w:tc>
          <w:tcPr/>
          <w:p>
            <w:pPr>
              <w:pStyle w:val="Compact"/>
            </w:pPr>
            <w:r>
              <w:t xml:space="preserve">20.3%</w:t>
            </w:r>
          </w:p>
        </w:tc>
        <w:tc>
          <w:tcPr/>
          <w:p>
            <w:pPr>
              <w:pStyle w:val="Compact"/>
            </w:pPr>
            <w:r>
              <w:t xml:space="preserve">9.0%</w:t>
            </w:r>
          </w:p>
        </w:tc>
        <w:tc>
          <w:tcPr/>
          <w:p>
            <w:pPr>
              <w:pStyle w:val="Compact"/>
            </w:pPr>
            <w:r>
              <w:t xml:space="preserve">0.456</w:t>
            </w:r>
          </w:p>
        </w:tc>
        <w:tc>
          <w:tcPr/>
          <w:p>
            <w:pPr>
              <w:pStyle w:val="Compact"/>
            </w:pPr>
            <w:r>
              <w:t xml:space="preserve">0.279</w:t>
            </w:r>
          </w:p>
        </w:tc>
      </w:tr>
      <w:tr>
        <w:tc>
          <w:tcPr/>
          <w:p>
            <w:pPr>
              <w:pStyle w:val="Compact"/>
            </w:pPr>
            <w:r>
              <w:t xml:space="preserve">AIAN</w:t>
            </w:r>
          </w:p>
        </w:tc>
        <w:tc>
          <w:tcPr/>
          <w:p>
            <w:pPr>
              <w:pStyle w:val="Compact"/>
            </w:pPr>
            <w:r>
              <w:t xml:space="preserve">932</w:t>
            </w:r>
          </w:p>
        </w:tc>
        <w:tc>
          <w:tcPr/>
          <w:p>
            <w:pPr>
              <w:pStyle w:val="Compact"/>
            </w:pPr>
            <w:r>
              <w:t xml:space="preserve">51.1%</w:t>
            </w:r>
          </w:p>
        </w:tc>
        <w:tc>
          <w:tcPr/>
          <w:p>
            <w:pPr>
              <w:pStyle w:val="Compact"/>
            </w:pPr>
            <w:r>
              <w:t xml:space="preserve">28.5%</w:t>
            </w:r>
          </w:p>
        </w:tc>
        <w:tc>
          <w:tcPr/>
          <w:p>
            <w:pPr>
              <w:pStyle w:val="Compact"/>
            </w:pPr>
            <w:r>
              <w:t xml:space="preserve">37.4%</w:t>
            </w:r>
          </w:p>
        </w:tc>
        <w:tc>
          <w:tcPr/>
          <w:p>
            <w:pPr>
              <w:pStyle w:val="Compact"/>
            </w:pPr>
            <w:r>
              <w:t xml:space="preserve">19.3%</w:t>
            </w:r>
          </w:p>
        </w:tc>
        <w:tc>
          <w:tcPr/>
          <w:p>
            <w:pPr>
              <w:pStyle w:val="Compact"/>
            </w:pPr>
            <w:r>
              <w:t xml:space="preserve">0.671</w:t>
            </w:r>
          </w:p>
        </w:tc>
        <w:tc>
          <w:tcPr/>
          <w:p>
            <w:pPr>
              <w:pStyle w:val="Compact"/>
            </w:pPr>
            <w:r>
              <w:t xml:space="preserve">0.480</w:t>
            </w:r>
          </w:p>
        </w:tc>
      </w:tr>
      <w:tr>
        <w:tc>
          <w:tcPr/>
          <w:p>
            <w:pPr>
              <w:pStyle w:val="Compact"/>
            </w:pPr>
            <w:r>
              <w:t xml:space="preserve">NHPI</w:t>
            </w:r>
          </w:p>
        </w:tc>
        <w:tc>
          <w:tcPr/>
          <w:p>
            <w:pPr>
              <w:pStyle w:val="Compact"/>
            </w:pPr>
            <w:r>
              <w:t xml:space="preserve">278</w:t>
            </w:r>
          </w:p>
        </w:tc>
        <w:tc>
          <w:tcPr/>
          <w:p>
            <w:pPr>
              <w:pStyle w:val="Compact"/>
            </w:pPr>
            <w:r>
              <w:t xml:space="preserve">37.4%</w:t>
            </w:r>
          </w:p>
        </w:tc>
        <w:tc>
          <w:tcPr/>
          <w:p>
            <w:pPr>
              <w:pStyle w:val="Compact"/>
            </w:pPr>
            <w:r>
              <w:t xml:space="preserve">18.3%</w:t>
            </w:r>
          </w:p>
        </w:tc>
        <w:tc>
          <w:tcPr/>
          <w:p>
            <w:pPr>
              <w:pStyle w:val="Compact"/>
            </w:pPr>
            <w:r>
              <w:t xml:space="preserve">23.1%</w:t>
            </w:r>
          </w:p>
        </w:tc>
        <w:tc>
          <w:tcPr/>
          <w:p>
            <w:pPr>
              <w:pStyle w:val="Compact"/>
            </w:pPr>
            <w:r>
              <w:t xml:space="preserve">15.5%</w:t>
            </w:r>
          </w:p>
        </w:tc>
        <w:tc>
          <w:tcPr/>
          <w:p>
            <w:pPr>
              <w:pStyle w:val="Compact"/>
            </w:pPr>
            <w:r>
              <w:t xml:space="preserve">0.472</w:t>
            </w:r>
          </w:p>
        </w:tc>
        <w:tc>
          <w:tcPr/>
          <w:p>
            <w:pPr>
              <w:pStyle w:val="Compact"/>
            </w:pPr>
            <w:r>
              <w:t xml:space="preserve">0.310</w:t>
            </w:r>
          </w:p>
        </w:tc>
      </w:tr>
      <w:tr>
        <w:tc>
          <w:tcPr/>
          <w:p>
            <w:pPr>
              <w:pStyle w:val="Compact"/>
            </w:pPr>
            <w:r>
              <w:t xml:space="preserve">Multiracial</w:t>
            </w:r>
          </w:p>
        </w:tc>
        <w:tc>
          <w:tcPr/>
          <w:p>
            <w:pPr>
              <w:pStyle w:val="Compact"/>
            </w:pPr>
            <w:r>
              <w:t xml:space="preserve">1,569</w:t>
            </w:r>
          </w:p>
        </w:tc>
        <w:tc>
          <w:tcPr/>
          <w:p>
            <w:pPr>
              <w:pStyle w:val="Compact"/>
            </w:pPr>
            <w:r>
              <w:t xml:space="preserve">48.7%</w:t>
            </w:r>
          </w:p>
        </w:tc>
        <w:tc>
          <w:tcPr/>
          <w:p>
            <w:pPr>
              <w:pStyle w:val="Compact"/>
            </w:pPr>
            <w:r>
              <w:t xml:space="preserve">27.8%</w:t>
            </w:r>
          </w:p>
        </w:tc>
        <w:tc>
          <w:tcPr/>
          <w:p>
            <w:pPr>
              <w:pStyle w:val="Compact"/>
            </w:pPr>
            <w:r>
              <w:t xml:space="preserve">39.7%</w:t>
            </w:r>
          </w:p>
        </w:tc>
        <w:tc>
          <w:tcPr/>
          <w:p>
            <w:pPr>
              <w:pStyle w:val="Compact"/>
            </w:pPr>
            <w:r>
              <w:t xml:space="preserve">16.5%</w:t>
            </w:r>
          </w:p>
        </w:tc>
        <w:tc>
          <w:tcPr/>
          <w:p>
            <w:pPr>
              <w:pStyle w:val="Compact"/>
            </w:pPr>
            <w:r>
              <w:t xml:space="preserve">0.696</w:t>
            </w:r>
          </w:p>
        </w:tc>
        <w:tc>
          <w:tcPr/>
          <w:p>
            <w:pPr>
              <w:pStyle w:val="Compact"/>
            </w:pPr>
            <w:r>
              <w:t xml:space="preserve">0.505</w:t>
            </w:r>
          </w:p>
        </w:tc>
      </w:tr>
      <w:tr>
        <w:tc>
          <w:tcPr/>
          <w:p>
            <w:pPr>
              <w:pStyle w:val="Compact"/>
            </w:pPr>
            <w:r>
              <w:t xml:space="preserve">Other</w:t>
            </w:r>
          </w:p>
        </w:tc>
        <w:tc>
          <w:tcPr/>
          <w:p>
            <w:pPr>
              <w:pStyle w:val="Compact"/>
            </w:pPr>
            <w:r>
              <w:t xml:space="preserve">463</w:t>
            </w:r>
          </w:p>
        </w:tc>
        <w:tc>
          <w:tcPr/>
          <w:p>
            <w:pPr>
              <w:pStyle w:val="Compact"/>
            </w:pPr>
            <w:r>
              <w:t xml:space="preserve">45.8%</w:t>
            </w:r>
          </w:p>
        </w:tc>
        <w:tc>
          <w:tcPr/>
          <w:p>
            <w:pPr>
              <w:pStyle w:val="Compact"/>
            </w:pPr>
            <w:r>
              <w:t xml:space="preserve">21.8%</w:t>
            </w:r>
          </w:p>
        </w:tc>
        <w:tc>
          <w:tcPr/>
          <w:p>
            <w:pPr>
              <w:pStyle w:val="Compact"/>
            </w:pPr>
            <w:r>
              <w:t xml:space="preserve">28.3%</w:t>
            </w:r>
          </w:p>
        </w:tc>
        <w:tc>
          <w:tcPr/>
          <w:p>
            <w:pPr>
              <w:pStyle w:val="Compact"/>
            </w:pPr>
            <w:r>
              <w:t xml:space="preserve">16.3%</w:t>
            </w:r>
          </w:p>
        </w:tc>
        <w:tc>
          <w:tcPr/>
          <w:p>
            <w:pPr>
              <w:pStyle w:val="Compact"/>
            </w:pPr>
            <w:r>
              <w:t xml:space="preserve">0.594</w:t>
            </w:r>
          </w:p>
        </w:tc>
        <w:tc>
          <w:tcPr/>
          <w:p>
            <w:pPr>
              <w:pStyle w:val="Compact"/>
            </w:pPr>
            <w:r>
              <w:t xml:space="preserve">0.383</w:t>
            </w:r>
          </w:p>
        </w:tc>
      </w:tr>
    </w:tbl>
    <w:bookmarkEnd w:id="21"/>
    <w:bookmarkStart w:id="22" w:name="gradient-boosting"/>
    <w:p>
      <w:pPr>
        <w:pStyle w:val="Heading4"/>
      </w:pPr>
      <w:r>
        <w:t xml:space="preserve">Gradient Boosting</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Race</w:t>
            </w:r>
          </w:p>
        </w:tc>
        <w:tc>
          <w:tcPr/>
          <w:p>
            <w:pPr>
              <w:pStyle w:val="Compact"/>
            </w:pPr>
            <w:r>
              <w:t xml:space="preserve">N</w:t>
            </w:r>
          </w:p>
        </w:tc>
        <w:tc>
          <w:tcPr/>
          <w:p>
            <w:pPr>
              <w:pStyle w:val="Compact"/>
            </w:pPr>
            <w:r>
              <w:t xml:space="preserve">Prevalence</w:t>
            </w:r>
          </w:p>
        </w:tc>
        <w:tc>
          <w:tcPr/>
          <w:p>
            <w:pPr>
              <w:pStyle w:val="Compact"/>
            </w:pPr>
            <w:r>
              <w:t xml:space="preserve">Selection Rate</w:t>
            </w:r>
          </w:p>
        </w:tc>
        <w:tc>
          <w:tcPr/>
          <w:p>
            <w:pPr>
              <w:pStyle w:val="Compact"/>
            </w:pPr>
            <w:r>
              <w:t xml:space="preserve">TPR</w:t>
            </w:r>
          </w:p>
        </w:tc>
        <w:tc>
          <w:tcPr/>
          <w:p>
            <w:pPr>
              <w:pStyle w:val="Compact"/>
            </w:pPr>
            <w:r>
              <w:t xml:space="preserve">FPR</w:t>
            </w:r>
          </w:p>
        </w:tc>
        <w:tc>
          <w:tcPr/>
          <w:p>
            <w:pPr>
              <w:pStyle w:val="Compact"/>
            </w:pPr>
            <w:r>
              <w:t xml:space="preserve">Precision</w:t>
            </w:r>
          </w:p>
        </w:tc>
        <w:tc>
          <w:tcPr/>
          <w:p>
            <w:pPr>
              <w:pStyle w:val="Compact"/>
            </w:pPr>
            <w:r>
              <w:t xml:space="preserve">F1</w:t>
            </w:r>
          </w:p>
        </w:tc>
      </w:tr>
      <w:tr>
        <w:tc>
          <w:tcPr/>
          <w:p>
            <w:pPr>
              <w:pStyle w:val="Compact"/>
            </w:pPr>
            <w:r>
              <w:t xml:space="preserve">White</w:t>
            </w:r>
          </w:p>
        </w:tc>
        <w:tc>
          <w:tcPr/>
          <w:p>
            <w:pPr>
              <w:pStyle w:val="Compact"/>
            </w:pPr>
            <w:r>
              <w:t xml:space="preserve">48,173</w:t>
            </w:r>
          </w:p>
        </w:tc>
        <w:tc>
          <w:tcPr/>
          <w:p>
            <w:pPr>
              <w:pStyle w:val="Compact"/>
            </w:pPr>
            <w:r>
              <w:t xml:space="preserve">34.0%</w:t>
            </w:r>
          </w:p>
        </w:tc>
        <w:tc>
          <w:tcPr/>
          <w:p>
            <w:pPr>
              <w:pStyle w:val="Compact"/>
            </w:pPr>
            <w:r>
              <w:t xml:space="preserve">16.5%</w:t>
            </w:r>
          </w:p>
        </w:tc>
        <w:tc>
          <w:tcPr/>
          <w:p>
            <w:pPr>
              <w:pStyle w:val="Compact"/>
            </w:pPr>
            <w:r>
              <w:t xml:space="preserve">28.6%</w:t>
            </w:r>
          </w:p>
        </w:tc>
        <w:tc>
          <w:tcPr/>
          <w:p>
            <w:pPr>
              <w:pStyle w:val="Compact"/>
            </w:pPr>
            <w:r>
              <w:t xml:space="preserve">10.2%</w:t>
            </w:r>
          </w:p>
        </w:tc>
        <w:tc>
          <w:tcPr/>
          <w:p>
            <w:pPr>
              <w:pStyle w:val="Compact"/>
            </w:pPr>
            <w:r>
              <w:t xml:space="preserve">0.595</w:t>
            </w:r>
          </w:p>
        </w:tc>
        <w:tc>
          <w:tcPr/>
          <w:p>
            <w:pPr>
              <w:pStyle w:val="Compact"/>
            </w:pPr>
            <w:r>
              <w:t xml:space="preserve">0.384</w:t>
            </w:r>
          </w:p>
        </w:tc>
      </w:tr>
      <w:tr>
        <w:tc>
          <w:tcPr/>
          <w:p>
            <w:pPr>
              <w:pStyle w:val="Compact"/>
            </w:pPr>
            <w:r>
              <w:t xml:space="preserve">Black</w:t>
            </w:r>
          </w:p>
        </w:tc>
        <w:tc>
          <w:tcPr/>
          <w:p>
            <w:pPr>
              <w:pStyle w:val="Compact"/>
            </w:pPr>
            <w:r>
              <w:t xml:space="preserve">4,901</w:t>
            </w:r>
          </w:p>
        </w:tc>
        <w:tc>
          <w:tcPr/>
          <w:p>
            <w:pPr>
              <w:pStyle w:val="Compact"/>
            </w:pPr>
            <w:r>
              <w:t xml:space="preserve">57.8%</w:t>
            </w:r>
          </w:p>
        </w:tc>
        <w:tc>
          <w:tcPr/>
          <w:p>
            <w:pPr>
              <w:pStyle w:val="Compact"/>
            </w:pPr>
            <w:r>
              <w:t xml:space="preserve">65.8%</w:t>
            </w:r>
          </w:p>
        </w:tc>
        <w:tc>
          <w:tcPr/>
          <w:p>
            <w:pPr>
              <w:pStyle w:val="Compact"/>
            </w:pPr>
            <w:r>
              <w:t xml:space="preserve">78.6%</w:t>
            </w:r>
          </w:p>
        </w:tc>
        <w:tc>
          <w:tcPr/>
          <w:p>
            <w:pPr>
              <w:pStyle w:val="Compact"/>
            </w:pPr>
            <w:r>
              <w:t xml:space="preserve">48.0%</w:t>
            </w:r>
          </w:p>
        </w:tc>
        <w:tc>
          <w:tcPr/>
          <w:p>
            <w:pPr>
              <w:pStyle w:val="Compact"/>
            </w:pPr>
            <w:r>
              <w:t xml:space="preserve">0.691</w:t>
            </w:r>
          </w:p>
        </w:tc>
        <w:tc>
          <w:tcPr/>
          <w:p>
            <w:pPr>
              <w:pStyle w:val="Compact"/>
            </w:pPr>
            <w:r>
              <w:t xml:space="preserve">0.733</w:t>
            </w:r>
          </w:p>
        </w:tc>
      </w:tr>
      <w:tr>
        <w:tc>
          <w:tcPr/>
          <w:p>
            <w:pPr>
              <w:pStyle w:val="Compact"/>
            </w:pPr>
            <w:r>
              <w:t xml:space="preserve">Hispanic</w:t>
            </w:r>
          </w:p>
        </w:tc>
        <w:tc>
          <w:tcPr/>
          <w:p>
            <w:pPr>
              <w:pStyle w:val="Compact"/>
            </w:pPr>
            <w:r>
              <w:t xml:space="preserve">6,733</w:t>
            </w:r>
          </w:p>
        </w:tc>
        <w:tc>
          <w:tcPr/>
          <w:p>
            <w:pPr>
              <w:pStyle w:val="Compact"/>
            </w:pPr>
            <w:r>
              <w:t xml:space="preserve">48.9%</w:t>
            </w:r>
          </w:p>
        </w:tc>
        <w:tc>
          <w:tcPr/>
          <w:p>
            <w:pPr>
              <w:pStyle w:val="Compact"/>
            </w:pPr>
            <w:r>
              <w:t xml:space="preserve">52.1%</w:t>
            </w:r>
          </w:p>
        </w:tc>
        <w:tc>
          <w:tcPr/>
          <w:p>
            <w:pPr>
              <w:pStyle w:val="Compact"/>
            </w:pPr>
            <w:r>
              <w:t xml:space="preserve">63.2%</w:t>
            </w:r>
          </w:p>
        </w:tc>
        <w:tc>
          <w:tcPr/>
          <w:p>
            <w:pPr>
              <w:pStyle w:val="Compact"/>
            </w:pPr>
            <w:r>
              <w:t xml:space="preserve">41.6%</w:t>
            </w:r>
          </w:p>
        </w:tc>
        <w:tc>
          <w:tcPr/>
          <w:p>
            <w:pPr>
              <w:pStyle w:val="Compact"/>
            </w:pPr>
            <w:r>
              <w:t xml:space="preserve">0.593</w:t>
            </w:r>
          </w:p>
        </w:tc>
        <w:tc>
          <w:tcPr/>
          <w:p>
            <w:pPr>
              <w:pStyle w:val="Compact"/>
            </w:pPr>
            <w:r>
              <w:t xml:space="preserve">0.611</w:t>
            </w:r>
          </w:p>
        </w:tc>
      </w:tr>
      <w:tr>
        <w:tc>
          <w:tcPr/>
          <w:p>
            <w:pPr>
              <w:pStyle w:val="Compact"/>
            </w:pPr>
            <w:r>
              <w:t xml:space="preserve">Asian</w:t>
            </w:r>
          </w:p>
        </w:tc>
        <w:tc>
          <w:tcPr/>
          <w:p>
            <w:pPr>
              <w:pStyle w:val="Compact"/>
            </w:pPr>
            <w:r>
              <w:t xml:space="preserve">1,736</w:t>
            </w:r>
          </w:p>
        </w:tc>
        <w:tc>
          <w:tcPr/>
          <w:p>
            <w:pPr>
              <w:pStyle w:val="Compact"/>
            </w:pPr>
            <w:r>
              <w:t xml:space="preserve">27.2%</w:t>
            </w:r>
          </w:p>
        </w:tc>
        <w:tc>
          <w:tcPr/>
          <w:p>
            <w:pPr>
              <w:pStyle w:val="Compact"/>
            </w:pPr>
            <w:r>
              <w:t xml:space="preserve">12.4%</w:t>
            </w:r>
          </w:p>
        </w:tc>
        <w:tc>
          <w:tcPr/>
          <w:p>
            <w:pPr>
              <w:pStyle w:val="Compact"/>
            </w:pPr>
            <w:r>
              <w:t xml:space="preserve">20.8%</w:t>
            </w:r>
          </w:p>
        </w:tc>
        <w:tc>
          <w:tcPr/>
          <w:p>
            <w:pPr>
              <w:pStyle w:val="Compact"/>
            </w:pPr>
            <w:r>
              <w:t xml:space="preserve">9.3%</w:t>
            </w:r>
          </w:p>
        </w:tc>
        <w:tc>
          <w:tcPr/>
          <w:p>
            <w:pPr>
              <w:pStyle w:val="Compact"/>
            </w:pPr>
            <w:r>
              <w:t xml:space="preserve">0.456</w:t>
            </w:r>
          </w:p>
        </w:tc>
        <w:tc>
          <w:tcPr/>
          <w:p>
            <w:pPr>
              <w:pStyle w:val="Compact"/>
            </w:pPr>
            <w:r>
              <w:t xml:space="preserve">0.285</w:t>
            </w:r>
          </w:p>
        </w:tc>
      </w:tr>
      <w:tr>
        <w:tc>
          <w:tcPr/>
          <w:p>
            <w:pPr>
              <w:pStyle w:val="Compact"/>
            </w:pPr>
            <w:r>
              <w:t xml:space="preserve">AIAN</w:t>
            </w:r>
          </w:p>
        </w:tc>
        <w:tc>
          <w:tcPr/>
          <w:p>
            <w:pPr>
              <w:pStyle w:val="Compact"/>
            </w:pPr>
            <w:r>
              <w:t xml:space="preserve">932</w:t>
            </w:r>
          </w:p>
        </w:tc>
        <w:tc>
          <w:tcPr/>
          <w:p>
            <w:pPr>
              <w:pStyle w:val="Compact"/>
            </w:pPr>
            <w:r>
              <w:t xml:space="preserve">51.1%</w:t>
            </w:r>
          </w:p>
        </w:tc>
        <w:tc>
          <w:tcPr/>
          <w:p>
            <w:pPr>
              <w:pStyle w:val="Compact"/>
            </w:pPr>
            <w:r>
              <w:t xml:space="preserve">28.9%</w:t>
            </w:r>
          </w:p>
        </w:tc>
        <w:tc>
          <w:tcPr/>
          <w:p>
            <w:pPr>
              <w:pStyle w:val="Compact"/>
            </w:pPr>
            <w:r>
              <w:t xml:space="preserve">37.9%</w:t>
            </w:r>
          </w:p>
        </w:tc>
        <w:tc>
          <w:tcPr/>
          <w:p>
            <w:pPr>
              <w:pStyle w:val="Compact"/>
            </w:pPr>
            <w:r>
              <w:t xml:space="preserve">19.5%</w:t>
            </w:r>
          </w:p>
        </w:tc>
        <w:tc>
          <w:tcPr/>
          <w:p>
            <w:pPr>
              <w:pStyle w:val="Compact"/>
            </w:pPr>
            <w:r>
              <w:t xml:space="preserve">0.670</w:t>
            </w:r>
          </w:p>
        </w:tc>
        <w:tc>
          <w:tcPr/>
          <w:p>
            <w:pPr>
              <w:pStyle w:val="Compact"/>
            </w:pPr>
            <w:r>
              <w:t xml:space="preserve">0.484</w:t>
            </w:r>
          </w:p>
        </w:tc>
      </w:tr>
      <w:tr>
        <w:tc>
          <w:tcPr/>
          <w:p>
            <w:pPr>
              <w:pStyle w:val="Compact"/>
            </w:pPr>
            <w:r>
              <w:t xml:space="preserve">NHPI</w:t>
            </w:r>
          </w:p>
        </w:tc>
        <w:tc>
          <w:tcPr/>
          <w:p>
            <w:pPr>
              <w:pStyle w:val="Compact"/>
            </w:pPr>
            <w:r>
              <w:t xml:space="preserve">278</w:t>
            </w:r>
          </w:p>
        </w:tc>
        <w:tc>
          <w:tcPr/>
          <w:p>
            <w:pPr>
              <w:pStyle w:val="Compact"/>
            </w:pPr>
            <w:r>
              <w:t xml:space="preserve">37.4%</w:t>
            </w:r>
          </w:p>
        </w:tc>
        <w:tc>
          <w:tcPr/>
          <w:p>
            <w:pPr>
              <w:pStyle w:val="Compact"/>
            </w:pPr>
            <w:r>
              <w:t xml:space="preserve">18.7%</w:t>
            </w:r>
          </w:p>
        </w:tc>
        <w:tc>
          <w:tcPr/>
          <w:p>
            <w:pPr>
              <w:pStyle w:val="Compact"/>
            </w:pPr>
            <w:r>
              <w:t xml:space="preserve">23.6%</w:t>
            </w:r>
          </w:p>
        </w:tc>
        <w:tc>
          <w:tcPr/>
          <w:p>
            <w:pPr>
              <w:pStyle w:val="Compact"/>
            </w:pPr>
            <w:r>
              <w:t xml:space="preserve">15.8%</w:t>
            </w:r>
          </w:p>
        </w:tc>
        <w:tc>
          <w:tcPr/>
          <w:p>
            <w:pPr>
              <w:pStyle w:val="Compact"/>
            </w:pPr>
            <w:r>
              <w:t xml:space="preserve">0.472</w:t>
            </w:r>
          </w:p>
        </w:tc>
        <w:tc>
          <w:tcPr/>
          <w:p>
            <w:pPr>
              <w:pStyle w:val="Compact"/>
            </w:pPr>
            <w:r>
              <w:t xml:space="preserve">0.314</w:t>
            </w:r>
          </w:p>
        </w:tc>
      </w:tr>
      <w:tr>
        <w:tc>
          <w:tcPr/>
          <w:p>
            <w:pPr>
              <w:pStyle w:val="Compact"/>
            </w:pPr>
            <w:r>
              <w:t xml:space="preserve">Multiracial</w:t>
            </w:r>
          </w:p>
        </w:tc>
        <w:tc>
          <w:tcPr/>
          <w:p>
            <w:pPr>
              <w:pStyle w:val="Compact"/>
            </w:pPr>
            <w:r>
              <w:t xml:space="preserve">1,569</w:t>
            </w:r>
          </w:p>
        </w:tc>
        <w:tc>
          <w:tcPr/>
          <w:p>
            <w:pPr>
              <w:pStyle w:val="Compact"/>
            </w:pPr>
            <w:r>
              <w:t xml:space="preserve">48.7%</w:t>
            </w:r>
          </w:p>
        </w:tc>
        <w:tc>
          <w:tcPr/>
          <w:p>
            <w:pPr>
              <w:pStyle w:val="Compact"/>
            </w:pPr>
            <w:r>
              <w:t xml:space="preserve">28.1%</w:t>
            </w:r>
          </w:p>
        </w:tc>
        <w:tc>
          <w:tcPr/>
          <w:p>
            <w:pPr>
              <w:pStyle w:val="Compact"/>
            </w:pPr>
            <w:r>
              <w:t xml:space="preserve">40.1%</w:t>
            </w:r>
          </w:p>
        </w:tc>
        <w:tc>
          <w:tcPr/>
          <w:p>
            <w:pPr>
              <w:pStyle w:val="Compact"/>
            </w:pPr>
            <w:r>
              <w:t xml:space="preserve">16.7%</w:t>
            </w:r>
          </w:p>
        </w:tc>
        <w:tc>
          <w:tcPr/>
          <w:p>
            <w:pPr>
              <w:pStyle w:val="Compact"/>
            </w:pPr>
            <w:r>
              <w:t xml:space="preserve">0.695</w:t>
            </w:r>
          </w:p>
        </w:tc>
        <w:tc>
          <w:tcPr/>
          <w:p>
            <w:pPr>
              <w:pStyle w:val="Compact"/>
            </w:pPr>
            <w:r>
              <w:t xml:space="preserve">0.508</w:t>
            </w:r>
          </w:p>
        </w:tc>
      </w:tr>
      <w:tr>
        <w:tc>
          <w:tcPr/>
          <w:p>
            <w:pPr>
              <w:pStyle w:val="Compact"/>
            </w:pPr>
            <w:r>
              <w:t xml:space="preserve">Other</w:t>
            </w:r>
          </w:p>
        </w:tc>
        <w:tc>
          <w:tcPr/>
          <w:p>
            <w:pPr>
              <w:pStyle w:val="Compact"/>
            </w:pPr>
            <w:r>
              <w:t xml:space="preserve">463</w:t>
            </w:r>
          </w:p>
        </w:tc>
        <w:tc>
          <w:tcPr/>
          <w:p>
            <w:pPr>
              <w:pStyle w:val="Compact"/>
            </w:pPr>
            <w:r>
              <w:t xml:space="preserve">45.8%</w:t>
            </w:r>
          </w:p>
        </w:tc>
        <w:tc>
          <w:tcPr/>
          <w:p>
            <w:pPr>
              <w:pStyle w:val="Compact"/>
            </w:pPr>
            <w:r>
              <w:t xml:space="preserve">22.0%</w:t>
            </w:r>
          </w:p>
        </w:tc>
        <w:tc>
          <w:tcPr/>
          <w:p>
            <w:pPr>
              <w:pStyle w:val="Compact"/>
            </w:pPr>
            <w:r>
              <w:t xml:space="preserve">28.7%</w:t>
            </w:r>
          </w:p>
        </w:tc>
        <w:tc>
          <w:tcPr/>
          <w:p>
            <w:pPr>
              <w:pStyle w:val="Compact"/>
            </w:pPr>
            <w:r>
              <w:t xml:space="preserve">16.5%</w:t>
            </w:r>
          </w:p>
        </w:tc>
        <w:tc>
          <w:tcPr/>
          <w:p>
            <w:pPr>
              <w:pStyle w:val="Compact"/>
            </w:pPr>
            <w:r>
              <w:t xml:space="preserve">0.596</w:t>
            </w:r>
          </w:p>
        </w:tc>
        <w:tc>
          <w:tcPr/>
          <w:p>
            <w:pPr>
              <w:pStyle w:val="Compact"/>
            </w:pPr>
            <w:r>
              <w:t xml:space="preserve">0.387</w:t>
            </w:r>
          </w:p>
        </w:tc>
      </w:tr>
    </w:tbl>
    <w:p>
      <w:pPr>
        <w:pStyle w:val="BodyText"/>
      </w:pPr>
      <w:r>
        <w:rPr>
          <w:i/>
          <w:iCs/>
        </w:rPr>
        <w:t xml:space="preserve">Note: Selection rates closely mirror actual testing prevalence across all classifiers, consistent with models that have learned to predict testing utilization as trained. Groups with higher testing prevalence receive higher selection rates.</w:t>
      </w:r>
    </w:p>
    <w:bookmarkEnd w:id="22"/>
    <w:bookmarkEnd w:id="23"/>
    <w:bookmarkStart w:id="24" w:name="X7cd29098342c59c284f4d6bd3af395319689335"/>
    <w:p>
      <w:pPr>
        <w:pStyle w:val="Heading3"/>
      </w:pPr>
      <w:r>
        <w:t xml:space="preserve">Table S3. Comprehensive Fairness Metrics Summary</w:t>
      </w:r>
    </w:p>
    <w:tbl>
      <w:tblPr>
        <w:tblStyle w:val="Table"/>
        <w:tblW w:type="pct" w:w="5000"/>
        <w:tblLayout w:type="fixed"/>
        <w:tblLook w:firstRow="1" w:lastRow="0" w:firstColumn="0" w:lastColumn="0" w:noHBand="0" w:noVBand="0" w:val="0020"/>
      </w:tblPr>
      <w:tblGrid>
        <w:gridCol w:w="880"/>
        <w:gridCol w:w="628"/>
        <w:gridCol w:w="628"/>
        <w:gridCol w:w="1885"/>
        <w:gridCol w:w="1885"/>
        <w:gridCol w:w="1005"/>
        <w:gridCol w:w="1005"/>
      </w:tblGrid>
      <w:tr>
        <w:trPr>
          <w:tblHeader w:val="on"/>
        </w:trPr>
        <w:tc>
          <w:tcPr/>
          <w:p>
            <w:pPr>
              <w:pStyle w:val="Compact"/>
            </w:pPr>
            <w:r>
              <w:t xml:space="preserve">Model</w:t>
            </w:r>
          </w:p>
        </w:tc>
        <w:tc>
          <w:tcPr/>
          <w:p>
            <w:pPr>
              <w:pStyle w:val="Compact"/>
            </w:pPr>
            <w:r>
              <w:t xml:space="preserve">DPD</w:t>
            </w:r>
          </w:p>
        </w:tc>
        <w:tc>
          <w:tcPr/>
          <w:p>
            <w:pPr>
              <w:pStyle w:val="Compact"/>
            </w:pPr>
            <w:r>
              <w:t xml:space="preserve">EOD</w:t>
            </w:r>
          </w:p>
        </w:tc>
        <w:tc>
          <w:tcPr/>
          <w:p>
            <w:pPr>
              <w:pStyle w:val="Compact"/>
            </w:pPr>
            <w:r>
              <w:t xml:space="preserve">TPR Gap (B-W)</w:t>
            </w:r>
          </w:p>
        </w:tc>
        <w:tc>
          <w:tcPr/>
          <w:p>
            <w:pPr>
              <w:pStyle w:val="Compact"/>
            </w:pPr>
            <w:r>
              <w:t xml:space="preserve">FPR Gap (B-W)</w:t>
            </w:r>
          </w:p>
        </w:tc>
        <w:tc>
          <w:tcPr/>
          <w:p>
            <w:pPr>
              <w:pStyle w:val="Compact"/>
            </w:pPr>
            <w:r>
              <w:t xml:space="preserve">Max SR</w:t>
            </w:r>
          </w:p>
        </w:tc>
        <w:tc>
          <w:tcPr/>
          <w:p>
            <w:pPr>
              <w:pStyle w:val="Compact"/>
            </w:pPr>
            <w:r>
              <w:t xml:space="preserve">Min SR</w:t>
            </w:r>
          </w:p>
        </w:tc>
      </w:tr>
      <w:tr>
        <w:tc>
          <w:tcPr/>
          <w:p>
            <w:pPr>
              <w:pStyle w:val="Compact"/>
            </w:pPr>
            <w:r>
              <w:t xml:space="preserve">LR Baseline</w:t>
            </w:r>
          </w:p>
        </w:tc>
        <w:tc>
          <w:tcPr/>
          <w:p>
            <w:pPr>
              <w:pStyle w:val="Compact"/>
            </w:pPr>
            <w:r>
              <w:t xml:space="preserve">0.634</w:t>
            </w:r>
          </w:p>
        </w:tc>
        <w:tc>
          <w:tcPr/>
          <w:p>
            <w:pPr>
              <w:pStyle w:val="Compact"/>
            </w:pPr>
            <w:r>
              <w:t xml:space="preserve">0.669</w:t>
            </w:r>
          </w:p>
        </w:tc>
        <w:tc>
          <w:tcPr/>
          <w:p>
            <w:pPr>
              <w:pStyle w:val="Compact"/>
            </w:pPr>
            <w:r>
              <w:t xml:space="preserve">+56.0pp</w:t>
            </w:r>
          </w:p>
        </w:tc>
        <w:tc>
          <w:tcPr/>
          <w:p>
            <w:pPr>
              <w:pStyle w:val="Compact"/>
            </w:pPr>
            <w:r>
              <w:t xml:space="preserve">+42.2pp</w:t>
            </w:r>
          </w:p>
        </w:tc>
        <w:tc>
          <w:tcPr/>
          <w:p>
            <w:pPr>
              <w:pStyle w:val="Compact"/>
            </w:pPr>
            <w:r>
              <w:t xml:space="preserve">68.8% (Black)</w:t>
            </w:r>
          </w:p>
        </w:tc>
        <w:tc>
          <w:tcPr/>
          <w:p>
            <w:pPr>
              <w:pStyle w:val="Compact"/>
            </w:pPr>
            <w:r>
              <w:t xml:space="preserve">11.2% (Asian)</w:t>
            </w:r>
          </w:p>
        </w:tc>
      </w:tr>
      <w:tr>
        <w:tc>
          <w:tcPr/>
          <w:p>
            <w:pPr>
              <w:pStyle w:val="Compact"/>
            </w:pPr>
            <w:r>
              <w:t xml:space="preserve">RF Baseline</w:t>
            </w:r>
          </w:p>
        </w:tc>
        <w:tc>
          <w:tcPr/>
          <w:p>
            <w:pPr>
              <w:pStyle w:val="Compact"/>
            </w:pPr>
            <w:r>
              <w:t xml:space="preserve">0.579</w:t>
            </w:r>
          </w:p>
        </w:tc>
        <w:tc>
          <w:tcPr/>
          <w:p>
            <w:pPr>
              <w:pStyle w:val="Compact"/>
            </w:pPr>
            <w:r>
              <w:t xml:space="preserve">0.627</w:t>
            </w:r>
          </w:p>
        </w:tc>
        <w:tc>
          <w:tcPr/>
          <w:p>
            <w:pPr>
              <w:pStyle w:val="Compact"/>
            </w:pPr>
            <w:r>
              <w:t xml:space="preserve">+49.3pp</w:t>
            </w:r>
          </w:p>
        </w:tc>
        <w:tc>
          <w:tcPr/>
          <w:p>
            <w:pPr>
              <w:pStyle w:val="Compact"/>
            </w:pPr>
            <w:r>
              <w:t xml:space="preserve">+37.9pp</w:t>
            </w:r>
          </w:p>
        </w:tc>
        <w:tc>
          <w:tcPr/>
          <w:p>
            <w:pPr>
              <w:pStyle w:val="Compact"/>
            </w:pPr>
            <w:r>
              <w:t xml:space="preserve">66.2% (Black)</w:t>
            </w:r>
          </w:p>
        </w:tc>
        <w:tc>
          <w:tcPr/>
          <w:p>
            <w:pPr>
              <w:pStyle w:val="Compact"/>
            </w:pPr>
            <w:r>
              <w:t xml:space="preserve">12.8% (Asian)</w:t>
            </w:r>
          </w:p>
        </w:tc>
      </w:tr>
      <w:tr>
        <w:tc>
          <w:tcPr/>
          <w:p>
            <w:pPr>
              <w:pStyle w:val="Compact"/>
            </w:pPr>
            <w:r>
              <w:t xml:space="preserve">XGB Baseline</w:t>
            </w:r>
          </w:p>
        </w:tc>
        <w:tc>
          <w:tcPr/>
          <w:p>
            <w:pPr>
              <w:pStyle w:val="Compact"/>
            </w:pPr>
            <w:r>
              <w:t xml:space="preserve">0.539</w:t>
            </w:r>
          </w:p>
        </w:tc>
        <w:tc>
          <w:tcPr/>
          <w:p>
            <w:pPr>
              <w:pStyle w:val="Compact"/>
            </w:pPr>
            <w:r>
              <w:t xml:space="preserve">0.586</w:t>
            </w:r>
          </w:p>
        </w:tc>
        <w:tc>
          <w:tcPr/>
          <w:p>
            <w:pPr>
              <w:pStyle w:val="Compact"/>
            </w:pPr>
            <w:r>
              <w:t xml:space="preserve">+50.8pp</w:t>
            </w:r>
          </w:p>
        </w:tc>
        <w:tc>
          <w:tcPr/>
          <w:p>
            <w:pPr>
              <w:pStyle w:val="Compact"/>
            </w:pPr>
            <w:r>
              <w:t xml:space="preserve">+38.1pp</w:t>
            </w:r>
          </w:p>
        </w:tc>
        <w:tc>
          <w:tcPr/>
          <w:p>
            <w:pPr>
              <w:pStyle w:val="Compact"/>
            </w:pPr>
            <w:r>
              <w:t xml:space="preserve">66.0% (Black)</w:t>
            </w:r>
          </w:p>
        </w:tc>
        <w:tc>
          <w:tcPr/>
          <w:p>
            <w:pPr>
              <w:pStyle w:val="Compact"/>
            </w:pPr>
            <w:r>
              <w:t xml:space="preserve">12.1% (Asian)</w:t>
            </w:r>
          </w:p>
        </w:tc>
      </w:tr>
      <w:tr>
        <w:tc>
          <w:tcPr/>
          <w:p>
            <w:pPr>
              <w:pStyle w:val="Compact"/>
            </w:pPr>
            <w:r>
              <w:t xml:space="preserve">GB Baseline</w:t>
            </w:r>
          </w:p>
        </w:tc>
        <w:tc>
          <w:tcPr/>
          <w:p>
            <w:pPr>
              <w:pStyle w:val="Compact"/>
            </w:pPr>
            <w:r>
              <w:t xml:space="preserve">0.519</w:t>
            </w:r>
          </w:p>
        </w:tc>
        <w:tc>
          <w:tcPr/>
          <w:p>
            <w:pPr>
              <w:pStyle w:val="Compact"/>
            </w:pPr>
            <w:r>
              <w:t xml:space="preserve">0.565</w:t>
            </w:r>
          </w:p>
        </w:tc>
        <w:tc>
          <w:tcPr/>
          <w:p>
            <w:pPr>
              <w:pStyle w:val="Compact"/>
            </w:pPr>
            <w:r>
              <w:t xml:space="preserve">+50.0pp</w:t>
            </w:r>
          </w:p>
        </w:tc>
        <w:tc>
          <w:tcPr/>
          <w:p>
            <w:pPr>
              <w:pStyle w:val="Compact"/>
            </w:pPr>
            <w:r>
              <w:t xml:space="preserve">+37.8pp</w:t>
            </w:r>
          </w:p>
        </w:tc>
        <w:tc>
          <w:tcPr/>
          <w:p>
            <w:pPr>
              <w:pStyle w:val="Compact"/>
            </w:pPr>
            <w:r>
              <w:t xml:space="preserve">65.8% (Black)</w:t>
            </w:r>
          </w:p>
        </w:tc>
        <w:tc>
          <w:tcPr/>
          <w:p>
            <w:pPr>
              <w:pStyle w:val="Compact"/>
            </w:pPr>
            <w:r>
              <w:t xml:space="preserve">12.4% (Asian)</w:t>
            </w:r>
          </w:p>
        </w:tc>
      </w:tr>
      <w:tr>
        <w:tc>
          <w:tcPr/>
          <w:p>
            <w:pPr>
              <w:pStyle w:val="Compact"/>
            </w:pPr>
            <w:r>
              <w:t xml:space="preserve">LR + TO (DP)</w:t>
            </w:r>
          </w:p>
        </w:tc>
        <w:tc>
          <w:tcPr/>
          <w:p>
            <w:pPr>
              <w:pStyle w:val="Compact"/>
            </w:pPr>
            <w:r>
              <w:t xml:space="preserve">0.030</w:t>
            </w:r>
          </w:p>
        </w:tc>
        <w:tc>
          <w:tcPr/>
          <w:p>
            <w:pPr>
              <w:pStyle w:val="Compact"/>
            </w:pPr>
            <w:r>
              <w:t xml:space="preserve">0.061</w:t>
            </w:r>
          </w:p>
        </w:tc>
        <w:tc>
          <w:tcPr/>
          <w:p>
            <w:pPr>
              <w:pStyle w:val="Compact"/>
            </w:pPr>
            <w:r>
              <w:t xml:space="preserve">-8.1pp</w:t>
            </w:r>
          </w:p>
        </w:tc>
        <w:tc>
          <w:tcPr/>
          <w:p>
            <w:pPr>
              <w:pStyle w:val="Compact"/>
            </w:pPr>
            <w:r>
              <w:t xml:space="preserve">+4.8pp</w:t>
            </w:r>
          </w:p>
        </w:tc>
        <w:tc>
          <w:tcPr/>
          <w:p>
            <w:pPr>
              <w:pStyle w:val="Compact"/>
            </w:pPr>
            <w:r>
              <w:t xml:space="preserve">23.9%</w:t>
            </w:r>
          </w:p>
        </w:tc>
        <w:tc>
          <w:tcPr/>
          <w:p>
            <w:pPr>
              <w:pStyle w:val="Compact"/>
            </w:pPr>
            <w:r>
              <w:t xml:space="preserve">21.0%</w:t>
            </w:r>
          </w:p>
        </w:tc>
      </w:tr>
      <w:tr>
        <w:tc>
          <w:tcPr/>
          <w:p>
            <w:pPr>
              <w:pStyle w:val="Compact"/>
            </w:pPr>
            <w:r>
              <w:t xml:space="preserve">XGB + TO (DP)</w:t>
            </w:r>
          </w:p>
        </w:tc>
        <w:tc>
          <w:tcPr/>
          <w:p>
            <w:pPr>
              <w:pStyle w:val="Compact"/>
            </w:pPr>
            <w:r>
              <w:t xml:space="preserve">0.072</w:t>
            </w:r>
          </w:p>
        </w:tc>
        <w:tc>
          <w:tcPr/>
          <w:p>
            <w:pPr>
              <w:pStyle w:val="Compact"/>
            </w:pPr>
            <w:r>
              <w:t xml:space="preserve">0.140</w:t>
            </w:r>
          </w:p>
        </w:tc>
        <w:tc>
          <w:tcPr/>
          <w:p>
            <w:pPr>
              <w:pStyle w:val="Compact"/>
            </w:pPr>
            <w:r>
              <w:t xml:space="preserve">-8.1pp</w:t>
            </w:r>
          </w:p>
        </w:tc>
        <w:tc>
          <w:tcPr/>
          <w:p>
            <w:pPr>
              <w:pStyle w:val="Compact"/>
            </w:pPr>
            <w:r>
              <w:t xml:space="preserve">+4.8pp</w:t>
            </w:r>
          </w:p>
        </w:tc>
        <w:tc>
          <w:tcPr/>
          <w:p>
            <w:pPr>
              <w:pStyle w:val="Compact"/>
            </w:pPr>
            <w:r>
              <w:t xml:space="preserve">25.3%</w:t>
            </w:r>
          </w:p>
        </w:tc>
        <w:tc>
          <w:tcPr/>
          <w:p>
            <w:pPr>
              <w:pStyle w:val="Compact"/>
            </w:pPr>
            <w:r>
              <w:t xml:space="preserve">18.0%</w:t>
            </w:r>
          </w:p>
        </w:tc>
      </w:tr>
      <w:tr>
        <w:tc>
          <w:tcPr/>
          <w:p>
            <w:pPr>
              <w:pStyle w:val="Compact"/>
            </w:pPr>
            <w:r>
              <w:t xml:space="preserve">ExpGrad (DP)</w:t>
            </w:r>
          </w:p>
        </w:tc>
        <w:tc>
          <w:tcPr/>
          <w:p>
            <w:pPr>
              <w:pStyle w:val="Compact"/>
            </w:pPr>
            <w:r>
              <w:t xml:space="preserve">0.045</w:t>
            </w:r>
          </w:p>
        </w:tc>
        <w:tc>
          <w:tcPr/>
          <w:p>
            <w:pPr>
              <w:pStyle w:val="Compact"/>
            </w:pPr>
            <w:r>
              <w:t xml:space="preserve">0.093</w:t>
            </w:r>
          </w:p>
        </w:tc>
        <w:tc>
          <w:tcPr/>
          <w:p>
            <w:pPr>
              <w:pStyle w:val="Compact"/>
            </w:pPr>
            <w:r>
              <w:t xml:space="preserve">-5.2pp</w:t>
            </w:r>
          </w:p>
        </w:tc>
        <w:tc>
          <w:tcPr/>
          <w:p>
            <w:pPr>
              <w:pStyle w:val="Compact"/>
            </w:pPr>
            <w:r>
              <w:t xml:space="preserve">+3.1pp</w:t>
            </w:r>
          </w:p>
        </w:tc>
        <w:tc>
          <w:tcPr/>
          <w:p>
            <w:pPr>
              <w:pStyle w:val="Compact"/>
            </w:pPr>
            <w:r>
              <w:t xml:space="preserve">24.1%</w:t>
            </w:r>
          </w:p>
        </w:tc>
        <w:tc>
          <w:tcPr/>
          <w:p>
            <w:pPr>
              <w:pStyle w:val="Compact"/>
            </w:pPr>
            <w:r>
              <w:t xml:space="preserve">19.4%</w:t>
            </w:r>
          </w:p>
        </w:tc>
      </w:tr>
      <w:tr>
        <w:tc>
          <w:tcPr/>
          <w:p>
            <w:pPr>
              <w:pStyle w:val="Compact"/>
            </w:pPr>
            <w:r>
              <w:t xml:space="preserve">ExpGrad (EO)</w:t>
            </w:r>
          </w:p>
        </w:tc>
        <w:tc>
          <w:tcPr/>
          <w:p>
            <w:pPr>
              <w:pStyle w:val="Compact"/>
            </w:pPr>
            <w:r>
              <w:t xml:space="preserve">0.037</w:t>
            </w:r>
          </w:p>
        </w:tc>
        <w:tc>
          <w:tcPr/>
          <w:p>
            <w:pPr>
              <w:pStyle w:val="Compact"/>
            </w:pPr>
            <w:r>
              <w:t xml:space="preserve">0.049</w:t>
            </w:r>
          </w:p>
        </w:tc>
        <w:tc>
          <w:tcPr/>
          <w:p>
            <w:pPr>
              <w:pStyle w:val="Compact"/>
            </w:pPr>
            <w:r>
              <w:t xml:space="preserve">-3.8pp</w:t>
            </w:r>
          </w:p>
        </w:tc>
        <w:tc>
          <w:tcPr/>
          <w:p>
            <w:pPr>
              <w:pStyle w:val="Compact"/>
            </w:pPr>
            <w:r>
              <w:t xml:space="preserve">+1.9pp</w:t>
            </w:r>
          </w:p>
        </w:tc>
        <w:tc>
          <w:tcPr/>
          <w:p>
            <w:pPr>
              <w:pStyle w:val="Compact"/>
            </w:pPr>
            <w:r>
              <w:t xml:space="preserve">23.5%</w:t>
            </w:r>
          </w:p>
        </w:tc>
        <w:tc>
          <w:tcPr/>
          <w:p>
            <w:pPr>
              <w:pStyle w:val="Compact"/>
            </w:pPr>
            <w:r>
              <w:t xml:space="preserve">20.1%</w:t>
            </w:r>
          </w:p>
        </w:tc>
      </w:tr>
    </w:tbl>
    <w:p>
      <w:pPr>
        <w:pStyle w:val="BodyText"/>
      </w:pPr>
      <w:r>
        <w:rPr>
          <w:i/>
          <w:iCs/>
        </w:rPr>
        <w:t xml:space="preserve">DPD and EOD both far exceed the conventional 0.1 threshold in all baseline models, reflecting differential testing utilization across racial groups. After DP mitigation, selection rates converge but at the cost of reduced sensitivity for high-burden groups (see main text Table 6). EOD mitigation achieves better accuracy parity without forcing equal selection rates.</w:t>
      </w:r>
    </w:p>
    <w:bookmarkEnd w:id="24"/>
    <w:bookmarkStart w:id="25" w:name="X88022038ded2914f43e321b49c4be616c009e8c"/>
    <w:p>
      <w:pPr>
        <w:pStyle w:val="Heading3"/>
      </w:pPr>
      <w:r>
        <w:t xml:space="preserve">Table S4. Intersectional Analysis (Race x Sex) — Baseline vs. DP-Mitigated</w:t>
      </w:r>
    </w:p>
    <w:p>
      <w:pPr>
        <w:pStyle w:val="FirstParagraph"/>
      </w:pPr>
      <w:r>
        <w:rPr>
          <w:i/>
          <w:iCs/>
        </w:rPr>
        <w:t xml:space="preserve">This table shows the consequences of race-only demographic parity optimization at the intersectional level. Black Males — the subgroup with the highest HIV incidence nationally — experience the largest reduction in selection rate.</w:t>
      </w:r>
    </w:p>
    <w:tbl>
      <w:tblPr>
        <w:tblStyle w:val="Table"/>
        <w:tblW w:type="pct" w:w="5000"/>
        <w:tblLayout w:type="fixed"/>
        <w:tblLook w:firstRow="1" w:lastRow="0" w:firstColumn="0" w:lastColumn="0" w:noHBand="0" w:noVBand="0" w:val="0020"/>
      </w:tblPr>
      <w:tblGrid>
        <w:gridCol w:w="652"/>
        <w:gridCol w:w="279"/>
        <w:gridCol w:w="1118"/>
        <w:gridCol w:w="1211"/>
        <w:gridCol w:w="1584"/>
        <w:gridCol w:w="1024"/>
        <w:gridCol w:w="1304"/>
        <w:gridCol w:w="745"/>
      </w:tblGrid>
      <w:tr>
        <w:trPr>
          <w:tblHeader w:val="on"/>
        </w:trPr>
        <w:tc>
          <w:tcPr/>
          <w:p>
            <w:pPr>
              <w:pStyle w:val="Compact"/>
            </w:pPr>
            <w:r>
              <w:t xml:space="preserve">Group</w:t>
            </w:r>
          </w:p>
        </w:tc>
        <w:tc>
          <w:tcPr/>
          <w:p>
            <w:pPr>
              <w:pStyle w:val="Compact"/>
            </w:pPr>
            <w:r>
              <w:t xml:space="preserve">N</w:t>
            </w:r>
          </w:p>
        </w:tc>
        <w:tc>
          <w:tcPr/>
          <w:p>
            <w:pPr>
              <w:pStyle w:val="Compact"/>
            </w:pPr>
            <w:r>
              <w:t xml:space="preserve">Prevalence</w:t>
            </w:r>
          </w:p>
        </w:tc>
        <w:tc>
          <w:tcPr/>
          <w:p>
            <w:pPr>
              <w:pStyle w:val="Compact"/>
            </w:pPr>
            <w:r>
              <w:t xml:space="preserve">Baseline SR</w:t>
            </w:r>
          </w:p>
        </w:tc>
        <w:tc>
          <w:tcPr/>
          <w:p>
            <w:pPr>
              <w:pStyle w:val="Compact"/>
            </w:pPr>
            <w:r>
              <w:t xml:space="preserve">DP-Mitigated SR</w:t>
            </w:r>
          </w:p>
        </w:tc>
        <w:tc>
          <w:tcPr/>
          <w:p>
            <w:pPr>
              <w:pStyle w:val="Compact"/>
            </w:pPr>
            <w:r>
              <w:t xml:space="preserve">SR Change</w:t>
            </w:r>
          </w:p>
        </w:tc>
        <w:tc>
          <w:tcPr/>
          <w:p>
            <w:pPr>
              <w:pStyle w:val="Compact"/>
            </w:pPr>
            <w:r>
              <w:t xml:space="preserve">Baseline TPR</w:t>
            </w:r>
          </w:p>
        </w:tc>
        <w:tc>
          <w:tcPr/>
          <w:p>
            <w:pPr>
              <w:pStyle w:val="Compact"/>
            </w:pPr>
            <w:r>
              <w:t xml:space="preserve">DP TPR</w:t>
            </w:r>
          </w:p>
        </w:tc>
      </w:tr>
      <w:tr>
        <w:tc>
          <w:tcPr/>
          <w:p>
            <w:pPr>
              <w:pStyle w:val="Compact"/>
            </w:pPr>
            <w:r>
              <w:t xml:space="preserve">Black Male</w:t>
            </w:r>
          </w:p>
        </w:tc>
        <w:tc>
          <w:tcPr/>
          <w:p>
            <w:pPr>
              <w:pStyle w:val="Compact"/>
            </w:pPr>
            <w:r>
              <w:t xml:space="preserve">2,052</w:t>
            </w:r>
          </w:p>
        </w:tc>
        <w:tc>
          <w:tcPr/>
          <w:p>
            <w:pPr>
              <w:pStyle w:val="Compact"/>
            </w:pPr>
            <w:r>
              <w:t xml:space="preserve">57.5%</w:t>
            </w:r>
          </w:p>
        </w:tc>
        <w:tc>
          <w:tcPr/>
          <w:p>
            <w:pPr>
              <w:pStyle w:val="Compact"/>
            </w:pPr>
            <w:r>
              <w:t xml:space="preserve">69.9%</w:t>
            </w:r>
          </w:p>
        </w:tc>
        <w:tc>
          <w:tcPr/>
          <w:p>
            <w:pPr>
              <w:pStyle w:val="Compact"/>
            </w:pPr>
            <w:r>
              <w:t xml:space="preserve">9.0%</w:t>
            </w:r>
          </w:p>
        </w:tc>
        <w:tc>
          <w:tcPr/>
          <w:p>
            <w:pPr>
              <w:pStyle w:val="Compact"/>
            </w:pPr>
            <w:r>
              <w:rPr>
                <w:b/>
                <w:bCs/>
              </w:rPr>
              <w:t xml:space="preserve">-60.9pp</w:t>
            </w:r>
          </w:p>
        </w:tc>
        <w:tc>
          <w:tcPr/>
          <w:p>
            <w:pPr>
              <w:pStyle w:val="Compact"/>
            </w:pPr>
            <w:r>
              <w:t xml:space="preserve">82.1%</w:t>
            </w:r>
          </w:p>
        </w:tc>
        <w:tc>
          <w:tcPr/>
          <w:p>
            <w:pPr>
              <w:pStyle w:val="Compact"/>
            </w:pPr>
            <w:r>
              <w:t xml:space="preserve">15.2%</w:t>
            </w:r>
          </w:p>
        </w:tc>
      </w:tr>
      <w:tr>
        <w:tc>
          <w:tcPr/>
          <w:p>
            <w:pPr>
              <w:pStyle w:val="Compact"/>
            </w:pPr>
            <w:r>
              <w:t xml:space="preserve">Black Female</w:t>
            </w:r>
          </w:p>
        </w:tc>
        <w:tc>
          <w:tcPr/>
          <w:p>
            <w:pPr>
              <w:pStyle w:val="Compact"/>
            </w:pPr>
            <w:r>
              <w:t xml:space="preserve">2,849</w:t>
            </w:r>
          </w:p>
        </w:tc>
        <w:tc>
          <w:tcPr/>
          <w:p>
            <w:pPr>
              <w:pStyle w:val="Compact"/>
            </w:pPr>
            <w:r>
              <w:t xml:space="preserve">58.1%</w:t>
            </w:r>
          </w:p>
        </w:tc>
        <w:tc>
          <w:tcPr/>
          <w:p>
            <w:pPr>
              <w:pStyle w:val="Compact"/>
            </w:pPr>
            <w:r>
              <w:t xml:space="preserve">63.1%</w:t>
            </w:r>
          </w:p>
        </w:tc>
        <w:tc>
          <w:tcPr/>
          <w:p>
            <w:pPr>
              <w:pStyle w:val="Compact"/>
            </w:pPr>
            <w:r>
              <w:t xml:space="preserve">29.8%</w:t>
            </w:r>
          </w:p>
        </w:tc>
        <w:tc>
          <w:tcPr/>
          <w:p>
            <w:pPr>
              <w:pStyle w:val="Compact"/>
            </w:pPr>
            <w:r>
              <w:t xml:space="preserve">-33.3pp</w:t>
            </w:r>
          </w:p>
        </w:tc>
        <w:tc>
          <w:tcPr/>
          <w:p>
            <w:pPr>
              <w:pStyle w:val="Compact"/>
            </w:pPr>
            <w:r>
              <w:t xml:space="preserve">76.4%</w:t>
            </w:r>
          </w:p>
        </w:tc>
        <w:tc>
          <w:tcPr/>
          <w:p>
            <w:pPr>
              <w:pStyle w:val="Compact"/>
            </w:pPr>
            <w:r>
              <w:t xml:space="preserve">42.1%</w:t>
            </w:r>
          </w:p>
        </w:tc>
      </w:tr>
      <w:tr>
        <w:tc>
          <w:tcPr/>
          <w:p>
            <w:pPr>
              <w:pStyle w:val="Compact"/>
            </w:pPr>
            <w:r>
              <w:t xml:space="preserve">Hispanic Male</w:t>
            </w:r>
          </w:p>
        </w:tc>
        <w:tc>
          <w:tcPr/>
          <w:p>
            <w:pPr>
              <w:pStyle w:val="Compact"/>
            </w:pPr>
            <w:r>
              <w:t xml:space="preserve">3,357</w:t>
            </w:r>
          </w:p>
        </w:tc>
        <w:tc>
          <w:tcPr/>
          <w:p>
            <w:pPr>
              <w:pStyle w:val="Compact"/>
            </w:pPr>
            <w:r>
              <w:t xml:space="preserve">45.0%</w:t>
            </w:r>
          </w:p>
        </w:tc>
        <w:tc>
          <w:tcPr/>
          <w:p>
            <w:pPr>
              <w:pStyle w:val="Compact"/>
            </w:pPr>
            <w:r>
              <w:t xml:space="preserve">38.5%</w:t>
            </w:r>
          </w:p>
        </w:tc>
        <w:tc>
          <w:tcPr/>
          <w:p>
            <w:pPr>
              <w:pStyle w:val="Compact"/>
            </w:pPr>
            <w:r>
              <w:t xml:space="preserve">8.3%</w:t>
            </w:r>
          </w:p>
        </w:tc>
        <w:tc>
          <w:tcPr/>
          <w:p>
            <w:pPr>
              <w:pStyle w:val="Compact"/>
            </w:pPr>
            <w:r>
              <w:t xml:space="preserve">-30.3pp</w:t>
            </w:r>
          </w:p>
        </w:tc>
        <w:tc>
          <w:tcPr/>
          <w:p>
            <w:pPr>
              <w:pStyle w:val="Compact"/>
            </w:pPr>
            <w:r>
              <w:t xml:space="preserve">51.2%</w:t>
            </w:r>
          </w:p>
        </w:tc>
        <w:tc>
          <w:tcPr/>
          <w:p>
            <w:pPr>
              <w:pStyle w:val="Compact"/>
            </w:pPr>
            <w:r>
              <w:t xml:space="preserve">14.8%</w:t>
            </w:r>
          </w:p>
        </w:tc>
      </w:tr>
      <w:tr>
        <w:tc>
          <w:tcPr/>
          <w:p>
            <w:pPr>
              <w:pStyle w:val="Compact"/>
            </w:pPr>
            <w:r>
              <w:t xml:space="preserve">Hispanic Female</w:t>
            </w:r>
          </w:p>
        </w:tc>
        <w:tc>
          <w:tcPr/>
          <w:p>
            <w:pPr>
              <w:pStyle w:val="Compact"/>
            </w:pPr>
            <w:r>
              <w:t xml:space="preserve">3,376</w:t>
            </w:r>
          </w:p>
        </w:tc>
        <w:tc>
          <w:tcPr/>
          <w:p>
            <w:pPr>
              <w:pStyle w:val="Compact"/>
            </w:pPr>
            <w:r>
              <w:t xml:space="preserve">52.8%</w:t>
            </w:r>
          </w:p>
        </w:tc>
        <w:tc>
          <w:tcPr/>
          <w:p>
            <w:pPr>
              <w:pStyle w:val="Compact"/>
            </w:pPr>
            <w:r>
              <w:t xml:space="preserve">66.8%</w:t>
            </w:r>
          </w:p>
        </w:tc>
        <w:tc>
          <w:tcPr/>
          <w:p>
            <w:pPr>
              <w:pStyle w:val="Compact"/>
            </w:pPr>
            <w:r>
              <w:t xml:space="preserve">36.8%</w:t>
            </w:r>
          </w:p>
        </w:tc>
        <w:tc>
          <w:tcPr/>
          <w:p>
            <w:pPr>
              <w:pStyle w:val="Compact"/>
            </w:pPr>
            <w:r>
              <w:t xml:space="preserve">-30.0pp</w:t>
            </w:r>
          </w:p>
        </w:tc>
        <w:tc>
          <w:tcPr/>
          <w:p>
            <w:pPr>
              <w:pStyle w:val="Compact"/>
            </w:pPr>
            <w:r>
              <w:t xml:space="preserve">76.1%</w:t>
            </w:r>
          </w:p>
        </w:tc>
        <w:tc>
          <w:tcPr/>
          <w:p>
            <w:pPr>
              <w:pStyle w:val="Compact"/>
            </w:pPr>
            <w:r>
              <w:t xml:space="preserve">47.3%</w:t>
            </w:r>
          </w:p>
        </w:tc>
      </w:tr>
      <w:tr>
        <w:tc>
          <w:tcPr/>
          <w:p>
            <w:pPr>
              <w:pStyle w:val="Compact"/>
            </w:pPr>
            <w:r>
              <w:t xml:space="preserve">White Male</w:t>
            </w:r>
          </w:p>
        </w:tc>
        <w:tc>
          <w:tcPr/>
          <w:p>
            <w:pPr>
              <w:pStyle w:val="Compact"/>
            </w:pPr>
            <w:r>
              <w:t xml:space="preserve">23,721</w:t>
            </w:r>
          </w:p>
        </w:tc>
        <w:tc>
          <w:tcPr/>
          <w:p>
            <w:pPr>
              <w:pStyle w:val="Compact"/>
            </w:pPr>
            <w:r>
              <w:t xml:space="preserve">33.5%</w:t>
            </w:r>
          </w:p>
        </w:tc>
        <w:tc>
          <w:tcPr/>
          <w:p>
            <w:pPr>
              <w:pStyle w:val="Compact"/>
            </w:pPr>
            <w:r>
              <w:t xml:space="preserve">11.6%</w:t>
            </w:r>
          </w:p>
        </w:tc>
        <w:tc>
          <w:tcPr/>
          <w:p>
            <w:pPr>
              <w:pStyle w:val="Compact"/>
            </w:pPr>
            <w:r>
              <w:t xml:space="preserve">14.2%</w:t>
            </w:r>
          </w:p>
        </w:tc>
        <w:tc>
          <w:tcPr/>
          <w:p>
            <w:pPr>
              <w:pStyle w:val="Compact"/>
            </w:pPr>
            <w:r>
              <w:t xml:space="preserve">+2.6pp</w:t>
            </w:r>
          </w:p>
        </w:tc>
        <w:tc>
          <w:tcPr/>
          <w:p>
            <w:pPr>
              <w:pStyle w:val="Compact"/>
            </w:pPr>
            <w:r>
              <w:t xml:space="preserve">21.4%</w:t>
            </w:r>
          </w:p>
        </w:tc>
        <w:tc>
          <w:tcPr/>
          <w:p>
            <w:pPr>
              <w:pStyle w:val="Compact"/>
            </w:pPr>
            <w:r>
              <w:t xml:space="preserve">25.8%</w:t>
            </w:r>
          </w:p>
        </w:tc>
      </w:tr>
      <w:tr>
        <w:tc>
          <w:tcPr/>
          <w:p>
            <w:pPr>
              <w:pStyle w:val="Compact"/>
            </w:pPr>
            <w:r>
              <w:t xml:space="preserve">White Female</w:t>
            </w:r>
          </w:p>
        </w:tc>
        <w:tc>
          <w:tcPr/>
          <w:p>
            <w:pPr>
              <w:pStyle w:val="Compact"/>
            </w:pPr>
            <w:r>
              <w:t xml:space="preserve">24,452</w:t>
            </w:r>
          </w:p>
        </w:tc>
        <w:tc>
          <w:tcPr/>
          <w:p>
            <w:pPr>
              <w:pStyle w:val="Compact"/>
            </w:pPr>
            <w:r>
              <w:t xml:space="preserve">34.5%</w:t>
            </w:r>
          </w:p>
        </w:tc>
        <w:tc>
          <w:tcPr/>
          <w:p>
            <w:pPr>
              <w:pStyle w:val="Compact"/>
            </w:pPr>
            <w:r>
              <w:t xml:space="preserve">20.8%</w:t>
            </w:r>
          </w:p>
        </w:tc>
        <w:tc>
          <w:tcPr/>
          <w:p>
            <w:pPr>
              <w:pStyle w:val="Compact"/>
            </w:pPr>
            <w:r>
              <w:t xml:space="preserve">30.6%</w:t>
            </w:r>
          </w:p>
        </w:tc>
        <w:tc>
          <w:tcPr/>
          <w:p>
            <w:pPr>
              <w:pStyle w:val="Compact"/>
            </w:pPr>
            <w:r>
              <w:t xml:space="preserve">+9.8pp</w:t>
            </w:r>
          </w:p>
        </w:tc>
        <w:tc>
          <w:tcPr/>
          <w:p>
            <w:pPr>
              <w:pStyle w:val="Compact"/>
            </w:pPr>
            <w:r>
              <w:t xml:space="preserve">34.7%</w:t>
            </w:r>
          </w:p>
        </w:tc>
        <w:tc>
          <w:tcPr/>
          <w:p>
            <w:pPr>
              <w:pStyle w:val="Compact"/>
            </w:pPr>
            <w:r>
              <w:t xml:space="preserve">48.2%</w:t>
            </w:r>
          </w:p>
        </w:tc>
      </w:tr>
      <w:tr>
        <w:tc>
          <w:tcPr/>
          <w:p>
            <w:pPr>
              <w:pStyle w:val="Compact"/>
            </w:pPr>
            <w:r>
              <w:t xml:space="preserve">Asian Male</w:t>
            </w:r>
          </w:p>
        </w:tc>
        <w:tc>
          <w:tcPr/>
          <w:p>
            <w:pPr>
              <w:pStyle w:val="Compact"/>
            </w:pPr>
            <w:r>
              <w:t xml:space="preserve">986</w:t>
            </w:r>
          </w:p>
        </w:tc>
        <w:tc>
          <w:tcPr/>
          <w:p>
            <w:pPr>
              <w:pStyle w:val="Compact"/>
            </w:pPr>
            <w:r>
              <w:t xml:space="preserve">27.9%</w:t>
            </w:r>
          </w:p>
        </w:tc>
        <w:tc>
          <w:tcPr/>
          <w:p>
            <w:pPr>
              <w:pStyle w:val="Compact"/>
            </w:pPr>
            <w:r>
              <w:t xml:space="preserve">6.9%</w:t>
            </w:r>
          </w:p>
        </w:tc>
        <w:tc>
          <w:tcPr/>
          <w:p>
            <w:pPr>
              <w:pStyle w:val="Compact"/>
            </w:pPr>
            <w:r>
              <w:t xml:space="preserve">12.4%</w:t>
            </w:r>
          </w:p>
        </w:tc>
        <w:tc>
          <w:tcPr/>
          <w:p>
            <w:pPr>
              <w:pStyle w:val="Compact"/>
            </w:pPr>
            <w:r>
              <w:t xml:space="preserve">+5.5pp</w:t>
            </w:r>
          </w:p>
        </w:tc>
        <w:tc>
          <w:tcPr/>
          <w:p>
            <w:pPr>
              <w:pStyle w:val="Compact"/>
            </w:pPr>
            <w:r>
              <w:t xml:space="preserve">12.3%</w:t>
            </w:r>
          </w:p>
        </w:tc>
        <w:tc>
          <w:tcPr/>
          <w:p>
            <w:pPr>
              <w:pStyle w:val="Compact"/>
            </w:pPr>
            <w:r>
              <w:t xml:space="preserve">21.5%</w:t>
            </w:r>
          </w:p>
        </w:tc>
      </w:tr>
      <w:tr>
        <w:tc>
          <w:tcPr/>
          <w:p>
            <w:pPr>
              <w:pStyle w:val="Compact"/>
            </w:pPr>
            <w:r>
              <w:t xml:space="preserve">Asian Female</w:t>
            </w:r>
          </w:p>
        </w:tc>
        <w:tc>
          <w:tcPr/>
          <w:p>
            <w:pPr>
              <w:pStyle w:val="Compact"/>
            </w:pPr>
            <w:r>
              <w:t xml:space="preserve">750</w:t>
            </w:r>
          </w:p>
        </w:tc>
        <w:tc>
          <w:tcPr/>
          <w:p>
            <w:pPr>
              <w:pStyle w:val="Compact"/>
            </w:pPr>
            <w:r>
              <w:t xml:space="preserve">26.3%</w:t>
            </w:r>
          </w:p>
        </w:tc>
        <w:tc>
          <w:tcPr/>
          <w:p>
            <w:pPr>
              <w:pStyle w:val="Compact"/>
            </w:pPr>
            <w:r>
              <w:t xml:space="preserve">18.9%</w:t>
            </w:r>
          </w:p>
        </w:tc>
        <w:tc>
          <w:tcPr/>
          <w:p>
            <w:pPr>
              <w:pStyle w:val="Compact"/>
            </w:pPr>
            <w:r>
              <w:t xml:space="preserve">36.3%</w:t>
            </w:r>
          </w:p>
        </w:tc>
        <w:tc>
          <w:tcPr/>
          <w:p>
            <w:pPr>
              <w:pStyle w:val="Compact"/>
            </w:pPr>
            <w:r>
              <w:t xml:space="preserve">+17.3pp</w:t>
            </w:r>
          </w:p>
        </w:tc>
        <w:tc>
          <w:tcPr/>
          <w:p>
            <w:pPr>
              <w:pStyle w:val="Compact"/>
            </w:pPr>
            <w:r>
              <w:t xml:space="preserve">30.1%</w:t>
            </w:r>
          </w:p>
        </w:tc>
        <w:tc>
          <w:tcPr/>
          <w:p>
            <w:pPr>
              <w:pStyle w:val="Compact"/>
            </w:pPr>
            <w:r>
              <w:t xml:space="preserve">51.2%</w:t>
            </w:r>
          </w:p>
        </w:tc>
      </w:tr>
      <w:tr>
        <w:tc>
          <w:tcPr/>
          <w:p>
            <w:pPr>
              <w:pStyle w:val="Compact"/>
            </w:pPr>
            <w:r>
              <w:t xml:space="preserve">AIAN Male</w:t>
            </w:r>
          </w:p>
        </w:tc>
        <w:tc>
          <w:tcPr/>
          <w:p>
            <w:pPr>
              <w:pStyle w:val="Compact"/>
            </w:pPr>
            <w:r>
              <w:t xml:space="preserve">482</w:t>
            </w:r>
          </w:p>
        </w:tc>
        <w:tc>
          <w:tcPr/>
          <w:p>
            <w:pPr>
              <w:pStyle w:val="Compact"/>
            </w:pPr>
            <w:r>
              <w:t xml:space="preserve">48.5%</w:t>
            </w:r>
          </w:p>
        </w:tc>
        <w:tc>
          <w:tcPr/>
          <w:p>
            <w:pPr>
              <w:pStyle w:val="Compact"/>
            </w:pPr>
            <w:r>
              <w:t xml:space="preserve">20.5%</w:t>
            </w:r>
          </w:p>
        </w:tc>
        <w:tc>
          <w:tcPr/>
          <w:p>
            <w:pPr>
              <w:pStyle w:val="Compact"/>
            </w:pPr>
            <w:r>
              <w:t xml:space="preserve">8.5%</w:t>
            </w:r>
          </w:p>
        </w:tc>
        <w:tc>
          <w:tcPr/>
          <w:p>
            <w:pPr>
              <w:pStyle w:val="Compact"/>
            </w:pPr>
            <w:r>
              <w:t xml:space="preserve">-12.0pp</w:t>
            </w:r>
          </w:p>
        </w:tc>
        <w:tc>
          <w:tcPr/>
          <w:p>
            <w:pPr>
              <w:pStyle w:val="Compact"/>
            </w:pPr>
            <w:r>
              <w:t xml:space="preserve">28.9%</w:t>
            </w:r>
          </w:p>
        </w:tc>
        <w:tc>
          <w:tcPr/>
          <w:p>
            <w:pPr>
              <w:pStyle w:val="Compact"/>
            </w:pPr>
            <w:r>
              <w:t xml:space="preserve">15.2%</w:t>
            </w:r>
          </w:p>
        </w:tc>
      </w:tr>
      <w:tr>
        <w:tc>
          <w:tcPr/>
          <w:p>
            <w:pPr>
              <w:pStyle w:val="Compact"/>
            </w:pPr>
            <w:r>
              <w:t xml:space="preserve">AIAN Female</w:t>
            </w:r>
          </w:p>
        </w:tc>
        <w:tc>
          <w:tcPr/>
          <w:p>
            <w:pPr>
              <w:pStyle w:val="Compact"/>
            </w:pPr>
            <w:r>
              <w:t xml:space="preserve">450</w:t>
            </w:r>
          </w:p>
        </w:tc>
        <w:tc>
          <w:tcPr/>
          <w:p>
            <w:pPr>
              <w:pStyle w:val="Compact"/>
            </w:pPr>
            <w:r>
              <w:t xml:space="preserve">53.8%</w:t>
            </w:r>
          </w:p>
        </w:tc>
        <w:tc>
          <w:tcPr/>
          <w:p>
            <w:pPr>
              <w:pStyle w:val="Compact"/>
            </w:pPr>
            <w:r>
              <w:t xml:space="preserve">37.1%</w:t>
            </w:r>
          </w:p>
        </w:tc>
        <w:tc>
          <w:tcPr/>
          <w:p>
            <w:pPr>
              <w:pStyle w:val="Compact"/>
            </w:pPr>
            <w:r>
              <w:t xml:space="preserve">43.8%</w:t>
            </w:r>
          </w:p>
        </w:tc>
        <w:tc>
          <w:tcPr/>
          <w:p>
            <w:pPr>
              <w:pStyle w:val="Compact"/>
            </w:pPr>
            <w:r>
              <w:t xml:space="preserve">+6.7pp</w:t>
            </w:r>
          </w:p>
        </w:tc>
        <w:tc>
          <w:tcPr/>
          <w:p>
            <w:pPr>
              <w:pStyle w:val="Compact"/>
            </w:pPr>
            <w:r>
              <w:t xml:space="preserve">46.3%</w:t>
            </w:r>
          </w:p>
        </w:tc>
        <w:tc>
          <w:tcPr/>
          <w:p>
            <w:pPr>
              <w:pStyle w:val="Compact"/>
            </w:pPr>
            <w:r>
              <w:t xml:space="preserve">58.4%</w:t>
            </w:r>
          </w:p>
        </w:tc>
      </w:tr>
      <w:tr>
        <w:tc>
          <w:tcPr/>
          <w:p>
            <w:pPr>
              <w:pStyle w:val="Compact"/>
            </w:pPr>
            <w:r>
              <w:t xml:space="preserve">NHPI Male</w:t>
            </w:r>
          </w:p>
        </w:tc>
        <w:tc>
          <w:tcPr/>
          <w:p>
            <w:pPr>
              <w:pStyle w:val="Compact"/>
            </w:pPr>
            <w:r>
              <w:t xml:space="preserve">152</w:t>
            </w:r>
          </w:p>
        </w:tc>
        <w:tc>
          <w:tcPr/>
          <w:p>
            <w:pPr>
              <w:pStyle w:val="Compact"/>
            </w:pPr>
            <w:r>
              <w:t xml:space="preserve">34.2%</w:t>
            </w:r>
          </w:p>
        </w:tc>
        <w:tc>
          <w:tcPr/>
          <w:p>
            <w:pPr>
              <w:pStyle w:val="Compact"/>
            </w:pPr>
            <w:r>
              <w:t xml:space="preserve">14.5%</w:t>
            </w:r>
          </w:p>
        </w:tc>
        <w:tc>
          <w:tcPr/>
          <w:p>
            <w:pPr>
              <w:pStyle w:val="Compact"/>
            </w:pPr>
            <w:r>
              <w:t xml:space="preserve">10.5%</w:t>
            </w:r>
          </w:p>
        </w:tc>
        <w:tc>
          <w:tcPr/>
          <w:p>
            <w:pPr>
              <w:pStyle w:val="Compact"/>
            </w:pPr>
            <w:r>
              <w:t xml:space="preserve">-4.0pp</w:t>
            </w:r>
          </w:p>
        </w:tc>
        <w:tc>
          <w:tcPr/>
          <w:p>
            <w:pPr>
              <w:pStyle w:val="Compact"/>
            </w:pPr>
            <w:r>
              <w:t xml:space="preserve">19.2%</w:t>
            </w:r>
          </w:p>
        </w:tc>
        <w:tc>
          <w:tcPr/>
          <w:p>
            <w:pPr>
              <w:pStyle w:val="Compact"/>
            </w:pPr>
            <w:r>
              <w:t xml:space="preserve">16.3%</w:t>
            </w:r>
          </w:p>
        </w:tc>
      </w:tr>
      <w:tr>
        <w:tc>
          <w:tcPr/>
          <w:p>
            <w:pPr>
              <w:pStyle w:val="Compact"/>
            </w:pPr>
            <w:r>
              <w:t xml:space="preserve">NHPI Female</w:t>
            </w:r>
          </w:p>
        </w:tc>
        <w:tc>
          <w:tcPr/>
          <w:p>
            <w:pPr>
              <w:pStyle w:val="Compact"/>
            </w:pPr>
            <w:r>
              <w:t xml:space="preserve">126</w:t>
            </w:r>
          </w:p>
        </w:tc>
        <w:tc>
          <w:tcPr/>
          <w:p>
            <w:pPr>
              <w:pStyle w:val="Compact"/>
            </w:pPr>
            <w:r>
              <w:t xml:space="preserve">41.3%</w:t>
            </w:r>
          </w:p>
        </w:tc>
        <w:tc>
          <w:tcPr/>
          <w:p>
            <w:pPr>
              <w:pStyle w:val="Compact"/>
            </w:pPr>
            <w:r>
              <w:t xml:space="preserve">22.2%</w:t>
            </w:r>
          </w:p>
        </w:tc>
        <w:tc>
          <w:tcPr/>
          <w:p>
            <w:pPr>
              <w:pStyle w:val="Compact"/>
            </w:pPr>
            <w:r>
              <w:t xml:space="preserve">27.8%</w:t>
            </w:r>
          </w:p>
        </w:tc>
        <w:tc>
          <w:tcPr/>
          <w:p>
            <w:pPr>
              <w:pStyle w:val="Compact"/>
            </w:pPr>
            <w:r>
              <w:t xml:space="preserve">+5.6pp</w:t>
            </w:r>
          </w:p>
        </w:tc>
        <w:tc>
          <w:tcPr/>
          <w:p>
            <w:pPr>
              <w:pStyle w:val="Compact"/>
            </w:pPr>
            <w:r>
              <w:t xml:space="preserve">28.8%</w:t>
            </w:r>
          </w:p>
        </w:tc>
        <w:tc>
          <w:tcPr/>
          <w:p>
            <w:pPr>
              <w:pStyle w:val="Compact"/>
            </w:pPr>
            <w:r>
              <w:t xml:space="preserve">38.5%</w:t>
            </w:r>
          </w:p>
        </w:tc>
      </w:tr>
      <w:tr>
        <w:tc>
          <w:tcPr/>
          <w:p>
            <w:pPr>
              <w:pStyle w:val="Compact"/>
            </w:pPr>
            <w:r>
              <w:t xml:space="preserve">Multiracial Male</w:t>
            </w:r>
          </w:p>
        </w:tc>
        <w:tc>
          <w:tcPr/>
          <w:p>
            <w:pPr>
              <w:pStyle w:val="Compact"/>
            </w:pPr>
            <w:r>
              <w:t xml:space="preserve">785</w:t>
            </w:r>
          </w:p>
        </w:tc>
        <w:tc>
          <w:tcPr/>
          <w:p>
            <w:pPr>
              <w:pStyle w:val="Compact"/>
            </w:pPr>
            <w:r>
              <w:t xml:space="preserve">45.0%</w:t>
            </w:r>
          </w:p>
        </w:tc>
        <w:tc>
          <w:tcPr/>
          <w:p>
            <w:pPr>
              <w:pStyle w:val="Compact"/>
            </w:pPr>
            <w:r>
              <w:t xml:space="preserve">18.2%</w:t>
            </w:r>
          </w:p>
        </w:tc>
        <w:tc>
          <w:tcPr/>
          <w:p>
            <w:pPr>
              <w:pStyle w:val="Compact"/>
            </w:pPr>
            <w:r>
              <w:t xml:space="preserve">8.5%</w:t>
            </w:r>
          </w:p>
        </w:tc>
        <w:tc>
          <w:tcPr/>
          <w:p>
            <w:pPr>
              <w:pStyle w:val="Compact"/>
            </w:pPr>
            <w:r>
              <w:t xml:space="preserve">-9.7pp</w:t>
            </w:r>
          </w:p>
        </w:tc>
        <w:tc>
          <w:tcPr/>
          <w:p>
            <w:pPr>
              <w:pStyle w:val="Compact"/>
            </w:pPr>
            <w:r>
              <w:t xml:space="preserve">28.3%</w:t>
            </w:r>
          </w:p>
        </w:tc>
        <w:tc>
          <w:tcPr/>
          <w:p>
            <w:pPr>
              <w:pStyle w:val="Compact"/>
            </w:pPr>
            <w:r>
              <w:t xml:space="preserve">15.6%</w:t>
            </w:r>
          </w:p>
        </w:tc>
      </w:tr>
      <w:tr>
        <w:tc>
          <w:tcPr/>
          <w:p>
            <w:pPr>
              <w:pStyle w:val="Compact"/>
            </w:pPr>
            <w:r>
              <w:t xml:space="preserve">Multiracial Female</w:t>
            </w:r>
          </w:p>
        </w:tc>
        <w:tc>
          <w:tcPr/>
          <w:p>
            <w:pPr>
              <w:pStyle w:val="Compact"/>
            </w:pPr>
            <w:r>
              <w:t xml:space="preserve">784</w:t>
            </w:r>
          </w:p>
        </w:tc>
        <w:tc>
          <w:tcPr/>
          <w:p>
            <w:pPr>
              <w:pStyle w:val="Compact"/>
            </w:pPr>
            <w:r>
              <w:t xml:space="preserve">52.4%</w:t>
            </w:r>
          </w:p>
        </w:tc>
        <w:tc>
          <w:tcPr/>
          <w:p>
            <w:pPr>
              <w:pStyle w:val="Compact"/>
            </w:pPr>
            <w:r>
              <w:t xml:space="preserve">37.4%</w:t>
            </w:r>
          </w:p>
        </w:tc>
        <w:tc>
          <w:tcPr/>
          <w:p>
            <w:pPr>
              <w:pStyle w:val="Compact"/>
            </w:pPr>
            <w:r>
              <w:t xml:space="preserve">39.2%</w:t>
            </w:r>
          </w:p>
        </w:tc>
        <w:tc>
          <w:tcPr/>
          <w:p>
            <w:pPr>
              <w:pStyle w:val="Compact"/>
            </w:pPr>
            <w:r>
              <w:t xml:space="preserve">+1.8pp</w:t>
            </w:r>
          </w:p>
        </w:tc>
        <w:tc>
          <w:tcPr/>
          <w:p>
            <w:pPr>
              <w:pStyle w:val="Compact"/>
            </w:pPr>
            <w:r>
              <w:t xml:space="preserve">50.6%</w:t>
            </w:r>
          </w:p>
        </w:tc>
        <w:tc>
          <w:tcPr/>
          <w:p>
            <w:pPr>
              <w:pStyle w:val="Compact"/>
            </w:pPr>
            <w:r>
              <w:t xml:space="preserve">52.8%</w:t>
            </w:r>
          </w:p>
        </w:tc>
      </w:tr>
      <w:tr>
        <w:tc>
          <w:tcPr/>
          <w:p>
            <w:pPr>
              <w:pStyle w:val="Compact"/>
            </w:pPr>
            <w:r>
              <w:t xml:space="preserve">Other Male</w:t>
            </w:r>
          </w:p>
        </w:tc>
        <w:tc>
          <w:tcPr/>
          <w:p>
            <w:pPr>
              <w:pStyle w:val="Compact"/>
            </w:pPr>
            <w:r>
              <w:t xml:space="preserve">245</w:t>
            </w:r>
          </w:p>
        </w:tc>
        <w:tc>
          <w:tcPr/>
          <w:p>
            <w:pPr>
              <w:pStyle w:val="Compact"/>
            </w:pPr>
            <w:r>
              <w:t xml:space="preserve">42.4%</w:t>
            </w:r>
          </w:p>
        </w:tc>
        <w:tc>
          <w:tcPr/>
          <w:p>
            <w:pPr>
              <w:pStyle w:val="Compact"/>
            </w:pPr>
            <w:r>
              <w:t xml:space="preserve">15.1%</w:t>
            </w:r>
          </w:p>
        </w:tc>
        <w:tc>
          <w:tcPr/>
          <w:p>
            <w:pPr>
              <w:pStyle w:val="Compact"/>
            </w:pPr>
            <w:r>
              <w:t xml:space="preserve">8.6%</w:t>
            </w:r>
          </w:p>
        </w:tc>
        <w:tc>
          <w:tcPr/>
          <w:p>
            <w:pPr>
              <w:pStyle w:val="Compact"/>
            </w:pPr>
            <w:r>
              <w:t xml:space="preserve">-6.5pp</w:t>
            </w:r>
          </w:p>
        </w:tc>
        <w:tc>
          <w:tcPr/>
          <w:p>
            <w:pPr>
              <w:pStyle w:val="Compact"/>
            </w:pPr>
            <w:r>
              <w:t xml:space="preserve">21.2%</w:t>
            </w:r>
          </w:p>
        </w:tc>
        <w:tc>
          <w:tcPr/>
          <w:p>
            <w:pPr>
              <w:pStyle w:val="Compact"/>
            </w:pPr>
            <w:r>
              <w:t xml:space="preserve">14.8%</w:t>
            </w:r>
          </w:p>
        </w:tc>
      </w:tr>
      <w:tr>
        <w:tc>
          <w:tcPr/>
          <w:p>
            <w:pPr>
              <w:pStyle w:val="Compact"/>
            </w:pPr>
            <w:r>
              <w:t xml:space="preserve">Other Female</w:t>
            </w:r>
          </w:p>
        </w:tc>
        <w:tc>
          <w:tcPr/>
          <w:p>
            <w:pPr>
              <w:pStyle w:val="Compact"/>
            </w:pPr>
            <w:r>
              <w:t xml:space="preserve">218</w:t>
            </w:r>
          </w:p>
        </w:tc>
        <w:tc>
          <w:tcPr/>
          <w:p>
            <w:pPr>
              <w:pStyle w:val="Compact"/>
            </w:pPr>
            <w:r>
              <w:t xml:space="preserve">49.5%</w:t>
            </w:r>
          </w:p>
        </w:tc>
        <w:tc>
          <w:tcPr/>
          <w:p>
            <w:pPr>
              <w:pStyle w:val="Compact"/>
            </w:pPr>
            <w:r>
              <w:t xml:space="preserve">28.0%</w:t>
            </w:r>
          </w:p>
        </w:tc>
        <w:tc>
          <w:tcPr/>
          <w:p>
            <w:pPr>
              <w:pStyle w:val="Compact"/>
            </w:pPr>
            <w:r>
              <w:t xml:space="preserve">39.0%</w:t>
            </w:r>
          </w:p>
        </w:tc>
        <w:tc>
          <w:tcPr/>
          <w:p>
            <w:pPr>
              <w:pStyle w:val="Compact"/>
            </w:pPr>
            <w:r>
              <w:t xml:space="preserve">+11.0pp</w:t>
            </w:r>
          </w:p>
        </w:tc>
        <w:tc>
          <w:tcPr/>
          <w:p>
            <w:pPr>
              <w:pStyle w:val="Compact"/>
            </w:pPr>
            <w:r>
              <w:t xml:space="preserve">36.1%</w:t>
            </w:r>
          </w:p>
        </w:tc>
        <w:tc>
          <w:tcPr/>
          <w:p>
            <w:pPr>
              <w:pStyle w:val="Compact"/>
            </w:pPr>
            <w:r>
              <w:t xml:space="preserve">52.3%</w:t>
            </w:r>
          </w:p>
        </w:tc>
      </w:tr>
    </w:tbl>
    <w:p>
      <w:pPr>
        <w:pStyle w:val="BodyText"/>
      </w:pPr>
      <w:r>
        <w:rPr>
          <w:i/>
          <w:iCs/>
        </w:rPr>
        <w:t xml:space="preserve">DP mitigation systematically reduces selection rates for male subgroups within high-burden racial categories while increasing rates for female subgroups, reflecting the cross-dimensional transfer of disparity: race-only DP optimization worsened sex-based DPD from 0.103 to 0.176 (71% increase).</w:t>
      </w:r>
    </w:p>
    <w:bookmarkEnd w:id="25"/>
    <w:bookmarkStart w:id="26" w:name="Xe51158a8d837c17c02a2b3c2120050581780ba4"/>
    <w:p>
      <w:pPr>
        <w:pStyle w:val="Heading3"/>
      </w:pPr>
      <w:r>
        <w:t xml:space="preserve">Table S5. Sensitivity Analysis: Epsilon Parameter (Exponentiated Gradient)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Epsilon</w:t>
            </w:r>
          </w:p>
        </w:tc>
        <w:tc>
          <w:tcPr/>
          <w:p>
            <w:pPr>
              <w:pStyle w:val="Compact"/>
            </w:pPr>
            <w:r>
              <w:t xml:space="preserve">AUC</w:t>
            </w:r>
          </w:p>
        </w:tc>
        <w:tc>
          <w:tcPr/>
          <w:p>
            <w:pPr>
              <w:pStyle w:val="Compact"/>
            </w:pPr>
            <w:r>
              <w:t xml:space="preserve">Accuracy</w:t>
            </w:r>
          </w:p>
        </w:tc>
        <w:tc>
          <w:tcPr/>
          <w:p>
            <w:pPr>
              <w:pStyle w:val="Compact"/>
            </w:pPr>
          </w:p>
        </w:tc>
        <w:tc>
          <w:tcPr/>
          <w:p>
            <w:pPr>
              <w:pStyle w:val="Compact"/>
            </w:pPr>
            <w:r>
              <w:t xml:space="preserve">DPD</w:t>
            </w:r>
          </w:p>
        </w:tc>
        <w:tc>
          <w:tcPr/>
          <w:p>
            <w:pPr>
              <w:pStyle w:val="Compact"/>
            </w:pPr>
          </w:p>
        </w:tc>
      </w:tr>
      <w:tr>
        <w:tc>
          <w:tcPr/>
          <w:p>
            <w:pPr>
              <w:pStyle w:val="Compact"/>
            </w:pPr>
            <w:r>
              <w:t xml:space="preserve">0.001</w:t>
            </w:r>
          </w:p>
        </w:tc>
        <w:tc>
          <w:tcPr/>
          <w:p>
            <w:pPr>
              <w:pStyle w:val="Compact"/>
            </w:pPr>
            <w:r>
              <w:t xml:space="preserve">0.592</w:t>
            </w:r>
          </w:p>
        </w:tc>
        <w:tc>
          <w:tcPr/>
          <w:p>
            <w:pPr>
              <w:pStyle w:val="Compact"/>
            </w:pPr>
            <w:r>
              <w:t xml:space="preserve">0.624</w:t>
            </w:r>
          </w:p>
        </w:tc>
        <w:tc>
          <w:tcPr/>
          <w:p>
            <w:pPr>
              <w:pStyle w:val="Compact"/>
            </w:pPr>
            <w:r>
              <w:t xml:space="preserve">0.054</w:t>
            </w:r>
          </w:p>
        </w:tc>
        <w:tc>
          <w:tcPr/>
          <w:p>
            <w:pPr>
              <w:pStyle w:val="Compact"/>
            </w:pPr>
            <w:r>
              <w:t xml:space="preserve">0.125</w:t>
            </w:r>
          </w:p>
        </w:tc>
        <w:tc>
          <w:tcPr/>
          <w:p>
            <w:pPr>
              <w:pStyle w:val="Compact"/>
            </w:pPr>
            <w:r>
              <w:t xml:space="preserve">45.2</w:t>
            </w:r>
          </w:p>
        </w:tc>
      </w:tr>
      <w:tr>
        <w:tc>
          <w:tcPr/>
          <w:p>
            <w:pPr>
              <w:pStyle w:val="Compact"/>
            </w:pPr>
            <w:r>
              <w:t xml:space="preserve">0.005</w:t>
            </w:r>
          </w:p>
        </w:tc>
        <w:tc>
          <w:tcPr/>
          <w:p>
            <w:pPr>
              <w:pStyle w:val="Compact"/>
            </w:pPr>
            <w:r>
              <w:t xml:space="preserve">0.592</w:t>
            </w:r>
          </w:p>
        </w:tc>
        <w:tc>
          <w:tcPr/>
          <w:p>
            <w:pPr>
              <w:pStyle w:val="Compact"/>
            </w:pPr>
            <w:r>
              <w:t xml:space="preserve">0.624</w:t>
            </w:r>
          </w:p>
        </w:tc>
        <w:tc>
          <w:tcPr/>
          <w:p>
            <w:pPr>
              <w:pStyle w:val="Compact"/>
            </w:pPr>
            <w:r>
              <w:t xml:space="preserve">0.041</w:t>
            </w:r>
          </w:p>
        </w:tc>
        <w:tc>
          <w:tcPr/>
          <w:p>
            <w:pPr>
              <w:pStyle w:val="Compact"/>
            </w:pPr>
            <w:r>
              <w:t xml:space="preserve">0.148</w:t>
            </w:r>
          </w:p>
        </w:tc>
        <w:tc>
          <w:tcPr/>
          <w:p>
            <w:pPr>
              <w:pStyle w:val="Compact"/>
            </w:pPr>
            <w:r>
              <w:t xml:space="preserve">42.8</w:t>
            </w:r>
          </w:p>
        </w:tc>
      </w:tr>
      <w:tr>
        <w:tc>
          <w:tcPr/>
          <w:p>
            <w:pPr>
              <w:pStyle w:val="Compact"/>
            </w:pPr>
            <w:r>
              <w:t xml:space="preserve">0.010</w:t>
            </w:r>
          </w:p>
        </w:tc>
        <w:tc>
          <w:tcPr/>
          <w:p>
            <w:pPr>
              <w:pStyle w:val="Compact"/>
            </w:pPr>
            <w:r>
              <w:t xml:space="preserve">0.592</w:t>
            </w:r>
          </w:p>
        </w:tc>
        <w:tc>
          <w:tcPr/>
          <w:p>
            <w:pPr>
              <w:pStyle w:val="Compact"/>
            </w:pPr>
            <w:r>
              <w:t xml:space="preserve">0.625</w:t>
            </w:r>
          </w:p>
        </w:tc>
        <w:tc>
          <w:tcPr/>
          <w:p>
            <w:pPr>
              <w:pStyle w:val="Compact"/>
            </w:pPr>
            <w:r>
              <w:t xml:space="preserve">0.039</w:t>
            </w:r>
          </w:p>
        </w:tc>
        <w:tc>
          <w:tcPr/>
          <w:p>
            <w:pPr>
              <w:pStyle w:val="Compact"/>
            </w:pPr>
            <w:r>
              <w:t xml:space="preserve">0.095</w:t>
            </w:r>
          </w:p>
        </w:tc>
        <w:tc>
          <w:tcPr/>
          <w:p>
            <w:pPr>
              <w:pStyle w:val="Compact"/>
            </w:pPr>
            <w:r>
              <w:t xml:space="preserve">38.4</w:t>
            </w:r>
          </w:p>
        </w:tc>
      </w:tr>
      <w:tr>
        <w:tc>
          <w:tcPr/>
          <w:p>
            <w:pPr>
              <w:pStyle w:val="Compact"/>
            </w:pPr>
            <w:r>
              <w:t xml:space="preserve">0.020</w:t>
            </w:r>
          </w:p>
        </w:tc>
        <w:tc>
          <w:tcPr/>
          <w:p>
            <w:pPr>
              <w:pStyle w:val="Compact"/>
            </w:pPr>
            <w:r>
              <w:t xml:space="preserve">0.592</w:t>
            </w:r>
          </w:p>
        </w:tc>
        <w:tc>
          <w:tcPr/>
          <w:p>
            <w:pPr>
              <w:pStyle w:val="Compact"/>
            </w:pPr>
            <w:r>
              <w:t xml:space="preserve">0.622</w:t>
            </w:r>
          </w:p>
        </w:tc>
        <w:tc>
          <w:tcPr/>
          <w:p>
            <w:pPr>
              <w:pStyle w:val="Compact"/>
            </w:pPr>
            <w:r>
              <w:t xml:space="preserve">0.045</w:t>
            </w:r>
          </w:p>
        </w:tc>
        <w:tc>
          <w:tcPr/>
          <w:p>
            <w:pPr>
              <w:pStyle w:val="Compact"/>
            </w:pPr>
            <w:r>
              <w:t xml:space="preserve">0.093</w:t>
            </w:r>
          </w:p>
        </w:tc>
        <w:tc>
          <w:tcPr/>
          <w:p>
            <w:pPr>
              <w:pStyle w:val="Compact"/>
            </w:pPr>
            <w:r>
              <w:t xml:space="preserve">35.1</w:t>
            </w:r>
          </w:p>
        </w:tc>
      </w:tr>
      <w:tr>
        <w:tc>
          <w:tcPr/>
          <w:p>
            <w:pPr>
              <w:pStyle w:val="Compact"/>
            </w:pPr>
            <w:r>
              <w:t xml:space="preserve">0.050</w:t>
            </w:r>
          </w:p>
        </w:tc>
        <w:tc>
          <w:tcPr/>
          <w:p>
            <w:pPr>
              <w:pStyle w:val="Compact"/>
            </w:pPr>
            <w:r>
              <w:t xml:space="preserve">0.593</w:t>
            </w:r>
          </w:p>
        </w:tc>
        <w:tc>
          <w:tcPr/>
          <w:p>
            <w:pPr>
              <w:pStyle w:val="Compact"/>
            </w:pPr>
            <w:r>
              <w:t xml:space="preserve">0.622</w:t>
            </w:r>
          </w:p>
        </w:tc>
        <w:tc>
          <w:tcPr/>
          <w:p>
            <w:pPr>
              <w:pStyle w:val="Compact"/>
            </w:pPr>
            <w:r>
              <w:t xml:space="preserve">0.049</w:t>
            </w:r>
          </w:p>
        </w:tc>
        <w:tc>
          <w:tcPr/>
          <w:p>
            <w:pPr>
              <w:pStyle w:val="Compact"/>
            </w:pPr>
            <w:r>
              <w:t xml:space="preserve">0.120</w:t>
            </w:r>
          </w:p>
        </w:tc>
        <w:tc>
          <w:tcPr/>
          <w:p>
            <w:pPr>
              <w:pStyle w:val="Compact"/>
            </w:pPr>
            <w:r>
              <w:t xml:space="preserve">28.7</w:t>
            </w:r>
          </w:p>
        </w:tc>
      </w:tr>
      <w:tr>
        <w:tc>
          <w:tcPr/>
          <w:p>
            <w:pPr>
              <w:pStyle w:val="Compact"/>
            </w:pPr>
            <w:r>
              <w:t xml:space="preserve">0.100</w:t>
            </w:r>
          </w:p>
        </w:tc>
        <w:tc>
          <w:tcPr/>
          <w:p>
            <w:pPr>
              <w:pStyle w:val="Compact"/>
            </w:pPr>
            <w:r>
              <w:t xml:space="preserve">0.593</w:t>
            </w:r>
          </w:p>
        </w:tc>
        <w:tc>
          <w:tcPr/>
          <w:p>
            <w:pPr>
              <w:pStyle w:val="Compact"/>
            </w:pPr>
            <w:r>
              <w:t xml:space="preserve">0.622</w:t>
            </w:r>
          </w:p>
        </w:tc>
        <w:tc>
          <w:tcPr/>
          <w:p>
            <w:pPr>
              <w:pStyle w:val="Compact"/>
            </w:pPr>
            <w:r>
              <w:t xml:space="preserve">0.034</w:t>
            </w:r>
          </w:p>
        </w:tc>
        <w:tc>
          <w:tcPr/>
          <w:p>
            <w:pPr>
              <w:pStyle w:val="Compact"/>
            </w:pPr>
            <w:r>
              <w:t xml:space="preserve">0.098</w:t>
            </w:r>
          </w:p>
        </w:tc>
        <w:tc>
          <w:tcPr/>
          <w:p>
            <w:pPr>
              <w:pStyle w:val="Compact"/>
            </w:pPr>
            <w:r>
              <w:t xml:space="preserve">22.4</w:t>
            </w:r>
          </w:p>
        </w:tc>
      </w:tr>
      <w:tr>
        <w:tc>
          <w:tcPr/>
          <w:p>
            <w:pPr>
              <w:pStyle w:val="Compact"/>
            </w:pPr>
            <w:r>
              <w:t xml:space="preserve">0.200</w:t>
            </w:r>
          </w:p>
        </w:tc>
        <w:tc>
          <w:tcPr/>
          <w:p>
            <w:pPr>
              <w:pStyle w:val="Compact"/>
            </w:pPr>
            <w:r>
              <w:t xml:space="preserve">0.593</w:t>
            </w:r>
          </w:p>
        </w:tc>
        <w:tc>
          <w:tcPr/>
          <w:p>
            <w:pPr>
              <w:pStyle w:val="Compact"/>
            </w:pPr>
            <w:r>
              <w:t xml:space="preserve">0.624</w:t>
            </w:r>
          </w:p>
        </w:tc>
        <w:tc>
          <w:tcPr/>
          <w:p>
            <w:pPr>
              <w:pStyle w:val="Compact"/>
            </w:pPr>
            <w:r>
              <w:t xml:space="preserve">0.030</w:t>
            </w:r>
          </w:p>
        </w:tc>
        <w:tc>
          <w:tcPr/>
          <w:p>
            <w:pPr>
              <w:pStyle w:val="Compact"/>
            </w:pPr>
            <w:r>
              <w:t xml:space="preserve">0.107</w:t>
            </w:r>
          </w:p>
        </w:tc>
        <w:tc>
          <w:tcPr/>
          <w:p>
            <w:pPr>
              <w:pStyle w:val="Compact"/>
            </w:pPr>
            <w:r>
              <w:t xml:space="preserve">18.9</w:t>
            </w:r>
          </w:p>
        </w:tc>
      </w:tr>
    </w:tbl>
    <w:p>
      <w:pPr>
        <w:pStyle w:val="BodyText"/>
      </w:pPr>
      <w:r>
        <w:rPr>
          <w:i/>
          <w:iCs/>
        </w:rPr>
        <w:t xml:space="preserve">DPD remained stable (0.030-0.054) across epsilon values, demonstrating robustness to constraint strength. AUC was consistently degraded (~0.592) regardless of epsilon, indicating that the performance cost of in-processing DP mitigation is inherent to the constraint, not an artefact of hyperparameter choice.</w:t>
      </w:r>
    </w:p>
    <w:bookmarkEnd w:id="26"/>
    <w:bookmarkStart w:id="27" w:name="X9437c0ba6caba0eca24216abb4b1d22bf8ed765"/>
    <w:p>
      <w:pPr>
        <w:pStyle w:val="Heading3"/>
      </w:pPr>
      <w:r>
        <w:t xml:space="preserve">Table S6. Sensitivity Analysis: Base Classifier Comparison</w:t>
      </w:r>
    </w:p>
    <w:tbl>
      <w:tblPr>
        <w:tblStyle w:val="Table"/>
        <w:tblW w:type="pct" w:w="5000"/>
        <w:tblLayout w:type="fixed"/>
        <w:tblLook w:firstRow="1" w:lastRow="0" w:firstColumn="0" w:lastColumn="0" w:noHBand="0" w:noVBand="0" w:val="0020"/>
      </w:tblPr>
      <w:tblGrid>
        <w:gridCol w:w="1320"/>
        <w:gridCol w:w="1540"/>
        <w:gridCol w:w="2090"/>
        <w:gridCol w:w="1650"/>
        <w:gridCol w:w="1320"/>
      </w:tblGrid>
      <w:tr>
        <w:trPr>
          <w:tblHeader w:val="on"/>
        </w:trPr>
        <w:tc>
          <w:tcPr/>
          <w:p>
            <w:pPr>
              <w:pStyle w:val="Compact"/>
            </w:pPr>
            <w:r>
              <w:t xml:space="preserve">Base Model</w:t>
            </w:r>
          </w:p>
        </w:tc>
        <w:tc>
          <w:tcPr/>
          <w:p>
            <w:pPr>
              <w:pStyle w:val="Compact"/>
            </w:pPr>
            <w:r>
              <w:t xml:space="preserve">Baseline DPD</w:t>
            </w:r>
          </w:p>
        </w:tc>
        <w:tc>
          <w:tcPr/>
          <w:p>
            <w:pPr>
              <w:pStyle w:val="Compact"/>
            </w:pPr>
            <w:r>
              <w:t xml:space="preserve">DP-Mitigated DPD</w:t>
            </w:r>
          </w:p>
        </w:tc>
        <w:tc>
          <w:tcPr/>
          <w:p>
            <w:pPr>
              <w:pStyle w:val="Compact"/>
            </w:pPr>
            <w:r>
              <w:t xml:space="preserve">DPD Reduction</w:t>
            </w:r>
          </w:p>
        </w:tc>
        <w:tc>
          <w:tcPr/>
          <w:p>
            <w:pPr>
              <w:pStyle w:val="Compact"/>
            </w:pPr>
            <w:r>
              <w:t xml:space="preserve">AUC Change</w:t>
            </w:r>
          </w:p>
        </w:tc>
      </w:tr>
      <w:tr>
        <w:tc>
          <w:tcPr/>
          <w:p>
            <w:pPr>
              <w:pStyle w:val="Compact"/>
            </w:pPr>
            <w:r>
              <w:t xml:space="preserve">Logistic Regression</w:t>
            </w:r>
          </w:p>
        </w:tc>
        <w:tc>
          <w:tcPr/>
          <w:p>
            <w:pPr>
              <w:pStyle w:val="Compact"/>
            </w:pPr>
            <w:r>
              <w:t xml:space="preserve">0.634</w:t>
            </w:r>
          </w:p>
        </w:tc>
        <w:tc>
          <w:tcPr/>
          <w:p>
            <w:pPr>
              <w:pStyle w:val="Compact"/>
            </w:pPr>
            <w:r>
              <w:t xml:space="preserve">0.030</w:t>
            </w:r>
          </w:p>
        </w:tc>
        <w:tc>
          <w:tcPr/>
          <w:p>
            <w:pPr>
              <w:pStyle w:val="Compact"/>
            </w:pPr>
            <w:r>
              <w:rPr>
                <w:b/>
                <w:bCs/>
              </w:rPr>
              <w:t xml:space="preserve">95.3%</w:t>
            </w:r>
          </w:p>
        </w:tc>
        <w:tc>
          <w:tcPr/>
          <w:p>
            <w:pPr>
              <w:pStyle w:val="Compact"/>
            </w:pPr>
            <w:r>
              <w:t xml:space="preserve">0.0% (post-processing)</w:t>
            </w:r>
          </w:p>
        </w:tc>
      </w:tr>
      <w:tr>
        <w:tc>
          <w:tcPr/>
          <w:p>
            <w:pPr>
              <w:pStyle w:val="Compact"/>
            </w:pPr>
            <w:r>
              <w:t xml:space="preserve">Random Forest</w:t>
            </w:r>
          </w:p>
        </w:tc>
        <w:tc>
          <w:tcPr/>
          <w:p>
            <w:pPr>
              <w:pStyle w:val="Compact"/>
            </w:pPr>
            <w:r>
              <w:t xml:space="preserve">0.579</w:t>
            </w:r>
          </w:p>
        </w:tc>
        <w:tc>
          <w:tcPr/>
          <w:p>
            <w:pPr>
              <w:pStyle w:val="Compact"/>
            </w:pPr>
            <w:r>
              <w:t xml:space="preserve">0.066</w:t>
            </w:r>
          </w:p>
        </w:tc>
        <w:tc>
          <w:tcPr/>
          <w:p>
            <w:pPr>
              <w:pStyle w:val="Compact"/>
            </w:pPr>
            <w:r>
              <w:t xml:space="preserve">88.5%</w:t>
            </w:r>
          </w:p>
        </w:tc>
        <w:tc>
          <w:tcPr/>
          <w:p>
            <w:pPr>
              <w:pStyle w:val="Compact"/>
            </w:pPr>
            <w:r>
              <w:t xml:space="preserve">0.0%</w:t>
            </w:r>
          </w:p>
        </w:tc>
      </w:tr>
      <w:tr>
        <w:tc>
          <w:tcPr/>
          <w:p>
            <w:pPr>
              <w:pStyle w:val="Compact"/>
            </w:pPr>
            <w:r>
              <w:t xml:space="preserve">Gradient Boosting</w:t>
            </w:r>
          </w:p>
        </w:tc>
        <w:tc>
          <w:tcPr/>
          <w:p>
            <w:pPr>
              <w:pStyle w:val="Compact"/>
            </w:pPr>
            <w:r>
              <w:t xml:space="preserve">0.519</w:t>
            </w:r>
          </w:p>
        </w:tc>
        <w:tc>
          <w:tcPr/>
          <w:p>
            <w:pPr>
              <w:pStyle w:val="Compact"/>
            </w:pPr>
            <w:r>
              <w:t xml:space="preserve">0.083</w:t>
            </w:r>
          </w:p>
        </w:tc>
        <w:tc>
          <w:tcPr/>
          <w:p>
            <w:pPr>
              <w:pStyle w:val="Compact"/>
            </w:pPr>
            <w:r>
              <w:t xml:space="preserve">83.9%</w:t>
            </w:r>
          </w:p>
        </w:tc>
        <w:tc>
          <w:tcPr/>
          <w:p>
            <w:pPr>
              <w:pStyle w:val="Compact"/>
            </w:pPr>
            <w:r>
              <w:t xml:space="preserve">0.0%</w:t>
            </w:r>
          </w:p>
        </w:tc>
      </w:tr>
      <w:tr>
        <w:tc>
          <w:tcPr/>
          <w:p>
            <w:pPr>
              <w:pStyle w:val="Compact"/>
            </w:pPr>
            <w:r>
              <w:t xml:space="preserve">XGBoost</w:t>
            </w:r>
          </w:p>
        </w:tc>
        <w:tc>
          <w:tcPr/>
          <w:p>
            <w:pPr>
              <w:pStyle w:val="Compact"/>
            </w:pPr>
            <w:r>
              <w:t xml:space="preserve">0.539</w:t>
            </w:r>
          </w:p>
        </w:tc>
        <w:tc>
          <w:tcPr/>
          <w:p>
            <w:pPr>
              <w:pStyle w:val="Compact"/>
            </w:pPr>
            <w:r>
              <w:t xml:space="preserve">0.072</w:t>
            </w:r>
          </w:p>
        </w:tc>
        <w:tc>
          <w:tcPr/>
          <w:p>
            <w:pPr>
              <w:pStyle w:val="Compact"/>
            </w:pPr>
            <w:r>
              <w:t xml:space="preserve">86.6%</w:t>
            </w:r>
          </w:p>
        </w:tc>
        <w:tc>
          <w:tcPr/>
          <w:p>
            <w:pPr>
              <w:pStyle w:val="Compact"/>
            </w:pPr>
            <w:r>
              <w:t xml:space="preserve">0.0%</w:t>
            </w:r>
          </w:p>
        </w:tc>
      </w:tr>
    </w:tbl>
    <w:p>
      <w:pPr>
        <w:pStyle w:val="BodyText"/>
      </w:pPr>
      <w:r>
        <w:rPr>
          <w:i/>
          <w:iCs/>
        </w:rPr>
        <w:t xml:space="preserve">All base classifiers showed substantial DPD reduction with threshold optimization (post-processing preserves AUC by definition). The harm quantified in the main text (Table 6) — reduced TPR for high-burden groups — applies regardless of the underlying classifier.</w:t>
      </w:r>
    </w:p>
    <w:bookmarkEnd w:id="27"/>
    <w:bookmarkStart w:id="32" w:name="table-s7.-statistical-comparisons"/>
    <w:p>
      <w:pPr>
        <w:pStyle w:val="Heading3"/>
      </w:pPr>
      <w:r>
        <w:t xml:space="preserve">Table S7. Statistical Comparisons</w:t>
      </w:r>
    </w:p>
    <w:bookmarkStart w:id="28" w:name="X7be945381397ca10ba18c178fb57cce96842e55"/>
    <w:p>
      <w:pPr>
        <w:pStyle w:val="Heading4"/>
      </w:pPr>
      <w:r>
        <w:t xml:space="preserve">A. Two-Proportion Z-Tests (Baseline Selection Rates)</w:t>
      </w:r>
    </w:p>
    <w:tbl>
      <w:tblPr>
        <w:tblStyle w:val="Table"/>
        <w:tblW w:type="pct" w:w="5000"/>
        <w:tblLayout w:type="fixed"/>
        <w:tblLook w:firstRow="1" w:lastRow="0" w:firstColumn="0" w:lastColumn="0" w:noHBand="0" w:noVBand="0" w:val="0020"/>
      </w:tblPr>
      <w:tblGrid>
        <w:gridCol w:w="1728"/>
        <w:gridCol w:w="576"/>
        <w:gridCol w:w="576"/>
        <w:gridCol w:w="720"/>
        <w:gridCol w:w="720"/>
        <w:gridCol w:w="432"/>
        <w:gridCol w:w="1296"/>
        <w:gridCol w:w="1872"/>
      </w:tblGrid>
      <w:tr>
        <w:trPr>
          <w:tblHeader w:val="on"/>
        </w:trPr>
        <w:tc>
          <w:tcPr/>
          <w:p>
            <w:pPr>
              <w:pStyle w:val="Compact"/>
            </w:pPr>
            <w:r>
              <w:t xml:space="preserve">Comparison</w:t>
            </w:r>
          </w:p>
        </w:tc>
        <w:tc>
          <w:tcPr/>
          <w:p>
            <w:pPr>
              <w:pStyle w:val="Compact"/>
            </w:pPr>
            <w:r>
              <w:t xml:space="preserve">n1</w:t>
            </w:r>
          </w:p>
        </w:tc>
        <w:tc>
          <w:tcPr/>
          <w:p>
            <w:pPr>
              <w:pStyle w:val="Compact"/>
            </w:pPr>
            <w:r>
              <w:t xml:space="preserve">n2</w:t>
            </w:r>
          </w:p>
        </w:tc>
        <w:tc>
          <w:tcPr/>
          <w:p>
            <w:pPr>
              <w:pStyle w:val="Compact"/>
            </w:pPr>
            <w:r>
              <w:t xml:space="preserve">SR1</w:t>
            </w:r>
          </w:p>
        </w:tc>
        <w:tc>
          <w:tcPr/>
          <w:p>
            <w:pPr>
              <w:pStyle w:val="Compact"/>
            </w:pPr>
            <w:r>
              <w:t xml:space="preserve">SR2</w:t>
            </w:r>
          </w:p>
        </w:tc>
        <w:tc>
          <w:tcPr/>
          <w:p>
            <w:pPr>
              <w:pStyle w:val="Compact"/>
            </w:pPr>
            <w:r>
              <w:t xml:space="preserve">z</w:t>
            </w:r>
          </w:p>
        </w:tc>
        <w:tc>
          <w:tcPr/>
          <w:p>
            <w:pPr>
              <w:pStyle w:val="Compact"/>
            </w:pPr>
            <w:r>
              <w:t xml:space="preserve">p-value</w:t>
            </w:r>
          </w:p>
        </w:tc>
        <w:tc>
          <w:tcPr/>
          <w:p>
            <w:pPr>
              <w:pStyle w:val="Compact"/>
            </w:pPr>
            <w:r>
              <w:t xml:space="preserve">Significant</w:t>
            </w:r>
          </w:p>
        </w:tc>
      </w:tr>
      <w:tr>
        <w:tc>
          <w:tcPr/>
          <w:p>
            <w:pPr>
              <w:pStyle w:val="Compact"/>
            </w:pPr>
            <w:r>
              <w:t xml:space="preserve">Black vs White</w:t>
            </w:r>
          </w:p>
        </w:tc>
        <w:tc>
          <w:tcPr/>
          <w:p>
            <w:pPr>
              <w:pStyle w:val="Compact"/>
            </w:pPr>
            <w:r>
              <w:t xml:space="preserve">4,901</w:t>
            </w:r>
          </w:p>
        </w:tc>
        <w:tc>
          <w:tcPr/>
          <w:p>
            <w:pPr>
              <w:pStyle w:val="Compact"/>
            </w:pPr>
            <w:r>
              <w:t xml:space="preserve">48,173</w:t>
            </w:r>
          </w:p>
        </w:tc>
        <w:tc>
          <w:tcPr/>
          <w:p>
            <w:pPr>
              <w:pStyle w:val="Compact"/>
            </w:pPr>
            <w:r>
              <w:t xml:space="preserve">66.0%</w:t>
            </w:r>
          </w:p>
        </w:tc>
        <w:tc>
          <w:tcPr/>
          <w:p>
            <w:pPr>
              <w:pStyle w:val="Compact"/>
            </w:pPr>
            <w:r>
              <w:t xml:space="preserve">16.3%</w:t>
            </w:r>
          </w:p>
        </w:tc>
        <w:tc>
          <w:tcPr/>
          <w:p>
            <w:pPr>
              <w:pStyle w:val="Compact"/>
            </w:pPr>
            <w:r>
              <w:t xml:space="preserve">81.52</w:t>
            </w:r>
          </w:p>
        </w:tc>
        <w:tc>
          <w:tcPr/>
          <w:p>
            <w:pPr>
              <w:pStyle w:val="Compact"/>
            </w:pPr>
            <w:r>
              <w:t xml:space="preserve">&lt;0.001</w:t>
            </w:r>
          </w:p>
        </w:tc>
        <w:tc>
          <w:tcPr/>
          <w:p>
            <w:pPr>
              <w:pStyle w:val="Compact"/>
            </w:pPr>
            <w:r>
              <w:rPr>
                <w:b/>
                <w:bCs/>
              </w:rPr>
              <w:t xml:space="preserve">Yes</w:t>
            </w:r>
          </w:p>
        </w:tc>
      </w:tr>
      <w:tr>
        <w:tc>
          <w:tcPr/>
          <w:p>
            <w:pPr>
              <w:pStyle w:val="Compact"/>
            </w:pPr>
            <w:r>
              <w:t xml:space="preserve">Hispanic vs White</w:t>
            </w:r>
          </w:p>
        </w:tc>
        <w:tc>
          <w:tcPr/>
          <w:p>
            <w:pPr>
              <w:pStyle w:val="Compact"/>
            </w:pPr>
            <w:r>
              <w:t xml:space="preserve">6,733</w:t>
            </w:r>
          </w:p>
        </w:tc>
        <w:tc>
          <w:tcPr/>
          <w:p>
            <w:pPr>
              <w:pStyle w:val="Compact"/>
            </w:pPr>
            <w:r>
              <w:t xml:space="preserve">48,173</w:t>
            </w:r>
          </w:p>
        </w:tc>
        <w:tc>
          <w:tcPr/>
          <w:p>
            <w:pPr>
              <w:pStyle w:val="Compact"/>
            </w:pPr>
            <w:r>
              <w:t xml:space="preserve">52.7%</w:t>
            </w:r>
          </w:p>
        </w:tc>
        <w:tc>
          <w:tcPr/>
          <w:p>
            <w:pPr>
              <w:pStyle w:val="Compact"/>
            </w:pPr>
            <w:r>
              <w:t xml:space="preserve">16.3%</w:t>
            </w:r>
          </w:p>
        </w:tc>
        <w:tc>
          <w:tcPr/>
          <w:p>
            <w:pPr>
              <w:pStyle w:val="Compact"/>
            </w:pPr>
            <w:r>
              <w:t xml:space="preserve">69.05</w:t>
            </w:r>
          </w:p>
        </w:tc>
        <w:tc>
          <w:tcPr/>
          <w:p>
            <w:pPr>
              <w:pStyle w:val="Compact"/>
            </w:pPr>
            <w:r>
              <w:t xml:space="preserve">&lt;0.001</w:t>
            </w:r>
          </w:p>
        </w:tc>
        <w:tc>
          <w:tcPr/>
          <w:p>
            <w:pPr>
              <w:pStyle w:val="Compact"/>
            </w:pPr>
            <w:r>
              <w:rPr>
                <w:b/>
                <w:bCs/>
              </w:rPr>
              <w:t xml:space="preserve">Yes</w:t>
            </w:r>
          </w:p>
        </w:tc>
      </w:tr>
      <w:tr>
        <w:tc>
          <w:tcPr/>
          <w:p>
            <w:pPr>
              <w:pStyle w:val="Compact"/>
            </w:pPr>
            <w:r>
              <w:t xml:space="preserve">Asian vs White</w:t>
            </w:r>
          </w:p>
        </w:tc>
        <w:tc>
          <w:tcPr/>
          <w:p>
            <w:pPr>
              <w:pStyle w:val="Compact"/>
            </w:pPr>
            <w:r>
              <w:t xml:space="preserve">1,736</w:t>
            </w:r>
          </w:p>
        </w:tc>
        <w:tc>
          <w:tcPr/>
          <w:p>
            <w:pPr>
              <w:pStyle w:val="Compact"/>
            </w:pPr>
            <w:r>
              <w:t xml:space="preserve">48,173</w:t>
            </w:r>
          </w:p>
        </w:tc>
        <w:tc>
          <w:tcPr/>
          <w:p>
            <w:pPr>
              <w:pStyle w:val="Compact"/>
            </w:pPr>
            <w:r>
              <w:t xml:space="preserve">12.1%</w:t>
            </w:r>
          </w:p>
        </w:tc>
        <w:tc>
          <w:tcPr/>
          <w:p>
            <w:pPr>
              <w:pStyle w:val="Compact"/>
            </w:pPr>
            <w:r>
              <w:t xml:space="preserve">16.3%</w:t>
            </w:r>
          </w:p>
        </w:tc>
        <w:tc>
          <w:tcPr/>
          <w:p>
            <w:pPr>
              <w:pStyle w:val="Compact"/>
            </w:pPr>
            <w:r>
              <w:t xml:space="preserve">-4.66</w:t>
            </w:r>
          </w:p>
        </w:tc>
        <w:tc>
          <w:tcPr/>
          <w:p>
            <w:pPr>
              <w:pStyle w:val="Compact"/>
            </w:pPr>
            <w:r>
              <w:t xml:space="preserve">&lt;0.001</w:t>
            </w:r>
          </w:p>
        </w:tc>
        <w:tc>
          <w:tcPr/>
          <w:p>
            <w:pPr>
              <w:pStyle w:val="Compact"/>
            </w:pPr>
            <w:r>
              <w:rPr>
                <w:b/>
                <w:bCs/>
              </w:rPr>
              <w:t xml:space="preserve">Yes</w:t>
            </w:r>
          </w:p>
        </w:tc>
      </w:tr>
      <w:tr>
        <w:tc>
          <w:tcPr/>
          <w:p>
            <w:pPr>
              <w:pStyle w:val="Compact"/>
            </w:pPr>
            <w:r>
              <w:t xml:space="preserve">AIAN vs White</w:t>
            </w:r>
          </w:p>
        </w:tc>
        <w:tc>
          <w:tcPr/>
          <w:p>
            <w:pPr>
              <w:pStyle w:val="Compact"/>
            </w:pPr>
            <w:r>
              <w:t xml:space="preserve">932</w:t>
            </w:r>
          </w:p>
        </w:tc>
        <w:tc>
          <w:tcPr/>
          <w:p>
            <w:pPr>
              <w:pStyle w:val="Compact"/>
            </w:pPr>
            <w:r>
              <w:t xml:space="preserve">48,173</w:t>
            </w:r>
          </w:p>
        </w:tc>
        <w:tc>
          <w:tcPr/>
          <w:p>
            <w:pPr>
              <w:pStyle w:val="Compact"/>
            </w:pPr>
            <w:r>
              <w:t xml:space="preserve">28.5%</w:t>
            </w:r>
          </w:p>
        </w:tc>
        <w:tc>
          <w:tcPr/>
          <w:p>
            <w:pPr>
              <w:pStyle w:val="Compact"/>
            </w:pPr>
            <w:r>
              <w:t xml:space="preserve">16.3%</w:t>
            </w:r>
          </w:p>
        </w:tc>
        <w:tc>
          <w:tcPr/>
          <w:p>
            <w:pPr>
              <w:pStyle w:val="Compact"/>
            </w:pPr>
            <w:r>
              <w:t xml:space="preserve">9.84</w:t>
            </w:r>
          </w:p>
        </w:tc>
        <w:tc>
          <w:tcPr/>
          <w:p>
            <w:pPr>
              <w:pStyle w:val="Compact"/>
            </w:pPr>
            <w:r>
              <w:t xml:space="preserve">&lt;0.001</w:t>
            </w:r>
          </w:p>
        </w:tc>
        <w:tc>
          <w:tcPr/>
          <w:p>
            <w:pPr>
              <w:pStyle w:val="Compact"/>
            </w:pPr>
            <w:r>
              <w:rPr>
                <w:b/>
                <w:bCs/>
              </w:rPr>
              <w:t xml:space="preserve">Yes</w:t>
            </w:r>
          </w:p>
        </w:tc>
      </w:tr>
    </w:tbl>
    <w:p>
      <w:pPr>
        <w:pStyle w:val="BodyText"/>
      </w:pPr>
      <w:r>
        <w:rPr>
          <w:i/>
          <w:iCs/>
        </w:rPr>
        <w:t xml:space="preserve">Differential selection rates are highly statistically significant but reflect differential testing utilisation, not algorithmic malfunction.</w:t>
      </w:r>
    </w:p>
    <w:bookmarkEnd w:id="28"/>
    <w:bookmarkStart w:id="29" w:name="X757f52c477c91254d73f9213385f4b9e2aefcc0"/>
    <w:p>
      <w:pPr>
        <w:pStyle w:val="Heading4"/>
      </w:pPr>
      <w:r>
        <w:t xml:space="preserve">B. Two-Proportion Z-Tests (Post-Mitigation, Bonferroni alpha=0.0167)</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Comparison</w:t>
            </w:r>
          </w:p>
        </w:tc>
        <w:tc>
          <w:tcPr/>
          <w:p>
            <w:pPr>
              <w:pStyle w:val="Compact"/>
            </w:pPr>
            <w:r>
              <w:t xml:space="preserve">SR1</w:t>
            </w:r>
          </w:p>
        </w:tc>
        <w:tc>
          <w:tcPr/>
          <w:p>
            <w:pPr>
              <w:pStyle w:val="Compact"/>
            </w:pPr>
            <w:r>
              <w:t xml:space="preserve">SR2</w:t>
            </w:r>
          </w:p>
        </w:tc>
        <w:tc>
          <w:tcPr/>
          <w:p>
            <w:pPr>
              <w:pStyle w:val="Compact"/>
            </w:pPr>
            <w:r>
              <w:t xml:space="preserve">z</w:t>
            </w:r>
          </w:p>
        </w:tc>
        <w:tc>
          <w:tcPr/>
          <w:p>
            <w:pPr>
              <w:pStyle w:val="Compact"/>
            </w:pPr>
            <w:r>
              <w:t xml:space="preserve">p-value</w:t>
            </w:r>
          </w:p>
        </w:tc>
        <w:tc>
          <w:tcPr/>
          <w:p>
            <w:pPr>
              <w:pStyle w:val="Compact"/>
            </w:pPr>
            <w:r>
              <w:t xml:space="preserve">Significant</w:t>
            </w:r>
          </w:p>
        </w:tc>
      </w:tr>
      <w:tr>
        <w:tc>
          <w:tcPr/>
          <w:p>
            <w:pPr>
              <w:pStyle w:val="Compact"/>
            </w:pPr>
            <w:r>
              <w:t xml:space="preserve">Black vs White</w:t>
            </w:r>
          </w:p>
        </w:tc>
        <w:tc>
          <w:tcPr/>
          <w:p>
            <w:pPr>
              <w:pStyle w:val="Compact"/>
            </w:pPr>
            <w:r>
              <w:t xml:space="preserve">21.1%</w:t>
            </w:r>
          </w:p>
        </w:tc>
        <w:tc>
          <w:tcPr/>
          <w:p>
            <w:pPr>
              <w:pStyle w:val="Compact"/>
            </w:pPr>
            <w:r>
              <w:t xml:space="preserve">22.5%</w:t>
            </w:r>
          </w:p>
        </w:tc>
        <w:tc>
          <w:tcPr/>
          <w:p>
            <w:pPr>
              <w:pStyle w:val="Compact"/>
            </w:pPr>
            <w:r>
              <w:t xml:space="preserve">-2.34</w:t>
            </w:r>
          </w:p>
        </w:tc>
        <w:tc>
          <w:tcPr/>
          <w:p>
            <w:pPr>
              <w:pStyle w:val="Compact"/>
            </w:pPr>
            <w:r>
              <w:t xml:space="preserve">0.019</w:t>
            </w:r>
          </w:p>
        </w:tc>
        <w:tc>
          <w:tcPr/>
          <w:p>
            <w:pPr>
              <w:pStyle w:val="Compact"/>
            </w:pPr>
            <w:r>
              <w:t xml:space="preserve">No</w:t>
            </w:r>
          </w:p>
        </w:tc>
      </w:tr>
      <w:tr>
        <w:tc>
          <w:tcPr/>
          <w:p>
            <w:pPr>
              <w:pStyle w:val="Compact"/>
            </w:pPr>
            <w:r>
              <w:t xml:space="preserve">Hispanic vs White</w:t>
            </w:r>
          </w:p>
        </w:tc>
        <w:tc>
          <w:tcPr/>
          <w:p>
            <w:pPr>
              <w:pStyle w:val="Compact"/>
            </w:pPr>
            <w:r>
              <w:t xml:space="preserve">22.6%</w:t>
            </w:r>
          </w:p>
        </w:tc>
        <w:tc>
          <w:tcPr/>
          <w:p>
            <w:pPr>
              <w:pStyle w:val="Compact"/>
            </w:pPr>
            <w:r>
              <w:t xml:space="preserve">22.5%</w:t>
            </w:r>
          </w:p>
        </w:tc>
        <w:tc>
          <w:tcPr/>
          <w:p>
            <w:pPr>
              <w:pStyle w:val="Compact"/>
            </w:pPr>
            <w:r>
              <w:t xml:space="preserve">0.06</w:t>
            </w:r>
          </w:p>
        </w:tc>
        <w:tc>
          <w:tcPr/>
          <w:p>
            <w:pPr>
              <w:pStyle w:val="Compact"/>
            </w:pPr>
            <w:r>
              <w:t xml:space="preserve">0.951</w:t>
            </w:r>
          </w:p>
        </w:tc>
        <w:tc>
          <w:tcPr/>
          <w:p>
            <w:pPr>
              <w:pStyle w:val="Compact"/>
            </w:pPr>
            <w:r>
              <w:t xml:space="preserve">No</w:t>
            </w:r>
          </w:p>
        </w:tc>
      </w:tr>
      <w:tr>
        <w:tc>
          <w:tcPr/>
          <w:p>
            <w:pPr>
              <w:pStyle w:val="Compact"/>
            </w:pPr>
            <w:r>
              <w:t xml:space="preserve">Asian vs White</w:t>
            </w:r>
          </w:p>
        </w:tc>
        <w:tc>
          <w:tcPr/>
          <w:p>
            <w:pPr>
              <w:pStyle w:val="Compact"/>
            </w:pPr>
            <w:r>
              <w:t xml:space="preserve">22.7%</w:t>
            </w:r>
          </w:p>
        </w:tc>
        <w:tc>
          <w:tcPr/>
          <w:p>
            <w:pPr>
              <w:pStyle w:val="Compact"/>
            </w:pPr>
            <w:r>
              <w:t xml:space="preserve">22.5%</w:t>
            </w:r>
          </w:p>
        </w:tc>
        <w:tc>
          <w:tcPr/>
          <w:p>
            <w:pPr>
              <w:pStyle w:val="Compact"/>
            </w:pPr>
            <w:r>
              <w:t xml:space="preserve">0.15</w:t>
            </w:r>
          </w:p>
        </w:tc>
        <w:tc>
          <w:tcPr/>
          <w:p>
            <w:pPr>
              <w:pStyle w:val="Compact"/>
            </w:pPr>
            <w:r>
              <w:t xml:space="preserve">0.880</w:t>
            </w:r>
          </w:p>
        </w:tc>
        <w:tc>
          <w:tcPr/>
          <w:p>
            <w:pPr>
              <w:pStyle w:val="Compact"/>
            </w:pPr>
            <w:r>
              <w:t xml:space="preserve">No</w:t>
            </w:r>
          </w:p>
        </w:tc>
      </w:tr>
    </w:tbl>
    <w:p>
      <w:pPr>
        <w:pStyle w:val="BodyText"/>
      </w:pPr>
      <w:r>
        <w:rPr>
          <w:i/>
          <w:iCs/>
        </w:rPr>
        <w:t xml:space="preserve">After DP mitigation, selection rate differences are no longer statistically significant. However, this statistical equivalence is achieved by suppressing selection rates for high-burden groups, as detailed in main text Table 6.</w:t>
      </w:r>
    </w:p>
    <w:bookmarkEnd w:id="29"/>
    <w:bookmarkStart w:id="30" w:name="c.-chi-square-tests-for-independence"/>
    <w:p>
      <w:pPr>
        <w:pStyle w:val="Heading4"/>
      </w:pPr>
      <w:r>
        <w:t xml:space="preserve">C. Chi-Square Tests for Independence</w:t>
      </w:r>
    </w:p>
    <w:tbl>
      <w:tblPr>
        <w:tblStyle w:val="Table"/>
        <w:tblW w:type="pct" w:w="5000"/>
        <w:tblLayout w:type="fixed"/>
        <w:tblLook w:firstRow="1" w:lastRow="0" w:firstColumn="0" w:lastColumn="0" w:noHBand="0" w:noVBand="0" w:val="0020"/>
      </w:tblPr>
      <w:tblGrid>
        <w:gridCol w:w="955"/>
        <w:gridCol w:w="819"/>
        <w:gridCol w:w="546"/>
        <w:gridCol w:w="1228"/>
        <w:gridCol w:w="4369"/>
      </w:tblGrid>
      <w:tr>
        <w:trPr>
          <w:tblHeader w:val="on"/>
        </w:trPr>
        <w:tc>
          <w:tcPr/>
          <w:p>
            <w:pPr>
              <w:pStyle w:val="Compact"/>
            </w:pPr>
            <w:r>
              <w:t xml:space="preserve">Model</w:t>
            </w:r>
          </w:p>
        </w:tc>
        <w:tc>
          <w:tcPr/>
          <w:p>
            <w:pPr>
              <w:pStyle w:val="Compact"/>
            </w:pPr>
            <w:r>
              <w:t xml:space="preserve">Chi-squared</w:t>
            </w:r>
          </w:p>
        </w:tc>
        <w:tc>
          <w:tcPr/>
          <w:p>
            <w:pPr>
              <w:pStyle w:val="Compact"/>
            </w:pPr>
            <w:r>
              <w:t xml:space="preserve">df</w:t>
            </w:r>
          </w:p>
        </w:tc>
        <w:tc>
          <w:tcPr/>
          <w:p>
            <w:pPr>
              <w:pStyle w:val="Compact"/>
            </w:pPr>
            <w:r>
              <w:t xml:space="preserve">p-value</w:t>
            </w:r>
          </w:p>
        </w:tc>
        <w:tc>
          <w:tcPr/>
          <w:p>
            <w:pPr>
              <w:pStyle w:val="Compact"/>
            </w:pPr>
            <w:r>
              <w:t xml:space="preserve">Predictions Independent of Race?</w:t>
            </w:r>
          </w:p>
        </w:tc>
      </w:tr>
      <w:tr>
        <w:tc>
          <w:tcPr/>
          <w:p>
            <w:pPr>
              <w:pStyle w:val="Compact"/>
            </w:pPr>
            <w:r>
              <w:t xml:space="preserve">XGB Baseline</w:t>
            </w:r>
          </w:p>
        </w:tc>
        <w:tc>
          <w:tcPr/>
          <w:p>
            <w:pPr>
              <w:pStyle w:val="Compact"/>
            </w:pPr>
            <w:r>
              <w:t xml:space="preserve">9,450.1</w:t>
            </w:r>
          </w:p>
        </w:tc>
        <w:tc>
          <w:tcPr/>
          <w:p>
            <w:pPr>
              <w:pStyle w:val="Compact"/>
            </w:pPr>
            <w:r>
              <w:t xml:space="preserve">7</w:t>
            </w:r>
          </w:p>
        </w:tc>
        <w:tc>
          <w:tcPr/>
          <w:p>
            <w:pPr>
              <w:pStyle w:val="Compact"/>
            </w:pPr>
            <w:r>
              <w:t xml:space="preserve">&lt;10^-300</w:t>
            </w:r>
          </w:p>
        </w:tc>
        <w:tc>
          <w:tcPr/>
          <w:p>
            <w:pPr>
              <w:pStyle w:val="Compact"/>
            </w:pPr>
            <w:r>
              <w:rPr>
                <w:b/>
                <w:bCs/>
              </w:rPr>
              <w:t xml:space="preserve">No</w:t>
            </w:r>
          </w:p>
        </w:tc>
      </w:tr>
      <w:tr>
        <w:tc>
          <w:tcPr/>
          <w:p>
            <w:pPr>
              <w:pStyle w:val="Compact"/>
            </w:pPr>
            <w:r>
              <w:t xml:space="preserve">XGB + ThresholdOpt (DP)</w:t>
            </w:r>
          </w:p>
        </w:tc>
        <w:tc>
          <w:tcPr/>
          <w:p>
            <w:pPr>
              <w:pStyle w:val="Compact"/>
            </w:pPr>
            <w:r>
              <w:t xml:space="preserve">15.3</w:t>
            </w:r>
          </w:p>
        </w:tc>
        <w:tc>
          <w:tcPr/>
          <w:p>
            <w:pPr>
              <w:pStyle w:val="Compact"/>
            </w:pPr>
            <w:r>
              <w:t xml:space="preserve">7</w:t>
            </w:r>
          </w:p>
        </w:tc>
        <w:tc>
          <w:tcPr/>
          <w:p>
            <w:pPr>
              <w:pStyle w:val="Compact"/>
            </w:pPr>
            <w:r>
              <w:t xml:space="preserve">0.033</w:t>
            </w:r>
          </w:p>
        </w:tc>
        <w:tc>
          <w:tcPr/>
          <w:p>
            <w:pPr>
              <w:pStyle w:val="Compact"/>
            </w:pPr>
            <w:r>
              <w:t xml:space="preserve">Marginal</w:t>
            </w:r>
          </w:p>
        </w:tc>
      </w:tr>
      <w:tr>
        <w:tc>
          <w:tcPr/>
          <w:p>
            <w:pPr>
              <w:pStyle w:val="Compact"/>
            </w:pPr>
            <w:r>
              <w:t xml:space="preserve">ExpGrad (DP)</w:t>
            </w:r>
          </w:p>
        </w:tc>
        <w:tc>
          <w:tcPr/>
          <w:p>
            <w:pPr>
              <w:pStyle w:val="Compact"/>
            </w:pPr>
            <w:r>
              <w:t xml:space="preserve">31.2</w:t>
            </w:r>
          </w:p>
        </w:tc>
        <w:tc>
          <w:tcPr/>
          <w:p>
            <w:pPr>
              <w:pStyle w:val="Compact"/>
            </w:pPr>
            <w:r>
              <w:t xml:space="preserve">7</w:t>
            </w:r>
          </w:p>
        </w:tc>
        <w:tc>
          <w:tcPr/>
          <w:p>
            <w:pPr>
              <w:pStyle w:val="Compact"/>
            </w:pPr>
            <w:r>
              <w:t xml:space="preserve">5.68x10^-5</w:t>
            </w:r>
          </w:p>
        </w:tc>
        <w:tc>
          <w:tcPr/>
          <w:p>
            <w:pPr>
              <w:pStyle w:val="Compact"/>
            </w:pPr>
            <w:r>
              <w:rPr>
                <w:b/>
                <w:bCs/>
              </w:rPr>
              <w:t xml:space="preserve">No</w:t>
            </w:r>
          </w:p>
        </w:tc>
      </w:tr>
      <w:tr>
        <w:tc>
          <w:tcPr/>
          <w:p>
            <w:pPr>
              <w:pStyle w:val="Compact"/>
            </w:pPr>
            <w:r>
              <w:t xml:space="preserve">XGB No Race</w:t>
            </w:r>
          </w:p>
        </w:tc>
        <w:tc>
          <w:tcPr/>
          <w:p>
            <w:pPr>
              <w:pStyle w:val="Compact"/>
            </w:pPr>
            <w:r>
              <w:t xml:space="preserve">1,116.0</w:t>
            </w:r>
          </w:p>
        </w:tc>
        <w:tc>
          <w:tcPr/>
          <w:p>
            <w:pPr>
              <w:pStyle w:val="Compact"/>
            </w:pPr>
            <w:r>
              <w:t xml:space="preserve">7</w:t>
            </w:r>
          </w:p>
        </w:tc>
        <w:tc>
          <w:tcPr/>
          <w:p>
            <w:pPr>
              <w:pStyle w:val="Compact"/>
            </w:pPr>
            <w:r>
              <w:t xml:space="preserve">1.03x10^-236</w:t>
            </w:r>
          </w:p>
        </w:tc>
        <w:tc>
          <w:tcPr/>
          <w:p>
            <w:pPr>
              <w:pStyle w:val="Compact"/>
            </w:pPr>
            <w:r>
              <w:rPr>
                <w:b/>
                <w:bCs/>
              </w:rPr>
              <w:t xml:space="preserve">No</w:t>
            </w:r>
          </w:p>
        </w:tc>
      </w:tr>
    </w:tbl>
    <w:p>
      <w:pPr>
        <w:pStyle w:val="BodyText"/>
      </w:pPr>
      <w:r>
        <w:rPr>
          <w:i/>
          <w:iCs/>
        </w:rPr>
        <w:t xml:space="preserve">Race-blind models still show strong dependence between predictions and race (chi-squared = 1,116, p &lt; 10^-236), confirming that 70% of differential prediction persists through race-correlated features.</w:t>
      </w:r>
    </w:p>
    <w:bookmarkEnd w:id="30"/>
    <w:bookmarkStart w:id="31" w:name="d.-mcnemars-test-baseline-vs.-mitigated"/>
    <w:p>
      <w:pPr>
        <w:pStyle w:val="Heading4"/>
      </w:pPr>
      <w:r>
        <w:t xml:space="preserve">D. McNemar’s Test (Baseline vs. Mitigated)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Comparison</w:t>
            </w:r>
          </w:p>
        </w:tc>
        <w:tc>
          <w:tcPr/>
          <w:p>
            <w:pPr>
              <w:pStyle w:val="Compact"/>
            </w:pPr>
            <w:r>
              <w:t xml:space="preserve">Discordant (b)</w:t>
            </w:r>
          </w:p>
        </w:tc>
        <w:tc>
          <w:tcPr/>
          <w:p>
            <w:pPr>
              <w:pStyle w:val="Compact"/>
            </w:pPr>
            <w:r>
              <w:t xml:space="preserve">Discordant (c)</w:t>
            </w:r>
          </w:p>
        </w:tc>
        <w:tc>
          <w:tcPr/>
          <w:p>
            <w:pPr>
              <w:pStyle w:val="Compact"/>
            </w:pPr>
            <w:r>
              <w:t xml:space="preserve">Chi-squared</w:t>
            </w:r>
          </w:p>
        </w:tc>
        <w:tc>
          <w:tcPr/>
          <w:p>
            <w:pPr>
              <w:pStyle w:val="Compact"/>
            </w:pPr>
            <w:r>
              <w:t xml:space="preserve">p-value</w:t>
            </w:r>
          </w:p>
        </w:tc>
      </w:tr>
      <w:tr>
        <w:tc>
          <w:tcPr/>
          <w:p>
            <w:pPr>
              <w:pStyle w:val="Compact"/>
            </w:pPr>
            <w:r>
              <w:t xml:space="preserve">XGB Base vs XGB+TO (DP)</w:t>
            </w:r>
          </w:p>
        </w:tc>
        <w:tc>
          <w:tcPr/>
          <w:p>
            <w:pPr>
              <w:pStyle w:val="Compact"/>
            </w:pPr>
            <w:r>
              <w:t xml:space="preserve">4,363</w:t>
            </w:r>
          </w:p>
        </w:tc>
        <w:tc>
          <w:tcPr/>
          <w:p>
            <w:pPr>
              <w:pStyle w:val="Compact"/>
            </w:pPr>
            <w:r>
              <w:t xml:space="preserve">3,239</w:t>
            </w:r>
          </w:p>
        </w:tc>
        <w:tc>
          <w:tcPr/>
          <w:p>
            <w:pPr>
              <w:pStyle w:val="Compact"/>
            </w:pPr>
            <w:r>
              <w:t xml:space="preserve">165.89</w:t>
            </w:r>
          </w:p>
        </w:tc>
        <w:tc>
          <w:tcPr/>
          <w:p>
            <w:pPr>
              <w:pStyle w:val="Compact"/>
            </w:pPr>
            <w:r>
              <w:t xml:space="preserve">5.83x10^-38</w:t>
            </w:r>
          </w:p>
        </w:tc>
      </w:tr>
    </w:tbl>
    <w:bookmarkEnd w:id="31"/>
    <w:bookmarkEnd w:id="32"/>
    <w:bookmarkStart w:id="33" w:name="Xd5def65c7952c24fd19a98a152b2e48de2ef34e"/>
    <w:p>
      <w:pPr>
        <w:pStyle w:val="Heading3"/>
      </w:pPr>
      <w:r>
        <w:t xml:space="preserve">Table S8. Bootstrap Confidence Intervals (500 Iterations)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Model</w:t>
            </w:r>
          </w:p>
        </w:tc>
        <w:tc>
          <w:tcPr/>
          <w:p>
            <w:pPr>
              <w:pStyle w:val="Compact"/>
            </w:pPr>
            <w:r>
              <w:t xml:space="preserve">Metric</w:t>
            </w:r>
          </w:p>
        </w:tc>
        <w:tc>
          <w:tcPr/>
          <w:p>
            <w:pPr>
              <w:pStyle w:val="Compact"/>
            </w:pPr>
            <w:r>
              <w:t xml:space="preserve">Point Estimate</w:t>
            </w:r>
          </w:p>
        </w:tc>
        <w:tc>
          <w:tcPr/>
          <w:p>
            <w:pPr>
              <w:pStyle w:val="Compact"/>
            </w:pPr>
            <w:r>
              <w:t xml:space="preserve">2.5%</w:t>
            </w:r>
          </w:p>
        </w:tc>
        <w:tc>
          <w:tcPr/>
          <w:p>
            <w:pPr>
              <w:pStyle w:val="Compact"/>
            </w:pPr>
            <w:r>
              <w:t xml:space="preserve">97.5%</w:t>
            </w:r>
          </w:p>
        </w:tc>
        <w:tc>
          <w:tcPr/>
          <w:p>
            <w:pPr>
              <w:pStyle w:val="Compact"/>
            </w:pPr>
            <w:r>
              <w:t xml:space="preserve">SE</w:t>
            </w:r>
          </w:p>
        </w:tc>
      </w:tr>
      <w:tr>
        <w:tc>
          <w:tcPr/>
          <w:p>
            <w:pPr>
              <w:pStyle w:val="Compact"/>
            </w:pPr>
            <w:r>
              <w:t xml:space="preserve">XGB Baseline</w:t>
            </w:r>
          </w:p>
        </w:tc>
        <w:tc>
          <w:tcPr/>
          <w:p>
            <w:pPr>
              <w:pStyle w:val="Compact"/>
            </w:pPr>
            <w:r>
              <w:t xml:space="preserve">DPD</w:t>
            </w:r>
          </w:p>
        </w:tc>
        <w:tc>
          <w:tcPr/>
          <w:p>
            <w:pPr>
              <w:pStyle w:val="Compact"/>
            </w:pPr>
            <w:r>
              <w:t xml:space="preserve">0.539</w:t>
            </w:r>
          </w:p>
        </w:tc>
        <w:tc>
          <w:tcPr/>
          <w:p>
            <w:pPr>
              <w:pStyle w:val="Compact"/>
            </w:pPr>
            <w:r>
              <w:t xml:space="preserve">0.518</w:t>
            </w:r>
          </w:p>
        </w:tc>
        <w:tc>
          <w:tcPr/>
          <w:p>
            <w:pPr>
              <w:pStyle w:val="Compact"/>
            </w:pPr>
            <w:r>
              <w:t xml:space="preserve">0.560</w:t>
            </w:r>
          </w:p>
        </w:tc>
        <w:tc>
          <w:tcPr/>
          <w:p>
            <w:pPr>
              <w:pStyle w:val="Compact"/>
            </w:pPr>
            <w:r>
              <w:t xml:space="preserve">0.011</w:t>
            </w:r>
          </w:p>
        </w:tc>
      </w:tr>
      <w:tr>
        <w:tc>
          <w:tcPr/>
          <w:p>
            <w:pPr>
              <w:pStyle w:val="Compact"/>
            </w:pPr>
            <w:r>
              <w:t xml:space="preserve">XGB Baseline</w:t>
            </w:r>
          </w:p>
        </w:tc>
        <w:tc>
          <w:tcPr/>
          <w:p>
            <w:pPr>
              <w:pStyle w:val="Compact"/>
            </w:pPr>
            <w:r>
              <w:t xml:space="preserve">EOD</w:t>
            </w:r>
          </w:p>
        </w:tc>
        <w:tc>
          <w:tcPr/>
          <w:p>
            <w:pPr>
              <w:pStyle w:val="Compact"/>
            </w:pPr>
            <w:r>
              <w:t xml:space="preserve">0.586</w:t>
            </w:r>
          </w:p>
        </w:tc>
        <w:tc>
          <w:tcPr/>
          <w:p>
            <w:pPr>
              <w:pStyle w:val="Compact"/>
            </w:pPr>
            <w:r>
              <w:t xml:space="preserve">0.563</w:t>
            </w:r>
          </w:p>
        </w:tc>
        <w:tc>
          <w:tcPr/>
          <w:p>
            <w:pPr>
              <w:pStyle w:val="Compact"/>
            </w:pPr>
            <w:r>
              <w:t xml:space="preserve">0.609</w:t>
            </w:r>
          </w:p>
        </w:tc>
        <w:tc>
          <w:tcPr/>
          <w:p>
            <w:pPr>
              <w:pStyle w:val="Compact"/>
            </w:pPr>
            <w:r>
              <w:t xml:space="preserve">0.012</w:t>
            </w:r>
          </w:p>
        </w:tc>
      </w:tr>
      <w:tr>
        <w:tc>
          <w:tcPr/>
          <w:p>
            <w:pPr>
              <w:pStyle w:val="Compact"/>
            </w:pPr>
            <w:r>
              <w:t xml:space="preserve">XGB + TO (DP)</w:t>
            </w:r>
          </w:p>
        </w:tc>
        <w:tc>
          <w:tcPr/>
          <w:p>
            <w:pPr>
              <w:pStyle w:val="Compact"/>
            </w:pPr>
            <w:r>
              <w:t xml:space="preserve">DPD</w:t>
            </w:r>
          </w:p>
        </w:tc>
        <w:tc>
          <w:tcPr/>
          <w:p>
            <w:pPr>
              <w:pStyle w:val="Compact"/>
            </w:pPr>
            <w:r>
              <w:t xml:space="preserve">0.078</w:t>
            </w:r>
          </w:p>
        </w:tc>
        <w:tc>
          <w:tcPr/>
          <w:p>
            <w:pPr>
              <w:pStyle w:val="Compact"/>
            </w:pPr>
            <w:r>
              <w:t xml:space="preserve">0.037</w:t>
            </w:r>
          </w:p>
        </w:tc>
        <w:tc>
          <w:tcPr/>
          <w:p>
            <w:pPr>
              <w:pStyle w:val="Compact"/>
            </w:pPr>
            <w:r>
              <w:t xml:space="preserve">0.126</w:t>
            </w:r>
          </w:p>
        </w:tc>
        <w:tc>
          <w:tcPr/>
          <w:p>
            <w:pPr>
              <w:pStyle w:val="Compact"/>
            </w:pPr>
            <w:r>
              <w:t xml:space="preserve">0.023</w:t>
            </w:r>
          </w:p>
        </w:tc>
      </w:tr>
      <w:tr>
        <w:tc>
          <w:tcPr/>
          <w:p>
            <w:pPr>
              <w:pStyle w:val="Compact"/>
            </w:pPr>
            <w:r>
              <w:t xml:space="preserve">XGB + TO (DP)</w:t>
            </w:r>
          </w:p>
        </w:tc>
        <w:tc>
          <w:tcPr/>
          <w:p>
            <w:pPr>
              <w:pStyle w:val="Compact"/>
            </w:pPr>
            <w:r>
              <w:t xml:space="preserve">EOD</w:t>
            </w:r>
          </w:p>
        </w:tc>
        <w:tc>
          <w:tcPr/>
          <w:p>
            <w:pPr>
              <w:pStyle w:val="Compact"/>
            </w:pPr>
            <w:r>
              <w:t xml:space="preserve">0.140</w:t>
            </w:r>
          </w:p>
        </w:tc>
        <w:tc>
          <w:tcPr/>
          <w:p>
            <w:pPr>
              <w:pStyle w:val="Compact"/>
            </w:pPr>
            <w:r>
              <w:t xml:space="preserve">0.095</w:t>
            </w:r>
          </w:p>
        </w:tc>
        <w:tc>
          <w:tcPr/>
          <w:p>
            <w:pPr>
              <w:pStyle w:val="Compact"/>
            </w:pPr>
            <w:r>
              <w:t xml:space="preserve">0.192</w:t>
            </w:r>
          </w:p>
        </w:tc>
        <w:tc>
          <w:tcPr/>
          <w:p>
            <w:pPr>
              <w:pStyle w:val="Compact"/>
            </w:pPr>
            <w:r>
              <w:t xml:space="preserve">0.025</w:t>
            </w:r>
          </w:p>
        </w:tc>
      </w:tr>
      <w:tr>
        <w:tc>
          <w:tcPr/>
          <w:p>
            <w:pPr>
              <w:pStyle w:val="Compact"/>
            </w:pPr>
            <w:r>
              <w:t xml:space="preserve">ExpGrad (DP)</w:t>
            </w:r>
          </w:p>
        </w:tc>
        <w:tc>
          <w:tcPr/>
          <w:p>
            <w:pPr>
              <w:pStyle w:val="Compact"/>
            </w:pPr>
            <w:r>
              <w:t xml:space="preserve">DPD</w:t>
            </w:r>
          </w:p>
        </w:tc>
        <w:tc>
          <w:tcPr/>
          <w:p>
            <w:pPr>
              <w:pStyle w:val="Compact"/>
            </w:pPr>
            <w:r>
              <w:t xml:space="preserve">0.060</w:t>
            </w:r>
          </w:p>
        </w:tc>
        <w:tc>
          <w:tcPr/>
          <w:p>
            <w:pPr>
              <w:pStyle w:val="Compact"/>
            </w:pPr>
            <w:r>
              <w:t xml:space="preserve">0.033</w:t>
            </w:r>
          </w:p>
        </w:tc>
        <w:tc>
          <w:tcPr/>
          <w:p>
            <w:pPr>
              <w:pStyle w:val="Compact"/>
            </w:pPr>
            <w:r>
              <w:t xml:space="preserve">0.094</w:t>
            </w:r>
          </w:p>
        </w:tc>
        <w:tc>
          <w:tcPr/>
          <w:p>
            <w:pPr>
              <w:pStyle w:val="Compact"/>
            </w:pPr>
            <w:r>
              <w:t xml:space="preserve">0.016</w:t>
            </w:r>
          </w:p>
        </w:tc>
      </w:tr>
      <w:tr>
        <w:tc>
          <w:tcPr/>
          <w:p>
            <w:pPr>
              <w:pStyle w:val="Compact"/>
            </w:pPr>
            <w:r>
              <w:t xml:space="preserve">ExpGrad (DP)</w:t>
            </w:r>
          </w:p>
        </w:tc>
        <w:tc>
          <w:tcPr/>
          <w:p>
            <w:pPr>
              <w:pStyle w:val="Compact"/>
            </w:pPr>
            <w:r>
              <w:t xml:space="preserve">EOD</w:t>
            </w:r>
          </w:p>
        </w:tc>
        <w:tc>
          <w:tcPr/>
          <w:p>
            <w:pPr>
              <w:pStyle w:val="Compact"/>
            </w:pPr>
            <w:r>
              <w:t xml:space="preserve">0.093</w:t>
            </w:r>
          </w:p>
        </w:tc>
        <w:tc>
          <w:tcPr/>
          <w:p>
            <w:pPr>
              <w:pStyle w:val="Compact"/>
            </w:pPr>
            <w:r>
              <w:t xml:space="preserve">0.058</w:t>
            </w:r>
          </w:p>
        </w:tc>
        <w:tc>
          <w:tcPr/>
          <w:p>
            <w:pPr>
              <w:pStyle w:val="Compact"/>
            </w:pPr>
            <w:r>
              <w:t xml:space="preserve">0.134</w:t>
            </w:r>
          </w:p>
        </w:tc>
        <w:tc>
          <w:tcPr/>
          <w:p>
            <w:pPr>
              <w:pStyle w:val="Compact"/>
            </w:pPr>
            <w:r>
              <w:t xml:space="preserve">0.019</w:t>
            </w:r>
          </w:p>
        </w:tc>
      </w:tr>
      <w:tr>
        <w:tc>
          <w:tcPr/>
          <w:p>
            <w:pPr>
              <w:pStyle w:val="Compact"/>
            </w:pPr>
            <w:r>
              <w:t xml:space="preserve">XGB No Race</w:t>
            </w:r>
          </w:p>
        </w:tc>
        <w:tc>
          <w:tcPr/>
          <w:p>
            <w:pPr>
              <w:pStyle w:val="Compact"/>
            </w:pPr>
            <w:r>
              <w:t xml:space="preserve">DPD</w:t>
            </w:r>
          </w:p>
        </w:tc>
        <w:tc>
          <w:tcPr/>
          <w:p>
            <w:pPr>
              <w:pStyle w:val="Compact"/>
            </w:pPr>
            <w:r>
              <w:t xml:space="preserve">0.168</w:t>
            </w:r>
          </w:p>
        </w:tc>
        <w:tc>
          <w:tcPr/>
          <w:p>
            <w:pPr>
              <w:pStyle w:val="Compact"/>
            </w:pPr>
            <w:r>
              <w:t xml:space="preserve">0.157</w:t>
            </w:r>
          </w:p>
        </w:tc>
        <w:tc>
          <w:tcPr/>
          <w:p>
            <w:pPr>
              <w:pStyle w:val="Compact"/>
            </w:pPr>
            <w:r>
              <w:t xml:space="preserve">0.181</w:t>
            </w:r>
          </w:p>
        </w:tc>
        <w:tc>
          <w:tcPr/>
          <w:p>
            <w:pPr>
              <w:pStyle w:val="Compact"/>
            </w:pPr>
            <w:r>
              <w:t xml:space="preserve">0.006</w:t>
            </w:r>
          </w:p>
        </w:tc>
      </w:tr>
      <w:tr>
        <w:tc>
          <w:tcPr/>
          <w:p>
            <w:pPr>
              <w:pStyle w:val="Compact"/>
            </w:pPr>
            <w:r>
              <w:t xml:space="preserve">XGB No Race</w:t>
            </w:r>
          </w:p>
        </w:tc>
        <w:tc>
          <w:tcPr/>
          <w:p>
            <w:pPr>
              <w:pStyle w:val="Compact"/>
            </w:pPr>
            <w:r>
              <w:t xml:space="preserve">EOD</w:t>
            </w:r>
          </w:p>
        </w:tc>
        <w:tc>
          <w:tcPr/>
          <w:p>
            <w:pPr>
              <w:pStyle w:val="Compact"/>
            </w:pPr>
            <w:r>
              <w:t xml:space="preserve">0.166</w:t>
            </w:r>
          </w:p>
        </w:tc>
        <w:tc>
          <w:tcPr/>
          <w:p>
            <w:pPr>
              <w:pStyle w:val="Compact"/>
            </w:pPr>
            <w:r>
              <w:t xml:space="preserve">0.152</w:t>
            </w:r>
          </w:p>
        </w:tc>
        <w:tc>
          <w:tcPr/>
          <w:p>
            <w:pPr>
              <w:pStyle w:val="Compact"/>
            </w:pPr>
            <w:r>
              <w:t xml:space="preserve">0.181</w:t>
            </w:r>
          </w:p>
        </w:tc>
        <w:tc>
          <w:tcPr/>
          <w:p>
            <w:pPr>
              <w:pStyle w:val="Compact"/>
            </w:pPr>
            <w:r>
              <w:t xml:space="preserve">0.007</w:t>
            </w:r>
          </w:p>
        </w:tc>
      </w:tr>
    </w:tbl>
    <w:p>
      <w:pPr>
        <w:pStyle w:val="BodyText"/>
      </w:pPr>
      <w:r>
        <w:rPr>
          <w:i/>
          <w:iCs/>
        </w:rPr>
        <w:t xml:space="preserve">Baseline and mitigated DPD distributions show no overlap (baseline 95% CI: [0.518, 0.560]; mitigated 95% CI: [0.037, 0.126]), confirming that DPD reduction is robust. Mitigated estimates show wider CIs, reflecting greater variability in group-specific threshold selection.</w:t>
      </w:r>
    </w:p>
    <w:bookmarkEnd w:id="33"/>
    <w:bookmarkStart w:id="34" w:name="X06520a35935bb7a5589587dfe0befa025ae9ac2"/>
    <w:p>
      <w:pPr>
        <w:pStyle w:val="Heading3"/>
      </w:pPr>
      <w:r>
        <w:t xml:space="preserve">Table S9. Clinical Utility: Decision Curve Analysis</w:t>
      </w:r>
    </w:p>
    <w:tbl>
      <w:tblPr>
        <w:tblStyle w:val="Table"/>
        <w:tblW w:type="pct" w:w="5000"/>
        <w:tblLayout w:type="fixed"/>
        <w:tblLook w:firstRow="1" w:lastRow="0" w:firstColumn="0" w:lastColumn="0" w:noHBand="0" w:noVBand="0" w:val="0020"/>
      </w:tblPr>
      <w:tblGrid>
        <w:gridCol w:w="1089"/>
        <w:gridCol w:w="2079"/>
        <w:gridCol w:w="2475"/>
        <w:gridCol w:w="1089"/>
        <w:gridCol w:w="1188"/>
      </w:tblGrid>
      <w:tr>
        <w:trPr>
          <w:tblHeader w:val="on"/>
        </w:trPr>
        <w:tc>
          <w:tcPr/>
          <w:p>
            <w:pPr>
              <w:pStyle w:val="Compact"/>
            </w:pPr>
            <w:r>
              <w:t xml:space="preserve">Threshold</w:t>
            </w:r>
          </w:p>
        </w:tc>
        <w:tc>
          <w:tcPr/>
          <w:p>
            <w:pPr>
              <w:pStyle w:val="Compact"/>
            </w:pPr>
            <w:r>
              <w:t xml:space="preserve">Baseline Net Benefit</w:t>
            </w:r>
          </w:p>
        </w:tc>
        <w:tc>
          <w:tcPr/>
          <w:p>
            <w:pPr>
              <w:pStyle w:val="Compact"/>
            </w:pPr>
            <w:r>
              <w:t xml:space="preserve">DP-Mitigated Net Benefit</w:t>
            </w:r>
          </w:p>
        </w:tc>
        <w:tc>
          <w:tcPr/>
          <w:p>
            <w:pPr>
              <w:pStyle w:val="Compact"/>
            </w:pPr>
            <w:r>
              <w:t xml:space="preserve">Treat All</w:t>
            </w:r>
          </w:p>
        </w:tc>
        <w:tc>
          <w:tcPr/>
          <w:p>
            <w:pPr>
              <w:pStyle w:val="Compact"/>
            </w:pPr>
            <w:r>
              <w:t xml:space="preserve">Treat None</w:t>
            </w:r>
          </w:p>
        </w:tc>
      </w:tr>
      <w:tr>
        <w:tc>
          <w:tcPr/>
          <w:p>
            <w:pPr>
              <w:pStyle w:val="Compact"/>
            </w:pPr>
            <w:r>
              <w:t xml:space="preserve">0.20</w:t>
            </w:r>
          </w:p>
        </w:tc>
        <w:tc>
          <w:tcPr/>
          <w:p>
            <w:pPr>
              <w:pStyle w:val="Compact"/>
            </w:pPr>
            <w:r>
              <w:t xml:space="preserve">0.198</w:t>
            </w:r>
          </w:p>
        </w:tc>
        <w:tc>
          <w:tcPr/>
          <w:p>
            <w:pPr>
              <w:pStyle w:val="Compact"/>
            </w:pPr>
            <w:r>
              <w:t xml:space="preserve">0.185</w:t>
            </w:r>
          </w:p>
        </w:tc>
        <w:tc>
          <w:tcPr/>
          <w:p>
            <w:pPr>
              <w:pStyle w:val="Compact"/>
            </w:pPr>
            <w:r>
              <w:t xml:space="preserve">0.263</w:t>
            </w:r>
          </w:p>
        </w:tc>
        <w:tc>
          <w:tcPr/>
          <w:p>
            <w:pPr>
              <w:pStyle w:val="Compact"/>
            </w:pPr>
            <w:r>
              <w:t xml:space="preserve">0.000</w:t>
            </w:r>
          </w:p>
        </w:tc>
      </w:tr>
      <w:tr>
        <w:tc>
          <w:tcPr/>
          <w:p>
            <w:pPr>
              <w:pStyle w:val="Compact"/>
            </w:pPr>
            <w:r>
              <w:t xml:space="preserve">0.25</w:t>
            </w:r>
          </w:p>
        </w:tc>
        <w:tc>
          <w:tcPr/>
          <w:p>
            <w:pPr>
              <w:pStyle w:val="Compact"/>
            </w:pPr>
            <w:r>
              <w:t xml:space="preserve">0.182</w:t>
            </w:r>
          </w:p>
        </w:tc>
        <w:tc>
          <w:tcPr/>
          <w:p>
            <w:pPr>
              <w:pStyle w:val="Compact"/>
            </w:pPr>
            <w:r>
              <w:t xml:space="preserve">0.175</w:t>
            </w:r>
          </w:p>
        </w:tc>
        <w:tc>
          <w:tcPr/>
          <w:p>
            <w:pPr>
              <w:pStyle w:val="Compact"/>
            </w:pPr>
            <w:r>
              <w:t xml:space="preserve">0.178</w:t>
            </w:r>
          </w:p>
        </w:tc>
        <w:tc>
          <w:tcPr/>
          <w:p>
            <w:pPr>
              <w:pStyle w:val="Compact"/>
            </w:pPr>
            <w:r>
              <w:t xml:space="preserve">0.000</w:t>
            </w:r>
          </w:p>
        </w:tc>
      </w:tr>
      <w:tr>
        <w:tc>
          <w:tcPr/>
          <w:p>
            <w:pPr>
              <w:pStyle w:val="Compact"/>
            </w:pPr>
            <w:r>
              <w:t xml:space="preserve">0.30</w:t>
            </w:r>
          </w:p>
        </w:tc>
        <w:tc>
          <w:tcPr/>
          <w:p>
            <w:pPr>
              <w:pStyle w:val="Compact"/>
            </w:pPr>
            <w:r>
              <w:t xml:space="preserve">0.169</w:t>
            </w:r>
          </w:p>
        </w:tc>
        <w:tc>
          <w:tcPr/>
          <w:p>
            <w:pPr>
              <w:pStyle w:val="Compact"/>
            </w:pPr>
            <w:r>
              <w:t xml:space="preserve">0.164</w:t>
            </w:r>
          </w:p>
        </w:tc>
        <w:tc>
          <w:tcPr/>
          <w:p>
            <w:pPr>
              <w:pStyle w:val="Compact"/>
            </w:pPr>
            <w:r>
              <w:t xml:space="preserve">0.113</w:t>
            </w:r>
          </w:p>
        </w:tc>
        <w:tc>
          <w:tcPr/>
          <w:p>
            <w:pPr>
              <w:pStyle w:val="Compact"/>
            </w:pPr>
            <w:r>
              <w:t xml:space="preserve">0.000</w:t>
            </w:r>
          </w:p>
        </w:tc>
      </w:tr>
      <w:tr>
        <w:tc>
          <w:tcPr/>
          <w:p>
            <w:pPr>
              <w:pStyle w:val="Compact"/>
            </w:pPr>
            <w:r>
              <w:t xml:space="preserve">0.35</w:t>
            </w:r>
          </w:p>
        </w:tc>
        <w:tc>
          <w:tcPr/>
          <w:p>
            <w:pPr>
              <w:pStyle w:val="Compact"/>
            </w:pPr>
            <w:r>
              <w:t xml:space="preserve">0.135</w:t>
            </w:r>
          </w:p>
        </w:tc>
        <w:tc>
          <w:tcPr/>
          <w:p>
            <w:pPr>
              <w:pStyle w:val="Compact"/>
            </w:pPr>
            <w:r>
              <w:t xml:space="preserve">0.148</w:t>
            </w:r>
          </w:p>
        </w:tc>
        <w:tc>
          <w:tcPr/>
          <w:p>
            <w:pPr>
              <w:pStyle w:val="Compact"/>
            </w:pPr>
            <w:r>
              <w:t xml:space="preserve">0.044</w:t>
            </w:r>
          </w:p>
        </w:tc>
        <w:tc>
          <w:tcPr/>
          <w:p>
            <w:pPr>
              <w:pStyle w:val="Compact"/>
            </w:pPr>
            <w:r>
              <w:t xml:space="preserve">0.000</w:t>
            </w:r>
          </w:p>
        </w:tc>
      </w:tr>
      <w:tr>
        <w:tc>
          <w:tcPr/>
          <w:p>
            <w:pPr>
              <w:pStyle w:val="Compact"/>
            </w:pPr>
            <w:r>
              <w:t xml:space="preserve">0.40</w:t>
            </w:r>
          </w:p>
        </w:tc>
        <w:tc>
          <w:tcPr/>
          <w:p>
            <w:pPr>
              <w:pStyle w:val="Compact"/>
            </w:pPr>
            <w:r>
              <w:t xml:space="preserve">0.102</w:t>
            </w:r>
          </w:p>
        </w:tc>
        <w:tc>
          <w:tcPr/>
          <w:p>
            <w:pPr>
              <w:pStyle w:val="Compact"/>
            </w:pPr>
            <w:r>
              <w:t xml:space="preserve">0.128</w:t>
            </w:r>
          </w:p>
        </w:tc>
        <w:tc>
          <w:tcPr/>
          <w:p>
            <w:pPr>
              <w:pStyle w:val="Compact"/>
            </w:pPr>
            <w:r>
              <w:t xml:space="preserve">-0.035</w:t>
            </w:r>
          </w:p>
        </w:tc>
        <w:tc>
          <w:tcPr/>
          <w:p>
            <w:pPr>
              <w:pStyle w:val="Compact"/>
            </w:pPr>
            <w:r>
              <w:t xml:space="preserve">0.000</w:t>
            </w:r>
          </w:p>
        </w:tc>
      </w:tr>
      <w:tr>
        <w:tc>
          <w:tcPr/>
          <w:p>
            <w:pPr>
              <w:pStyle w:val="Compact"/>
            </w:pPr>
            <w:r>
              <w:t xml:space="preserve">0.45</w:t>
            </w:r>
          </w:p>
        </w:tc>
        <w:tc>
          <w:tcPr/>
          <w:p>
            <w:pPr>
              <w:pStyle w:val="Compact"/>
            </w:pPr>
            <w:r>
              <w:t xml:space="preserve">0.077</w:t>
            </w:r>
          </w:p>
        </w:tc>
        <w:tc>
          <w:tcPr/>
          <w:p>
            <w:pPr>
              <w:pStyle w:val="Compact"/>
            </w:pPr>
            <w:r>
              <w:t xml:space="preserve">0.105</w:t>
            </w:r>
          </w:p>
        </w:tc>
        <w:tc>
          <w:tcPr/>
          <w:p>
            <w:pPr>
              <w:pStyle w:val="Compact"/>
            </w:pPr>
            <w:r>
              <w:t xml:space="preserve">-0.129</w:t>
            </w:r>
          </w:p>
        </w:tc>
        <w:tc>
          <w:tcPr/>
          <w:p>
            <w:pPr>
              <w:pStyle w:val="Compact"/>
            </w:pPr>
            <w:r>
              <w:t xml:space="preserve">0.000</w:t>
            </w:r>
          </w:p>
        </w:tc>
      </w:tr>
      <w:tr>
        <w:tc>
          <w:tcPr/>
          <w:p>
            <w:pPr>
              <w:pStyle w:val="Compact"/>
            </w:pPr>
            <w:r>
              <w:t xml:space="preserve">0.50</w:t>
            </w:r>
          </w:p>
        </w:tc>
        <w:tc>
          <w:tcPr/>
          <w:p>
            <w:pPr>
              <w:pStyle w:val="Compact"/>
            </w:pPr>
            <w:r>
              <w:t xml:space="preserve">0.055</w:t>
            </w:r>
          </w:p>
        </w:tc>
        <w:tc>
          <w:tcPr/>
          <w:p>
            <w:pPr>
              <w:pStyle w:val="Compact"/>
            </w:pPr>
            <w:r>
              <w:t xml:space="preserve">0.082</w:t>
            </w:r>
          </w:p>
        </w:tc>
        <w:tc>
          <w:tcPr/>
          <w:p>
            <w:pPr>
              <w:pStyle w:val="Compact"/>
            </w:pPr>
            <w:r>
              <w:t xml:space="preserve">-0.242</w:t>
            </w:r>
          </w:p>
        </w:tc>
        <w:tc>
          <w:tcPr/>
          <w:p>
            <w:pPr>
              <w:pStyle w:val="Compact"/>
            </w:pPr>
            <w:r>
              <w:t xml:space="preserve">0.000</w:t>
            </w:r>
          </w:p>
        </w:tc>
      </w:tr>
    </w:tbl>
    <w:p>
      <w:pPr>
        <w:pStyle w:val="BodyText"/>
      </w:pPr>
      <w:r>
        <w:rPr>
          <w:i/>
          <w:iCs/>
        </w:rPr>
        <w:t xml:space="preserve">Overall net benefit is preserved after mitigation. However, aggregate net benefit masks race-specific consequences: improved per-screen efficiency for Black patients (NNS decreased from 1.45 to 1.26) comes at the cost of a 68% reduction in total screens recommended for this group, as discussed in main text Table 11.</w:t>
      </w:r>
    </w:p>
    <w:bookmarkEnd w:id="34"/>
    <w:bookmarkStart w:id="35" w:name="X5431b2b039146dee02c1df5a46d53bf5be05027"/>
    <w:p>
      <w:pPr>
        <w:pStyle w:val="Heading3"/>
      </w:pPr>
      <w:r>
        <w:t xml:space="preserve">Table S10. Published HIV Risk Model Coefficient Audit</w:t>
      </w:r>
    </w:p>
    <w:tbl>
      <w:tblPr>
        <w:tblStyle w:val="Table"/>
        <w:tblW w:type="pct" w:w="5000"/>
        <w:tblLayout w:type="fixed"/>
        <w:tblLook w:firstRow="1" w:lastRow="0" w:firstColumn="0" w:lastColumn="0" w:noHBand="0" w:noVBand="0" w:val="0020"/>
      </w:tblPr>
      <w:tblGrid>
        <w:gridCol w:w="616"/>
        <w:gridCol w:w="1320"/>
        <w:gridCol w:w="1496"/>
        <w:gridCol w:w="1760"/>
        <w:gridCol w:w="1760"/>
        <w:gridCol w:w="968"/>
      </w:tblGrid>
      <w:tr>
        <w:trPr>
          <w:tblHeader w:val="on"/>
        </w:trPr>
        <w:tc>
          <w:tcPr/>
          <w:p>
            <w:pPr>
              <w:pStyle w:val="Compact"/>
            </w:pPr>
            <w:r>
              <w:t xml:space="preserve">Model</w:t>
            </w:r>
          </w:p>
        </w:tc>
        <w:tc>
          <w:tcPr/>
          <w:p>
            <w:pPr>
              <w:pStyle w:val="Compact"/>
            </w:pPr>
            <w:r>
              <w:t xml:space="preserve">Includes Race?</w:t>
            </w:r>
          </w:p>
        </w:tc>
        <w:tc>
          <w:tcPr/>
          <w:p>
            <w:pPr>
              <w:pStyle w:val="Compact"/>
            </w:pPr>
            <w:r>
              <w:t xml:space="preserve">Race Coefficient</w:t>
            </w:r>
          </w:p>
        </w:tc>
        <w:tc>
          <w:tcPr/>
          <w:p>
            <w:pPr>
              <w:pStyle w:val="Compact"/>
            </w:pPr>
            <w:r>
              <w:t xml:space="preserve">Mean Score (Black)</w:t>
            </w:r>
          </w:p>
        </w:tc>
        <w:tc>
          <w:tcPr/>
          <w:p>
            <w:pPr>
              <w:pStyle w:val="Compact"/>
            </w:pPr>
            <w:r>
              <w:t xml:space="preserve">Mean Score (White)</w:t>
            </w:r>
          </w:p>
        </w:tc>
        <w:tc>
          <w:tcPr/>
          <w:p>
            <w:pPr>
              <w:pStyle w:val="Compact"/>
            </w:pPr>
            <w:r>
              <w:t xml:space="preserve">Disparity</w:t>
            </w:r>
          </w:p>
        </w:tc>
      </w:tr>
      <w:tr>
        <w:tc>
          <w:tcPr/>
          <w:p>
            <w:pPr>
              <w:pStyle w:val="Compact"/>
            </w:pPr>
            <w:r>
              <w:t xml:space="preserve">Denver HIV Risk Score</w:t>
            </w:r>
          </w:p>
        </w:tc>
        <w:tc>
          <w:tcPr/>
          <w:p>
            <w:pPr>
              <w:pStyle w:val="Compact"/>
            </w:pPr>
            <w:r>
              <w:rPr>
                <w:b/>
                <w:bCs/>
              </w:rPr>
              <w:t xml:space="preserve">Yes</w:t>
            </w:r>
          </w:p>
        </w:tc>
        <w:tc>
          <w:tcPr/>
          <w:p>
            <w:pPr>
              <w:pStyle w:val="Compact"/>
            </w:pPr>
            <w:r>
              <w:t xml:space="preserve">+7 (Black), +3 (Hispanic)</w:t>
            </w:r>
          </w:p>
        </w:tc>
        <w:tc>
          <w:tcPr/>
          <w:p>
            <w:pPr>
              <w:pStyle w:val="Compact"/>
            </w:pPr>
            <w:r>
              <w:t xml:space="preserve">9.5</w:t>
            </w:r>
          </w:p>
        </w:tc>
        <w:tc>
          <w:tcPr/>
          <w:p>
            <w:pPr>
              <w:pStyle w:val="Compact"/>
            </w:pPr>
            <w:r>
              <w:t xml:space="preserve">2.6</w:t>
            </w:r>
          </w:p>
        </w:tc>
        <w:tc>
          <w:tcPr/>
          <w:p>
            <w:pPr>
              <w:pStyle w:val="Compact"/>
            </w:pPr>
            <w:r>
              <w:t xml:space="preserve">+6.9 pts</w:t>
            </w:r>
          </w:p>
        </w:tc>
      </w:tr>
      <w:tr>
        <w:tc>
          <w:tcPr/>
          <w:p>
            <w:pPr>
              <w:pStyle w:val="Compact"/>
            </w:pPr>
            <w:r>
              <w:t xml:space="preserve">VACS Index 2.0</w:t>
            </w:r>
          </w:p>
        </w:tc>
        <w:tc>
          <w:tcPr/>
          <w:p>
            <w:pPr>
              <w:pStyle w:val="Compact"/>
            </w:pPr>
            <w:r>
              <w:t xml:space="preserve">No</w:t>
            </w:r>
          </w:p>
        </w:tc>
        <w:tc>
          <w:tcPr/>
          <w:p>
            <w:pPr>
              <w:pStyle w:val="Compact"/>
            </w:pPr>
            <w:r>
              <w:t xml:space="preserve">–</w:t>
            </w:r>
          </w:p>
        </w:tc>
        <w:tc>
          <w:tcPr/>
          <w:p>
            <w:pPr>
              <w:pStyle w:val="Compact"/>
            </w:pPr>
            <w:r>
              <w:t xml:space="preserve">8.9</w:t>
            </w:r>
          </w:p>
        </w:tc>
        <w:tc>
          <w:tcPr/>
          <w:p>
            <w:pPr>
              <w:pStyle w:val="Compact"/>
            </w:pPr>
            <w:r>
              <w:t xml:space="preserve">9.7</w:t>
            </w:r>
          </w:p>
        </w:tc>
        <w:tc>
          <w:tcPr/>
          <w:p>
            <w:pPr>
              <w:pStyle w:val="Compact"/>
            </w:pPr>
            <w:r>
              <w:t xml:space="preserve">-0.8 pts</w:t>
            </w:r>
          </w:p>
        </w:tc>
      </w:tr>
      <w:tr>
        <w:tc>
          <w:tcPr/>
          <w:p>
            <w:pPr>
              <w:pStyle w:val="Compact"/>
            </w:pPr>
            <w:r>
              <w:t xml:space="preserve">Late Diagnosis Score</w:t>
            </w:r>
          </w:p>
        </w:tc>
        <w:tc>
          <w:tcPr/>
          <w:p>
            <w:pPr>
              <w:pStyle w:val="Compact"/>
            </w:pPr>
            <w:r>
              <w:rPr>
                <w:b/>
                <w:bCs/>
              </w:rPr>
              <w:t xml:space="preserve">Yes</w:t>
            </w:r>
          </w:p>
        </w:tc>
        <w:tc>
          <w:tcPr/>
          <w:p>
            <w:pPr>
              <w:pStyle w:val="Compact"/>
            </w:pPr>
            <w:r>
              <w:t xml:space="preserve">+0.2 (Black), +0.1 (Hispanic)</w:t>
            </w:r>
          </w:p>
        </w:tc>
        <w:tc>
          <w:tcPr/>
          <w:p>
            <w:pPr>
              <w:pStyle w:val="Compact"/>
            </w:pPr>
            <w:r>
              <w:t xml:space="preserve">–</w:t>
            </w:r>
          </w:p>
        </w:tc>
        <w:tc>
          <w:tcPr/>
          <w:p>
            <w:pPr>
              <w:pStyle w:val="Compact"/>
            </w:pPr>
            <w:r>
              <w:t xml:space="preserve">–</w:t>
            </w:r>
          </w:p>
        </w:tc>
        <w:tc>
          <w:tcPr/>
          <w:p>
            <w:pPr>
              <w:pStyle w:val="Compact"/>
            </w:pPr>
            <w:r>
              <w:t xml:space="preserve">+5.1% predicted</w:t>
            </w:r>
          </w:p>
        </w:tc>
      </w:tr>
      <w:tr>
        <w:tc>
          <w:tcPr/>
          <w:p>
            <w:pPr>
              <w:pStyle w:val="Compact"/>
            </w:pPr>
            <w:r>
              <w:t xml:space="preserve">PrEP Discontinuation</w:t>
            </w:r>
          </w:p>
        </w:tc>
        <w:tc>
          <w:tcPr/>
          <w:p>
            <w:pPr>
              <w:pStyle w:val="Compact"/>
            </w:pPr>
            <w:r>
              <w:rPr>
                <w:b/>
                <w:bCs/>
              </w:rPr>
              <w:t xml:space="preserve">Yes</w:t>
            </w:r>
          </w:p>
        </w:tc>
        <w:tc>
          <w:tcPr/>
          <w:p>
            <w:pPr>
              <w:pStyle w:val="Compact"/>
            </w:pPr>
            <w:r>
              <w:t xml:space="preserve">HR=1.4 (Black)</w:t>
            </w:r>
          </w:p>
        </w:tc>
        <w:tc>
          <w:tcPr/>
          <w:p>
            <w:pPr>
              <w:pStyle w:val="Compact"/>
            </w:pPr>
            <w:r>
              <w:t xml:space="preserve">49.7% pred</w:t>
            </w:r>
          </w:p>
        </w:tc>
        <w:tc>
          <w:tcPr/>
          <w:p>
            <w:pPr>
              <w:pStyle w:val="Compact"/>
            </w:pPr>
            <w:r>
              <w:t xml:space="preserve">41.3% pred</w:t>
            </w:r>
          </w:p>
        </w:tc>
        <w:tc>
          <w:tcPr/>
          <w:p>
            <w:pPr>
              <w:pStyle w:val="Compact"/>
            </w:pPr>
            <w:r>
              <w:t xml:space="preserve">+8.4%</w:t>
            </w:r>
          </w:p>
        </w:tc>
      </w:tr>
      <w:tr>
        <w:tc>
          <w:tcPr/>
          <w:p>
            <w:pPr>
              <w:pStyle w:val="Compact"/>
            </w:pPr>
            <w:r>
              <w:t xml:space="preserve">HIV Testing Yield</w:t>
            </w:r>
          </w:p>
        </w:tc>
        <w:tc>
          <w:tcPr/>
          <w:p>
            <w:pPr>
              <w:pStyle w:val="Compact"/>
            </w:pPr>
            <w:r>
              <w:rPr>
                <w:b/>
                <w:bCs/>
              </w:rPr>
              <w:t xml:space="preserve">Yes</w:t>
            </w:r>
          </w:p>
        </w:tc>
        <w:tc>
          <w:tcPr/>
          <w:p>
            <w:pPr>
              <w:pStyle w:val="Compact"/>
            </w:pPr>
            <w:r>
              <w:t xml:space="preserve">+0.8 (Black)</w:t>
            </w:r>
          </w:p>
        </w:tc>
        <w:tc>
          <w:tcPr/>
          <w:p>
            <w:pPr>
              <w:pStyle w:val="Compact"/>
            </w:pPr>
            <w:r>
              <w:t xml:space="preserve">11.7% yield</w:t>
            </w:r>
          </w:p>
        </w:tc>
        <w:tc>
          <w:tcPr/>
          <w:p>
            <w:pPr>
              <w:pStyle w:val="Compact"/>
            </w:pPr>
            <w:r>
              <w:t xml:space="preserve">5.7% yield</w:t>
            </w:r>
          </w:p>
        </w:tc>
        <w:tc>
          <w:tcPr/>
          <w:p>
            <w:pPr>
              <w:pStyle w:val="Compact"/>
            </w:pPr>
            <w:r>
              <w:t xml:space="preserve">2.1x</w:t>
            </w:r>
          </w:p>
        </w:tc>
      </w:tr>
      <w:tr>
        <w:tc>
          <w:tcPr/>
          <w:p>
            <w:pPr>
              <w:pStyle w:val="Compact"/>
            </w:pPr>
            <w:r>
              <w:t xml:space="preserve">CDC PrEP Indicators</w:t>
            </w:r>
          </w:p>
        </w:tc>
        <w:tc>
          <w:tcPr/>
          <w:p>
            <w:pPr>
              <w:pStyle w:val="Compact"/>
            </w:pPr>
            <w:r>
              <w:t xml:space="preserve">No</w:t>
            </w:r>
          </w:p>
        </w:tc>
        <w:tc>
          <w:tcPr/>
          <w:p>
            <w:pPr>
              <w:pStyle w:val="Compact"/>
            </w:pPr>
            <w:r>
              <w:t xml:space="preserve">–</w:t>
            </w:r>
          </w:p>
        </w:tc>
        <w:tc>
          <w:tcPr/>
          <w:p>
            <w:pPr>
              <w:pStyle w:val="Compact"/>
            </w:pPr>
            <w:r>
              <w:t xml:space="preserve">21.1% eligible</w:t>
            </w:r>
          </w:p>
        </w:tc>
        <w:tc>
          <w:tcPr/>
          <w:p>
            <w:pPr>
              <w:pStyle w:val="Compact"/>
            </w:pPr>
            <w:r>
              <w:t xml:space="preserve">19.2% eligible</w:t>
            </w:r>
          </w:p>
        </w:tc>
        <w:tc>
          <w:tcPr/>
          <w:p>
            <w:pPr>
              <w:pStyle w:val="Compact"/>
            </w:pPr>
            <w:r>
              <w:t xml:space="preserve">+1.9%</w:t>
            </w:r>
          </w:p>
        </w:tc>
      </w:tr>
      <w:tr>
        <w:tc>
          <w:tcPr/>
          <w:p>
            <w:pPr>
              <w:pStyle w:val="Compact"/>
            </w:pPr>
            <w:r>
              <w:t xml:space="preserve">Care Retention Model</w:t>
            </w:r>
          </w:p>
        </w:tc>
        <w:tc>
          <w:tcPr/>
          <w:p>
            <w:pPr>
              <w:pStyle w:val="Compact"/>
            </w:pPr>
            <w:r>
              <w:t xml:space="preserve">No</w:t>
            </w:r>
          </w:p>
        </w:tc>
        <w:tc>
          <w:tcPr/>
          <w:p>
            <w:pPr>
              <w:pStyle w:val="Compact"/>
            </w:pPr>
            <w:r>
              <w:t xml:space="preserve">–</w:t>
            </w:r>
          </w:p>
        </w:tc>
        <w:tc>
          <w:tcPr/>
          <w:p>
            <w:pPr>
              <w:pStyle w:val="Compact"/>
            </w:pPr>
            <w:r>
              <w:t xml:space="preserve">100% retained</w:t>
            </w:r>
          </w:p>
        </w:tc>
        <w:tc>
          <w:tcPr/>
          <w:p>
            <w:pPr>
              <w:pStyle w:val="Compact"/>
            </w:pPr>
            <w:r>
              <w:t xml:space="preserve">100% retained</w:t>
            </w:r>
          </w:p>
        </w:tc>
        <w:tc>
          <w:tcPr/>
          <w:p>
            <w:pPr>
              <w:pStyle w:val="Compact"/>
            </w:pPr>
            <w:r>
              <w:t xml:space="preserve">0.0%</w:t>
            </w:r>
          </w:p>
        </w:tc>
      </w:tr>
    </w:tbl>
    <w:p>
      <w:pPr>
        <w:pStyle w:val="BodyText"/>
      </w:pPr>
      <w:r>
        <w:rPr>
          <w:i/>
          <w:iCs/>
        </w:rPr>
        <w:t xml:space="preserve">60% (42/70) of published HIV prediction models with extractable coefficients include race as a predictor variable, often with substantial coefficients (OR 1.4-2.5 for Black vs. White). Whether this represents appropriate epidemiological stratification or demographic profiling depends on the clinical context and the interpretation of fairness adopted.</w:t>
      </w:r>
    </w:p>
    <w:p>
      <w:r>
        <w:pict>
          <v:rect style="width:0;height:1.5pt" o:hralign="center" o:hrstd="t" o:hr="t"/>
        </w:pict>
      </w:r>
    </w:p>
    <w:bookmarkEnd w:id="35"/>
    <w:bookmarkEnd w:id="36"/>
    <w:bookmarkStart w:id="73" w:name="supplementary-figures"/>
    <w:p>
      <w:pPr>
        <w:pStyle w:val="Heading2"/>
      </w:pPr>
      <w:r>
        <w:t xml:space="preserve">3. Supplementary Figures</w:t>
      </w:r>
    </w:p>
    <w:bookmarkStart w:id="40" w:name="Xa8bebcb0c47c01b0d0a6b33c8d54cbf72685fdf"/>
    <w:p>
      <w:pPr>
        <w:pStyle w:val="Heading3"/>
      </w:pPr>
      <w:r>
        <w:t xml:space="preserve">Figure S1. Baseline Fairness Metrics by Model</w:t>
      </w:r>
    </w:p>
    <w:p>
      <w:pPr>
        <w:pStyle w:val="FirstParagraph"/>
      </w:pPr>
      <w:r>
        <w:rPr>
          <w:b/>
          <w:bCs/>
        </w:rPr>
        <w:t xml:space="preserve">Description:</w:t>
      </w:r>
      <w:r>
        <w:t xml:space="preserve"> </w:t>
      </w:r>
      <w:r>
        <w:t xml:space="preserve">Bar chart comparing DPD and EOD across four baseline classifiers (Logistic Regression, Random Forest, XGBoost, Gradient Boosting). All models show DPD &gt; 0.5 and EOD &gt; 0.55, far exceeding the 0.1 threshold (shown as horizontal dashed line). Logistic Regression shows highest disparities (DPD=0.634, EOD=0.669). Differential prediction rates are consistent across model architectures, indicating that the pattern reflects the training data (differential testing utilisation) rather than a model-specific artefact.</w:t>
      </w:r>
    </w:p>
    <w:p>
      <w:pPr>
        <w:pStyle w:val="CaptionedFigure"/>
      </w:pPr>
      <w:r>
        <w:drawing>
          <wp:inline>
            <wp:extent cx="5334000" cy="3302107"/>
            <wp:effectExtent b="0" l="0" r="0" t="0"/>
            <wp:docPr descr="Figure S1. Baseline Fairness Metrics by Model" title="" id="38" name="Picture"/>
            <a:graphic>
              <a:graphicData uri="http://schemas.openxmlformats.org/drawingml/2006/picture">
                <pic:pic>
                  <pic:nvPicPr>
                    <pic:cNvPr descr="figS1_baseline_fairness_metrics.png" id="39" name="Picture"/>
                    <pic:cNvPicPr>
                      <a:picLocks noChangeArrowheads="1" noChangeAspect="1"/>
                    </pic:cNvPicPr>
                  </pic:nvPicPr>
                  <pic:blipFill>
                    <a:blip r:embed="rId37"/>
                    <a:stretch>
                      <a:fillRect/>
                    </a:stretch>
                  </pic:blipFill>
                  <pic:spPr bwMode="auto">
                    <a:xfrm>
                      <a:off x="0" y="0"/>
                      <a:ext cx="5334000" cy="3302107"/>
                    </a:xfrm>
                    <a:prstGeom prst="rect">
                      <a:avLst/>
                    </a:prstGeom>
                    <a:noFill/>
                    <a:ln w="9525">
                      <a:noFill/>
                      <a:headEnd/>
                      <a:tailEnd/>
                    </a:ln>
                  </pic:spPr>
                </pic:pic>
              </a:graphicData>
            </a:graphic>
          </wp:inline>
        </w:drawing>
      </w:r>
    </w:p>
    <w:p>
      <w:pPr>
        <w:pStyle w:val="ImageCaption"/>
      </w:pPr>
      <w:r>
        <w:t xml:space="preserve">Figure S1. Baseline Fairness Metrics by Model</w:t>
      </w:r>
    </w:p>
    <w:bookmarkEnd w:id="40"/>
    <w:bookmarkStart w:id="44" w:name="X445dd93975742650c97554a70df877cc9abc13b"/>
    <w:p>
      <w:pPr>
        <w:pStyle w:val="Heading3"/>
      </w:pPr>
      <w:r>
        <w:t xml:space="preserve">Figure S2. Selection Rate Distribution by Race/Ethnicity</w:t>
      </w:r>
    </w:p>
    <w:p>
      <w:pPr>
        <w:pStyle w:val="FirstParagraph"/>
      </w:pPr>
      <w:r>
        <w:rPr>
          <w:b/>
          <w:bCs/>
        </w:rPr>
        <w:t xml:space="preserve">Description:</w:t>
      </w:r>
      <w:r>
        <w:t xml:space="preserve"> </w:t>
      </w:r>
      <w:r>
        <w:t xml:space="preserve">Grouped bar chart showing selection rates for each racial/ethnic group across baseline and DP-mitigated models. Baseline shows variation (12.1% Asian to 66.0% Black) that mirrors actual testing prevalence. After threshold optimisation, rates converge to 18-25% range across all groups. A second set of bars shows actual HIV testing rates by group, illustrating that baseline selection rates track utilisation while DP-mitigated rates diverge from need.</w:t>
      </w:r>
    </w:p>
    <w:p>
      <w:pPr>
        <w:pStyle w:val="CaptionedFigure"/>
      </w:pPr>
      <w:r>
        <w:drawing>
          <wp:inline>
            <wp:extent cx="5334000" cy="3173369"/>
            <wp:effectExtent b="0" l="0" r="0" t="0"/>
            <wp:docPr descr="Figure S2. Selection Rate Distribution by Race/Ethnicity" title="" id="42" name="Picture"/>
            <a:graphic>
              <a:graphicData uri="http://schemas.openxmlformats.org/drawingml/2006/picture">
                <pic:pic>
                  <pic:nvPicPr>
                    <pic:cNvPr descr="figS2_selection_rate_distribution.png" id="43" name="Picture"/>
                    <pic:cNvPicPr>
                      <a:picLocks noChangeArrowheads="1" noChangeAspect="1"/>
                    </pic:cNvPicPr>
                  </pic:nvPicPr>
                  <pic:blipFill>
                    <a:blip r:embed="rId41"/>
                    <a:stretch>
                      <a:fillRect/>
                    </a:stretch>
                  </pic:blipFill>
                  <pic:spPr bwMode="auto">
                    <a:xfrm>
                      <a:off x="0" y="0"/>
                      <a:ext cx="5334000" cy="3173369"/>
                    </a:xfrm>
                    <a:prstGeom prst="rect">
                      <a:avLst/>
                    </a:prstGeom>
                    <a:noFill/>
                    <a:ln w="9525">
                      <a:noFill/>
                      <a:headEnd/>
                      <a:tailEnd/>
                    </a:ln>
                  </pic:spPr>
                </pic:pic>
              </a:graphicData>
            </a:graphic>
          </wp:inline>
        </w:drawing>
      </w:r>
    </w:p>
    <w:p>
      <w:pPr>
        <w:pStyle w:val="ImageCaption"/>
      </w:pPr>
      <w:r>
        <w:t xml:space="preserve">Figure S2. Selection Rate Distribution by Race/Ethnicity</w:t>
      </w:r>
    </w:p>
    <w:bookmarkEnd w:id="44"/>
    <w:bookmarkStart w:id="48" w:name="X171b669dde3d2e8959aa85edff64bcb45fadf78"/>
    <w:p>
      <w:pPr>
        <w:pStyle w:val="Heading3"/>
      </w:pPr>
      <w:r>
        <w:t xml:space="preserve">Figure S3. The Cost of Demographic Parity: TPR Changes by Race</w:t>
      </w:r>
    </w:p>
    <w:p>
      <w:pPr>
        <w:pStyle w:val="FirstParagraph"/>
      </w:pPr>
      <w:r>
        <w:rPr>
          <w:b/>
          <w:bCs/>
        </w:rPr>
        <w:t xml:space="preserve">Description:</w:t>
      </w:r>
      <w:r>
        <w:t xml:space="preserve"> </w:t>
      </w:r>
      <w:r>
        <w:t xml:space="preserve">Waterfall chart showing the change in true positive rate (TPR) by racial group after DP mitigation. Black TPR decreases by 48.2 percentage points (from 78.2% to 30.0%), Hispanic TPR decreases by 34.3 percentage points (from 62.6% to 28.3%), while White TPR increases by 10.2 percentage points and Asian TPR increases by 13.4 percentage points. The asymmetry demonstrates that DP optimisation redistributes screening sensitivity away from high-burden groups.</w:t>
      </w:r>
    </w:p>
    <w:p>
      <w:pPr>
        <w:pStyle w:val="CaptionedFigure"/>
      </w:pPr>
      <w:r>
        <w:drawing>
          <wp:inline>
            <wp:extent cx="5334000" cy="3531268"/>
            <wp:effectExtent b="0" l="0" r="0" t="0"/>
            <wp:docPr descr="Figure S3. The Cost of Demographic Parity: TPR Changes by Race" title="" id="46" name="Picture"/>
            <a:graphic>
              <a:graphicData uri="http://schemas.openxmlformats.org/drawingml/2006/picture">
                <pic:pic>
                  <pic:nvPicPr>
                    <pic:cNvPr descr="figS3_tpr_waterfall.png" id="47" name="Picture"/>
                    <pic:cNvPicPr>
                      <a:picLocks noChangeArrowheads="1" noChangeAspect="1"/>
                    </pic:cNvPicPr>
                  </pic:nvPicPr>
                  <pic:blipFill>
                    <a:blip r:embed="rId45"/>
                    <a:stretch>
                      <a:fillRect/>
                    </a:stretch>
                  </pic:blipFill>
                  <pic:spPr bwMode="auto">
                    <a:xfrm>
                      <a:off x="0" y="0"/>
                      <a:ext cx="5334000" cy="3531268"/>
                    </a:xfrm>
                    <a:prstGeom prst="rect">
                      <a:avLst/>
                    </a:prstGeom>
                    <a:noFill/>
                    <a:ln w="9525">
                      <a:noFill/>
                      <a:headEnd/>
                      <a:tailEnd/>
                    </a:ln>
                  </pic:spPr>
                </pic:pic>
              </a:graphicData>
            </a:graphic>
          </wp:inline>
        </w:drawing>
      </w:r>
    </w:p>
    <w:p>
      <w:pPr>
        <w:pStyle w:val="ImageCaption"/>
      </w:pPr>
      <w:r>
        <w:t xml:space="preserve">Figure S3. The Cost of Demographic Parity: TPR Changes by Race</w:t>
      </w:r>
    </w:p>
    <w:bookmarkEnd w:id="48"/>
    <w:bookmarkStart w:id="52" w:name="Xe034a658a2ff98db78b31e82d81437e1a1c0cab"/>
    <w:p>
      <w:pPr>
        <w:pStyle w:val="Heading3"/>
      </w:pPr>
      <w:r>
        <w:t xml:space="preserve">Figure S4. Race-Neutral vs. Race-Inclusive Model Comparison</w:t>
      </w:r>
    </w:p>
    <w:p>
      <w:pPr>
        <w:pStyle w:val="FirstParagraph"/>
      </w:pPr>
      <w:r>
        <w:rPr>
          <w:b/>
          <w:bCs/>
        </w:rPr>
        <w:t xml:space="preserve">Description:</w:t>
      </w:r>
      <w:r>
        <w:t xml:space="preserve"> </w:t>
      </w:r>
      <w:r>
        <w:t xml:space="preserve">Side-by-side comparison showing: Left panel: DPD for race-inclusive baseline (0.539) vs. race-blind model (0.169), with annotation showing 70% of differential prediction persists. Right panel: AUC for race-inclusive (0.713) vs. race-blind (0.702), showing modest performance cost. Caption notes the dual interpretation: persistent differential prediction through correlated features may represent appropriate capture of risk-associated social determinants or proxy encoding of race, depending on the intended use of the model.</w:t>
      </w:r>
    </w:p>
    <w:p>
      <w:pPr>
        <w:pStyle w:val="CaptionedFigure"/>
      </w:pPr>
      <w:r>
        <w:drawing>
          <wp:inline>
            <wp:extent cx="5334000" cy="2778725"/>
            <wp:effectExtent b="0" l="0" r="0" t="0"/>
            <wp:docPr descr="Figure S4. Race-Neutral vs. Race-Inclusive Model Comparison" title="" id="50" name="Picture"/>
            <a:graphic>
              <a:graphicData uri="http://schemas.openxmlformats.org/drawingml/2006/picture">
                <pic:pic>
                  <pic:nvPicPr>
                    <pic:cNvPr descr="figS4_race_blind_comparison.png" id="51" name="Picture"/>
                    <pic:cNvPicPr>
                      <a:picLocks noChangeArrowheads="1" noChangeAspect="1"/>
                    </pic:cNvPicPr>
                  </pic:nvPicPr>
                  <pic:blipFill>
                    <a:blip r:embed="rId49"/>
                    <a:stretch>
                      <a:fillRect/>
                    </a:stretch>
                  </pic:blipFill>
                  <pic:spPr bwMode="auto">
                    <a:xfrm>
                      <a:off x="0" y="0"/>
                      <a:ext cx="5334000" cy="2778725"/>
                    </a:xfrm>
                    <a:prstGeom prst="rect">
                      <a:avLst/>
                    </a:prstGeom>
                    <a:noFill/>
                    <a:ln w="9525">
                      <a:noFill/>
                      <a:headEnd/>
                      <a:tailEnd/>
                    </a:ln>
                  </pic:spPr>
                </pic:pic>
              </a:graphicData>
            </a:graphic>
          </wp:inline>
        </w:drawing>
      </w:r>
    </w:p>
    <w:p>
      <w:pPr>
        <w:pStyle w:val="ImageCaption"/>
      </w:pPr>
      <w:r>
        <w:t xml:space="preserve">Figure S4. Race-Neutral vs. Race-Inclusive Model Comparison</w:t>
      </w:r>
    </w:p>
    <w:bookmarkEnd w:id="52"/>
    <w:bookmarkStart w:id="56" w:name="figure-s5.-calibration-by-raceethnicity"/>
    <w:p>
      <w:pPr>
        <w:pStyle w:val="Heading3"/>
      </w:pPr>
      <w:r>
        <w:t xml:space="preserve">Figure S5. Calibration by Race/Ethnicity</w:t>
      </w:r>
    </w:p>
    <w:p>
      <w:pPr>
        <w:pStyle w:val="FirstParagraph"/>
      </w:pPr>
      <w:r>
        <w:rPr>
          <w:b/>
          <w:bCs/>
        </w:rPr>
        <w:t xml:space="preserve">Description:</w:t>
      </w:r>
      <w:r>
        <w:t xml:space="preserve"> </w:t>
      </w:r>
      <w:r>
        <w:t xml:space="preserve">Grouped bar chart showing Brier scores by race/ethnicity (White, Black, Hispanic) and overall across all four models. Calibration was worst for Hispanic patients across all models, with Brier scores 0.02-0.04 higher than for White patients. This indicates that predicted probabilities are less accurate for minority groups — a calibration-based fairness violation that persists regardless of whether selection rates are equalised.</w:t>
      </w:r>
    </w:p>
    <w:p>
      <w:pPr>
        <w:pStyle w:val="CaptionedFigure"/>
      </w:pPr>
      <w:r>
        <w:drawing>
          <wp:inline>
            <wp:extent cx="5334000" cy="3173369"/>
            <wp:effectExtent b="0" l="0" r="0" t="0"/>
            <wp:docPr descr="Figure S5. Calibration by Race/Ethnicity" title="" id="54" name="Picture"/>
            <a:graphic>
              <a:graphicData uri="http://schemas.openxmlformats.org/drawingml/2006/picture">
                <pic:pic>
                  <pic:nvPicPr>
                    <pic:cNvPr descr="figS5_calibration_brier.png" id="55" name="Picture"/>
                    <pic:cNvPicPr>
                      <a:picLocks noChangeArrowheads="1" noChangeAspect="1"/>
                    </pic:cNvPicPr>
                  </pic:nvPicPr>
                  <pic:blipFill>
                    <a:blip r:embed="rId53"/>
                    <a:stretch>
                      <a:fillRect/>
                    </a:stretch>
                  </pic:blipFill>
                  <pic:spPr bwMode="auto">
                    <a:xfrm>
                      <a:off x="0" y="0"/>
                      <a:ext cx="5334000" cy="3173369"/>
                    </a:xfrm>
                    <a:prstGeom prst="rect">
                      <a:avLst/>
                    </a:prstGeom>
                    <a:noFill/>
                    <a:ln w="9525">
                      <a:noFill/>
                      <a:headEnd/>
                      <a:tailEnd/>
                    </a:ln>
                  </pic:spPr>
                </pic:pic>
              </a:graphicData>
            </a:graphic>
          </wp:inline>
        </w:drawing>
      </w:r>
    </w:p>
    <w:p>
      <w:pPr>
        <w:pStyle w:val="ImageCaption"/>
      </w:pPr>
      <w:r>
        <w:t xml:space="preserve">Figure S5. Calibration by Race/Ethnicity</w:t>
      </w:r>
    </w:p>
    <w:bookmarkEnd w:id="56"/>
    <w:bookmarkStart w:id="60" w:name="figure-s6.-decision-curve-analysis"/>
    <w:p>
      <w:pPr>
        <w:pStyle w:val="Heading3"/>
      </w:pPr>
      <w:r>
        <w:t xml:space="preserve">Figure S6. Decision Curve Analysis</w:t>
      </w:r>
    </w:p>
    <w:p>
      <w:pPr>
        <w:pStyle w:val="FirstParagraph"/>
      </w:pPr>
      <w:r>
        <w:rPr>
          <w:b/>
          <w:bCs/>
        </w:rPr>
        <w:t xml:space="preserve">Description:</w:t>
      </w:r>
      <w:r>
        <w:t xml:space="preserve"> </w:t>
      </w:r>
      <w:r>
        <w:t xml:space="preserve">Net benefit curves across threshold probability range (0.0-0.7).</w:t>
      </w:r>
      <w:r>
        <w:t xml:space="preserve"> </w:t>
      </w:r>
      <w:r>
        <w:t xml:space="preserve">“Screen All”</w:t>
      </w:r>
      <w:r>
        <w:t xml:space="preserve"> </w:t>
      </w:r>
      <w:r>
        <w:t xml:space="preserve">line starts high, decreases steeply.</w:t>
      </w:r>
      <w:r>
        <w:t xml:space="preserve"> </w:t>
      </w:r>
      <w:r>
        <w:t xml:space="preserve">“Screen None”</w:t>
      </w:r>
      <w:r>
        <w:t xml:space="preserve"> </w:t>
      </w:r>
      <w:r>
        <w:t xml:space="preserve">horizontal at 0. Baseline model line shows positive net benefit for thresholds 0.15-0.55. Caption notes that aggregate clinical utility is preserved but masks race-specific consequences: 68% reduction in screens for Black patients despite improved per-screen efficiency.</w:t>
      </w:r>
    </w:p>
    <w:p>
      <w:pPr>
        <w:pStyle w:val="CaptionedFigure"/>
      </w:pPr>
      <w:r>
        <w:drawing>
          <wp:inline>
            <wp:extent cx="5334000" cy="3302107"/>
            <wp:effectExtent b="0" l="0" r="0" t="0"/>
            <wp:docPr descr="Figure S6. Decision Curve Analysis" title="" id="58" name="Picture"/>
            <a:graphic>
              <a:graphicData uri="http://schemas.openxmlformats.org/drawingml/2006/picture">
                <pic:pic>
                  <pic:nvPicPr>
                    <pic:cNvPr descr="figS6_decision_curve.png" id="59" name="Picture"/>
                    <pic:cNvPicPr>
                      <a:picLocks noChangeArrowheads="1" noChangeAspect="1"/>
                    </pic:cNvPicPr>
                  </pic:nvPicPr>
                  <pic:blipFill>
                    <a:blip r:embed="rId57"/>
                    <a:stretch>
                      <a:fillRect/>
                    </a:stretch>
                  </pic:blipFill>
                  <pic:spPr bwMode="auto">
                    <a:xfrm>
                      <a:off x="0" y="0"/>
                      <a:ext cx="5334000" cy="3302107"/>
                    </a:xfrm>
                    <a:prstGeom prst="rect">
                      <a:avLst/>
                    </a:prstGeom>
                    <a:noFill/>
                    <a:ln w="9525">
                      <a:noFill/>
                      <a:headEnd/>
                      <a:tailEnd/>
                    </a:ln>
                  </pic:spPr>
                </pic:pic>
              </a:graphicData>
            </a:graphic>
          </wp:inline>
        </w:drawing>
      </w:r>
    </w:p>
    <w:p>
      <w:pPr>
        <w:pStyle w:val="ImageCaption"/>
      </w:pPr>
      <w:r>
        <w:t xml:space="preserve">Figure S6. Decision Curve Analysis</w:t>
      </w:r>
    </w:p>
    <w:bookmarkEnd w:id="60"/>
    <w:bookmarkStart w:id="64" w:name="Xcda6b226b6779b045d328354506612bf5a1fe32"/>
    <w:p>
      <w:pPr>
        <w:pStyle w:val="Heading3"/>
      </w:pPr>
      <w:r>
        <w:t xml:space="preserve">Figure S7. Cross-Dimensional Fairness Trade-off</w:t>
      </w:r>
    </w:p>
    <w:p>
      <w:pPr>
        <w:pStyle w:val="FirstParagraph"/>
      </w:pPr>
      <w:r>
        <w:rPr>
          <w:b/>
          <w:bCs/>
        </w:rPr>
        <w:t xml:space="preserve">Description:</w:t>
      </w:r>
      <w:r>
        <w:t xml:space="preserve"> </w:t>
      </w:r>
      <w:r>
        <w:t xml:space="preserve">Stacked bar chart showing race DPD, sex DPD, and intersectional DPD for baseline, race-only DP, intersectional DP, and ExpGrad intersectional methods. Race-only optimisation reduces race DPD from 0.539 to 0.028 but increases sex DPD from 0.103 to 0.176 (71% worsening). Intersectional optimisation reduces both (race DPD 0.013, sex DPD 0.003) but cannot escape the fundamental problem of applying DP to a differential-burden context.</w:t>
      </w:r>
    </w:p>
    <w:p>
      <w:pPr>
        <w:pStyle w:val="CaptionedFigure"/>
      </w:pPr>
      <w:r>
        <w:drawing>
          <wp:inline>
            <wp:extent cx="5334000" cy="3173369"/>
            <wp:effectExtent b="0" l="0" r="0" t="0"/>
            <wp:docPr descr="Figure S7. Cross-Dimensional Fairness Trade-off" title="" id="62" name="Picture"/>
            <a:graphic>
              <a:graphicData uri="http://schemas.openxmlformats.org/drawingml/2006/picture">
                <pic:pic>
                  <pic:nvPicPr>
                    <pic:cNvPr descr="figS7_crossdimensional_tradeoff.png" id="63" name="Picture"/>
                    <pic:cNvPicPr>
                      <a:picLocks noChangeArrowheads="1" noChangeAspect="1"/>
                    </pic:cNvPicPr>
                  </pic:nvPicPr>
                  <pic:blipFill>
                    <a:blip r:embed="rId61"/>
                    <a:stretch>
                      <a:fillRect/>
                    </a:stretch>
                  </pic:blipFill>
                  <pic:spPr bwMode="auto">
                    <a:xfrm>
                      <a:off x="0" y="0"/>
                      <a:ext cx="5334000" cy="3173369"/>
                    </a:xfrm>
                    <a:prstGeom prst="rect">
                      <a:avLst/>
                    </a:prstGeom>
                    <a:noFill/>
                    <a:ln w="9525">
                      <a:noFill/>
                      <a:headEnd/>
                      <a:tailEnd/>
                    </a:ln>
                  </pic:spPr>
                </pic:pic>
              </a:graphicData>
            </a:graphic>
          </wp:inline>
        </w:drawing>
      </w:r>
    </w:p>
    <w:p>
      <w:pPr>
        <w:pStyle w:val="ImageCaption"/>
      </w:pPr>
      <w:r>
        <w:t xml:space="preserve">Figure S7. Cross-Dimensional Fairness Trade-off</w:t>
      </w:r>
    </w:p>
    <w:bookmarkEnd w:id="64"/>
    <w:bookmarkStart w:id="68" w:name="X8e10456925ac974a7ec26ea1a7b193f6c9149ff"/>
    <w:p>
      <w:pPr>
        <w:pStyle w:val="Heading3"/>
      </w:pPr>
      <w:r>
        <w:t xml:space="preserve">Figure S8. Bootstrap Distribution of DPD Estimates</w:t>
      </w:r>
    </w:p>
    <w:p>
      <w:pPr>
        <w:pStyle w:val="FirstParagraph"/>
      </w:pPr>
      <w:r>
        <w:rPr>
          <w:b/>
          <w:bCs/>
        </w:rPr>
        <w:t xml:space="preserve">Description:</w:t>
      </w:r>
      <w:r>
        <w:t xml:space="preserve"> </w:t>
      </w:r>
      <w:r>
        <w:t xml:space="preserve">Histogram showing distribution of DPD estimates from 500 bootstrap samples. Baseline XGBoost centred at 0.539, tight distribution (SD=0.011). Mitigated XGBoost centred at 0.078, wider distribution (SD=0.023). 95% CI bands shown as vertical dashed lines. Clear separation between baseline and mitigated distributions (no overlap).</w:t>
      </w:r>
    </w:p>
    <w:p>
      <w:pPr>
        <w:pStyle w:val="CaptionedFigure"/>
      </w:pPr>
      <w:r>
        <w:drawing>
          <wp:inline>
            <wp:extent cx="5334000" cy="3307713"/>
            <wp:effectExtent b="0" l="0" r="0" t="0"/>
            <wp:docPr descr="Figure S8. Bootstrap Distribution of DPD Estimates" title="" id="66" name="Picture"/>
            <a:graphic>
              <a:graphicData uri="http://schemas.openxmlformats.org/drawingml/2006/picture">
                <pic:pic>
                  <pic:nvPicPr>
                    <pic:cNvPr descr="figS8_bootstrap_dpd.png" id="67" name="Picture"/>
                    <pic:cNvPicPr>
                      <a:picLocks noChangeArrowheads="1" noChangeAspect="1"/>
                    </pic:cNvPicPr>
                  </pic:nvPicPr>
                  <pic:blipFill>
                    <a:blip r:embed="rId65"/>
                    <a:stretch>
                      <a:fillRect/>
                    </a:stretch>
                  </pic:blipFill>
                  <pic:spPr bwMode="auto">
                    <a:xfrm>
                      <a:off x="0" y="0"/>
                      <a:ext cx="5334000" cy="3307713"/>
                    </a:xfrm>
                    <a:prstGeom prst="rect">
                      <a:avLst/>
                    </a:prstGeom>
                    <a:noFill/>
                    <a:ln w="9525">
                      <a:noFill/>
                      <a:headEnd/>
                      <a:tailEnd/>
                    </a:ln>
                  </pic:spPr>
                </pic:pic>
              </a:graphicData>
            </a:graphic>
          </wp:inline>
        </w:drawing>
      </w:r>
    </w:p>
    <w:p>
      <w:pPr>
        <w:pStyle w:val="ImageCaption"/>
      </w:pPr>
      <w:r>
        <w:t xml:space="preserve">Figure S8. Bootstrap Distribution of DPD Estimates</w:t>
      </w:r>
    </w:p>
    <w:bookmarkEnd w:id="68"/>
    <w:bookmarkStart w:id="72" w:name="Xaf2bf5ed371c7750c66435ad30bf9a24fef6993"/>
    <w:p>
      <w:pPr>
        <w:pStyle w:val="Heading3"/>
      </w:pPr>
      <w:r>
        <w:t xml:space="preserve">Figure S9. Geographic Variation in Viral Suppression Disparities</w:t>
      </w:r>
    </w:p>
    <w:p>
      <w:pPr>
        <w:pStyle w:val="FirstParagraph"/>
      </w:pPr>
      <w:r>
        <w:rPr>
          <w:b/>
          <w:bCs/>
        </w:rPr>
        <w:t xml:space="preserve">Description:</w:t>
      </w:r>
      <w:r>
        <w:t xml:space="preserve"> </w:t>
      </w:r>
      <w:r>
        <w:t xml:space="preserve">Horizontal bar chart showing Black-White viral suppression rate ratio by selected state (CDC AtlasPlus data). Colour scale from red (ratio &lt;0.80, large disparity) to green (ratio &gt;0.95, near parity). Range spans 0.680 (New Mexico) to 1.000 (Maryland). Geographic variation confirms that racial disparities in HIV outcomes are structural and real, reinforcing the argument that differential prediction rates reflect genuine differential burden.</w:t>
      </w:r>
    </w:p>
    <w:p>
      <w:pPr>
        <w:pStyle w:val="CaptionedFigure"/>
      </w:pPr>
      <w:r>
        <w:drawing>
          <wp:inline>
            <wp:extent cx="5334000" cy="3529263"/>
            <wp:effectExtent b="0" l="0" r="0" t="0"/>
            <wp:docPr descr="Figure S9. Geographic Variation in Viral Suppression Disparities" title="" id="70" name="Picture"/>
            <a:graphic>
              <a:graphicData uri="http://schemas.openxmlformats.org/drawingml/2006/picture">
                <pic:pic>
                  <pic:nvPicPr>
                    <pic:cNvPr descr="figS9_geographic_variation.png" id="71" name="Picture"/>
                    <pic:cNvPicPr>
                      <a:picLocks noChangeArrowheads="1" noChangeAspect="1"/>
                    </pic:cNvPicPr>
                  </pic:nvPicPr>
                  <pic:blipFill>
                    <a:blip r:embed="rId69"/>
                    <a:stretch>
                      <a:fillRect/>
                    </a:stretch>
                  </pic:blipFill>
                  <pic:spPr bwMode="auto">
                    <a:xfrm>
                      <a:off x="0" y="0"/>
                      <a:ext cx="5334000" cy="3529263"/>
                    </a:xfrm>
                    <a:prstGeom prst="rect">
                      <a:avLst/>
                    </a:prstGeom>
                    <a:noFill/>
                    <a:ln w="9525">
                      <a:noFill/>
                      <a:headEnd/>
                      <a:tailEnd/>
                    </a:ln>
                  </pic:spPr>
                </pic:pic>
              </a:graphicData>
            </a:graphic>
          </wp:inline>
        </w:drawing>
      </w:r>
    </w:p>
    <w:p>
      <w:pPr>
        <w:pStyle w:val="ImageCaption"/>
      </w:pPr>
      <w:r>
        <w:t xml:space="preserve">Figure S9. Geographic Variation in Viral Suppression Disparities</w:t>
      </w:r>
    </w:p>
    <w:p>
      <w:r>
        <w:pict>
          <v:rect style="width:0;height:1.5pt" o:hralign="center" o:hrstd="t" o:hr="t"/>
        </w:pict>
      </w:r>
    </w:p>
    <w:bookmarkEnd w:id="72"/>
    <w:bookmarkEnd w:id="73"/>
    <w:bookmarkStart w:id="80" w:name="additional-sensitivity-analyses"/>
    <w:p>
      <w:pPr>
        <w:pStyle w:val="Heading2"/>
      </w:pPr>
      <w:r>
        <w:t xml:space="preserve">4. Additional Sensitivity Analyses</w:t>
      </w:r>
    </w:p>
    <w:bookmarkStart w:id="74" w:name="cross-validation-stability"/>
    <w:p>
      <w:pPr>
        <w:pStyle w:val="Heading3"/>
      </w:pPr>
      <w:r>
        <w:t xml:space="preserve">4.1 Cross-Validation Stability</w:t>
      </w:r>
    </w:p>
    <w:p>
      <w:pPr>
        <w:pStyle w:val="FirstParagraph"/>
      </w:pPr>
      <w:r>
        <w:t xml:space="preserve">5-fold cross-validation results are reported in main text Table 10. Mean DPD reduction was 90.9% +/- 3.1% (95% CI: 84.8%-97.1%) across folds. AUC remained stable at 0.711 +/- 0.002. The harm pattern (reduced TPR for high-burden groups) was consistent across all folds.</w:t>
      </w:r>
    </w:p>
    <w:bookmarkEnd w:id="74"/>
    <w:bookmarkStart w:id="75" w:name="random-seed-stability-10-seeds"/>
    <w:p>
      <w:pPr>
        <w:pStyle w:val="Heading3"/>
      </w:pPr>
      <w:r>
        <w:t xml:space="preserve">4.2 Random Seed Stability (10 Seeds)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Seed</w:t>
            </w:r>
          </w:p>
        </w:tc>
        <w:tc>
          <w:tcPr/>
          <w:p>
            <w:pPr>
              <w:pStyle w:val="Compact"/>
            </w:pPr>
            <w:r>
              <w:t xml:space="preserve">Baseline DPD</w:t>
            </w:r>
          </w:p>
        </w:tc>
        <w:tc>
          <w:tcPr/>
          <w:p>
            <w:pPr>
              <w:pStyle w:val="Compact"/>
            </w:pPr>
            <w:r>
              <w:t xml:space="preserve">Mitigated DPD</w:t>
            </w:r>
          </w:p>
        </w:tc>
        <w:tc>
          <w:tcPr/>
          <w:p>
            <w:pPr>
              <w:pStyle w:val="Compact"/>
            </w:pPr>
            <w:r>
              <w:t xml:space="preserve">DPD Reduction</w:t>
            </w:r>
          </w:p>
        </w:tc>
      </w:tr>
      <w:tr>
        <w:tc>
          <w:tcPr/>
          <w:p>
            <w:pPr>
              <w:pStyle w:val="Compact"/>
            </w:pPr>
            <w:r>
              <w:t xml:space="preserve">42</w:t>
            </w:r>
          </w:p>
        </w:tc>
        <w:tc>
          <w:tcPr/>
          <w:p>
            <w:pPr>
              <w:pStyle w:val="Compact"/>
            </w:pPr>
            <w:r>
              <w:t xml:space="preserve">0.539</w:t>
            </w:r>
          </w:p>
        </w:tc>
        <w:tc>
          <w:tcPr/>
          <w:p>
            <w:pPr>
              <w:pStyle w:val="Compact"/>
            </w:pPr>
            <w:r>
              <w:t xml:space="preserve">0.046</w:t>
            </w:r>
          </w:p>
        </w:tc>
        <w:tc>
          <w:tcPr/>
          <w:p>
            <w:pPr>
              <w:pStyle w:val="Compact"/>
            </w:pPr>
            <w:r>
              <w:t xml:space="preserve">91.5%</w:t>
            </w:r>
          </w:p>
        </w:tc>
      </w:tr>
      <w:tr>
        <w:tc>
          <w:tcPr/>
          <w:p>
            <w:pPr>
              <w:pStyle w:val="Compact"/>
            </w:pPr>
            <w:r>
              <w:t xml:space="preserve">123</w:t>
            </w:r>
          </w:p>
        </w:tc>
        <w:tc>
          <w:tcPr/>
          <w:p>
            <w:pPr>
              <w:pStyle w:val="Compact"/>
            </w:pPr>
            <w:r>
              <w:t xml:space="preserve">0.541</w:t>
            </w:r>
          </w:p>
        </w:tc>
        <w:tc>
          <w:tcPr/>
          <w:p>
            <w:pPr>
              <w:pStyle w:val="Compact"/>
            </w:pPr>
            <w:r>
              <w:t xml:space="preserve">0.051</w:t>
            </w:r>
          </w:p>
        </w:tc>
        <w:tc>
          <w:tcPr/>
          <w:p>
            <w:pPr>
              <w:pStyle w:val="Compact"/>
            </w:pPr>
            <w:r>
              <w:t xml:space="preserve">90.5%</w:t>
            </w:r>
          </w:p>
        </w:tc>
      </w:tr>
      <w:tr>
        <w:tc>
          <w:tcPr/>
          <w:p>
            <w:pPr>
              <w:pStyle w:val="Compact"/>
            </w:pPr>
            <w:r>
              <w:t xml:space="preserve">456</w:t>
            </w:r>
          </w:p>
        </w:tc>
        <w:tc>
          <w:tcPr/>
          <w:p>
            <w:pPr>
              <w:pStyle w:val="Compact"/>
            </w:pPr>
            <w:r>
              <w:t xml:space="preserve">0.530</w:t>
            </w:r>
          </w:p>
        </w:tc>
        <w:tc>
          <w:tcPr/>
          <w:p>
            <w:pPr>
              <w:pStyle w:val="Compact"/>
            </w:pPr>
            <w:r>
              <w:t xml:space="preserve">0.039</w:t>
            </w:r>
          </w:p>
        </w:tc>
        <w:tc>
          <w:tcPr/>
          <w:p>
            <w:pPr>
              <w:pStyle w:val="Compact"/>
            </w:pPr>
            <w:r>
              <w:t xml:space="preserve">92.7%</w:t>
            </w:r>
          </w:p>
        </w:tc>
      </w:tr>
      <w:tr>
        <w:tc>
          <w:tcPr/>
          <w:p>
            <w:pPr>
              <w:pStyle w:val="Compact"/>
            </w:pPr>
            <w:r>
              <w:t xml:space="preserve">789</w:t>
            </w:r>
          </w:p>
        </w:tc>
        <w:tc>
          <w:tcPr/>
          <w:p>
            <w:pPr>
              <w:pStyle w:val="Compact"/>
            </w:pPr>
            <w:r>
              <w:t xml:space="preserve">0.546</w:t>
            </w:r>
          </w:p>
        </w:tc>
        <w:tc>
          <w:tcPr/>
          <w:p>
            <w:pPr>
              <w:pStyle w:val="Compact"/>
            </w:pPr>
            <w:r>
              <w:t xml:space="preserve">0.062</w:t>
            </w:r>
          </w:p>
        </w:tc>
        <w:tc>
          <w:tcPr/>
          <w:p>
            <w:pPr>
              <w:pStyle w:val="Compact"/>
            </w:pPr>
            <w:r>
              <w:t xml:space="preserve">88.6%</w:t>
            </w:r>
          </w:p>
        </w:tc>
      </w:tr>
      <w:tr>
        <w:tc>
          <w:tcPr/>
          <w:p>
            <w:pPr>
              <w:pStyle w:val="Compact"/>
            </w:pPr>
            <w:r>
              <w:t xml:space="preserve">1000</w:t>
            </w:r>
          </w:p>
        </w:tc>
        <w:tc>
          <w:tcPr/>
          <w:p>
            <w:pPr>
              <w:pStyle w:val="Compact"/>
            </w:pPr>
            <w:r>
              <w:t xml:space="preserve">0.523</w:t>
            </w:r>
          </w:p>
        </w:tc>
        <w:tc>
          <w:tcPr/>
          <w:p>
            <w:pPr>
              <w:pStyle w:val="Compact"/>
            </w:pPr>
            <w:r>
              <w:t xml:space="preserve">0.028</w:t>
            </w:r>
          </w:p>
        </w:tc>
        <w:tc>
          <w:tcPr/>
          <w:p>
            <w:pPr>
              <w:pStyle w:val="Compact"/>
            </w:pPr>
            <w:r>
              <w:t xml:space="preserve">94.7%</w:t>
            </w:r>
          </w:p>
        </w:tc>
      </w:tr>
      <w:tr>
        <w:tc>
          <w:tcPr/>
          <w:p>
            <w:pPr>
              <w:pStyle w:val="Compact"/>
            </w:pPr>
            <w:r>
              <w:t xml:space="preserve">2024</w:t>
            </w:r>
          </w:p>
        </w:tc>
        <w:tc>
          <w:tcPr/>
          <w:p>
            <w:pPr>
              <w:pStyle w:val="Compact"/>
            </w:pPr>
            <w:r>
              <w:t xml:space="preserve">0.551</w:t>
            </w:r>
          </w:p>
        </w:tc>
        <w:tc>
          <w:tcPr/>
          <w:p>
            <w:pPr>
              <w:pStyle w:val="Compact"/>
            </w:pPr>
            <w:r>
              <w:t xml:space="preserve">0.055</w:t>
            </w:r>
          </w:p>
        </w:tc>
        <w:tc>
          <w:tcPr/>
          <w:p>
            <w:pPr>
              <w:pStyle w:val="Compact"/>
            </w:pPr>
            <w:r>
              <w:t xml:space="preserve">90.1%</w:t>
            </w:r>
          </w:p>
        </w:tc>
      </w:tr>
      <w:tr>
        <w:tc>
          <w:tcPr/>
          <w:p>
            <w:pPr>
              <w:pStyle w:val="Compact"/>
            </w:pPr>
            <w:r>
              <w:t xml:space="preserve">3000</w:t>
            </w:r>
          </w:p>
        </w:tc>
        <w:tc>
          <w:tcPr/>
          <w:p>
            <w:pPr>
              <w:pStyle w:val="Compact"/>
            </w:pPr>
            <w:r>
              <w:t xml:space="preserve">0.519</w:t>
            </w:r>
          </w:p>
        </w:tc>
        <w:tc>
          <w:tcPr/>
          <w:p>
            <w:pPr>
              <w:pStyle w:val="Compact"/>
            </w:pPr>
            <w:r>
              <w:t xml:space="preserve">0.030</w:t>
            </w:r>
          </w:p>
        </w:tc>
        <w:tc>
          <w:tcPr/>
          <w:p>
            <w:pPr>
              <w:pStyle w:val="Compact"/>
            </w:pPr>
            <w:r>
              <w:t xml:space="preserve">94.3%</w:t>
            </w:r>
          </w:p>
        </w:tc>
      </w:tr>
      <w:tr>
        <w:tc>
          <w:tcPr/>
          <w:p>
            <w:pPr>
              <w:pStyle w:val="Compact"/>
            </w:pPr>
            <w:r>
              <w:t xml:space="preserve">4567</w:t>
            </w:r>
          </w:p>
        </w:tc>
        <w:tc>
          <w:tcPr/>
          <w:p>
            <w:pPr>
              <w:pStyle w:val="Compact"/>
            </w:pPr>
            <w:r>
              <w:t xml:space="preserve">0.562</w:t>
            </w:r>
          </w:p>
        </w:tc>
        <w:tc>
          <w:tcPr/>
          <w:p>
            <w:pPr>
              <w:pStyle w:val="Compact"/>
            </w:pPr>
            <w:r>
              <w:t xml:space="preserve">0.070</w:t>
            </w:r>
          </w:p>
        </w:tc>
        <w:tc>
          <w:tcPr/>
          <w:p>
            <w:pPr>
              <w:pStyle w:val="Compact"/>
            </w:pPr>
            <w:r>
              <w:t xml:space="preserve">87.5%</w:t>
            </w:r>
          </w:p>
        </w:tc>
      </w:tr>
      <w:tr>
        <w:tc>
          <w:tcPr/>
          <w:p>
            <w:pPr>
              <w:pStyle w:val="Compact"/>
            </w:pPr>
            <w:r>
              <w:t xml:space="preserve">5555</w:t>
            </w:r>
          </w:p>
        </w:tc>
        <w:tc>
          <w:tcPr/>
          <w:p>
            <w:pPr>
              <w:pStyle w:val="Compact"/>
            </w:pPr>
            <w:r>
              <w:t xml:space="preserve">0.535</w:t>
            </w:r>
          </w:p>
        </w:tc>
        <w:tc>
          <w:tcPr/>
          <w:p>
            <w:pPr>
              <w:pStyle w:val="Compact"/>
            </w:pPr>
            <w:r>
              <w:t xml:space="preserve">0.041</w:t>
            </w:r>
          </w:p>
        </w:tc>
        <w:tc>
          <w:tcPr/>
          <w:p>
            <w:pPr>
              <w:pStyle w:val="Compact"/>
            </w:pPr>
            <w:r>
              <w:t xml:space="preserve">92.3%</w:t>
            </w:r>
          </w:p>
        </w:tc>
      </w:tr>
      <w:tr>
        <w:tc>
          <w:tcPr/>
          <w:p>
            <w:pPr>
              <w:pStyle w:val="Compact"/>
            </w:pPr>
            <w:r>
              <w:t xml:space="preserve">9999</w:t>
            </w:r>
          </w:p>
        </w:tc>
        <w:tc>
          <w:tcPr/>
          <w:p>
            <w:pPr>
              <w:pStyle w:val="Compact"/>
            </w:pPr>
            <w:r>
              <w:t xml:space="preserve">0.518</w:t>
            </w:r>
          </w:p>
        </w:tc>
        <w:tc>
          <w:tcPr/>
          <w:p>
            <w:pPr>
              <w:pStyle w:val="Compact"/>
            </w:pPr>
            <w:r>
              <w:t xml:space="preserve">0.027</w:t>
            </w:r>
          </w:p>
        </w:tc>
        <w:tc>
          <w:tcPr/>
          <w:p>
            <w:pPr>
              <w:pStyle w:val="Compact"/>
            </w:pPr>
            <w:r>
              <w:t xml:space="preserve">94.8%</w:t>
            </w:r>
          </w:p>
        </w:tc>
      </w:tr>
      <w:tr>
        <w:tc>
          <w:tcPr/>
          <w:p>
            <w:pPr>
              <w:pStyle w:val="Compact"/>
            </w:pPr>
            <w:r>
              <w:rPr>
                <w:b/>
                <w:bCs/>
              </w:rPr>
              <w:t xml:space="preserve">Mean</w:t>
            </w:r>
          </w:p>
        </w:tc>
        <w:tc>
          <w:tcPr/>
          <w:p>
            <w:pPr>
              <w:pStyle w:val="Compact"/>
            </w:pPr>
            <w:r>
              <w:rPr>
                <w:b/>
                <w:bCs/>
              </w:rPr>
              <w:t xml:space="preserve">0.536</w:t>
            </w:r>
          </w:p>
        </w:tc>
        <w:tc>
          <w:tcPr/>
          <w:p>
            <w:pPr>
              <w:pStyle w:val="Compact"/>
            </w:pPr>
            <w:r>
              <w:rPr>
                <w:b/>
                <w:bCs/>
              </w:rPr>
              <w:t xml:space="preserve">0.045</w:t>
            </w:r>
          </w:p>
        </w:tc>
        <w:tc>
          <w:tcPr/>
          <w:p>
            <w:pPr>
              <w:pStyle w:val="Compact"/>
            </w:pPr>
            <w:r>
              <w:rPr>
                <w:b/>
                <w:bCs/>
              </w:rPr>
              <w:t xml:space="preserve">91.7%</w:t>
            </w:r>
          </w:p>
        </w:tc>
      </w:tr>
      <w:tr>
        <w:tc>
          <w:tcPr/>
          <w:p>
            <w:pPr>
              <w:pStyle w:val="Compact"/>
            </w:pPr>
            <w:r>
              <w:rPr>
                <w:b/>
                <w:bCs/>
              </w:rPr>
              <w:t xml:space="preserve">SD</w:t>
            </w:r>
          </w:p>
        </w:tc>
        <w:tc>
          <w:tcPr/>
          <w:p>
            <w:pPr>
              <w:pStyle w:val="Compact"/>
            </w:pPr>
            <w:r>
              <w:t xml:space="preserve">0.015</w:t>
            </w:r>
          </w:p>
        </w:tc>
        <w:tc>
          <w:tcPr/>
          <w:p>
            <w:pPr>
              <w:pStyle w:val="Compact"/>
            </w:pPr>
            <w:r>
              <w:t xml:space="preserve">0.015</w:t>
            </w:r>
          </w:p>
        </w:tc>
        <w:tc>
          <w:tcPr/>
          <w:p>
            <w:pPr>
              <w:pStyle w:val="Compact"/>
            </w:pPr>
            <w:r>
              <w:t xml:space="preserve">2.5%</w:t>
            </w:r>
          </w:p>
        </w:tc>
      </w:tr>
    </w:tbl>
    <w:p>
      <w:pPr>
        <w:pStyle w:val="BodyText"/>
      </w:pPr>
      <w:r>
        <w:rPr>
          <w:i/>
          <w:iCs/>
        </w:rPr>
        <w:t xml:space="preserve">DPD reduction was consistent across random seeds (range: 87.5%-94.8%), confirming robustness.</w:t>
      </w:r>
    </w:p>
    <w:bookmarkEnd w:id="75"/>
    <w:bookmarkStart w:id="76" w:name="Xc4bdea567763d8282778e7cf5401f3c8ff22b42"/>
    <w:p>
      <w:pPr>
        <w:pStyle w:val="Heading3"/>
      </w:pPr>
      <w:r>
        <w:t xml:space="preserve">4.3 Sensitivity to Protected Attribute Definition</w:t>
      </w:r>
    </w:p>
    <w:tbl>
      <w:tblPr>
        <w:tblStyle w:val="Table"/>
        <w:tblW w:type="pct" w:w="5000"/>
        <w:tblLayout w:type="fixed"/>
        <w:tblLook w:firstRow="1" w:lastRow="0" w:firstColumn="0" w:lastColumn="0" w:noHBand="0" w:noVBand="0" w:val="0020"/>
      </w:tblPr>
      <w:tblGrid>
        <w:gridCol w:w="1320"/>
        <w:gridCol w:w="1320"/>
        <w:gridCol w:w="1848"/>
        <w:gridCol w:w="1980"/>
        <w:gridCol w:w="1452"/>
      </w:tblGrid>
      <w:tr>
        <w:trPr>
          <w:tblHeader w:val="on"/>
        </w:trPr>
        <w:tc>
          <w:tcPr/>
          <w:p>
            <w:pPr>
              <w:pStyle w:val="Compact"/>
            </w:pPr>
            <w:r>
              <w:t xml:space="preserve">Grouping</w:t>
            </w:r>
          </w:p>
        </w:tc>
        <w:tc>
          <w:tcPr/>
          <w:p>
            <w:pPr>
              <w:pStyle w:val="Compact"/>
            </w:pPr>
            <w:r>
              <w:t xml:space="preserve">N Groups</w:t>
            </w:r>
          </w:p>
        </w:tc>
        <w:tc>
          <w:tcPr/>
          <w:p>
            <w:pPr>
              <w:pStyle w:val="Compact"/>
            </w:pPr>
            <w:r>
              <w:t xml:space="preserve">Baseline DPD</w:t>
            </w:r>
          </w:p>
        </w:tc>
        <w:tc>
          <w:tcPr/>
          <w:p>
            <w:pPr>
              <w:pStyle w:val="Compact"/>
            </w:pPr>
            <w:r>
              <w:t xml:space="preserve">Mitigated DPD</w:t>
            </w:r>
          </w:p>
        </w:tc>
        <w:tc>
          <w:tcPr/>
          <w:p>
            <w:pPr>
              <w:pStyle w:val="Compact"/>
            </w:pPr>
            <w:r>
              <w:t xml:space="preserve">Reduction</w:t>
            </w:r>
          </w:p>
        </w:tc>
      </w:tr>
      <w:tr>
        <w:tc>
          <w:tcPr/>
          <w:p>
            <w:pPr>
              <w:pStyle w:val="Compact"/>
            </w:pPr>
            <w:r>
              <w:t xml:space="preserve">8 categories (primary)</w:t>
            </w:r>
          </w:p>
        </w:tc>
        <w:tc>
          <w:tcPr/>
          <w:p>
            <w:pPr>
              <w:pStyle w:val="Compact"/>
            </w:pPr>
            <w:r>
              <w:t xml:space="preserve">8</w:t>
            </w:r>
          </w:p>
        </w:tc>
        <w:tc>
          <w:tcPr/>
          <w:p>
            <w:pPr>
              <w:pStyle w:val="Compact"/>
            </w:pPr>
            <w:r>
              <w:t xml:space="preserve">0.539</w:t>
            </w:r>
          </w:p>
        </w:tc>
        <w:tc>
          <w:tcPr/>
          <w:p>
            <w:pPr>
              <w:pStyle w:val="Compact"/>
            </w:pPr>
            <w:r>
              <w:t xml:space="preserve">0.073</w:t>
            </w:r>
          </w:p>
        </w:tc>
        <w:tc>
          <w:tcPr/>
          <w:p>
            <w:pPr>
              <w:pStyle w:val="Compact"/>
            </w:pPr>
            <w:r>
              <w:t xml:space="preserve">86.4%</w:t>
            </w:r>
          </w:p>
        </w:tc>
      </w:tr>
      <w:tr>
        <w:tc>
          <w:tcPr/>
          <w:p>
            <w:pPr>
              <w:pStyle w:val="Compact"/>
            </w:pPr>
            <w:r>
              <w:t xml:space="preserve">4 categories (White/Black/Hispanic/Other)</w:t>
            </w:r>
          </w:p>
        </w:tc>
        <w:tc>
          <w:tcPr/>
          <w:p>
            <w:pPr>
              <w:pStyle w:val="Compact"/>
            </w:pPr>
            <w:r>
              <w:t xml:space="preserve">4</w:t>
            </w:r>
          </w:p>
        </w:tc>
        <w:tc>
          <w:tcPr/>
          <w:p>
            <w:pPr>
              <w:pStyle w:val="Compact"/>
            </w:pPr>
            <w:r>
              <w:t xml:space="preserve">0.497</w:t>
            </w:r>
          </w:p>
        </w:tc>
        <w:tc>
          <w:tcPr/>
          <w:p>
            <w:pPr>
              <w:pStyle w:val="Compact"/>
            </w:pPr>
            <w:r>
              <w:t xml:space="preserve">0.068</w:t>
            </w:r>
          </w:p>
        </w:tc>
        <w:tc>
          <w:tcPr/>
          <w:p>
            <w:pPr>
              <w:pStyle w:val="Compact"/>
            </w:pPr>
            <w:r>
              <w:t xml:space="preserve">86.3%</w:t>
            </w:r>
          </w:p>
        </w:tc>
      </w:tr>
      <w:tr>
        <w:tc>
          <w:tcPr/>
          <w:p>
            <w:pPr>
              <w:pStyle w:val="Compact"/>
            </w:pPr>
            <w:r>
              <w:t xml:space="preserve">Binary (White vs. Non-White)</w:t>
            </w:r>
          </w:p>
        </w:tc>
        <w:tc>
          <w:tcPr/>
          <w:p>
            <w:pPr>
              <w:pStyle w:val="Compact"/>
            </w:pPr>
            <w:r>
              <w:t xml:space="preserve">2</w:t>
            </w:r>
          </w:p>
        </w:tc>
        <w:tc>
          <w:tcPr/>
          <w:p>
            <w:pPr>
              <w:pStyle w:val="Compact"/>
            </w:pPr>
            <w:r>
              <w:t xml:space="preserve">0.234</w:t>
            </w:r>
          </w:p>
        </w:tc>
        <w:tc>
          <w:tcPr/>
          <w:p>
            <w:pPr>
              <w:pStyle w:val="Compact"/>
            </w:pPr>
            <w:r>
              <w:t xml:space="preserve">0.028</w:t>
            </w:r>
          </w:p>
        </w:tc>
        <w:tc>
          <w:tcPr/>
          <w:p>
            <w:pPr>
              <w:pStyle w:val="Compact"/>
            </w:pPr>
            <w:r>
              <w:t xml:space="preserve">88.0%</w:t>
            </w:r>
          </w:p>
        </w:tc>
      </w:tr>
    </w:tbl>
    <w:p>
      <w:pPr>
        <w:pStyle w:val="BodyText"/>
      </w:pPr>
      <w:r>
        <w:rPr>
          <w:i/>
          <w:iCs/>
        </w:rPr>
        <w:t xml:space="preserve">Findings were robust to grouping strategy. Coarser groupings reduce measured DPD by masking within-group heterogeneity but do not change the fundamental pattern: DP mitigation suppresses selection rates for higher-burden groups regardless of how groups are defined.</w:t>
      </w:r>
    </w:p>
    <w:bookmarkEnd w:id="76"/>
    <w:bookmarkStart w:id="77" w:name="sensitivity-to-outcome-definition"/>
    <w:p>
      <w:pPr>
        <w:pStyle w:val="Heading3"/>
      </w:pPr>
      <w:r>
        <w:t xml:space="preserve">4.4 Sensitivity to Outcome Definition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Outcome</w:t>
            </w:r>
          </w:p>
        </w:tc>
        <w:tc>
          <w:tcPr/>
          <w:p>
            <w:pPr>
              <w:pStyle w:val="Compact"/>
            </w:pPr>
            <w:r>
              <w:t xml:space="preserve">N with Valid Response</w:t>
            </w:r>
          </w:p>
        </w:tc>
        <w:tc>
          <w:tcPr/>
          <w:p>
            <w:pPr>
              <w:pStyle w:val="Compact"/>
            </w:pPr>
            <w:r>
              <w:t xml:space="preserve">Prevalence</w:t>
            </w:r>
          </w:p>
        </w:tc>
        <w:tc>
          <w:tcPr/>
          <w:p>
            <w:pPr>
              <w:pStyle w:val="Compact"/>
            </w:pPr>
            <w:r>
              <w:t xml:space="preserve">Baseline DPD</w:t>
            </w:r>
          </w:p>
        </w:tc>
      </w:tr>
      <w:tr>
        <w:tc>
          <w:tcPr/>
          <w:p>
            <w:pPr>
              <w:pStyle w:val="Compact"/>
            </w:pPr>
            <w:r>
              <w:t xml:space="preserve">Ever HIV tested (primary)</w:t>
            </w:r>
          </w:p>
        </w:tc>
        <w:tc>
          <w:tcPr/>
          <w:p>
            <w:pPr>
              <w:pStyle w:val="Compact"/>
            </w:pPr>
            <w:r>
              <w:t xml:space="preserve">386,775</w:t>
            </w:r>
          </w:p>
        </w:tc>
        <w:tc>
          <w:tcPr/>
          <w:p>
            <w:pPr>
              <w:pStyle w:val="Compact"/>
            </w:pPr>
            <w:r>
              <w:t xml:space="preserve">36.4%</w:t>
            </w:r>
          </w:p>
        </w:tc>
        <w:tc>
          <w:tcPr/>
          <w:p>
            <w:pPr>
              <w:pStyle w:val="Compact"/>
            </w:pPr>
            <w:r>
              <w:t xml:space="preserve">0.539</w:t>
            </w:r>
          </w:p>
        </w:tc>
      </w:tr>
      <w:tr>
        <w:tc>
          <w:tcPr/>
          <w:p>
            <w:pPr>
              <w:pStyle w:val="Compact"/>
            </w:pPr>
            <w:r>
              <w:t xml:space="preserve">HIV tested past 12 months</w:t>
            </w:r>
          </w:p>
        </w:tc>
        <w:tc>
          <w:tcPr/>
          <w:p>
            <w:pPr>
              <w:pStyle w:val="Compact"/>
            </w:pPr>
            <w:r>
              <w:t xml:space="preserve">382,456</w:t>
            </w:r>
          </w:p>
        </w:tc>
        <w:tc>
          <w:tcPr/>
          <w:p>
            <w:pPr>
              <w:pStyle w:val="Compact"/>
            </w:pPr>
            <w:r>
              <w:t xml:space="preserve">14.2%</w:t>
            </w:r>
          </w:p>
        </w:tc>
        <w:tc>
          <w:tcPr/>
          <w:p>
            <w:pPr>
              <w:pStyle w:val="Compact"/>
            </w:pPr>
            <w:r>
              <w:t xml:space="preserve">0.412</w:t>
            </w:r>
          </w:p>
        </w:tc>
      </w:tr>
      <w:tr>
        <w:tc>
          <w:tcPr/>
          <w:p>
            <w:pPr>
              <w:pStyle w:val="Compact"/>
            </w:pPr>
            <w:r>
              <w:t xml:space="preserve">Multiple HIV tests</w:t>
            </w:r>
          </w:p>
        </w:tc>
        <w:tc>
          <w:tcPr/>
          <w:p>
            <w:pPr>
              <w:pStyle w:val="Compact"/>
            </w:pPr>
            <w:r>
              <w:t xml:space="preserve">378,234</w:t>
            </w:r>
          </w:p>
        </w:tc>
        <w:tc>
          <w:tcPr/>
          <w:p>
            <w:pPr>
              <w:pStyle w:val="Compact"/>
            </w:pPr>
            <w:r>
              <w:t xml:space="preserve">21.8%</w:t>
            </w:r>
          </w:p>
        </w:tc>
        <w:tc>
          <w:tcPr/>
          <w:p>
            <w:pPr>
              <w:pStyle w:val="Compact"/>
            </w:pPr>
            <w:r>
              <w:t xml:space="preserve">0.478</w:t>
            </w:r>
          </w:p>
        </w:tc>
      </w:tr>
    </w:tbl>
    <w:p>
      <w:pPr>
        <w:pStyle w:val="BodyText"/>
      </w:pPr>
      <w:r>
        <w:rPr>
          <w:i/>
          <w:iCs/>
        </w:rPr>
        <w:t xml:space="preserve">Similar differential prediction patterns across outcome definitions. More proximal outcomes (past 12 months) show somewhat lower DPD, potentially reflecting more recent and uniform testing guidelines.</w:t>
      </w:r>
    </w:p>
    <w:bookmarkEnd w:id="77"/>
    <w:bookmarkStart w:id="78" w:name="sensitivity-to-feature-set"/>
    <w:p>
      <w:pPr>
        <w:pStyle w:val="Heading3"/>
      </w:pPr>
      <w:r>
        <w:t xml:space="preserve">4.5 Sensitivity to Feature Set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Feature Set</w:t>
            </w:r>
          </w:p>
        </w:tc>
        <w:tc>
          <w:tcPr/>
          <w:p>
            <w:pPr>
              <w:pStyle w:val="Compact"/>
            </w:pPr>
            <w:r>
              <w:t xml:space="preserve">N Features</w:t>
            </w:r>
          </w:p>
        </w:tc>
        <w:tc>
          <w:tcPr/>
          <w:p>
            <w:pPr>
              <w:pStyle w:val="Compact"/>
            </w:pPr>
            <w:r>
              <w:t xml:space="preserve">AUC</w:t>
            </w:r>
          </w:p>
        </w:tc>
        <w:tc>
          <w:tcPr/>
          <w:p>
            <w:pPr>
              <w:pStyle w:val="Compact"/>
            </w:pPr>
            <w:r>
              <w:t xml:space="preserve">Baseline DPD</w:t>
            </w:r>
          </w:p>
        </w:tc>
      </w:tr>
      <w:tr>
        <w:tc>
          <w:tcPr/>
          <w:p>
            <w:pPr>
              <w:pStyle w:val="Compact"/>
            </w:pPr>
            <w:r>
              <w:t xml:space="preserve">Full (primary)</w:t>
            </w:r>
          </w:p>
        </w:tc>
        <w:tc>
          <w:tcPr/>
          <w:p>
            <w:pPr>
              <w:pStyle w:val="Compact"/>
            </w:pPr>
            <w:r>
              <w:t xml:space="preserve">8</w:t>
            </w:r>
          </w:p>
        </w:tc>
        <w:tc>
          <w:tcPr/>
          <w:p>
            <w:pPr>
              <w:pStyle w:val="Compact"/>
            </w:pPr>
            <w:r>
              <w:t xml:space="preserve">0.713</w:t>
            </w:r>
          </w:p>
        </w:tc>
        <w:tc>
          <w:tcPr/>
          <w:p>
            <w:pPr>
              <w:pStyle w:val="Compact"/>
            </w:pPr>
            <w:r>
              <w:t xml:space="preserve">0.539</w:t>
            </w:r>
          </w:p>
        </w:tc>
      </w:tr>
      <w:tr>
        <w:tc>
          <w:tcPr/>
          <w:p>
            <w:pPr>
              <w:pStyle w:val="Compact"/>
            </w:pPr>
            <w:r>
              <w:t xml:space="preserve">Demographics only</w:t>
            </w:r>
          </w:p>
        </w:tc>
        <w:tc>
          <w:tcPr/>
          <w:p>
            <w:pPr>
              <w:pStyle w:val="Compact"/>
            </w:pPr>
            <w:r>
              <w:t xml:space="preserve">4</w:t>
            </w:r>
          </w:p>
        </w:tc>
        <w:tc>
          <w:tcPr/>
          <w:p>
            <w:pPr>
              <w:pStyle w:val="Compact"/>
            </w:pPr>
            <w:r>
              <w:t xml:space="preserve">0.658</w:t>
            </w:r>
          </w:p>
        </w:tc>
        <w:tc>
          <w:tcPr/>
          <w:p>
            <w:pPr>
              <w:pStyle w:val="Compact"/>
            </w:pPr>
            <w:r>
              <w:t xml:space="preserve">0.523</w:t>
            </w:r>
          </w:p>
        </w:tc>
      </w:tr>
      <w:tr>
        <w:tc>
          <w:tcPr/>
          <w:p>
            <w:pPr>
              <w:pStyle w:val="Compact"/>
            </w:pPr>
            <w:r>
              <w:t xml:space="preserve">SDoH only</w:t>
            </w:r>
          </w:p>
        </w:tc>
        <w:tc>
          <w:tcPr/>
          <w:p>
            <w:pPr>
              <w:pStyle w:val="Compact"/>
            </w:pPr>
            <w:r>
              <w:t xml:space="preserve">4</w:t>
            </w:r>
          </w:p>
        </w:tc>
        <w:tc>
          <w:tcPr/>
          <w:p>
            <w:pPr>
              <w:pStyle w:val="Compact"/>
            </w:pPr>
            <w:r>
              <w:t xml:space="preserve">0.641</w:t>
            </w:r>
          </w:p>
        </w:tc>
        <w:tc>
          <w:tcPr/>
          <w:p>
            <w:pPr>
              <w:pStyle w:val="Compact"/>
            </w:pPr>
            <w:r>
              <w:t xml:space="preserve">0.298</w:t>
            </w:r>
          </w:p>
        </w:tc>
      </w:tr>
      <w:tr>
        <w:tc>
          <w:tcPr/>
          <w:p>
            <w:pPr>
              <w:pStyle w:val="Compact"/>
            </w:pPr>
            <w:r>
              <w:t xml:space="preserve">No geographic features</w:t>
            </w:r>
          </w:p>
        </w:tc>
        <w:tc>
          <w:tcPr/>
          <w:p>
            <w:pPr>
              <w:pStyle w:val="Compact"/>
            </w:pPr>
            <w:r>
              <w:t xml:space="preserve">7</w:t>
            </w:r>
          </w:p>
        </w:tc>
        <w:tc>
          <w:tcPr/>
          <w:p>
            <w:pPr>
              <w:pStyle w:val="Compact"/>
            </w:pPr>
            <w:r>
              <w:t xml:space="preserve">0.709</w:t>
            </w:r>
          </w:p>
        </w:tc>
        <w:tc>
          <w:tcPr/>
          <w:p>
            <w:pPr>
              <w:pStyle w:val="Compact"/>
            </w:pPr>
            <w:r>
              <w:t xml:space="preserve">0.534</w:t>
            </w:r>
          </w:p>
        </w:tc>
      </w:tr>
    </w:tbl>
    <w:p>
      <w:pPr>
        <w:pStyle w:val="BodyText"/>
      </w:pPr>
      <w:r>
        <w:rPr>
          <w:i/>
          <w:iCs/>
        </w:rPr>
        <w:t xml:space="preserve">Social determinants of health features (income, depression, cost barrier) contribute to both predictive power and differential prediction. Geographic region (South vs. Non-South) has minimal independent contribution to DPD.</w:t>
      </w:r>
    </w:p>
    <w:bookmarkEnd w:id="78"/>
    <w:bookmarkStart w:id="79" w:name="temporal-stability-brfss-2022-2024"/>
    <w:p>
      <w:pPr>
        <w:pStyle w:val="Heading3"/>
      </w:pPr>
      <w:r>
        <w:t xml:space="preserve">4.6 Temporal Stability (BRFSS 2022-2024)</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Year</w:t>
            </w:r>
          </w:p>
        </w:tc>
        <w:tc>
          <w:tcPr/>
          <w:p>
            <w:pPr>
              <w:pStyle w:val="Compact"/>
            </w:pPr>
            <w:r>
              <w:t xml:space="preserve">N</w:t>
            </w:r>
          </w:p>
        </w:tc>
        <w:tc>
          <w:tcPr/>
          <w:p>
            <w:pPr>
              <w:pStyle w:val="Compact"/>
            </w:pPr>
            <w:r>
              <w:t xml:space="preserve">HIV Testing Rate</w:t>
            </w:r>
          </w:p>
        </w:tc>
        <w:tc>
          <w:tcPr/>
          <w:p>
            <w:pPr>
              <w:pStyle w:val="Compact"/>
            </w:pPr>
            <w:r>
              <w:t xml:space="preserve">Black-White Gap</w:t>
            </w:r>
          </w:p>
        </w:tc>
      </w:tr>
      <w:tr>
        <w:tc>
          <w:tcPr/>
          <w:p>
            <w:pPr>
              <w:pStyle w:val="Compact"/>
            </w:pPr>
            <w:r>
              <w:t xml:space="preserve">2022</w:t>
            </w:r>
          </w:p>
        </w:tc>
        <w:tc>
          <w:tcPr/>
          <w:p>
            <w:pPr>
              <w:pStyle w:val="Compact"/>
            </w:pPr>
            <w:r>
              <w:t xml:space="preserve">445,132</w:t>
            </w:r>
          </w:p>
        </w:tc>
        <w:tc>
          <w:tcPr/>
          <w:p>
            <w:pPr>
              <w:pStyle w:val="Compact"/>
            </w:pPr>
            <w:r>
              <w:t xml:space="preserve">35.8%</w:t>
            </w:r>
          </w:p>
        </w:tc>
        <w:tc>
          <w:tcPr/>
          <w:p>
            <w:pPr>
              <w:pStyle w:val="Compact"/>
            </w:pPr>
            <w:r>
              <w:t xml:space="preserve">+23.1pp</w:t>
            </w:r>
          </w:p>
        </w:tc>
      </w:tr>
      <w:tr>
        <w:tc>
          <w:tcPr/>
          <w:p>
            <w:pPr>
              <w:pStyle w:val="Compact"/>
            </w:pPr>
            <w:r>
              <w:t xml:space="preserve">2023</w:t>
            </w:r>
          </w:p>
        </w:tc>
        <w:tc>
          <w:tcPr/>
          <w:p>
            <w:pPr>
              <w:pStyle w:val="Compact"/>
            </w:pPr>
            <w:r>
              <w:t xml:space="preserve">451,287</w:t>
            </w:r>
          </w:p>
        </w:tc>
        <w:tc>
          <w:tcPr/>
          <w:p>
            <w:pPr>
              <w:pStyle w:val="Compact"/>
            </w:pPr>
            <w:r>
              <w:t xml:space="preserve">36.1%</w:t>
            </w:r>
          </w:p>
        </w:tc>
        <w:tc>
          <w:tcPr/>
          <w:p>
            <w:pPr>
              <w:pStyle w:val="Compact"/>
            </w:pPr>
            <w:r>
              <w:t xml:space="preserve">+23.5pp</w:t>
            </w:r>
          </w:p>
        </w:tc>
      </w:tr>
      <w:tr>
        <w:tc>
          <w:tcPr/>
          <w:p>
            <w:pPr>
              <w:pStyle w:val="Compact"/>
            </w:pPr>
            <w:r>
              <w:t xml:space="preserve">2024</w:t>
            </w:r>
          </w:p>
        </w:tc>
        <w:tc>
          <w:tcPr/>
          <w:p>
            <w:pPr>
              <w:pStyle w:val="Compact"/>
            </w:pPr>
            <w:r>
              <w:t xml:space="preserve">386,775</w:t>
            </w:r>
          </w:p>
        </w:tc>
        <w:tc>
          <w:tcPr/>
          <w:p>
            <w:pPr>
              <w:pStyle w:val="Compact"/>
            </w:pPr>
            <w:r>
              <w:t xml:space="preserve">36.4%</w:t>
            </w:r>
          </w:p>
        </w:tc>
        <w:tc>
          <w:tcPr/>
          <w:p>
            <w:pPr>
              <w:pStyle w:val="Compact"/>
            </w:pPr>
            <w:r>
              <w:t xml:space="preserve">+23.8pp</w:t>
            </w:r>
          </w:p>
        </w:tc>
      </w:tr>
    </w:tbl>
    <w:p>
      <w:pPr>
        <w:pStyle w:val="BodyText"/>
      </w:pPr>
      <w:r>
        <w:rPr>
          <w:i/>
          <w:iCs/>
        </w:rPr>
        <w:t xml:space="preserve">Differential testing utilisation is stable across survey years, indicating that the patterns captured by our models are persistent features of the HIV testing landscape, not transient artefacts.</w:t>
      </w:r>
    </w:p>
    <w:p>
      <w:r>
        <w:pict>
          <v:rect style="width:0;height:1.5pt" o:hralign="center" o:hrstd="t" o:hr="t"/>
        </w:pict>
      </w:r>
    </w:p>
    <w:bookmarkEnd w:id="79"/>
    <w:bookmarkEnd w:id="80"/>
    <w:bookmarkStart w:id="83" w:name="geographic-disparity-analysis"/>
    <w:p>
      <w:pPr>
        <w:pStyle w:val="Heading2"/>
      </w:pPr>
      <w:r>
        <w:t xml:space="preserve">5. Geographic Disparity Analysis</w:t>
      </w:r>
    </w:p>
    <w:bookmarkStart w:id="81" w:name="X5df732c33b6c90fa5ba4f673e89625b474d3da4"/>
    <w:p>
      <w:pPr>
        <w:pStyle w:val="Heading3"/>
      </w:pPr>
      <w:r>
        <w:t xml:space="preserve">5.1 State-Level Viral Suppression Disparities (CDC AtlasPlus)</w:t>
      </w:r>
    </w:p>
    <w:p>
      <w:pPr>
        <w:pStyle w:val="FirstParagraph"/>
      </w:pPr>
      <w:r>
        <w:t xml:space="preserve">Analysis of CDC AtlasPlus data (N=36,190 records) revealed substantial geographic variation in Black-White viral suppression rate ratios, confirming that racial disparities in HIV outcomes are real and geographically variable.</w:t>
      </w:r>
    </w:p>
    <w:p>
      <w:pPr>
        <w:pStyle w:val="BodyText"/>
      </w:pPr>
      <w:r>
        <w:rPr>
          <w:b/>
          <w:bCs/>
        </w:rPr>
        <w:t xml:space="preserve">States with Largest Black-White Disparities (Rate Ratio &lt;0.80):</w:t>
      </w:r>
      <w:r>
        <w:t xml:space="preserve"> </w:t>
      </w:r>
      <w:r>
        <w:t xml:space="preserve">1. New Mexico (RR=0.680)</w:t>
      </w:r>
      <w:r>
        <w:t xml:space="preserve"> </w:t>
      </w:r>
      <w:r>
        <w:t xml:space="preserve">2. Montana (RR=0.720)</w:t>
      </w:r>
      <w:r>
        <w:t xml:space="preserve"> </w:t>
      </w:r>
      <w:r>
        <w:t xml:space="preserve">3. Illinois (RR=0.780)</w:t>
      </w:r>
      <w:r>
        <w:t xml:space="preserve"> </w:t>
      </w:r>
      <w:r>
        <w:t xml:space="preserve">4. Wyoming (RR=0.790)</w:t>
      </w:r>
      <w:r>
        <w:t xml:space="preserve"> </w:t>
      </w:r>
      <w:r>
        <w:t xml:space="preserve">5. South Dakota (RR=0.796)</w:t>
      </w:r>
    </w:p>
    <w:p>
      <w:pPr>
        <w:pStyle w:val="BodyText"/>
      </w:pPr>
      <w:r>
        <w:rPr>
          <w:b/>
          <w:bCs/>
        </w:rPr>
        <w:t xml:space="preserve">States Approaching Parity (Rate Ratio &gt;0.95):</w:t>
      </w:r>
      <w:r>
        <w:t xml:space="preserve"> </w:t>
      </w:r>
      <w:r>
        <w:t xml:space="preserve">1. Maryland (RR=1.000)</w:t>
      </w:r>
      <w:r>
        <w:t xml:space="preserve"> </w:t>
      </w:r>
      <w:r>
        <w:t xml:space="preserve">2. Colorado (RR=0.985)</w:t>
      </w:r>
      <w:r>
        <w:t xml:space="preserve"> </w:t>
      </w:r>
      <w:r>
        <w:t xml:space="preserve">3. South Carolina (RR=0.982)</w:t>
      </w:r>
      <w:r>
        <w:t xml:space="preserve"> </w:t>
      </w:r>
      <w:r>
        <w:t xml:space="preserve">4. Massachusetts (RR=0.978)</w:t>
      </w:r>
      <w:r>
        <w:t xml:space="preserve"> </w:t>
      </w:r>
      <w:r>
        <w:t xml:space="preserve">5. Connecticut (RR=0.972)</w:t>
      </w:r>
    </w:p>
    <w:bookmarkEnd w:id="81"/>
    <w:bookmarkStart w:id="82" w:name="regional-patterns"/>
    <w:p>
      <w:pPr>
        <w:pStyle w:val="Heading3"/>
      </w:pPr>
      <w:r>
        <w:t xml:space="preserve">5.2 Regional Patterns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Region</w:t>
            </w:r>
          </w:p>
        </w:tc>
        <w:tc>
          <w:tcPr/>
          <w:p>
            <w:pPr>
              <w:pStyle w:val="Compact"/>
            </w:pPr>
            <w:r>
              <w:t xml:space="preserve">N States</w:t>
            </w:r>
          </w:p>
        </w:tc>
        <w:tc>
          <w:tcPr/>
          <w:p>
            <w:pPr>
              <w:pStyle w:val="Compact"/>
            </w:pPr>
            <w:r>
              <w:t xml:space="preserve">Mean RR</w:t>
            </w:r>
          </w:p>
        </w:tc>
        <w:tc>
          <w:tcPr/>
          <w:p>
            <w:pPr>
              <w:pStyle w:val="Compact"/>
            </w:pPr>
            <w:r>
              <w:t xml:space="preserve">Range</w:t>
            </w:r>
          </w:p>
        </w:tc>
      </w:tr>
      <w:tr>
        <w:tc>
          <w:tcPr/>
          <w:p>
            <w:pPr>
              <w:pStyle w:val="Compact"/>
            </w:pPr>
            <w:r>
              <w:t xml:space="preserve">Northeast</w:t>
            </w:r>
          </w:p>
        </w:tc>
        <w:tc>
          <w:tcPr/>
          <w:p>
            <w:pPr>
              <w:pStyle w:val="Compact"/>
            </w:pPr>
            <w:r>
              <w:t xml:space="preserve">9</w:t>
            </w:r>
          </w:p>
        </w:tc>
        <w:tc>
          <w:tcPr/>
          <w:p>
            <w:pPr>
              <w:pStyle w:val="Compact"/>
            </w:pPr>
            <w:r>
              <w:t xml:space="preserve">0.912</w:t>
            </w:r>
          </w:p>
        </w:tc>
        <w:tc>
          <w:tcPr/>
          <w:p>
            <w:pPr>
              <w:pStyle w:val="Compact"/>
            </w:pPr>
            <w:r>
              <w:t xml:space="preserve">0.845-0.972</w:t>
            </w:r>
          </w:p>
        </w:tc>
      </w:tr>
      <w:tr>
        <w:tc>
          <w:tcPr/>
          <w:p>
            <w:pPr>
              <w:pStyle w:val="Compact"/>
            </w:pPr>
            <w:r>
              <w:t xml:space="preserve">Midwest</w:t>
            </w:r>
          </w:p>
        </w:tc>
        <w:tc>
          <w:tcPr/>
          <w:p>
            <w:pPr>
              <w:pStyle w:val="Compact"/>
            </w:pPr>
            <w:r>
              <w:t xml:space="preserve">12</w:t>
            </w:r>
          </w:p>
        </w:tc>
        <w:tc>
          <w:tcPr/>
          <w:p>
            <w:pPr>
              <w:pStyle w:val="Compact"/>
            </w:pPr>
            <w:r>
              <w:t xml:space="preserve">0.856</w:t>
            </w:r>
          </w:p>
        </w:tc>
        <w:tc>
          <w:tcPr/>
          <w:p>
            <w:pPr>
              <w:pStyle w:val="Compact"/>
            </w:pPr>
            <w:r>
              <w:t xml:space="preserve">0.780-0.934</w:t>
            </w:r>
          </w:p>
        </w:tc>
      </w:tr>
      <w:tr>
        <w:tc>
          <w:tcPr/>
          <w:p>
            <w:pPr>
              <w:pStyle w:val="Compact"/>
            </w:pPr>
            <w:r>
              <w:t xml:space="preserve">South</w:t>
            </w:r>
          </w:p>
        </w:tc>
        <w:tc>
          <w:tcPr/>
          <w:p>
            <w:pPr>
              <w:pStyle w:val="Compact"/>
            </w:pPr>
            <w:r>
              <w:t xml:space="preserve">17</w:t>
            </w:r>
          </w:p>
        </w:tc>
        <w:tc>
          <w:tcPr/>
          <w:p>
            <w:pPr>
              <w:pStyle w:val="Compact"/>
            </w:pPr>
            <w:r>
              <w:t xml:space="preserve">0.878</w:t>
            </w:r>
          </w:p>
        </w:tc>
        <w:tc>
          <w:tcPr/>
          <w:p>
            <w:pPr>
              <w:pStyle w:val="Compact"/>
            </w:pPr>
            <w:r>
              <w:t xml:space="preserve">0.812-0.982</w:t>
            </w:r>
          </w:p>
        </w:tc>
      </w:tr>
      <w:tr>
        <w:tc>
          <w:tcPr/>
          <w:p>
            <w:pPr>
              <w:pStyle w:val="Compact"/>
            </w:pPr>
            <w:r>
              <w:t xml:space="preserve">West</w:t>
            </w:r>
          </w:p>
        </w:tc>
        <w:tc>
          <w:tcPr/>
          <w:p>
            <w:pPr>
              <w:pStyle w:val="Compact"/>
            </w:pPr>
            <w:r>
              <w:t xml:space="preserve">13</w:t>
            </w:r>
          </w:p>
        </w:tc>
        <w:tc>
          <w:tcPr/>
          <w:p>
            <w:pPr>
              <w:pStyle w:val="Compact"/>
            </w:pPr>
            <w:r>
              <w:t xml:space="preserve">0.834</w:t>
            </w:r>
          </w:p>
        </w:tc>
        <w:tc>
          <w:tcPr/>
          <w:p>
            <w:pPr>
              <w:pStyle w:val="Compact"/>
            </w:pPr>
            <w:r>
              <w:t xml:space="preserve">0.680-0.985</w:t>
            </w:r>
          </w:p>
        </w:tc>
      </w:tr>
    </w:tbl>
    <w:p>
      <w:pPr>
        <w:pStyle w:val="BodyText"/>
      </w:pPr>
      <w:r>
        <w:rPr>
          <w:i/>
          <w:iCs/>
        </w:rPr>
        <w:t xml:space="preserve">Geographic variation in disparities demonstrates that differential HIV burden is shaped by structural factors (healthcare access, policy environment, socioeconomic conditions) that vary by region. This supports interpreting differential prediction rates as reflecting genuine differential burden rather than algorithmic bias.</w:t>
      </w:r>
    </w:p>
    <w:p>
      <w:r>
        <w:pict>
          <v:rect style="width:0;height:1.5pt" o:hralign="center" o:hrstd="t" o:hr="t"/>
        </w:pict>
      </w:r>
    </w:p>
    <w:bookmarkEnd w:id="82"/>
    <w:bookmarkEnd w:id="83"/>
    <w:bookmarkStart w:id="88" w:name="literature-review-details"/>
    <w:p>
      <w:pPr>
        <w:pStyle w:val="Heading2"/>
      </w:pPr>
      <w:r>
        <w:t xml:space="preserve">6. Literature Review Details</w:t>
      </w:r>
    </w:p>
    <w:bookmarkStart w:id="84" w:name="search-strategy"/>
    <w:p>
      <w:pPr>
        <w:pStyle w:val="Heading3"/>
      </w:pPr>
      <w:r>
        <w:t xml:space="preserve">6.1 Search Strategy</w:t>
      </w:r>
    </w:p>
    <w:p>
      <w:pPr>
        <w:pStyle w:val="FirstParagraph"/>
      </w:pPr>
      <w:r>
        <w:rPr>
          <w:b/>
          <w:bCs/>
        </w:rPr>
        <w:t xml:space="preserve">Database:</w:t>
      </w:r>
      <w:r>
        <w:t xml:space="preserve"> </w:t>
      </w:r>
      <w:r>
        <w:t xml:space="preserve">PubMed/MEDLINE</w:t>
      </w:r>
    </w:p>
    <w:p>
      <w:pPr>
        <w:pStyle w:val="BodyText"/>
      </w:pPr>
      <w:r>
        <w:rPr>
          <w:b/>
          <w:bCs/>
        </w:rPr>
        <w:t xml:space="preserve">Date Range:</w:t>
      </w:r>
      <w:r>
        <w:t xml:space="preserve"> </w:t>
      </w:r>
      <w:r>
        <w:t xml:space="preserve">January 2017 - January 2026</w:t>
      </w:r>
    </w:p>
    <w:p>
      <w:pPr>
        <w:pStyle w:val="BodyText"/>
      </w:pPr>
      <w:r>
        <w:rPr>
          <w:b/>
          <w:bCs/>
        </w:rPr>
        <w:t xml:space="preserve">Search Queries:</w:t>
      </w:r>
    </w:p>
    <w:p>
      <w:pPr>
        <w:numPr>
          <w:ilvl w:val="0"/>
          <w:numId w:val="1002"/>
        </w:numPr>
      </w:pPr>
      <w:r>
        <w:t xml:space="preserve">PrEP Candidacy: (HIV OR</w:t>
      </w:r>
      <w:r>
        <w:t xml:space="preserve"> </w:t>
      </w:r>
      <w:r>
        <w:t xml:space="preserve">“human immunodeficiency virus”</w:t>
      </w:r>
      <w:r>
        <w:t xml:space="preserve">) AND (PrEP OR</w:t>
      </w:r>
      <w:r>
        <w:t xml:space="preserve"> </w:t>
      </w:r>
      <w:r>
        <w:t xml:space="preserve">“pre-exposure prophylaxis”</w:t>
      </w:r>
      <w:r>
        <w:t xml:space="preserve">) AND (prediction OR model OR risk score OR machine learning)</w:t>
      </w:r>
    </w:p>
    <w:p>
      <w:pPr>
        <w:numPr>
          <w:ilvl w:val="0"/>
          <w:numId w:val="1002"/>
        </w:numPr>
      </w:pPr>
      <w:r>
        <w:t xml:space="preserve">HIV Risk: (HIV OR</w:t>
      </w:r>
      <w:r>
        <w:t xml:space="preserve"> </w:t>
      </w:r>
      <w:r>
        <w:t xml:space="preserve">“human immunodeficiency virus”</w:t>
      </w:r>
      <w:r>
        <w:t xml:space="preserve">) AND (risk prediction OR risk model OR screening algorithm) AND (infection OR acquisition)</w:t>
      </w:r>
    </w:p>
    <w:p>
      <w:pPr>
        <w:numPr>
          <w:ilvl w:val="0"/>
          <w:numId w:val="1002"/>
        </w:numPr>
      </w:pPr>
      <w:r>
        <w:t xml:space="preserve">Viral Suppression: (HIV OR</w:t>
      </w:r>
      <w:r>
        <w:t xml:space="preserve"> </w:t>
      </w:r>
      <w:r>
        <w:t xml:space="preserve">“human immunodeficiency virus”</w:t>
      </w:r>
      <w:r>
        <w:t xml:space="preserve">) AND (viral suppression OR viral load) AND (prediction OR model OR machine learning)</w:t>
      </w:r>
    </w:p>
    <w:p>
      <w:pPr>
        <w:numPr>
          <w:ilvl w:val="0"/>
          <w:numId w:val="1002"/>
        </w:numPr>
      </w:pPr>
      <w:r>
        <w:t xml:space="preserve">Care Engagement: (HIV OR</w:t>
      </w:r>
      <w:r>
        <w:t xml:space="preserve"> </w:t>
      </w:r>
      <w:r>
        <w:t xml:space="preserve">“human immunodeficiency virus”</w:t>
      </w:r>
      <w:r>
        <w:t xml:space="preserve">) AND (retention in care OR care engagement OR linkage to care) AND (prediction OR model)</w:t>
      </w:r>
    </w:p>
    <w:p>
      <w:pPr>
        <w:numPr>
          <w:ilvl w:val="0"/>
          <w:numId w:val="1002"/>
        </w:numPr>
      </w:pPr>
      <w:r>
        <w:t xml:space="preserve">Mortality: (HIV OR</w:t>
      </w:r>
      <w:r>
        <w:t xml:space="preserve"> </w:t>
      </w:r>
      <w:r>
        <w:t xml:space="preserve">“human immunodeficiency virus”</w:t>
      </w:r>
      <w:r>
        <w:t xml:space="preserve">) AND (mortality OR survival OR prognosis) AND (prediction OR model OR risk score)</w:t>
      </w:r>
    </w:p>
    <w:p>
      <w:pPr>
        <w:numPr>
          <w:ilvl w:val="0"/>
          <w:numId w:val="1002"/>
        </w:numPr>
      </w:pPr>
      <w:r>
        <w:t xml:space="preserve">Fairness/Disparity: (HIV OR</w:t>
      </w:r>
      <w:r>
        <w:t xml:space="preserve"> </w:t>
      </w:r>
      <w:r>
        <w:t xml:space="preserve">“human immunodeficiency virus”</w:t>
      </w:r>
      <w:r>
        <w:t xml:space="preserve">) AND (fairness OR bias OR disparity OR equity) AND (algorithm OR model OR prediction)</w:t>
      </w:r>
    </w:p>
    <w:bookmarkEnd w:id="84"/>
    <w:bookmarkStart w:id="85" w:name="article-screening"/>
    <w:p>
      <w:pPr>
        <w:pStyle w:val="Heading3"/>
      </w:pPr>
      <w:r>
        <w:t xml:space="preserve">6.2 Article Screening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N Articles</w:t>
            </w:r>
          </w:p>
        </w:tc>
      </w:tr>
      <w:tr>
        <w:tc>
          <w:tcPr/>
          <w:p>
            <w:pPr>
              <w:pStyle w:val="Compact"/>
            </w:pPr>
            <w:r>
              <w:t xml:space="preserve">Initial search results</w:t>
            </w:r>
          </w:p>
        </w:tc>
        <w:tc>
          <w:tcPr/>
          <w:p>
            <w:pPr>
              <w:pStyle w:val="Compact"/>
            </w:pPr>
            <w:r>
              <w:t xml:space="preserve">12,847</w:t>
            </w:r>
          </w:p>
        </w:tc>
      </w:tr>
      <w:tr>
        <w:tc>
          <w:tcPr/>
          <w:p>
            <w:pPr>
              <w:pStyle w:val="Compact"/>
            </w:pPr>
            <w:r>
              <w:t xml:space="preserve">After deduplication</w:t>
            </w:r>
          </w:p>
        </w:tc>
        <w:tc>
          <w:tcPr/>
          <w:p>
            <w:pPr>
              <w:pStyle w:val="Compact"/>
            </w:pPr>
            <w:r>
              <w:t xml:space="preserve">9,201</w:t>
            </w:r>
          </w:p>
        </w:tc>
      </w:tr>
      <w:tr>
        <w:tc>
          <w:tcPr/>
          <w:p>
            <w:pPr>
              <w:pStyle w:val="Compact"/>
            </w:pPr>
            <w:r>
              <w:t xml:space="preserve">High relevance (score &gt;=5)</w:t>
            </w:r>
          </w:p>
        </w:tc>
        <w:tc>
          <w:tcPr/>
          <w:p>
            <w:pPr>
              <w:pStyle w:val="Compact"/>
            </w:pPr>
            <w:r>
              <w:t xml:space="preserve">1,055</w:t>
            </w:r>
          </w:p>
        </w:tc>
      </w:tr>
      <w:tr>
        <w:tc>
          <w:tcPr/>
          <w:p>
            <w:pPr>
              <w:pStyle w:val="Compact"/>
            </w:pPr>
            <w:r>
              <w:t xml:space="preserve">Full-text reviewed</w:t>
            </w:r>
          </w:p>
        </w:tc>
        <w:tc>
          <w:tcPr/>
          <w:p>
            <w:pPr>
              <w:pStyle w:val="Compact"/>
            </w:pPr>
            <w:r>
              <w:t xml:space="preserve">312</w:t>
            </w:r>
          </w:p>
        </w:tc>
      </w:tr>
      <w:tr>
        <w:tc>
          <w:tcPr/>
          <w:p>
            <w:pPr>
              <w:pStyle w:val="Compact"/>
            </w:pPr>
            <w:r>
              <w:t xml:space="preserve">Models with extractable coefficients</w:t>
            </w:r>
          </w:p>
        </w:tc>
        <w:tc>
          <w:tcPr/>
          <w:p>
            <w:pPr>
              <w:pStyle w:val="Compact"/>
            </w:pPr>
            <w:r>
              <w:t xml:space="preserve">70</w:t>
            </w:r>
          </w:p>
        </w:tc>
      </w:tr>
      <w:tr>
        <w:tc>
          <w:tcPr/>
          <w:p>
            <w:pPr>
              <w:pStyle w:val="Compact"/>
            </w:pPr>
            <w:r>
              <w:t xml:space="preserve">Models using race as predictor</w:t>
            </w:r>
          </w:p>
        </w:tc>
        <w:tc>
          <w:tcPr/>
          <w:p>
            <w:pPr>
              <w:pStyle w:val="Compact"/>
            </w:pPr>
            <w:r>
              <w:t xml:space="preserve">42</w:t>
            </w:r>
          </w:p>
        </w:tc>
      </w:tr>
    </w:tbl>
    <w:bookmarkEnd w:id="85"/>
    <w:bookmarkStart w:id="86" w:name="key-findings-from-literature-review"/>
    <w:p>
      <w:pPr>
        <w:pStyle w:val="Heading3"/>
      </w:pPr>
      <w:r>
        <w:t xml:space="preserve">6.3 Key Findings from Literature Review</w:t>
      </w:r>
    </w:p>
    <w:p>
      <w:pPr>
        <w:numPr>
          <w:ilvl w:val="0"/>
          <w:numId w:val="1003"/>
        </w:numPr>
      </w:pPr>
      <w:r>
        <w:rPr>
          <w:b/>
          <w:bCs/>
        </w:rPr>
        <w:t xml:space="preserve">Race in HIV Models:</w:t>
      </w:r>
      <w:r>
        <w:t xml:space="preserve"> </w:t>
      </w:r>
      <w:r>
        <w:t xml:space="preserve">42/70 (60%) of models with extractable coefficients included race as a predictor variable, often with substantial coefficients (OR 1.4-2.5 for Black vs. White). Whether this constitutes appropriate epidemiological stratification or demographic profiling remains contested.</w:t>
      </w:r>
    </w:p>
    <w:p>
      <w:pPr>
        <w:numPr>
          <w:ilvl w:val="0"/>
          <w:numId w:val="1003"/>
        </w:numPr>
      </w:pPr>
      <w:r>
        <w:rPr>
          <w:b/>
          <w:bCs/>
        </w:rPr>
        <w:t xml:space="preserve">Fairness Assessment:</w:t>
      </w:r>
      <w:r>
        <w:t xml:space="preserve"> </w:t>
      </w:r>
      <w:r>
        <w:t xml:space="preserve">Only 3/259 (1.2%) ML-focused HIV papers mentioned algorithmic fairness or bias assessment, confirming a substantial gap in the literature.</w:t>
      </w:r>
    </w:p>
    <w:p>
      <w:pPr>
        <w:numPr>
          <w:ilvl w:val="0"/>
          <w:numId w:val="1003"/>
        </w:numPr>
      </w:pPr>
      <w:r>
        <w:rPr>
          <w:b/>
          <w:bCs/>
        </w:rPr>
        <w:t xml:space="preserve">Subgroup Validation:</w:t>
      </w:r>
      <w:r>
        <w:t xml:space="preserve"> </w:t>
      </w:r>
      <w:r>
        <w:t xml:space="preserve">89/259 (34%) papers reported any subgroup performance (by race, sex, or age), but typically as secondary analysis without formal fairness metrics.</w:t>
      </w:r>
    </w:p>
    <w:p>
      <w:pPr>
        <w:numPr>
          <w:ilvl w:val="0"/>
          <w:numId w:val="1003"/>
        </w:numPr>
      </w:pPr>
      <w:r>
        <w:rPr>
          <w:b/>
          <w:bCs/>
        </w:rPr>
        <w:t xml:space="preserve">Temporal Trends:</w:t>
      </w:r>
      <w:r>
        <w:t xml:space="preserve"> </w:t>
      </w:r>
      <w:r>
        <w:t xml:space="preserve">Fairness-related papers increased from 12 (2020) to 67 (2025), indicating growing but still limited attention.</w:t>
      </w:r>
    </w:p>
    <w:p>
      <w:pPr>
        <w:numPr>
          <w:ilvl w:val="0"/>
          <w:numId w:val="1003"/>
        </w:numPr>
      </w:pPr>
      <w:r>
        <w:rPr>
          <w:b/>
          <w:bCs/>
        </w:rPr>
        <w:t xml:space="preserve">Dominant Algorithms:</w:t>
      </w:r>
      <w:r>
        <w:t xml:space="preserve"> </w:t>
      </w:r>
      <w:r>
        <w:t xml:space="preserve">Logistic regression (45%), random forest (28%), gradient boosting (18%), neural networks (9%).</w:t>
      </w:r>
    </w:p>
    <w:bookmarkEnd w:id="86"/>
    <w:bookmarkStart w:id="87" w:name="published-model-performance"/>
    <w:p>
      <w:pPr>
        <w:pStyle w:val="Heading3"/>
      </w:pPr>
      <w:r>
        <w:t xml:space="preserve">6.4 Published Model Performance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Model</w:t>
            </w:r>
          </w:p>
        </w:tc>
        <w:tc>
          <w:tcPr/>
          <w:p>
            <w:pPr>
              <w:pStyle w:val="Compact"/>
            </w:pPr>
            <w:r>
              <w:t xml:space="preserve">First Author</w:t>
            </w:r>
          </w:p>
        </w:tc>
        <w:tc>
          <w:tcPr/>
          <w:p>
            <w:pPr>
              <w:pStyle w:val="Compact"/>
            </w:pPr>
            <w:r>
              <w:t xml:space="preserve">Year</w:t>
            </w:r>
          </w:p>
        </w:tc>
        <w:tc>
          <w:tcPr/>
          <w:p>
            <w:pPr>
              <w:pStyle w:val="Compact"/>
            </w:pPr>
            <w:r>
              <w:t xml:space="preserve">AUC</w:t>
            </w:r>
          </w:p>
        </w:tc>
        <w:tc>
          <w:tcPr/>
          <w:p>
            <w:pPr>
              <w:pStyle w:val="Compact"/>
            </w:pPr>
            <w:r>
              <w:t xml:space="preserve">Population</w:t>
            </w:r>
          </w:p>
        </w:tc>
        <w:tc>
          <w:tcPr/>
          <w:p>
            <w:pPr>
              <w:pStyle w:val="Compact"/>
            </w:pPr>
            <w:r>
              <w:t xml:space="preserve">Includes Race</w:t>
            </w:r>
          </w:p>
        </w:tc>
      </w:tr>
      <w:tr>
        <w:tc>
          <w:tcPr/>
          <w:p>
            <w:pPr>
              <w:pStyle w:val="Compact"/>
            </w:pPr>
            <w:r>
              <w:t xml:space="preserve">Denver Risk Score</w:t>
            </w:r>
          </w:p>
        </w:tc>
        <w:tc>
          <w:tcPr/>
          <w:p>
            <w:pPr>
              <w:pStyle w:val="Compact"/>
            </w:pPr>
            <w:r>
              <w:t xml:space="preserve">Haukoos</w:t>
            </w:r>
          </w:p>
        </w:tc>
        <w:tc>
          <w:tcPr/>
          <w:p>
            <w:pPr>
              <w:pStyle w:val="Compact"/>
            </w:pPr>
            <w:r>
              <w:t xml:space="preserve">2012</w:t>
            </w:r>
          </w:p>
        </w:tc>
        <w:tc>
          <w:tcPr/>
          <w:p>
            <w:pPr>
              <w:pStyle w:val="Compact"/>
            </w:pPr>
            <w:r>
              <w:t xml:space="preserve">0.85</w:t>
            </w:r>
          </w:p>
        </w:tc>
        <w:tc>
          <w:tcPr/>
          <w:p>
            <w:pPr>
              <w:pStyle w:val="Compact"/>
            </w:pPr>
            <w:r>
              <w:t xml:space="preserve">ED patients</w:t>
            </w:r>
          </w:p>
        </w:tc>
        <w:tc>
          <w:tcPr/>
          <w:p>
            <w:pPr>
              <w:pStyle w:val="Compact"/>
            </w:pPr>
            <w:r>
              <w:t xml:space="preserve">Yes</w:t>
            </w:r>
          </w:p>
        </w:tc>
      </w:tr>
      <w:tr>
        <w:tc>
          <w:tcPr/>
          <w:p>
            <w:pPr>
              <w:pStyle w:val="Compact"/>
            </w:pPr>
            <w:r>
              <w:t xml:space="preserve">VACS Index 2.0</w:t>
            </w:r>
          </w:p>
        </w:tc>
        <w:tc>
          <w:tcPr/>
          <w:p>
            <w:pPr>
              <w:pStyle w:val="Compact"/>
            </w:pPr>
            <w:r>
              <w:t xml:space="preserve">Tate</w:t>
            </w:r>
          </w:p>
        </w:tc>
        <w:tc>
          <w:tcPr/>
          <w:p>
            <w:pPr>
              <w:pStyle w:val="Compact"/>
            </w:pPr>
            <w:r>
              <w:t xml:space="preserve">2013</w:t>
            </w:r>
          </w:p>
        </w:tc>
        <w:tc>
          <w:tcPr/>
          <w:p>
            <w:pPr>
              <w:pStyle w:val="Compact"/>
            </w:pPr>
            <w:r>
              <w:t xml:space="preserve">0.78</w:t>
            </w:r>
          </w:p>
        </w:tc>
        <w:tc>
          <w:tcPr/>
          <w:p>
            <w:pPr>
              <w:pStyle w:val="Compact"/>
            </w:pPr>
            <w:r>
              <w:t xml:space="preserve">Veterans with HIV</w:t>
            </w:r>
          </w:p>
        </w:tc>
        <w:tc>
          <w:tcPr/>
          <w:p>
            <w:pPr>
              <w:pStyle w:val="Compact"/>
            </w:pPr>
            <w:r>
              <w:t xml:space="preserve">No</w:t>
            </w:r>
          </w:p>
        </w:tc>
      </w:tr>
      <w:tr>
        <w:tc>
          <w:tcPr/>
          <w:p>
            <w:pPr>
              <w:pStyle w:val="Compact"/>
            </w:pPr>
            <w:r>
              <w:t xml:space="preserve">EHR PrEP Model</w:t>
            </w:r>
          </w:p>
        </w:tc>
        <w:tc>
          <w:tcPr/>
          <w:p>
            <w:pPr>
              <w:pStyle w:val="Compact"/>
            </w:pPr>
            <w:r>
              <w:t xml:space="preserve">Marcus</w:t>
            </w:r>
          </w:p>
        </w:tc>
        <w:tc>
          <w:tcPr/>
          <w:p>
            <w:pPr>
              <w:pStyle w:val="Compact"/>
            </w:pPr>
            <w:r>
              <w:t xml:space="preserve">2019</w:t>
            </w:r>
          </w:p>
        </w:tc>
        <w:tc>
          <w:tcPr/>
          <w:p>
            <w:pPr>
              <w:pStyle w:val="Compact"/>
            </w:pPr>
            <w:r>
              <w:t xml:space="preserve">0.74</w:t>
            </w:r>
          </w:p>
        </w:tc>
        <w:tc>
          <w:tcPr/>
          <w:p>
            <w:pPr>
              <w:pStyle w:val="Compact"/>
            </w:pPr>
            <w:r>
              <w:t xml:space="preserve">Kaiser members</w:t>
            </w:r>
          </w:p>
        </w:tc>
        <w:tc>
          <w:tcPr/>
          <w:p>
            <w:pPr>
              <w:pStyle w:val="Compact"/>
            </w:pPr>
            <w:r>
              <w:t xml:space="preserve">No</w:t>
            </w:r>
          </w:p>
        </w:tc>
      </w:tr>
      <w:tr>
        <w:tc>
          <w:tcPr/>
          <w:p>
            <w:pPr>
              <w:pStyle w:val="Compact"/>
            </w:pPr>
            <w:r>
              <w:t xml:space="preserve">HIV Testing Model</w:t>
            </w:r>
          </w:p>
        </w:tc>
        <w:tc>
          <w:tcPr/>
          <w:p>
            <w:pPr>
              <w:pStyle w:val="Compact"/>
            </w:pPr>
            <w:r>
              <w:t xml:space="preserve">Ridgway</w:t>
            </w:r>
          </w:p>
        </w:tc>
        <w:tc>
          <w:tcPr/>
          <w:p>
            <w:pPr>
              <w:pStyle w:val="Compact"/>
            </w:pPr>
            <w:r>
              <w:t xml:space="preserve">2018</w:t>
            </w:r>
          </w:p>
        </w:tc>
        <w:tc>
          <w:tcPr/>
          <w:p>
            <w:pPr>
              <w:pStyle w:val="Compact"/>
            </w:pPr>
            <w:r>
              <w:t xml:space="preserve">0.82</w:t>
            </w:r>
          </w:p>
        </w:tc>
        <w:tc>
          <w:tcPr/>
          <w:p>
            <w:pPr>
              <w:pStyle w:val="Compact"/>
            </w:pPr>
            <w:r>
              <w:t xml:space="preserve">Health system</w:t>
            </w:r>
          </w:p>
        </w:tc>
        <w:tc>
          <w:tcPr/>
          <w:p>
            <w:pPr>
              <w:pStyle w:val="Compact"/>
            </w:pPr>
            <w:r>
              <w:t xml:space="preserve">Yes</w:t>
            </w:r>
          </w:p>
        </w:tc>
      </w:tr>
      <w:tr>
        <w:tc>
          <w:tcPr/>
          <w:p>
            <w:pPr>
              <w:pStyle w:val="Compact"/>
            </w:pPr>
            <w:r>
              <w:t xml:space="preserve">Viral Suppression</w:t>
            </w:r>
          </w:p>
        </w:tc>
        <w:tc>
          <w:tcPr/>
          <w:p>
            <w:pPr>
              <w:pStyle w:val="Compact"/>
            </w:pPr>
            <w:r>
              <w:t xml:space="preserve">Crawford</w:t>
            </w:r>
          </w:p>
        </w:tc>
        <w:tc>
          <w:tcPr/>
          <w:p>
            <w:pPr>
              <w:pStyle w:val="Compact"/>
            </w:pPr>
            <w:r>
              <w:t xml:space="preserve">2014</w:t>
            </w:r>
          </w:p>
        </w:tc>
        <w:tc>
          <w:tcPr/>
          <w:p>
            <w:pPr>
              <w:pStyle w:val="Compact"/>
            </w:pPr>
            <w:r>
              <w:t xml:space="preserve">0.76</w:t>
            </w:r>
          </w:p>
        </w:tc>
        <w:tc>
          <w:tcPr/>
          <w:p>
            <w:pPr>
              <w:pStyle w:val="Compact"/>
            </w:pPr>
            <w:r>
              <w:t xml:space="preserve">Clinic population</w:t>
            </w:r>
          </w:p>
        </w:tc>
        <w:tc>
          <w:tcPr/>
          <w:p>
            <w:pPr>
              <w:pStyle w:val="Compact"/>
            </w:pPr>
            <w:r>
              <w:t xml:space="preserve">No</w:t>
            </w:r>
          </w:p>
        </w:tc>
      </w:tr>
      <w:tr>
        <w:tc>
          <w:tcPr/>
          <w:p>
            <w:pPr>
              <w:pStyle w:val="Compact"/>
            </w:pPr>
            <w:r>
              <w:t xml:space="preserve">Care Retention</w:t>
            </w:r>
          </w:p>
        </w:tc>
        <w:tc>
          <w:tcPr/>
          <w:p>
            <w:pPr>
              <w:pStyle w:val="Compact"/>
            </w:pPr>
            <w:r>
              <w:t xml:space="preserve">Dombrowski</w:t>
            </w:r>
          </w:p>
        </w:tc>
        <w:tc>
          <w:tcPr/>
          <w:p>
            <w:pPr>
              <w:pStyle w:val="Compact"/>
            </w:pPr>
            <w:r>
              <w:t xml:space="preserve">2017</w:t>
            </w:r>
          </w:p>
        </w:tc>
        <w:tc>
          <w:tcPr/>
          <w:p>
            <w:pPr>
              <w:pStyle w:val="Compact"/>
            </w:pPr>
            <w:r>
              <w:t xml:space="preserve">0.71</w:t>
            </w:r>
          </w:p>
        </w:tc>
        <w:tc>
          <w:tcPr/>
          <w:p>
            <w:pPr>
              <w:pStyle w:val="Compact"/>
            </w:pPr>
            <w:r>
              <w:t xml:space="preserve">Clinic population</w:t>
            </w:r>
          </w:p>
        </w:tc>
        <w:tc>
          <w:tcPr/>
          <w:p>
            <w:pPr>
              <w:pStyle w:val="Compact"/>
            </w:pPr>
            <w:r>
              <w:t xml:space="preserve">Yes</w:t>
            </w:r>
          </w:p>
        </w:tc>
      </w:tr>
      <w:tr>
        <w:tc>
          <w:tcPr/>
          <w:p>
            <w:pPr>
              <w:pStyle w:val="Compact"/>
            </w:pPr>
            <w:r>
              <w:t xml:space="preserve">PrEP Adherence</w:t>
            </w:r>
          </w:p>
        </w:tc>
        <w:tc>
          <w:tcPr/>
          <w:p>
            <w:pPr>
              <w:pStyle w:val="Compact"/>
            </w:pPr>
            <w:r>
              <w:t xml:space="preserve">Krakower</w:t>
            </w:r>
          </w:p>
        </w:tc>
        <w:tc>
          <w:tcPr/>
          <w:p>
            <w:pPr>
              <w:pStyle w:val="Compact"/>
            </w:pPr>
            <w:r>
              <w:t xml:space="preserve">2019</w:t>
            </w:r>
          </w:p>
        </w:tc>
        <w:tc>
          <w:tcPr/>
          <w:p>
            <w:pPr>
              <w:pStyle w:val="Compact"/>
            </w:pPr>
            <w:r>
              <w:t xml:space="preserve">0.79</w:t>
            </w:r>
          </w:p>
        </w:tc>
        <w:tc>
          <w:tcPr/>
          <w:p>
            <w:pPr>
              <w:pStyle w:val="Compact"/>
            </w:pPr>
            <w:r>
              <w:t xml:space="preserve">PrEP users</w:t>
            </w:r>
          </w:p>
        </w:tc>
        <w:tc>
          <w:tcPr/>
          <w:p>
            <w:pPr>
              <w:pStyle w:val="Compact"/>
            </w:pPr>
            <w:r>
              <w:t xml:space="preserve">No</w:t>
            </w:r>
          </w:p>
        </w:tc>
      </w:tr>
      <w:tr>
        <w:tc>
          <w:tcPr/>
          <w:p>
            <w:pPr>
              <w:pStyle w:val="Compact"/>
            </w:pPr>
            <w:r>
              <w:t xml:space="preserve">Mortality Prediction</w:t>
            </w:r>
          </w:p>
        </w:tc>
        <w:tc>
          <w:tcPr/>
          <w:p>
            <w:pPr>
              <w:pStyle w:val="Compact"/>
            </w:pPr>
            <w:r>
              <w:t xml:space="preserve">Justice</w:t>
            </w:r>
          </w:p>
        </w:tc>
        <w:tc>
          <w:tcPr/>
          <w:p>
            <w:pPr>
              <w:pStyle w:val="Compact"/>
            </w:pPr>
            <w:r>
              <w:t xml:space="preserve">2013</w:t>
            </w:r>
          </w:p>
        </w:tc>
        <w:tc>
          <w:tcPr/>
          <w:p>
            <w:pPr>
              <w:pStyle w:val="Compact"/>
            </w:pPr>
            <w:r>
              <w:t xml:space="preserve">0.77</w:t>
            </w:r>
          </w:p>
        </w:tc>
        <w:tc>
          <w:tcPr/>
          <w:p>
            <w:pPr>
              <w:pStyle w:val="Compact"/>
            </w:pPr>
            <w:r>
              <w:t xml:space="preserve">VA patients</w:t>
            </w:r>
          </w:p>
        </w:tc>
        <w:tc>
          <w:tcPr/>
          <w:p>
            <w:pPr>
              <w:pStyle w:val="Compact"/>
            </w:pPr>
            <w:r>
              <w:t xml:space="preserve">No</w:t>
            </w:r>
          </w:p>
        </w:tc>
      </w:tr>
      <w:tr>
        <w:tc>
          <w:tcPr/>
          <w:p>
            <w:pPr>
              <w:pStyle w:val="Compact"/>
            </w:pPr>
            <w:r>
              <w:t xml:space="preserve">HIV Risk Pipeline</w:t>
            </w:r>
          </w:p>
        </w:tc>
        <w:tc>
          <w:tcPr/>
          <w:p>
            <w:pPr>
              <w:pStyle w:val="Compact"/>
            </w:pPr>
            <w:r>
              <w:t xml:space="preserve">May</w:t>
            </w:r>
          </w:p>
        </w:tc>
        <w:tc>
          <w:tcPr/>
          <w:p>
            <w:pPr>
              <w:pStyle w:val="Compact"/>
            </w:pPr>
            <w:r>
              <w:t xml:space="preserve">2024</w:t>
            </w:r>
          </w:p>
        </w:tc>
        <w:tc>
          <w:tcPr/>
          <w:p>
            <w:pPr>
              <w:pStyle w:val="Compact"/>
            </w:pPr>
            <w:r>
              <w:t xml:space="preserve">0.78</w:t>
            </w:r>
          </w:p>
        </w:tc>
        <w:tc>
          <w:tcPr/>
          <w:p>
            <w:pPr>
              <w:pStyle w:val="Compact"/>
            </w:pPr>
            <w:r>
              <w:t xml:space="preserve">Multi-site EHR</w:t>
            </w:r>
          </w:p>
        </w:tc>
        <w:tc>
          <w:tcPr/>
          <w:p>
            <w:pPr>
              <w:pStyle w:val="Compact"/>
            </w:pPr>
            <w:r>
              <w:t xml:space="preserve">No</w:t>
            </w:r>
          </w:p>
        </w:tc>
      </w:tr>
    </w:tbl>
    <w:p>
      <w:pPr>
        <w:pStyle w:val="BodyText"/>
      </w:pPr>
      <w:r>
        <w:rPr>
          <w:i/>
          <w:iCs/>
        </w:rPr>
        <w:t xml:space="preserve">May et al. (2024) developed a generalisable HIV risk prediction pipeline across EHR systems, representing a candidate for fairness auditing with need-appropriate metrics as recommended in the main text.</w:t>
      </w:r>
    </w:p>
    <w:p>
      <w:r>
        <w:pict>
          <v:rect style="width:0;height:1.5pt" o:hralign="center" o:hrstd="t" o:hr="t"/>
        </w:pict>
      </w:r>
    </w:p>
    <w:bookmarkEnd w:id="87"/>
    <w:bookmarkEnd w:id="88"/>
    <w:bookmarkStart w:id="89" w:name="code-availability"/>
    <w:p>
      <w:pPr>
        <w:pStyle w:val="Heading2"/>
      </w:pPr>
      <w:r>
        <w:t xml:space="preserve">7. Code Availability</w:t>
      </w:r>
    </w:p>
    <w:p>
      <w:pPr>
        <w:pStyle w:val="FirstParagraph"/>
      </w:pPr>
      <w:r>
        <w:t xml:space="preserve">Analysis code is available at https://github.com/hayden-farquhar/HIV-testing-fairness</w:t>
      </w:r>
    </w:p>
    <w:p>
      <w:pPr>
        <w:pStyle w:val="BodyText"/>
      </w:pPr>
      <w:r>
        <w:t xml:space="preserve">Key scripts:</w:t>
      </w:r>
      <w:r>
        <w:t xml:space="preserve"> </w:t>
      </w:r>
      <w:r>
        <w:t xml:space="preserve">- 01_data_loading.py: BRFSS data extraction and preprocessing</w:t>
      </w:r>
      <w:r>
        <w:t xml:space="preserve"> </w:t>
      </w:r>
      <w:r>
        <w:t xml:space="preserve">- 02_baseline_models.py: Model training and evaluation</w:t>
      </w:r>
      <w:r>
        <w:t xml:space="preserve"> </w:t>
      </w:r>
      <w:r>
        <w:t xml:space="preserve">- 03_fairness_audit.py: Fairness metrics calculation</w:t>
      </w:r>
      <w:r>
        <w:t xml:space="preserve"> </w:t>
      </w:r>
      <w:r>
        <w:t xml:space="preserve">- 04_mitigation.py: Threshold optimisation and exponentiated gradient</w:t>
      </w:r>
      <w:r>
        <w:t xml:space="preserve"> </w:t>
      </w:r>
      <w:r>
        <w:t xml:space="preserve">- 05_race_blind_analysis.py: Proxy feature analysis</w:t>
      </w:r>
      <w:r>
        <w:t xml:space="preserve"> </w:t>
      </w:r>
      <w:r>
        <w:t xml:space="preserve">- 06_statistical_tests.py: Bootstrap CIs, McNemar’s test</w:t>
      </w:r>
      <w:r>
        <w:t xml:space="preserve"> </w:t>
      </w:r>
      <w:r>
        <w:t xml:space="preserve">- 07_clinical_utility.py: Decision curve analysis</w:t>
      </w:r>
      <w:r>
        <w:t xml:space="preserve"> </w:t>
      </w:r>
      <w:r>
        <w:t xml:space="preserve">- 08_external_validation.py: External data validation</w:t>
      </w:r>
      <w:r>
        <w:t xml:space="preserve"> </w:t>
      </w:r>
      <w:r>
        <w:t xml:space="preserve">- 09_generate_figures.py: Publication figures</w:t>
      </w:r>
      <w:r>
        <w:t xml:space="preserve"> </w:t>
      </w:r>
      <w:r>
        <w:t xml:space="preserve">- 10_weighted_fairness.py: Survey-weighted sensitivity analysis</w:t>
      </w:r>
      <w:r>
        <w:t xml:space="preserve"> </w:t>
      </w:r>
      <w:r>
        <w:t xml:space="preserve">- 11_harm_quantification.py: DP vs EO harm comparison</w:t>
      </w:r>
      <w:r>
        <w:t xml:space="preserve"> </w:t>
      </w:r>
      <w:r>
        <w:t xml:space="preserve">- 12_multiobjective.py: Multi-objective optimisation</w:t>
      </w:r>
    </w:p>
    <w:p>
      <w:pPr>
        <w:pStyle w:val="BodyText"/>
      </w:pPr>
      <w:r>
        <w:t xml:space="preserve">Dependencies listed in requirements.txt.</w:t>
      </w:r>
    </w:p>
    <w:p>
      <w:r>
        <w:pict>
          <v:rect style="width:0;height:1.5pt" o:hralign="center" o:hrstd="t" o:hr="t"/>
        </w:pict>
      </w:r>
    </w:p>
    <w:bookmarkEnd w:id="89"/>
    <w:bookmarkStart w:id="90" w:name="strobe-checklist"/>
    <w:p>
      <w:pPr>
        <w:pStyle w:val="Heading2"/>
      </w:pPr>
      <w:r>
        <w:t xml:space="preserve">8. STROBE Checklist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t xml:space="preserve">Section</w:t>
            </w:r>
          </w:p>
        </w:tc>
        <w:tc>
          <w:tcPr/>
          <w:p>
            <w:pPr>
              <w:pStyle w:val="Compact"/>
            </w:pPr>
            <w:r>
              <w:t xml:space="preserve">Page</w:t>
            </w:r>
          </w:p>
        </w:tc>
      </w:tr>
      <w:tr>
        <w:tc>
          <w:tcPr/>
          <w:p>
            <w:pPr>
              <w:pStyle w:val="Compact"/>
            </w:pPr>
            <w:r>
              <w:t xml:space="preserve">Title and abstract</w:t>
            </w:r>
          </w:p>
        </w:tc>
        <w:tc>
          <w:tcPr/>
          <w:p>
            <w:pPr>
              <w:pStyle w:val="Compact"/>
            </w:pPr>
            <w:r>
              <w:t xml:space="preserve">Title, Abstract</w:t>
            </w:r>
          </w:p>
        </w:tc>
        <w:tc>
          <w:tcPr/>
          <w:p>
            <w:pPr>
              <w:pStyle w:val="Compact"/>
            </w:pPr>
            <w:r>
              <w:t xml:space="preserve">1-2</w:t>
            </w:r>
          </w:p>
        </w:tc>
      </w:tr>
      <w:tr>
        <w:tc>
          <w:tcPr/>
          <w:p>
            <w:pPr>
              <w:pStyle w:val="Compact"/>
            </w:pPr>
            <w:r>
              <w:t xml:space="preserve">Background/rationale</w:t>
            </w:r>
          </w:p>
        </w:tc>
        <w:tc>
          <w:tcPr/>
          <w:p>
            <w:pPr>
              <w:pStyle w:val="Compact"/>
            </w:pPr>
            <w:r>
              <w:t xml:space="preserve">Introduction</w:t>
            </w:r>
          </w:p>
        </w:tc>
        <w:tc>
          <w:tcPr/>
          <w:p>
            <w:pPr>
              <w:pStyle w:val="Compact"/>
            </w:pPr>
            <w:r>
              <w:t xml:space="preserve">3-5</w:t>
            </w:r>
          </w:p>
        </w:tc>
      </w:tr>
      <w:tr>
        <w:tc>
          <w:tcPr/>
          <w:p>
            <w:pPr>
              <w:pStyle w:val="Compact"/>
            </w:pPr>
            <w:r>
              <w:t xml:space="preserve">Objectives</w:t>
            </w:r>
          </w:p>
        </w:tc>
        <w:tc>
          <w:tcPr/>
          <w:p>
            <w:pPr>
              <w:pStyle w:val="Compact"/>
            </w:pPr>
            <w:r>
              <w:t xml:space="preserve">Introduction</w:t>
            </w:r>
          </w:p>
        </w:tc>
        <w:tc>
          <w:tcPr/>
          <w:p>
            <w:pPr>
              <w:pStyle w:val="Compact"/>
            </w:pPr>
            <w:r>
              <w:t xml:space="preserve">5</w:t>
            </w:r>
          </w:p>
        </w:tc>
      </w:tr>
      <w:tr>
        <w:tc>
          <w:tcPr/>
          <w:p>
            <w:pPr>
              <w:pStyle w:val="Compact"/>
            </w:pPr>
            <w:r>
              <w:t xml:space="preserve">Study design</w:t>
            </w:r>
          </w:p>
        </w:tc>
        <w:tc>
          <w:tcPr/>
          <w:p>
            <w:pPr>
              <w:pStyle w:val="Compact"/>
            </w:pPr>
            <w:r>
              <w:t xml:space="preserve">Methods</w:t>
            </w:r>
          </w:p>
        </w:tc>
        <w:tc>
          <w:tcPr/>
          <w:p>
            <w:pPr>
              <w:pStyle w:val="Compact"/>
            </w:pPr>
            <w:r>
              <w:t xml:space="preserve">6</w:t>
            </w:r>
          </w:p>
        </w:tc>
      </w:tr>
      <w:tr>
        <w:tc>
          <w:tcPr/>
          <w:p>
            <w:pPr>
              <w:pStyle w:val="Compact"/>
            </w:pPr>
            <w:r>
              <w:t xml:space="preserve">Setting</w:t>
            </w:r>
          </w:p>
        </w:tc>
        <w:tc>
          <w:tcPr/>
          <w:p>
            <w:pPr>
              <w:pStyle w:val="Compact"/>
            </w:pPr>
            <w:r>
              <w:t xml:space="preserve">Methods</w:t>
            </w:r>
          </w:p>
        </w:tc>
        <w:tc>
          <w:tcPr/>
          <w:p>
            <w:pPr>
              <w:pStyle w:val="Compact"/>
            </w:pPr>
            <w:r>
              <w:t xml:space="preserve">6-7</w:t>
            </w:r>
          </w:p>
        </w:tc>
      </w:tr>
      <w:tr>
        <w:tc>
          <w:tcPr/>
          <w:p>
            <w:pPr>
              <w:pStyle w:val="Compact"/>
            </w:pPr>
            <w:r>
              <w:t xml:space="preserve">Participants</w:t>
            </w:r>
          </w:p>
        </w:tc>
        <w:tc>
          <w:tcPr/>
          <w:p>
            <w:pPr>
              <w:pStyle w:val="Compact"/>
            </w:pPr>
            <w:r>
              <w:t xml:space="preserve">Methods</w:t>
            </w:r>
          </w:p>
        </w:tc>
        <w:tc>
          <w:tcPr/>
          <w:p>
            <w:pPr>
              <w:pStyle w:val="Compact"/>
            </w:pPr>
            <w:r>
              <w:t xml:space="preserve">7</w:t>
            </w:r>
          </w:p>
        </w:tc>
      </w:tr>
      <w:tr>
        <w:tc>
          <w:tcPr/>
          <w:p>
            <w:pPr>
              <w:pStyle w:val="Compact"/>
            </w:pPr>
            <w:r>
              <w:t xml:space="preserve">Variables</w:t>
            </w:r>
          </w:p>
        </w:tc>
        <w:tc>
          <w:tcPr/>
          <w:p>
            <w:pPr>
              <w:pStyle w:val="Compact"/>
            </w:pPr>
            <w:r>
              <w:t xml:space="preserve">Methods</w:t>
            </w:r>
          </w:p>
        </w:tc>
        <w:tc>
          <w:tcPr/>
          <w:p>
            <w:pPr>
              <w:pStyle w:val="Compact"/>
            </w:pPr>
            <w:r>
              <w:t xml:space="preserve">7-8</w:t>
            </w:r>
          </w:p>
        </w:tc>
      </w:tr>
      <w:tr>
        <w:tc>
          <w:tcPr/>
          <w:p>
            <w:pPr>
              <w:pStyle w:val="Compact"/>
            </w:pPr>
            <w:r>
              <w:t xml:space="preserve">Data sources</w:t>
            </w:r>
          </w:p>
        </w:tc>
        <w:tc>
          <w:tcPr/>
          <w:p>
            <w:pPr>
              <w:pStyle w:val="Compact"/>
            </w:pPr>
            <w:r>
              <w:t xml:space="preserve">Methods</w:t>
            </w:r>
          </w:p>
        </w:tc>
        <w:tc>
          <w:tcPr/>
          <w:p>
            <w:pPr>
              <w:pStyle w:val="Compact"/>
            </w:pPr>
            <w:r>
              <w:t xml:space="preserve">6-7</w:t>
            </w:r>
          </w:p>
        </w:tc>
      </w:tr>
      <w:tr>
        <w:tc>
          <w:tcPr/>
          <w:p>
            <w:pPr>
              <w:pStyle w:val="Compact"/>
            </w:pPr>
            <w:r>
              <w:t xml:space="preserve">Bias</w:t>
            </w:r>
          </w:p>
        </w:tc>
        <w:tc>
          <w:tcPr/>
          <w:p>
            <w:pPr>
              <w:pStyle w:val="Compact"/>
            </w:pPr>
            <w:r>
              <w:t xml:space="preserve">Methods, Discussion</w:t>
            </w:r>
          </w:p>
        </w:tc>
        <w:tc>
          <w:tcPr/>
          <w:p>
            <w:pPr>
              <w:pStyle w:val="Compact"/>
            </w:pPr>
            <w:r>
              <w:t xml:space="preserve">8, 15-16</w:t>
            </w:r>
          </w:p>
        </w:tc>
      </w:tr>
      <w:tr>
        <w:tc>
          <w:tcPr/>
          <w:p>
            <w:pPr>
              <w:pStyle w:val="Compact"/>
            </w:pPr>
            <w:r>
              <w:t xml:space="preserve">Study size</w:t>
            </w:r>
          </w:p>
        </w:tc>
        <w:tc>
          <w:tcPr/>
          <w:p>
            <w:pPr>
              <w:pStyle w:val="Compact"/>
            </w:pPr>
            <w:r>
              <w:t xml:space="preserve">Methods</w:t>
            </w:r>
          </w:p>
        </w:tc>
        <w:tc>
          <w:tcPr/>
          <w:p>
            <w:pPr>
              <w:pStyle w:val="Compact"/>
            </w:pPr>
            <w:r>
              <w:t xml:space="preserve">7</w:t>
            </w:r>
          </w:p>
        </w:tc>
      </w:tr>
      <w:tr>
        <w:tc>
          <w:tcPr/>
          <w:p>
            <w:pPr>
              <w:pStyle w:val="Compact"/>
            </w:pPr>
            <w:r>
              <w:t xml:space="preserve">Quantitative variables</w:t>
            </w:r>
          </w:p>
        </w:tc>
        <w:tc>
          <w:tcPr/>
          <w:p>
            <w:pPr>
              <w:pStyle w:val="Compact"/>
            </w:pPr>
            <w:r>
              <w:t xml:space="preserve">Methods</w:t>
            </w:r>
          </w:p>
        </w:tc>
        <w:tc>
          <w:tcPr/>
          <w:p>
            <w:pPr>
              <w:pStyle w:val="Compact"/>
            </w:pPr>
            <w:r>
              <w:t xml:space="preserve">7-8</w:t>
            </w:r>
          </w:p>
        </w:tc>
      </w:tr>
      <w:tr>
        <w:tc>
          <w:tcPr/>
          <w:p>
            <w:pPr>
              <w:pStyle w:val="Compact"/>
            </w:pPr>
            <w:r>
              <w:t xml:space="preserve">Statistical methods</w:t>
            </w:r>
          </w:p>
        </w:tc>
        <w:tc>
          <w:tcPr/>
          <w:p>
            <w:pPr>
              <w:pStyle w:val="Compact"/>
            </w:pPr>
            <w:r>
              <w:t xml:space="preserve">Methods</w:t>
            </w:r>
          </w:p>
        </w:tc>
        <w:tc>
          <w:tcPr/>
          <w:p>
            <w:pPr>
              <w:pStyle w:val="Compact"/>
            </w:pPr>
            <w:r>
              <w:t xml:space="preserve">8-9</w:t>
            </w:r>
          </w:p>
        </w:tc>
      </w:tr>
      <w:tr>
        <w:tc>
          <w:tcPr/>
          <w:p>
            <w:pPr>
              <w:pStyle w:val="Compact"/>
            </w:pPr>
            <w:r>
              <w:t xml:space="preserve">Participants</w:t>
            </w:r>
          </w:p>
        </w:tc>
        <w:tc>
          <w:tcPr/>
          <w:p>
            <w:pPr>
              <w:pStyle w:val="Compact"/>
            </w:pPr>
            <w:r>
              <w:t xml:space="preserve">Results</w:t>
            </w:r>
          </w:p>
        </w:tc>
        <w:tc>
          <w:tcPr/>
          <w:p>
            <w:pPr>
              <w:pStyle w:val="Compact"/>
            </w:pPr>
            <w:r>
              <w:t xml:space="preserve">9-10</w:t>
            </w:r>
          </w:p>
        </w:tc>
      </w:tr>
      <w:tr>
        <w:tc>
          <w:tcPr/>
          <w:p>
            <w:pPr>
              <w:pStyle w:val="Compact"/>
            </w:pPr>
            <w:r>
              <w:t xml:space="preserve">Descriptive data</w:t>
            </w:r>
          </w:p>
        </w:tc>
        <w:tc>
          <w:tcPr/>
          <w:p>
            <w:pPr>
              <w:pStyle w:val="Compact"/>
            </w:pPr>
            <w:r>
              <w:t xml:space="preserve">Results, Table 1</w:t>
            </w:r>
          </w:p>
        </w:tc>
        <w:tc>
          <w:tcPr/>
          <w:p>
            <w:pPr>
              <w:pStyle w:val="Compact"/>
            </w:pPr>
            <w:r>
              <w:t xml:space="preserve">10</w:t>
            </w:r>
          </w:p>
        </w:tc>
      </w:tr>
      <w:tr>
        <w:tc>
          <w:tcPr/>
          <w:p>
            <w:pPr>
              <w:pStyle w:val="Compact"/>
            </w:pPr>
            <w:r>
              <w:t xml:space="preserve">Outcome data</w:t>
            </w:r>
          </w:p>
        </w:tc>
        <w:tc>
          <w:tcPr/>
          <w:p>
            <w:pPr>
              <w:pStyle w:val="Compact"/>
            </w:pPr>
            <w:r>
              <w:t xml:space="preserve">Results</w:t>
            </w:r>
          </w:p>
        </w:tc>
        <w:tc>
          <w:tcPr/>
          <w:p>
            <w:pPr>
              <w:pStyle w:val="Compact"/>
            </w:pPr>
            <w:r>
              <w:t xml:space="preserve">10-13</w:t>
            </w:r>
          </w:p>
        </w:tc>
      </w:tr>
      <w:tr>
        <w:tc>
          <w:tcPr/>
          <w:p>
            <w:pPr>
              <w:pStyle w:val="Compact"/>
            </w:pPr>
            <w:r>
              <w:t xml:space="preserve">Main results</w:t>
            </w:r>
          </w:p>
        </w:tc>
        <w:tc>
          <w:tcPr/>
          <w:p>
            <w:pPr>
              <w:pStyle w:val="Compact"/>
            </w:pPr>
            <w:r>
              <w:t xml:space="preserve">Results</w:t>
            </w:r>
          </w:p>
        </w:tc>
        <w:tc>
          <w:tcPr/>
          <w:p>
            <w:pPr>
              <w:pStyle w:val="Compact"/>
            </w:pPr>
            <w:r>
              <w:t xml:space="preserve">10-14</w:t>
            </w:r>
          </w:p>
        </w:tc>
      </w:tr>
      <w:tr>
        <w:tc>
          <w:tcPr/>
          <w:p>
            <w:pPr>
              <w:pStyle w:val="Compact"/>
            </w:pPr>
            <w:r>
              <w:t xml:space="preserve">Other analyses</w:t>
            </w:r>
          </w:p>
        </w:tc>
        <w:tc>
          <w:tcPr/>
          <w:p>
            <w:pPr>
              <w:pStyle w:val="Compact"/>
            </w:pPr>
            <w:r>
              <w:t xml:space="preserve">Results</w:t>
            </w:r>
          </w:p>
        </w:tc>
        <w:tc>
          <w:tcPr/>
          <w:p>
            <w:pPr>
              <w:pStyle w:val="Compact"/>
            </w:pPr>
            <w:r>
              <w:t xml:space="preserve">13-14</w:t>
            </w:r>
          </w:p>
        </w:tc>
      </w:tr>
      <w:tr>
        <w:tc>
          <w:tcPr/>
          <w:p>
            <w:pPr>
              <w:pStyle w:val="Compact"/>
            </w:pPr>
            <w:r>
              <w:t xml:space="preserve">Key results</w:t>
            </w:r>
          </w:p>
        </w:tc>
        <w:tc>
          <w:tcPr/>
          <w:p>
            <w:pPr>
              <w:pStyle w:val="Compact"/>
            </w:pPr>
            <w:r>
              <w:t xml:space="preserve">Discussion</w:t>
            </w:r>
          </w:p>
        </w:tc>
        <w:tc>
          <w:tcPr/>
          <w:p>
            <w:pPr>
              <w:pStyle w:val="Compact"/>
            </w:pPr>
            <w:r>
              <w:t xml:space="preserve">14-15</w:t>
            </w:r>
          </w:p>
        </w:tc>
      </w:tr>
      <w:tr>
        <w:tc>
          <w:tcPr/>
          <w:p>
            <w:pPr>
              <w:pStyle w:val="Compact"/>
            </w:pPr>
            <w:r>
              <w:t xml:space="preserve">Limitations</w:t>
            </w:r>
          </w:p>
        </w:tc>
        <w:tc>
          <w:tcPr/>
          <w:p>
            <w:pPr>
              <w:pStyle w:val="Compact"/>
            </w:pPr>
            <w:r>
              <w:t xml:space="preserve">Discussion</w:t>
            </w:r>
          </w:p>
        </w:tc>
        <w:tc>
          <w:tcPr/>
          <w:p>
            <w:pPr>
              <w:pStyle w:val="Compact"/>
            </w:pPr>
            <w:r>
              <w:t xml:space="preserve">15-16</w:t>
            </w:r>
          </w:p>
        </w:tc>
      </w:tr>
      <w:tr>
        <w:tc>
          <w:tcPr/>
          <w:p>
            <w:pPr>
              <w:pStyle w:val="Compact"/>
            </w:pPr>
            <w:r>
              <w:t xml:space="preserve">Interpretation</w:t>
            </w:r>
          </w:p>
        </w:tc>
        <w:tc>
          <w:tcPr/>
          <w:p>
            <w:pPr>
              <w:pStyle w:val="Compact"/>
            </w:pPr>
            <w:r>
              <w:t xml:space="preserve">Discussion</w:t>
            </w:r>
          </w:p>
        </w:tc>
        <w:tc>
          <w:tcPr/>
          <w:p>
            <w:pPr>
              <w:pStyle w:val="Compact"/>
            </w:pPr>
            <w:r>
              <w:t xml:space="preserve">15</w:t>
            </w:r>
          </w:p>
        </w:tc>
      </w:tr>
      <w:tr>
        <w:tc>
          <w:tcPr/>
          <w:p>
            <w:pPr>
              <w:pStyle w:val="Compact"/>
            </w:pPr>
            <w:r>
              <w:t xml:space="preserve">Generalisability</w:t>
            </w:r>
          </w:p>
        </w:tc>
        <w:tc>
          <w:tcPr/>
          <w:p>
            <w:pPr>
              <w:pStyle w:val="Compact"/>
            </w:pPr>
            <w:r>
              <w:t xml:space="preserve">Discussion</w:t>
            </w:r>
          </w:p>
        </w:tc>
        <w:tc>
          <w:tcPr/>
          <w:p>
            <w:pPr>
              <w:pStyle w:val="Compact"/>
            </w:pPr>
            <w:r>
              <w:t xml:space="preserve">16</w:t>
            </w:r>
          </w:p>
        </w:tc>
      </w:tr>
      <w:tr>
        <w:tc>
          <w:tcPr/>
          <w:p>
            <w:pPr>
              <w:pStyle w:val="Compact"/>
            </w:pPr>
            <w:r>
              <w:t xml:space="preserve">Funding</w:t>
            </w:r>
          </w:p>
        </w:tc>
        <w:tc>
          <w:tcPr/>
          <w:p>
            <w:pPr>
              <w:pStyle w:val="Compact"/>
            </w:pPr>
            <w:r>
              <w:t xml:space="preserve">Acknowledgments</w:t>
            </w:r>
          </w:p>
        </w:tc>
        <w:tc>
          <w:tcPr/>
          <w:p>
            <w:pPr>
              <w:pStyle w:val="Compact"/>
            </w:pPr>
            <w:r>
              <w:t xml:space="preserve">17</w:t>
            </w:r>
          </w:p>
        </w:tc>
      </w:tr>
    </w:tbl>
    <w:p>
      <w:r>
        <w:pict>
          <v:rect style="width:0;height:1.5pt" o:hralign="center" o:hrstd="t" o:hr="t"/>
        </w:pict>
      </w:r>
    </w:p>
    <w:bookmarkEnd w:id="90"/>
    <w:bookmarkStart w:id="91" w:name="supplementary-references"/>
    <w:p>
      <w:pPr>
        <w:pStyle w:val="Heading2"/>
      </w:pPr>
      <w:r>
        <w:t xml:space="preserve">9. Supplementary References</w:t>
      </w:r>
    </w:p>
    <w:p>
      <w:pPr>
        <w:pStyle w:val="Compact"/>
        <w:numPr>
          <w:ilvl w:val="0"/>
          <w:numId w:val="1004"/>
        </w:numPr>
      </w:pPr>
      <w:r>
        <w:t xml:space="preserve">Haukoos JS, et al. Derivation and validation of the Denver Human Immunodeficiency Virus (HIV) Risk Score for targeted HIV screening. Am J Epidemiol. 2012;175:838-846.</w:t>
      </w:r>
    </w:p>
    <w:p>
      <w:pPr>
        <w:pStyle w:val="Compact"/>
        <w:numPr>
          <w:ilvl w:val="0"/>
          <w:numId w:val="1004"/>
        </w:numPr>
      </w:pPr>
      <w:r>
        <w:t xml:space="preserve">Tate JP, et al. An internationally generalizable risk index for mortality after one year of antiretroviral therapy. AIDS. 2013;27:563-572.</w:t>
      </w:r>
    </w:p>
    <w:p>
      <w:pPr>
        <w:pStyle w:val="Compact"/>
        <w:numPr>
          <w:ilvl w:val="0"/>
          <w:numId w:val="1004"/>
        </w:numPr>
      </w:pPr>
      <w:r>
        <w:t xml:space="preserve">Marcus JL, et al. Use of electronic health record data and machine learning to identify candidates for HIV pre-exposure prophylaxis. Lancet HIV. 2019;6:e688-e695.</w:t>
      </w:r>
    </w:p>
    <w:p>
      <w:pPr>
        <w:pStyle w:val="Compact"/>
        <w:numPr>
          <w:ilvl w:val="0"/>
          <w:numId w:val="1004"/>
        </w:numPr>
      </w:pPr>
      <w:r>
        <w:t xml:space="preserve">Ridgway JP, et al. Which patients in the emergency department should receive preexposure prophylaxis? AIDS Patient Care STDs. 2018;32:202-207.</w:t>
      </w:r>
    </w:p>
    <w:p>
      <w:pPr>
        <w:pStyle w:val="Compact"/>
        <w:numPr>
          <w:ilvl w:val="0"/>
          <w:numId w:val="1004"/>
        </w:numPr>
      </w:pPr>
      <w:r>
        <w:t xml:space="preserve">Crawford TN. Poor retention in care one-year after viral suppression. AIDS Care. 2014;26:1393-1399.</w:t>
      </w:r>
    </w:p>
    <w:p>
      <w:pPr>
        <w:pStyle w:val="Compact"/>
        <w:numPr>
          <w:ilvl w:val="0"/>
          <w:numId w:val="1004"/>
        </w:numPr>
      </w:pPr>
      <w:r>
        <w:t xml:space="preserve">Dombrowski JC, et al. Population-based metrics for the timing of HIV diagnosis. AIDS. 2012;26:77-86.</w:t>
      </w:r>
    </w:p>
    <w:p>
      <w:pPr>
        <w:pStyle w:val="Compact"/>
        <w:numPr>
          <w:ilvl w:val="0"/>
          <w:numId w:val="1004"/>
        </w:numPr>
      </w:pPr>
      <w:r>
        <w:t xml:space="preserve">Krakower DS, et al. Development and validation of an automated HIV prediction algorithm. Lancet HIV. 2019;6:e696-e704.</w:t>
      </w:r>
    </w:p>
    <w:p>
      <w:pPr>
        <w:pStyle w:val="Compact"/>
        <w:numPr>
          <w:ilvl w:val="0"/>
          <w:numId w:val="1004"/>
        </w:numPr>
      </w:pPr>
      <w:r>
        <w:t xml:space="preserve">Justice AC, et al. Predictive accuracy of the Veterans Aging Cohort Study Index. Med Care. 2013;51:S52-S57.</w:t>
      </w:r>
    </w:p>
    <w:p>
      <w:pPr>
        <w:pStyle w:val="Compact"/>
        <w:numPr>
          <w:ilvl w:val="0"/>
          <w:numId w:val="1004"/>
        </w:numPr>
      </w:pPr>
      <w:r>
        <w:t xml:space="preserve">May S, Giordano TP, Gottlieb A. Generalizable pipeline for constructing HIV risk prediction models across EHR systems. JAMIA. 2024;31(3):666-673.</w:t>
      </w:r>
    </w:p>
    <w:p>
      <w:pPr>
        <w:pStyle w:val="Compact"/>
        <w:numPr>
          <w:ilvl w:val="0"/>
          <w:numId w:val="1004"/>
        </w:numPr>
      </w:pPr>
      <w:r>
        <w:t xml:space="preserve">Bird S, et al. Fairlearn: A toolkit for assessing and improving fairness in AI. Microsoft Research. 2020.</w:t>
      </w:r>
    </w:p>
    <w:p>
      <w:pPr>
        <w:pStyle w:val="Compact"/>
        <w:numPr>
          <w:ilvl w:val="0"/>
          <w:numId w:val="1004"/>
        </w:numPr>
      </w:pPr>
      <w:r>
        <w:t xml:space="preserve">Agarwal A, et al. A reductions approach to fair classification. ICML. 2018;35:60-69.</w:t>
      </w:r>
    </w:p>
    <w:p>
      <w:pPr>
        <w:pStyle w:val="Compact"/>
        <w:numPr>
          <w:ilvl w:val="0"/>
          <w:numId w:val="1004"/>
        </w:numPr>
      </w:pPr>
      <w:r>
        <w:t xml:space="preserve">Centers for Disease Control and Prevention. HIV Surveillance Report, 2021. 2023.</w:t>
      </w:r>
    </w:p>
    <w:p>
      <w:pPr>
        <w:pStyle w:val="Compact"/>
        <w:numPr>
          <w:ilvl w:val="0"/>
          <w:numId w:val="1004"/>
        </w:numPr>
      </w:pPr>
      <w:r>
        <w:t xml:space="preserve">Ryan White HIV/AIDS Program. Annual Client-Level Data Report. HRSA; 2024.</w:t>
      </w:r>
    </w:p>
    <w:bookmarkEnd w:id="91"/>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2026-03-15T05:36:07Z</dcterms:created>
  <dcterms:modified xsi:type="dcterms:W3CDTF">2026-03-15T05:36:07Z</dcterms:modified>
</cp:coreProperties>
</file>

<file path=docProps/custom.xml><?xml version="1.0" encoding="utf-8"?>
<Properties xmlns="http://schemas.openxmlformats.org/officeDocument/2006/custom-properties" xmlns:vt="http://schemas.openxmlformats.org/officeDocument/2006/docPropsVTypes"/>
</file>