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59DAE" w14:textId="77777777" w:rsidR="00C02DFD" w:rsidRPr="00B64EC3" w:rsidRDefault="00C02DFD" w:rsidP="00C02DFD">
      <w:pPr>
        <w:spacing w:after="0" w:line="480" w:lineRule="auto"/>
        <w:rPr>
          <w:rFonts w:ascii="Times New Roman" w:hAnsi="Times New Roman" w:cs="Times New Roman"/>
          <w:b/>
          <w:bCs/>
        </w:rPr>
      </w:pPr>
      <w:r w:rsidRPr="00B64EC3">
        <w:rPr>
          <w:rFonts w:ascii="Times New Roman" w:hAnsi="Times New Roman" w:cs="Times New Roman"/>
          <w:b/>
          <w:bCs/>
        </w:rPr>
        <w:t xml:space="preserve">SUPPLEMENTARY METHODS </w:t>
      </w:r>
    </w:p>
    <w:p w14:paraId="5B4F0615" w14:textId="77777777" w:rsidR="00C02DFD" w:rsidRPr="00B64EC3" w:rsidRDefault="00C02DFD" w:rsidP="00C02DFD">
      <w:pPr>
        <w:spacing w:after="0" w:line="480" w:lineRule="auto"/>
        <w:rPr>
          <w:rFonts w:ascii="Times New Roman" w:hAnsi="Times New Roman" w:cs="Times New Roman"/>
          <w:b/>
          <w:bCs/>
        </w:rPr>
      </w:pPr>
      <w:r w:rsidRPr="00B64EC3">
        <w:rPr>
          <w:rFonts w:ascii="Times New Roman" w:hAnsi="Times New Roman" w:cs="Times New Roman"/>
          <w:b/>
          <w:bCs/>
        </w:rPr>
        <w:t xml:space="preserve">Data curation, quality control and analysis approach </w:t>
      </w:r>
    </w:p>
    <w:p w14:paraId="01A946B9" w14:textId="431FB5A1" w:rsidR="00C02DFD" w:rsidRPr="00B64EC3" w:rsidRDefault="00C02DFD" w:rsidP="00C02DFD">
      <w:pPr>
        <w:spacing w:after="0" w:line="480" w:lineRule="auto"/>
        <w:rPr>
          <w:rFonts w:ascii="Times New Roman" w:hAnsi="Times New Roman" w:cs="Times New Roman"/>
        </w:rPr>
      </w:pPr>
      <w:r w:rsidRPr="00B64EC3">
        <w:rPr>
          <w:rFonts w:ascii="Times New Roman" w:hAnsi="Times New Roman" w:cs="Times New Roman"/>
          <w:b/>
          <w:bCs/>
        </w:rPr>
        <w:tab/>
      </w:r>
      <w:r w:rsidRPr="00B64EC3">
        <w:rPr>
          <w:rFonts w:ascii="Times New Roman" w:hAnsi="Times New Roman" w:cs="Times New Roman"/>
        </w:rPr>
        <w:t>Data on payments to health professionals from November 2019 to October 2024 were downloaded from a centralised repository</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&lt;EndNote&gt;&lt;Cite&gt;&lt;Author&gt;Medicines Australia&lt;/Author&gt;&lt;Year&gt;2025&lt;/Year&gt;&lt;RecNum&gt;1423&lt;/RecNum&gt;&lt;DisplayText&gt;(1)&lt;/DisplayText&gt;&lt;record&gt;&lt;rec-number&gt;1423&lt;/rec-number&gt;&lt;foreign-keys&gt;&lt;key app="EN" db-id="2rp2pztd69tet2e9wdbpps56xap5rdsa9rza" timestamp="1751268891" guid="c052be6e-9dda-4727-956d-88c8971806a4"&gt;1423&lt;/key&gt;&lt;/foreign-keys&gt;&lt;ref-type name="Web Page"&gt;12&lt;/ref-type&gt;&lt;contributors&gt;&lt;authors&gt;&lt;author&gt;Medicines Australia,&lt;/author&gt;&lt;/authors&gt;&lt;/contributors&gt;&lt;titles&gt;&lt;title&gt;Transparency Reporting&lt;/title&gt;&lt;/titles&gt;&lt;volume&gt;2025&lt;/volume&gt;&lt;number&gt;1 March&lt;/number&gt;&lt;dates&gt;&lt;year&gt;2025&lt;/year&gt;&lt;pub-dates&gt;&lt;date&gt;2024&lt;/date&gt;&lt;/pub-dates&gt;&lt;/dates&gt;&lt;publisher&gt;Medicines Australia,&lt;/publisher&gt;&lt;urls&gt;&lt;related-urls&gt;&lt;url&gt;https://www.disclosureaustralia.com.au/search/&lt;/url&gt;&lt;/related-urls&gt;&lt;/urls&gt;&lt;/record&gt;&lt;/Cite&gt;&lt;/EndNote&gt;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r>
        <w:rPr>
          <w:rFonts w:ascii="Times New Roman" w:hAnsi="Times New Roman" w:cs="Times New Roman"/>
        </w:rPr>
        <w:t xml:space="preserve">. </w:t>
      </w:r>
      <w:r w:rsidRPr="00B64EC3">
        <w:rPr>
          <w:rFonts w:ascii="Times New Roman" w:hAnsi="Times New Roman" w:cs="Times New Roman"/>
        </w:rPr>
        <w:t>This information included individual payments to health professionals, with columns of company name, name, healthcare professional type, practice address, type of service, type of event, payment recipient, registration fees, travel costs, fees for services, and reporting period. These were merged with legacy reports from October 2015 to October 2019 data obtained from the University of Sydney repository</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&lt;EndNote&gt;&lt;Cite&gt;&lt;Author&gt;Bero&lt;/Author&gt;&lt;Year&gt;2017&lt;/Year&gt;&lt;RecNum&gt;1424&lt;/RecNum&gt;&lt;DisplayText&gt;(2)&lt;/DisplayText&gt;&lt;record&gt;&lt;rec-number&gt;1424&lt;/rec-number&gt;&lt;foreign-keys&gt;&lt;key app="EN" db-id="2rp2pztd69tet2e9wdbpps56xap5rdsa9rza" timestamp="1751268891" guid="f5d99123-0c08-40c3-ac18-3c751184b8cf"&gt;1424&lt;/key&gt;&lt;/foreign-keys&gt;&lt;ref-type name="Web Page"&gt;12&lt;/ref-type&gt;&lt;contributors&gt;&lt;authors&gt;&lt;author&gt;Bero, Lisa&lt;/author&gt;&lt;author&gt;Mintzes, Barabara&lt;/author&gt;&lt;author&gt;Grundy, Quinn&lt;/author&gt;&lt;author&gt;Fabbri, Alice&lt;/author&gt;&lt;author&gt;Williams, Jane&lt;/author&gt;&lt;author&gt;Parker, Lisa&lt;/author&gt;&lt;/authors&gt;&lt;/contributors&gt;&lt;titles&gt;&lt;title&gt;Pharmaceutical industry payments to healthcare professionals&lt;/title&gt;&lt;/titles&gt;&lt;volume&gt;2024&lt;/volume&gt;&lt;number&gt;20 January&lt;/number&gt;&lt;dates&gt;&lt;year&gt;2017&lt;/year&gt;&lt;/dates&gt;&lt;pub-location&gt;Sydney eScholarship Repository&lt;/pub-location&gt;&lt;publisher&gt;University of Sydney&lt;/publisher&gt;&lt;urls&gt;&lt;related-urls&gt;&lt;url&gt;http://hdl.handle.net/2123/20217&lt;/url&gt;&lt;/related-urls&gt;&lt;/urls&gt;&lt;/record&gt;&lt;/Cite&gt;&lt;/EndNote&gt;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r w:rsidRPr="00B64EC3">
        <w:rPr>
          <w:rFonts w:ascii="Times New Roman" w:hAnsi="Times New Roman" w:cs="Times New Roman"/>
        </w:rPr>
        <w:t xml:space="preserve">. We cross-validated overlapping 2019 entries between legacy files and the centralised database. For all payment values, it was assumed that all payments were in Australian </w:t>
      </w:r>
      <w:r>
        <w:rPr>
          <w:rFonts w:ascii="Times New Roman" w:hAnsi="Times New Roman" w:cs="Times New Roman"/>
        </w:rPr>
        <w:t xml:space="preserve">dollars. </w:t>
      </w:r>
    </w:p>
    <w:p w14:paraId="560ADAAF" w14:textId="13A04A30" w:rsidR="00C02DFD" w:rsidRPr="00B64EC3" w:rsidRDefault="00C02DFD" w:rsidP="00C02DFD">
      <w:pPr>
        <w:spacing w:after="0" w:line="480" w:lineRule="auto"/>
        <w:ind w:firstLine="720"/>
        <w:rPr>
          <w:rFonts w:ascii="Times New Roman" w:hAnsi="Times New Roman" w:cs="Times New Roman"/>
        </w:rPr>
      </w:pPr>
      <w:r w:rsidRPr="00B64EC3">
        <w:rPr>
          <w:rFonts w:ascii="Times New Roman" w:hAnsi="Times New Roman" w:cs="Times New Roman"/>
        </w:rPr>
        <w:t xml:space="preserve">Previous exposure to Medicines Australia data has revealed errors in classification, with </w:t>
      </w:r>
      <w:r>
        <w:rPr>
          <w:rFonts w:ascii="Times New Roman" w:hAnsi="Times New Roman" w:cs="Times New Roman"/>
        </w:rPr>
        <w:t xml:space="preserve">a small number of healthcare professionals </w:t>
      </w:r>
      <w:r w:rsidRPr="00B64EC3">
        <w:rPr>
          <w:rFonts w:ascii="Times New Roman" w:hAnsi="Times New Roman" w:cs="Times New Roman"/>
        </w:rPr>
        <w:t xml:space="preserve">listed under different names or with the incorrect profession or specialty </w:t>
      </w:r>
      <w:r w:rsidRPr="00B64EC3">
        <w:rPr>
          <w:rFonts w:ascii="Times New Roman" w:hAnsi="Times New Roman" w:cs="Times New Roman"/>
        </w:rPr>
        <w:fldChar w:fldCharType="begin"/>
      </w:r>
      <w:r>
        <w:rPr>
          <w:rFonts w:ascii="Times New Roman" w:hAnsi="Times New Roman" w:cs="Times New Roman"/>
        </w:rPr>
        <w:instrText xml:space="preserve"> ADDIN EN.CITE &lt;EndNote&gt;&lt;Cite&gt;&lt;Author&gt;Forbes&lt;/Author&gt;&lt;Year&gt;2023&lt;/Year&gt;&lt;RecNum&gt;1542&lt;/RecNum&gt;&lt;DisplayText&gt;(3)&lt;/DisplayText&gt;&lt;record&gt;&lt;rec-number&gt;1542&lt;/rec-number&gt;&lt;foreign-keys&gt;&lt;key app="EN" db-id="2rp2pztd69tet2e9wdbpps56xap5rdsa9rza" timestamp="1755517527" guid="b2359f76-aef7-4956-a3f8-1556a8b58a35"&gt;1542&lt;/key&gt;&lt;/foreign-keys&gt;&lt;ref-type name="Journal Article"&gt;17&lt;/ref-type&gt;&lt;contributors&gt;&lt;authors&gt;&lt;author&gt;Forbes, Malcolm&lt;/author&gt;&lt;author&gt;Bhowon, Yeshna&lt;/author&gt;&lt;author&gt;Parker, Lisa&lt;/author&gt;&lt;/authors&gt;&lt;/contributors&gt;&lt;titles&gt;&lt;title&gt;There ain’t such a thing as a free lunch: Pharmaceutical company payments to Australian psychiatrists&lt;/title&gt;&lt;secondary-title&gt;Australasian Psychiatry&lt;/secondary-title&gt;&lt;/titles&gt;&lt;periodical&gt;&lt;full-title&gt;Australasian Psychiatry&lt;/full-title&gt;&lt;/periodical&gt;&lt;pages&gt;855-856&lt;/pages&gt;&lt;volume&gt;31&lt;/volume&gt;&lt;number&gt;6&lt;/number&gt;&lt;dates&gt;&lt;year&gt;2023&lt;/year&gt;&lt;/dates&gt;&lt;accession-num&gt;37920912&lt;/accession-num&gt;&lt;urls&gt;&lt;related-urls&gt;&lt;url&gt;https://journals.sagepub.com/doi/abs/10.1177/10398562231205142&lt;/url&gt;&lt;url&gt;https://pmc.ncbi.nlm.nih.gov/articles/PMC10725612/&lt;/url&gt;&lt;/related-urls&gt;&lt;/urls&gt;&lt;electronic-resource-num&gt;10.1177/10398562231205142&lt;/electronic-resource-num&gt;&lt;/record&gt;&lt;/Cite&gt;&lt;/EndNote&gt;</w:instrText>
      </w:r>
      <w:r w:rsidRPr="00B64EC3">
        <w:rPr>
          <w:rFonts w:ascii="Times New Roman" w:hAnsi="Times New Roman" w:cs="Times New Roman"/>
        </w:rPr>
        <w:fldChar w:fldCharType="separate"/>
      </w:r>
      <w:r>
        <w:rPr>
          <w:rFonts w:ascii="Times New Roman" w:hAnsi="Times New Roman" w:cs="Times New Roman"/>
          <w:noProof/>
        </w:rPr>
        <w:t>(3)</w:t>
      </w:r>
      <w:r w:rsidRPr="00B64EC3">
        <w:rPr>
          <w:rFonts w:ascii="Times New Roman" w:hAnsi="Times New Roman" w:cs="Times New Roman"/>
        </w:rPr>
        <w:fldChar w:fldCharType="end"/>
      </w:r>
      <w:r w:rsidRPr="00B64EC3">
        <w:rPr>
          <w:rFonts w:ascii="Times New Roman" w:hAnsi="Times New Roman" w:cs="Times New Roman"/>
        </w:rPr>
        <w:t xml:space="preserve">. Thus in lieu of a semi-automated approach using the </w:t>
      </w:r>
      <w:proofErr w:type="spellStart"/>
      <w:r w:rsidRPr="00B64EC3">
        <w:rPr>
          <w:rFonts w:ascii="Times New Roman" w:hAnsi="Times New Roman" w:cs="Times New Roman"/>
          <w:i/>
          <w:iCs/>
        </w:rPr>
        <w:t>stringdist</w:t>
      </w:r>
      <w:proofErr w:type="spellEnd"/>
      <w:r w:rsidRPr="00B64EC3">
        <w:rPr>
          <w:rFonts w:ascii="Times New Roman" w:hAnsi="Times New Roman" w:cs="Times New Roman"/>
        </w:rPr>
        <w:t xml:space="preserve"> package in R </w:t>
      </w:r>
      <w:r w:rsidRPr="00B64EC3">
        <w:rPr>
          <w:rFonts w:ascii="Times New Roman" w:hAnsi="Times New Roman" w:cs="Times New Roman"/>
        </w:rPr>
        <w:fldChar w:fldCharType="begin"/>
      </w:r>
      <w:r>
        <w:rPr>
          <w:rFonts w:ascii="Times New Roman" w:hAnsi="Times New Roman" w:cs="Times New Roman"/>
        </w:rPr>
        <w:instrText xml:space="preserve"> ADDIN EN.CITE &lt;EndNote&gt;&lt;Cite&gt;&lt;Author&gt;van der Loo&lt;/Author&gt;&lt;Year&gt;2014&lt;/Year&gt;&lt;RecNum&gt;1540&lt;/RecNum&gt;&lt;DisplayText&gt;(4)&lt;/DisplayText&gt;&lt;record&gt;&lt;rec-number&gt;1540&lt;/rec-number&gt;&lt;foreign-keys&gt;&lt;key app="EN" db-id="2rp2pztd69tet2e9wdbpps56xap5rdsa9rza" timestamp="1755517324" guid="48b88474-4d35-40b1-80fc-493d63d6f2ee"&gt;1540&lt;/key&gt;&lt;/foreign-keys&gt;&lt;ref-type name="Journal Article"&gt;17&lt;/ref-type&gt;&lt;contributors&gt;&lt;authors&gt;&lt;author&gt;van der Loo, M. P. J.&lt;/author&gt;&lt;/authors&gt;&lt;/contributors&gt;&lt;titles&gt;&lt;title&gt;The stringdist package for approximate string matching&lt;/title&gt;&lt;secondary-title&gt;The R Journal&lt;/secondary-title&gt;&lt;/titles&gt;&lt;periodical&gt;&lt;full-title&gt;The R Journal&lt;/full-title&gt;&lt;/periodical&gt;&lt;pages&gt;111-122&lt;/pages&gt;&lt;volume&gt;6&lt;/volume&gt;&lt;number&gt;1&lt;/number&gt;&lt;dates&gt;&lt;year&gt;2014&lt;/year&gt;&lt;/dates&gt;&lt;urls&gt;&lt;related-urls&gt;&lt;url&gt;https://CRAN.R-project.org/package=stringdist&lt;/url&gt;&lt;/related-urls&gt;&lt;/urls&gt;&lt;/record&gt;&lt;/Cite&gt;&lt;/EndNote&gt;</w:instrText>
      </w:r>
      <w:r w:rsidRPr="00B64EC3">
        <w:rPr>
          <w:rFonts w:ascii="Times New Roman" w:hAnsi="Times New Roman" w:cs="Times New Roman"/>
        </w:rPr>
        <w:fldChar w:fldCharType="separate"/>
      </w:r>
      <w:r>
        <w:rPr>
          <w:rFonts w:ascii="Times New Roman" w:hAnsi="Times New Roman" w:cs="Times New Roman"/>
          <w:noProof/>
        </w:rPr>
        <w:t>(4)</w:t>
      </w:r>
      <w:r w:rsidRPr="00B64EC3">
        <w:rPr>
          <w:rFonts w:ascii="Times New Roman" w:hAnsi="Times New Roman" w:cs="Times New Roman"/>
        </w:rPr>
        <w:fldChar w:fldCharType="end"/>
      </w:r>
      <w:r w:rsidRPr="00B64EC3">
        <w:rPr>
          <w:rFonts w:ascii="Times New Roman" w:hAnsi="Times New Roman" w:cs="Times New Roman"/>
        </w:rPr>
        <w:t xml:space="preserve">, as outlined in Forbes et al. </w:t>
      </w:r>
      <w:r w:rsidRPr="00B64EC3">
        <w:rPr>
          <w:rFonts w:ascii="Times New Roman" w:hAnsi="Times New Roman" w:cs="Times New Roman"/>
        </w:rPr>
        <w:fldChar w:fldCharType="begin"/>
      </w:r>
      <w:r>
        <w:rPr>
          <w:rFonts w:ascii="Times New Roman" w:hAnsi="Times New Roman" w:cs="Times New Roman"/>
        </w:rPr>
        <w:instrText xml:space="preserve"> ADDIN EN.CITE &lt;EndNote&gt;&lt;Cite ExcludeAuth="1"&gt;&lt;Author&gt;Forbes&lt;/Author&gt;&lt;Year&gt;2024&lt;/Year&gt;&lt;RecNum&gt;1419&lt;/RecNum&gt;&lt;DisplayText&gt;(5)&lt;/DisplayText&gt;&lt;record&gt;&lt;rec-number&gt;1419&lt;/rec-number&gt;&lt;foreign-keys&gt;&lt;key app="EN" db-id="2rp2pztd69tet2e9wdbpps56xap5rdsa9rza" timestamp="1751268889" guid="61586900-4900-4be8-be57-30fe745787e9"&gt;1419&lt;/key&gt;&lt;/foreign-keys&gt;&lt;ref-type name="Journal Article"&gt;17&lt;/ref-type&gt;&lt;contributors&gt;&lt;authors&gt;&lt;author&gt;Forbes, M.&lt;/author&gt;&lt;author&gt;Bhowon, Y.&lt;/author&gt;&lt;author&gt;Mintzes, B.&lt;/author&gt;&lt;/authors&gt;&lt;/contributors&gt;&lt;auth-address&gt;University Hospital Geelong, Geelong, VIC.&amp;#xD;University of Melbourne, Melbourne, VIC.&amp;#xD;La Trobe University, Melbourne, VIC.&amp;#xD;Charles Perkins Centre, University of Sydney, Sydney, NSW.&lt;/auth-address&gt;&lt;titles&gt;&lt;title&gt;Pharmaceutical company payments to Australian doctors reported to Medicines Australia, 2019-22: a cross-sectional analysis&lt;/title&gt;&lt;secondary-title&gt;Med J Aust&lt;/secondary-title&gt;&lt;/titles&gt;&lt;periodical&gt;&lt;full-title&gt;Med J Aust&lt;/full-title&gt;&lt;/periodical&gt;&lt;pages&gt;425-427&lt;/pages&gt;&lt;volume&gt;220&lt;/volume&gt;&lt;number&gt;8&lt;/number&gt;&lt;edition&gt;20240416&lt;/edition&gt;&lt;keywords&gt;&lt;keyword&gt;Australia&lt;/keyword&gt;&lt;keyword&gt;*Drug Industry/economics/ethics&lt;/keyword&gt;&lt;keyword&gt;Cross-Sectional Studies&lt;/keyword&gt;&lt;keyword&gt;Humans&lt;/keyword&gt;&lt;keyword&gt;*Physicians/economics&lt;/keyword&gt;&lt;keyword&gt;Conflict of Interest&lt;/keyword&gt;&lt;keyword&gt;Ethics, professional&lt;/keyword&gt;&lt;keyword&gt;Pharmaceuticals&lt;/keyword&gt;&lt;keyword&gt;Prescription drugs&lt;/keyword&gt;&lt;/keywords&gt;&lt;dates&gt;&lt;year&gt;2024&lt;/year&gt;&lt;pub-dates&gt;&lt;date&gt;May 6&lt;/date&gt;&lt;/pub-dates&gt;&lt;/dates&gt;&lt;isbn&gt;0025-729x&lt;/isbn&gt;&lt;accession-num&gt;38623760&lt;/accession-num&gt;&lt;urls&gt;&lt;related-urls&gt;&lt;url&gt;https://onlinelibrary.wiley.com/doi/pdfdirect/10.5694/mja2.52284?download=true&lt;/url&gt;&lt;/related-urls&gt;&lt;/urls&gt;&lt;electronic-resource-num&gt;10.5694/mja2.52284&lt;/electronic-resource-num&gt;&lt;remote-database-provider&gt;NLM&lt;/remote-database-provider&gt;&lt;language&gt;eng&lt;/language&gt;&lt;/record&gt;&lt;/Cite&gt;&lt;/EndNote&gt;</w:instrText>
      </w:r>
      <w:r w:rsidRPr="00B64EC3">
        <w:rPr>
          <w:rFonts w:ascii="Times New Roman" w:hAnsi="Times New Roman" w:cs="Times New Roman"/>
        </w:rPr>
        <w:fldChar w:fldCharType="separate"/>
      </w:r>
      <w:r>
        <w:rPr>
          <w:rFonts w:ascii="Times New Roman" w:hAnsi="Times New Roman" w:cs="Times New Roman"/>
          <w:noProof/>
        </w:rPr>
        <w:t>(5)</w:t>
      </w:r>
      <w:r w:rsidRPr="00B64EC3">
        <w:rPr>
          <w:rFonts w:ascii="Times New Roman" w:hAnsi="Times New Roman" w:cs="Times New Roman"/>
        </w:rPr>
        <w:fldChar w:fldCharType="end"/>
      </w:r>
      <w:r w:rsidRPr="00B64EC3">
        <w:rPr>
          <w:rFonts w:ascii="Times New Roman" w:hAnsi="Times New Roman" w:cs="Times New Roman"/>
        </w:rPr>
        <w:t xml:space="preserve">, manual searches </w:t>
      </w:r>
      <w:r>
        <w:rPr>
          <w:rFonts w:ascii="Times New Roman" w:hAnsi="Times New Roman" w:cs="Times New Roman"/>
        </w:rPr>
        <w:t>were</w:t>
      </w:r>
      <w:r w:rsidRPr="00B64EC3">
        <w:rPr>
          <w:rFonts w:ascii="Times New Roman" w:hAnsi="Times New Roman" w:cs="Times New Roman"/>
        </w:rPr>
        <w:t xml:space="preserve"> conducted for all individuals. </w:t>
      </w:r>
      <w:r>
        <w:rPr>
          <w:rFonts w:ascii="Times New Roman" w:hAnsi="Times New Roman" w:cs="Times New Roman"/>
        </w:rPr>
        <w:t>These</w:t>
      </w:r>
      <w:r w:rsidRPr="00B64EC3">
        <w:rPr>
          <w:rFonts w:ascii="Times New Roman" w:hAnsi="Times New Roman" w:cs="Times New Roman"/>
        </w:rPr>
        <w:t xml:space="preserve"> searches were</w:t>
      </w:r>
      <w:r>
        <w:rPr>
          <w:rFonts w:ascii="Times New Roman" w:hAnsi="Times New Roman" w:cs="Times New Roman"/>
        </w:rPr>
        <w:t xml:space="preserve"> completed</w:t>
      </w:r>
      <w:r w:rsidRPr="00B64EC3">
        <w:rPr>
          <w:rFonts w:ascii="Times New Roman" w:hAnsi="Times New Roman" w:cs="Times New Roman"/>
        </w:rPr>
        <w:t xml:space="preserve"> by K.H., M.F., and A.H. between June 2024 and April 2025. Each name was entered into the AHPRA Register of Practitioners </w:t>
      </w:r>
      <w:r>
        <w:rPr>
          <w:rFonts w:ascii="Times New Roman" w:hAnsi="Times New Roman" w:cs="Times New Roman"/>
        </w:rPr>
        <w:fldChar w:fldCharType="begin"/>
      </w:r>
      <w:r>
        <w:rPr>
          <w:rFonts w:ascii="Times New Roman" w:hAnsi="Times New Roman" w:cs="Times New Roman"/>
        </w:rPr>
        <w:instrText xml:space="preserve"> ADDIN EN.CITE &lt;EndNote&gt;&lt;Cite&gt;&lt;Author&gt;AHPRA&lt;/Author&gt;&lt;Year&gt;2024&lt;/Year&gt;&lt;RecNum&gt;1425&lt;/RecNum&gt;&lt;DisplayText&gt;(6)&lt;/DisplayText&gt;&lt;record&gt;&lt;rec-number&gt;1425&lt;/rec-number&gt;&lt;foreign-keys&gt;&lt;key app="EN" db-id="2rp2pztd69tet2e9wdbpps56xap5rdsa9rza" timestamp="1751268891" guid="d32b61c3-2b39-41c1-a413-3822b71d60d8"&gt;1425&lt;/key&gt;&lt;/foreign-keys&gt;&lt;ref-type name="Web Page"&gt;12&lt;/ref-type&gt;&lt;contributors&gt;&lt;authors&gt;&lt;author&gt;AHPRA&lt;/author&gt;&lt;/authors&gt;&lt;/contributors&gt;&lt;titles&gt;&lt;title&gt;Register of practitioners&lt;/title&gt;&lt;/titles&gt;&lt;volume&gt;2024&lt;/volume&gt;&lt;number&gt;20 January&lt;/number&gt;&lt;dates&gt;&lt;year&gt;2024&lt;/year&gt;&lt;/dates&gt;&lt;publisher&gt;Australian Health Practitioner Regulation Agency &amp;amp; National Boards&lt;/publisher&gt;&lt;urls&gt;&lt;related-urls&gt;&lt;url&gt;https://www.ahpra.gov.au/Registration/Registers-of-Practitioners.aspx&lt;/url&gt;&lt;/related-urls&gt;&lt;/urls&gt;&lt;/record&gt;&lt;/Cite&gt;&lt;/EndNote&gt;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r w:rsidRPr="00B64EC3">
        <w:rPr>
          <w:rFonts w:ascii="Times New Roman" w:hAnsi="Times New Roman" w:cs="Times New Roman"/>
        </w:rPr>
        <w:t xml:space="preserve"> using the default drop-down option. In cases where an exact match was uncertain (for example, a common name shared by multiple practitioners), we conducted further verification. This included cross-checking the practitioner’s details via hospital or clinic websites, conference speaker biographies, and other public sources to confirm the individual’s identity and specialty. Disagreements were resolved by consensus. The list of fields of specialties was recorded as per the List of Specialties, Fields of Specialty Practice and Related Specialist Titles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&lt;EndNote&gt;&lt;Cite&gt;&lt;Author&gt;AHPRA&lt;/Author&gt;&lt;Year&gt;2025&lt;/Year&gt;&lt;RecNum&gt;1593&lt;/RecNum&gt;&lt;DisplayText&gt;(7)&lt;/DisplayText&gt;&lt;record&gt;&lt;rec-number&gt;1593&lt;/rec-number&gt;&lt;foreign-keys&gt;&lt;key app="EN" db-id="2rp2pztd69tet2e9wdbpps56xap5rdsa9rza" timestamp="1756307009" guid="353207ab-942c-4fc1-969c-0063970a2134"&gt;1593&lt;/key&gt;&lt;/foreign-keys&gt;&lt;ref-type name="Web Page"&gt;12&lt;/ref-type&gt;&lt;contributors&gt;&lt;authors&gt;&lt;author&gt;AHPRA&lt;/author&gt;&lt;/authors&gt;&lt;/contributors&gt;&lt;titles&gt;&lt;title&gt;List of specialties, fields of specialty practice and related specialist titles&lt;/title&gt;&lt;/titles&gt;&lt;dates&gt;&lt;year&gt;2025&lt;/year&gt;&lt;/dates&gt;&lt;publisher&gt;AHPRA&lt;/publisher&gt;&lt;urls&gt;&lt;related-urls&gt;&lt;url&gt;https://www.medicalboard.gov.au/Registration/Types/Specialist-Registration.aspx&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(7)</w:t>
      </w:r>
      <w:r>
        <w:rPr>
          <w:rFonts w:ascii="Times New Roman" w:hAnsi="Times New Roman" w:cs="Times New Roman"/>
        </w:rPr>
        <w:fldChar w:fldCharType="end"/>
      </w:r>
      <w:r>
        <w:rPr>
          <w:rFonts w:ascii="Times New Roman" w:hAnsi="Times New Roman" w:cs="Times New Roman"/>
        </w:rPr>
        <w:t xml:space="preserve">. </w:t>
      </w:r>
      <w:r w:rsidRPr="00B64EC3">
        <w:rPr>
          <w:rFonts w:ascii="Times New Roman" w:hAnsi="Times New Roman" w:cs="Times New Roman"/>
        </w:rPr>
        <w:t xml:space="preserve">The only specialties that were combined were </w:t>
      </w:r>
      <w:r>
        <w:rPr>
          <w:rFonts w:ascii="Times New Roman" w:hAnsi="Times New Roman" w:cs="Times New Roman"/>
        </w:rPr>
        <w:t xml:space="preserve">clinical </w:t>
      </w:r>
      <w:r w:rsidRPr="00B64EC3">
        <w:rPr>
          <w:rFonts w:ascii="Times New Roman" w:hAnsi="Times New Roman" w:cs="Times New Roman"/>
        </w:rPr>
        <w:t xml:space="preserve">haematology and medical oncology. </w:t>
      </w:r>
      <w:r>
        <w:rPr>
          <w:rFonts w:ascii="Times New Roman" w:hAnsi="Times New Roman" w:cs="Times New Roman"/>
        </w:rPr>
        <w:t xml:space="preserve">Doctors-in-training were listed separately. </w:t>
      </w:r>
    </w:p>
    <w:p w14:paraId="79743D3E" w14:textId="399A58C5" w:rsidR="00C02DFD" w:rsidRPr="00B64EC3" w:rsidRDefault="00C02DFD" w:rsidP="00C02DFD">
      <w:pPr>
        <w:spacing w:after="0" w:line="480" w:lineRule="auto"/>
        <w:ind w:firstLine="720"/>
        <w:rPr>
          <w:rFonts w:ascii="Times New Roman" w:hAnsi="Times New Roman" w:cs="Times New Roman"/>
        </w:rPr>
      </w:pPr>
      <w:r w:rsidRPr="00B64EC3">
        <w:rPr>
          <w:rFonts w:ascii="Times New Roman" w:hAnsi="Times New Roman" w:cs="Times New Roman"/>
        </w:rPr>
        <w:t xml:space="preserve">Given the </w:t>
      </w:r>
      <w:r>
        <w:rPr>
          <w:rFonts w:ascii="Times New Roman" w:hAnsi="Times New Roman" w:cs="Times New Roman"/>
        </w:rPr>
        <w:t xml:space="preserve">large </w:t>
      </w:r>
      <w:r w:rsidRPr="00B64EC3">
        <w:rPr>
          <w:rFonts w:ascii="Times New Roman" w:hAnsi="Times New Roman" w:cs="Times New Roman"/>
        </w:rPr>
        <w:t xml:space="preserve">volume of searches required, we </w:t>
      </w:r>
      <w:r>
        <w:rPr>
          <w:rFonts w:ascii="Times New Roman" w:hAnsi="Times New Roman" w:cs="Times New Roman"/>
        </w:rPr>
        <w:t xml:space="preserve">only recorded specialty and </w:t>
      </w:r>
      <w:r w:rsidRPr="00B64EC3">
        <w:rPr>
          <w:rFonts w:ascii="Times New Roman" w:hAnsi="Times New Roman" w:cs="Times New Roman"/>
        </w:rPr>
        <w:t xml:space="preserve">did not record other details about individual practitioners, such as year of fellowship or sex. </w:t>
      </w:r>
      <w:r>
        <w:rPr>
          <w:rFonts w:ascii="Times New Roman" w:hAnsi="Times New Roman" w:cs="Times New Roman"/>
        </w:rPr>
        <w:t xml:space="preserve">There were 134 individuals for whom a specialty could not be ascertained. </w:t>
      </w:r>
      <w:r w:rsidRPr="00B64EC3">
        <w:rPr>
          <w:rFonts w:ascii="Times New Roman" w:hAnsi="Times New Roman" w:cs="Times New Roman"/>
        </w:rPr>
        <w:t xml:space="preserve">It may be the case that these individuals were registered under one name </w:t>
      </w:r>
      <w:r>
        <w:rPr>
          <w:rFonts w:ascii="Times New Roman" w:hAnsi="Times New Roman" w:cs="Times New Roman"/>
        </w:rPr>
        <w:t xml:space="preserve">on AHPRA </w:t>
      </w:r>
      <w:r w:rsidRPr="00B64EC3">
        <w:rPr>
          <w:rFonts w:ascii="Times New Roman" w:hAnsi="Times New Roman" w:cs="Times New Roman"/>
        </w:rPr>
        <w:t xml:space="preserve">but received payment under another. Furthermore, there were some medical professionals who had more than one medical specialty. </w:t>
      </w:r>
      <w:r w:rsidRPr="00572D73">
        <w:rPr>
          <w:rFonts w:ascii="Times New Roman" w:hAnsi="Times New Roman" w:cs="Times New Roman"/>
          <w:color w:val="000000"/>
        </w:rPr>
        <w:t>To prevent double-</w:t>
      </w:r>
      <w:r w:rsidRPr="00572D73">
        <w:rPr>
          <w:rFonts w:ascii="Times New Roman" w:hAnsi="Times New Roman" w:cs="Times New Roman"/>
          <w:color w:val="000000"/>
        </w:rPr>
        <w:lastRenderedPageBreak/>
        <w:t>counting, we assigned each individual a primary specialty using online searches</w:t>
      </w:r>
      <w:r w:rsidR="006605E0">
        <w:rPr>
          <w:rFonts w:ascii="Times New Roman" w:hAnsi="Times New Roman" w:cs="Times New Roman"/>
          <w:color w:val="000000"/>
        </w:rPr>
        <w:t xml:space="preserve"> to identify their main area of work</w:t>
      </w:r>
      <w:r w:rsidRPr="00572D73">
        <w:rPr>
          <w:rFonts w:ascii="Times New Roman" w:hAnsi="Times New Roman" w:cs="Times New Roman"/>
          <w:color w:val="000000"/>
        </w:rPr>
        <w:t>. Transfers of value may have occurred in their alternate specialty instead.</w:t>
      </w:r>
      <w:r>
        <w:rPr>
          <w:rFonts w:ascii="Times New Roman" w:hAnsi="Times New Roman" w:cs="Times New Roman"/>
          <w:color w:val="000000"/>
        </w:rPr>
        <w:t xml:space="preserve"> T</w:t>
      </w:r>
      <w:r>
        <w:rPr>
          <w:rFonts w:ascii="Times New Roman" w:hAnsi="Times New Roman" w:cs="Times New Roman"/>
        </w:rPr>
        <w:t>here was</w:t>
      </w:r>
      <w:r w:rsidR="006605E0">
        <w:rPr>
          <w:rFonts w:ascii="Times New Roman" w:hAnsi="Times New Roman" w:cs="Times New Roman"/>
        </w:rPr>
        <w:t xml:space="preserve"> also</w:t>
      </w:r>
      <w:r>
        <w:rPr>
          <w:rFonts w:ascii="Times New Roman" w:hAnsi="Times New Roman" w:cs="Times New Roman"/>
        </w:rPr>
        <w:t xml:space="preserve"> a delay between payment occurring and the healthcare professional being searched on AHPRA and t</w:t>
      </w:r>
      <w:r w:rsidRPr="00B64EC3">
        <w:rPr>
          <w:rFonts w:ascii="Times New Roman" w:hAnsi="Times New Roman" w:cs="Times New Roman"/>
        </w:rPr>
        <w:t xml:space="preserve">here is potential for misclassification if </w:t>
      </w:r>
      <w:r>
        <w:rPr>
          <w:rFonts w:ascii="Times New Roman" w:hAnsi="Times New Roman" w:cs="Times New Roman"/>
        </w:rPr>
        <w:t>healthcare professionals</w:t>
      </w:r>
      <w:r w:rsidRPr="00B64EC3">
        <w:rPr>
          <w:rFonts w:ascii="Times New Roman" w:hAnsi="Times New Roman" w:cs="Times New Roman"/>
        </w:rPr>
        <w:t xml:space="preserve"> </w:t>
      </w:r>
      <w:r>
        <w:rPr>
          <w:rFonts w:ascii="Times New Roman" w:hAnsi="Times New Roman" w:cs="Times New Roman"/>
        </w:rPr>
        <w:t xml:space="preserve">received a payment as a doctor-in-training but then </w:t>
      </w:r>
      <w:r w:rsidRPr="00B64EC3">
        <w:rPr>
          <w:rFonts w:ascii="Times New Roman" w:hAnsi="Times New Roman" w:cs="Times New Roman"/>
        </w:rPr>
        <w:t xml:space="preserve">completed specialty training or changed their </w:t>
      </w:r>
      <w:r>
        <w:rPr>
          <w:rFonts w:ascii="Times New Roman" w:hAnsi="Times New Roman" w:cs="Times New Roman"/>
        </w:rPr>
        <w:t xml:space="preserve">profession or </w:t>
      </w:r>
      <w:r w:rsidRPr="00B64EC3">
        <w:rPr>
          <w:rFonts w:ascii="Times New Roman" w:hAnsi="Times New Roman" w:cs="Times New Roman"/>
        </w:rPr>
        <w:t>specialty between the payment date and the time of search.</w:t>
      </w:r>
      <w:r>
        <w:rPr>
          <w:rFonts w:ascii="Times New Roman" w:hAnsi="Times New Roman" w:cs="Times New Roman"/>
        </w:rPr>
        <w:t xml:space="preserve"> </w:t>
      </w:r>
      <w:r w:rsidRPr="00B64EC3">
        <w:rPr>
          <w:rFonts w:ascii="Times New Roman" w:hAnsi="Times New Roman" w:cs="Times New Roman"/>
        </w:rPr>
        <w:t xml:space="preserve">However, few medical practitioners change specialty, and most payments are directed toward senior practitioners rather than doctors-in-training, so any such misclassification is unlikely to materially affect our findings. </w:t>
      </w:r>
    </w:p>
    <w:p w14:paraId="7B5E7EBD" w14:textId="756CC55E" w:rsidR="00C02DFD" w:rsidRDefault="00C02DFD" w:rsidP="00C02DFD">
      <w:pPr>
        <w:spacing w:after="0" w:line="480" w:lineRule="auto"/>
        <w:ind w:firstLine="720"/>
        <w:rPr>
          <w:rFonts w:ascii="Times New Roman" w:hAnsi="Times New Roman" w:cs="Times New Roman"/>
        </w:rPr>
      </w:pPr>
      <w:r w:rsidRPr="00B64EC3">
        <w:rPr>
          <w:rFonts w:ascii="Times New Roman" w:hAnsi="Times New Roman" w:cs="Times New Roman"/>
        </w:rPr>
        <w:t xml:space="preserve">For each specialty we estimated pharmaceutical company reach </w:t>
      </w:r>
      <w:r>
        <w:rPr>
          <w:rFonts w:ascii="Times New Roman" w:hAnsi="Times New Roman" w:cs="Times New Roman"/>
        </w:rPr>
        <w:t>(</w:t>
      </w:r>
      <w:r w:rsidRPr="00B64EC3">
        <w:rPr>
          <w:rFonts w:ascii="Times New Roman" w:hAnsi="Times New Roman" w:cs="Times New Roman"/>
        </w:rPr>
        <w:t>the proportion of registered clinicians in each specialty who received ≥</w:t>
      </w:r>
      <w:r>
        <w:rPr>
          <w:rFonts w:ascii="Times New Roman" w:hAnsi="Times New Roman" w:cs="Times New Roman"/>
        </w:rPr>
        <w:t xml:space="preserve"> </w:t>
      </w:r>
      <w:r w:rsidRPr="00B64EC3">
        <w:rPr>
          <w:rFonts w:ascii="Times New Roman" w:hAnsi="Times New Roman" w:cs="Times New Roman"/>
        </w:rPr>
        <w:t>1 paymen</w:t>
      </w:r>
      <w:r>
        <w:rPr>
          <w:rFonts w:ascii="Times New Roman" w:hAnsi="Times New Roman" w:cs="Times New Roman"/>
        </w:rPr>
        <w:t xml:space="preserve">t) </w:t>
      </w:r>
      <w:r w:rsidRPr="00B64EC3">
        <w:rPr>
          <w:rFonts w:ascii="Times New Roman" w:hAnsi="Times New Roman" w:cs="Times New Roman"/>
        </w:rPr>
        <w:t xml:space="preserve">by linking payments to AHPRA 2023/24 workforce counts. Consistent with prior work </w:t>
      </w:r>
      <w:r w:rsidRPr="00B64EC3">
        <w:rPr>
          <w:rFonts w:ascii="Times New Roman" w:hAnsi="Times New Roman" w:cs="Times New Roman"/>
        </w:rPr>
        <w:fldChar w:fldCharType="begin"/>
      </w:r>
      <w:r>
        <w:rPr>
          <w:rFonts w:ascii="Times New Roman" w:hAnsi="Times New Roman" w:cs="Times New Roman"/>
        </w:rPr>
        <w:instrText xml:space="preserve"> ADDIN EN.CITE &lt;EndNote&gt;&lt;Cite&gt;&lt;Author&gt;Forbes&lt;/Author&gt;&lt;Year&gt;2024&lt;/Year&gt;&lt;RecNum&gt;1419&lt;/RecNum&gt;&lt;DisplayText&gt;(5)&lt;/DisplayText&gt;&lt;record&gt;&lt;rec-number&gt;1419&lt;/rec-number&gt;&lt;foreign-keys&gt;&lt;key app="EN" db-id="2rp2pztd69tet2e9wdbpps56xap5rdsa9rza" timestamp="1751268889" guid="61586900-4900-4be8-be57-30fe745787e9"&gt;1419&lt;/key&gt;&lt;/foreign-keys&gt;&lt;ref-type name="Journal Article"&gt;17&lt;/ref-type&gt;&lt;contributors&gt;&lt;authors&gt;&lt;author&gt;Forbes, M.&lt;/author&gt;&lt;author&gt;Bhowon, Y.&lt;/author&gt;&lt;author&gt;Mintzes, B.&lt;/author&gt;&lt;/authors&gt;&lt;/contributors&gt;&lt;auth-address&gt;University Hospital Geelong, Geelong, VIC.&amp;#xD;University of Melbourne, Melbourne, VIC.&amp;#xD;La Trobe University, Melbourne, VIC.&amp;#xD;Charles Perkins Centre, University of Sydney, Sydney, NSW.&lt;/auth-address&gt;&lt;titles&gt;&lt;title&gt;Pharmaceutical company payments to Australian doctors reported to Medicines Australia, 2019-22: a cross-sectional analysis&lt;/title&gt;&lt;secondary-title&gt;Med J Aust&lt;/secondary-title&gt;&lt;/titles&gt;&lt;periodical&gt;&lt;full-title&gt;Med J Aust&lt;/full-title&gt;&lt;/periodical&gt;&lt;pages&gt;425-427&lt;/pages&gt;&lt;volume&gt;220&lt;/volume&gt;&lt;number&gt;8&lt;/number&gt;&lt;edition&gt;20240416&lt;/edition&gt;&lt;keywords&gt;&lt;keyword&gt;Australia&lt;/keyword&gt;&lt;keyword&gt;*Drug Industry/economics/ethics&lt;/keyword&gt;&lt;keyword&gt;Cross-Sectional Studies&lt;/keyword&gt;&lt;keyword&gt;Humans&lt;/keyword&gt;&lt;keyword&gt;*Physicians/economics&lt;/keyword&gt;&lt;keyword&gt;Conflict of Interest&lt;/keyword&gt;&lt;keyword&gt;Ethics, professional&lt;/keyword&gt;&lt;keyword&gt;Pharmaceuticals&lt;/keyword&gt;&lt;keyword&gt;Prescription drugs&lt;/keyword&gt;&lt;/keywords&gt;&lt;dates&gt;&lt;year&gt;2024&lt;/year&gt;&lt;pub-dates&gt;&lt;date&gt;May 6&lt;/date&gt;&lt;/pub-dates&gt;&lt;/dates&gt;&lt;isbn&gt;0025-729x&lt;/isbn&gt;&lt;accession-num&gt;38623760&lt;/accession-num&gt;&lt;urls&gt;&lt;related-urls&gt;&lt;url&gt;https://onlinelibrary.wiley.com/doi/pdfdirect/10.5694/mja2.52284?download=true&lt;/url&gt;&lt;/related-urls&gt;&lt;/urls&gt;&lt;electronic-resource-num&gt;10.5694/mja2.52284&lt;/electronic-resource-num&gt;&lt;remote-database-provider&gt;NLM&lt;/remote-database-provider&gt;&lt;language&gt;eng&lt;/language&gt;&lt;/record&gt;&lt;/Cite&gt;&lt;/EndNote&gt;</w:instrText>
      </w:r>
      <w:r w:rsidRPr="00B64EC3">
        <w:rPr>
          <w:rFonts w:ascii="Times New Roman" w:hAnsi="Times New Roman" w:cs="Times New Roman"/>
        </w:rPr>
        <w:fldChar w:fldCharType="separate"/>
      </w:r>
      <w:r>
        <w:rPr>
          <w:rFonts w:ascii="Times New Roman" w:hAnsi="Times New Roman" w:cs="Times New Roman"/>
          <w:noProof/>
        </w:rPr>
        <w:t>(5)</w:t>
      </w:r>
      <w:r w:rsidRPr="00B64EC3">
        <w:rPr>
          <w:rFonts w:ascii="Times New Roman" w:hAnsi="Times New Roman" w:cs="Times New Roman"/>
        </w:rPr>
        <w:fldChar w:fldCharType="end"/>
      </w:r>
      <w:r w:rsidRPr="00B64EC3">
        <w:rPr>
          <w:rFonts w:ascii="Times New Roman" w:hAnsi="Times New Roman" w:cs="Times New Roman"/>
        </w:rPr>
        <w:t>, we combined clinical haematology and medical oncology denominators when reporting ‘</w:t>
      </w:r>
      <w:r w:rsidR="006605E0">
        <w:rPr>
          <w:rFonts w:ascii="Times New Roman" w:hAnsi="Times New Roman" w:cs="Times New Roman"/>
        </w:rPr>
        <w:t xml:space="preserve">clinical </w:t>
      </w:r>
      <w:r w:rsidRPr="00B64EC3">
        <w:rPr>
          <w:rFonts w:ascii="Times New Roman" w:hAnsi="Times New Roman" w:cs="Times New Roman"/>
        </w:rPr>
        <w:t>haematology/oncology’ reach</w:t>
      </w:r>
      <w:r>
        <w:rPr>
          <w:rFonts w:ascii="Times New Roman" w:hAnsi="Times New Roman" w:cs="Times New Roman"/>
        </w:rPr>
        <w:t>. T</w:t>
      </w:r>
      <w:r w:rsidRPr="00B64EC3">
        <w:rPr>
          <w:rFonts w:ascii="Times New Roman" w:hAnsi="Times New Roman" w:cs="Times New Roman"/>
        </w:rPr>
        <w:t xml:space="preserve">he number of specialists in each specialty field at the </w:t>
      </w:r>
      <w:r>
        <w:rPr>
          <w:rFonts w:ascii="Times New Roman" w:hAnsi="Times New Roman" w:cs="Times New Roman"/>
        </w:rPr>
        <w:t>end</w:t>
      </w:r>
      <w:r w:rsidRPr="00B64EC3">
        <w:rPr>
          <w:rFonts w:ascii="Times New Roman" w:hAnsi="Times New Roman" w:cs="Times New Roman"/>
        </w:rPr>
        <w:t xml:space="preserve"> of the study period</w:t>
      </w:r>
      <w:r>
        <w:rPr>
          <w:rFonts w:ascii="Times New Roman" w:hAnsi="Times New Roman" w:cs="Times New Roman"/>
        </w:rPr>
        <w:t xml:space="preserve"> was utilised to calculate proportions. T</w:t>
      </w:r>
      <w:r w:rsidRPr="00B64EC3">
        <w:rPr>
          <w:rFonts w:ascii="Times New Roman" w:hAnsi="Times New Roman" w:cs="Times New Roman"/>
        </w:rPr>
        <w:t xml:space="preserve">his provides the most conservative estimate of pharmaceutical company reach. </w:t>
      </w:r>
      <w:r>
        <w:rPr>
          <w:rFonts w:ascii="Times New Roman" w:hAnsi="Times New Roman" w:cs="Times New Roman"/>
        </w:rPr>
        <w:t xml:space="preserve">However, it does not </w:t>
      </w:r>
      <w:proofErr w:type="gramStart"/>
      <w:r>
        <w:rPr>
          <w:rFonts w:ascii="Times New Roman" w:hAnsi="Times New Roman" w:cs="Times New Roman"/>
        </w:rPr>
        <w:t>take into account</w:t>
      </w:r>
      <w:proofErr w:type="gramEnd"/>
      <w:r>
        <w:rPr>
          <w:rFonts w:ascii="Times New Roman" w:hAnsi="Times New Roman" w:cs="Times New Roman"/>
        </w:rPr>
        <w:t xml:space="preserve"> individuals who have retired over the study period and thus may artificially exaggerate proportions.  </w:t>
      </w:r>
      <w:r w:rsidRPr="00B64EC3">
        <w:rPr>
          <w:rFonts w:ascii="Times New Roman" w:hAnsi="Times New Roman" w:cs="Times New Roman"/>
        </w:rPr>
        <w:t xml:space="preserve">The supplementary tables R3 and R9 can be found on the AHPRA website </w:t>
      </w:r>
      <w:r>
        <w:rPr>
          <w:rFonts w:ascii="Times New Roman" w:hAnsi="Times New Roman" w:cs="Times New Roman"/>
        </w:rPr>
        <w:fldChar w:fldCharType="begin"/>
      </w:r>
      <w:r>
        <w:rPr>
          <w:rFonts w:ascii="Times New Roman" w:hAnsi="Times New Roman" w:cs="Times New Roman"/>
        </w:rPr>
        <w:instrText xml:space="preserve"> ADDIN EN.CITE &lt;EndNote&gt;&lt;Cite&gt;&lt;Author&gt;AHPRA&lt;/Author&gt;&lt;Year&gt;2024&lt;/Year&gt;&lt;RecNum&gt;1420&lt;/RecNum&gt;&lt;DisplayText&gt;(8)&lt;/DisplayText&gt;&lt;record&gt;&lt;rec-number&gt;1420&lt;/rec-number&gt;&lt;foreign-keys&gt;&lt;key app="EN" db-id="2rp2pztd69tet2e9wdbpps56xap5rdsa9rza" timestamp="1751268889" guid="73d8eee1-815b-4d9c-abb5-c85685025005"&gt;1420&lt;/key&gt;&lt;/foreign-keys&gt;&lt;ref-type name="Web Page"&gt;12&lt;/ref-type&gt;&lt;contributors&gt;&lt;authors&gt;&lt;author&gt;AHPRA,&lt;/author&gt;&lt;/authors&gt;&lt;/contributors&gt;&lt;titles&gt;&lt;title&gt;AHPRA and the National Boards 2023/24: Supplementary Tables&lt;/title&gt;&lt;/titles&gt;&lt;volume&gt;2025&lt;/volume&gt;&lt;number&gt;11 January&lt;/number&gt;&lt;dates&gt;&lt;year&gt;2024&lt;/year&gt;&lt;pub-dates&gt;&lt;date&gt;12 November 2024&lt;/date&gt;&lt;/pub-dates&gt;&lt;/dates&gt;&lt;publisher&gt;Australian Health Practitioner Regulation Agency,&lt;/publisher&gt;&lt;urls&gt;&lt;related-urls&gt;&lt;url&gt;https://www.ahpra.gov.au/Publications/Annual-reports/Annual-report-2024/Index-of-tables.aspx&lt;/url&gt;&lt;/related-urls&gt;&lt;/urls&gt;&lt;/record&gt;&lt;/Cite&gt;&lt;/EndNote&gt;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(8)</w:t>
      </w:r>
      <w:r>
        <w:rPr>
          <w:rFonts w:ascii="Times New Roman" w:hAnsi="Times New Roman" w:cs="Times New Roman"/>
        </w:rPr>
        <w:fldChar w:fldCharType="end"/>
      </w:r>
      <w:r>
        <w:rPr>
          <w:rFonts w:ascii="Times New Roman" w:hAnsi="Times New Roman" w:cs="Times New Roman"/>
        </w:rPr>
        <w:t xml:space="preserve">. </w:t>
      </w:r>
    </w:p>
    <w:p w14:paraId="73310561" w14:textId="77777777" w:rsidR="00C02DFD" w:rsidRPr="00F90D6F" w:rsidRDefault="00C02DFD" w:rsidP="00C02DFD">
      <w:pPr>
        <w:spacing w:after="0" w:line="480" w:lineRule="auto"/>
        <w:ind w:firstLine="720"/>
        <w:rPr>
          <w:rFonts w:ascii="Times New Roman" w:hAnsi="Times New Roman" w:cs="Times New Roman"/>
        </w:rPr>
      </w:pPr>
      <w:r>
        <w:rPr>
          <w:rFonts w:ascii="Times New Roman" w:hAnsi="Times New Roman" w:cs="Times New Roman"/>
        </w:rPr>
        <w:t xml:space="preserve">Data validation was undertaken throughout the data collection process. </w:t>
      </w:r>
      <w:r w:rsidRPr="00B64EC3">
        <w:rPr>
          <w:rFonts w:ascii="Times New Roman" w:hAnsi="Times New Roman" w:cs="Times New Roman"/>
        </w:rPr>
        <w:t xml:space="preserve">An initial data accuracy check occurred in January 2025, with K.H. completing </w:t>
      </w:r>
      <w:r>
        <w:rPr>
          <w:rFonts w:ascii="Times New Roman" w:hAnsi="Times New Roman" w:cs="Times New Roman"/>
        </w:rPr>
        <w:t xml:space="preserve">checks to confirm the assigned specialties of the </w:t>
      </w:r>
      <w:r w:rsidRPr="00B64EC3">
        <w:rPr>
          <w:rFonts w:ascii="Times New Roman" w:hAnsi="Times New Roman" w:cs="Times New Roman"/>
        </w:rPr>
        <w:t xml:space="preserve">300 individuals who received the highest </w:t>
      </w:r>
      <w:r>
        <w:rPr>
          <w:rFonts w:ascii="Times New Roman" w:hAnsi="Times New Roman" w:cs="Times New Roman"/>
        </w:rPr>
        <w:t>payment amounts</w:t>
      </w:r>
      <w:r w:rsidRPr="00B64EC3">
        <w:rPr>
          <w:rFonts w:ascii="Times New Roman" w:hAnsi="Times New Roman" w:cs="Times New Roman"/>
        </w:rPr>
        <w:t>. A second data accuracy check was undertaken between January and April 2025 by A.H., with a random sample of 10% of the dataset. This revealed a specialty misclassification rate of 1.3%</w:t>
      </w:r>
      <w:r>
        <w:rPr>
          <w:rFonts w:ascii="Times New Roman" w:hAnsi="Times New Roman" w:cs="Times New Roman"/>
        </w:rPr>
        <w:t xml:space="preserve">. These misclassifications were corrected. </w:t>
      </w:r>
      <w:r w:rsidRPr="00B64EC3">
        <w:rPr>
          <w:rFonts w:ascii="Times New Roman" w:hAnsi="Times New Roman" w:cs="Times New Roman"/>
        </w:rPr>
        <w:t>A final data accuracy check was conducted in July 2025 by M.F. to screen a further 10% of randomly selected practitioner records</w:t>
      </w:r>
      <w:r>
        <w:rPr>
          <w:rFonts w:ascii="Times New Roman" w:hAnsi="Times New Roman" w:cs="Times New Roman"/>
        </w:rPr>
        <w:t xml:space="preserve"> using an automated process</w:t>
      </w:r>
      <w:r w:rsidRPr="00B64EC3">
        <w:rPr>
          <w:rFonts w:ascii="Times New Roman" w:hAnsi="Times New Roman" w:cs="Times New Roman"/>
        </w:rPr>
        <w:t xml:space="preserve">. For each name and address pair, </w:t>
      </w:r>
      <w:r>
        <w:rPr>
          <w:rFonts w:ascii="Times New Roman" w:hAnsi="Times New Roman" w:cs="Times New Roman"/>
        </w:rPr>
        <w:t xml:space="preserve">a Python </w:t>
      </w:r>
      <w:r w:rsidRPr="00B64EC3">
        <w:rPr>
          <w:rFonts w:ascii="Times New Roman" w:hAnsi="Times New Roman" w:cs="Times New Roman"/>
        </w:rPr>
        <w:t xml:space="preserve">script queried Google </w:t>
      </w:r>
      <w:r>
        <w:rPr>
          <w:rFonts w:ascii="Times New Roman" w:hAnsi="Times New Roman" w:cs="Times New Roman"/>
        </w:rPr>
        <w:t xml:space="preserve">via the </w:t>
      </w:r>
      <w:proofErr w:type="spellStart"/>
      <w:r>
        <w:rPr>
          <w:rFonts w:ascii="Times New Roman" w:hAnsi="Times New Roman" w:cs="Times New Roman"/>
        </w:rPr>
        <w:t>serper.dev</w:t>
      </w:r>
      <w:proofErr w:type="spellEnd"/>
      <w:r>
        <w:rPr>
          <w:rFonts w:ascii="Times New Roman" w:hAnsi="Times New Roman" w:cs="Times New Roman"/>
        </w:rPr>
        <w:t xml:space="preserve"> </w:t>
      </w:r>
      <w:r w:rsidRPr="00B64EC3">
        <w:rPr>
          <w:rFonts w:ascii="Times New Roman" w:hAnsi="Times New Roman" w:cs="Times New Roman"/>
        </w:rPr>
        <w:t xml:space="preserve">API, </w:t>
      </w:r>
      <w:r>
        <w:rPr>
          <w:rFonts w:ascii="Times New Roman" w:hAnsi="Times New Roman" w:cs="Times New Roman"/>
        </w:rPr>
        <w:t>retrieved</w:t>
      </w:r>
      <w:r w:rsidRPr="00B64EC3">
        <w:rPr>
          <w:rFonts w:ascii="Times New Roman" w:hAnsi="Times New Roman" w:cs="Times New Roman"/>
        </w:rPr>
        <w:t xml:space="preserve"> the title </w:t>
      </w:r>
      <w:r>
        <w:rPr>
          <w:rFonts w:ascii="Times New Roman" w:hAnsi="Times New Roman" w:cs="Times New Roman"/>
        </w:rPr>
        <w:t xml:space="preserve">of the first organic result, and matched this text against a curated dictionary of </w:t>
      </w:r>
      <w:r w:rsidRPr="00B64EC3">
        <w:rPr>
          <w:rFonts w:ascii="Times New Roman" w:hAnsi="Times New Roman" w:cs="Times New Roman"/>
        </w:rPr>
        <w:t xml:space="preserve">70 specialty </w:t>
      </w:r>
      <w:r>
        <w:rPr>
          <w:rFonts w:ascii="Times New Roman" w:hAnsi="Times New Roman" w:cs="Times New Roman"/>
        </w:rPr>
        <w:t>descriptors</w:t>
      </w:r>
      <w:r w:rsidRPr="00B64EC3">
        <w:rPr>
          <w:rFonts w:ascii="Times New Roman" w:hAnsi="Times New Roman" w:cs="Times New Roman"/>
        </w:rPr>
        <w:t xml:space="preserve">. </w:t>
      </w:r>
      <w:r>
        <w:rPr>
          <w:rFonts w:ascii="Times New Roman" w:hAnsi="Times New Roman" w:cs="Times New Roman"/>
        </w:rPr>
        <w:t>T</w:t>
      </w:r>
      <w:r w:rsidRPr="00B64EC3">
        <w:rPr>
          <w:rFonts w:ascii="Times New Roman" w:hAnsi="Times New Roman" w:cs="Times New Roman"/>
        </w:rPr>
        <w:t xml:space="preserve">he concurrence between manual and automated checks supports the overall integrity of the final dataset. </w:t>
      </w:r>
    </w:p>
    <w:p w14:paraId="3AA849A8" w14:textId="7E619DF1" w:rsidR="00C02DFD" w:rsidRPr="00F90D6F" w:rsidRDefault="00C02DFD" w:rsidP="00C02DFD">
      <w:pPr>
        <w:spacing w:after="0" w:line="480" w:lineRule="auto"/>
        <w:ind w:firstLine="720"/>
        <w:rPr>
          <w:rFonts w:ascii="Times New Roman" w:hAnsi="Times New Roman" w:cs="Times New Roman"/>
        </w:rPr>
      </w:pPr>
      <w:r w:rsidRPr="00F90D6F">
        <w:rPr>
          <w:rFonts w:ascii="Times New Roman" w:hAnsi="Times New Roman" w:cs="Times New Roman"/>
        </w:rPr>
        <w:lastRenderedPageBreak/>
        <w:t>To express the time</w:t>
      </w:r>
      <w:r w:rsidR="006605E0">
        <w:rPr>
          <w:rFonts w:ascii="Times New Roman" w:hAnsi="Times New Roman" w:cs="Times New Roman"/>
        </w:rPr>
        <w:t xml:space="preserve"> </w:t>
      </w:r>
      <w:r w:rsidRPr="00F90D6F">
        <w:rPr>
          <w:rFonts w:ascii="Times New Roman" w:hAnsi="Times New Roman" w:cs="Times New Roman"/>
        </w:rPr>
        <w:t>series in</w:t>
      </w:r>
      <w:r w:rsidR="006605E0">
        <w:rPr>
          <w:rFonts w:ascii="Times New Roman" w:hAnsi="Times New Roman" w:cs="Times New Roman"/>
        </w:rPr>
        <w:t xml:space="preserve"> Figure 4 in</w:t>
      </w:r>
      <w:r w:rsidRPr="00F90D6F">
        <w:rPr>
          <w:rFonts w:ascii="Times New Roman" w:hAnsi="Times New Roman" w:cs="Times New Roman"/>
        </w:rPr>
        <w:t xml:space="preserve"> 2023/24 AUD, nominal six</w:t>
      </w:r>
      <w:r w:rsidR="006605E0">
        <w:rPr>
          <w:rFonts w:ascii="Times New Roman" w:hAnsi="Times New Roman" w:cs="Times New Roman"/>
        </w:rPr>
        <w:t xml:space="preserve"> </w:t>
      </w:r>
      <w:r w:rsidRPr="00F90D6F">
        <w:rPr>
          <w:rFonts w:ascii="Times New Roman" w:hAnsi="Times New Roman" w:cs="Times New Roman"/>
        </w:rPr>
        <w:t>month totals were deflated using the Australian C</w:t>
      </w:r>
      <w:r>
        <w:rPr>
          <w:rFonts w:ascii="Times New Roman" w:hAnsi="Times New Roman" w:cs="Times New Roman"/>
        </w:rPr>
        <w:t xml:space="preserve">onsumer Price Index, </w:t>
      </w:r>
      <w:r w:rsidRPr="00F90D6F">
        <w:rPr>
          <w:rFonts w:ascii="Times New Roman" w:hAnsi="Times New Roman" w:cs="Times New Roman"/>
        </w:rPr>
        <w:t>anchoring each payment to the end month of its reporting period</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&lt;EndNote&gt;&lt;Cite&gt;&lt;Author&gt;Australian Bureau of Statistics&lt;/Author&gt;&lt;Year&gt;2025&lt;/Year&gt;&lt;RecNum&gt;1608&lt;/RecNum&gt;&lt;DisplayText&gt;(9)&lt;/DisplayText&gt;&lt;record&gt;&lt;rec-number&gt;1608&lt;/rec-number&gt;&lt;foreign-keys&gt;&lt;key app="EN" db-id="2rp2pztd69tet2e9wdbpps56xap5rdsa9rza" timestamp="1757312070" guid="efd47399-10ff-4557-bd5b-364c31f2e0bd"&gt;1608&lt;/key&gt;&lt;/foreign-keys&gt;&lt;ref-type name="Web Page"&gt;12&lt;/ref-type&gt;&lt;contributors&gt;&lt;authors&gt;&lt;author&gt;Australian Bureau of Statistics,&lt;/author&gt;&lt;/authors&gt;&lt;/contributors&gt;&lt;titles&gt;&lt;title&gt;Consumer Price Index, Australia [Internet]&lt;/title&gt;&lt;/titles&gt;&lt;dates&gt;&lt;year&gt;2025&lt;/year&gt;&lt;/dates&gt;&lt;urls&gt;&lt;related-urls&gt;&lt;url&gt;https://www.abs.gov.au/statistics/economy/price-indexes-and-inflation/consumer-price-index-australia/latest-release.&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(9)</w:t>
      </w:r>
      <w:r>
        <w:rPr>
          <w:rFonts w:ascii="Times New Roman" w:hAnsi="Times New Roman" w:cs="Times New Roman"/>
        </w:rPr>
        <w:fldChar w:fldCharType="end"/>
      </w:r>
      <w:r>
        <w:rPr>
          <w:rFonts w:ascii="Times New Roman" w:hAnsi="Times New Roman" w:cs="Times New Roman"/>
        </w:rPr>
        <w:t xml:space="preserve">.  </w:t>
      </w:r>
    </w:p>
    <w:p w14:paraId="651E8FC4" w14:textId="77777777" w:rsidR="00C02DFD" w:rsidRPr="00B64EC3" w:rsidRDefault="00C02DFD" w:rsidP="00C02DFD">
      <w:pPr>
        <w:spacing w:after="0" w:line="480" w:lineRule="auto"/>
        <w:ind w:firstLine="720"/>
        <w:rPr>
          <w:rFonts w:ascii="Times New Roman" w:hAnsi="Times New Roman" w:cs="Times New Roman"/>
        </w:rPr>
      </w:pPr>
      <w:r w:rsidRPr="00B64EC3">
        <w:rPr>
          <w:rFonts w:ascii="Times New Roman" w:hAnsi="Times New Roman" w:cs="Times New Roman"/>
        </w:rPr>
        <w:t xml:space="preserve">Data cleaning occurred between July and August 2025 by M.F. Company names were mapped to standard labels (for example, both “Bristol-Myers Squibb” and “Bristol Myers Squibb” were recoded as Bristol Myers Squibb). Analyses were conducted at the brand level. We did not combine brands after mergers or acquisitions (e.g. Celgene to Bristol Myers Squibb; Shire to Takeda; Alexion to AstraZeneca; Actelion to Janssen; Vifor Pharma to CSL), and we treated spin-offs as separate entities (e.g., Alcon from Novartis; Organon from MSD). There were some companies who ceased to be members of Medicines Australia and thus stopped providing data on </w:t>
      </w:r>
      <w:r>
        <w:rPr>
          <w:rFonts w:ascii="Times New Roman" w:hAnsi="Times New Roman" w:cs="Times New Roman"/>
        </w:rPr>
        <w:t>payments</w:t>
      </w:r>
      <w:r w:rsidRPr="00B64EC3">
        <w:rPr>
          <w:rFonts w:ascii="Times New Roman" w:hAnsi="Times New Roman" w:cs="Times New Roman"/>
        </w:rPr>
        <w:t xml:space="preserve"> during the study period</w:t>
      </w:r>
      <w:r>
        <w:rPr>
          <w:rFonts w:ascii="Times New Roman" w:hAnsi="Times New Roman" w:cs="Times New Roman"/>
        </w:rPr>
        <w:t xml:space="preserve">. </w:t>
      </w:r>
      <w:r w:rsidRPr="00B64EC3">
        <w:rPr>
          <w:rFonts w:ascii="Times New Roman" w:hAnsi="Times New Roman" w:cs="Times New Roman"/>
        </w:rPr>
        <w:t>This may have led some specialties to have spuriously low payment totals. Free-text fields describing service type, event type and payment recipient were collapsed into concise dictionaries – ten service categories, eight event categories and three recipient categories. In total, 6.3% of all payments were made to the healthcare professional’s employer or a third party. These records were retained, as such transfers may ultimately benefit the named clinician (for example, sponsored registration or support routed via an institution).</w:t>
      </w:r>
    </w:p>
    <w:p w14:paraId="607E34F5" w14:textId="01F5111A" w:rsidR="00C02DFD" w:rsidRPr="00B64EC3" w:rsidRDefault="00C02DFD" w:rsidP="00C02DFD">
      <w:pPr>
        <w:spacing w:after="0" w:line="480" w:lineRule="auto"/>
        <w:ind w:firstLine="720"/>
        <w:rPr>
          <w:rFonts w:ascii="Times New Roman" w:hAnsi="Times New Roman" w:cs="Times New Roman"/>
        </w:rPr>
      </w:pPr>
      <w:r w:rsidRPr="00B64EC3">
        <w:rPr>
          <w:rFonts w:ascii="Times New Roman" w:hAnsi="Times New Roman" w:cs="Times New Roman"/>
        </w:rPr>
        <w:t>Formal data analysis was undertaken by M.F</w:t>
      </w:r>
      <w:r>
        <w:rPr>
          <w:rFonts w:ascii="Times New Roman" w:hAnsi="Times New Roman" w:cs="Times New Roman"/>
        </w:rPr>
        <w:t xml:space="preserve"> using R version 4.5.0 and checked by S.S.</w:t>
      </w:r>
      <w:r w:rsidRPr="00B64EC3">
        <w:rPr>
          <w:rFonts w:ascii="Times New Roman" w:hAnsi="Times New Roman" w:cs="Times New Roman"/>
        </w:rPr>
        <w:t xml:space="preserve"> Data visualisation was undertaken by S.S. The dataset and all analytic code, including analysis and visualisation scripts, are available </w:t>
      </w:r>
      <w:r>
        <w:rPr>
          <w:rFonts w:ascii="Times New Roman" w:hAnsi="Times New Roman" w:cs="Times New Roman"/>
        </w:rPr>
        <w:t>on a public repository</w:t>
      </w:r>
      <w:r w:rsidRPr="00B64EC3">
        <w:rPr>
          <w:rFonts w:ascii="Times New Roman" w:hAnsi="Times New Roman" w:cs="Times New Roman"/>
        </w:rPr>
        <w:t xml:space="preserve">. The cleaned analysis dataset provided for replication excludes </w:t>
      </w:r>
      <w:r>
        <w:rPr>
          <w:rFonts w:ascii="Times New Roman" w:hAnsi="Times New Roman" w:cs="Times New Roman"/>
        </w:rPr>
        <w:t>the a</w:t>
      </w:r>
      <w:r w:rsidRPr="00B64EC3">
        <w:rPr>
          <w:rFonts w:ascii="Times New Roman" w:hAnsi="Times New Roman" w:cs="Times New Roman"/>
        </w:rPr>
        <w:t>ddress field to protect privacy</w:t>
      </w:r>
      <w:r>
        <w:rPr>
          <w:rFonts w:ascii="Times New Roman" w:hAnsi="Times New Roman" w:cs="Times New Roman"/>
        </w:rPr>
        <w:t xml:space="preserve"> as some individuals appear to have listed their personal address instead of their professional address. </w:t>
      </w:r>
    </w:p>
    <w:p w14:paraId="64C28447" w14:textId="77777777" w:rsidR="00C02DFD" w:rsidRDefault="00C02DFD" w:rsidP="00C02DFD">
      <w:pPr>
        <w:spacing w:after="0" w:line="480" w:lineRule="auto"/>
        <w:rPr>
          <w:rFonts w:ascii="Times New Roman" w:hAnsi="Times New Roman" w:cs="Times New Roman"/>
          <w:b/>
          <w:bCs/>
        </w:rPr>
      </w:pPr>
    </w:p>
    <w:p w14:paraId="15597981" w14:textId="77777777" w:rsidR="00C02DFD" w:rsidRPr="00B64EC3" w:rsidRDefault="00C02DFD" w:rsidP="00C02DFD">
      <w:pPr>
        <w:spacing w:after="0" w:line="480" w:lineRule="auto"/>
        <w:rPr>
          <w:rFonts w:ascii="Times New Roman" w:hAnsi="Times New Roman" w:cs="Times New Roman"/>
          <w:b/>
          <w:bCs/>
        </w:rPr>
      </w:pPr>
      <w:r w:rsidRPr="00B64EC3">
        <w:rPr>
          <w:rFonts w:ascii="Times New Roman" w:hAnsi="Times New Roman" w:cs="Times New Roman"/>
          <w:b/>
          <w:bCs/>
        </w:rPr>
        <w:t xml:space="preserve">SUPPLEMENTARY RESULTS </w:t>
      </w:r>
    </w:p>
    <w:p w14:paraId="2496F7F2" w14:textId="77777777" w:rsidR="00C02DFD" w:rsidRPr="00B64EC3" w:rsidRDefault="00C02DFD" w:rsidP="00C02DFD">
      <w:pPr>
        <w:spacing w:after="0" w:line="480" w:lineRule="auto"/>
        <w:ind w:firstLine="720"/>
        <w:rPr>
          <w:rFonts w:ascii="Times New Roman" w:hAnsi="Times New Roman" w:cs="Times New Roman"/>
          <w:b/>
          <w:bCs/>
        </w:rPr>
      </w:pPr>
      <w:r w:rsidRPr="00B64EC3">
        <w:rPr>
          <w:rFonts w:ascii="Times New Roman" w:hAnsi="Times New Roman" w:cs="Times New Roman"/>
          <w:b/>
          <w:bCs/>
        </w:rPr>
        <w:t>Companies</w:t>
      </w:r>
    </w:p>
    <w:p w14:paraId="4EB2CD97" w14:textId="77777777" w:rsidR="00C02DFD" w:rsidRPr="00B64EC3" w:rsidRDefault="00C02DFD" w:rsidP="00C02DFD">
      <w:pPr>
        <w:spacing w:after="0" w:line="480" w:lineRule="auto"/>
        <w:ind w:firstLine="720"/>
        <w:rPr>
          <w:rFonts w:ascii="Times New Roman" w:hAnsi="Times New Roman" w:cs="Times New Roman"/>
        </w:rPr>
      </w:pPr>
      <w:r w:rsidRPr="00B64EC3">
        <w:rPr>
          <w:rFonts w:ascii="Times New Roman" w:hAnsi="Times New Roman" w:cs="Times New Roman"/>
        </w:rPr>
        <w:t xml:space="preserve">Overall, Novartis, Bayer, and Pfizer were the three largest spenders, together accounting for 25.4% of all disclosed dollars (Table </w:t>
      </w:r>
      <w:r>
        <w:rPr>
          <w:rFonts w:ascii="Times New Roman" w:hAnsi="Times New Roman" w:cs="Times New Roman"/>
        </w:rPr>
        <w:t>S1</w:t>
      </w:r>
      <w:r w:rsidRPr="00B64EC3">
        <w:rPr>
          <w:rFonts w:ascii="Times New Roman" w:hAnsi="Times New Roman" w:cs="Times New Roman"/>
        </w:rPr>
        <w:t>). Company rankings varied over time, consistent with product cycles and specialty launches.</w:t>
      </w:r>
    </w:p>
    <w:p w14:paraId="3C85E90E" w14:textId="77777777" w:rsidR="00C02DFD" w:rsidRPr="00B64EC3" w:rsidRDefault="00C02DFD" w:rsidP="00C02DFD">
      <w:pPr>
        <w:spacing w:after="0" w:line="480" w:lineRule="auto"/>
        <w:ind w:firstLine="720"/>
        <w:rPr>
          <w:rFonts w:ascii="Times New Roman" w:hAnsi="Times New Roman" w:cs="Times New Roman"/>
        </w:rPr>
      </w:pPr>
      <w:r w:rsidRPr="00B64EC3">
        <w:rPr>
          <w:rFonts w:ascii="Times New Roman" w:hAnsi="Times New Roman" w:cs="Times New Roman"/>
          <w:b/>
          <w:bCs/>
        </w:rPr>
        <w:t xml:space="preserve">Table </w:t>
      </w:r>
      <w:r>
        <w:rPr>
          <w:rFonts w:ascii="Times New Roman" w:hAnsi="Times New Roman" w:cs="Times New Roman"/>
          <w:b/>
          <w:bCs/>
        </w:rPr>
        <w:t>S1</w:t>
      </w:r>
      <w:r w:rsidRPr="00B64EC3">
        <w:rPr>
          <w:rFonts w:ascii="Times New Roman" w:hAnsi="Times New Roman" w:cs="Times New Roman"/>
          <w:b/>
          <w:bCs/>
        </w:rPr>
        <w:t xml:space="preserve">: Companies by total payment, top 10 </w:t>
      </w:r>
    </w:p>
    <w:tbl>
      <w:tblPr>
        <w:tblStyle w:val="TableGrid"/>
        <w:tblW w:w="0" w:type="auto"/>
        <w:tblLook w:val="04A0" w:firstRow="1" w:lastRow="0" w:firstColumn="1" w:lastColumn="0" w:noHBand="0" w:noVBand="1"/>
      </w:tblPr>
      <w:tblGrid>
        <w:gridCol w:w="2689"/>
        <w:gridCol w:w="2693"/>
        <w:gridCol w:w="3402"/>
      </w:tblGrid>
      <w:tr w:rsidR="00C02DFD" w:rsidRPr="00B64EC3" w14:paraId="40C84A7E" w14:textId="77777777" w:rsidTr="009340D5">
        <w:trPr>
          <w:trHeight w:val="300"/>
        </w:trPr>
        <w:tc>
          <w:tcPr>
            <w:tcW w:w="2689" w:type="dxa"/>
            <w:noWrap/>
            <w:hideMark/>
          </w:tcPr>
          <w:p w14:paraId="784A97B2" w14:textId="77777777" w:rsidR="00C02DFD" w:rsidRPr="00B64EC3" w:rsidRDefault="00C02DFD" w:rsidP="009340D5">
            <w:pPr>
              <w:spacing w:line="480" w:lineRule="auto"/>
              <w:jc w:val="center"/>
              <w:rPr>
                <w:rFonts w:ascii="Times New Roman" w:hAnsi="Times New Roman" w:cs="Times New Roman"/>
                <w:b/>
                <w:bCs/>
              </w:rPr>
            </w:pPr>
            <w:r w:rsidRPr="00B64EC3">
              <w:rPr>
                <w:rFonts w:ascii="Times New Roman" w:hAnsi="Times New Roman" w:cs="Times New Roman"/>
                <w:b/>
                <w:bCs/>
              </w:rPr>
              <w:lastRenderedPageBreak/>
              <w:t>Company</w:t>
            </w:r>
          </w:p>
        </w:tc>
        <w:tc>
          <w:tcPr>
            <w:tcW w:w="2693" w:type="dxa"/>
            <w:noWrap/>
            <w:hideMark/>
          </w:tcPr>
          <w:p w14:paraId="60AA9128" w14:textId="77777777" w:rsidR="00C02DFD" w:rsidRPr="00B64EC3" w:rsidRDefault="00C02DFD" w:rsidP="009340D5">
            <w:pPr>
              <w:spacing w:line="480" w:lineRule="auto"/>
              <w:jc w:val="center"/>
              <w:rPr>
                <w:rFonts w:ascii="Times New Roman" w:hAnsi="Times New Roman" w:cs="Times New Roman"/>
                <w:b/>
                <w:bCs/>
              </w:rPr>
            </w:pPr>
            <w:r w:rsidRPr="00B64EC3">
              <w:rPr>
                <w:rFonts w:ascii="Times New Roman" w:hAnsi="Times New Roman" w:cs="Times New Roman"/>
                <w:b/>
                <w:bCs/>
              </w:rPr>
              <w:t>Total payment (A$)</w:t>
            </w:r>
          </w:p>
        </w:tc>
        <w:tc>
          <w:tcPr>
            <w:tcW w:w="3402" w:type="dxa"/>
            <w:noWrap/>
            <w:hideMark/>
          </w:tcPr>
          <w:p w14:paraId="0A8F915D" w14:textId="77777777" w:rsidR="00C02DFD" w:rsidRPr="00B64EC3" w:rsidRDefault="00C02DFD" w:rsidP="009340D5">
            <w:pPr>
              <w:spacing w:line="480" w:lineRule="auto"/>
              <w:jc w:val="center"/>
              <w:rPr>
                <w:rFonts w:ascii="Times New Roman" w:hAnsi="Times New Roman" w:cs="Times New Roman"/>
                <w:b/>
                <w:bCs/>
              </w:rPr>
            </w:pPr>
            <w:r w:rsidRPr="00B64EC3">
              <w:rPr>
                <w:rFonts w:ascii="Times New Roman" w:hAnsi="Times New Roman" w:cs="Times New Roman"/>
                <w:b/>
                <w:bCs/>
              </w:rPr>
              <w:t>Share of total payments (%)</w:t>
            </w:r>
          </w:p>
        </w:tc>
      </w:tr>
      <w:tr w:rsidR="00C02DFD" w:rsidRPr="00B64EC3" w14:paraId="0FA802FD" w14:textId="77777777" w:rsidTr="009340D5">
        <w:trPr>
          <w:trHeight w:val="300"/>
        </w:trPr>
        <w:tc>
          <w:tcPr>
            <w:tcW w:w="2689" w:type="dxa"/>
            <w:noWrap/>
            <w:hideMark/>
          </w:tcPr>
          <w:p w14:paraId="5EDE95F8"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Novartis</w:t>
            </w:r>
          </w:p>
        </w:tc>
        <w:tc>
          <w:tcPr>
            <w:tcW w:w="2693" w:type="dxa"/>
            <w:noWrap/>
            <w:hideMark/>
          </w:tcPr>
          <w:p w14:paraId="1C2C2EE7"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15,994,401</w:t>
            </w:r>
          </w:p>
        </w:tc>
        <w:tc>
          <w:tcPr>
            <w:tcW w:w="3402" w:type="dxa"/>
            <w:noWrap/>
            <w:vAlign w:val="bottom"/>
            <w:hideMark/>
          </w:tcPr>
          <w:p w14:paraId="6610054B"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color w:val="000000"/>
              </w:rPr>
              <w:t>9.7</w:t>
            </w:r>
          </w:p>
        </w:tc>
      </w:tr>
      <w:tr w:rsidR="00C02DFD" w:rsidRPr="00B64EC3" w14:paraId="6017A820" w14:textId="77777777" w:rsidTr="009340D5">
        <w:trPr>
          <w:trHeight w:val="300"/>
        </w:trPr>
        <w:tc>
          <w:tcPr>
            <w:tcW w:w="2689" w:type="dxa"/>
            <w:noWrap/>
            <w:hideMark/>
          </w:tcPr>
          <w:p w14:paraId="3B87573D"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Bayer</w:t>
            </w:r>
          </w:p>
        </w:tc>
        <w:tc>
          <w:tcPr>
            <w:tcW w:w="2693" w:type="dxa"/>
            <w:noWrap/>
            <w:hideMark/>
          </w:tcPr>
          <w:p w14:paraId="522A82E5"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12,898,417</w:t>
            </w:r>
          </w:p>
        </w:tc>
        <w:tc>
          <w:tcPr>
            <w:tcW w:w="3402" w:type="dxa"/>
            <w:noWrap/>
            <w:vAlign w:val="bottom"/>
            <w:hideMark/>
          </w:tcPr>
          <w:p w14:paraId="43EC6CD3"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color w:val="000000"/>
              </w:rPr>
              <w:t>7.9</w:t>
            </w:r>
          </w:p>
        </w:tc>
      </w:tr>
      <w:tr w:rsidR="00C02DFD" w:rsidRPr="00B64EC3" w14:paraId="76628BAD" w14:textId="77777777" w:rsidTr="009340D5">
        <w:trPr>
          <w:trHeight w:val="300"/>
        </w:trPr>
        <w:tc>
          <w:tcPr>
            <w:tcW w:w="2689" w:type="dxa"/>
            <w:noWrap/>
            <w:hideMark/>
          </w:tcPr>
          <w:p w14:paraId="0699CCCA"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Pfizer</w:t>
            </w:r>
          </w:p>
        </w:tc>
        <w:tc>
          <w:tcPr>
            <w:tcW w:w="2693" w:type="dxa"/>
            <w:noWrap/>
            <w:hideMark/>
          </w:tcPr>
          <w:p w14:paraId="555209D8"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12,739,444</w:t>
            </w:r>
          </w:p>
        </w:tc>
        <w:tc>
          <w:tcPr>
            <w:tcW w:w="3402" w:type="dxa"/>
            <w:noWrap/>
            <w:vAlign w:val="bottom"/>
            <w:hideMark/>
          </w:tcPr>
          <w:p w14:paraId="4750809B"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color w:val="000000"/>
              </w:rPr>
              <w:t>7.8</w:t>
            </w:r>
          </w:p>
        </w:tc>
      </w:tr>
      <w:tr w:rsidR="00C02DFD" w:rsidRPr="00B64EC3" w14:paraId="1971E4EB" w14:textId="77777777" w:rsidTr="009340D5">
        <w:trPr>
          <w:trHeight w:val="300"/>
        </w:trPr>
        <w:tc>
          <w:tcPr>
            <w:tcW w:w="2689" w:type="dxa"/>
            <w:noWrap/>
            <w:hideMark/>
          </w:tcPr>
          <w:p w14:paraId="3D957617"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AstraZeneca</w:t>
            </w:r>
          </w:p>
        </w:tc>
        <w:tc>
          <w:tcPr>
            <w:tcW w:w="2693" w:type="dxa"/>
            <w:noWrap/>
            <w:hideMark/>
          </w:tcPr>
          <w:p w14:paraId="29E02F24"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11,293,007</w:t>
            </w:r>
          </w:p>
        </w:tc>
        <w:tc>
          <w:tcPr>
            <w:tcW w:w="3402" w:type="dxa"/>
            <w:noWrap/>
            <w:vAlign w:val="bottom"/>
            <w:hideMark/>
          </w:tcPr>
          <w:p w14:paraId="187D494E"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color w:val="000000"/>
              </w:rPr>
              <w:t>6.9</w:t>
            </w:r>
          </w:p>
        </w:tc>
      </w:tr>
      <w:tr w:rsidR="00C02DFD" w:rsidRPr="00B64EC3" w14:paraId="64535152" w14:textId="77777777" w:rsidTr="009340D5">
        <w:trPr>
          <w:trHeight w:val="300"/>
        </w:trPr>
        <w:tc>
          <w:tcPr>
            <w:tcW w:w="2689" w:type="dxa"/>
            <w:noWrap/>
            <w:hideMark/>
          </w:tcPr>
          <w:p w14:paraId="4167CBF6"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Amgen</w:t>
            </w:r>
          </w:p>
        </w:tc>
        <w:tc>
          <w:tcPr>
            <w:tcW w:w="2693" w:type="dxa"/>
            <w:noWrap/>
            <w:hideMark/>
          </w:tcPr>
          <w:p w14:paraId="460865DF"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8,897,356</w:t>
            </w:r>
          </w:p>
        </w:tc>
        <w:tc>
          <w:tcPr>
            <w:tcW w:w="3402" w:type="dxa"/>
            <w:noWrap/>
            <w:vAlign w:val="bottom"/>
            <w:hideMark/>
          </w:tcPr>
          <w:p w14:paraId="4B38FD1E"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color w:val="000000"/>
              </w:rPr>
              <w:t>5.4</w:t>
            </w:r>
          </w:p>
        </w:tc>
      </w:tr>
      <w:tr w:rsidR="00C02DFD" w:rsidRPr="00B64EC3" w14:paraId="3891E19F" w14:textId="77777777" w:rsidTr="009340D5">
        <w:trPr>
          <w:trHeight w:val="300"/>
        </w:trPr>
        <w:tc>
          <w:tcPr>
            <w:tcW w:w="2689" w:type="dxa"/>
            <w:noWrap/>
            <w:hideMark/>
          </w:tcPr>
          <w:p w14:paraId="6B63A66E"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Boehringer Ingelheim</w:t>
            </w:r>
          </w:p>
        </w:tc>
        <w:tc>
          <w:tcPr>
            <w:tcW w:w="2693" w:type="dxa"/>
            <w:noWrap/>
            <w:hideMark/>
          </w:tcPr>
          <w:p w14:paraId="68F4BC86"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8,209,882</w:t>
            </w:r>
          </w:p>
        </w:tc>
        <w:tc>
          <w:tcPr>
            <w:tcW w:w="3402" w:type="dxa"/>
            <w:noWrap/>
            <w:vAlign w:val="bottom"/>
            <w:hideMark/>
          </w:tcPr>
          <w:p w14:paraId="0FF1568C"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color w:val="000000"/>
              </w:rPr>
              <w:t>5</w:t>
            </w:r>
          </w:p>
        </w:tc>
      </w:tr>
      <w:tr w:rsidR="00C02DFD" w:rsidRPr="00B64EC3" w14:paraId="17748D25" w14:textId="77777777" w:rsidTr="009340D5">
        <w:trPr>
          <w:trHeight w:val="300"/>
        </w:trPr>
        <w:tc>
          <w:tcPr>
            <w:tcW w:w="2689" w:type="dxa"/>
            <w:noWrap/>
            <w:hideMark/>
          </w:tcPr>
          <w:p w14:paraId="4F896368"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Bristol Myers Squibb</w:t>
            </w:r>
          </w:p>
        </w:tc>
        <w:tc>
          <w:tcPr>
            <w:tcW w:w="2693" w:type="dxa"/>
            <w:noWrap/>
            <w:hideMark/>
          </w:tcPr>
          <w:p w14:paraId="64B77408"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7,570,771</w:t>
            </w:r>
          </w:p>
        </w:tc>
        <w:tc>
          <w:tcPr>
            <w:tcW w:w="3402" w:type="dxa"/>
            <w:noWrap/>
            <w:vAlign w:val="bottom"/>
            <w:hideMark/>
          </w:tcPr>
          <w:p w14:paraId="6CEB3C48"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color w:val="000000"/>
              </w:rPr>
              <w:t>4.6</w:t>
            </w:r>
          </w:p>
        </w:tc>
      </w:tr>
      <w:tr w:rsidR="00C02DFD" w:rsidRPr="00B64EC3" w14:paraId="1940592A" w14:textId="77777777" w:rsidTr="009340D5">
        <w:trPr>
          <w:trHeight w:val="300"/>
        </w:trPr>
        <w:tc>
          <w:tcPr>
            <w:tcW w:w="2689" w:type="dxa"/>
            <w:noWrap/>
            <w:hideMark/>
          </w:tcPr>
          <w:p w14:paraId="6D578900"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AbbVie</w:t>
            </w:r>
          </w:p>
        </w:tc>
        <w:tc>
          <w:tcPr>
            <w:tcW w:w="2693" w:type="dxa"/>
            <w:noWrap/>
            <w:hideMark/>
          </w:tcPr>
          <w:p w14:paraId="522FA68E"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7,232,153</w:t>
            </w:r>
          </w:p>
        </w:tc>
        <w:tc>
          <w:tcPr>
            <w:tcW w:w="3402" w:type="dxa"/>
            <w:noWrap/>
            <w:vAlign w:val="bottom"/>
            <w:hideMark/>
          </w:tcPr>
          <w:p w14:paraId="0915829C"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color w:val="000000"/>
              </w:rPr>
              <w:t>4.4</w:t>
            </w:r>
          </w:p>
        </w:tc>
      </w:tr>
      <w:tr w:rsidR="00C02DFD" w:rsidRPr="00B64EC3" w14:paraId="536110F7" w14:textId="77777777" w:rsidTr="009340D5">
        <w:trPr>
          <w:trHeight w:val="300"/>
        </w:trPr>
        <w:tc>
          <w:tcPr>
            <w:tcW w:w="2689" w:type="dxa"/>
            <w:noWrap/>
            <w:hideMark/>
          </w:tcPr>
          <w:p w14:paraId="54A96677"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MSD</w:t>
            </w:r>
          </w:p>
        </w:tc>
        <w:tc>
          <w:tcPr>
            <w:tcW w:w="2693" w:type="dxa"/>
            <w:noWrap/>
            <w:hideMark/>
          </w:tcPr>
          <w:p w14:paraId="01CCC4A4"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7,123,710</w:t>
            </w:r>
          </w:p>
        </w:tc>
        <w:tc>
          <w:tcPr>
            <w:tcW w:w="3402" w:type="dxa"/>
            <w:noWrap/>
            <w:vAlign w:val="bottom"/>
            <w:hideMark/>
          </w:tcPr>
          <w:p w14:paraId="27A08027"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color w:val="000000"/>
              </w:rPr>
              <w:t>4.3</w:t>
            </w:r>
          </w:p>
        </w:tc>
      </w:tr>
      <w:tr w:rsidR="00C02DFD" w:rsidRPr="00B64EC3" w14:paraId="487E1D01" w14:textId="77777777" w:rsidTr="009340D5">
        <w:trPr>
          <w:trHeight w:val="300"/>
        </w:trPr>
        <w:tc>
          <w:tcPr>
            <w:tcW w:w="2689" w:type="dxa"/>
            <w:noWrap/>
            <w:hideMark/>
          </w:tcPr>
          <w:p w14:paraId="4DD4B86F"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Sanofi</w:t>
            </w:r>
          </w:p>
        </w:tc>
        <w:tc>
          <w:tcPr>
            <w:tcW w:w="2693" w:type="dxa"/>
            <w:noWrap/>
            <w:hideMark/>
          </w:tcPr>
          <w:p w14:paraId="74B458F5"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rPr>
              <w:t>7,078,410</w:t>
            </w:r>
          </w:p>
        </w:tc>
        <w:tc>
          <w:tcPr>
            <w:tcW w:w="3402" w:type="dxa"/>
            <w:noWrap/>
            <w:vAlign w:val="bottom"/>
            <w:hideMark/>
          </w:tcPr>
          <w:p w14:paraId="45C598A7" w14:textId="77777777" w:rsidR="00C02DFD" w:rsidRPr="00B64EC3" w:rsidRDefault="00C02DFD" w:rsidP="009340D5">
            <w:pPr>
              <w:spacing w:line="480" w:lineRule="auto"/>
              <w:jc w:val="center"/>
              <w:rPr>
                <w:rFonts w:ascii="Times New Roman" w:hAnsi="Times New Roman" w:cs="Times New Roman"/>
              </w:rPr>
            </w:pPr>
            <w:r w:rsidRPr="00B64EC3">
              <w:rPr>
                <w:rFonts w:ascii="Times New Roman" w:hAnsi="Times New Roman" w:cs="Times New Roman"/>
                <w:color w:val="000000"/>
              </w:rPr>
              <w:t>4.3</w:t>
            </w:r>
          </w:p>
        </w:tc>
      </w:tr>
    </w:tbl>
    <w:p w14:paraId="292B7D24" w14:textId="77777777" w:rsidR="00C02DFD" w:rsidRDefault="00C02DFD" w:rsidP="00C02DFD">
      <w:pPr>
        <w:spacing w:after="0" w:line="480" w:lineRule="auto"/>
        <w:ind w:firstLine="720"/>
        <w:rPr>
          <w:rFonts w:ascii="Times New Roman" w:hAnsi="Times New Roman" w:cs="Times New Roman"/>
          <w:b/>
          <w:bCs/>
        </w:rPr>
      </w:pPr>
    </w:p>
    <w:p w14:paraId="046C9663" w14:textId="77777777" w:rsidR="00C02DFD" w:rsidRPr="00B64EC3" w:rsidRDefault="00C02DFD" w:rsidP="00C02DFD">
      <w:pPr>
        <w:spacing w:after="0" w:line="480" w:lineRule="auto"/>
        <w:ind w:firstLine="720"/>
        <w:rPr>
          <w:rFonts w:ascii="Times New Roman" w:hAnsi="Times New Roman" w:cs="Times New Roman"/>
          <w:b/>
          <w:bCs/>
        </w:rPr>
      </w:pPr>
      <w:r w:rsidRPr="00B64EC3">
        <w:rPr>
          <w:rFonts w:ascii="Times New Roman" w:hAnsi="Times New Roman" w:cs="Times New Roman"/>
          <w:b/>
          <w:bCs/>
        </w:rPr>
        <w:t xml:space="preserve">Company–specialty patterns </w:t>
      </w:r>
    </w:p>
    <w:p w14:paraId="54D2124E" w14:textId="77777777" w:rsidR="00C02DFD" w:rsidRPr="00B64EC3" w:rsidRDefault="00C02DFD" w:rsidP="00C02DFD">
      <w:pPr>
        <w:spacing w:after="0" w:line="480" w:lineRule="auto"/>
        <w:ind w:firstLine="720"/>
        <w:rPr>
          <w:rFonts w:ascii="Times New Roman" w:hAnsi="Times New Roman" w:cs="Times New Roman"/>
        </w:rPr>
      </w:pPr>
      <w:r w:rsidRPr="00B64EC3">
        <w:rPr>
          <w:rFonts w:ascii="Times New Roman" w:hAnsi="Times New Roman" w:cs="Times New Roman"/>
        </w:rPr>
        <w:t xml:space="preserve">Payments were not evenly distributed across companies. In five specialties, where one or two products have been marketed, one company </w:t>
      </w:r>
      <w:r>
        <w:rPr>
          <w:rFonts w:ascii="Times New Roman" w:hAnsi="Times New Roman" w:cs="Times New Roman"/>
        </w:rPr>
        <w:t>was responsible for</w:t>
      </w:r>
      <w:r w:rsidRPr="00B64EC3">
        <w:rPr>
          <w:rFonts w:ascii="Times New Roman" w:hAnsi="Times New Roman" w:cs="Times New Roman"/>
        </w:rPr>
        <w:t xml:space="preserve"> the majority of payments </w:t>
      </w:r>
      <w:r>
        <w:rPr>
          <w:rFonts w:ascii="Times New Roman" w:hAnsi="Times New Roman" w:cs="Times New Roman"/>
        </w:rPr>
        <w:t>to clinicians</w:t>
      </w:r>
      <w:r w:rsidRPr="00B64EC3">
        <w:rPr>
          <w:rFonts w:ascii="Times New Roman" w:hAnsi="Times New Roman" w:cs="Times New Roman"/>
        </w:rPr>
        <w:t xml:space="preserve">. This was the case for palliative medicine (Menarini, A$ 226,627, 88% of all payments), pain medicine (Seqirus, A$ 413,918, 86% of payments) and ophthalmology (Bayer, </w:t>
      </w:r>
      <w:r>
        <w:rPr>
          <w:rFonts w:ascii="Times New Roman" w:hAnsi="Times New Roman" w:cs="Times New Roman"/>
        </w:rPr>
        <w:t>A</w:t>
      </w:r>
      <w:r w:rsidRPr="00B64EC3">
        <w:rPr>
          <w:rFonts w:ascii="Times New Roman" w:hAnsi="Times New Roman" w:cs="Times New Roman"/>
        </w:rPr>
        <w:t xml:space="preserve">$4,856,842, 69% of payments) (Table </w:t>
      </w:r>
      <w:r>
        <w:rPr>
          <w:rFonts w:ascii="Times New Roman" w:hAnsi="Times New Roman" w:cs="Times New Roman"/>
        </w:rPr>
        <w:t>S2</w:t>
      </w:r>
      <w:r w:rsidRPr="00B64EC3">
        <w:rPr>
          <w:rFonts w:ascii="Times New Roman" w:hAnsi="Times New Roman" w:cs="Times New Roman"/>
        </w:rPr>
        <w:t xml:space="preserve">). </w:t>
      </w:r>
    </w:p>
    <w:p w14:paraId="1A1518F9" w14:textId="77777777" w:rsidR="00C02DFD" w:rsidRPr="00B64EC3" w:rsidRDefault="00C02DFD" w:rsidP="00C02DFD">
      <w:pPr>
        <w:spacing w:after="0" w:line="480" w:lineRule="auto"/>
        <w:ind w:firstLine="720"/>
        <w:rPr>
          <w:rFonts w:ascii="Times New Roman" w:hAnsi="Times New Roman" w:cs="Times New Roman"/>
          <w:b/>
          <w:bCs/>
        </w:rPr>
      </w:pPr>
      <w:r w:rsidRPr="00B64EC3">
        <w:rPr>
          <w:rFonts w:ascii="Times New Roman" w:hAnsi="Times New Roman" w:cs="Times New Roman"/>
          <w:b/>
          <w:bCs/>
        </w:rPr>
        <w:t xml:space="preserve">Table </w:t>
      </w:r>
      <w:r>
        <w:rPr>
          <w:rFonts w:ascii="Times New Roman" w:hAnsi="Times New Roman" w:cs="Times New Roman"/>
          <w:b/>
          <w:bCs/>
        </w:rPr>
        <w:t>S2</w:t>
      </w:r>
      <w:r w:rsidRPr="00B64EC3">
        <w:rPr>
          <w:rFonts w:ascii="Times New Roman" w:hAnsi="Times New Roman" w:cs="Times New Roman"/>
          <w:b/>
          <w:bCs/>
        </w:rPr>
        <w:t xml:space="preserve">: Specialties with one company making the majority of payments, top 5  </w:t>
      </w:r>
    </w:p>
    <w:tbl>
      <w:tblPr>
        <w:tblW w:w="8779" w:type="dxa"/>
        <w:tblLook w:val="04A0" w:firstRow="1" w:lastRow="0" w:firstColumn="1" w:lastColumn="0" w:noHBand="0" w:noVBand="1"/>
      </w:tblPr>
      <w:tblGrid>
        <w:gridCol w:w="2542"/>
        <w:gridCol w:w="1559"/>
        <w:gridCol w:w="1559"/>
        <w:gridCol w:w="3119"/>
      </w:tblGrid>
      <w:tr w:rsidR="00C02DFD" w:rsidRPr="00B64EC3" w14:paraId="3AD768AD" w14:textId="77777777" w:rsidTr="009340D5">
        <w:trPr>
          <w:trHeight w:val="315"/>
        </w:trPr>
        <w:tc>
          <w:tcPr>
            <w:tcW w:w="2542" w:type="dxa"/>
            <w:tcBorders>
              <w:top w:val="single" w:sz="8" w:space="0" w:color="auto"/>
              <w:left w:val="single" w:sz="8" w:space="0" w:color="auto"/>
              <w:bottom w:val="single" w:sz="8" w:space="0" w:color="auto"/>
              <w:right w:val="single" w:sz="8" w:space="0" w:color="auto"/>
            </w:tcBorders>
            <w:noWrap/>
            <w:vAlign w:val="center"/>
            <w:hideMark/>
          </w:tcPr>
          <w:p w14:paraId="366BCBBE" w14:textId="77777777" w:rsidR="00C02DFD" w:rsidRPr="00B64EC3" w:rsidRDefault="00C02DFD" w:rsidP="009340D5">
            <w:pPr>
              <w:spacing w:after="0" w:line="480" w:lineRule="auto"/>
              <w:jc w:val="center"/>
              <w:rPr>
                <w:rFonts w:ascii="Times New Roman" w:eastAsia="Times New Roman" w:hAnsi="Times New Roman" w:cs="Times New Roman"/>
                <w:b/>
                <w:bCs/>
                <w:color w:val="000000"/>
                <w:kern w:val="0"/>
                <w:lang w:eastAsia="en-AU" w:bidi="ar-SA"/>
                <w14:ligatures w14:val="none"/>
              </w:rPr>
            </w:pPr>
            <w:r w:rsidRPr="00B64EC3">
              <w:rPr>
                <w:rFonts w:ascii="Times New Roman" w:eastAsia="Times New Roman" w:hAnsi="Times New Roman" w:cs="Times New Roman"/>
                <w:b/>
                <w:bCs/>
                <w:color w:val="000000"/>
                <w:kern w:val="0"/>
                <w:lang w:eastAsia="en-AU" w:bidi="ar-SA"/>
                <w14:ligatures w14:val="none"/>
              </w:rPr>
              <w:t>Specialty</w:t>
            </w:r>
          </w:p>
        </w:tc>
        <w:tc>
          <w:tcPr>
            <w:tcW w:w="1559" w:type="dxa"/>
            <w:tcBorders>
              <w:top w:val="single" w:sz="8" w:space="0" w:color="auto"/>
              <w:left w:val="nil"/>
              <w:bottom w:val="single" w:sz="8" w:space="0" w:color="auto"/>
              <w:right w:val="single" w:sz="8" w:space="0" w:color="auto"/>
            </w:tcBorders>
            <w:noWrap/>
            <w:vAlign w:val="center"/>
            <w:hideMark/>
          </w:tcPr>
          <w:p w14:paraId="60741635" w14:textId="77777777" w:rsidR="00C02DFD" w:rsidRPr="00B64EC3" w:rsidRDefault="00C02DFD" w:rsidP="009340D5">
            <w:pPr>
              <w:spacing w:after="0" w:line="480" w:lineRule="auto"/>
              <w:jc w:val="center"/>
              <w:rPr>
                <w:rFonts w:ascii="Times New Roman" w:eastAsia="Times New Roman" w:hAnsi="Times New Roman" w:cs="Times New Roman"/>
                <w:b/>
                <w:bCs/>
                <w:color w:val="000000"/>
                <w:kern w:val="0"/>
                <w:lang w:eastAsia="en-AU" w:bidi="ar-SA"/>
                <w14:ligatures w14:val="none"/>
              </w:rPr>
            </w:pPr>
            <w:r w:rsidRPr="00B64EC3">
              <w:rPr>
                <w:rFonts w:ascii="Times New Roman" w:eastAsia="Times New Roman" w:hAnsi="Times New Roman" w:cs="Times New Roman"/>
                <w:b/>
                <w:bCs/>
                <w:color w:val="000000"/>
                <w:kern w:val="0"/>
                <w:lang w:eastAsia="en-AU" w:bidi="ar-SA"/>
                <w14:ligatures w14:val="none"/>
              </w:rPr>
              <w:t>Top company</w:t>
            </w:r>
          </w:p>
        </w:tc>
        <w:tc>
          <w:tcPr>
            <w:tcW w:w="1559" w:type="dxa"/>
            <w:tcBorders>
              <w:top w:val="single" w:sz="8" w:space="0" w:color="auto"/>
              <w:left w:val="nil"/>
              <w:bottom w:val="single" w:sz="8" w:space="0" w:color="auto"/>
              <w:right w:val="single" w:sz="8" w:space="0" w:color="auto"/>
            </w:tcBorders>
            <w:noWrap/>
            <w:vAlign w:val="center"/>
            <w:hideMark/>
          </w:tcPr>
          <w:p w14:paraId="6084D574" w14:textId="77777777" w:rsidR="00C02DFD" w:rsidRPr="00B64EC3" w:rsidRDefault="00C02DFD" w:rsidP="009340D5">
            <w:pPr>
              <w:spacing w:after="0" w:line="480" w:lineRule="auto"/>
              <w:jc w:val="center"/>
              <w:rPr>
                <w:rFonts w:ascii="Times New Roman" w:eastAsia="Times New Roman" w:hAnsi="Times New Roman" w:cs="Times New Roman"/>
                <w:b/>
                <w:bCs/>
                <w:color w:val="000000"/>
                <w:kern w:val="0"/>
                <w:lang w:eastAsia="en-AU" w:bidi="ar-SA"/>
                <w14:ligatures w14:val="none"/>
              </w:rPr>
            </w:pPr>
            <w:r w:rsidRPr="00B64EC3">
              <w:rPr>
                <w:rFonts w:ascii="Times New Roman" w:eastAsia="Times New Roman" w:hAnsi="Times New Roman" w:cs="Times New Roman"/>
                <w:b/>
                <w:bCs/>
                <w:color w:val="000000"/>
                <w:kern w:val="0"/>
                <w:lang w:eastAsia="en-AU" w:bidi="ar-SA"/>
                <w14:ligatures w14:val="none"/>
              </w:rPr>
              <w:t>Amount (A$)</w:t>
            </w:r>
          </w:p>
        </w:tc>
        <w:tc>
          <w:tcPr>
            <w:tcW w:w="3119" w:type="dxa"/>
            <w:tcBorders>
              <w:top w:val="single" w:sz="8" w:space="0" w:color="auto"/>
              <w:left w:val="nil"/>
              <w:bottom w:val="single" w:sz="8" w:space="0" w:color="auto"/>
              <w:right w:val="single" w:sz="8" w:space="0" w:color="auto"/>
            </w:tcBorders>
            <w:noWrap/>
            <w:vAlign w:val="center"/>
            <w:hideMark/>
          </w:tcPr>
          <w:p w14:paraId="62FDBA0D" w14:textId="77777777" w:rsidR="00C02DFD" w:rsidRPr="00B64EC3" w:rsidRDefault="00C02DFD" w:rsidP="009340D5">
            <w:pPr>
              <w:spacing w:after="0" w:line="480" w:lineRule="auto"/>
              <w:jc w:val="center"/>
              <w:rPr>
                <w:rFonts w:ascii="Times New Roman" w:eastAsia="Times New Roman" w:hAnsi="Times New Roman" w:cs="Times New Roman"/>
                <w:b/>
                <w:bCs/>
                <w:color w:val="000000"/>
                <w:kern w:val="0"/>
                <w:lang w:eastAsia="en-AU" w:bidi="ar-SA"/>
                <w14:ligatures w14:val="none"/>
              </w:rPr>
            </w:pPr>
            <w:r w:rsidRPr="00B64EC3">
              <w:rPr>
                <w:rFonts w:ascii="Times New Roman" w:eastAsia="Times New Roman" w:hAnsi="Times New Roman" w:cs="Times New Roman"/>
                <w:b/>
                <w:bCs/>
                <w:color w:val="000000"/>
                <w:kern w:val="0"/>
                <w:lang w:eastAsia="en-AU" w:bidi="ar-SA"/>
                <w14:ligatures w14:val="none"/>
              </w:rPr>
              <w:t>Share of specialty total (%)</w:t>
            </w:r>
          </w:p>
        </w:tc>
      </w:tr>
      <w:tr w:rsidR="00C02DFD" w:rsidRPr="00B64EC3" w14:paraId="03FD88B1" w14:textId="77777777" w:rsidTr="009340D5">
        <w:trPr>
          <w:trHeight w:val="315"/>
        </w:trPr>
        <w:tc>
          <w:tcPr>
            <w:tcW w:w="2542" w:type="dxa"/>
            <w:tcBorders>
              <w:top w:val="nil"/>
              <w:left w:val="single" w:sz="8" w:space="0" w:color="auto"/>
              <w:bottom w:val="single" w:sz="8" w:space="0" w:color="auto"/>
              <w:right w:val="single" w:sz="8" w:space="0" w:color="auto"/>
            </w:tcBorders>
            <w:noWrap/>
            <w:vAlign w:val="center"/>
            <w:hideMark/>
          </w:tcPr>
          <w:p w14:paraId="74D79A86"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 xml:space="preserve">Palliative </w:t>
            </w:r>
            <w:r>
              <w:rPr>
                <w:rFonts w:ascii="Times New Roman" w:eastAsia="Times New Roman" w:hAnsi="Times New Roman" w:cs="Times New Roman"/>
                <w:color w:val="000000"/>
                <w:kern w:val="0"/>
                <w:lang w:eastAsia="en-AU" w:bidi="ar-SA"/>
                <w14:ligatures w14:val="none"/>
              </w:rPr>
              <w:t>m</w:t>
            </w:r>
            <w:r w:rsidRPr="00B64EC3">
              <w:rPr>
                <w:rFonts w:ascii="Times New Roman" w:eastAsia="Times New Roman" w:hAnsi="Times New Roman" w:cs="Times New Roman"/>
                <w:color w:val="000000"/>
                <w:kern w:val="0"/>
                <w:lang w:eastAsia="en-AU" w:bidi="ar-SA"/>
                <w14:ligatures w14:val="none"/>
              </w:rPr>
              <w:t>edicine</w:t>
            </w:r>
          </w:p>
        </w:tc>
        <w:tc>
          <w:tcPr>
            <w:tcW w:w="1559" w:type="dxa"/>
            <w:tcBorders>
              <w:top w:val="nil"/>
              <w:left w:val="nil"/>
              <w:bottom w:val="single" w:sz="8" w:space="0" w:color="auto"/>
              <w:right w:val="single" w:sz="8" w:space="0" w:color="auto"/>
            </w:tcBorders>
            <w:noWrap/>
            <w:vAlign w:val="center"/>
            <w:hideMark/>
          </w:tcPr>
          <w:p w14:paraId="0E4FF32E"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Menarini</w:t>
            </w:r>
          </w:p>
        </w:tc>
        <w:tc>
          <w:tcPr>
            <w:tcW w:w="1559" w:type="dxa"/>
            <w:tcBorders>
              <w:top w:val="nil"/>
              <w:left w:val="nil"/>
              <w:bottom w:val="single" w:sz="8" w:space="0" w:color="auto"/>
              <w:right w:val="single" w:sz="8" w:space="0" w:color="auto"/>
            </w:tcBorders>
            <w:noWrap/>
            <w:vAlign w:val="center"/>
            <w:hideMark/>
          </w:tcPr>
          <w:p w14:paraId="2C30DFCA"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226,627</w:t>
            </w:r>
          </w:p>
        </w:tc>
        <w:tc>
          <w:tcPr>
            <w:tcW w:w="3119" w:type="dxa"/>
            <w:tcBorders>
              <w:top w:val="nil"/>
              <w:left w:val="nil"/>
              <w:bottom w:val="single" w:sz="8" w:space="0" w:color="auto"/>
              <w:right w:val="single" w:sz="8" w:space="0" w:color="auto"/>
            </w:tcBorders>
            <w:noWrap/>
            <w:vAlign w:val="center"/>
            <w:hideMark/>
          </w:tcPr>
          <w:p w14:paraId="6A060513"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88</w:t>
            </w:r>
          </w:p>
        </w:tc>
      </w:tr>
      <w:tr w:rsidR="00C02DFD" w:rsidRPr="00B64EC3" w14:paraId="2F4FB3BB" w14:textId="77777777" w:rsidTr="009340D5">
        <w:trPr>
          <w:trHeight w:val="315"/>
        </w:trPr>
        <w:tc>
          <w:tcPr>
            <w:tcW w:w="2542" w:type="dxa"/>
            <w:tcBorders>
              <w:top w:val="nil"/>
              <w:left w:val="single" w:sz="8" w:space="0" w:color="auto"/>
              <w:bottom w:val="single" w:sz="8" w:space="0" w:color="auto"/>
              <w:right w:val="single" w:sz="8" w:space="0" w:color="auto"/>
            </w:tcBorders>
            <w:noWrap/>
            <w:vAlign w:val="center"/>
            <w:hideMark/>
          </w:tcPr>
          <w:p w14:paraId="30719929"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 xml:space="preserve">Pain </w:t>
            </w:r>
            <w:r>
              <w:rPr>
                <w:rFonts w:ascii="Times New Roman" w:eastAsia="Times New Roman" w:hAnsi="Times New Roman" w:cs="Times New Roman"/>
                <w:color w:val="000000"/>
                <w:kern w:val="0"/>
                <w:lang w:eastAsia="en-AU" w:bidi="ar-SA"/>
                <w14:ligatures w14:val="none"/>
              </w:rPr>
              <w:t>m</w:t>
            </w:r>
            <w:r w:rsidRPr="00B64EC3">
              <w:rPr>
                <w:rFonts w:ascii="Times New Roman" w:eastAsia="Times New Roman" w:hAnsi="Times New Roman" w:cs="Times New Roman"/>
                <w:color w:val="000000"/>
                <w:kern w:val="0"/>
                <w:lang w:eastAsia="en-AU" w:bidi="ar-SA"/>
                <w14:ligatures w14:val="none"/>
              </w:rPr>
              <w:t>edicine</w:t>
            </w:r>
          </w:p>
        </w:tc>
        <w:tc>
          <w:tcPr>
            <w:tcW w:w="1559" w:type="dxa"/>
            <w:tcBorders>
              <w:top w:val="nil"/>
              <w:left w:val="nil"/>
              <w:bottom w:val="single" w:sz="8" w:space="0" w:color="auto"/>
              <w:right w:val="single" w:sz="8" w:space="0" w:color="auto"/>
            </w:tcBorders>
            <w:noWrap/>
            <w:vAlign w:val="center"/>
            <w:hideMark/>
          </w:tcPr>
          <w:p w14:paraId="110D8FD7"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Seqirus</w:t>
            </w:r>
          </w:p>
        </w:tc>
        <w:tc>
          <w:tcPr>
            <w:tcW w:w="1559" w:type="dxa"/>
            <w:tcBorders>
              <w:top w:val="nil"/>
              <w:left w:val="nil"/>
              <w:bottom w:val="single" w:sz="8" w:space="0" w:color="auto"/>
              <w:right w:val="single" w:sz="8" w:space="0" w:color="auto"/>
            </w:tcBorders>
            <w:noWrap/>
            <w:vAlign w:val="center"/>
            <w:hideMark/>
          </w:tcPr>
          <w:p w14:paraId="5053EBB1"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413,918</w:t>
            </w:r>
          </w:p>
        </w:tc>
        <w:tc>
          <w:tcPr>
            <w:tcW w:w="3119" w:type="dxa"/>
            <w:tcBorders>
              <w:top w:val="nil"/>
              <w:left w:val="nil"/>
              <w:bottom w:val="single" w:sz="8" w:space="0" w:color="auto"/>
              <w:right w:val="single" w:sz="8" w:space="0" w:color="auto"/>
            </w:tcBorders>
            <w:noWrap/>
            <w:vAlign w:val="center"/>
            <w:hideMark/>
          </w:tcPr>
          <w:p w14:paraId="3E85D52B"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86</w:t>
            </w:r>
          </w:p>
        </w:tc>
      </w:tr>
      <w:tr w:rsidR="00C02DFD" w:rsidRPr="00B64EC3" w14:paraId="49B8A02C" w14:textId="77777777" w:rsidTr="009340D5">
        <w:trPr>
          <w:trHeight w:val="315"/>
        </w:trPr>
        <w:tc>
          <w:tcPr>
            <w:tcW w:w="2542" w:type="dxa"/>
            <w:tcBorders>
              <w:top w:val="nil"/>
              <w:left w:val="single" w:sz="8" w:space="0" w:color="auto"/>
              <w:bottom w:val="single" w:sz="8" w:space="0" w:color="auto"/>
              <w:right w:val="single" w:sz="8" w:space="0" w:color="auto"/>
            </w:tcBorders>
            <w:noWrap/>
            <w:vAlign w:val="center"/>
            <w:hideMark/>
          </w:tcPr>
          <w:p w14:paraId="1FAECFFF"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Ophthalmology</w:t>
            </w:r>
          </w:p>
        </w:tc>
        <w:tc>
          <w:tcPr>
            <w:tcW w:w="1559" w:type="dxa"/>
            <w:tcBorders>
              <w:top w:val="nil"/>
              <w:left w:val="nil"/>
              <w:bottom w:val="single" w:sz="8" w:space="0" w:color="auto"/>
              <w:right w:val="single" w:sz="8" w:space="0" w:color="auto"/>
            </w:tcBorders>
            <w:noWrap/>
            <w:vAlign w:val="center"/>
            <w:hideMark/>
          </w:tcPr>
          <w:p w14:paraId="106E32EB"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Bayer</w:t>
            </w:r>
          </w:p>
        </w:tc>
        <w:tc>
          <w:tcPr>
            <w:tcW w:w="1559" w:type="dxa"/>
            <w:tcBorders>
              <w:top w:val="nil"/>
              <w:left w:val="nil"/>
              <w:bottom w:val="single" w:sz="8" w:space="0" w:color="auto"/>
              <w:right w:val="single" w:sz="8" w:space="0" w:color="auto"/>
            </w:tcBorders>
            <w:noWrap/>
            <w:vAlign w:val="center"/>
            <w:hideMark/>
          </w:tcPr>
          <w:p w14:paraId="6EA42D92"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4,856,842</w:t>
            </w:r>
          </w:p>
        </w:tc>
        <w:tc>
          <w:tcPr>
            <w:tcW w:w="3119" w:type="dxa"/>
            <w:tcBorders>
              <w:top w:val="nil"/>
              <w:left w:val="nil"/>
              <w:bottom w:val="single" w:sz="8" w:space="0" w:color="auto"/>
              <w:right w:val="single" w:sz="8" w:space="0" w:color="auto"/>
            </w:tcBorders>
            <w:noWrap/>
            <w:vAlign w:val="center"/>
            <w:hideMark/>
          </w:tcPr>
          <w:p w14:paraId="2B752FD4"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69</w:t>
            </w:r>
          </w:p>
        </w:tc>
      </w:tr>
      <w:tr w:rsidR="00C02DFD" w:rsidRPr="00B64EC3" w14:paraId="7F89C2D4" w14:textId="77777777" w:rsidTr="009340D5">
        <w:trPr>
          <w:trHeight w:val="315"/>
        </w:trPr>
        <w:tc>
          <w:tcPr>
            <w:tcW w:w="2542" w:type="dxa"/>
            <w:tcBorders>
              <w:top w:val="nil"/>
              <w:left w:val="single" w:sz="8" w:space="0" w:color="auto"/>
              <w:bottom w:val="single" w:sz="8" w:space="0" w:color="auto"/>
              <w:right w:val="single" w:sz="8" w:space="0" w:color="auto"/>
            </w:tcBorders>
            <w:noWrap/>
            <w:vAlign w:val="center"/>
            <w:hideMark/>
          </w:tcPr>
          <w:p w14:paraId="4AE58EC0"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 xml:space="preserve">Sexual </w:t>
            </w:r>
            <w:r>
              <w:rPr>
                <w:rFonts w:ascii="Times New Roman" w:eastAsia="Times New Roman" w:hAnsi="Times New Roman" w:cs="Times New Roman"/>
                <w:color w:val="000000"/>
                <w:kern w:val="0"/>
                <w:lang w:eastAsia="en-AU" w:bidi="ar-SA"/>
                <w14:ligatures w14:val="none"/>
              </w:rPr>
              <w:t>h</w:t>
            </w:r>
            <w:r w:rsidRPr="00B64EC3">
              <w:rPr>
                <w:rFonts w:ascii="Times New Roman" w:eastAsia="Times New Roman" w:hAnsi="Times New Roman" w:cs="Times New Roman"/>
                <w:color w:val="000000"/>
                <w:kern w:val="0"/>
                <w:lang w:eastAsia="en-AU" w:bidi="ar-SA"/>
                <w14:ligatures w14:val="none"/>
              </w:rPr>
              <w:t xml:space="preserve">ealth </w:t>
            </w:r>
            <w:r>
              <w:rPr>
                <w:rFonts w:ascii="Times New Roman" w:eastAsia="Times New Roman" w:hAnsi="Times New Roman" w:cs="Times New Roman"/>
                <w:color w:val="000000"/>
                <w:kern w:val="0"/>
                <w:lang w:eastAsia="en-AU" w:bidi="ar-SA"/>
                <w14:ligatures w14:val="none"/>
              </w:rPr>
              <w:t>m</w:t>
            </w:r>
            <w:r w:rsidRPr="00B64EC3">
              <w:rPr>
                <w:rFonts w:ascii="Times New Roman" w:eastAsia="Times New Roman" w:hAnsi="Times New Roman" w:cs="Times New Roman"/>
                <w:color w:val="000000"/>
                <w:kern w:val="0"/>
                <w:lang w:eastAsia="en-AU" w:bidi="ar-SA"/>
                <w14:ligatures w14:val="none"/>
              </w:rPr>
              <w:t>edicine</w:t>
            </w:r>
          </w:p>
        </w:tc>
        <w:tc>
          <w:tcPr>
            <w:tcW w:w="1559" w:type="dxa"/>
            <w:tcBorders>
              <w:top w:val="nil"/>
              <w:left w:val="nil"/>
              <w:bottom w:val="single" w:sz="8" w:space="0" w:color="auto"/>
              <w:right w:val="single" w:sz="8" w:space="0" w:color="auto"/>
            </w:tcBorders>
            <w:noWrap/>
            <w:vAlign w:val="center"/>
            <w:hideMark/>
          </w:tcPr>
          <w:p w14:paraId="63A242A0"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Gilead Sciences</w:t>
            </w:r>
          </w:p>
        </w:tc>
        <w:tc>
          <w:tcPr>
            <w:tcW w:w="1559" w:type="dxa"/>
            <w:tcBorders>
              <w:top w:val="nil"/>
              <w:left w:val="nil"/>
              <w:bottom w:val="single" w:sz="8" w:space="0" w:color="auto"/>
              <w:right w:val="single" w:sz="8" w:space="0" w:color="auto"/>
            </w:tcBorders>
            <w:noWrap/>
            <w:vAlign w:val="center"/>
            <w:hideMark/>
          </w:tcPr>
          <w:p w14:paraId="62E2DD06"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7</w:t>
            </w:r>
            <w:r>
              <w:rPr>
                <w:rFonts w:ascii="Times New Roman" w:eastAsia="Times New Roman" w:hAnsi="Times New Roman" w:cs="Times New Roman"/>
                <w:color w:val="000000"/>
                <w:kern w:val="0"/>
                <w:lang w:eastAsia="en-AU" w:bidi="ar-SA"/>
                <w14:ligatures w14:val="none"/>
              </w:rPr>
              <w:t>33,948</w:t>
            </w:r>
          </w:p>
        </w:tc>
        <w:tc>
          <w:tcPr>
            <w:tcW w:w="3119" w:type="dxa"/>
            <w:tcBorders>
              <w:top w:val="nil"/>
              <w:left w:val="nil"/>
              <w:bottom w:val="single" w:sz="8" w:space="0" w:color="auto"/>
              <w:right w:val="single" w:sz="8" w:space="0" w:color="auto"/>
            </w:tcBorders>
            <w:noWrap/>
            <w:vAlign w:val="center"/>
            <w:hideMark/>
          </w:tcPr>
          <w:p w14:paraId="34461469"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69</w:t>
            </w:r>
          </w:p>
        </w:tc>
      </w:tr>
      <w:tr w:rsidR="00C02DFD" w:rsidRPr="00B64EC3" w14:paraId="71356169" w14:textId="77777777" w:rsidTr="009340D5">
        <w:trPr>
          <w:trHeight w:val="315"/>
        </w:trPr>
        <w:tc>
          <w:tcPr>
            <w:tcW w:w="2542" w:type="dxa"/>
            <w:tcBorders>
              <w:top w:val="nil"/>
              <w:left w:val="single" w:sz="8" w:space="0" w:color="auto"/>
              <w:bottom w:val="single" w:sz="8" w:space="0" w:color="auto"/>
              <w:right w:val="single" w:sz="8" w:space="0" w:color="auto"/>
            </w:tcBorders>
            <w:noWrap/>
            <w:vAlign w:val="center"/>
            <w:hideMark/>
          </w:tcPr>
          <w:p w14:paraId="6304322E"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 xml:space="preserve">Paediatric </w:t>
            </w:r>
            <w:r>
              <w:rPr>
                <w:rFonts w:ascii="Times New Roman" w:eastAsia="Times New Roman" w:hAnsi="Times New Roman" w:cs="Times New Roman"/>
                <w:color w:val="000000"/>
                <w:kern w:val="0"/>
                <w:lang w:eastAsia="en-AU" w:bidi="ar-SA"/>
                <w14:ligatures w14:val="none"/>
              </w:rPr>
              <w:t>r</w:t>
            </w:r>
            <w:r w:rsidRPr="00B64EC3">
              <w:rPr>
                <w:rFonts w:ascii="Times New Roman" w:eastAsia="Times New Roman" w:hAnsi="Times New Roman" w:cs="Times New Roman"/>
                <w:color w:val="000000"/>
                <w:kern w:val="0"/>
                <w:lang w:eastAsia="en-AU" w:bidi="ar-SA"/>
                <w14:ligatures w14:val="none"/>
              </w:rPr>
              <w:t xml:space="preserve">espiratory and </w:t>
            </w:r>
            <w:r>
              <w:rPr>
                <w:rFonts w:ascii="Times New Roman" w:eastAsia="Times New Roman" w:hAnsi="Times New Roman" w:cs="Times New Roman"/>
                <w:color w:val="000000"/>
                <w:kern w:val="0"/>
                <w:lang w:eastAsia="en-AU" w:bidi="ar-SA"/>
                <w14:ligatures w14:val="none"/>
              </w:rPr>
              <w:t>s</w:t>
            </w:r>
            <w:r w:rsidRPr="00B64EC3">
              <w:rPr>
                <w:rFonts w:ascii="Times New Roman" w:eastAsia="Times New Roman" w:hAnsi="Times New Roman" w:cs="Times New Roman"/>
                <w:color w:val="000000"/>
                <w:kern w:val="0"/>
                <w:lang w:eastAsia="en-AU" w:bidi="ar-SA"/>
                <w14:ligatures w14:val="none"/>
              </w:rPr>
              <w:t xml:space="preserve">leep </w:t>
            </w:r>
            <w:r>
              <w:rPr>
                <w:rFonts w:ascii="Times New Roman" w:eastAsia="Times New Roman" w:hAnsi="Times New Roman" w:cs="Times New Roman"/>
                <w:color w:val="000000"/>
                <w:kern w:val="0"/>
                <w:lang w:eastAsia="en-AU" w:bidi="ar-SA"/>
                <w14:ligatures w14:val="none"/>
              </w:rPr>
              <w:t>m</w:t>
            </w:r>
            <w:r w:rsidRPr="00B64EC3">
              <w:rPr>
                <w:rFonts w:ascii="Times New Roman" w:eastAsia="Times New Roman" w:hAnsi="Times New Roman" w:cs="Times New Roman"/>
                <w:color w:val="000000"/>
                <w:kern w:val="0"/>
                <w:lang w:eastAsia="en-AU" w:bidi="ar-SA"/>
                <w14:ligatures w14:val="none"/>
              </w:rPr>
              <w:t>edicine</w:t>
            </w:r>
          </w:p>
        </w:tc>
        <w:tc>
          <w:tcPr>
            <w:tcW w:w="1559" w:type="dxa"/>
            <w:tcBorders>
              <w:top w:val="nil"/>
              <w:left w:val="nil"/>
              <w:bottom w:val="single" w:sz="8" w:space="0" w:color="auto"/>
              <w:right w:val="single" w:sz="8" w:space="0" w:color="auto"/>
            </w:tcBorders>
            <w:noWrap/>
            <w:vAlign w:val="center"/>
            <w:hideMark/>
          </w:tcPr>
          <w:p w14:paraId="3305EF98"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Vertex</w:t>
            </w:r>
          </w:p>
        </w:tc>
        <w:tc>
          <w:tcPr>
            <w:tcW w:w="1559" w:type="dxa"/>
            <w:tcBorders>
              <w:top w:val="nil"/>
              <w:left w:val="nil"/>
              <w:bottom w:val="single" w:sz="8" w:space="0" w:color="auto"/>
              <w:right w:val="single" w:sz="8" w:space="0" w:color="auto"/>
            </w:tcBorders>
            <w:noWrap/>
            <w:vAlign w:val="center"/>
            <w:hideMark/>
          </w:tcPr>
          <w:p w14:paraId="05C56EBE"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149,527</w:t>
            </w:r>
          </w:p>
        </w:tc>
        <w:tc>
          <w:tcPr>
            <w:tcW w:w="3119" w:type="dxa"/>
            <w:tcBorders>
              <w:top w:val="nil"/>
              <w:left w:val="nil"/>
              <w:bottom w:val="single" w:sz="8" w:space="0" w:color="auto"/>
              <w:right w:val="single" w:sz="8" w:space="0" w:color="auto"/>
            </w:tcBorders>
            <w:noWrap/>
            <w:vAlign w:val="center"/>
            <w:hideMark/>
          </w:tcPr>
          <w:p w14:paraId="02361E4F" w14:textId="77777777" w:rsidR="00C02DFD" w:rsidRPr="00B64EC3"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B64EC3">
              <w:rPr>
                <w:rFonts w:ascii="Times New Roman" w:eastAsia="Times New Roman" w:hAnsi="Times New Roman" w:cs="Times New Roman"/>
                <w:color w:val="000000"/>
                <w:kern w:val="0"/>
                <w:lang w:eastAsia="en-AU" w:bidi="ar-SA"/>
                <w14:ligatures w14:val="none"/>
              </w:rPr>
              <w:t>65</w:t>
            </w:r>
          </w:p>
        </w:tc>
      </w:tr>
    </w:tbl>
    <w:p w14:paraId="27E6F980" w14:textId="77777777" w:rsidR="00C02DFD" w:rsidRPr="00B64EC3" w:rsidRDefault="00C02DFD" w:rsidP="00C02DFD">
      <w:pPr>
        <w:spacing w:after="0" w:line="480" w:lineRule="auto"/>
        <w:ind w:firstLine="720"/>
        <w:rPr>
          <w:rFonts w:ascii="Times New Roman" w:hAnsi="Times New Roman" w:cs="Times New Roman"/>
        </w:rPr>
      </w:pPr>
    </w:p>
    <w:p w14:paraId="62FE73BF" w14:textId="57EF4DD5" w:rsidR="00C02DFD" w:rsidRDefault="00C02DFD" w:rsidP="00C02DFD">
      <w:pPr>
        <w:spacing w:after="0" w:line="480" w:lineRule="auto"/>
        <w:ind w:firstLine="720"/>
        <w:rPr>
          <w:rFonts w:ascii="Times New Roman" w:hAnsi="Times New Roman" w:cs="Times New Roman"/>
        </w:rPr>
      </w:pPr>
      <w:r w:rsidRPr="00B64EC3">
        <w:rPr>
          <w:rFonts w:ascii="Times New Roman" w:hAnsi="Times New Roman" w:cs="Times New Roman"/>
        </w:rPr>
        <w:t xml:space="preserve">The dominance of individual companies in certain specialties </w:t>
      </w:r>
      <w:r>
        <w:rPr>
          <w:rFonts w:ascii="Times New Roman" w:hAnsi="Times New Roman" w:cs="Times New Roman"/>
        </w:rPr>
        <w:t xml:space="preserve">is consistent with </w:t>
      </w:r>
      <w:r w:rsidRPr="00B64EC3">
        <w:rPr>
          <w:rFonts w:ascii="Times New Roman" w:hAnsi="Times New Roman" w:cs="Times New Roman"/>
        </w:rPr>
        <w:t xml:space="preserve">product portfolios in niche areas. For instance, Menarini’s analgesic products likely explain its 88% share in palliative medicine. Seqirus’s role in distributing the opioid analgesic </w:t>
      </w:r>
      <w:proofErr w:type="spellStart"/>
      <w:r w:rsidRPr="00B64EC3">
        <w:rPr>
          <w:rFonts w:ascii="Times New Roman" w:hAnsi="Times New Roman" w:cs="Times New Roman"/>
        </w:rPr>
        <w:t>tapentadol</w:t>
      </w:r>
      <w:proofErr w:type="spellEnd"/>
      <w:r w:rsidRPr="00B64EC3">
        <w:rPr>
          <w:rFonts w:ascii="Times New Roman" w:hAnsi="Times New Roman" w:cs="Times New Roman"/>
        </w:rPr>
        <w:t xml:space="preserve"> (</w:t>
      </w:r>
      <w:proofErr w:type="spellStart"/>
      <w:r w:rsidRPr="00B64EC3">
        <w:rPr>
          <w:rFonts w:ascii="Times New Roman" w:hAnsi="Times New Roman" w:cs="Times New Roman"/>
        </w:rPr>
        <w:t>Palexia</w:t>
      </w:r>
      <w:proofErr w:type="spellEnd"/>
      <w:r w:rsidRPr="00B64EC3">
        <w:rPr>
          <w:rFonts w:ascii="Times New Roman" w:hAnsi="Times New Roman" w:cs="Times New Roman"/>
        </w:rPr>
        <w:t>) may account for its 86% share in pain medicine. Bayer’s anti-VEGF agent</w:t>
      </w:r>
      <w:r w:rsidR="006605E0">
        <w:rPr>
          <w:rFonts w:ascii="Times New Roman" w:hAnsi="Times New Roman" w:cs="Times New Roman"/>
        </w:rPr>
        <w:t xml:space="preserve"> aflibercept (</w:t>
      </w:r>
      <w:r w:rsidRPr="00B64EC3">
        <w:rPr>
          <w:rFonts w:ascii="Times New Roman" w:hAnsi="Times New Roman" w:cs="Times New Roman"/>
        </w:rPr>
        <w:t>Eylea</w:t>
      </w:r>
      <w:r w:rsidR="006605E0">
        <w:rPr>
          <w:rFonts w:ascii="Times New Roman" w:hAnsi="Times New Roman" w:cs="Times New Roman"/>
        </w:rPr>
        <w:t xml:space="preserve">) </w:t>
      </w:r>
      <w:r w:rsidRPr="00B64EC3">
        <w:rPr>
          <w:rFonts w:ascii="Times New Roman" w:hAnsi="Times New Roman" w:cs="Times New Roman"/>
        </w:rPr>
        <w:t>may underpin its 69% share in ophthalmology. Gilead’s HIV products</w:t>
      </w:r>
      <w:r>
        <w:rPr>
          <w:rFonts w:ascii="Times New Roman" w:hAnsi="Times New Roman" w:cs="Times New Roman"/>
        </w:rPr>
        <w:t xml:space="preserve"> may explain</w:t>
      </w:r>
      <w:r w:rsidRPr="00B64EC3">
        <w:rPr>
          <w:rFonts w:ascii="Times New Roman" w:hAnsi="Times New Roman" w:cs="Times New Roman"/>
        </w:rPr>
        <w:t xml:space="preserve"> its dominance in sexual health (69%), while Vertex’s cystic fibrosis CFTR modulators </w:t>
      </w:r>
      <w:r>
        <w:rPr>
          <w:rFonts w:ascii="Times New Roman" w:hAnsi="Times New Roman" w:cs="Times New Roman"/>
        </w:rPr>
        <w:t xml:space="preserve">could </w:t>
      </w:r>
      <w:r w:rsidRPr="00B64EC3">
        <w:rPr>
          <w:rFonts w:ascii="Times New Roman" w:hAnsi="Times New Roman" w:cs="Times New Roman"/>
        </w:rPr>
        <w:t>explain its 65% share in paediatric respiratory and sleep medicine.</w:t>
      </w:r>
    </w:p>
    <w:p w14:paraId="56AB54D4" w14:textId="77777777" w:rsidR="00C02DFD" w:rsidRPr="004869C1" w:rsidRDefault="00C02DFD" w:rsidP="00C02DFD">
      <w:pPr>
        <w:spacing w:after="0" w:line="480" w:lineRule="auto"/>
        <w:ind w:firstLine="720"/>
        <w:rPr>
          <w:rFonts w:ascii="Times New Roman" w:hAnsi="Times New Roman" w:cs="Times New Roman"/>
          <w:b/>
          <w:bCs/>
        </w:rPr>
      </w:pPr>
      <w:r>
        <w:rPr>
          <w:rFonts w:ascii="Times New Roman" w:hAnsi="Times New Roman" w:cs="Times New Roman"/>
          <w:b/>
          <w:bCs/>
        </w:rPr>
        <w:t xml:space="preserve">Specialty reach </w:t>
      </w:r>
    </w:p>
    <w:p w14:paraId="05E23F2E" w14:textId="77777777" w:rsidR="00C02DFD" w:rsidRPr="00B64EC3" w:rsidRDefault="00C02DFD" w:rsidP="00C02DFD">
      <w:pPr>
        <w:spacing w:after="0" w:line="480" w:lineRule="auto"/>
        <w:ind w:firstLine="720"/>
        <w:rPr>
          <w:rFonts w:ascii="Times New Roman" w:hAnsi="Times New Roman" w:cs="Times New Roman"/>
        </w:rPr>
      </w:pPr>
      <w:r>
        <w:rPr>
          <w:rFonts w:ascii="Times New Roman" w:hAnsi="Times New Roman" w:cs="Times New Roman"/>
        </w:rPr>
        <w:t xml:space="preserve">Figure 3 in the main manuscript was </w:t>
      </w:r>
      <w:r w:rsidRPr="00B64EC3">
        <w:rPr>
          <w:rFonts w:ascii="Times New Roman" w:hAnsi="Times New Roman" w:cs="Times New Roman"/>
        </w:rPr>
        <w:t xml:space="preserve">restricted to specialties with at least 150 fellows. </w:t>
      </w:r>
      <w:r>
        <w:rPr>
          <w:rFonts w:ascii="Times New Roman" w:hAnsi="Times New Roman" w:cs="Times New Roman"/>
        </w:rPr>
        <w:t xml:space="preserve">Table S3 presents the unrestricted analysis. This </w:t>
      </w:r>
      <w:r w:rsidRPr="00B64EC3">
        <w:rPr>
          <w:rFonts w:ascii="Times New Roman" w:hAnsi="Times New Roman" w:cs="Times New Roman"/>
        </w:rPr>
        <w:t xml:space="preserve">table should be interpreted with caution as </w:t>
      </w:r>
      <w:r>
        <w:rPr>
          <w:rFonts w:ascii="Times New Roman" w:hAnsi="Times New Roman" w:cs="Times New Roman"/>
        </w:rPr>
        <w:t xml:space="preserve">proportions may be spuriously elevated due to the presence of minor misclassification errors (accentuated by small denominators). </w:t>
      </w:r>
    </w:p>
    <w:p w14:paraId="539E8C58" w14:textId="77777777" w:rsidR="00C02DFD" w:rsidRPr="00B64EC3" w:rsidRDefault="00C02DFD" w:rsidP="00C02DFD">
      <w:pPr>
        <w:spacing w:after="0" w:line="480" w:lineRule="auto"/>
        <w:ind w:firstLine="720"/>
        <w:rPr>
          <w:rFonts w:ascii="Times New Roman" w:hAnsi="Times New Roman" w:cs="Times New Roman"/>
          <w:b/>
          <w:bCs/>
        </w:rPr>
      </w:pPr>
      <w:r w:rsidRPr="00B64EC3">
        <w:rPr>
          <w:rFonts w:ascii="Times New Roman" w:hAnsi="Times New Roman" w:cs="Times New Roman"/>
          <w:b/>
          <w:bCs/>
        </w:rPr>
        <w:t xml:space="preserve">Table </w:t>
      </w:r>
      <w:r>
        <w:rPr>
          <w:rFonts w:ascii="Times New Roman" w:hAnsi="Times New Roman" w:cs="Times New Roman"/>
          <w:b/>
          <w:bCs/>
        </w:rPr>
        <w:t>S3</w:t>
      </w:r>
      <w:r w:rsidRPr="00B64EC3">
        <w:rPr>
          <w:rFonts w:ascii="Times New Roman" w:hAnsi="Times New Roman" w:cs="Times New Roman"/>
          <w:b/>
          <w:bCs/>
        </w:rPr>
        <w:t xml:space="preserve">: Specialty reach, ranked by proportion of specialists in each field who received at least one payment between Oct 2015 to Oct 2024 (unrestricted), top 10 </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7"/>
        <w:gridCol w:w="1158"/>
        <w:gridCol w:w="1097"/>
        <w:gridCol w:w="2051"/>
        <w:gridCol w:w="1701"/>
      </w:tblGrid>
      <w:tr w:rsidR="00C02DFD" w:rsidRPr="00B64EC3" w14:paraId="622A5D31" w14:textId="77777777" w:rsidTr="009340D5">
        <w:trPr>
          <w:trHeight w:val="300"/>
        </w:trPr>
        <w:tc>
          <w:tcPr>
            <w:tcW w:w="2777" w:type="dxa"/>
            <w:noWrap/>
            <w:vAlign w:val="bottom"/>
            <w:hideMark/>
          </w:tcPr>
          <w:p w14:paraId="047AF47F" w14:textId="77777777" w:rsidR="00C02DFD" w:rsidRPr="00B64EC3" w:rsidRDefault="00C02DFD" w:rsidP="009340D5">
            <w:pPr>
              <w:spacing w:after="0" w:line="480" w:lineRule="auto"/>
              <w:jc w:val="center"/>
              <w:rPr>
                <w:rFonts w:ascii="Times New Roman" w:eastAsia="Times New Roman" w:hAnsi="Times New Roman" w:cs="Times New Roman"/>
                <w:b/>
                <w:bCs/>
                <w:color w:val="000000"/>
                <w:kern w:val="0"/>
                <w:lang w:eastAsia="en-AU" w:bidi="ar-SA"/>
                <w14:ligatures w14:val="none"/>
              </w:rPr>
            </w:pPr>
            <w:r w:rsidRPr="00B64EC3">
              <w:rPr>
                <w:rFonts w:ascii="Times New Roman" w:eastAsia="Times New Roman" w:hAnsi="Times New Roman" w:cs="Times New Roman"/>
                <w:b/>
                <w:bCs/>
                <w:color w:val="000000"/>
                <w:kern w:val="0"/>
                <w:lang w:eastAsia="en-AU" w:bidi="ar-SA"/>
                <w14:ligatures w14:val="none"/>
              </w:rPr>
              <w:t>Specialty</w:t>
            </w:r>
          </w:p>
        </w:tc>
        <w:tc>
          <w:tcPr>
            <w:tcW w:w="1158" w:type="dxa"/>
            <w:noWrap/>
            <w:vAlign w:val="bottom"/>
            <w:hideMark/>
          </w:tcPr>
          <w:p w14:paraId="7C026E85" w14:textId="77777777" w:rsidR="00C02DFD" w:rsidRPr="00B64EC3" w:rsidRDefault="00C02DFD" w:rsidP="009340D5">
            <w:pPr>
              <w:spacing w:after="0" w:line="480" w:lineRule="auto"/>
              <w:jc w:val="center"/>
              <w:rPr>
                <w:rFonts w:ascii="Times New Roman" w:eastAsia="Times New Roman" w:hAnsi="Times New Roman" w:cs="Times New Roman"/>
                <w:b/>
                <w:bCs/>
                <w:color w:val="000000"/>
                <w:kern w:val="0"/>
                <w:lang w:eastAsia="en-AU" w:bidi="ar-SA"/>
                <w14:ligatures w14:val="none"/>
              </w:rPr>
            </w:pPr>
            <w:r w:rsidRPr="00B64EC3">
              <w:rPr>
                <w:rFonts w:ascii="Times New Roman" w:eastAsia="Times New Roman" w:hAnsi="Times New Roman" w:cs="Times New Roman"/>
                <w:b/>
                <w:bCs/>
                <w:color w:val="000000"/>
                <w:kern w:val="0"/>
                <w:lang w:eastAsia="en-AU" w:bidi="ar-SA"/>
                <w14:ligatures w14:val="none"/>
              </w:rPr>
              <w:t>Clinicians paid</w:t>
            </w:r>
          </w:p>
        </w:tc>
        <w:tc>
          <w:tcPr>
            <w:tcW w:w="1097" w:type="dxa"/>
            <w:noWrap/>
            <w:vAlign w:val="bottom"/>
            <w:hideMark/>
          </w:tcPr>
          <w:p w14:paraId="0456E1FA" w14:textId="77777777" w:rsidR="00C02DFD" w:rsidRPr="00B64EC3" w:rsidRDefault="00C02DFD" w:rsidP="009340D5">
            <w:pPr>
              <w:spacing w:after="0" w:line="480" w:lineRule="auto"/>
              <w:jc w:val="center"/>
              <w:rPr>
                <w:rFonts w:ascii="Times New Roman" w:eastAsia="Times New Roman" w:hAnsi="Times New Roman" w:cs="Times New Roman"/>
                <w:b/>
                <w:bCs/>
                <w:color w:val="000000"/>
                <w:kern w:val="0"/>
                <w:lang w:eastAsia="en-AU" w:bidi="ar-SA"/>
                <w14:ligatures w14:val="none"/>
              </w:rPr>
            </w:pPr>
            <w:r w:rsidRPr="00B64EC3">
              <w:rPr>
                <w:rFonts w:ascii="Times New Roman" w:eastAsia="Times New Roman" w:hAnsi="Times New Roman" w:cs="Times New Roman"/>
                <w:b/>
                <w:bCs/>
                <w:color w:val="000000"/>
                <w:kern w:val="0"/>
                <w:lang w:eastAsia="en-AU" w:bidi="ar-SA"/>
                <w14:ligatures w14:val="none"/>
              </w:rPr>
              <w:t>Total clinicians</w:t>
            </w:r>
          </w:p>
        </w:tc>
        <w:tc>
          <w:tcPr>
            <w:tcW w:w="2051" w:type="dxa"/>
            <w:noWrap/>
            <w:vAlign w:val="bottom"/>
            <w:hideMark/>
          </w:tcPr>
          <w:p w14:paraId="1427D877" w14:textId="77777777" w:rsidR="00C02DFD" w:rsidRPr="00B64EC3" w:rsidRDefault="00C02DFD" w:rsidP="009340D5">
            <w:pPr>
              <w:spacing w:after="0" w:line="480" w:lineRule="auto"/>
              <w:jc w:val="center"/>
              <w:rPr>
                <w:rFonts w:ascii="Times New Roman" w:eastAsia="Times New Roman" w:hAnsi="Times New Roman" w:cs="Times New Roman"/>
                <w:b/>
                <w:bCs/>
                <w:color w:val="000000"/>
                <w:kern w:val="0"/>
                <w:lang w:eastAsia="en-AU" w:bidi="ar-SA"/>
                <w14:ligatures w14:val="none"/>
              </w:rPr>
            </w:pPr>
            <w:r w:rsidRPr="00B64EC3">
              <w:rPr>
                <w:rFonts w:ascii="Times New Roman" w:eastAsia="Times New Roman" w:hAnsi="Times New Roman" w:cs="Times New Roman"/>
                <w:b/>
                <w:bCs/>
                <w:color w:val="000000"/>
                <w:kern w:val="0"/>
                <w:lang w:eastAsia="en-AU" w:bidi="ar-SA"/>
                <w14:ligatures w14:val="none"/>
              </w:rPr>
              <w:t>Proportion (95% CI)</w:t>
            </w:r>
          </w:p>
        </w:tc>
        <w:tc>
          <w:tcPr>
            <w:tcW w:w="1701" w:type="dxa"/>
            <w:noWrap/>
            <w:vAlign w:val="bottom"/>
            <w:hideMark/>
          </w:tcPr>
          <w:p w14:paraId="57A7F9E3" w14:textId="77777777" w:rsidR="00C02DFD" w:rsidRPr="00B64EC3" w:rsidRDefault="00C02DFD" w:rsidP="009340D5">
            <w:pPr>
              <w:spacing w:after="0" w:line="480" w:lineRule="auto"/>
              <w:jc w:val="center"/>
              <w:rPr>
                <w:rFonts w:ascii="Times New Roman" w:eastAsia="Times New Roman" w:hAnsi="Times New Roman" w:cs="Times New Roman"/>
                <w:b/>
                <w:bCs/>
                <w:color w:val="000000"/>
                <w:kern w:val="0"/>
                <w:lang w:eastAsia="en-AU" w:bidi="ar-SA"/>
                <w14:ligatures w14:val="none"/>
              </w:rPr>
            </w:pPr>
            <w:r w:rsidRPr="00B64EC3">
              <w:rPr>
                <w:rFonts w:ascii="Times New Roman" w:eastAsia="Times New Roman" w:hAnsi="Times New Roman" w:cs="Times New Roman"/>
                <w:b/>
                <w:bCs/>
                <w:color w:val="000000"/>
                <w:kern w:val="0"/>
                <w:lang w:eastAsia="en-AU" w:bidi="ar-SA"/>
                <w14:ligatures w14:val="none"/>
              </w:rPr>
              <w:t>Total</w:t>
            </w:r>
            <w:r>
              <w:rPr>
                <w:rFonts w:ascii="Times New Roman" w:eastAsia="Times New Roman" w:hAnsi="Times New Roman" w:cs="Times New Roman"/>
                <w:b/>
                <w:bCs/>
                <w:color w:val="000000"/>
                <w:kern w:val="0"/>
                <w:lang w:eastAsia="en-AU" w:bidi="ar-SA"/>
                <w14:ligatures w14:val="none"/>
              </w:rPr>
              <w:t xml:space="preserve"> Payments ($A)</w:t>
            </w:r>
          </w:p>
        </w:tc>
      </w:tr>
      <w:tr w:rsidR="00C02DFD" w:rsidRPr="00B64EC3" w:rsidDel="00742A0E" w14:paraId="0BDD9F41" w14:textId="77777777" w:rsidTr="009340D5">
        <w:trPr>
          <w:trHeight w:val="300"/>
        </w:trPr>
        <w:tc>
          <w:tcPr>
            <w:tcW w:w="2777" w:type="dxa"/>
            <w:noWrap/>
            <w:vAlign w:val="bottom"/>
          </w:tcPr>
          <w:p w14:paraId="0E4617F1"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Haematology and oncology</w:t>
            </w:r>
          </w:p>
        </w:tc>
        <w:tc>
          <w:tcPr>
            <w:tcW w:w="1158" w:type="dxa"/>
            <w:noWrap/>
            <w:vAlign w:val="bottom"/>
          </w:tcPr>
          <w:p w14:paraId="321124AF"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1526</w:t>
            </w:r>
          </w:p>
        </w:tc>
        <w:tc>
          <w:tcPr>
            <w:tcW w:w="1097" w:type="dxa"/>
            <w:noWrap/>
            <w:vAlign w:val="bottom"/>
          </w:tcPr>
          <w:p w14:paraId="56B926E3"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1776</w:t>
            </w:r>
          </w:p>
        </w:tc>
        <w:tc>
          <w:tcPr>
            <w:tcW w:w="2051" w:type="dxa"/>
            <w:noWrap/>
            <w:vAlign w:val="bottom"/>
          </w:tcPr>
          <w:p w14:paraId="1815C016"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85.9% (84.2-87.5)</w:t>
            </w:r>
          </w:p>
        </w:tc>
        <w:tc>
          <w:tcPr>
            <w:tcW w:w="1701" w:type="dxa"/>
            <w:noWrap/>
            <w:vAlign w:val="bottom"/>
          </w:tcPr>
          <w:p w14:paraId="1576DBDE"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28,395,112</w:t>
            </w:r>
          </w:p>
        </w:tc>
      </w:tr>
      <w:tr w:rsidR="00C02DFD" w:rsidRPr="00B64EC3" w:rsidDel="00742A0E" w14:paraId="55F8EC1B" w14:textId="77777777" w:rsidTr="009340D5">
        <w:trPr>
          <w:trHeight w:val="300"/>
        </w:trPr>
        <w:tc>
          <w:tcPr>
            <w:tcW w:w="2777" w:type="dxa"/>
            <w:noWrap/>
            <w:vAlign w:val="bottom"/>
          </w:tcPr>
          <w:p w14:paraId="50333EA7"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Rheumatology</w:t>
            </w:r>
          </w:p>
        </w:tc>
        <w:tc>
          <w:tcPr>
            <w:tcW w:w="1158" w:type="dxa"/>
            <w:noWrap/>
            <w:vAlign w:val="bottom"/>
          </w:tcPr>
          <w:p w14:paraId="58F775CB"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398</w:t>
            </w:r>
          </w:p>
        </w:tc>
        <w:tc>
          <w:tcPr>
            <w:tcW w:w="1097" w:type="dxa"/>
            <w:noWrap/>
            <w:vAlign w:val="bottom"/>
          </w:tcPr>
          <w:p w14:paraId="286EC085"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490</w:t>
            </w:r>
          </w:p>
        </w:tc>
        <w:tc>
          <w:tcPr>
            <w:tcW w:w="2051" w:type="dxa"/>
            <w:noWrap/>
            <w:vAlign w:val="bottom"/>
          </w:tcPr>
          <w:p w14:paraId="3BDC64A4"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81.2% (77.5-84.4)</w:t>
            </w:r>
          </w:p>
        </w:tc>
        <w:tc>
          <w:tcPr>
            <w:tcW w:w="1701" w:type="dxa"/>
            <w:noWrap/>
            <w:vAlign w:val="bottom"/>
          </w:tcPr>
          <w:p w14:paraId="110DB582"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11,085,314</w:t>
            </w:r>
          </w:p>
        </w:tc>
      </w:tr>
      <w:tr w:rsidR="00C02DFD" w:rsidRPr="00B64EC3" w:rsidDel="00742A0E" w14:paraId="3884A98F" w14:textId="77777777" w:rsidTr="009340D5">
        <w:trPr>
          <w:trHeight w:val="300"/>
        </w:trPr>
        <w:tc>
          <w:tcPr>
            <w:tcW w:w="2777" w:type="dxa"/>
            <w:noWrap/>
            <w:vAlign w:val="bottom"/>
          </w:tcPr>
          <w:p w14:paraId="4986A445"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Paediatric endocrinology</w:t>
            </w:r>
          </w:p>
        </w:tc>
        <w:tc>
          <w:tcPr>
            <w:tcW w:w="1158" w:type="dxa"/>
            <w:noWrap/>
            <w:vAlign w:val="bottom"/>
          </w:tcPr>
          <w:p w14:paraId="4D58CA73"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48</w:t>
            </w:r>
          </w:p>
        </w:tc>
        <w:tc>
          <w:tcPr>
            <w:tcW w:w="1097" w:type="dxa"/>
            <w:noWrap/>
            <w:vAlign w:val="bottom"/>
          </w:tcPr>
          <w:p w14:paraId="625B8062"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68</w:t>
            </w:r>
          </w:p>
        </w:tc>
        <w:tc>
          <w:tcPr>
            <w:tcW w:w="2051" w:type="dxa"/>
            <w:noWrap/>
            <w:vAlign w:val="bottom"/>
          </w:tcPr>
          <w:p w14:paraId="6B590AF0"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70.6% (58.9-80.1)</w:t>
            </w:r>
          </w:p>
        </w:tc>
        <w:tc>
          <w:tcPr>
            <w:tcW w:w="1701" w:type="dxa"/>
            <w:noWrap/>
            <w:vAlign w:val="bottom"/>
          </w:tcPr>
          <w:p w14:paraId="52058323"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514,612</w:t>
            </w:r>
          </w:p>
        </w:tc>
      </w:tr>
      <w:tr w:rsidR="00C02DFD" w:rsidRPr="00B64EC3" w:rsidDel="00742A0E" w14:paraId="65B860A0" w14:textId="77777777" w:rsidTr="009340D5">
        <w:trPr>
          <w:trHeight w:val="300"/>
        </w:trPr>
        <w:tc>
          <w:tcPr>
            <w:tcW w:w="2777" w:type="dxa"/>
            <w:noWrap/>
            <w:vAlign w:val="bottom"/>
          </w:tcPr>
          <w:p w14:paraId="5469B69A"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Respiratory and sleep medicine</w:t>
            </w:r>
          </w:p>
        </w:tc>
        <w:tc>
          <w:tcPr>
            <w:tcW w:w="1158" w:type="dxa"/>
            <w:noWrap/>
            <w:vAlign w:val="bottom"/>
          </w:tcPr>
          <w:p w14:paraId="768F221C"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667</w:t>
            </w:r>
          </w:p>
        </w:tc>
        <w:tc>
          <w:tcPr>
            <w:tcW w:w="1097" w:type="dxa"/>
            <w:noWrap/>
            <w:vAlign w:val="bottom"/>
          </w:tcPr>
          <w:p w14:paraId="6C1C8926"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962</w:t>
            </w:r>
          </w:p>
        </w:tc>
        <w:tc>
          <w:tcPr>
            <w:tcW w:w="2051" w:type="dxa"/>
            <w:noWrap/>
            <w:vAlign w:val="bottom"/>
          </w:tcPr>
          <w:p w14:paraId="1DC6761C"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69.3% (66.3-72.2)</w:t>
            </w:r>
          </w:p>
        </w:tc>
        <w:tc>
          <w:tcPr>
            <w:tcW w:w="1701" w:type="dxa"/>
            <w:noWrap/>
            <w:vAlign w:val="bottom"/>
          </w:tcPr>
          <w:p w14:paraId="61ADDB06"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9,912,554</w:t>
            </w:r>
          </w:p>
        </w:tc>
      </w:tr>
      <w:tr w:rsidR="00C02DFD" w:rsidRPr="00B64EC3" w:rsidDel="00742A0E" w14:paraId="60AC3408" w14:textId="77777777" w:rsidTr="009340D5">
        <w:trPr>
          <w:trHeight w:val="300"/>
        </w:trPr>
        <w:tc>
          <w:tcPr>
            <w:tcW w:w="2777" w:type="dxa"/>
            <w:noWrap/>
            <w:vAlign w:val="bottom"/>
          </w:tcPr>
          <w:p w14:paraId="6D5FC618"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Cardiology</w:t>
            </w:r>
          </w:p>
        </w:tc>
        <w:tc>
          <w:tcPr>
            <w:tcW w:w="1158" w:type="dxa"/>
            <w:noWrap/>
            <w:vAlign w:val="bottom"/>
          </w:tcPr>
          <w:p w14:paraId="0E3F7D1C"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1191</w:t>
            </w:r>
          </w:p>
        </w:tc>
        <w:tc>
          <w:tcPr>
            <w:tcW w:w="1097" w:type="dxa"/>
            <w:noWrap/>
            <w:vAlign w:val="bottom"/>
          </w:tcPr>
          <w:p w14:paraId="34AF4E59"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1725</w:t>
            </w:r>
          </w:p>
        </w:tc>
        <w:tc>
          <w:tcPr>
            <w:tcW w:w="2051" w:type="dxa"/>
            <w:noWrap/>
            <w:vAlign w:val="bottom"/>
          </w:tcPr>
          <w:p w14:paraId="445D887E"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69.0% (66.8-71.2)</w:t>
            </w:r>
          </w:p>
        </w:tc>
        <w:tc>
          <w:tcPr>
            <w:tcW w:w="1701" w:type="dxa"/>
            <w:noWrap/>
            <w:vAlign w:val="bottom"/>
          </w:tcPr>
          <w:p w14:paraId="534A33A5"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16,659,021</w:t>
            </w:r>
          </w:p>
        </w:tc>
      </w:tr>
      <w:tr w:rsidR="00C02DFD" w:rsidRPr="00B64EC3" w:rsidDel="00742A0E" w14:paraId="429D19D5" w14:textId="77777777" w:rsidTr="009340D5">
        <w:trPr>
          <w:trHeight w:val="300"/>
        </w:trPr>
        <w:tc>
          <w:tcPr>
            <w:tcW w:w="2777" w:type="dxa"/>
            <w:noWrap/>
            <w:vAlign w:val="bottom"/>
          </w:tcPr>
          <w:p w14:paraId="4954F0BF"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Endocrinology</w:t>
            </w:r>
          </w:p>
        </w:tc>
        <w:tc>
          <w:tcPr>
            <w:tcW w:w="1158" w:type="dxa"/>
            <w:noWrap/>
            <w:vAlign w:val="bottom"/>
          </w:tcPr>
          <w:p w14:paraId="5AA4A10F"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629</w:t>
            </w:r>
          </w:p>
        </w:tc>
        <w:tc>
          <w:tcPr>
            <w:tcW w:w="1097" w:type="dxa"/>
            <w:noWrap/>
            <w:vAlign w:val="bottom"/>
          </w:tcPr>
          <w:p w14:paraId="78C395D6"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949</w:t>
            </w:r>
          </w:p>
        </w:tc>
        <w:tc>
          <w:tcPr>
            <w:tcW w:w="2051" w:type="dxa"/>
            <w:noWrap/>
            <w:vAlign w:val="bottom"/>
          </w:tcPr>
          <w:p w14:paraId="02582756"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66.3% (63.2-69.2)</w:t>
            </w:r>
          </w:p>
        </w:tc>
        <w:tc>
          <w:tcPr>
            <w:tcW w:w="1701" w:type="dxa"/>
            <w:noWrap/>
            <w:vAlign w:val="bottom"/>
          </w:tcPr>
          <w:p w14:paraId="0AE9B3A3"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11,217,455</w:t>
            </w:r>
          </w:p>
        </w:tc>
      </w:tr>
      <w:tr w:rsidR="00C02DFD" w:rsidRPr="00B64EC3" w:rsidDel="00742A0E" w14:paraId="1D7AFF1C" w14:textId="77777777" w:rsidTr="009340D5">
        <w:trPr>
          <w:trHeight w:val="300"/>
        </w:trPr>
        <w:tc>
          <w:tcPr>
            <w:tcW w:w="2777" w:type="dxa"/>
            <w:noWrap/>
            <w:vAlign w:val="bottom"/>
          </w:tcPr>
          <w:p w14:paraId="1FF4D1E5"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Neurology</w:t>
            </w:r>
          </w:p>
        </w:tc>
        <w:tc>
          <w:tcPr>
            <w:tcW w:w="1158" w:type="dxa"/>
            <w:noWrap/>
            <w:vAlign w:val="bottom"/>
          </w:tcPr>
          <w:p w14:paraId="0E24FA5D"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547</w:t>
            </w:r>
          </w:p>
        </w:tc>
        <w:tc>
          <w:tcPr>
            <w:tcW w:w="1097" w:type="dxa"/>
            <w:noWrap/>
            <w:vAlign w:val="bottom"/>
          </w:tcPr>
          <w:p w14:paraId="3BA56FCB"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875</w:t>
            </w:r>
          </w:p>
        </w:tc>
        <w:tc>
          <w:tcPr>
            <w:tcW w:w="2051" w:type="dxa"/>
            <w:noWrap/>
            <w:vAlign w:val="bottom"/>
          </w:tcPr>
          <w:p w14:paraId="54BE8674"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62.5% (59.3-65.7)</w:t>
            </w:r>
          </w:p>
        </w:tc>
        <w:tc>
          <w:tcPr>
            <w:tcW w:w="1701" w:type="dxa"/>
            <w:noWrap/>
            <w:vAlign w:val="bottom"/>
          </w:tcPr>
          <w:p w14:paraId="2C38E376"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9,688,201</w:t>
            </w:r>
          </w:p>
        </w:tc>
      </w:tr>
      <w:tr w:rsidR="00C02DFD" w:rsidRPr="00B64EC3" w:rsidDel="00742A0E" w14:paraId="38FC0FB0" w14:textId="77777777" w:rsidTr="009340D5">
        <w:trPr>
          <w:trHeight w:val="300"/>
        </w:trPr>
        <w:tc>
          <w:tcPr>
            <w:tcW w:w="2777" w:type="dxa"/>
            <w:noWrap/>
            <w:vAlign w:val="bottom"/>
          </w:tcPr>
          <w:p w14:paraId="12999577"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Nephrology</w:t>
            </w:r>
          </w:p>
        </w:tc>
        <w:tc>
          <w:tcPr>
            <w:tcW w:w="1158" w:type="dxa"/>
            <w:noWrap/>
            <w:vAlign w:val="bottom"/>
          </w:tcPr>
          <w:p w14:paraId="2907A3DD"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427</w:t>
            </w:r>
          </w:p>
        </w:tc>
        <w:tc>
          <w:tcPr>
            <w:tcW w:w="1097" w:type="dxa"/>
            <w:noWrap/>
            <w:vAlign w:val="bottom"/>
          </w:tcPr>
          <w:p w14:paraId="25262084"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740</w:t>
            </w:r>
          </w:p>
        </w:tc>
        <w:tc>
          <w:tcPr>
            <w:tcW w:w="2051" w:type="dxa"/>
            <w:noWrap/>
            <w:vAlign w:val="bottom"/>
          </w:tcPr>
          <w:p w14:paraId="42BA2984"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57.7% (54.1-61.2)</w:t>
            </w:r>
          </w:p>
        </w:tc>
        <w:tc>
          <w:tcPr>
            <w:tcW w:w="1701" w:type="dxa"/>
            <w:noWrap/>
            <w:vAlign w:val="bottom"/>
          </w:tcPr>
          <w:p w14:paraId="7AD78451"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4,343,825</w:t>
            </w:r>
          </w:p>
        </w:tc>
      </w:tr>
      <w:tr w:rsidR="00C02DFD" w:rsidRPr="00B64EC3" w:rsidDel="00742A0E" w14:paraId="741D993E" w14:textId="77777777" w:rsidTr="009340D5">
        <w:trPr>
          <w:trHeight w:val="300"/>
        </w:trPr>
        <w:tc>
          <w:tcPr>
            <w:tcW w:w="2777" w:type="dxa"/>
            <w:noWrap/>
            <w:vAlign w:val="bottom"/>
          </w:tcPr>
          <w:p w14:paraId="38F29AF2"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Sexual health medicine</w:t>
            </w:r>
          </w:p>
        </w:tc>
        <w:tc>
          <w:tcPr>
            <w:tcW w:w="1158" w:type="dxa"/>
            <w:noWrap/>
            <w:vAlign w:val="bottom"/>
          </w:tcPr>
          <w:p w14:paraId="4E2EFEBE"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76</w:t>
            </w:r>
          </w:p>
        </w:tc>
        <w:tc>
          <w:tcPr>
            <w:tcW w:w="1097" w:type="dxa"/>
            <w:noWrap/>
            <w:vAlign w:val="bottom"/>
          </w:tcPr>
          <w:p w14:paraId="7BEFAE24"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134</w:t>
            </w:r>
          </w:p>
        </w:tc>
        <w:tc>
          <w:tcPr>
            <w:tcW w:w="2051" w:type="dxa"/>
            <w:noWrap/>
            <w:vAlign w:val="bottom"/>
          </w:tcPr>
          <w:p w14:paraId="34F8833B"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56.7% (48.3-64.8)</w:t>
            </w:r>
          </w:p>
        </w:tc>
        <w:tc>
          <w:tcPr>
            <w:tcW w:w="1701" w:type="dxa"/>
            <w:noWrap/>
            <w:vAlign w:val="bottom"/>
          </w:tcPr>
          <w:p w14:paraId="3CCF347E"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1,058,001</w:t>
            </w:r>
          </w:p>
        </w:tc>
      </w:tr>
      <w:tr w:rsidR="00C02DFD" w:rsidRPr="00B64EC3" w:rsidDel="00742A0E" w14:paraId="45B538D1" w14:textId="77777777" w:rsidTr="009340D5">
        <w:trPr>
          <w:trHeight w:val="300"/>
        </w:trPr>
        <w:tc>
          <w:tcPr>
            <w:tcW w:w="2777" w:type="dxa"/>
            <w:noWrap/>
            <w:vAlign w:val="bottom"/>
          </w:tcPr>
          <w:p w14:paraId="2E8CC6B3"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lastRenderedPageBreak/>
              <w:t>Paediatric neurology</w:t>
            </w:r>
          </w:p>
        </w:tc>
        <w:tc>
          <w:tcPr>
            <w:tcW w:w="1158" w:type="dxa"/>
            <w:noWrap/>
            <w:vAlign w:val="bottom"/>
          </w:tcPr>
          <w:p w14:paraId="69AF9F82"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39</w:t>
            </w:r>
          </w:p>
        </w:tc>
        <w:tc>
          <w:tcPr>
            <w:tcW w:w="1097" w:type="dxa"/>
            <w:noWrap/>
            <w:vAlign w:val="bottom"/>
          </w:tcPr>
          <w:p w14:paraId="1187404E"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69</w:t>
            </w:r>
          </w:p>
        </w:tc>
        <w:tc>
          <w:tcPr>
            <w:tcW w:w="2051" w:type="dxa"/>
            <w:noWrap/>
            <w:vAlign w:val="bottom"/>
          </w:tcPr>
          <w:p w14:paraId="0CBAB067"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56.5% (44.8-67.6)</w:t>
            </w:r>
          </w:p>
        </w:tc>
        <w:tc>
          <w:tcPr>
            <w:tcW w:w="1701" w:type="dxa"/>
            <w:noWrap/>
            <w:vAlign w:val="bottom"/>
          </w:tcPr>
          <w:p w14:paraId="710E1E81" w14:textId="77777777" w:rsidR="00C02DFD" w:rsidRPr="00742A0E" w:rsidDel="00742A0E" w:rsidRDefault="00C02DFD" w:rsidP="009340D5">
            <w:pPr>
              <w:spacing w:after="0" w:line="480" w:lineRule="auto"/>
              <w:jc w:val="center"/>
              <w:rPr>
                <w:rFonts w:ascii="Times New Roman" w:eastAsia="Times New Roman" w:hAnsi="Times New Roman" w:cs="Times New Roman"/>
                <w:color w:val="000000"/>
                <w:kern w:val="0"/>
                <w:lang w:eastAsia="en-AU" w:bidi="ar-SA"/>
                <w14:ligatures w14:val="none"/>
              </w:rPr>
            </w:pPr>
            <w:r w:rsidRPr="00742A0E">
              <w:rPr>
                <w:rFonts w:ascii="Times New Roman" w:hAnsi="Times New Roman" w:cs="Times New Roman"/>
                <w:color w:val="000000"/>
              </w:rPr>
              <w:t>585,452</w:t>
            </w:r>
          </w:p>
        </w:tc>
      </w:tr>
    </w:tbl>
    <w:p w14:paraId="545190CD" w14:textId="77777777" w:rsidR="00C02DFD" w:rsidRDefault="00C02DFD" w:rsidP="00C02DFD">
      <w:pPr>
        <w:spacing w:after="0" w:line="480" w:lineRule="auto"/>
        <w:ind w:firstLine="720"/>
        <w:rPr>
          <w:rFonts w:ascii="Times New Roman" w:hAnsi="Times New Roman" w:cs="Times New Roman"/>
          <w:i/>
          <w:iCs/>
        </w:rPr>
      </w:pPr>
      <w:r w:rsidRPr="00B64EC3">
        <w:rPr>
          <w:rFonts w:ascii="Times New Roman" w:hAnsi="Times New Roman" w:cs="Times New Roman"/>
          <w:i/>
          <w:iCs/>
        </w:rPr>
        <w:t xml:space="preserve">* Combined denominator = clinical haematology (RACP) + medical oncology  </w:t>
      </w:r>
    </w:p>
    <w:p w14:paraId="582CF15F" w14:textId="77777777" w:rsidR="00C02DFD" w:rsidRPr="00B64EC3" w:rsidRDefault="00C02DFD" w:rsidP="00C02DFD">
      <w:pPr>
        <w:spacing w:after="0" w:line="480" w:lineRule="auto"/>
        <w:ind w:firstLine="720"/>
        <w:rPr>
          <w:rFonts w:ascii="Times New Roman" w:hAnsi="Times New Roman" w:cs="Times New Roman"/>
          <w:i/>
          <w:iCs/>
        </w:rPr>
      </w:pPr>
      <w:r>
        <w:rPr>
          <w:rFonts w:ascii="Times New Roman" w:hAnsi="Times New Roman" w:cs="Times New Roman"/>
          <w:i/>
          <w:iCs/>
        </w:rPr>
        <w:t xml:space="preserve">* Denominators are from the number of registered practitioners in that specialty in 2023/24 </w:t>
      </w:r>
    </w:p>
    <w:p w14:paraId="4F34AEBD" w14:textId="77777777" w:rsidR="00C02DFD" w:rsidRDefault="00C02DFD" w:rsidP="00C02DFD">
      <w:pPr>
        <w:spacing w:after="0" w:line="480" w:lineRule="auto"/>
        <w:ind w:firstLine="720"/>
        <w:rPr>
          <w:rFonts w:ascii="Times New Roman" w:hAnsi="Times New Roman" w:cs="Times New Roman"/>
          <w:noProof/>
        </w:rPr>
      </w:pPr>
      <w:r w:rsidRPr="00B64EC3">
        <w:rPr>
          <w:rFonts w:ascii="Times New Roman" w:hAnsi="Times New Roman" w:cs="Times New Roman"/>
          <w:b/>
          <w:bCs/>
        </w:rPr>
        <w:t xml:space="preserve">Figure </w:t>
      </w:r>
      <w:r>
        <w:rPr>
          <w:rFonts w:ascii="Times New Roman" w:hAnsi="Times New Roman" w:cs="Times New Roman"/>
          <w:b/>
          <w:bCs/>
        </w:rPr>
        <w:t>S1</w:t>
      </w:r>
      <w:r w:rsidRPr="00B64EC3">
        <w:rPr>
          <w:rFonts w:ascii="Times New Roman" w:hAnsi="Times New Roman" w:cs="Times New Roman"/>
          <w:b/>
          <w:bCs/>
        </w:rPr>
        <w:t>: Median and spread of individual payment over time</w:t>
      </w:r>
      <w:r w:rsidRPr="00B64EC3">
        <w:rPr>
          <w:rFonts w:ascii="Times New Roman" w:hAnsi="Times New Roman" w:cs="Times New Roman"/>
        </w:rPr>
        <w:t xml:space="preserve"> </w:t>
      </w:r>
    </w:p>
    <w:p w14:paraId="332071B6" w14:textId="77777777" w:rsidR="00C02DFD" w:rsidRDefault="00C02DFD" w:rsidP="00C02DFD">
      <w:pPr>
        <w:spacing w:after="0" w:line="480" w:lineRule="auto"/>
        <w:rPr>
          <w:rFonts w:ascii="Times New Roman" w:hAnsi="Times New Roman" w:cs="Times New Roman"/>
        </w:rPr>
      </w:pPr>
      <w:r>
        <w:rPr>
          <w:rFonts w:ascii="Times New Roman" w:hAnsi="Times New Roman" w:cs="Times New Roman"/>
          <w:noProof/>
        </w:rPr>
        <w:drawing>
          <wp:inline distT="0" distB="0" distL="0" distR="0" wp14:anchorId="56C433A9" wp14:editId="3FFEC5D8">
            <wp:extent cx="5718175" cy="3432175"/>
            <wp:effectExtent l="0" t="0" r="0" b="0"/>
            <wp:docPr id="100979066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8175" cy="3432175"/>
                    </a:xfrm>
                    <a:prstGeom prst="rect">
                      <a:avLst/>
                    </a:prstGeom>
                    <a:noFill/>
                    <a:ln>
                      <a:noFill/>
                    </a:ln>
                  </pic:spPr>
                </pic:pic>
              </a:graphicData>
            </a:graphic>
          </wp:inline>
        </w:drawing>
      </w:r>
    </w:p>
    <w:p w14:paraId="7EB71FEA" w14:textId="77777777" w:rsidR="00C02DFD" w:rsidRDefault="00C02DFD" w:rsidP="00C02DFD">
      <w:pPr>
        <w:spacing w:after="0" w:line="480" w:lineRule="auto"/>
        <w:ind w:firstLine="720"/>
        <w:rPr>
          <w:rFonts w:ascii="Times New Roman" w:hAnsi="Times New Roman" w:cs="Times New Roman"/>
          <w:b/>
          <w:bCs/>
        </w:rPr>
      </w:pPr>
    </w:p>
    <w:p w14:paraId="403CCF13" w14:textId="77777777" w:rsidR="00C02DFD" w:rsidRDefault="00C02DFD" w:rsidP="00C02DFD">
      <w:pPr>
        <w:spacing w:after="0" w:line="480" w:lineRule="auto"/>
        <w:ind w:firstLine="720"/>
        <w:rPr>
          <w:rFonts w:ascii="Times New Roman" w:hAnsi="Times New Roman" w:cs="Times New Roman"/>
          <w:b/>
          <w:bCs/>
        </w:rPr>
      </w:pPr>
    </w:p>
    <w:p w14:paraId="08988A2F" w14:textId="77777777" w:rsidR="00C02DFD" w:rsidRDefault="00C02DFD" w:rsidP="00C02DFD">
      <w:pPr>
        <w:spacing w:after="0" w:line="480" w:lineRule="auto"/>
        <w:ind w:firstLine="720"/>
        <w:rPr>
          <w:rFonts w:ascii="Times New Roman" w:hAnsi="Times New Roman" w:cs="Times New Roman"/>
          <w:b/>
          <w:bCs/>
        </w:rPr>
      </w:pPr>
    </w:p>
    <w:p w14:paraId="334AD158" w14:textId="77777777" w:rsidR="00C02DFD" w:rsidRDefault="00C02DFD" w:rsidP="00C02DFD">
      <w:pPr>
        <w:spacing w:after="0" w:line="480" w:lineRule="auto"/>
        <w:ind w:firstLine="720"/>
        <w:rPr>
          <w:rFonts w:ascii="Times New Roman" w:hAnsi="Times New Roman" w:cs="Times New Roman"/>
          <w:b/>
          <w:bCs/>
        </w:rPr>
      </w:pPr>
    </w:p>
    <w:p w14:paraId="404788CA" w14:textId="77777777" w:rsidR="00C02DFD" w:rsidRDefault="00C02DFD" w:rsidP="00C02DFD">
      <w:pPr>
        <w:spacing w:after="0" w:line="480" w:lineRule="auto"/>
        <w:ind w:firstLine="720"/>
        <w:rPr>
          <w:rFonts w:ascii="Times New Roman" w:hAnsi="Times New Roman" w:cs="Times New Roman"/>
          <w:b/>
          <w:bCs/>
        </w:rPr>
      </w:pPr>
    </w:p>
    <w:p w14:paraId="1D39866B" w14:textId="77777777" w:rsidR="00C02DFD" w:rsidRDefault="00C02DFD" w:rsidP="00C02DFD">
      <w:pPr>
        <w:spacing w:after="0" w:line="480" w:lineRule="auto"/>
        <w:ind w:firstLine="720"/>
        <w:rPr>
          <w:rFonts w:ascii="Times New Roman" w:hAnsi="Times New Roman" w:cs="Times New Roman"/>
          <w:b/>
          <w:bCs/>
        </w:rPr>
      </w:pPr>
    </w:p>
    <w:p w14:paraId="20F7370D" w14:textId="77777777" w:rsidR="00C02DFD" w:rsidRDefault="00C02DFD" w:rsidP="00C02DFD">
      <w:pPr>
        <w:spacing w:after="0" w:line="480" w:lineRule="auto"/>
        <w:ind w:firstLine="720"/>
        <w:rPr>
          <w:rFonts w:ascii="Times New Roman" w:hAnsi="Times New Roman" w:cs="Times New Roman"/>
          <w:b/>
          <w:bCs/>
        </w:rPr>
      </w:pPr>
    </w:p>
    <w:p w14:paraId="0E91473B" w14:textId="77777777" w:rsidR="00C02DFD" w:rsidRDefault="00C02DFD" w:rsidP="00C02DFD">
      <w:pPr>
        <w:spacing w:after="0" w:line="480" w:lineRule="auto"/>
        <w:ind w:firstLine="720"/>
        <w:rPr>
          <w:rFonts w:ascii="Times New Roman" w:hAnsi="Times New Roman" w:cs="Times New Roman"/>
          <w:b/>
          <w:bCs/>
        </w:rPr>
      </w:pPr>
    </w:p>
    <w:p w14:paraId="51A6BE89" w14:textId="77777777" w:rsidR="00C02DFD" w:rsidRDefault="00C02DFD" w:rsidP="00C02DFD">
      <w:pPr>
        <w:spacing w:after="0" w:line="480" w:lineRule="auto"/>
        <w:ind w:firstLine="720"/>
        <w:rPr>
          <w:rFonts w:ascii="Times New Roman" w:hAnsi="Times New Roman" w:cs="Times New Roman"/>
          <w:b/>
          <w:bCs/>
        </w:rPr>
      </w:pPr>
    </w:p>
    <w:p w14:paraId="65488168" w14:textId="77777777" w:rsidR="00C02DFD" w:rsidRDefault="00C02DFD" w:rsidP="00C02DFD">
      <w:pPr>
        <w:spacing w:after="0" w:line="480" w:lineRule="auto"/>
        <w:ind w:firstLine="720"/>
        <w:rPr>
          <w:rFonts w:ascii="Times New Roman" w:hAnsi="Times New Roman" w:cs="Times New Roman"/>
          <w:b/>
          <w:bCs/>
        </w:rPr>
      </w:pPr>
    </w:p>
    <w:p w14:paraId="7DA0CD71" w14:textId="77777777" w:rsidR="00C02DFD" w:rsidRDefault="00C02DFD" w:rsidP="00C02DFD">
      <w:pPr>
        <w:spacing w:after="0" w:line="480" w:lineRule="auto"/>
        <w:ind w:firstLine="720"/>
        <w:rPr>
          <w:rFonts w:ascii="Times New Roman" w:hAnsi="Times New Roman" w:cs="Times New Roman"/>
          <w:b/>
          <w:bCs/>
        </w:rPr>
      </w:pPr>
    </w:p>
    <w:p w14:paraId="32EAE44B" w14:textId="77777777" w:rsidR="00C02DFD" w:rsidRDefault="00C02DFD" w:rsidP="00C02DFD">
      <w:pPr>
        <w:spacing w:after="0" w:line="480" w:lineRule="auto"/>
        <w:ind w:firstLine="720"/>
        <w:rPr>
          <w:rFonts w:ascii="Times New Roman" w:hAnsi="Times New Roman" w:cs="Times New Roman"/>
          <w:b/>
          <w:bCs/>
        </w:rPr>
      </w:pPr>
    </w:p>
    <w:p w14:paraId="52505B2D" w14:textId="1CF660C3" w:rsidR="00C02DFD" w:rsidRDefault="00C02DFD" w:rsidP="00C02DFD">
      <w:pPr>
        <w:spacing w:after="0" w:line="480" w:lineRule="auto"/>
        <w:ind w:firstLine="720"/>
        <w:rPr>
          <w:rFonts w:ascii="Times New Roman" w:hAnsi="Times New Roman" w:cs="Times New Roman"/>
          <w:b/>
          <w:bCs/>
        </w:rPr>
      </w:pPr>
      <w:r w:rsidRPr="00B64EC3">
        <w:rPr>
          <w:rFonts w:ascii="Times New Roman" w:hAnsi="Times New Roman" w:cs="Times New Roman"/>
          <w:b/>
          <w:bCs/>
        </w:rPr>
        <w:lastRenderedPageBreak/>
        <w:t xml:space="preserve">Figure </w:t>
      </w:r>
      <w:r>
        <w:rPr>
          <w:rFonts w:ascii="Times New Roman" w:hAnsi="Times New Roman" w:cs="Times New Roman"/>
          <w:b/>
          <w:bCs/>
        </w:rPr>
        <w:t>S2</w:t>
      </w:r>
      <w:r w:rsidRPr="00B64EC3">
        <w:rPr>
          <w:rFonts w:ascii="Times New Roman" w:hAnsi="Times New Roman" w:cs="Times New Roman"/>
          <w:b/>
          <w:bCs/>
        </w:rPr>
        <w:t xml:space="preserve">: Lorenz curve demonstrating unequal payment share </w:t>
      </w:r>
    </w:p>
    <w:p w14:paraId="6FC6C142" w14:textId="77777777" w:rsidR="00C02DFD" w:rsidRPr="00B73762" w:rsidRDefault="00C02DFD" w:rsidP="00C02DFD">
      <w:pPr>
        <w:spacing w:after="0" w:line="480" w:lineRule="auto"/>
        <w:rPr>
          <w:rFonts w:ascii="Times New Roman" w:hAnsi="Times New Roman" w:cs="Times New Roman"/>
          <w:b/>
          <w:bCs/>
        </w:rPr>
      </w:pPr>
      <w:r>
        <w:rPr>
          <w:rFonts w:ascii="Times New Roman" w:hAnsi="Times New Roman" w:cs="Times New Roman"/>
          <w:b/>
          <w:bCs/>
          <w:noProof/>
        </w:rPr>
        <w:drawing>
          <wp:inline distT="0" distB="0" distL="0" distR="0" wp14:anchorId="2BF8B514" wp14:editId="4669F15A">
            <wp:extent cx="5718175" cy="3432175"/>
            <wp:effectExtent l="0" t="0" r="0" b="0"/>
            <wp:docPr id="1181116716" name="Picture 13" descr="A graph showing the value of a credit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16716" name="Picture 13" descr="A graph showing the value of a credit card&#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8175" cy="3432175"/>
                    </a:xfrm>
                    <a:prstGeom prst="rect">
                      <a:avLst/>
                    </a:prstGeom>
                    <a:noFill/>
                    <a:ln>
                      <a:noFill/>
                    </a:ln>
                  </pic:spPr>
                </pic:pic>
              </a:graphicData>
            </a:graphic>
          </wp:inline>
        </w:drawing>
      </w:r>
      <w:r>
        <w:rPr>
          <w:rFonts w:ascii="Times New Roman" w:hAnsi="Times New Roman" w:cs="Times New Roman"/>
        </w:rPr>
        <w:t xml:space="preserve"> </w:t>
      </w:r>
    </w:p>
    <w:p w14:paraId="36F1011B" w14:textId="77777777" w:rsidR="00C02DFD" w:rsidRDefault="00C02DFD" w:rsidP="00C02DFD">
      <w:pPr>
        <w:spacing w:after="0" w:line="480" w:lineRule="auto"/>
        <w:rPr>
          <w:rFonts w:ascii="Times New Roman" w:hAnsi="Times New Roman" w:cs="Times New Roman"/>
        </w:rPr>
      </w:pPr>
      <w:r>
        <w:rPr>
          <w:rFonts w:ascii="Times New Roman" w:hAnsi="Times New Roman" w:cs="Times New Roman"/>
        </w:rPr>
        <w:tab/>
        <w:t>This</w:t>
      </w:r>
      <w:r w:rsidRPr="000B29DB">
        <w:rPr>
          <w:rFonts w:ascii="Times New Roman" w:hAnsi="Times New Roman" w:cs="Times New Roman"/>
        </w:rPr>
        <w:t xml:space="preserve"> curve plots the cumulative share of total payments against the cumulative share of recipients, ordered from the smallest to largest total received. The dashed 45° line represents perfect equality. The strong bowing of the observed curve well below this line indicates marked concentration of payments among a small minority of recipients. The associated Gini coefficient of </w:t>
      </w:r>
      <w:r w:rsidRPr="00B73762">
        <w:rPr>
          <w:rFonts w:ascii="Times New Roman" w:hAnsi="Times New Roman" w:cs="Times New Roman"/>
        </w:rPr>
        <w:t>0.786</w:t>
      </w:r>
      <w:r w:rsidRPr="000B29DB">
        <w:rPr>
          <w:rFonts w:ascii="Times New Roman" w:hAnsi="Times New Roman" w:cs="Times New Roman"/>
        </w:rPr>
        <w:t xml:space="preserve"> (0 = perfect equality; 1 = complete inequality) quantifies this imbalance, showing that most recipients receive comparatively small amounts while a few receive the bulk of total dollars.</w:t>
      </w:r>
    </w:p>
    <w:p w14:paraId="75C0AE28" w14:textId="77777777" w:rsidR="00C02DFD" w:rsidRDefault="00C02DFD"/>
    <w:p w14:paraId="4620A90C" w14:textId="77777777" w:rsidR="00C02DFD" w:rsidRDefault="00C02DFD"/>
    <w:p w14:paraId="067A227D" w14:textId="77777777" w:rsidR="00C02DFD" w:rsidRDefault="00C02DFD"/>
    <w:p w14:paraId="3DE9C9C7" w14:textId="77777777" w:rsidR="00C02DFD" w:rsidRDefault="00C02DFD"/>
    <w:p w14:paraId="4CD2F6C6" w14:textId="77777777" w:rsidR="00C02DFD" w:rsidRDefault="00C02DFD"/>
    <w:p w14:paraId="7A144DC8" w14:textId="77777777" w:rsidR="00C02DFD" w:rsidRDefault="00C02DFD"/>
    <w:p w14:paraId="23C81DA7" w14:textId="77777777" w:rsidR="00C02DFD" w:rsidRDefault="00C02DFD"/>
    <w:p w14:paraId="0F8233B6" w14:textId="77777777" w:rsidR="00C02DFD" w:rsidRDefault="00C02DFD"/>
    <w:p w14:paraId="4454784D" w14:textId="77777777" w:rsidR="00C02DFD" w:rsidRDefault="00C02DFD"/>
    <w:p w14:paraId="1C2B71AB" w14:textId="77777777" w:rsidR="00C02DFD" w:rsidRDefault="00C02DFD"/>
    <w:p w14:paraId="6C6086FE" w14:textId="77777777" w:rsidR="00C02DFD" w:rsidRDefault="00C02DFD">
      <w:pPr>
        <w:rPr>
          <w:rFonts w:ascii="Times New Roman" w:hAnsi="Times New Roman" w:cs="Times New Roman"/>
          <w:b/>
          <w:bCs/>
        </w:rPr>
      </w:pPr>
    </w:p>
    <w:p w14:paraId="4895DA7F" w14:textId="610A8A17" w:rsidR="00C02DFD" w:rsidRPr="00C02DFD" w:rsidRDefault="00C02DFD">
      <w:pPr>
        <w:rPr>
          <w:rFonts w:ascii="Times New Roman" w:hAnsi="Times New Roman" w:cs="Times New Roman"/>
          <w:b/>
          <w:bCs/>
        </w:rPr>
      </w:pPr>
      <w:r w:rsidRPr="00C02DFD">
        <w:rPr>
          <w:rFonts w:ascii="Times New Roman" w:hAnsi="Times New Roman" w:cs="Times New Roman"/>
          <w:b/>
          <w:bCs/>
        </w:rPr>
        <w:lastRenderedPageBreak/>
        <w:t xml:space="preserve">References </w:t>
      </w:r>
    </w:p>
    <w:p w14:paraId="3A7238BF" w14:textId="3AB10169" w:rsidR="00C02DFD" w:rsidRPr="00C02DFD" w:rsidRDefault="00C02DFD" w:rsidP="00C02DFD">
      <w:pPr>
        <w:pStyle w:val="EndNoteBibliography"/>
        <w:spacing w:after="0"/>
      </w:pPr>
      <w:r w:rsidRPr="00C02DFD">
        <w:fldChar w:fldCharType="begin"/>
      </w:r>
      <w:r w:rsidRPr="00C02DFD">
        <w:instrText xml:space="preserve"> ADDIN EN.REFLIST </w:instrText>
      </w:r>
      <w:r w:rsidRPr="00C02DFD">
        <w:fldChar w:fldCharType="separate"/>
      </w:r>
      <w:r w:rsidRPr="00C02DFD">
        <w:t>1.</w:t>
      </w:r>
      <w:r w:rsidRPr="00C02DFD">
        <w:tab/>
        <w:t xml:space="preserve">Medicines Australia. Transparency Reporting: Medicines Australia; 2025 [Available from: </w:t>
      </w:r>
      <w:hyperlink r:id="rId6" w:history="1">
        <w:r w:rsidRPr="00C02DFD">
          <w:rPr>
            <w:rStyle w:val="Hyperlink"/>
          </w:rPr>
          <w:t>https://www.disclosureaustralia.com.au/search/</w:t>
        </w:r>
      </w:hyperlink>
      <w:r>
        <w:t>]</w:t>
      </w:r>
      <w:r w:rsidRPr="00C02DFD">
        <w:t>.</w:t>
      </w:r>
    </w:p>
    <w:p w14:paraId="58DB6A23" w14:textId="6EF83E2B" w:rsidR="00C02DFD" w:rsidRPr="00C02DFD" w:rsidRDefault="00C02DFD" w:rsidP="00C02DFD">
      <w:pPr>
        <w:pStyle w:val="EndNoteBibliography"/>
        <w:spacing w:after="0"/>
      </w:pPr>
      <w:r w:rsidRPr="00C02DFD">
        <w:t>2.</w:t>
      </w:r>
      <w:r w:rsidRPr="00C02DFD">
        <w:tab/>
        <w:t xml:space="preserve">Bero L, Mintzes B, Grundy Q, Fabbri A, Williams J, Parker L. Pharmaceutical industry payments to healthcare professionals Sydney eScholarship Repository: University of Sydney; 2017 [Available from: </w:t>
      </w:r>
      <w:hyperlink r:id="rId7" w:history="1">
        <w:r w:rsidRPr="00C02DFD">
          <w:rPr>
            <w:rStyle w:val="Hyperlink"/>
          </w:rPr>
          <w:t>http://hdl.handle.net/2123/20217</w:t>
        </w:r>
      </w:hyperlink>
      <w:r>
        <w:t>].</w:t>
      </w:r>
    </w:p>
    <w:p w14:paraId="399BCF24" w14:textId="77777777" w:rsidR="00C02DFD" w:rsidRPr="00C02DFD" w:rsidRDefault="00C02DFD" w:rsidP="00C02DFD">
      <w:pPr>
        <w:pStyle w:val="EndNoteBibliography"/>
        <w:spacing w:after="0"/>
      </w:pPr>
      <w:r w:rsidRPr="00C02DFD">
        <w:t>3.</w:t>
      </w:r>
      <w:r w:rsidRPr="00C02DFD">
        <w:tab/>
        <w:t>Forbes M, Bhowon Y, Parker L. There ain’t such a thing as a free lunch: Pharmaceutical company payments to Australian psychiatrists. Australasian Psychiatry. 2023;31(6):855-6.</w:t>
      </w:r>
    </w:p>
    <w:p w14:paraId="5930216C" w14:textId="77777777" w:rsidR="00C02DFD" w:rsidRPr="00C02DFD" w:rsidRDefault="00C02DFD" w:rsidP="00C02DFD">
      <w:pPr>
        <w:pStyle w:val="EndNoteBibliography"/>
        <w:spacing w:after="0"/>
      </w:pPr>
      <w:r w:rsidRPr="00C02DFD">
        <w:t>4.</w:t>
      </w:r>
      <w:r w:rsidRPr="00C02DFD">
        <w:tab/>
        <w:t>van der Loo MPJ. The stringdist package for approximate string matching. The R Journal. 2014;6(1):111-22.</w:t>
      </w:r>
    </w:p>
    <w:p w14:paraId="1862D416" w14:textId="77777777" w:rsidR="00C02DFD" w:rsidRPr="00C02DFD" w:rsidRDefault="00C02DFD" w:rsidP="00C02DFD">
      <w:pPr>
        <w:pStyle w:val="EndNoteBibliography"/>
        <w:spacing w:after="0"/>
      </w:pPr>
      <w:r w:rsidRPr="00C02DFD">
        <w:t>5.</w:t>
      </w:r>
      <w:r w:rsidRPr="00C02DFD">
        <w:tab/>
        <w:t>Forbes M, Bhowon Y, Mintzes B. Pharmaceutical company payments to Australian doctors reported to Medicines Australia, 2019-22: a cross-sectional analysis. Med J Aust. 2024;220(8):425-7.</w:t>
      </w:r>
    </w:p>
    <w:p w14:paraId="15E20358" w14:textId="338FE247" w:rsidR="00C02DFD" w:rsidRPr="00C02DFD" w:rsidRDefault="00C02DFD" w:rsidP="00C02DFD">
      <w:pPr>
        <w:pStyle w:val="EndNoteBibliography"/>
        <w:spacing w:after="0"/>
      </w:pPr>
      <w:r w:rsidRPr="00C02DFD">
        <w:t>6.</w:t>
      </w:r>
      <w:r w:rsidRPr="00C02DFD">
        <w:tab/>
        <w:t xml:space="preserve">AHPRA. Register of practitioners: Australian Health Practitioner Regulation Agency &amp; National Boards; 2024 [Available from: </w:t>
      </w:r>
      <w:hyperlink r:id="rId8" w:history="1">
        <w:r w:rsidRPr="00C02DFD">
          <w:rPr>
            <w:rStyle w:val="Hyperlink"/>
          </w:rPr>
          <w:t>https://www.ahpra.gov.au/Registration/Registers-of-Practitioners.aspx</w:t>
        </w:r>
      </w:hyperlink>
      <w:r>
        <w:t>]</w:t>
      </w:r>
      <w:r w:rsidRPr="00C02DFD">
        <w:t>.</w:t>
      </w:r>
    </w:p>
    <w:p w14:paraId="143309F5" w14:textId="31E87C0F" w:rsidR="00C02DFD" w:rsidRPr="00C02DFD" w:rsidRDefault="00C02DFD" w:rsidP="00C02DFD">
      <w:pPr>
        <w:pStyle w:val="EndNoteBibliography"/>
        <w:spacing w:after="0"/>
      </w:pPr>
      <w:r w:rsidRPr="00C02DFD">
        <w:t>7.</w:t>
      </w:r>
      <w:r w:rsidRPr="00C02DFD">
        <w:tab/>
        <w:t xml:space="preserve">AHPRA. List of specialties, fields of specialty practice and related specialist titles: AHPRA; 2025 [Available from: </w:t>
      </w:r>
      <w:hyperlink r:id="rId9" w:history="1">
        <w:r w:rsidRPr="00C02DFD">
          <w:rPr>
            <w:rStyle w:val="Hyperlink"/>
          </w:rPr>
          <w:t>https://www.medicalboard.gov.au/Registration/Types/Specialist-Registration.aspx</w:t>
        </w:r>
      </w:hyperlink>
      <w:r>
        <w:t>]</w:t>
      </w:r>
      <w:r w:rsidRPr="00C02DFD">
        <w:t>.</w:t>
      </w:r>
    </w:p>
    <w:p w14:paraId="502D11F1" w14:textId="5B017725" w:rsidR="00C02DFD" w:rsidRPr="00C02DFD" w:rsidRDefault="00C02DFD" w:rsidP="00C02DFD">
      <w:pPr>
        <w:pStyle w:val="EndNoteBibliography"/>
        <w:spacing w:after="0"/>
      </w:pPr>
      <w:r w:rsidRPr="00C02DFD">
        <w:t>8.</w:t>
      </w:r>
      <w:r w:rsidRPr="00C02DFD">
        <w:tab/>
        <w:t xml:space="preserve">AHPRA. AHPRA and the National Boards 2023/24: Supplementary Tables: Australian Health Practitioner Regulation Agency; 2024 [Available from: </w:t>
      </w:r>
      <w:hyperlink r:id="rId10" w:history="1">
        <w:r w:rsidRPr="00C02DFD">
          <w:rPr>
            <w:rStyle w:val="Hyperlink"/>
          </w:rPr>
          <w:t>https://www.ahpra.gov.au/Publications/Annual-reports/Annual-report-2024/Index-of-tables.aspx</w:t>
        </w:r>
      </w:hyperlink>
      <w:r>
        <w:t>]</w:t>
      </w:r>
      <w:r w:rsidRPr="00C02DFD">
        <w:t>.</w:t>
      </w:r>
    </w:p>
    <w:p w14:paraId="5A15EEE9" w14:textId="1A51848B" w:rsidR="00C02DFD" w:rsidRPr="00C02DFD" w:rsidRDefault="00C02DFD" w:rsidP="00C02DFD">
      <w:pPr>
        <w:pStyle w:val="EndNoteBibliography"/>
      </w:pPr>
      <w:r w:rsidRPr="00C02DFD">
        <w:t>9.</w:t>
      </w:r>
      <w:r w:rsidRPr="00C02DFD">
        <w:tab/>
        <w:t>Australian Bureau of Statistics. Consumer Price Index, Australia</w:t>
      </w:r>
      <w:r>
        <w:t>;</w:t>
      </w:r>
      <w:r w:rsidRPr="00C02DFD">
        <w:t xml:space="preserve"> 2025 [Available from: </w:t>
      </w:r>
      <w:hyperlink r:id="rId11" w:history="1">
        <w:r w:rsidRPr="00C02DFD">
          <w:rPr>
            <w:rStyle w:val="Hyperlink"/>
          </w:rPr>
          <w:t>https://www.abs.gov.au/statistics/economy/price-indexes-and-inflation/consumer-price-index-australia/latest-release</w:t>
        </w:r>
      </w:hyperlink>
      <w:r>
        <w:t>]</w:t>
      </w:r>
      <w:r w:rsidRPr="00C02DFD">
        <w:t>.</w:t>
      </w:r>
    </w:p>
    <w:p w14:paraId="3C2F2F32" w14:textId="2753EF74" w:rsidR="00227C51" w:rsidRDefault="00C02DFD">
      <w:r w:rsidRPr="00C02DFD">
        <w:rPr>
          <w:rFonts w:ascii="Times New Roman" w:hAnsi="Times New Roman" w:cs="Times New Roman"/>
        </w:rPr>
        <w:fldChar w:fldCharType="end"/>
      </w:r>
    </w:p>
    <w:sectPr w:rsidR="00227C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2rp2pztd69tet2e9wdbpps56xap5rdsa9rza&quot;&gt;ForbesEndNote&lt;record-ids&gt;&lt;item&gt;1419&lt;/item&gt;&lt;item&gt;1420&lt;/item&gt;&lt;item&gt;1423&lt;/item&gt;&lt;item&gt;1424&lt;/item&gt;&lt;item&gt;1425&lt;/item&gt;&lt;item&gt;1540&lt;/item&gt;&lt;item&gt;1542&lt;/item&gt;&lt;item&gt;1593&lt;/item&gt;&lt;item&gt;1608&lt;/item&gt;&lt;/record-ids&gt;&lt;/item&gt;&lt;/Libraries&gt;"/>
    <w:docVar w:name="EN.UseJSCitationFormat" w:val="False"/>
  </w:docVars>
  <w:rsids>
    <w:rsidRoot w:val="00C02DFD"/>
    <w:rsid w:val="00227C51"/>
    <w:rsid w:val="006605E0"/>
    <w:rsid w:val="008207FB"/>
    <w:rsid w:val="00AA60F1"/>
    <w:rsid w:val="00C02DFD"/>
    <w:rsid w:val="00EF3F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D2439"/>
  <w15:chartTrackingRefBased/>
  <w15:docId w15:val="{F2252ED7-0127-427A-8D0E-2CF9BD0F9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DFD"/>
    <w:rPr>
      <w:lang w:bidi="th-TH"/>
    </w:rPr>
  </w:style>
  <w:style w:type="paragraph" w:styleId="Heading1">
    <w:name w:val="heading 1"/>
    <w:basedOn w:val="Normal"/>
    <w:next w:val="Normal"/>
    <w:link w:val="Heading1Char"/>
    <w:uiPriority w:val="9"/>
    <w:qFormat/>
    <w:rsid w:val="00C02DFD"/>
    <w:pPr>
      <w:keepNext/>
      <w:keepLines/>
      <w:spacing w:before="360" w:after="80"/>
      <w:outlineLvl w:val="0"/>
    </w:pPr>
    <w:rPr>
      <w:rFonts w:asciiTheme="majorHAnsi" w:eastAsiaTheme="majorEastAsia" w:hAnsiTheme="majorHAnsi" w:cstheme="majorBidi"/>
      <w:color w:val="0F4761" w:themeColor="accent1" w:themeShade="BF"/>
      <w:sz w:val="40"/>
      <w:szCs w:val="40"/>
      <w:lang w:bidi="ar-SA"/>
    </w:rPr>
  </w:style>
  <w:style w:type="paragraph" w:styleId="Heading2">
    <w:name w:val="heading 2"/>
    <w:basedOn w:val="Normal"/>
    <w:next w:val="Normal"/>
    <w:link w:val="Heading2Char"/>
    <w:uiPriority w:val="9"/>
    <w:semiHidden/>
    <w:unhideWhenUsed/>
    <w:qFormat/>
    <w:rsid w:val="00C02DFD"/>
    <w:pPr>
      <w:keepNext/>
      <w:keepLines/>
      <w:spacing w:before="160" w:after="80"/>
      <w:outlineLvl w:val="1"/>
    </w:pPr>
    <w:rPr>
      <w:rFonts w:asciiTheme="majorHAnsi" w:eastAsiaTheme="majorEastAsia" w:hAnsiTheme="majorHAnsi" w:cstheme="majorBidi"/>
      <w:color w:val="0F4761" w:themeColor="accent1" w:themeShade="BF"/>
      <w:sz w:val="32"/>
      <w:szCs w:val="32"/>
      <w:lang w:bidi="ar-SA"/>
    </w:rPr>
  </w:style>
  <w:style w:type="paragraph" w:styleId="Heading3">
    <w:name w:val="heading 3"/>
    <w:basedOn w:val="Normal"/>
    <w:next w:val="Normal"/>
    <w:link w:val="Heading3Char"/>
    <w:uiPriority w:val="9"/>
    <w:semiHidden/>
    <w:unhideWhenUsed/>
    <w:qFormat/>
    <w:rsid w:val="00C02DFD"/>
    <w:pPr>
      <w:keepNext/>
      <w:keepLines/>
      <w:spacing w:before="160" w:after="80"/>
      <w:outlineLvl w:val="2"/>
    </w:pPr>
    <w:rPr>
      <w:rFonts w:eastAsiaTheme="majorEastAsia" w:cstheme="majorBidi"/>
      <w:color w:val="0F4761" w:themeColor="accent1" w:themeShade="BF"/>
      <w:sz w:val="28"/>
      <w:szCs w:val="28"/>
      <w:lang w:bidi="ar-SA"/>
    </w:rPr>
  </w:style>
  <w:style w:type="paragraph" w:styleId="Heading4">
    <w:name w:val="heading 4"/>
    <w:basedOn w:val="Normal"/>
    <w:next w:val="Normal"/>
    <w:link w:val="Heading4Char"/>
    <w:uiPriority w:val="9"/>
    <w:semiHidden/>
    <w:unhideWhenUsed/>
    <w:qFormat/>
    <w:rsid w:val="00C02DFD"/>
    <w:pPr>
      <w:keepNext/>
      <w:keepLines/>
      <w:spacing w:before="80" w:after="40"/>
      <w:outlineLvl w:val="3"/>
    </w:pPr>
    <w:rPr>
      <w:rFonts w:eastAsiaTheme="majorEastAsia" w:cstheme="majorBidi"/>
      <w:i/>
      <w:iCs/>
      <w:color w:val="0F4761" w:themeColor="accent1" w:themeShade="BF"/>
      <w:lang w:bidi="ar-SA"/>
    </w:rPr>
  </w:style>
  <w:style w:type="paragraph" w:styleId="Heading5">
    <w:name w:val="heading 5"/>
    <w:basedOn w:val="Normal"/>
    <w:next w:val="Normal"/>
    <w:link w:val="Heading5Char"/>
    <w:uiPriority w:val="9"/>
    <w:semiHidden/>
    <w:unhideWhenUsed/>
    <w:qFormat/>
    <w:rsid w:val="00C02DFD"/>
    <w:pPr>
      <w:keepNext/>
      <w:keepLines/>
      <w:spacing w:before="80" w:after="40"/>
      <w:outlineLvl w:val="4"/>
    </w:pPr>
    <w:rPr>
      <w:rFonts w:eastAsiaTheme="majorEastAsia" w:cstheme="majorBidi"/>
      <w:color w:val="0F4761" w:themeColor="accent1" w:themeShade="BF"/>
      <w:lang w:bidi="ar-SA"/>
    </w:rPr>
  </w:style>
  <w:style w:type="paragraph" w:styleId="Heading6">
    <w:name w:val="heading 6"/>
    <w:basedOn w:val="Normal"/>
    <w:next w:val="Normal"/>
    <w:link w:val="Heading6Char"/>
    <w:uiPriority w:val="9"/>
    <w:semiHidden/>
    <w:unhideWhenUsed/>
    <w:qFormat/>
    <w:rsid w:val="00C02DFD"/>
    <w:pPr>
      <w:keepNext/>
      <w:keepLines/>
      <w:spacing w:before="40" w:after="0"/>
      <w:outlineLvl w:val="5"/>
    </w:pPr>
    <w:rPr>
      <w:rFonts w:eastAsiaTheme="majorEastAsia" w:cstheme="majorBidi"/>
      <w:i/>
      <w:iCs/>
      <w:color w:val="595959" w:themeColor="text1" w:themeTint="A6"/>
      <w:lang w:bidi="ar-SA"/>
    </w:rPr>
  </w:style>
  <w:style w:type="paragraph" w:styleId="Heading7">
    <w:name w:val="heading 7"/>
    <w:basedOn w:val="Normal"/>
    <w:next w:val="Normal"/>
    <w:link w:val="Heading7Char"/>
    <w:uiPriority w:val="9"/>
    <w:semiHidden/>
    <w:unhideWhenUsed/>
    <w:qFormat/>
    <w:rsid w:val="00C02DFD"/>
    <w:pPr>
      <w:keepNext/>
      <w:keepLines/>
      <w:spacing w:before="40" w:after="0"/>
      <w:outlineLvl w:val="6"/>
    </w:pPr>
    <w:rPr>
      <w:rFonts w:eastAsiaTheme="majorEastAsia" w:cstheme="majorBidi"/>
      <w:color w:val="595959" w:themeColor="text1" w:themeTint="A6"/>
      <w:lang w:bidi="ar-SA"/>
    </w:rPr>
  </w:style>
  <w:style w:type="paragraph" w:styleId="Heading8">
    <w:name w:val="heading 8"/>
    <w:basedOn w:val="Normal"/>
    <w:next w:val="Normal"/>
    <w:link w:val="Heading8Char"/>
    <w:uiPriority w:val="9"/>
    <w:semiHidden/>
    <w:unhideWhenUsed/>
    <w:qFormat/>
    <w:rsid w:val="00C02DFD"/>
    <w:pPr>
      <w:keepNext/>
      <w:keepLines/>
      <w:spacing w:after="0"/>
      <w:outlineLvl w:val="7"/>
    </w:pPr>
    <w:rPr>
      <w:rFonts w:eastAsiaTheme="majorEastAsia" w:cstheme="majorBidi"/>
      <w:i/>
      <w:iCs/>
      <w:color w:val="272727" w:themeColor="text1" w:themeTint="D8"/>
      <w:lang w:bidi="ar-SA"/>
    </w:rPr>
  </w:style>
  <w:style w:type="paragraph" w:styleId="Heading9">
    <w:name w:val="heading 9"/>
    <w:basedOn w:val="Normal"/>
    <w:next w:val="Normal"/>
    <w:link w:val="Heading9Char"/>
    <w:uiPriority w:val="9"/>
    <w:semiHidden/>
    <w:unhideWhenUsed/>
    <w:qFormat/>
    <w:rsid w:val="00C02DFD"/>
    <w:pPr>
      <w:keepNext/>
      <w:keepLines/>
      <w:spacing w:after="0"/>
      <w:outlineLvl w:val="8"/>
    </w:pPr>
    <w:rPr>
      <w:rFonts w:eastAsiaTheme="majorEastAsia" w:cstheme="majorBidi"/>
      <w:color w:val="272727" w:themeColor="text1" w:themeTint="D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D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2D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2D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2D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2D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2D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2D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2D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2DFD"/>
    <w:rPr>
      <w:rFonts w:eastAsiaTheme="majorEastAsia" w:cstheme="majorBidi"/>
      <w:color w:val="272727" w:themeColor="text1" w:themeTint="D8"/>
    </w:rPr>
  </w:style>
  <w:style w:type="paragraph" w:styleId="Title">
    <w:name w:val="Title"/>
    <w:basedOn w:val="Normal"/>
    <w:next w:val="Normal"/>
    <w:link w:val="TitleChar"/>
    <w:uiPriority w:val="10"/>
    <w:qFormat/>
    <w:rsid w:val="00C02DFD"/>
    <w:pPr>
      <w:spacing w:after="80" w:line="240" w:lineRule="auto"/>
      <w:contextualSpacing/>
    </w:pPr>
    <w:rPr>
      <w:rFonts w:asciiTheme="majorHAnsi" w:eastAsiaTheme="majorEastAsia" w:hAnsiTheme="majorHAnsi" w:cstheme="majorBidi"/>
      <w:spacing w:val="-10"/>
      <w:kern w:val="28"/>
      <w:sz w:val="56"/>
      <w:szCs w:val="56"/>
      <w:lang w:bidi="ar-SA"/>
    </w:rPr>
  </w:style>
  <w:style w:type="character" w:customStyle="1" w:styleId="TitleChar">
    <w:name w:val="Title Char"/>
    <w:basedOn w:val="DefaultParagraphFont"/>
    <w:link w:val="Title"/>
    <w:uiPriority w:val="10"/>
    <w:rsid w:val="00C02D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2DFD"/>
    <w:pPr>
      <w:numPr>
        <w:ilvl w:val="1"/>
      </w:numPr>
    </w:pPr>
    <w:rPr>
      <w:rFonts w:eastAsiaTheme="majorEastAsia" w:cstheme="majorBidi"/>
      <w:color w:val="595959" w:themeColor="text1" w:themeTint="A6"/>
      <w:spacing w:val="15"/>
      <w:sz w:val="28"/>
      <w:szCs w:val="28"/>
      <w:lang w:bidi="ar-SA"/>
    </w:rPr>
  </w:style>
  <w:style w:type="character" w:customStyle="1" w:styleId="SubtitleChar">
    <w:name w:val="Subtitle Char"/>
    <w:basedOn w:val="DefaultParagraphFont"/>
    <w:link w:val="Subtitle"/>
    <w:uiPriority w:val="11"/>
    <w:rsid w:val="00C02D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2DFD"/>
    <w:pPr>
      <w:spacing w:before="160"/>
      <w:jc w:val="center"/>
    </w:pPr>
    <w:rPr>
      <w:i/>
      <w:iCs/>
      <w:color w:val="404040" w:themeColor="text1" w:themeTint="BF"/>
      <w:lang w:bidi="ar-SA"/>
    </w:rPr>
  </w:style>
  <w:style w:type="character" w:customStyle="1" w:styleId="QuoteChar">
    <w:name w:val="Quote Char"/>
    <w:basedOn w:val="DefaultParagraphFont"/>
    <w:link w:val="Quote"/>
    <w:uiPriority w:val="29"/>
    <w:rsid w:val="00C02DFD"/>
    <w:rPr>
      <w:i/>
      <w:iCs/>
      <w:color w:val="404040" w:themeColor="text1" w:themeTint="BF"/>
    </w:rPr>
  </w:style>
  <w:style w:type="paragraph" w:styleId="ListParagraph">
    <w:name w:val="List Paragraph"/>
    <w:basedOn w:val="Normal"/>
    <w:uiPriority w:val="34"/>
    <w:qFormat/>
    <w:rsid w:val="00C02DFD"/>
    <w:pPr>
      <w:ind w:left="720"/>
      <w:contextualSpacing/>
    </w:pPr>
    <w:rPr>
      <w:lang w:bidi="ar-SA"/>
    </w:rPr>
  </w:style>
  <w:style w:type="character" w:styleId="IntenseEmphasis">
    <w:name w:val="Intense Emphasis"/>
    <w:basedOn w:val="DefaultParagraphFont"/>
    <w:uiPriority w:val="21"/>
    <w:qFormat/>
    <w:rsid w:val="00C02DFD"/>
    <w:rPr>
      <w:i/>
      <w:iCs/>
      <w:color w:val="0F4761" w:themeColor="accent1" w:themeShade="BF"/>
    </w:rPr>
  </w:style>
  <w:style w:type="paragraph" w:styleId="IntenseQuote">
    <w:name w:val="Intense Quote"/>
    <w:basedOn w:val="Normal"/>
    <w:next w:val="Normal"/>
    <w:link w:val="IntenseQuoteChar"/>
    <w:uiPriority w:val="30"/>
    <w:qFormat/>
    <w:rsid w:val="00C02D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bidi="ar-SA"/>
    </w:rPr>
  </w:style>
  <w:style w:type="character" w:customStyle="1" w:styleId="IntenseQuoteChar">
    <w:name w:val="Intense Quote Char"/>
    <w:basedOn w:val="DefaultParagraphFont"/>
    <w:link w:val="IntenseQuote"/>
    <w:uiPriority w:val="30"/>
    <w:rsid w:val="00C02DFD"/>
    <w:rPr>
      <w:i/>
      <w:iCs/>
      <w:color w:val="0F4761" w:themeColor="accent1" w:themeShade="BF"/>
    </w:rPr>
  </w:style>
  <w:style w:type="character" w:styleId="IntenseReference">
    <w:name w:val="Intense Reference"/>
    <w:basedOn w:val="DefaultParagraphFont"/>
    <w:uiPriority w:val="32"/>
    <w:qFormat/>
    <w:rsid w:val="00C02DFD"/>
    <w:rPr>
      <w:b/>
      <w:bCs/>
      <w:smallCaps/>
      <w:color w:val="0F4761" w:themeColor="accent1" w:themeShade="BF"/>
      <w:spacing w:val="5"/>
    </w:rPr>
  </w:style>
  <w:style w:type="table" w:styleId="TableGrid">
    <w:name w:val="Table Grid"/>
    <w:basedOn w:val="TableNormal"/>
    <w:uiPriority w:val="39"/>
    <w:rsid w:val="00C02DFD"/>
    <w:pPr>
      <w:spacing w:after="0" w:line="240" w:lineRule="auto"/>
    </w:pPr>
    <w:rPr>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C02DFD"/>
    <w:pPr>
      <w:spacing w:after="0"/>
      <w:jc w:val="center"/>
    </w:pPr>
    <w:rPr>
      <w:rFonts w:ascii="Times New Roman" w:hAnsi="Times New Roman" w:cs="Times New Roman"/>
      <w:noProof/>
      <w:lang w:val="en-US"/>
    </w:rPr>
  </w:style>
  <w:style w:type="character" w:customStyle="1" w:styleId="EndNoteBibliographyTitleChar">
    <w:name w:val="EndNote Bibliography Title Char"/>
    <w:basedOn w:val="DefaultParagraphFont"/>
    <w:link w:val="EndNoteBibliographyTitle"/>
    <w:rsid w:val="00C02DFD"/>
    <w:rPr>
      <w:rFonts w:ascii="Times New Roman" w:hAnsi="Times New Roman" w:cs="Times New Roman"/>
      <w:noProof/>
      <w:lang w:val="en-US" w:bidi="th-TH"/>
    </w:rPr>
  </w:style>
  <w:style w:type="paragraph" w:customStyle="1" w:styleId="EndNoteBibliography">
    <w:name w:val="EndNote Bibliography"/>
    <w:basedOn w:val="Normal"/>
    <w:link w:val="EndNoteBibliographyChar"/>
    <w:rsid w:val="00C02DFD"/>
    <w:pPr>
      <w:spacing w:line="480" w:lineRule="auto"/>
    </w:pPr>
    <w:rPr>
      <w:rFonts w:ascii="Times New Roman" w:hAnsi="Times New Roman" w:cs="Times New Roman"/>
      <w:noProof/>
      <w:lang w:val="en-US"/>
    </w:rPr>
  </w:style>
  <w:style w:type="character" w:customStyle="1" w:styleId="EndNoteBibliographyChar">
    <w:name w:val="EndNote Bibliography Char"/>
    <w:basedOn w:val="DefaultParagraphFont"/>
    <w:link w:val="EndNoteBibliography"/>
    <w:rsid w:val="00C02DFD"/>
    <w:rPr>
      <w:rFonts w:ascii="Times New Roman" w:hAnsi="Times New Roman" w:cs="Times New Roman"/>
      <w:noProof/>
      <w:lang w:val="en-US" w:bidi="th-TH"/>
    </w:rPr>
  </w:style>
  <w:style w:type="character" w:styleId="Hyperlink">
    <w:name w:val="Hyperlink"/>
    <w:basedOn w:val="DefaultParagraphFont"/>
    <w:uiPriority w:val="99"/>
    <w:unhideWhenUsed/>
    <w:rsid w:val="00C02DFD"/>
    <w:rPr>
      <w:color w:val="467886" w:themeColor="hyperlink"/>
      <w:u w:val="single"/>
    </w:rPr>
  </w:style>
  <w:style w:type="character" w:styleId="UnresolvedMention">
    <w:name w:val="Unresolved Mention"/>
    <w:basedOn w:val="DefaultParagraphFont"/>
    <w:uiPriority w:val="99"/>
    <w:semiHidden/>
    <w:unhideWhenUsed/>
    <w:rsid w:val="00C02D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hpra.gov.au/Registration/Registers-of-Practitioners.aspx"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hdl.handle.net/2123/20217"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isclosureaustralia.com.au/search/" TargetMode="External"/><Relationship Id="rId11" Type="http://schemas.openxmlformats.org/officeDocument/2006/relationships/hyperlink" Target="https://www.abs.gov.au/statistics/economy/price-indexes-and-inflation/consumer-price-index-australia/latest-release" TargetMode="External"/><Relationship Id="rId5" Type="http://schemas.openxmlformats.org/officeDocument/2006/relationships/image" Target="media/image2.jpeg"/><Relationship Id="rId10" Type="http://schemas.openxmlformats.org/officeDocument/2006/relationships/hyperlink" Target="https://www.ahpra.gov.au/Publications/Annual-reports/Annual-report-2024/Index-of-tables.aspx" TargetMode="External"/><Relationship Id="rId4" Type="http://schemas.openxmlformats.org/officeDocument/2006/relationships/image" Target="media/image1.jpeg"/><Relationship Id="rId9" Type="http://schemas.openxmlformats.org/officeDocument/2006/relationships/hyperlink" Target="https://www.medicalboard.gov.au/Registration/Types/Specialist-Registration.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3585</Words>
  <Characters>20438</Characters>
  <Application>Microsoft Office Word</Application>
  <DocSecurity>0</DocSecurity>
  <Lines>170</Lines>
  <Paragraphs>47</Paragraphs>
  <ScaleCrop>false</ScaleCrop>
  <Company/>
  <LinksUpToDate>false</LinksUpToDate>
  <CharactersWithSpaces>23976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Forbes</dc:creator>
  <cp:keywords/>
  <dc:description/>
  <cp:lastModifiedBy>Malcolm Forbes</cp:lastModifiedBy>
  <cp:revision>2</cp:revision>
  <dcterms:created xsi:type="dcterms:W3CDTF">2025-09-08T06:58:00Z</dcterms:created>
  <dcterms:modified xsi:type="dcterms:W3CDTF">2025-09-10T02:25:00Z</dcterms:modified>
</cp:coreProperties>
</file>