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  <w:rPr>
          <w:b w:val="0"/>
        </w:rPr>
      </w:pPr>
      <w:r>
        <w:t>Supplementary Material</w:t>
      </w:r>
    </w:p>
    <w:p w14:paraId="470381C0">
      <w:pPr>
        <w:pStyle w:val="2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Supplementary Tables</w:t>
      </w:r>
    </w:p>
    <w:p w14:paraId="55FC77E3">
      <w:pPr>
        <w:pStyle w:val="2"/>
        <w:numPr>
          <w:ilvl w:val="0"/>
          <w:numId w:val="0"/>
        </w:numPr>
        <w:ind w:leftChars="0"/>
        <w:jc w:val="center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Table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 xml:space="preserve"> S1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. Diagnostic capacity of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preoperative examination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8"/>
        <w:gridCol w:w="2409"/>
        <w:gridCol w:w="2492"/>
      </w:tblGrid>
      <w:tr w14:paraId="5465D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018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</w:tcPr>
          <w:p w14:paraId="0CAE23AD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Preoperative examination</w:t>
            </w:r>
          </w:p>
        </w:tc>
        <w:tc>
          <w:tcPr>
            <w:tcW w:w="2409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</w:tcPr>
          <w:p w14:paraId="5E18B626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Found clips [</w:t>
            </w:r>
            <w:r>
              <w:rPr>
                <w:rFonts w:hint="eastAsia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(%)]</w:t>
            </w:r>
          </w:p>
        </w:tc>
        <w:tc>
          <w:tcPr>
            <w:tcW w:w="2492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</w:tcPr>
          <w:p w14:paraId="131B7D67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Unf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ound clips [</w:t>
            </w:r>
            <w:r>
              <w:rPr>
                <w:rFonts w:hint="eastAsia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(%)]</w:t>
            </w:r>
          </w:p>
        </w:tc>
      </w:tr>
      <w:tr w14:paraId="043B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8" w:type="dxa"/>
            <w:tcBorders>
              <w:top w:val="single" w:color="4F81BD" w:themeColor="accent1" w:sz="6" w:space="0"/>
              <w:left w:val="nil"/>
              <w:bottom w:val="nil"/>
              <w:right w:val="nil"/>
            </w:tcBorders>
            <w:shd w:val="clear" w:color="auto" w:fill="FFFFFF"/>
          </w:tcPr>
          <w:p w14:paraId="6156585F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CT</w:t>
            </w:r>
          </w:p>
        </w:tc>
        <w:tc>
          <w:tcPr>
            <w:tcW w:w="2409" w:type="dxa"/>
            <w:tcBorders>
              <w:top w:val="single" w:color="4F81BD" w:themeColor="accent1" w:sz="6" w:space="0"/>
              <w:left w:val="nil"/>
              <w:bottom w:val="nil"/>
              <w:right w:val="nil"/>
            </w:tcBorders>
            <w:shd w:val="clear" w:color="auto" w:fill="FFFFFF"/>
          </w:tcPr>
          <w:p w14:paraId="239F965E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12 (92.3)</w:t>
            </w:r>
          </w:p>
        </w:tc>
        <w:tc>
          <w:tcPr>
            <w:tcW w:w="2492" w:type="dxa"/>
            <w:tcBorders>
              <w:top w:val="single" w:color="4F81BD" w:themeColor="accent1" w:sz="6" w:space="0"/>
              <w:left w:val="nil"/>
              <w:bottom w:val="nil"/>
              <w:right w:val="nil"/>
            </w:tcBorders>
            <w:shd w:val="clear" w:color="auto" w:fill="FFFFFF"/>
          </w:tcPr>
          <w:p w14:paraId="3A025151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1 (7.7)</w:t>
            </w:r>
          </w:p>
        </w:tc>
      </w:tr>
      <w:tr w14:paraId="50DA7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19801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MRCP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4B3597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2 (2</w:t>
            </w:r>
            <w:r>
              <w:rPr>
                <w:rFonts w:hint="eastAsia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5.0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670021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 xml:space="preserve"> (7</w:t>
            </w:r>
            <w:r>
              <w:rPr>
                <w:rFonts w:hint="eastAsia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5.0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</w:tr>
      <w:tr w14:paraId="62A14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DDCDF8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Choledochoscopy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 xml:space="preserve"> via T-tube sinus tract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E6BAF8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6 (100)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56C17F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06EC0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1BD5A6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Cholangiography</w:t>
            </w: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 xml:space="preserve"> via T-tube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E7FA6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1 (11.1)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AC693A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8 (88.9)</w:t>
            </w:r>
          </w:p>
        </w:tc>
      </w:tr>
      <w:tr w14:paraId="329AB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B640EB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ERCP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92CBFA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1 (50)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39D24F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1 (50)</w:t>
            </w:r>
          </w:p>
        </w:tc>
      </w:tr>
      <w:tr w14:paraId="7AA45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B6FC94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Ultrasound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0F64A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723A7E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1 (100)</w:t>
            </w:r>
          </w:p>
        </w:tc>
      </w:tr>
      <w:tr w14:paraId="4D3F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8" w:type="dxa"/>
            <w:tcBorders>
              <w:top w:val="nil"/>
              <w:left w:val="nil"/>
              <w:bottom w:val="single" w:color="4F81BD" w:themeColor="accent1" w:sz="12" w:space="0"/>
              <w:right w:val="nil"/>
            </w:tcBorders>
            <w:shd w:val="clear" w:color="auto" w:fill="FFFFFF"/>
          </w:tcPr>
          <w:p w14:paraId="0EAC836B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EGD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4F81BD" w:themeColor="accent1" w:sz="12" w:space="0"/>
              <w:right w:val="nil"/>
            </w:tcBorders>
            <w:shd w:val="clear" w:color="auto" w:fill="FFFFFF"/>
          </w:tcPr>
          <w:p w14:paraId="69B61948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1 (100)</w:t>
            </w:r>
          </w:p>
        </w:tc>
        <w:tc>
          <w:tcPr>
            <w:tcW w:w="2492" w:type="dxa"/>
            <w:tcBorders>
              <w:top w:val="nil"/>
              <w:left w:val="nil"/>
              <w:bottom w:val="single" w:color="4F81BD" w:themeColor="accent1" w:sz="12" w:space="0"/>
              <w:right w:val="nil"/>
            </w:tcBorders>
            <w:shd w:val="clear" w:color="auto" w:fill="FFFFFF"/>
          </w:tcPr>
          <w:p w14:paraId="65644317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</w:tbl>
    <w:p w14:paraId="2540F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MRCP: m</w:t>
      </w:r>
      <w:r>
        <w:rPr>
          <w:rFonts w:ascii="Times New Roman" w:hAnsi="Times New Roman" w:eastAsia="宋体" w:cs="Times New Roman"/>
          <w:sz w:val="21"/>
          <w:szCs w:val="21"/>
        </w:rPr>
        <w:t xml:space="preserve">agnetic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r</w:t>
      </w:r>
      <w:r>
        <w:rPr>
          <w:rFonts w:ascii="Times New Roman" w:hAnsi="Times New Roman" w:eastAsia="宋体" w:cs="Times New Roman"/>
          <w:sz w:val="21"/>
          <w:szCs w:val="21"/>
        </w:rPr>
        <w:t xml:space="preserve">esonance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c</w:t>
      </w:r>
      <w:r>
        <w:rPr>
          <w:rFonts w:ascii="Times New Roman" w:hAnsi="Times New Roman" w:eastAsia="宋体" w:cs="Times New Roman"/>
          <w:sz w:val="21"/>
          <w:szCs w:val="21"/>
        </w:rPr>
        <w:t>holangiopancreatography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, CT: c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omputed tomography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, ERCP: endoscopic retrograde cholangiopancreatography, EDG: </w:t>
      </w:r>
      <w:r>
        <w:rPr>
          <w:rFonts w:hint="eastAsia" w:eastAsia="宋体" w:cs="Times New Roman"/>
          <w:sz w:val="21"/>
          <w:szCs w:val="21"/>
          <w:lang w:val="en-US" w:eastAsia="zh-CN"/>
        </w:rPr>
        <w:t>e</w:t>
      </w:r>
      <w:r>
        <w:rPr>
          <w:rFonts w:ascii="Times New Roman" w:hAnsi="Times New Roman" w:eastAsia="宋体" w:cs="Times New Roman"/>
          <w:sz w:val="21"/>
          <w:szCs w:val="21"/>
        </w:rPr>
        <w:t>sophagogastroduodenoscopy</w:t>
      </w:r>
    </w:p>
    <w:p w14:paraId="0B13B40B">
      <w:pPr>
        <w:jc w:val="both"/>
        <w:rPr>
          <w:sz w:val="24"/>
          <w:szCs w:val="24"/>
        </w:rPr>
      </w:pPr>
    </w:p>
    <w:p w14:paraId="22FF056C">
      <w:pPr>
        <w:jc w:val="both"/>
        <w:rPr>
          <w:sz w:val="24"/>
          <w:szCs w:val="24"/>
        </w:rPr>
      </w:pPr>
    </w:p>
    <w:p w14:paraId="6D8DF919">
      <w:pPr>
        <w:pStyle w:val="2"/>
        <w:numPr>
          <w:ilvl w:val="0"/>
          <w:numId w:val="0"/>
        </w:numPr>
        <w:ind w:leftChars="0"/>
        <w:jc w:val="center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Table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 xml:space="preserve"> S2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. Summary of initial operat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i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 xml:space="preserve">on, migration position and 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reatment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3930"/>
      </w:tblGrid>
      <w:tr w14:paraId="51BDC7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</w:tcPr>
          <w:p w14:paraId="72379D4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/>
                <w:i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0" w:type="dxa"/>
            <w:tcBorders>
              <w:top w:val="single" w:color="4F81BD" w:themeColor="accent1" w:sz="12" w:space="0"/>
              <w:left w:val="nil"/>
              <w:bottom w:val="single" w:color="4F81BD" w:themeColor="accent1" w:sz="6" w:space="0"/>
              <w:right w:val="nil"/>
            </w:tcBorders>
            <w:shd w:val="clear" w:color="auto" w:fill="FFFFFF"/>
          </w:tcPr>
          <w:p w14:paraId="21FDD62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/>
                <w:i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Book Antiqua" w:cs="Times New Roman"/>
                <w:b/>
                <w:i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 (%)</w:t>
            </w:r>
          </w:p>
        </w:tc>
      </w:tr>
      <w:tr w14:paraId="4536DA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548E19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Initial operation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42C7EB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16C25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5152E09">
            <w:pPr>
              <w:keepNext w:val="0"/>
              <w:keepLines w:val="0"/>
              <w:widowControl/>
              <w:suppressLineNumbers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LCBDE with T tube drainage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EEABED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 xml:space="preserve"> (91.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5BC288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9073D58">
            <w:pPr>
              <w:keepNext w:val="0"/>
              <w:keepLines w:val="0"/>
              <w:widowControl/>
              <w:suppressLineNumbers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LCBDE with primary closur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e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750E3A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 (8.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66C249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08241D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Migration position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E1DB95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4095E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2EB5894">
            <w:pPr>
              <w:keepNext w:val="0"/>
              <w:keepLines w:val="0"/>
              <w:widowControl/>
              <w:suppressLineNumbers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CBD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C30ADB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 xml:space="preserve"> (7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7.8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5B8A25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DAD1E97">
            <w:pPr>
              <w:keepNext w:val="0"/>
              <w:keepLines w:val="0"/>
              <w:widowControl/>
              <w:suppressLineNumbers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T-tube sinus tract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08C104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6 (1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6.7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1AA970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025FFFB">
            <w:pPr>
              <w:keepNext w:val="0"/>
              <w:keepLines w:val="0"/>
              <w:widowControl/>
              <w:suppressLineNumbers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Duodenum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2A596E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1 (2.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6683A5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9B4805C">
            <w:pPr>
              <w:keepNext w:val="0"/>
              <w:keepLines w:val="0"/>
              <w:widowControl/>
              <w:suppressLineNumbers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Unk</w:t>
            </w:r>
            <w:r>
              <w:rPr>
                <w:rFonts w:hint="eastAsia" w:eastAsia="Book Antiqua" w:cs="Times New Roman"/>
                <w:b w:val="0"/>
                <w:i w:val="0"/>
                <w:strike w:val="0"/>
                <w:color w:val="auto"/>
                <w:kern w:val="0"/>
                <w:sz w:val="21"/>
                <w:szCs w:val="21"/>
                <w:u w:val="none"/>
                <w:shd w:val="clear" w:fill="auto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own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4F6FA0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1 (2.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3BF50C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6CBDA76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Treatment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4E45AA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F923B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EF72A8D">
            <w:pPr>
              <w:widowControl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i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21"/>
                <w:szCs w:val="21"/>
                <w:vertAlign w:val="baseline"/>
                <w:lang w:val="en-US" w:eastAsia="zh-CN"/>
              </w:rPr>
              <w:t xml:space="preserve">LCBDE or 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laparotomy operation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183296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 xml:space="preserve"> (3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3ADC46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DF2E352">
            <w:pPr>
              <w:widowControl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1"/>
                <w:szCs w:val="21"/>
                <w:vertAlign w:val="baseline"/>
                <w:lang w:val="en-US" w:eastAsia="zh-CN"/>
              </w:rPr>
              <w:t>ERCP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435C91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 xml:space="preserve"> (1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35DDC8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680C1B0">
            <w:pPr>
              <w:widowControl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i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Removed by choledochoscopy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50B3A2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16 (4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  <w:tr w14:paraId="096368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36" w:type="dxa"/>
            <w:tcBorders>
              <w:top w:val="nil"/>
              <w:left w:val="nil"/>
              <w:bottom w:val="single" w:color="4F81BD" w:themeColor="accent1" w:sz="12" w:space="0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61FAB2D">
            <w:pPr>
              <w:widowControl w:val="0"/>
              <w:spacing w:line="240" w:lineRule="auto"/>
              <w:ind w:firstLine="210" w:firstLineChars="100"/>
              <w:jc w:val="both"/>
              <w:rPr>
                <w:rFonts w:hint="default" w:ascii="Times New Roman" w:hAnsi="Times New Roman" w:cs="Times New Roman"/>
                <w:b w:val="0"/>
                <w:i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Observation</w:t>
            </w:r>
          </w:p>
        </w:tc>
        <w:tc>
          <w:tcPr>
            <w:tcW w:w="3930" w:type="dxa"/>
            <w:tcBorders>
              <w:top w:val="nil"/>
              <w:left w:val="nil"/>
              <w:bottom w:val="single" w:color="4F81BD" w:themeColor="accent1" w:sz="12" w:space="0"/>
              <w:right w:val="nil"/>
              <w:tl2br w:val="nil"/>
              <w:tr2bl w:val="nil"/>
            </w:tcBorders>
            <w:shd w:val="clear" w:color="auto" w:fill="FFFFFF"/>
          </w:tcPr>
          <w:p w14:paraId="459540C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 (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Book Antiqua" w:cs="Times New Roman"/>
                <w:b w:val="0"/>
                <w:i w:val="0"/>
                <w:color w:val="08090C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</w:tr>
    </w:tbl>
    <w:p w14:paraId="026840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CBD: common bi</w:t>
      </w:r>
      <w:r>
        <w:rPr>
          <w:rFonts w:hint="eastAsia" w:eastAsia="宋体" w:cs="Times New Roman"/>
          <w:strike w:val="0"/>
          <w:color w:val="auto"/>
          <w:sz w:val="21"/>
          <w:szCs w:val="21"/>
          <w:u w:val="none"/>
          <w:shd w:val="clear" w:fill="auto"/>
          <w:lang w:val="en-US" w:eastAsia="zh-CN"/>
        </w:rPr>
        <w:t>l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e duct, ERCP: endoscopic retrograde cholangiopancreatography,  LCBDE: </w:t>
      </w:r>
      <w:r>
        <w:rPr>
          <w:rFonts w:hint="eastAsia" w:eastAsia="宋体" w:cs="Times New Roman"/>
          <w:sz w:val="21"/>
          <w:szCs w:val="21"/>
          <w:lang w:val="en-US" w:eastAsia="zh-CN"/>
        </w:rPr>
        <w:t>l</w:t>
      </w:r>
      <w:r>
        <w:rPr>
          <w:rFonts w:ascii="Times New Roman" w:hAnsi="Times New Roman" w:eastAsia="宋体" w:cs="Times New Roman"/>
          <w:sz w:val="21"/>
          <w:szCs w:val="21"/>
        </w:rPr>
        <w:t xml:space="preserve">aparoscopic </w:t>
      </w:r>
      <w:r>
        <w:rPr>
          <w:rFonts w:hint="eastAsia" w:eastAsia="宋体" w:cs="Times New Roman"/>
          <w:sz w:val="21"/>
          <w:szCs w:val="21"/>
          <w:lang w:val="en-US" w:eastAsia="zh-CN"/>
        </w:rPr>
        <w:t>c</w:t>
      </w:r>
      <w:r>
        <w:rPr>
          <w:rFonts w:ascii="Times New Roman" w:hAnsi="Times New Roman" w:eastAsia="宋体" w:cs="Times New Roman"/>
          <w:sz w:val="21"/>
          <w:szCs w:val="21"/>
        </w:rPr>
        <w:t xml:space="preserve">ommon </w:t>
      </w:r>
      <w:r>
        <w:rPr>
          <w:rFonts w:hint="eastAsia" w:eastAsia="宋体" w:cs="Times New Roman"/>
          <w:sz w:val="21"/>
          <w:szCs w:val="21"/>
          <w:lang w:val="en-US" w:eastAsia="zh-CN"/>
        </w:rPr>
        <w:t>b</w:t>
      </w:r>
      <w:r>
        <w:rPr>
          <w:rFonts w:ascii="Times New Roman" w:hAnsi="Times New Roman" w:eastAsia="宋体" w:cs="Times New Roman"/>
          <w:sz w:val="21"/>
          <w:szCs w:val="21"/>
        </w:rPr>
        <w:t xml:space="preserve">ile </w:t>
      </w:r>
      <w:r>
        <w:rPr>
          <w:rFonts w:hint="eastAsia" w:eastAsia="宋体" w:cs="Times New Roman"/>
          <w:sz w:val="21"/>
          <w:szCs w:val="21"/>
          <w:lang w:val="en-US" w:eastAsia="zh-CN"/>
        </w:rPr>
        <w:t>d</w:t>
      </w:r>
      <w:r>
        <w:rPr>
          <w:rFonts w:ascii="Times New Roman" w:hAnsi="Times New Roman" w:eastAsia="宋体" w:cs="Times New Roman"/>
          <w:sz w:val="21"/>
          <w:szCs w:val="21"/>
        </w:rPr>
        <w:t xml:space="preserve">uct </w:t>
      </w:r>
      <w:r>
        <w:rPr>
          <w:rFonts w:hint="eastAsia" w:eastAsia="宋体" w:cs="Times New Roman"/>
          <w:sz w:val="21"/>
          <w:szCs w:val="21"/>
          <w:lang w:val="en-US" w:eastAsia="zh-CN"/>
        </w:rPr>
        <w:t>e</w:t>
      </w:r>
      <w:r>
        <w:rPr>
          <w:rFonts w:ascii="Times New Roman" w:hAnsi="Times New Roman" w:eastAsia="宋体" w:cs="Times New Roman"/>
          <w:sz w:val="21"/>
          <w:szCs w:val="21"/>
        </w:rPr>
        <w:t>xploration</w:t>
      </w:r>
    </w:p>
    <w:p w14:paraId="55D6BCB3">
      <w:pPr>
        <w:rPr>
          <w:rFonts w:hint="default"/>
          <w:lang w:val="en-US" w:eastAsia="zh-CN"/>
        </w:rPr>
      </w:pPr>
    </w:p>
    <w:p w14:paraId="4916FCC9">
      <w:pPr>
        <w:pStyle w:val="2"/>
        <w:rPr>
          <w:rFonts w:cs="Times New Roman"/>
          <w:szCs w:val="24"/>
        </w:rPr>
      </w:pP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>Supplementary Figures</w:t>
      </w:r>
    </w:p>
    <w:p w14:paraId="11EC8DA1">
      <w:pPr>
        <w:keepNext/>
        <w:jc w:val="center"/>
        <w:rPr>
          <w:rFonts w:hint="eastAsia" w:eastAsia="宋体" w:cs="Times New Roman"/>
          <w:szCs w:val="24"/>
          <w:lang w:eastAsia="zh-CN"/>
        </w:rPr>
      </w:pPr>
      <w:r>
        <w:rPr>
          <w:rFonts w:hint="eastAsia" w:eastAsia="宋体" w:cs="Times New Roman"/>
          <w:szCs w:val="24"/>
          <w:lang w:eastAsia="zh-CN"/>
        </w:rPr>
        <w:drawing>
          <wp:inline distT="0" distB="0" distL="114300" distR="114300">
            <wp:extent cx="5039995" cy="3175000"/>
            <wp:effectExtent l="0" t="0" r="4445" b="10160"/>
            <wp:docPr id="2" name="图片 2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F58D29A">
      <w:pPr>
        <w:spacing w:line="24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cs="Times New Roman"/>
          <w:b/>
          <w:sz w:val="21"/>
          <w:szCs w:val="21"/>
        </w:rPr>
        <w:t xml:space="preserve">Supplementary Figure </w:t>
      </w:r>
      <w:r>
        <w:rPr>
          <w:rFonts w:cs="Times New Roman"/>
          <w:b/>
          <w:sz w:val="21"/>
          <w:szCs w:val="21"/>
        </w:rPr>
        <w:fldChar w:fldCharType="begin"/>
      </w:r>
      <w:r>
        <w:rPr>
          <w:rFonts w:cs="Times New Roman"/>
          <w:b/>
          <w:sz w:val="21"/>
          <w:szCs w:val="21"/>
        </w:rPr>
        <w:instrText xml:space="preserve"> SEQ Figure \* ARABIC </w:instrText>
      </w:r>
      <w:r>
        <w:rPr>
          <w:rFonts w:cs="Times New Roman"/>
          <w:b/>
          <w:sz w:val="21"/>
          <w:szCs w:val="21"/>
        </w:rPr>
        <w:fldChar w:fldCharType="separate"/>
      </w:r>
      <w:r>
        <w:rPr>
          <w:rFonts w:cs="Times New Roman"/>
          <w:b/>
          <w:sz w:val="21"/>
          <w:szCs w:val="21"/>
        </w:rPr>
        <w:t>1</w:t>
      </w:r>
      <w:r>
        <w:rPr>
          <w:rFonts w:cs="Times New Roman"/>
          <w:b/>
          <w:sz w:val="21"/>
          <w:szCs w:val="21"/>
        </w:rPr>
        <w:fldChar w:fldCharType="end"/>
      </w:r>
      <w:r>
        <w:rPr>
          <w:rFonts w:cs="Times New Roman"/>
          <w:b/>
          <w:sz w:val="21"/>
          <w:szCs w:val="21"/>
        </w:rPr>
        <w:t>.</w:t>
      </w:r>
      <w:r>
        <w:rPr>
          <w:rFonts w:cs="Times New Roman"/>
          <w:sz w:val="21"/>
          <w:szCs w:val="21"/>
        </w:rPr>
        <w:t xml:space="preserve"> </w:t>
      </w:r>
      <w:r>
        <w:rPr>
          <w:rFonts w:hint="eastAsia" w:cs="Times New Roman"/>
          <w:sz w:val="21"/>
          <w:szCs w:val="21"/>
          <w:lang w:val="en-US" w:eastAsia="zh-CN"/>
        </w:rPr>
        <w:t>CT scan revealed th</w:t>
      </w:r>
      <w:r>
        <w:rPr>
          <w:rFonts w:hint="default" w:cs="Times New Roman"/>
          <w:sz w:val="21"/>
          <w:szCs w:val="21"/>
          <w:lang w:val="en-US" w:eastAsia="zh-CN"/>
        </w:rPr>
        <w:t>a</w:t>
      </w:r>
      <w:r>
        <w:rPr>
          <w:rFonts w:hint="eastAsia" w:cs="Times New Roman"/>
          <w:sz w:val="21"/>
          <w:szCs w:val="21"/>
          <w:lang w:val="en-US" w:eastAsia="zh-CN"/>
        </w:rPr>
        <w:t>t two surgical clips on the cystic duct were still in place (red arrows), with CBD dilation accompanied by stone formation (yellow ellipse).</w:t>
      </w:r>
    </w:p>
    <w:p w14:paraId="42464DCC">
      <w:pPr>
        <w:spacing w:before="240"/>
      </w:pP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  <w:color w:val="A6A6A6" w:themeColor="background1" w:themeShade="A6"/>
        <w:lang w:val="en-GB" w:eastAsia="en-GB"/>
      </w:rPr>
      <w:drawing>
        <wp:inline distT="0" distB="0" distL="0" distR="0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1B5D7F47"/>
    <w:rsid w:val="1F701785"/>
    <w:rsid w:val="20EF7FAB"/>
    <w:rsid w:val="5665526F"/>
    <w:rsid w:val="7592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6.xml"/><Relationship Id="rId16" Type="http://schemas.openxmlformats.org/officeDocument/2006/relationships/customXml" Target="../customXml/item5.xml"/><Relationship Id="rId15" Type="http://schemas.openxmlformats.org/officeDocument/2006/relationships/customXml" Target="../customXml/item4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/>
</ds:datastoreItem>
</file>

<file path=customXml/itemProps3.xml><?xml version="1.0" encoding="utf-8"?>
<ds:datastoreItem xmlns:ds="http://schemas.openxmlformats.org/officeDocument/2006/customXml" ds:itemID="{4B2E0E22-D442-4EBE-AAA2-EDC8871E7B4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114314AF-3C36-4C2C-B599-40A76C6FFFC1}">
  <ds:schemaRefs/>
</ds:datastoreItem>
</file>

<file path=customXml/itemProps6.xml><?xml version="1.0" encoding="utf-8"?>
<ds:datastoreItem xmlns:ds="http://schemas.openxmlformats.org/officeDocument/2006/customXml" ds:itemID="{DFF441E3-103C-4487-877D-08CD22337C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2</Pages>
  <Words>178</Words>
  <Characters>1062</Characters>
  <Lines>6</Lines>
  <Paragraphs>1</Paragraphs>
  <TotalTime>13</TotalTime>
  <ScaleCrop>false</ScaleCrop>
  <LinksUpToDate>false</LinksUpToDate>
  <CharactersWithSpaces>1185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枫</cp:lastModifiedBy>
  <cp:lastPrinted>2013-10-03T12:51:00Z</cp:lastPrinted>
  <dcterms:modified xsi:type="dcterms:W3CDTF">2026-04-30T06:50:09Z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eyJoZGlkIjoiMzc4OTBhMTZjYjZhMmUyMjYwYzA1M2Y5ODUxZjdhNWYiLCJ1c2VySWQiOiI2NDk4OTkyODkifQ==</vt:lpwstr>
  </property>
  <property fmtid="{D5CDD505-2E9C-101B-9397-08002B2CF9AE}" pid="11" name="KSOProductBuildVer">
    <vt:lpwstr>2052-12.1.0.25225</vt:lpwstr>
  </property>
  <property fmtid="{D5CDD505-2E9C-101B-9397-08002B2CF9AE}" pid="12" name="ICV">
    <vt:lpwstr>93BFEC9B91FB4733837FACE706A34AA2_12</vt:lpwstr>
  </property>
  <property fmtid="{D5CDD505-2E9C-101B-9397-08002B2CF9AE}" pid="13" name="OfficeAIDocId">
    <vt:lpwstr>DOC_ce6fef28abaf43f6818085b118936903</vt:lpwstr>
  </property>
</Properties>
</file>