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6C6B0" w14:textId="6BC316A2" w:rsidR="002A00F2" w:rsidRPr="0033283C" w:rsidRDefault="00000000" w:rsidP="004830A6">
      <w:pPr>
        <w:snapToGri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E455B">
        <w:rPr>
          <w:rFonts w:ascii="Times New Roman" w:eastAsia="Times New Roman" w:hAnsi="Times New Roman" w:cs="Times New Roman"/>
          <w:b/>
          <w:color w:val="000000" w:themeColor="text1"/>
        </w:rPr>
        <w:t>Supplementary Fig</w:t>
      </w:r>
      <w:r w:rsidR="000E0462">
        <w:rPr>
          <w:rFonts w:ascii="Times New Roman" w:hAnsi="Times New Roman" w:cs="Times New Roman" w:hint="eastAsia"/>
          <w:b/>
          <w:color w:val="000000" w:themeColor="text1"/>
        </w:rPr>
        <w:t>ure</w:t>
      </w:r>
      <w:r w:rsidR="001A7C7D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62A85">
        <w:rPr>
          <w:rFonts w:ascii="Times New Roman" w:hAnsi="Times New Roman" w:cs="Times New Roman" w:hint="eastAsia"/>
          <w:b/>
          <w:color w:val="000000" w:themeColor="text1"/>
        </w:rPr>
        <w:t>S</w:t>
      </w:r>
      <w:r w:rsidRPr="004E455B">
        <w:rPr>
          <w:rFonts w:ascii="Times New Roman" w:eastAsia="Times New Roman" w:hAnsi="Times New Roman" w:cs="Times New Roman"/>
          <w:b/>
          <w:color w:val="000000" w:themeColor="text1"/>
        </w:rPr>
        <w:t>2</w:t>
      </w:r>
      <w:r w:rsidR="003A4C5D">
        <w:rPr>
          <w:rFonts w:ascii="Times New Roman" w:eastAsia="Times New Roman" w:hAnsi="Times New Roman" w:cs="Times New Roman"/>
          <w:b/>
          <w:color w:val="000000" w:themeColor="text1"/>
        </w:rPr>
        <w:t>.</w:t>
      </w:r>
      <w:r w:rsidR="002A00F2" w:rsidRPr="004E455B">
        <w:rPr>
          <w:rFonts w:ascii="Times New Roman" w:eastAsia="Times New Roman" w:hAnsi="Times New Roman" w:cs="Times New Roman"/>
          <w:color w:val="000000" w:themeColor="text1"/>
        </w:rPr>
        <w:t xml:space="preserve"> Effect of SUEHP on astrocyte activation in the spinal cord of MPTP-induced PD animals. (</w:t>
      </w:r>
      <w:r w:rsidR="0098458E">
        <w:rPr>
          <w:rFonts w:ascii="Times New Roman" w:hAnsi="Times New Roman" w:cs="Times New Roman" w:hint="eastAsia"/>
          <w:color w:val="000000" w:themeColor="text1"/>
        </w:rPr>
        <w:t>a</w:t>
      </w:r>
      <w:r w:rsidR="002A00F2" w:rsidRPr="004E455B">
        <w:rPr>
          <w:rFonts w:ascii="Times New Roman" w:eastAsia="Times New Roman" w:hAnsi="Times New Roman" w:cs="Times New Roman"/>
          <w:color w:val="000000" w:themeColor="text1"/>
        </w:rPr>
        <w:t>) Astrocyte activation was examined in the dorsal horn of the spinal cord (L3–L6) using immunofluorescence staining for GFAP. (</w:t>
      </w:r>
      <w:r w:rsidR="0098458E">
        <w:rPr>
          <w:rFonts w:ascii="Times New Roman" w:hAnsi="Times New Roman" w:cs="Times New Roman" w:hint="eastAsia"/>
          <w:color w:val="000000" w:themeColor="text1"/>
        </w:rPr>
        <w:t>b</w:t>
      </w:r>
      <w:r w:rsidR="002A00F2" w:rsidRPr="004E455B">
        <w:rPr>
          <w:rFonts w:ascii="Times New Roman" w:eastAsia="Times New Roman" w:hAnsi="Times New Roman" w:cs="Times New Roman"/>
          <w:color w:val="000000" w:themeColor="text1"/>
        </w:rPr>
        <w:t xml:space="preserve">) Astrocyte activation was quantified by measuring the GFAP-stained area using ImageJ. Scale bars: 100 </w:t>
      </w:r>
      <w:proofErr w:type="spellStart"/>
      <w:r w:rsidR="002A00F2" w:rsidRPr="004E455B">
        <w:rPr>
          <w:rFonts w:ascii="Times New Roman" w:eastAsia="Times New Roman" w:hAnsi="Times New Roman" w:cs="Times New Roman"/>
          <w:color w:val="000000" w:themeColor="text1"/>
        </w:rPr>
        <w:t>μm</w:t>
      </w:r>
      <w:proofErr w:type="spellEnd"/>
      <w:r w:rsidR="002A00F2" w:rsidRPr="004E455B">
        <w:rPr>
          <w:rFonts w:ascii="Times New Roman" w:eastAsia="Times New Roman" w:hAnsi="Times New Roman" w:cs="Times New Roman"/>
          <w:color w:val="000000" w:themeColor="text1"/>
        </w:rPr>
        <w:t xml:space="preserve">. Data are presented as mean ± SEM (n=5). </w:t>
      </w:r>
      <w:r w:rsidR="002A00F2" w:rsidRPr="004E455B">
        <w:rPr>
          <w:rFonts w:ascii="Times New Roman" w:eastAsia="Times New Roman" w:hAnsi="Times New Roman" w:cs="Times New Roman"/>
          <w:i/>
          <w:iCs/>
          <w:color w:val="000000" w:themeColor="text1"/>
          <w:vertAlign w:val="superscript"/>
        </w:rPr>
        <w:t>a</w:t>
      </w:r>
      <w:r w:rsidR="002A00F2" w:rsidRPr="004E455B">
        <w:rPr>
          <w:rFonts w:ascii="Times New Roman" w:eastAsia="Times New Roman" w:hAnsi="Times New Roman" w:cs="Times New Roman"/>
          <w:i/>
          <w:iCs/>
          <w:color w:val="000000" w:themeColor="text1"/>
        </w:rPr>
        <w:t>p</w:t>
      </w:r>
      <w:r w:rsidR="002A00F2" w:rsidRPr="004E455B">
        <w:rPr>
          <w:rFonts w:ascii="Times New Roman" w:eastAsia="Times New Roman" w:hAnsi="Times New Roman" w:cs="Times New Roman"/>
          <w:color w:val="000000" w:themeColor="text1"/>
        </w:rPr>
        <w:t>&lt;0.05</w:t>
      </w:r>
      <w:r w:rsidR="002A00F2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A00F2" w:rsidRPr="004E455B">
        <w:rPr>
          <w:rFonts w:ascii="Times New Roman" w:eastAsia="Times New Roman" w:hAnsi="Times New Roman" w:cs="Times New Roman"/>
          <w:i/>
          <w:color w:val="000000" w:themeColor="text1"/>
        </w:rPr>
        <w:t>vs.</w:t>
      </w:r>
      <w:r w:rsidR="002A00F2" w:rsidRPr="004E455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A00F2">
        <w:rPr>
          <w:rFonts w:ascii="Times New Roman" w:hAnsi="Times New Roman" w:cs="Times New Roman" w:hint="eastAsia"/>
          <w:color w:val="000000" w:themeColor="text1"/>
        </w:rPr>
        <w:t>Con</w:t>
      </w:r>
      <w:r w:rsidR="002A00F2" w:rsidRPr="004E455B">
        <w:rPr>
          <w:rFonts w:ascii="Times New Roman" w:eastAsia="Times New Roman" w:hAnsi="Times New Roman" w:cs="Times New Roman"/>
          <w:color w:val="000000" w:themeColor="text1"/>
        </w:rPr>
        <w:t>.</w:t>
      </w:r>
      <w:r w:rsidR="002A00F2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A00F2" w:rsidRPr="00664F1C">
        <w:rPr>
          <w:rFonts w:ascii="Times New Roman" w:eastAsia="Times New Roman" w:hAnsi="Times New Roman" w:cs="Times New Roman"/>
          <w:color w:val="000000" w:themeColor="text1"/>
        </w:rPr>
        <w:t>Abbreviations: DAPI, 4′,6-diamidino-2-phenylindole;</w:t>
      </w:r>
      <w:r w:rsidR="002A00F2" w:rsidRPr="00664F1C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A00F2" w:rsidRPr="00664F1C">
        <w:rPr>
          <w:rFonts w:ascii="Times New Roman" w:eastAsia="Times New Roman" w:hAnsi="Times New Roman" w:cs="Times New Roman"/>
          <w:color w:val="000000" w:themeColor="text1"/>
        </w:rPr>
        <w:t>GB34, acupoint “</w:t>
      </w:r>
      <w:proofErr w:type="spellStart"/>
      <w:r w:rsidR="002A00F2" w:rsidRPr="00664F1C">
        <w:rPr>
          <w:rFonts w:ascii="Times New Roman" w:eastAsia="Times New Roman" w:hAnsi="Times New Roman" w:cs="Times New Roman"/>
          <w:color w:val="000000" w:themeColor="text1"/>
        </w:rPr>
        <w:t>Yanglingquan</w:t>
      </w:r>
      <w:proofErr w:type="spellEnd"/>
      <w:r w:rsidR="002A00F2" w:rsidRPr="00664F1C">
        <w:rPr>
          <w:rFonts w:ascii="Times New Roman" w:eastAsia="Times New Roman" w:hAnsi="Times New Roman" w:cs="Times New Roman"/>
          <w:color w:val="000000" w:themeColor="text1"/>
        </w:rPr>
        <w:t>”;</w:t>
      </w:r>
      <w:r w:rsidR="002A00F2" w:rsidRPr="00664F1C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A00F2" w:rsidRPr="00664F1C">
        <w:rPr>
          <w:rFonts w:ascii="Times New Roman" w:hAnsi="Times New Roman" w:cs="Times New Roman"/>
          <w:color w:val="000000" w:themeColor="text1"/>
        </w:rPr>
        <w:t>GFAP, glial fibrillary acidic protein;</w:t>
      </w:r>
      <w:r w:rsidR="002A00F2" w:rsidRPr="00664F1C">
        <w:rPr>
          <w:rFonts w:ascii="Times New Roman" w:eastAsia="Times New Roman" w:hAnsi="Times New Roman" w:cs="Times New Roman"/>
          <w:color w:val="000000" w:themeColor="text1"/>
        </w:rPr>
        <w:t xml:space="preserve"> MPTP, 1-methyl-4-phenyl-1,2,3,6-tetrahydropyridine; </w:t>
      </w:r>
      <w:r w:rsidR="002A00F2" w:rsidRPr="00664F1C">
        <w:rPr>
          <w:rFonts w:ascii="Times New Roman" w:eastAsia="Times New Roman" w:hAnsi="Times New Roman" w:cs="Times New Roman"/>
          <w:bCs/>
          <w:color w:val="000000" w:themeColor="text1"/>
        </w:rPr>
        <w:t xml:space="preserve">PD, Parkinson’s disease; </w:t>
      </w:r>
      <w:r w:rsidR="002A00F2" w:rsidRPr="00664F1C">
        <w:rPr>
          <w:rFonts w:ascii="Times New Roman" w:eastAsia="Times New Roman" w:hAnsi="Times New Roman" w:cs="Times New Roman"/>
          <w:color w:val="000000" w:themeColor="text1"/>
        </w:rPr>
        <w:t>SEM, standard error of the mean;</w:t>
      </w:r>
      <w:r w:rsidR="002A00F2" w:rsidRPr="00664F1C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A00F2" w:rsidRPr="00664F1C">
        <w:rPr>
          <w:rFonts w:ascii="Times New Roman" w:eastAsia="Times New Roman" w:hAnsi="Times New Roman" w:cs="Times New Roman"/>
          <w:color w:val="000000" w:themeColor="text1"/>
        </w:rPr>
        <w:t>SUEHP, SU-</w:t>
      </w:r>
      <w:proofErr w:type="spellStart"/>
      <w:r w:rsidR="002A00F2" w:rsidRPr="00664F1C">
        <w:rPr>
          <w:rFonts w:ascii="Times New Roman" w:eastAsia="Times New Roman" w:hAnsi="Times New Roman" w:cs="Times New Roman"/>
          <w:color w:val="000000" w:themeColor="text1"/>
        </w:rPr>
        <w:t>Eohyeol</w:t>
      </w:r>
      <w:proofErr w:type="spellEnd"/>
      <w:r w:rsidR="002A00F2" w:rsidRPr="00664F1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="002A00F2" w:rsidRPr="00664F1C">
        <w:rPr>
          <w:rFonts w:ascii="Times New Roman" w:eastAsia="Times New Roman" w:hAnsi="Times New Roman" w:cs="Times New Roman"/>
          <w:color w:val="000000" w:themeColor="text1"/>
        </w:rPr>
        <w:t>pharmacopuncture</w:t>
      </w:r>
      <w:proofErr w:type="spellEnd"/>
      <w:r w:rsidR="002A00F2" w:rsidRPr="00664F1C">
        <w:rPr>
          <w:rFonts w:ascii="Times New Roman" w:eastAsia="Times New Roman" w:hAnsi="Times New Roman" w:cs="Times New Roman"/>
          <w:color w:val="000000" w:themeColor="text1"/>
        </w:rPr>
        <w:t>.</w:t>
      </w:r>
      <w:r w:rsidR="002A00F2" w:rsidRPr="00664F1C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2A00F2" w:rsidRPr="00664F1C">
        <w:rPr>
          <w:rFonts w:ascii="Times New Roman" w:hAnsi="Times New Roman" w:cs="Times New Roman"/>
          <w:color w:val="000000" w:themeColor="text1"/>
        </w:rPr>
        <w:t>Experimental groups:</w:t>
      </w:r>
      <w:r w:rsidR="002A00F2" w:rsidRPr="00664F1C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7A238B" w:rsidRPr="00664F1C">
        <w:rPr>
          <w:rFonts w:ascii="Times New Roman" w:hAnsi="Times New Roman" w:cs="Times New Roman"/>
          <w:color w:val="000000" w:themeColor="text1"/>
        </w:rPr>
        <w:t>Con, saline</w:t>
      </w:r>
      <w:r w:rsidR="007A238B" w:rsidRPr="00664F1C">
        <w:rPr>
          <w:rFonts w:ascii="Times New Roman" w:hAnsi="Times New Roman" w:cs="Times New Roman" w:hint="eastAsia"/>
          <w:color w:val="000000" w:themeColor="text1"/>
        </w:rPr>
        <w:t xml:space="preserve"> control +</w:t>
      </w:r>
      <w:r w:rsidR="007A238B" w:rsidRPr="00664F1C">
        <w:rPr>
          <w:rFonts w:ascii="Times New Roman" w:hAnsi="Times New Roman" w:cs="Times New Roman"/>
          <w:color w:val="000000" w:themeColor="text1"/>
        </w:rPr>
        <w:t xml:space="preserve"> saline</w:t>
      </w:r>
      <w:r w:rsidR="007A238B" w:rsidRPr="00664F1C">
        <w:rPr>
          <w:rFonts w:ascii="Times New Roman" w:hAnsi="Times New Roman" w:cs="Times New Roman" w:hint="eastAsia"/>
          <w:color w:val="000000" w:themeColor="text1"/>
        </w:rPr>
        <w:t xml:space="preserve"> injection</w:t>
      </w:r>
      <w:r w:rsidR="007A238B" w:rsidRPr="00664F1C">
        <w:rPr>
          <w:rFonts w:ascii="Times New Roman" w:hAnsi="Times New Roman" w:cs="Times New Roman"/>
          <w:color w:val="000000" w:themeColor="text1"/>
        </w:rPr>
        <w:t xml:space="preserve"> at GB34</w:t>
      </w:r>
      <w:r w:rsidR="002A00F2" w:rsidRPr="00664F1C">
        <w:rPr>
          <w:rFonts w:ascii="Times New Roman" w:hAnsi="Times New Roman" w:cs="Times New Roman"/>
          <w:color w:val="000000" w:themeColor="text1"/>
        </w:rPr>
        <w:t xml:space="preserve">; MPTP-Veh, </w:t>
      </w:r>
      <w:r w:rsidR="007A238B" w:rsidRPr="00664F1C">
        <w:rPr>
          <w:rFonts w:ascii="Times New Roman" w:hAnsi="Times New Roman" w:cs="Times New Roman"/>
          <w:color w:val="000000" w:themeColor="text1"/>
        </w:rPr>
        <w:t>MPTP</w:t>
      </w:r>
      <w:r w:rsidR="007A238B" w:rsidRPr="00664F1C">
        <w:rPr>
          <w:rFonts w:ascii="Times New Roman" w:hAnsi="Times New Roman" w:cs="Times New Roman" w:hint="eastAsia"/>
          <w:color w:val="000000" w:themeColor="text1"/>
        </w:rPr>
        <w:t xml:space="preserve"> + </w:t>
      </w:r>
      <w:r w:rsidR="007A238B" w:rsidRPr="00664F1C">
        <w:rPr>
          <w:rFonts w:ascii="Times New Roman" w:hAnsi="Times New Roman" w:cs="Times New Roman"/>
          <w:color w:val="000000" w:themeColor="text1"/>
        </w:rPr>
        <w:t>saline</w:t>
      </w:r>
      <w:r w:rsidR="007A238B" w:rsidRPr="00664F1C">
        <w:rPr>
          <w:rFonts w:ascii="Times New Roman" w:hAnsi="Times New Roman" w:cs="Times New Roman" w:hint="eastAsia"/>
          <w:color w:val="000000" w:themeColor="text1"/>
        </w:rPr>
        <w:t xml:space="preserve"> injection</w:t>
      </w:r>
      <w:r w:rsidR="007A238B" w:rsidRPr="00664F1C">
        <w:rPr>
          <w:rFonts w:ascii="Times New Roman" w:hAnsi="Times New Roman" w:cs="Times New Roman"/>
          <w:color w:val="000000" w:themeColor="text1"/>
        </w:rPr>
        <w:t xml:space="preserve"> at GB34</w:t>
      </w:r>
      <w:r w:rsidR="002A00F2" w:rsidRPr="00664F1C">
        <w:rPr>
          <w:rFonts w:ascii="Times New Roman" w:hAnsi="Times New Roman" w:cs="Times New Roman"/>
          <w:color w:val="000000" w:themeColor="text1"/>
        </w:rPr>
        <w:t xml:space="preserve">; MPTP-SU(GB), </w:t>
      </w:r>
      <w:r w:rsidR="007A238B" w:rsidRPr="00664F1C">
        <w:rPr>
          <w:rFonts w:ascii="Times New Roman" w:hAnsi="Times New Roman" w:cs="Times New Roman"/>
          <w:color w:val="000000" w:themeColor="text1"/>
        </w:rPr>
        <w:t>MPTP</w:t>
      </w:r>
      <w:r w:rsidR="007A238B" w:rsidRPr="00664F1C">
        <w:rPr>
          <w:rFonts w:ascii="Times New Roman" w:hAnsi="Times New Roman" w:cs="Times New Roman" w:hint="eastAsia"/>
          <w:color w:val="000000" w:themeColor="text1"/>
        </w:rPr>
        <w:t xml:space="preserve"> + </w:t>
      </w:r>
      <w:r w:rsidR="007A238B" w:rsidRPr="00664F1C">
        <w:rPr>
          <w:rFonts w:ascii="Times New Roman" w:hAnsi="Times New Roman" w:cs="Times New Roman"/>
          <w:color w:val="000000" w:themeColor="text1"/>
        </w:rPr>
        <w:t xml:space="preserve">SUEHP </w:t>
      </w:r>
      <w:r w:rsidR="007A238B" w:rsidRPr="00664F1C">
        <w:rPr>
          <w:rFonts w:ascii="Times New Roman" w:hAnsi="Times New Roman" w:cs="Times New Roman" w:hint="eastAsia"/>
          <w:color w:val="000000" w:themeColor="text1"/>
        </w:rPr>
        <w:t xml:space="preserve">injection </w:t>
      </w:r>
      <w:r w:rsidR="007A238B" w:rsidRPr="00664F1C">
        <w:rPr>
          <w:rFonts w:ascii="Times New Roman" w:hAnsi="Times New Roman" w:cs="Times New Roman"/>
          <w:color w:val="000000" w:themeColor="text1"/>
        </w:rPr>
        <w:t>at GB34</w:t>
      </w:r>
      <w:r w:rsidR="002A00F2" w:rsidRPr="00664F1C">
        <w:rPr>
          <w:rFonts w:ascii="Times New Roman" w:hAnsi="Times New Roman" w:cs="Times New Roman"/>
          <w:color w:val="000000" w:themeColor="text1"/>
        </w:rPr>
        <w:t xml:space="preserve">; MPTP-SU(NR), </w:t>
      </w:r>
      <w:r w:rsidR="007A238B" w:rsidRPr="00664F1C">
        <w:rPr>
          <w:rFonts w:ascii="Times New Roman" w:hAnsi="Times New Roman" w:cs="Times New Roman"/>
          <w:color w:val="000000" w:themeColor="text1"/>
        </w:rPr>
        <w:t>MPTP</w:t>
      </w:r>
      <w:r w:rsidR="007A238B" w:rsidRPr="00664F1C">
        <w:rPr>
          <w:rFonts w:ascii="Times New Roman" w:hAnsi="Times New Roman" w:cs="Times New Roman" w:hint="eastAsia"/>
          <w:color w:val="000000" w:themeColor="text1"/>
        </w:rPr>
        <w:t xml:space="preserve"> + </w:t>
      </w:r>
      <w:r w:rsidR="007A238B" w:rsidRPr="00664F1C">
        <w:rPr>
          <w:rFonts w:ascii="Times New Roman" w:hAnsi="Times New Roman" w:cs="Times New Roman"/>
          <w:color w:val="000000" w:themeColor="text1"/>
        </w:rPr>
        <w:t xml:space="preserve">SUEHP </w:t>
      </w:r>
      <w:r w:rsidR="007A238B" w:rsidRPr="00664F1C">
        <w:rPr>
          <w:rFonts w:ascii="Times New Roman" w:hAnsi="Times New Roman" w:cs="Times New Roman" w:hint="eastAsia"/>
          <w:color w:val="000000" w:themeColor="text1"/>
        </w:rPr>
        <w:t xml:space="preserve">injection </w:t>
      </w:r>
      <w:r w:rsidR="002A00F2" w:rsidRPr="00664F1C">
        <w:rPr>
          <w:rFonts w:ascii="Times New Roman" w:hAnsi="Times New Roman" w:cs="Times New Roman"/>
          <w:color w:val="000000" w:themeColor="text1"/>
        </w:rPr>
        <w:t xml:space="preserve">at non-relevant acupoint (gluteal region); MPTP-Ami, </w:t>
      </w:r>
      <w:r w:rsidR="007A238B" w:rsidRPr="00664F1C">
        <w:rPr>
          <w:rFonts w:ascii="Times New Roman" w:hAnsi="Times New Roman" w:cs="Times New Roman"/>
          <w:color w:val="000000" w:themeColor="text1"/>
        </w:rPr>
        <w:t>MPTP</w:t>
      </w:r>
      <w:r w:rsidR="007A238B" w:rsidRPr="00664F1C">
        <w:rPr>
          <w:rFonts w:ascii="Times New Roman" w:hAnsi="Times New Roman" w:cs="Times New Roman" w:hint="eastAsia"/>
          <w:color w:val="000000" w:themeColor="text1"/>
        </w:rPr>
        <w:t xml:space="preserve"> + </w:t>
      </w:r>
      <w:r w:rsidR="007A238B" w:rsidRPr="00664F1C">
        <w:rPr>
          <w:rFonts w:ascii="Times New Roman" w:hAnsi="Times New Roman" w:cs="Times New Roman"/>
          <w:color w:val="000000" w:themeColor="text1"/>
        </w:rPr>
        <w:t>amitriptyline</w:t>
      </w:r>
      <w:r w:rsidR="007A238B" w:rsidRPr="00664F1C">
        <w:rPr>
          <w:rFonts w:ascii="Times New Roman" w:hAnsi="Times New Roman" w:cs="Times New Roman" w:hint="eastAsia"/>
          <w:color w:val="000000" w:themeColor="text1"/>
        </w:rPr>
        <w:t xml:space="preserve"> treatment.</w:t>
      </w:r>
    </w:p>
    <w:p w14:paraId="21C4B817" w14:textId="5410FECA" w:rsidR="00437C5B" w:rsidRPr="00197D28" w:rsidRDefault="00000000" w:rsidP="002A00F2">
      <w:pPr>
        <w:snapToGrid w:val="0"/>
        <w:spacing w:after="0" w:line="480" w:lineRule="auto"/>
      </w:pPr>
      <w:r>
        <w:br w:type="page"/>
      </w:r>
      <w:r w:rsidRPr="000E0462">
        <w:rPr>
          <w:rFonts w:ascii="Times New Roman" w:hAnsi="Times New Roman" w:cs="Times New Roman"/>
          <w:b/>
          <w:bCs/>
        </w:rPr>
        <w:lastRenderedPageBreak/>
        <w:t>Supplementary Fig</w:t>
      </w:r>
      <w:r w:rsidR="000E0462">
        <w:rPr>
          <w:rFonts w:ascii="Times New Roman" w:hAnsi="Times New Roman" w:cs="Times New Roman" w:hint="eastAsia"/>
          <w:b/>
          <w:bCs/>
        </w:rPr>
        <w:t>ure</w:t>
      </w:r>
      <w:r w:rsidR="00DE0DC8" w:rsidRPr="000E0462">
        <w:rPr>
          <w:rFonts w:ascii="Times New Roman" w:hAnsi="Times New Roman" w:cs="Times New Roman"/>
          <w:b/>
          <w:bCs/>
        </w:rPr>
        <w:t xml:space="preserve"> </w:t>
      </w:r>
      <w:r w:rsidR="00962A85">
        <w:rPr>
          <w:rFonts w:ascii="Times New Roman" w:hAnsi="Times New Roman" w:cs="Times New Roman" w:hint="eastAsia"/>
          <w:b/>
          <w:bCs/>
        </w:rPr>
        <w:t>S</w:t>
      </w:r>
      <w:r w:rsidRPr="000E0462">
        <w:rPr>
          <w:rFonts w:ascii="Times New Roman" w:hAnsi="Times New Roman" w:cs="Times New Roman"/>
          <w:b/>
          <w:bCs/>
        </w:rPr>
        <w:t>2</w:t>
      </w:r>
    </w:p>
    <w:p w14:paraId="12D70FD1" w14:textId="42C1E3EF" w:rsidR="00437C5B" w:rsidRDefault="00664F1C">
      <w:r>
        <w:rPr>
          <w:noProof/>
        </w:rPr>
        <w:drawing>
          <wp:inline distT="0" distB="0" distL="0" distR="0" wp14:anchorId="235220FE" wp14:editId="61119D3A">
            <wp:extent cx="5731510" cy="4916170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1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42526" w14:textId="5317DAAD" w:rsidR="00437C5B" w:rsidRDefault="00437C5B">
      <w:pPr>
        <w:widowControl/>
        <w:wordWrap/>
        <w:autoSpaceDE/>
        <w:autoSpaceDN/>
      </w:pPr>
    </w:p>
    <w:sectPr w:rsidR="00437C5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6D687" w14:textId="77777777" w:rsidR="004E2718" w:rsidRDefault="004E2718" w:rsidP="008A6B7D">
      <w:pPr>
        <w:spacing w:after="0"/>
      </w:pPr>
      <w:r>
        <w:separator/>
      </w:r>
    </w:p>
  </w:endnote>
  <w:endnote w:type="continuationSeparator" w:id="0">
    <w:p w14:paraId="5FA6E938" w14:textId="77777777" w:rsidR="004E2718" w:rsidRDefault="004E2718" w:rsidP="008A6B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0190F" w14:textId="77777777" w:rsidR="004E2718" w:rsidRDefault="004E2718" w:rsidP="008A6B7D">
      <w:pPr>
        <w:spacing w:after="0"/>
      </w:pPr>
      <w:r>
        <w:separator/>
      </w:r>
    </w:p>
  </w:footnote>
  <w:footnote w:type="continuationSeparator" w:id="0">
    <w:p w14:paraId="1BFA982E" w14:textId="77777777" w:rsidR="004E2718" w:rsidRDefault="004E2718" w:rsidP="008A6B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0D"/>
    <w:rsid w:val="00010F0D"/>
    <w:rsid w:val="0005744B"/>
    <w:rsid w:val="0009410D"/>
    <w:rsid w:val="000E0462"/>
    <w:rsid w:val="000F0C83"/>
    <w:rsid w:val="00190979"/>
    <w:rsid w:val="00197D28"/>
    <w:rsid w:val="001A7C7D"/>
    <w:rsid w:val="001B16F4"/>
    <w:rsid w:val="002A00F2"/>
    <w:rsid w:val="002E3B44"/>
    <w:rsid w:val="00307D97"/>
    <w:rsid w:val="00350307"/>
    <w:rsid w:val="00367BC3"/>
    <w:rsid w:val="003A00F8"/>
    <w:rsid w:val="003A1B5E"/>
    <w:rsid w:val="003A4C5D"/>
    <w:rsid w:val="003A6AE5"/>
    <w:rsid w:val="00437C5B"/>
    <w:rsid w:val="004830A6"/>
    <w:rsid w:val="004E2718"/>
    <w:rsid w:val="004E455B"/>
    <w:rsid w:val="00557C2A"/>
    <w:rsid w:val="00577DEE"/>
    <w:rsid w:val="005B681F"/>
    <w:rsid w:val="005D4881"/>
    <w:rsid w:val="00602149"/>
    <w:rsid w:val="00664F1C"/>
    <w:rsid w:val="006664A0"/>
    <w:rsid w:val="006868C0"/>
    <w:rsid w:val="00722E55"/>
    <w:rsid w:val="00723560"/>
    <w:rsid w:val="007374E1"/>
    <w:rsid w:val="007A238B"/>
    <w:rsid w:val="007C0055"/>
    <w:rsid w:val="007C630D"/>
    <w:rsid w:val="008411C4"/>
    <w:rsid w:val="0086215D"/>
    <w:rsid w:val="00876C2F"/>
    <w:rsid w:val="00881E88"/>
    <w:rsid w:val="008A6B7D"/>
    <w:rsid w:val="00945117"/>
    <w:rsid w:val="00962A85"/>
    <w:rsid w:val="00964F65"/>
    <w:rsid w:val="0098458E"/>
    <w:rsid w:val="00A23B02"/>
    <w:rsid w:val="00A25937"/>
    <w:rsid w:val="00A47D73"/>
    <w:rsid w:val="00AB1C60"/>
    <w:rsid w:val="00AC46CF"/>
    <w:rsid w:val="00AF7473"/>
    <w:rsid w:val="00BD5AC0"/>
    <w:rsid w:val="00BE50D3"/>
    <w:rsid w:val="00BE7FBB"/>
    <w:rsid w:val="00C40429"/>
    <w:rsid w:val="00C72513"/>
    <w:rsid w:val="00DA138A"/>
    <w:rsid w:val="00DB3A63"/>
    <w:rsid w:val="00DB5AAD"/>
    <w:rsid w:val="00DD0529"/>
    <w:rsid w:val="00DD7DA1"/>
    <w:rsid w:val="00DE0DC8"/>
    <w:rsid w:val="00DF78F7"/>
    <w:rsid w:val="00E4029E"/>
    <w:rsid w:val="00EA41CF"/>
    <w:rsid w:val="00EB1C1D"/>
    <w:rsid w:val="00F13283"/>
    <w:rsid w:val="00FD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C7353"/>
  <w15:chartTrackingRefBased/>
  <w15:docId w15:val="{A402D5EF-6EEA-4703-8076-F8731B5E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C63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6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63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63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63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63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63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63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63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C63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C63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C630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C63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C6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63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C63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6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C630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630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C630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6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C630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C630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D02F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FD02FF"/>
  </w:style>
  <w:style w:type="paragraph" w:styleId="ab">
    <w:name w:val="footer"/>
    <w:basedOn w:val="a"/>
    <w:link w:val="Char4"/>
    <w:uiPriority w:val="99"/>
    <w:unhideWhenUsed/>
    <w:rsid w:val="00FD02FF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FD02FF"/>
  </w:style>
  <w:style w:type="paragraph" w:styleId="ac">
    <w:name w:val="Revision"/>
    <w:hidden/>
    <w:uiPriority w:val="99"/>
    <w:semiHidden/>
    <w:rsid w:val="00DB5AAD"/>
    <w:pPr>
      <w:spacing w:after="0"/>
    </w:pPr>
  </w:style>
  <w:style w:type="character" w:styleId="ad">
    <w:name w:val="annotation reference"/>
    <w:basedOn w:val="a0"/>
    <w:uiPriority w:val="99"/>
    <w:semiHidden/>
    <w:unhideWhenUsed/>
    <w:rsid w:val="00DB5AAD"/>
    <w:rPr>
      <w:sz w:val="16"/>
      <w:szCs w:val="16"/>
    </w:rPr>
  </w:style>
  <w:style w:type="paragraph" w:styleId="ae">
    <w:name w:val="annotation text"/>
    <w:basedOn w:val="a"/>
    <w:link w:val="Char5"/>
    <w:uiPriority w:val="99"/>
    <w:unhideWhenUsed/>
    <w:rsid w:val="00DB5AAD"/>
    <w:rPr>
      <w:sz w:val="20"/>
      <w:szCs w:val="20"/>
    </w:rPr>
  </w:style>
  <w:style w:type="character" w:customStyle="1" w:styleId="Char5">
    <w:name w:val="메모 텍스트 Char"/>
    <w:basedOn w:val="a0"/>
    <w:link w:val="ae"/>
    <w:uiPriority w:val="99"/>
    <w:rsid w:val="00DB5AAD"/>
    <w:rPr>
      <w:sz w:val="20"/>
      <w:szCs w:val="20"/>
    </w:rPr>
  </w:style>
  <w:style w:type="paragraph" w:styleId="af">
    <w:name w:val="annotation subject"/>
    <w:basedOn w:val="ae"/>
    <w:next w:val="ae"/>
    <w:link w:val="Char6"/>
    <w:uiPriority w:val="99"/>
    <w:semiHidden/>
    <w:unhideWhenUsed/>
    <w:rsid w:val="00DB5AAD"/>
    <w:rPr>
      <w:b/>
      <w:bCs/>
    </w:rPr>
  </w:style>
  <w:style w:type="character" w:customStyle="1" w:styleId="Char6">
    <w:name w:val="메모 주제 Char"/>
    <w:basedOn w:val="Char5"/>
    <w:link w:val="af"/>
    <w:uiPriority w:val="99"/>
    <w:semiHidden/>
    <w:rsid w:val="00DB5A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KIOM_USER</dc:creator>
  <cp:lastModifiedBy>KIOM_USER</cp:lastModifiedBy>
  <cp:revision>3</cp:revision>
  <cp:lastPrinted>2026-05-27T23:33:00Z</cp:lastPrinted>
  <dcterms:created xsi:type="dcterms:W3CDTF">2026-05-28T04:19:00Z</dcterms:created>
  <dcterms:modified xsi:type="dcterms:W3CDTF">2026-05-28T04:20:00Z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f2b1d460-ed79-46f8-8daf-e78dd4d8cd83</vt:lpwstr>
  </property>
</Properties>
</file>