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A3E7C" w14:textId="7AC3CF18" w:rsidR="00E832D8" w:rsidRDefault="00E832D8" w:rsidP="00E832D8">
      <w:pPr>
        <w:jc w:val="center"/>
        <w:rPr>
          <w:b/>
          <w:bCs/>
          <w:sz w:val="28"/>
          <w:szCs w:val="28"/>
        </w:rPr>
      </w:pPr>
      <w:r>
        <w:rPr>
          <w:b/>
          <w:bCs/>
          <w:sz w:val="28"/>
          <w:szCs w:val="28"/>
        </w:rPr>
        <w:t xml:space="preserve">Supplementary materials </w:t>
      </w:r>
    </w:p>
    <w:p w14:paraId="44ECD12B" w14:textId="26C5EF4C" w:rsidR="00A029B7" w:rsidRDefault="00A029B7" w:rsidP="00A029B7">
      <w:pPr>
        <w:rPr>
          <w:b/>
          <w:bCs/>
          <w:sz w:val="28"/>
          <w:szCs w:val="28"/>
        </w:rPr>
      </w:pPr>
    </w:p>
    <w:p w14:paraId="1279F268" w14:textId="74CF5C9D" w:rsidR="00A029B7" w:rsidRDefault="007E4098" w:rsidP="00A029B7">
      <w:pPr>
        <w:rPr>
          <w:b/>
          <w:bCs/>
        </w:rPr>
      </w:pPr>
      <w:r>
        <w:rPr>
          <w:b/>
          <w:bCs/>
        </w:rPr>
        <w:t xml:space="preserve">Appendix 1. Details of measures </w:t>
      </w:r>
    </w:p>
    <w:p w14:paraId="44438427" w14:textId="5A02A029" w:rsidR="00041772" w:rsidRPr="00800FC7" w:rsidRDefault="00041772" w:rsidP="00A029B7">
      <w:pPr>
        <w:rPr>
          <w:i/>
          <w:iCs/>
          <w:u w:val="single"/>
        </w:rPr>
      </w:pPr>
      <w:r w:rsidRPr="00800FC7">
        <w:rPr>
          <w:i/>
          <w:iCs/>
          <w:u w:val="single"/>
        </w:rPr>
        <w:t xml:space="preserve">Scoring of variables </w:t>
      </w:r>
    </w:p>
    <w:p w14:paraId="31C71F7C" w14:textId="4858D34E" w:rsidR="00041772" w:rsidRDefault="00041772" w:rsidP="00A029B7">
      <w:r w:rsidRPr="00041772">
        <w:t>For cannabis, the most intensive period of use over the last 12 months was scored as zero (none), one (less than weekly), two (weekly) or three (daily). Tobacco smoking was scored zero (absent) or one (present).</w:t>
      </w:r>
    </w:p>
    <w:p w14:paraId="405C87B9" w14:textId="653B36CF" w:rsidR="00041772" w:rsidRDefault="007E4098" w:rsidP="007E4098">
      <w:pPr>
        <w:ind w:firstLine="720"/>
      </w:pPr>
      <w:r>
        <w:t>The CTQ-SF is a</w:t>
      </w:r>
      <w:r w:rsidR="00041772" w:rsidRPr="00041772">
        <w:t xml:space="preserve"> retrospective self-report questionnaire </w:t>
      </w:r>
      <w:r w:rsidR="001543C0">
        <w:t xml:space="preserve">that originally consisted of 25 items. However, in our study, the item “molestation” was removed due to improper translation into Dutch. The CTQ-SF thus </w:t>
      </w:r>
      <w:r w:rsidR="00041772" w:rsidRPr="00041772">
        <w:t>consist</w:t>
      </w:r>
      <w:r w:rsidR="001543C0">
        <w:t>ed</w:t>
      </w:r>
      <w:r w:rsidR="00041772" w:rsidRPr="00041772">
        <w:t xml:space="preserve"> of 24 items, that are scored on a Likert scale from one (never true) to five (always true). </w:t>
      </w:r>
      <w:bookmarkStart w:id="0" w:name="_Hlk148950936"/>
      <w:r w:rsidR="00110F4E">
        <w:t>The CTQ-SF measures five different types of childhood maltreatment</w:t>
      </w:r>
      <w:r w:rsidR="00041772" w:rsidRPr="00041772">
        <w:t>: physical neglect, physical abuse, emotional neglect, emotional abuse, and sexual abuse.</w:t>
      </w:r>
      <w:bookmarkEnd w:id="0"/>
    </w:p>
    <w:p w14:paraId="11090CC7" w14:textId="5220F52F" w:rsidR="00041772" w:rsidRDefault="00041772" w:rsidP="00A029B7"/>
    <w:p w14:paraId="556AF98B" w14:textId="7E2C2BD0" w:rsidR="007E4098" w:rsidRPr="00800FC7" w:rsidRDefault="007E4098" w:rsidP="00A029B7">
      <w:pPr>
        <w:rPr>
          <w:i/>
          <w:iCs/>
          <w:u w:val="single"/>
        </w:rPr>
      </w:pPr>
      <w:r w:rsidRPr="00800FC7">
        <w:rPr>
          <w:i/>
          <w:iCs/>
          <w:u w:val="single"/>
        </w:rPr>
        <w:t xml:space="preserve">Details of cognitive tests </w:t>
      </w:r>
    </w:p>
    <w:p w14:paraId="1F40D735" w14:textId="1B681544" w:rsidR="00984355" w:rsidRDefault="00041772" w:rsidP="00A029B7">
      <w:r w:rsidRPr="00041772">
        <w:t xml:space="preserve">To assess verbal memory, the delayed recall score of the </w:t>
      </w:r>
      <w:bookmarkStart w:id="1" w:name="_Hlk162611309"/>
      <w:r w:rsidRPr="00041772">
        <w:t>Auditory Verbal Learning Test</w:t>
      </w:r>
      <w:r w:rsidR="0023483E">
        <w:t xml:space="preserve"> </w:t>
      </w:r>
      <w:bookmarkEnd w:id="1"/>
      <w:r w:rsidR="009C6186">
        <w:fldChar w:fldCharType="begin" w:fldLock="1"/>
      </w:r>
      <w:r w:rsidR="009C6186">
        <w:instrText>ADDIN CSL_CITATION {"citationItems":[{"id":"ITEM-1","itemData":{"DOI":"10.1080/00221309.1985.9711004","ISSN":"1940-0888","author":[{"dropping-particle":"","family":"Brand","given":"Nico","non-dropping-particle":"","parse-names":false,"suffix":""},{"dropping-particle":"","family":"Jolles","given":"Jellemer","non-dropping-particle":"","parse-names":false,"suffix":""}],"container-title":"The Journal of General Psychology","id":"ITEM-1","issue":"2","issued":{"date-parts":[["1985"]]},"page":"201-210","title":"Learning and Retrieval Rate of Words Presented Auditorily and Visually","type":"article-journal","volume":"112"},"uris":["http://www.mendeley.com/documents/?uuid=a47d000c-e740-3747-93a7-4b18afdcaac7"]}],"mendeley":{"formattedCitation":"(Brand &amp; Jolles, 1985)","plainTextFormattedCitation":"(Brand &amp; Jolles, 1985)","previouslyFormattedCitation":"(Brand &amp; Jolles, 1985)"},"properties":{"noteIndex":0},"schema":"https://github.com/citation-style-language/schema/raw/master/csl-citation.json"}</w:instrText>
      </w:r>
      <w:r w:rsidR="009C6186">
        <w:fldChar w:fldCharType="separate"/>
      </w:r>
      <w:r w:rsidR="009C6186" w:rsidRPr="009C6186">
        <w:rPr>
          <w:noProof/>
        </w:rPr>
        <w:t>(Brand &amp; Jolles, 1985)</w:t>
      </w:r>
      <w:r w:rsidR="009C6186">
        <w:fldChar w:fldCharType="end"/>
      </w:r>
      <w:r w:rsidRPr="00041772">
        <w:t xml:space="preserve"> was used. To measure attention, we used the sensitivity measure of the continuous performance test-HQ</w:t>
      </w:r>
      <w:r w:rsidR="009C6186">
        <w:t xml:space="preserve"> </w:t>
      </w:r>
      <w:r w:rsidR="009C6186">
        <w:fldChar w:fldCharType="begin" w:fldLock="1"/>
      </w:r>
      <w:r w:rsidR="009C6186">
        <w:instrText>ADDIN CSL_CITATION {"citationItems":[{"id":"ITEM-1","itemData":{"DOI":"10.1037/H0043220","ISSN":"00958891","PMID":"13367264","abstract":"\"(1) The continuous performance test, a procedure for the detection and study of brain damage in humans, is described. (2) Three groups of Ss, each including a brain-damaged and a non-brain-damaged subgroup, were tested on this procedure. (3) The brain-damaged subgroups were significantly inferior to their non-brain-damaged controls on the measures yielded by the CPT, and these differences were increased when the difficulty of the task was increased. (4) The CPT is sufficiently reliable and yields sufficiently large differences between subgroups to suggest that it might ultimately prove useful as a clinical instrument for the diagnosis of brain damage. (5) An interpretation of the inferior performance of the brain-damaged Ss was offered in terms of impairment in attention or alertness and suggestions were made about future research relating cerebral events and CPT performance.\" (PsycINFO Database Record (c) 2006 APA, all rights reserved). © 1956 American Psychological Association.","author":[{"dropping-particle":"","family":"Rosvold","given":"H. Enger","non-dropping-particle":"","parse-names":false,"suffix":""},{"dropping-particle":"","family":"Mirsky","given":"Allan F.","non-dropping-particle":"","parse-names":false,"suffix":""},{"dropping-particle":"","family":"Sarason","given":"Irwin","non-dropping-particle":"","parse-names":false,"suffix":""},{"dropping-particle":"","family":"Bransome","given":"Edwin D.","non-dropping-particle":"","parse-names":false,"suffix":""},{"dropping-particle":"","family":"Beck","given":"Lloyd H.","non-dropping-particle":"","parse-names":false,"suffix":""}],"container-title":"Journal of Consulting Psychology","id":"ITEM-1","issue":"5","issued":{"date-parts":[["1956","10"]]},"page":"343-350","title":"A continuous performance test of brain damage","type":"article-journal","volume":"20"},"uris":["http://www.mendeley.com/documents/?uuid=d323d6ea-31b3-3dea-ac6b-2186acc02b1f"]}],"mendeley":{"formattedCitation":"(Rosvold et al., 1956)","plainTextFormattedCitation":"(Rosvold et al., 1956)"},"properties":{"noteIndex":0},"schema":"https://github.com/citation-style-language/schema/raw/master/csl-citation.json"}</w:instrText>
      </w:r>
      <w:r w:rsidR="009C6186">
        <w:fldChar w:fldCharType="separate"/>
      </w:r>
      <w:r w:rsidR="009C6186" w:rsidRPr="009C6186">
        <w:rPr>
          <w:noProof/>
        </w:rPr>
        <w:t>(Rosvold et al., 1956)</w:t>
      </w:r>
      <w:r w:rsidR="009C6186">
        <w:fldChar w:fldCharType="end"/>
      </w:r>
      <w:r w:rsidRPr="00041772">
        <w:t xml:space="preserve">. To assess processing speed, working memory, and reasoning/problem solving, respectively the scaled scores of the </w:t>
      </w:r>
      <w:bookmarkStart w:id="2" w:name="_Hlk162611236"/>
      <w:r w:rsidRPr="00041772">
        <w:t>WAIS-III Digit symbol substitution</w:t>
      </w:r>
      <w:bookmarkEnd w:id="2"/>
      <w:r w:rsidRPr="00041772">
        <w:t xml:space="preserve">, the </w:t>
      </w:r>
      <w:bookmarkStart w:id="3" w:name="_Hlk162611256"/>
      <w:r w:rsidRPr="00041772">
        <w:t>WAIS-III arithmetic</w:t>
      </w:r>
      <w:bookmarkEnd w:id="3"/>
      <w:r w:rsidRPr="00041772">
        <w:t xml:space="preserve">, and the </w:t>
      </w:r>
      <w:bookmarkStart w:id="4" w:name="_Hlk162611278"/>
      <w:r w:rsidRPr="00041772">
        <w:t>WAIS-III block design test</w:t>
      </w:r>
      <w:bookmarkEnd w:id="4"/>
      <w:r w:rsidRPr="00041772">
        <w:t xml:space="preserve"> (Wechsler, 1997) were used. Finally, as an addition to the MATRICS domains,  we included </w:t>
      </w:r>
      <w:proofErr w:type="spellStart"/>
      <w:r w:rsidRPr="00041772">
        <w:t>visuoperception</w:t>
      </w:r>
      <w:proofErr w:type="spellEnd"/>
      <w:r w:rsidRPr="00041772">
        <w:t>, as measured with the Benton Facial Recognition Test (Benton et al., 1983). See Table 1 for the test-retest reliability of all cognitive tests.</w:t>
      </w:r>
    </w:p>
    <w:p w14:paraId="557E8544" w14:textId="71CB65A8" w:rsidR="00984355" w:rsidRDefault="00984355" w:rsidP="00A029B7"/>
    <w:p w14:paraId="5FB973B0" w14:textId="21674763" w:rsidR="00984355" w:rsidRPr="00984355" w:rsidRDefault="00984355" w:rsidP="007E4098">
      <w:pPr>
        <w:rPr>
          <w:rFonts w:ascii="Calibri" w:eastAsia="Arial" w:hAnsi="Calibri" w:cs="Calibri"/>
          <w:b/>
          <w:lang w:eastAsia="en-GB"/>
        </w:rPr>
      </w:pPr>
      <w:r w:rsidRPr="00984355">
        <w:rPr>
          <w:rFonts w:ascii="Calibri" w:eastAsia="Arial" w:hAnsi="Calibri" w:cs="Calibri"/>
          <w:b/>
          <w:lang w:eastAsia="en-GB"/>
        </w:rPr>
        <w:t xml:space="preserve">Table 1 </w:t>
      </w:r>
    </w:p>
    <w:p w14:paraId="689811DC" w14:textId="77777777" w:rsidR="00984355" w:rsidRPr="00984355" w:rsidRDefault="00984355" w:rsidP="007E4098">
      <w:pPr>
        <w:rPr>
          <w:rFonts w:ascii="Calibri" w:eastAsia="Arial" w:hAnsi="Calibri" w:cs="Calibri"/>
          <w:bCs/>
          <w:i/>
          <w:iCs/>
          <w:lang w:eastAsia="en-GB"/>
        </w:rPr>
      </w:pPr>
      <w:r w:rsidRPr="00984355">
        <w:rPr>
          <w:rFonts w:ascii="Calibri" w:eastAsia="Arial" w:hAnsi="Calibri" w:cs="Calibri"/>
          <w:bCs/>
          <w:i/>
          <w:iCs/>
          <w:lang w:eastAsia="en-GB"/>
        </w:rPr>
        <w:t xml:space="preserve">Test-retest reliability of the cognitive tests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68"/>
        <w:gridCol w:w="2976"/>
      </w:tblGrid>
      <w:tr w:rsidR="00984355" w:rsidRPr="00984355" w14:paraId="385CD24B" w14:textId="77777777" w:rsidTr="005408D5">
        <w:tc>
          <w:tcPr>
            <w:tcW w:w="3256" w:type="dxa"/>
            <w:tcBorders>
              <w:bottom w:val="single" w:sz="4" w:space="0" w:color="auto"/>
            </w:tcBorders>
          </w:tcPr>
          <w:p w14:paraId="2CF2067B" w14:textId="77777777" w:rsidR="00984355" w:rsidRPr="00984355" w:rsidRDefault="00984355" w:rsidP="00984355">
            <w:pPr>
              <w:spacing w:line="276" w:lineRule="auto"/>
              <w:rPr>
                <w:rFonts w:ascii="Calibri" w:hAnsi="Calibri" w:cs="Calibri"/>
                <w:b/>
              </w:rPr>
            </w:pPr>
            <w:r w:rsidRPr="00984355">
              <w:rPr>
                <w:rFonts w:ascii="Calibri" w:hAnsi="Calibri" w:cs="Calibri"/>
                <w:b/>
              </w:rPr>
              <w:t>Test</w:t>
            </w:r>
          </w:p>
        </w:tc>
        <w:tc>
          <w:tcPr>
            <w:tcW w:w="2268" w:type="dxa"/>
            <w:tcBorders>
              <w:bottom w:val="single" w:sz="4" w:space="0" w:color="auto"/>
            </w:tcBorders>
          </w:tcPr>
          <w:p w14:paraId="5BEF6331" w14:textId="77777777" w:rsidR="00984355" w:rsidRPr="00984355" w:rsidRDefault="00984355" w:rsidP="00984355">
            <w:pPr>
              <w:spacing w:line="276" w:lineRule="auto"/>
              <w:rPr>
                <w:rFonts w:ascii="Calibri" w:hAnsi="Calibri" w:cs="Calibri"/>
                <w:b/>
              </w:rPr>
            </w:pPr>
            <w:r w:rsidRPr="00984355">
              <w:rPr>
                <w:rFonts w:ascii="Calibri" w:hAnsi="Calibri" w:cs="Calibri"/>
                <w:b/>
              </w:rPr>
              <w:t>Test-retest reliability</w:t>
            </w:r>
          </w:p>
        </w:tc>
        <w:tc>
          <w:tcPr>
            <w:tcW w:w="2976" w:type="dxa"/>
            <w:tcBorders>
              <w:bottom w:val="single" w:sz="4" w:space="0" w:color="auto"/>
            </w:tcBorders>
          </w:tcPr>
          <w:p w14:paraId="09BD25B9" w14:textId="77777777" w:rsidR="00984355" w:rsidRPr="00984355" w:rsidRDefault="00984355" w:rsidP="00984355">
            <w:pPr>
              <w:spacing w:line="276" w:lineRule="auto"/>
              <w:rPr>
                <w:rFonts w:ascii="Calibri" w:hAnsi="Calibri" w:cs="Calibri"/>
                <w:b/>
              </w:rPr>
            </w:pPr>
            <w:r w:rsidRPr="00984355">
              <w:rPr>
                <w:rFonts w:ascii="Calibri" w:hAnsi="Calibri" w:cs="Calibri"/>
                <w:b/>
              </w:rPr>
              <w:t xml:space="preserve">Reference </w:t>
            </w:r>
          </w:p>
        </w:tc>
      </w:tr>
      <w:tr w:rsidR="00984355" w:rsidRPr="00984355" w14:paraId="0736D37C" w14:textId="77777777" w:rsidTr="005408D5">
        <w:tc>
          <w:tcPr>
            <w:tcW w:w="3256" w:type="dxa"/>
            <w:tcBorders>
              <w:top w:val="single" w:sz="4" w:space="0" w:color="auto"/>
            </w:tcBorders>
          </w:tcPr>
          <w:p w14:paraId="5BFC67E7"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Auditory Verbal Learning Test </w:t>
            </w:r>
          </w:p>
        </w:tc>
        <w:tc>
          <w:tcPr>
            <w:tcW w:w="2268" w:type="dxa"/>
            <w:tcBorders>
              <w:top w:val="single" w:sz="4" w:space="0" w:color="auto"/>
            </w:tcBorders>
          </w:tcPr>
          <w:p w14:paraId="7D2AEEE4" w14:textId="77777777" w:rsidR="00984355" w:rsidRPr="00984355" w:rsidRDefault="00984355" w:rsidP="00984355">
            <w:pPr>
              <w:spacing w:line="276" w:lineRule="auto"/>
              <w:rPr>
                <w:rFonts w:ascii="Calibri" w:hAnsi="Calibri" w:cs="Calibri"/>
                <w:bCs/>
              </w:rPr>
            </w:pPr>
            <w:r w:rsidRPr="00984355">
              <w:rPr>
                <w:rFonts w:ascii="Calibri" w:hAnsi="Calibri" w:cs="Calibri"/>
                <w:bCs/>
              </w:rPr>
              <w:t>&gt; 0.7</w:t>
            </w:r>
          </w:p>
        </w:tc>
        <w:tc>
          <w:tcPr>
            <w:tcW w:w="2976" w:type="dxa"/>
            <w:tcBorders>
              <w:top w:val="single" w:sz="4" w:space="0" w:color="auto"/>
            </w:tcBorders>
          </w:tcPr>
          <w:p w14:paraId="731BA932"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{"citationItems":[{"id":"ITEM-1","itemData":{"DOI":"10.1016/0887-6177(94)90018-3","ISSN":"0887-6177","abstract":"The equivalence between the original form (Form 1) of the Auditory Verbal Learning Test (AVLT), and a new form (Form 4) was examined in 51 normal adult subjects (20-67 years) of average estimated intelligence who were assessed in two separate sessions. Performance on the new form was equivalent to that on the original and most measures on the two tests showed significant positive correlations. Test-retest reliability of AVLT scores between sessions was also assessed, both globally and separately for Form 1 followed by Form 4 and for the reverse order. The most reliable measures on the AVLT were the total number of words learned over the five learning trials, (r = .77), and performance on the retention trial of the learning list following the presentation and performance of the distractor list (r = .70). These measures are sufficiently robust for use in clinical serial assessments. © 1994.","author":[{"dropping-particle":"","family":"Geffen","given":"Gina M.","non-dropping-particle":"","parse-names":false,"suffix":""},{"dropping-particle":"","family":"Butterworth","given":"Peter","non-dropping-particle":"","parse-names":false,"suffix":""},{"dropping-particle":"","family":"Geffen","given":"Laurie B.","non-dropping-particle":"","parse-names":false,"suffix":""}],"container-title":"Archives of Clinical Neuropsychology","id":"ITEM-1","issue":"4","issued":{"date-parts":[["1994","7","1"]]},"page":"303-316","publisher":"No longer published by Elsevier","title":"Test-retest reliability of a new form of the auditory verbal learning test (AVLT)","type":"article-journal","volume":"9"},"uris":["http://www.mendeley.com/documents/?uuid=34874120-7684-35d5-a157-9379b377c2cd"]}],"mendeley":{"formattedCitation":"(Geffen et al., 1994)","plainTextFormattedCitation":"(Geffen et al., 1994)","previouslyFormattedCitation":"(Geffen et al., 1994)"},"properties":{"noteIndex":0},"schema":"https://github.com/citation-style-language/schema/raw/master/csl-citation.json"}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(Geffen et al., 1994)</w:t>
            </w:r>
            <w:r w:rsidRPr="00984355">
              <w:rPr>
                <w:rFonts w:ascii="Calibri" w:hAnsi="Calibri" w:cs="Calibri"/>
              </w:rPr>
              <w:fldChar w:fldCharType="end"/>
            </w:r>
          </w:p>
        </w:tc>
      </w:tr>
      <w:tr w:rsidR="00984355" w:rsidRPr="00984355" w14:paraId="0A78B66B" w14:textId="77777777" w:rsidTr="005408D5">
        <w:tc>
          <w:tcPr>
            <w:tcW w:w="3256" w:type="dxa"/>
          </w:tcPr>
          <w:p w14:paraId="5D5BFA50"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Continuous performance test </w:t>
            </w:r>
          </w:p>
        </w:tc>
        <w:tc>
          <w:tcPr>
            <w:tcW w:w="2268" w:type="dxa"/>
          </w:tcPr>
          <w:p w14:paraId="2C9EA6BB" w14:textId="77777777" w:rsidR="00984355" w:rsidRPr="00984355" w:rsidRDefault="00984355" w:rsidP="00984355">
            <w:pPr>
              <w:spacing w:line="276" w:lineRule="auto"/>
              <w:rPr>
                <w:rFonts w:ascii="Calibri" w:hAnsi="Calibri" w:cs="Calibri"/>
                <w:bCs/>
              </w:rPr>
            </w:pPr>
            <w:r w:rsidRPr="00984355">
              <w:rPr>
                <w:rFonts w:ascii="Calibri" w:hAnsi="Calibri" w:cs="Calibri"/>
                <w:bCs/>
              </w:rPr>
              <w:t>&gt; 0.65</w:t>
            </w:r>
          </w:p>
        </w:tc>
        <w:tc>
          <w:tcPr>
            <w:tcW w:w="2976" w:type="dxa"/>
          </w:tcPr>
          <w:p w14:paraId="5D6F1B57"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{"citationItems":[{"id":"ITEM-1","itemData":{"DOI":"10.1037/1040-3590.3.4.603","ISSN":"10403590","abstract":"Data for an \"A-X\" version of the continuous performance test (CPT) were collected from 138 7-11-year-old nonreferred boys. Most CPT measures were age-dependent, reliable, sensitive to decrements in performance over time, and resistant to practice effects. Most were unrelated to estimates of intellectual functioning, but several were significantly correlated with academic achievement. Reaction time data support the notion that CPT measures can be divided into distinct inattention, impulsivity, and dyscontrol scores. In this normal sample, correlations with behavior ratings were relatively weak. Further research is necessary before widespread clinical use of this instrument is warranted. However, it appears to be a useful research tool and may have a role in the assessment of attention and impulsivity in a wide range of psychiatrically, neurologically, and educationally impaired children.","author":[{"dropping-particle":"","family":"Halperin","given":"Jeffrey M.","non-dropping-particle":"","parse-names":false,"suffix":""},{"dropping-particle":"","family":"Sharma","given":"Vanshdeep","non-dropping-particle":"","parse-names":false,"suffix":""},{"dropping-particle":"","family":"Greenblatt","given":"Edward","non-dropping-particle":"","parse-names":false,"suffix":""},{"dropping-particle":"","family":"Schwartz","given":"Susan T.","non-dropping-particle":"","parse-names":false,"suffix":""}],"container-title":"Psychological Assessment","id":"ITEM-1","issue":"4","issued":{"date-parts":[["1991"]]},"page":"603-608","title":"Assessment of the Continuous Performance Test: Reliability and Validity in a Nonreferred Sample","type":"article-journal","volume":"3"},"uris":["http://www.mendeley.com/documents/?uuid=5f45af77-db45-3add-bf9c-22ec3e2a3ce4"]}],"mendeley":{"formattedCitation":"(Halperin et al., 1991)","plainTextFormattedCitation":"(Halperin et al., 1991)","previouslyFormattedCitation":"(Halperin et al., 1991)"},"properties":{"noteIndex":0},"schema":"https://github.com/citation-style-language/schema/raw/master/csl-citation.json"}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(Halperin et al., 1991)</w:t>
            </w:r>
            <w:r w:rsidRPr="00984355">
              <w:rPr>
                <w:rFonts w:ascii="Calibri" w:hAnsi="Calibri" w:cs="Calibri"/>
              </w:rPr>
              <w:fldChar w:fldCharType="end"/>
            </w:r>
          </w:p>
        </w:tc>
      </w:tr>
      <w:tr w:rsidR="00984355" w:rsidRPr="00984355" w14:paraId="53367253" w14:textId="77777777" w:rsidTr="005408D5">
        <w:tc>
          <w:tcPr>
            <w:tcW w:w="3256" w:type="dxa"/>
          </w:tcPr>
          <w:p w14:paraId="53FAEA3B" w14:textId="77777777" w:rsidR="00984355" w:rsidRPr="00984355" w:rsidRDefault="00984355" w:rsidP="00984355">
            <w:pPr>
              <w:spacing w:line="276" w:lineRule="auto"/>
              <w:rPr>
                <w:rFonts w:ascii="Calibri" w:hAnsi="Calibri" w:cs="Calibri"/>
                <w:bCs/>
              </w:rPr>
            </w:pPr>
            <w:r w:rsidRPr="00984355">
              <w:rPr>
                <w:rFonts w:ascii="Calibri" w:hAnsi="Calibri" w:cs="Calibri"/>
                <w:bCs/>
              </w:rPr>
              <w:t>WAIS-III Digit symbol Test</w:t>
            </w:r>
          </w:p>
        </w:tc>
        <w:tc>
          <w:tcPr>
            <w:tcW w:w="2268" w:type="dxa"/>
          </w:tcPr>
          <w:p w14:paraId="5BF8BE96"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&gt; 0.75 </w:t>
            </w:r>
          </w:p>
        </w:tc>
        <w:tc>
          <w:tcPr>
            <w:tcW w:w="2976" w:type="dxa"/>
          </w:tcPr>
          <w:p w14:paraId="70B46292"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{"citationItems":[{"id":"ITEM-1","itemData":{"DOI":"10.1016/S0887-6177(00)00060-3","ISSN":"0887-6177","PMID":"14590186","abstract":"Clinicians should note that there is considerable variability in the reliabilities of the index and subtest scores derived from the third editions of the Wechsler Adult Intelligence Scale (WAIS-III) and the Wechsler Memory Scale (WMS-III). The purpose of this article is to review these reliabilites and to illustrate how they can be used to interpret change in patients' performances from test to retest. The WAIS-III IQ and Index scores are consistently the most reliable scores, in terms of both internal consistency and test-retest reliability. The most internally consistent WAIS-III subtests are Vocabulary, Information, Digit Span, Matrix Reasoning, and Arithmetic. Information and Vocabulary have the highest test-retest reliability. On the WMS-III, the Auditory Immediate Index, Immediate Memory Index, Auditory Delayed Index, and General Memory Index are the most reliable, in terms of both internal consistency and test-retest reliability. The Logical Memory I and Verbal Paired Associates I subtests are the most reliable. Data from three clinical groups (i.e., Alzheimer's disease, chronic alcohol abuse, and schizophrenia) were extracted from the Technical Manual [Psychological Corporation (1997). WAIS-III/WMS-III Technical Manual. San Antonio: Harcourt Brace] for the purpose of calculating reliable change estimates. A table of confidence intervals for test-retest measurement error is provided to help the clinician determine if patients have reliably improved or deteriorated on follow-up testing. Copyright © 2001 National Academy of Neuropsychology.","author":[{"dropping-particle":"","family":"Iverson","given":"Grant L.","non-dropping-particle":"","parse-names":false,"suffix":""}],"container-title":"Archives of Clinical Neuropsychology","id":"ITEM-1","issue":"2","issued":{"date-parts":[["2001","2","1"]]},"page":"183-191","publisher":"No longer published by Elsevier","title":"Interpreting change on the WAIS-III/WMS-III in clinical samples","type":"article-journal","volume":"16"},"uris":["http://www.mendeley.com/documents/?uuid=de38ff90-898c-3092-9ad9-99abe9bdfa94"]}],"mendeley":{"formattedCitation":"(Iverson, 2001)","plainTextFormattedCitation":"(Iverson, 2001)","previouslyFormattedCitation":"(Iverson, 2001)"},"properties":{"noteIndex":0},"schema":"https://github.com/citation-style-language/schema/raw/master/csl-citation.json"}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(Iverson, 2001)</w:t>
            </w:r>
            <w:r w:rsidRPr="00984355">
              <w:rPr>
                <w:rFonts w:ascii="Calibri" w:hAnsi="Calibri" w:cs="Calibri"/>
              </w:rPr>
              <w:fldChar w:fldCharType="end"/>
            </w:r>
          </w:p>
        </w:tc>
      </w:tr>
      <w:tr w:rsidR="00984355" w:rsidRPr="00984355" w14:paraId="3D668125" w14:textId="77777777" w:rsidTr="005408D5">
        <w:tc>
          <w:tcPr>
            <w:tcW w:w="3256" w:type="dxa"/>
          </w:tcPr>
          <w:p w14:paraId="6ACCBA95"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WAIS-III Arithmetic </w:t>
            </w:r>
          </w:p>
        </w:tc>
        <w:tc>
          <w:tcPr>
            <w:tcW w:w="2268" w:type="dxa"/>
          </w:tcPr>
          <w:p w14:paraId="4B1EDD90"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&gt; 0.75 </w:t>
            </w:r>
          </w:p>
        </w:tc>
        <w:tc>
          <w:tcPr>
            <w:tcW w:w="2976" w:type="dxa"/>
          </w:tcPr>
          <w:p w14:paraId="7A26CBD4"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{"citationItems":[{"id":"ITEM-1","itemData":{"DOI":"10.1016/S0887-6177(00)00060-3","ISSN":"0887-6177","PMID":"14590186","abstract":"Clinicians should note that there is considerable variability in the reliabilities of the index and subtest scores derived from the third editions of the Wechsler Adult Intelligence Scale (WAIS-III) and the Wechsler Memory Scale (WMS-III). The purpose of this article is to review these reliabilites and to illustrate how they can be used to interpret change in patients' performances from test to retest. The WAIS-III IQ and Index scores are consistently the most reliable scores, in terms of both internal consistency and test-retest reliability. The most internally consistent WAIS-III subtests are Vocabulary, Information, Digit Span, Matrix Reasoning, and Arithmetic. Information and Vocabulary have the highest test-retest reliability. On the WMS-III, the Auditory Immediate Index, Immediate Memory Index, Auditory Delayed Index, and General Memory Index are the most reliable, in terms of both internal consistency and test-retest reliability. The Logical Memory I and Verbal Paired Associates I subtests are the most reliable. Data from three clinical groups (i.e., Alzheimer's disease, chronic alcohol abuse, and schizophrenia) were extracted from the Technical Manual [Psychological Corporation (1997). WAIS-III/WMS-III Technical Manual. San Antonio: Harcourt Brace] for the purpose of calculating reliable change estimates. A table of confidence intervals for test-retest measurement error is provided to help the clinician determine if patients have reliably improved or deteriorated on follow-up testing. Copyright © 2001 National Academy of Neuropsychology.","author":[{"dropping-particle":"","family":"Iverson","given":"Grant L.","non-dropping-particle":"","parse-names":false,"suffix":""}],"container-title":"Archives of Clinical Neuropsychology","id":"ITEM-1","issue":"2","issued":{"date-parts":[["2001","2","1"]]},"page":"183-191","publisher":"No longer published by Elsevier","title":"Interpreting change on the WAIS-III/WMS-III in clinical samples","type":"article-journal","volume":"16"},"uris":["http://www.mendeley.com/documents/?uuid=de38ff90-898c-3092-9ad9-99abe9bdfa94"]}],"mendeley":{"formattedCitation":"(Iverson, 2001)","plainTextFormattedCitation":"(Iverson, 2001)","previouslyFormattedCitation":"(Iverson, 2001)"},"properties":{"noteIndex":0},"schema":"https://github.com/citation-style-language/schema/raw/master/csl-citation.json"}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(Iverson, 2001)</w:t>
            </w:r>
            <w:r w:rsidRPr="00984355">
              <w:rPr>
                <w:rFonts w:ascii="Calibri" w:hAnsi="Calibri" w:cs="Calibri"/>
              </w:rPr>
              <w:fldChar w:fldCharType="end"/>
            </w:r>
          </w:p>
        </w:tc>
      </w:tr>
      <w:tr w:rsidR="00984355" w:rsidRPr="00984355" w14:paraId="5A0EEAB1" w14:textId="77777777" w:rsidTr="005408D5">
        <w:tc>
          <w:tcPr>
            <w:tcW w:w="3256" w:type="dxa"/>
          </w:tcPr>
          <w:p w14:paraId="20754F78"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WAIS-III Block design </w:t>
            </w:r>
          </w:p>
        </w:tc>
        <w:tc>
          <w:tcPr>
            <w:tcW w:w="2268" w:type="dxa"/>
          </w:tcPr>
          <w:p w14:paraId="4F767F11" w14:textId="77777777" w:rsidR="00984355" w:rsidRPr="00984355" w:rsidRDefault="00984355" w:rsidP="00984355">
            <w:pPr>
              <w:spacing w:line="276" w:lineRule="auto"/>
              <w:rPr>
                <w:rFonts w:ascii="Calibri" w:hAnsi="Calibri" w:cs="Calibri"/>
                <w:bCs/>
              </w:rPr>
            </w:pPr>
            <w:r w:rsidRPr="00984355">
              <w:rPr>
                <w:rFonts w:ascii="Calibri" w:hAnsi="Calibri" w:cs="Calibri"/>
                <w:bCs/>
              </w:rPr>
              <w:t>&gt; 0.75</w:t>
            </w:r>
          </w:p>
        </w:tc>
        <w:tc>
          <w:tcPr>
            <w:tcW w:w="2976" w:type="dxa"/>
          </w:tcPr>
          <w:p w14:paraId="0FF58C2A"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{"citationItems":[{"id":"ITEM-1","itemData":{"DOI":"10.1016/S0887-6177(00)00060-3","ISSN":"0887-6177","PMID":"14590186","abstract":"Clinicians should note that there is considerable variability in the reliabilities of the index and subtest scores derived from the third editions of the Wechsler Adult Intelligence Scale (WAIS-III) and the Wechsler Memory Scale (WMS-III). The purpose of this article is to review these reliabilites and to illustrate how they can be used to interpret change in patients' performances from test to retest. The WAIS-III IQ and Index scores are consistently the most reliable scores, in terms of both internal consistency and test-retest reliability. The most internally consistent WAIS-III subtests are Vocabulary, Information, Digit Span, Matrix Reasoning, and Arithmetic. Information and Vocabulary have the highest test-retest reliability. On the WMS-III, the Auditory Immediate Index, Immediate Memory Index, Auditory Delayed Index, and General Memory Index are the most reliable, in terms of both internal consistency and test-retest reliability. The Logical Memory I and Verbal Paired Associates I subtests are the most reliable. Data from three clinical groups (i.e., Alzheimer's disease, chronic alcohol abuse, and schizophrenia) were extracted from the Technical Manual [Psychological Corporation (1997). WAIS-III/WMS-III Technical Manual. San Antonio: Harcourt Brace] for the purpose of calculating reliable change estimates. A table of confidence intervals for test-retest measurement error is provided to help the clinician determine if patients have reliably improved or deteriorated on follow-up testing. Copyright © 2001 National Academy of Neuropsychology.","author":[{"dropping-particle":"","family":"Iverson","given":"Grant L.","non-dropping-particle":"","parse-names":false,"suffix":""}],"container-title":"Archives of Clinical Neuropsychology","id":"ITEM-1","issue":"2","issued":{"date-parts":[["2001","2","1"]]},"page":"183-191","publisher":"No longer published by Elsevier","title":"Interpreting change on the WAIS-III/WMS-III in clinical samples","type":"article-journal","volume":"16"},"uris":["http://www.mendeley.com/documents/?uuid=de38ff90-898c-3092-9ad9-99abe9bdfa94"]}],"mendeley":{"formattedCitation":"(Iverson, 2001)","plainTextFormattedCitation":"(Iverson, 2001)","previouslyFormattedCitation":"(Iverson, 2001)"},"properties":{"noteIndex":0},"schema":"https://github.com/citation-style-language/schema/raw/master/csl-citation.json"}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(Iverson, 2001)</w:t>
            </w:r>
            <w:r w:rsidRPr="00984355">
              <w:rPr>
                <w:rFonts w:ascii="Calibri" w:hAnsi="Calibri" w:cs="Calibri"/>
              </w:rPr>
              <w:fldChar w:fldCharType="end"/>
            </w:r>
          </w:p>
        </w:tc>
      </w:tr>
      <w:tr w:rsidR="00984355" w:rsidRPr="00984355" w14:paraId="79C9B7C6" w14:textId="77777777" w:rsidTr="005408D5">
        <w:tc>
          <w:tcPr>
            <w:tcW w:w="3256" w:type="dxa"/>
            <w:tcBorders>
              <w:bottom w:val="single" w:sz="4" w:space="0" w:color="auto"/>
            </w:tcBorders>
          </w:tcPr>
          <w:p w14:paraId="094E746D"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Benton Facial Recognition Test </w:t>
            </w:r>
          </w:p>
        </w:tc>
        <w:tc>
          <w:tcPr>
            <w:tcW w:w="2268" w:type="dxa"/>
            <w:tcBorders>
              <w:bottom w:val="single" w:sz="4" w:space="0" w:color="auto"/>
            </w:tcBorders>
          </w:tcPr>
          <w:p w14:paraId="21D53132" w14:textId="77777777" w:rsidR="00984355" w:rsidRPr="00984355" w:rsidRDefault="00984355" w:rsidP="00984355">
            <w:pPr>
              <w:spacing w:line="276" w:lineRule="auto"/>
              <w:rPr>
                <w:rFonts w:ascii="Calibri" w:hAnsi="Calibri" w:cs="Calibri"/>
                <w:bCs/>
              </w:rPr>
            </w:pPr>
            <w:r w:rsidRPr="00984355">
              <w:rPr>
                <w:rFonts w:ascii="Calibri" w:hAnsi="Calibri" w:cs="Calibri"/>
                <w:bCs/>
              </w:rPr>
              <w:t xml:space="preserve">&gt; 0.6 </w:t>
            </w:r>
          </w:p>
        </w:tc>
        <w:tc>
          <w:tcPr>
            <w:tcW w:w="2976" w:type="dxa"/>
            <w:tcBorders>
              <w:bottom w:val="single" w:sz="4" w:space="0" w:color="auto"/>
            </w:tcBorders>
          </w:tcPr>
          <w:p w14:paraId="0ACD1C77" w14:textId="77777777" w:rsidR="00984355" w:rsidRPr="00984355" w:rsidRDefault="00984355" w:rsidP="00984355">
            <w:pPr>
              <w:spacing w:line="276" w:lineRule="auto"/>
              <w:rPr>
                <w:rFonts w:ascii="Calibri" w:hAnsi="Calibri" w:cs="Calibri"/>
                <w:bCs/>
              </w:rPr>
            </w:pPr>
            <w:r w:rsidRPr="00984355">
              <w:rPr>
                <w:rFonts w:ascii="Calibri" w:hAnsi="Calibri" w:cs="Calibri"/>
                <w:bCs/>
              </w:rPr>
              <w:fldChar w:fldCharType="begin" w:fldLock="1"/>
            </w:r>
            <w:r w:rsidRPr="00984355">
              <w:rPr>
                <w:rFonts w:ascii="Calibri" w:hAnsi="Calibri" w:cs="Calibri"/>
                <w:bCs/>
              </w:rPr>
              <w:instrText>ADDIN CSL_CITATION {"citationItems":[{"id":"ITEM-1","itemData":{"DOI":"10.1007/S10072-017-3030-6/TABLES/5","ISSN":"15903478","PMID":"28638998","abstract":"The Benton Facial Recognition Test (BFRT) and Cambridge Face Memory Test (CFMT) are two of the most common tests used to assess face discrimination and recognition abilities and to identify individuals with prosopagnosia. However, recent studies highlighted that participant–stimulus match ethnicity, as much as gender, has to be taken into account in interpreting results from these tests. Here, in order to obtain more appropriate normative data for an Italian sample, the CFMT and BFRT were administered to a large cohort of young adults. We found that scores from the BFRT are not affected by participants’ gender and are only slightly affected by participant–stimulus ethnicity match, whereas both these factors seem to influence the scores of the CFMT. Moreover, the inclusion of a sample of individuals with suspected face recognition impairment allowed us to show that the use of more appropriate normative data can increase the BFRT efficacy in identifying individuals with face discrimination impairments; by contrast, the efficacy of the CFMT in classifying individuals with a face recognition deficit was confirmed. Finally, our data show that the lack of inversion effect (the difference between the total score of the upright and inverted versions of the CFMT) could be used as further index to assess congenital prosopagnosia. Overall, our results confirm the importance of having norms derived from controls with a similar experience of faces as the “potential” prosopagnosic individuals when assessing face recognition abilities.","author":[{"dropping-particle":"","family":"Albonico","given":"Andrea","non-dropping-particle":"","parse-names":false,"suffix":""},{"dropping-particle":"","family":"Malaspina","given":"Manuela","non-dropping-particle":"","parse-names":false,"suffix":""},{"dropping-particle":"","family":"Daini","given":"Roberta","non-dropping-particle":"","parse-names":false,"suffix":""}],"container-title":"Neurological Sciences","id":"ITEM-1","issue":"9","issued":{"date-parts":[["2017","9","1"]]},"page":"1637-1643","publisher":"Springer-Verlag Italia s.r.l.","title":"Italian normative data and validation of two neuropsychological tests of face recognition: Benton Facial Recognition Test and Cambridge Face Memory Test","type":"article-journal","volume":"38"},"uris":["http://www.mendeley.com/documents/?uuid=fce6ee35-bd84-3728-a992-6868eee9478d"]}],"mendeley":{"formattedCitation":"(Albonico et al., 2017)","plainTextFormattedCitation":"(Albonico et al., 2017)","previouslyFormattedCitation":"(Albonico et al., 2017)"},"properties":{"noteIndex":0},"schema":"https://github.com/citation-style-language/schema/raw/master/csl-citation.json"}</w:instrText>
            </w:r>
            <w:r w:rsidRPr="00984355">
              <w:rPr>
                <w:rFonts w:ascii="Calibri" w:hAnsi="Calibri" w:cs="Calibri"/>
                <w:bCs/>
              </w:rPr>
              <w:fldChar w:fldCharType="separate"/>
            </w:r>
            <w:r w:rsidRPr="00984355">
              <w:rPr>
                <w:rFonts w:ascii="Calibri" w:hAnsi="Calibri" w:cs="Calibri"/>
                <w:bCs/>
                <w:noProof/>
              </w:rPr>
              <w:t>(Albonico et al., 2017)</w:t>
            </w:r>
            <w:r w:rsidRPr="00984355">
              <w:rPr>
                <w:rFonts w:ascii="Calibri" w:hAnsi="Calibri" w:cs="Calibri"/>
              </w:rPr>
              <w:fldChar w:fldCharType="end"/>
            </w:r>
          </w:p>
        </w:tc>
      </w:tr>
    </w:tbl>
    <w:p w14:paraId="64EF0594" w14:textId="77777777" w:rsidR="00984355" w:rsidRPr="00984355" w:rsidRDefault="00984355" w:rsidP="007E4098">
      <w:pPr>
        <w:rPr>
          <w:rFonts w:ascii="Calibri" w:eastAsia="Arial" w:hAnsi="Calibri" w:cs="Calibri"/>
          <w:bCs/>
          <w:lang w:eastAsia="en-GB"/>
        </w:rPr>
      </w:pPr>
      <w:r w:rsidRPr="00984355">
        <w:rPr>
          <w:rFonts w:ascii="Calibri" w:eastAsia="Arial" w:hAnsi="Calibri" w:cs="Calibri"/>
          <w:bCs/>
          <w:i/>
          <w:iCs/>
          <w:lang w:eastAsia="en-GB"/>
        </w:rPr>
        <w:t xml:space="preserve">Note. </w:t>
      </w:r>
      <w:r w:rsidRPr="00984355">
        <w:rPr>
          <w:rFonts w:ascii="Calibri" w:eastAsia="Arial" w:hAnsi="Calibri" w:cs="Calibri"/>
          <w:bCs/>
          <w:lang w:eastAsia="en-GB"/>
        </w:rPr>
        <w:t xml:space="preserve">This table shows the minimum test-retest reliability per cognitive test. No one number can be reported because the test-retest reliability is investigated in multiple samples, and therefore differs. </w:t>
      </w:r>
    </w:p>
    <w:p w14:paraId="3C865010" w14:textId="77777777" w:rsidR="00825436" w:rsidRDefault="00825436" w:rsidP="005577CF">
      <w:pPr>
        <w:rPr>
          <w:rFonts w:ascii="Calibri" w:eastAsia="Arial" w:hAnsi="Calibri" w:cs="Calibri"/>
          <w:b/>
          <w:i/>
          <w:iCs/>
          <w:lang w:eastAsia="en-GB"/>
        </w:rPr>
      </w:pPr>
    </w:p>
    <w:p w14:paraId="5E6A2982" w14:textId="623E4587" w:rsidR="006D5B45" w:rsidRPr="00825436" w:rsidRDefault="007E4098" w:rsidP="005577CF">
      <w:pPr>
        <w:rPr>
          <w:rFonts w:ascii="Calibri" w:eastAsia="Arial" w:hAnsi="Calibri" w:cs="Calibri"/>
          <w:b/>
          <w:i/>
          <w:iCs/>
          <w:lang w:eastAsia="en-GB"/>
        </w:rPr>
      </w:pPr>
      <w:r w:rsidRPr="00825436">
        <w:rPr>
          <w:b/>
          <w:bCs/>
        </w:rPr>
        <w:t xml:space="preserve">Appendix </w:t>
      </w:r>
      <w:r w:rsidR="00800FC7" w:rsidRPr="00825436">
        <w:rPr>
          <w:b/>
          <w:bCs/>
        </w:rPr>
        <w:t>2</w:t>
      </w:r>
      <w:r w:rsidRPr="00825436">
        <w:rPr>
          <w:b/>
          <w:bCs/>
        </w:rPr>
        <w:t xml:space="preserve">. </w:t>
      </w:r>
      <w:r w:rsidR="00825436">
        <w:rPr>
          <w:b/>
          <w:bCs/>
        </w:rPr>
        <w:t>Plausible value imputation</w:t>
      </w:r>
    </w:p>
    <w:p w14:paraId="3558B43B" w14:textId="206AF888" w:rsidR="005577CF" w:rsidRDefault="00825436" w:rsidP="00825436">
      <w:pPr>
        <w:ind w:firstLine="720"/>
      </w:pPr>
      <w:r>
        <w:rPr>
          <w:i/>
          <w:iCs/>
        </w:rPr>
        <w:t xml:space="preserve">Why? </w:t>
      </w:r>
      <w:r w:rsidR="005577CF">
        <w:t xml:space="preserve">The questionnaires we used to assess childhood trauma and psychopathological symptoms consist of many items. Because estimating a network with all these items included separately would result in an unstable and uninterpretable network we decided to aggregate the data into sum scores that represent the latent variables of childhood trauma, positive, negative, and depressive symptoms. However, directly using sum scores of Likert scales as indications of latent variables is problematic, because the labels of the initial items are meaningless and sum scores do not take into account the uncertainty of the latent variable estimation. </w:t>
      </w:r>
      <w:r w:rsidR="00D73946">
        <w:fldChar w:fldCharType="begin" w:fldLock="1"/>
      </w:r>
      <w:r w:rsidR="009C6186">
        <w:instrText>ADDIN CSL_CITATION {"citationItems":[{"id":"ITEM-1","itemData":{"DOI":"10.1016/J.BRAT.2022.104163","ISSN":"0005-7967","PMID":"36030733","abstract":"Network psychometric models are often estimated using a single indicator for each node in the network, thus failing to consider potential measurement error. In this study, we investigate the impact of measurement error on cross-sectional network models. First, we conduct a simulation study to evaluate the performance of models based on single indicators as well as models that utilize information from multiple indicators per node, including average scores, factor scores, and latent variables. Our results demonstrate that measurement error impairs the reliability and performance of network models, especially when using single indicators. The reliability and performance of network models improves substantially with increasing sample size and when using methods that combine information from multiple indicators per node. Second, we use empirical data from the STAR*D trial (n = 3,731) to further evaluate the impact of measurement error. In the STAR*D trial, depression symptoms were assessed via three questionnaires, providing multiple indicators per symptom. Consistent with our simulation results, we find that when using sub-samples of this dataset, the discrepancy between the three single-indicator networks (one network per questionnaire) diminishes with increasing sample size. Together, our simulated and empirical findings provide evidence that measurement error can hinder network estimation when working with smaller samples and offers guidance on methods to mitigate measurement error.","author":[{"dropping-particle":"","family":"Ron","given":"Jill","non-dropping-particle":"de","parse-names":false,"suffix":""},{"dropping-particle":"","family":"Robinaugh","given":"Donald J.","non-dropping-particle":"","parse-names":false,"suffix":""},{"dropping-particle":"","family":"Fried","given":"Eiko I.","non-dropping-particle":"","parse-names":false,"suffix":""},{"dropping-particle":"","family":"Pedrelli","given":"Paola","non-dropping-particle":"","parse-names":false,"suffix":""},{"dropping-particle":"","family":"Jain","given":"Felipe A.","non-dropping-particle":"","parse-names":false,"suffix":""},{"dropping-particle":"","family":"Mischoulon","given":"David","non-dropping-particle":"","parse-names":false,"suffix":""},{"dropping-particle":"","family":"Epskamp","given":"Sacha","non-dropping-particle":"","parse-names":false,"suffix":""}],"container-title":"Behaviour Research and Therapy","id":"ITEM-1","issued":{"date-parts":[["2022","10","1"]]},"page":"104163","publisher":"Pergamon","title":"Quantifying and addressing the impact of measurement error in network models","type":"article-journal","volume":"157"},"uris":["http://www.mendeley.com/documents/?uuid=268ea71f-e433-31ce-b9c8-41d25874fb3c"]}],"mendeley":{"formattedCitation":"(de Ron et al., 2022)","manualFormatting":"De Ron et al. (2022)","plainTextFormattedCitation":"(de Ron et al., 2022)","previouslyFormattedCitation":"(de Ron et al., 2022)"},"properties":{"noteIndex":0},"schema":"https://github.com/citation-style-language/schema/raw/master/csl-citation.json"}</w:instrText>
      </w:r>
      <w:r w:rsidR="00D73946">
        <w:fldChar w:fldCharType="separate"/>
      </w:r>
      <w:r w:rsidR="00D73946">
        <w:rPr>
          <w:noProof/>
        </w:rPr>
        <w:t>D</w:t>
      </w:r>
      <w:r w:rsidR="00D73946" w:rsidRPr="00D73946">
        <w:rPr>
          <w:noProof/>
        </w:rPr>
        <w:t>e Ron et al.</w:t>
      </w:r>
      <w:r w:rsidR="00D73946">
        <w:rPr>
          <w:noProof/>
        </w:rPr>
        <w:t xml:space="preserve"> (</w:t>
      </w:r>
      <w:r w:rsidR="00D73946" w:rsidRPr="00D73946">
        <w:rPr>
          <w:noProof/>
        </w:rPr>
        <w:t>2022)</w:t>
      </w:r>
      <w:r w:rsidR="00D73946">
        <w:fldChar w:fldCharType="end"/>
      </w:r>
      <w:r w:rsidR="005577CF">
        <w:t xml:space="preserve">, showed that the most precise way to estimate a network with unobserved (latent) variables is by directly estimating a network on the implied latent variance-covariance structure of the data. However, this approach is very computationally expensive. </w:t>
      </w:r>
    </w:p>
    <w:p w14:paraId="27070FA8" w14:textId="693974D1" w:rsidR="005577CF" w:rsidRDefault="005577CF" w:rsidP="005577CF">
      <w:pPr>
        <w:ind w:firstLine="720"/>
      </w:pPr>
      <w:r>
        <w:t xml:space="preserve">We therefore took a different approach, inspired by </w:t>
      </w:r>
      <w:r w:rsidR="00683FCB">
        <w:fldChar w:fldCharType="begin" w:fldLock="1"/>
      </w:r>
      <w:r w:rsidR="00683FCB">
        <w:instrText>ADDIN CSL_CITATION {"citationItems":[{"id":"ITEM-1","itemData":{"DOI":"10.1007/S11336-016-9497-X/TABLES/3","ISSN":"00333123","PMID":"27052959","abstract":"In this paper, we show that the marginal distribution of plausible values is a consistent estimator of the true latent variable distribution, and, furthermore, that convergence is monotone in an embedding in which the number of items tends to infinity. We use this result to clarify some of the misconceptions that exist about plausible values, and also show how they can be used in the analyses of educational surveys.","author":[{"dropping-particle":"","family":"Marsman","given":"Maarten","non-dropping-particle":"","parse-names":false,"suffix":""},{"dropping-particle":"","family":"Maris","given":"Gunter","non-dropping-particle":"","parse-names":false,"suffix":""},{"dropping-particle":"","family":"Bechger","given":"Timo","non-dropping-particle":"","parse-names":false,"suffix":""},{"dropping-particle":"","family":"Glas","given":"Cees","non-dropping-particle":"","parse-names":false,"suffix":""}],"container-title":"Psychometrika","id":"ITEM-1","issue":"2","issued":{"date-parts":[["2016","6","1"]]},"page":"274-289","publisher":"Springer New York LLC","title":"What can we learn from Plausible Values?","type":"article-journal","volume":"81"},"uris":["http://www.mendeley.com/documents/?uuid=56d4636f-b430-3bb1-a99e-34900856b460"]}],"mendeley":{"formattedCitation":"(Marsman et al., 2016)","manualFormatting":"Marsman et al. (2016)","plainTextFormattedCitation":"(Marsman et al., 2016)","previouslyFormattedCitation":"(Marsman et al., 2016)"},"properties":{"noteIndex":0},"schema":"https://github.com/citation-style-language/schema/raw/master/csl-citation.json"}</w:instrText>
      </w:r>
      <w:r w:rsidR="00683FCB">
        <w:fldChar w:fldCharType="separate"/>
      </w:r>
      <w:r w:rsidR="00683FCB" w:rsidRPr="00683FCB">
        <w:rPr>
          <w:noProof/>
        </w:rPr>
        <w:t>Marsman et al.</w:t>
      </w:r>
      <w:r w:rsidR="00683FCB">
        <w:rPr>
          <w:noProof/>
        </w:rPr>
        <w:t xml:space="preserve"> (</w:t>
      </w:r>
      <w:r w:rsidR="00683FCB" w:rsidRPr="00683FCB">
        <w:rPr>
          <w:noProof/>
        </w:rPr>
        <w:t>2016)</w:t>
      </w:r>
      <w:r w:rsidR="00683FCB">
        <w:fldChar w:fldCharType="end"/>
      </w:r>
      <w:r>
        <w:t xml:space="preserve">. Note first that network analysis would be straightforward if the latent variable would have been observed. It would then simply be one of the variables in the network. Of course the latent variables are not observed, and we need to estimate them from the data at hand. In the context of latent variable </w:t>
      </w:r>
      <w:r w:rsidR="00683FCB">
        <w:t>modelling</w:t>
      </w:r>
      <w:r>
        <w:t xml:space="preserve">, </w:t>
      </w:r>
      <w:r>
        <w:lastRenderedPageBreak/>
        <w:t>specifically item response theory modelling, it is well-known that the maximum likelihood (ML) estimates are biased, and using these estimates as stand in for the real latent variable lead to biased estimates of population quantities</w:t>
      </w:r>
      <w:r w:rsidR="00683FCB">
        <w:t xml:space="preserve"> </w:t>
      </w:r>
      <w:r w:rsidR="00683FCB">
        <w:fldChar w:fldCharType="begin" w:fldLock="1"/>
      </w:r>
      <w:r w:rsidR="00683FCB">
        <w:instrText>ADDIN CSL_CITATION {"citationItems":[{"id":"ITEM-1","itemData":{"DOI":"10.1007/BF02294457","ISBN":"8030500.75/0","ISSN":"1860-0980","abstract":"Standard procedures for drawing inferences from complex samples do not apply when the variable of interestϑ cannot be observed directly, but must be inferred from the values of secondary random variables that depend onϑ stochastically. Examples are proficiency variables in item response models and class memberships in latent class models. Rubin's “multiple imputation” techniques yield approximations of sample statistics that would have been obtained, hadϑ been observable, and associated variance estimates that account for uncertainty due to both the sampling of respondents and the latent nature ofϑ. The approach is illustrated with data from the National Assessment for Educational Progress.","author":[{"dropping-particle":"","family":"Mislevy","given":"Robert J.","non-dropping-particle":"","parse-names":false,"suffix":""}],"container-title":"Psychometrika 1991 56:2","id":"ITEM-1","issue":"2","issued":{"date-parts":[["1991","6"]]},"page":"177-196","publisher":"Springer","title":"Randomization-based inference about latent variables from complex samples","type":"article-journal","volume":"56"},"uris":["http://www.mendeley.com/documents/?uuid=49523c53-3d36-35fe-8cfb-c4056bf88371"]}],"mendeley":{"formattedCitation":"(Mislevy, 1991)","plainTextFormattedCitation":"(Mislevy, 1991)","previouslyFormattedCitation":"(Mislevy, 1991)"},"properties":{"noteIndex":0},"schema":"https://github.com/citation-style-language/schema/raw/master/csl-citation.json"}</w:instrText>
      </w:r>
      <w:r w:rsidR="00683FCB">
        <w:fldChar w:fldCharType="separate"/>
      </w:r>
      <w:r w:rsidR="00683FCB" w:rsidRPr="00683FCB">
        <w:rPr>
          <w:noProof/>
        </w:rPr>
        <w:t>(Mislevy, 1991)</w:t>
      </w:r>
      <w:r w:rsidR="00683FCB">
        <w:fldChar w:fldCharType="end"/>
      </w:r>
      <w:r>
        <w:t>. The problem with the ML estimates is that they crucially miss the fact that we have “measured” the latent variable with uncertainty. In this context, plausible values have proven to be a much more convenient estimator. A plausible value is a draw from the posterior distribution of the latent variable. It captures the uncertainty that we have about the latent variable. Importantly, these plausible values allowed us to analyse the latent variables as if they would be observed</w:t>
      </w:r>
      <w:r w:rsidR="00683FCB">
        <w:t xml:space="preserve"> </w:t>
      </w:r>
      <w:r w:rsidR="00683FCB">
        <w:fldChar w:fldCharType="begin" w:fldLock="1"/>
      </w:r>
      <w:r w:rsidR="00683FCB">
        <w:instrText>ADDIN CSL_CITATION {"citationItems":[{"id":"ITEM-1","itemData":{"DOI":"10.1007/S11336-016-9497-X/TABLES/3","ISSN":"00333123","PMID":"27052959","abstract":"In this paper, we show that the marginal distribution of plausible values is a consistent estimator of the true latent variable distribution, and, furthermore, that convergence is monotone in an embedding in which the number of items tends to infinity. We use this result to clarify some of the misconceptions that exist about plausible values, and also show how they can be used in the analyses of educational surveys.","author":[{"dropping-particle":"","family":"Marsman","given":"Maarten","non-dropping-particle":"","parse-names":false,"suffix":""},{"dropping-particle":"","family":"Maris","given":"Gunter","non-dropping-particle":"","parse-names":false,"suffix":""},{"dropping-particle":"","family":"Bechger","given":"Timo","non-dropping-particle":"","parse-names":false,"suffix":""},{"dropping-particle":"","family":"Glas","given":"Cees","non-dropping-particle":"","parse-names":false,"suffix":""}],"container-title":"Psychometrika","id":"ITEM-1","issue":"2","issued":{"date-parts":[["2016","6","1"]]},"page":"274-289","publisher":"Springer New York LLC","title":"What can we learn from Plausible Values?","type":"article-journal","volume":"81"},"uris":["http://www.mendeley.com/documents/?uuid=56d4636f-b430-3bb1-a99e-34900856b460"]}],"mendeley":{"formattedCitation":"(Marsman et al., 2016)","plainTextFormattedCitation":"(Marsman et al., 2016)","previouslyFormattedCitation":"(Marsman et al., 2016)"},"properties":{"noteIndex":0},"schema":"https://github.com/citation-style-language/schema/raw/master/csl-citation.json"}</w:instrText>
      </w:r>
      <w:r w:rsidR="00683FCB">
        <w:fldChar w:fldCharType="separate"/>
      </w:r>
      <w:r w:rsidR="00683FCB" w:rsidRPr="00683FCB">
        <w:rPr>
          <w:noProof/>
        </w:rPr>
        <w:t>(Marsman et al., 2016)</w:t>
      </w:r>
      <w:r w:rsidR="00683FCB">
        <w:fldChar w:fldCharType="end"/>
      </w:r>
      <w:r>
        <w:t>. We use</w:t>
      </w:r>
      <w:r w:rsidR="00D73946">
        <w:t>d</w:t>
      </w:r>
      <w:r>
        <w:t xml:space="preserve"> these plausible values as stand in for the latent variable in the network. </w:t>
      </w:r>
    </w:p>
    <w:p w14:paraId="1428E197" w14:textId="50238C79" w:rsidR="005577CF" w:rsidRDefault="00825436" w:rsidP="00825436">
      <w:pPr>
        <w:ind w:firstLine="720"/>
      </w:pPr>
      <w:r>
        <w:rPr>
          <w:i/>
          <w:iCs/>
        </w:rPr>
        <w:t xml:space="preserve">How? </w:t>
      </w:r>
      <w:r w:rsidR="005577CF">
        <w:t>To create the plausible values, we first estimate</w:t>
      </w:r>
      <w:r w:rsidR="00D73946">
        <w:t>d</w:t>
      </w:r>
      <w:r w:rsidR="005577CF">
        <w:t xml:space="preserve"> an item response theory model to the observed ordinal variables. We estimated a generalized partial credit model</w:t>
      </w:r>
      <w:r w:rsidR="00683FCB">
        <w:t xml:space="preserve"> </w:t>
      </w:r>
      <w:r w:rsidR="00683FCB">
        <w:fldChar w:fldCharType="begin" w:fldLock="1"/>
      </w:r>
      <w:r w:rsidR="00D73946">
        <w:instrText>ADDIN CSL_CITATION {"citationItems":[{"id":"ITEM-1","itemData":{"DOI":"10.1177/014662169001400106","ISSN":"15523497","abstract":"This study examined the application of the MML-EM algorithm to the parameter estimation problems of the normal ogive and logistic polytomous response models for Likert-type items. A rating-scale model was devel oped based on Samejima's (1969) graded response model. The graded response model includes a separate slope parameter for each item and an item response parameter. In the rating-scale model, the item re sponse parameter is resolved into two parameters: the item location parameter, and the category threshold parameter characterizing the boundary between re sponse categories. For a Likert-type questionnaire, where a single scale is employed to elicit different re sponses to the items, this item response model is ex pected to be more useful for analysis because the item parameters can be estimated separately from the threshold parameters associated with the points on a single Likert scale. The advantages of this type of model are shown by analyzing simulated data and data from the General Social Surveys. © 1990, Sage Publications. All rights reserved.","author":[{"dropping-particle":"","family":"Muraki","given":"Eiji","non-dropping-particle":"","parse-names":false,"suffix":""}],"container-title":"Applied Psychological Measurement","id":"ITEM-1","issue":"1","issued":{"date-parts":[["1990"]]},"page":"59-71","title":"Fitting a Polytomous Item Response Model to Likert-Type Data","type":"article-journal","volume":"14"},"uris":["http://www.mendeley.com/documents/?uuid=bb118617-9a5c-3174-b94a-ce0236a2fbe8"]}],"mendeley":{"formattedCitation":"(Muraki, 1990)","manualFormatting":"(GPCM; Muraki, 1990)","plainTextFormattedCitation":"(Muraki, 1990)","previouslyFormattedCitation":"(Muraki, 1990)"},"properties":{"noteIndex":0},"schema":"https://github.com/citation-style-language/schema/raw/master/csl-citation.json"}</w:instrText>
      </w:r>
      <w:r w:rsidR="00683FCB">
        <w:fldChar w:fldCharType="separate"/>
      </w:r>
      <w:r w:rsidR="00683FCB" w:rsidRPr="00683FCB">
        <w:rPr>
          <w:noProof/>
        </w:rPr>
        <w:t>(</w:t>
      </w:r>
      <w:r w:rsidR="00683FCB">
        <w:rPr>
          <w:noProof/>
        </w:rPr>
        <w:t xml:space="preserve">GPCM; </w:t>
      </w:r>
      <w:r w:rsidR="00683FCB" w:rsidRPr="00683FCB">
        <w:rPr>
          <w:noProof/>
        </w:rPr>
        <w:t>Muraki, 1990)</w:t>
      </w:r>
      <w:r w:rsidR="00683FCB">
        <w:fldChar w:fldCharType="end"/>
      </w:r>
      <w:r w:rsidR="005577CF">
        <w:t xml:space="preserve"> using the </w:t>
      </w:r>
      <w:proofErr w:type="spellStart"/>
      <w:r w:rsidR="005577CF">
        <w:t>mirt</w:t>
      </w:r>
      <w:proofErr w:type="spellEnd"/>
      <w:r w:rsidR="005577CF">
        <w:t xml:space="preserve"> package (Chalmers, 2012). We used the “Davidian-6” option for the latent variable distribution, as it is a liberal distribution for the latent variables using semi-parametric Davidian curves </w:t>
      </w:r>
      <w:r w:rsidR="00D73946">
        <w:fldChar w:fldCharType="begin" w:fldLock="1"/>
      </w:r>
      <w:r w:rsidR="00D73946">
        <w:instrText>ADDIN CSL_CITATION {"citationItems":[{"id":"ITEM-1","itemData":{"DOI":"10.1177/0146621608319512","ISSN":"01466216","abstract":"Davidian-curve item response theory (DC-IRT) is introduced, evaluated with simulations, and illustrated using data from the Schedule for Nonadaptive and Adaptive Personality Entitlement scale. DC-IRT is a method for fitting unidimensional IRT models with maximum marginal likelihood estimation, in which the latent density is estimated, simultaneously with the item parameters of logistic item response functions, as a Davidian curve. Simulations compare DC-IRT with Ramsay-curve IRT (RC-IRT) and the empirical histogram method (EHM) for a normal, bimodal, or skewed latent distribution. When the latent density was nonnormal, any of the three density estimation methods improved on the normal model. Both DC-IRT and RC-IRT produced more-accurate results than did the EHM. © 2009 SAGE Publications.","author":[{"dropping-particle":"","family":"Woods","given":"Carol M.","non-dropping-particle":"","parse-names":false,"suffix":""},{"dropping-particle":"","family":"Lin","given":"Nan","non-dropping-particle":"","parse-names":false,"suffix":""}],"container-title":"Applied Psychological Measurement","id":"ITEM-1","issue":"2","issued":{"date-parts":[["2009","3"]]},"page":"102-117","publisher":"Davidian &amp; Giltinan","title":"Item response theory with estimation of the latent density using Davidian curves","type":"article-journal","volume":"33"},"uris":["http://www.mendeley.com/documents/?uuid=2f29e811-7ce7-34f8-9569-b2d19a9781ed"]}],"mendeley":{"formattedCitation":"(Woods &amp; Lin, 2009)","plainTextFormattedCitation":"(Woods &amp; Lin, 2009)","previouslyFormattedCitation":"(Woods &amp; Lin, 2009)"},"properties":{"noteIndex":0},"schema":"https://github.com/citation-style-language/schema/raw/master/csl-citation.json"}</w:instrText>
      </w:r>
      <w:r w:rsidR="00D73946">
        <w:fldChar w:fldCharType="separate"/>
      </w:r>
      <w:r w:rsidR="00D73946" w:rsidRPr="00D73946">
        <w:rPr>
          <w:noProof/>
        </w:rPr>
        <w:t>(Woods &amp; Lin, 2009)</w:t>
      </w:r>
      <w:r w:rsidR="00D73946">
        <w:fldChar w:fldCharType="end"/>
      </w:r>
      <w:r w:rsidR="005577CF">
        <w:t>. We fixed the item parameters of the GPCM, and used these to generate the plausible values. We used a Metropolis method with matching kernels described by</w:t>
      </w:r>
      <w:r w:rsidR="00D73946">
        <w:fldChar w:fldCharType="begin" w:fldLock="1"/>
      </w:r>
      <w:r w:rsidR="00D73946">
        <w:instrText>ADDIN CSL_CITATION {"citationItems":[{"id":"ITEM-1","itemData":{"DOI":"10.1371/JOURNAL.PONE.0169787","ISBN":"1111111111","ISSN":"1932-6203","PMID":"28076429","abstract":"The Single Variable Exchange algorithm is based on a simple idea; any model that can be simulated can be estimated by producing draws from the posterior distribution. We build on this simple idea by framing the Exchange algorithm as a mixture of Metropolis transition kernels and propose strategies that automatically select the more efficient transition kernels. In this manner we achieve significant improvements in convergence rate and autocorrelation of the Markov chain without relying on more than being able to simulate from the model. Our focus will be on statistical models in the Exponential Family and use two simple models from educational measurement to illustrate the contribution.","author":[{"dropping-particle":"","family":"Marsman","given":"Maarten","non-dropping-particle":"","parse-names":false,"suffix":""},{"dropping-particle":"","family":"Maris","given":"Gunter","non-dropping-particle":"","parse-names":false,"suffix":""},{"dropping-particle":"","family":"Bechger","given":"Timo","non-dropping-particle":"","parse-names":false,"suffix":""},{"dropping-particle":"","family":"Glas","given":"Cees","non-dropping-particle":"","parse-names":false,"suffix":""}],"container-title":"PLOS ONE","id":"ITEM-1","issue":"1","issued":{"date-parts":[["2017","1","1"]]},"page":"e0169787","publisher":"Public Library of Science","title":"Turning Simulation into Estimation: Generalized Exchange Algorithms for Exponential Family Models","type":"article-journal","volume":"12"},"uris":["http://www.mendeley.com/documents/?uuid=5a493e71-c110-358f-9bfa-a4a37815bc3d"]}],"mendeley":{"formattedCitation":"(Marsman et al., 2017)","manualFormatting":" Marsman et al. (2017)","plainTextFormattedCitation":"(Marsman et al., 2017)","previouslyFormattedCitation":"(Marsman et al., 2017)"},"properties":{"noteIndex":0},"schema":"https://github.com/citation-style-language/schema/raw/master/csl-citation.json"}</w:instrText>
      </w:r>
      <w:r w:rsidR="00D73946">
        <w:fldChar w:fldCharType="separate"/>
      </w:r>
      <w:r w:rsidR="00D73946">
        <w:rPr>
          <w:noProof/>
        </w:rPr>
        <w:t xml:space="preserve"> </w:t>
      </w:r>
      <w:r w:rsidR="00D73946" w:rsidRPr="00D73946">
        <w:rPr>
          <w:noProof/>
        </w:rPr>
        <w:t>Marsman et al.</w:t>
      </w:r>
      <w:r w:rsidR="00D73946">
        <w:rPr>
          <w:noProof/>
        </w:rPr>
        <w:t xml:space="preserve"> (</w:t>
      </w:r>
      <w:r w:rsidR="00D73946" w:rsidRPr="00D73946">
        <w:rPr>
          <w:noProof/>
        </w:rPr>
        <w:t>2017)</w:t>
      </w:r>
      <w:r w:rsidR="00D73946">
        <w:fldChar w:fldCharType="end"/>
      </w:r>
      <w:r w:rsidR="005577CF">
        <w:t xml:space="preserve"> to generate the plausible values. As a prior for the latent variable, we used a mixture of normal densities because it allows for fast convergence of the plausible distribution (</w:t>
      </w:r>
      <w:r w:rsidR="00D73946">
        <w:fldChar w:fldCharType="begin" w:fldLock="1"/>
      </w:r>
      <w:r w:rsidR="00D73946">
        <w:instrText>ADDIN CSL_CITATION {"citationItems":[{"id":"ITEM-1","itemData":{"DOI":"10.1007/S11336-016-9497-X/TABLES/3","ISSN":"00333123","PMID":"27052959","abstract":"In this paper, we show that the marginal distribution of plausible values is a consistent estimator of the true latent variable distribution, and, furthermore, that convergence is monotone in an embedding in which the number of items tends to infinity. We use this result to clarify some of the misconceptions that exist about plausible values, and also show how they can be used in the analyses of educational surveys.","author":[{"dropping-particle":"","family":"Marsman","given":"Maarten","non-dropping-particle":"","parse-names":false,"suffix":""},{"dropping-particle":"","family":"Maris","given":"Gunter","non-dropping-particle":"","parse-names":false,"suffix":""},{"dropping-particle":"","family":"Bechger","given":"Timo","non-dropping-particle":"","parse-names":false,"suffix":""},{"dropping-particle":"","family":"Glas","given":"Cees","non-dropping-particle":"","parse-names":false,"suffix":""}],"container-title":"Psychometrika","id":"ITEM-1","issue":"2","issued":{"date-parts":[["2016","6","1"]]},"page":"274-289","publisher":"Springer New York LLC","title":"What can we learn from Plausible Values?","type":"article-journal","volume":"81"},"uris":["http://www.mendeley.com/documents/?uuid=56d4636f-b430-3bb1-a99e-34900856b460"]}],"mendeley":{"formattedCitation":"(Marsman et al., 2016)","plainTextFormattedCitation":"(Marsman et al., 2016)","previouslyFormattedCitation":"(Marsman et al., 2016)"},"properties":{"noteIndex":0},"schema":"https://github.com/citation-style-language/schema/raw/master/csl-citation.json"}</w:instrText>
      </w:r>
      <w:r w:rsidR="00D73946">
        <w:fldChar w:fldCharType="separate"/>
      </w:r>
      <w:r w:rsidR="00D73946" w:rsidRPr="00D73946">
        <w:rPr>
          <w:noProof/>
        </w:rPr>
        <w:t>(</w:t>
      </w:r>
      <w:proofErr w:type="spellStart"/>
      <w:r w:rsidR="00D73946" w:rsidRPr="00D73946">
        <w:rPr>
          <w:noProof/>
        </w:rPr>
        <w:t>Marsman</w:t>
      </w:r>
      <w:proofErr w:type="spellEnd"/>
      <w:r w:rsidR="00D73946" w:rsidRPr="00D73946">
        <w:rPr>
          <w:noProof/>
        </w:rPr>
        <w:t xml:space="preserve"> et al., 2016)</w:t>
      </w:r>
      <w:r w:rsidR="00D73946">
        <w:fldChar w:fldCharType="end"/>
      </w:r>
      <w:r w:rsidR="005577CF">
        <w:t>.</w:t>
      </w:r>
      <w:r w:rsidR="005577CF" w:rsidRPr="005577CF">
        <w:t xml:space="preserve"> </w:t>
      </w:r>
      <w:r w:rsidR="005577CF">
        <w:t>W</w:t>
      </w:r>
      <w:r w:rsidR="005577CF" w:rsidRPr="005577CF">
        <w:t>e generate</w:t>
      </w:r>
      <w:r w:rsidR="005577CF">
        <w:t>d</w:t>
      </w:r>
      <w:r w:rsidR="005577CF" w:rsidRPr="005577CF">
        <w:t xml:space="preserve"> a hundred plausible values</w:t>
      </w:r>
      <w:r w:rsidR="005577CF">
        <w:t xml:space="preserve"> per latent variable</w:t>
      </w:r>
      <w:r w:rsidR="005577CF" w:rsidRPr="005577CF">
        <w:t xml:space="preserve"> for each person, which resulted in hundred datasets.</w:t>
      </w:r>
      <w:r w:rsidR="005577CF">
        <w:t xml:space="preserve"> The different plausible values for an individual convey the uncertainty associated with its estimation. Although this method is suboptimal compared to the latent network modelling, it is currently the most feasible way to approximate it. The code that was used to impute the plausible values can be found in Box 1.</w:t>
      </w:r>
    </w:p>
    <w:p w14:paraId="77354B8E" w14:textId="2C61E257" w:rsidR="001A2178" w:rsidRDefault="001A2178" w:rsidP="006836B2"/>
    <w:p w14:paraId="267CE306" w14:textId="1EC20078" w:rsidR="00110F4E" w:rsidRPr="00110F4E" w:rsidRDefault="00825436">
      <w:pPr>
        <w:rPr>
          <w:b/>
          <w:bCs/>
          <w:i/>
          <w:iCs/>
          <w:lang w:val="nl"/>
        </w:rPr>
      </w:pPr>
      <w:r>
        <w:rPr>
          <w:b/>
          <w:bCs/>
          <w:lang w:val="nl"/>
        </w:rPr>
        <w:t xml:space="preserve">Appendix 3. Missing data </w:t>
      </w:r>
    </w:p>
    <w:p w14:paraId="17E9EC35" w14:textId="68091378" w:rsidR="00DD7732" w:rsidRDefault="00D64C0C">
      <w:pPr>
        <w:rPr>
          <w:lang w:val="nl"/>
        </w:rPr>
      </w:pPr>
      <w:r w:rsidRPr="00F93602">
        <w:rPr>
          <w:lang w:val="nl"/>
        </w:rPr>
        <w:t>Of our full sample of 2,064 participants, 1,516 participants had no missing data on the 12 variables used in the current study. 548 participants had missing values on at least one of the variables. We examined the correlations between missingness and scores on the remaining variables, and found no correlations above 0.1.</w:t>
      </w:r>
      <w:r>
        <w:rPr>
          <w:lang w:val="nl"/>
        </w:rPr>
        <w:t xml:space="preserve"> The table with all correlations can be found in Table </w:t>
      </w:r>
      <w:r w:rsidR="0070673C">
        <w:rPr>
          <w:lang w:val="nl"/>
        </w:rPr>
        <w:t>2</w:t>
      </w:r>
      <w:r>
        <w:rPr>
          <w:lang w:val="nl"/>
        </w:rPr>
        <w:t>.</w:t>
      </w:r>
      <w:r w:rsidRPr="00F93602">
        <w:rPr>
          <w:lang w:val="nl"/>
        </w:rPr>
        <w:t xml:space="preserve"> We also investigated differences between participants with complete and incomplete data, and found an expected difference in status, with the incomplete group having a slightly higher proportion of patients than the complete group. We also found that the incomplete group had slightly higher frequency of cannabis use, cigarette smoking, CTQ scores and slightly lower scores on the WAIS digit-symbol substitution task. These differences could be explained by the fact that the incomplete group had a higher proportion of patients than the incomplete group. Scores on all other variables, including demographic variables, did not differ between the incomplete and complete groups.</w:t>
      </w:r>
      <w:r>
        <w:rPr>
          <w:lang w:val="nl"/>
        </w:rPr>
        <w:t xml:space="preserve"> A table with all de differ</w:t>
      </w:r>
      <w:r w:rsidR="0070673C">
        <w:rPr>
          <w:lang w:val="nl"/>
        </w:rPr>
        <w:t>e</w:t>
      </w:r>
      <w:r>
        <w:rPr>
          <w:lang w:val="nl"/>
        </w:rPr>
        <w:t xml:space="preserve">nces between participants with complete and incomplete data can be found in </w:t>
      </w:r>
      <w:r w:rsidR="0070673C">
        <w:rPr>
          <w:lang w:val="nl"/>
        </w:rPr>
        <w:t xml:space="preserve">supplementary materials </w:t>
      </w:r>
      <w:r>
        <w:rPr>
          <w:lang w:val="nl"/>
        </w:rPr>
        <w:t xml:space="preserve">Table </w:t>
      </w:r>
      <w:r w:rsidR="0070673C">
        <w:rPr>
          <w:lang w:val="nl"/>
        </w:rPr>
        <w:t>3</w:t>
      </w:r>
      <w:r>
        <w:rPr>
          <w:lang w:val="nl"/>
        </w:rPr>
        <w:t>.</w:t>
      </w:r>
    </w:p>
    <w:p w14:paraId="650C5443" w14:textId="25098BFF" w:rsidR="00F147B0" w:rsidRDefault="00F147B0">
      <w:pPr>
        <w:rPr>
          <w:lang w:val="nl"/>
        </w:rPr>
      </w:pPr>
    </w:p>
    <w:p w14:paraId="4B9A77CB" w14:textId="77777777" w:rsidR="00825436" w:rsidRDefault="00825436" w:rsidP="007E4098">
      <w:pPr>
        <w:rPr>
          <w:b/>
          <w:bCs/>
          <w:lang w:val="nl"/>
        </w:rPr>
      </w:pPr>
      <w:r>
        <w:rPr>
          <w:b/>
          <w:bCs/>
          <w:lang w:val="nl"/>
        </w:rPr>
        <w:t xml:space="preserve">Appendix 4. Outliers </w:t>
      </w:r>
    </w:p>
    <w:p w14:paraId="047620E7" w14:textId="079DCBA7" w:rsidR="007E4098" w:rsidRDefault="007E4098" w:rsidP="007E4098">
      <w:r w:rsidRPr="008763C9">
        <w:t xml:space="preserve">No outliers were removed because all tests were performed under supervision. Therefore, we expected that any extreme values represent real scores that we were interested in. We did remove three extremely low values of the Benton facial recognition test that appear to have been caused by a data entering mistake.  </w:t>
      </w:r>
    </w:p>
    <w:p w14:paraId="680B5538" w14:textId="77777777" w:rsidR="0070673C" w:rsidRDefault="0070673C" w:rsidP="007E4098">
      <w:pPr>
        <w:rPr>
          <w:b/>
          <w:bCs/>
        </w:rPr>
      </w:pPr>
    </w:p>
    <w:p w14:paraId="3922B8CD" w14:textId="53D9DD4A" w:rsidR="007E4098" w:rsidRPr="008A2D58" w:rsidRDefault="00234FC8" w:rsidP="007E4098">
      <w:pPr>
        <w:rPr>
          <w:b/>
          <w:bCs/>
        </w:rPr>
      </w:pPr>
      <w:r>
        <w:rPr>
          <w:b/>
          <w:bCs/>
        </w:rPr>
        <w:t xml:space="preserve">Appendix 5. </w:t>
      </w:r>
      <w:r w:rsidR="007E4098">
        <w:rPr>
          <w:b/>
          <w:bCs/>
        </w:rPr>
        <w:t xml:space="preserve">Result of sensitivity analyses </w:t>
      </w:r>
    </w:p>
    <w:p w14:paraId="041855B6" w14:textId="30FCDF56" w:rsidR="007E4098" w:rsidRDefault="007E4098" w:rsidP="007E4098">
      <w:r w:rsidRPr="008A2D58">
        <w:t xml:space="preserve">As expected, the networks with a prior of 0.25 and 0.75 on the network structure showed approximately the same structure as the network with a prior of 0.5, with only small differences in the number of included connections with small edge weights. The visualized networks can be found in supplementary materials, Figure </w:t>
      </w:r>
      <w:r w:rsidR="00C07944">
        <w:t>8</w:t>
      </w:r>
      <w:r w:rsidRPr="008A2D58">
        <w:t>-</w:t>
      </w:r>
      <w:r w:rsidR="00C07944">
        <w:t>9</w:t>
      </w:r>
      <w:r w:rsidRPr="008A2D58">
        <w:t xml:space="preserve">. The networks of patients and siblings without controlling for SFS differed somewhat from the controlled networks. These visualized networks, associated inclusion probabilities, and edge weights can be found in supplementary materials, Figure </w:t>
      </w:r>
      <w:r w:rsidR="0070673C">
        <w:t>10</w:t>
      </w:r>
      <w:r w:rsidRPr="008A2D58">
        <w:t>-1</w:t>
      </w:r>
      <w:r w:rsidR="0070673C">
        <w:t>4</w:t>
      </w:r>
      <w:r w:rsidRPr="008A2D58">
        <w:t>.</w:t>
      </w:r>
    </w:p>
    <w:p w14:paraId="1DA06E6D" w14:textId="77777777" w:rsidR="00DD7732" w:rsidRDefault="00DD7732">
      <w:pPr>
        <w:rPr>
          <w:b/>
          <w:bCs/>
          <w:lang w:val="nl"/>
        </w:rPr>
      </w:pPr>
    </w:p>
    <w:p w14:paraId="68249FD9" w14:textId="183589E5" w:rsidR="006E5254" w:rsidRDefault="006E5254" w:rsidP="006E5254">
      <w:pPr>
        <w:rPr>
          <w:b/>
          <w:bCs/>
          <w:lang w:val="nl"/>
        </w:rPr>
      </w:pPr>
      <w:r>
        <w:rPr>
          <w:b/>
          <w:bCs/>
          <w:lang w:val="nl"/>
        </w:rPr>
        <w:t xml:space="preserve">Table </w:t>
      </w:r>
      <w:r w:rsidR="007E4098">
        <w:rPr>
          <w:b/>
          <w:bCs/>
          <w:lang w:val="nl"/>
        </w:rPr>
        <w:t>2</w:t>
      </w:r>
      <w:r>
        <w:rPr>
          <w:b/>
          <w:bCs/>
          <w:lang w:val="nl"/>
        </w:rPr>
        <w:t xml:space="preserve">. </w:t>
      </w:r>
    </w:p>
    <w:p w14:paraId="60152484" w14:textId="62DCB1DB" w:rsidR="006E5254" w:rsidRPr="006E5254" w:rsidRDefault="006E5254" w:rsidP="006E5254">
      <w:pPr>
        <w:rPr>
          <w:i/>
          <w:iCs/>
          <w:lang w:val="nl"/>
        </w:rPr>
      </w:pPr>
      <w:r>
        <w:rPr>
          <w:i/>
          <w:iCs/>
          <w:lang w:val="nl"/>
        </w:rPr>
        <w:t xml:space="preserve">Correlations between missingness and scores on remaining variables </w:t>
      </w:r>
    </w:p>
    <w:p w14:paraId="2626D03E" w14:textId="77777777" w:rsidR="006E5254" w:rsidRPr="00F93602" w:rsidRDefault="006E5254" w:rsidP="006E5254">
      <w:pPr>
        <w:rPr>
          <w:lang w:val="nl"/>
        </w:rPr>
      </w:pPr>
      <w:r w:rsidRPr="002532A5">
        <w:rPr>
          <w:noProof/>
        </w:rPr>
        <w:drawing>
          <wp:inline distT="0" distB="0" distL="0" distR="0" wp14:anchorId="3A0FB0C4" wp14:editId="06FD2BAB">
            <wp:extent cx="5872163" cy="18047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74875" cy="1805552"/>
                    </a:xfrm>
                    <a:prstGeom prst="rect">
                      <a:avLst/>
                    </a:prstGeom>
                    <a:noFill/>
                    <a:ln>
                      <a:noFill/>
                    </a:ln>
                  </pic:spPr>
                </pic:pic>
              </a:graphicData>
            </a:graphic>
          </wp:inline>
        </w:drawing>
      </w:r>
    </w:p>
    <w:p w14:paraId="3A4D02E1" w14:textId="77777777" w:rsidR="006E5254" w:rsidRDefault="006E5254" w:rsidP="00D9549D">
      <w:pPr>
        <w:rPr>
          <w:b/>
          <w:bCs/>
          <w:noProof/>
          <w:lang w:val="nl"/>
        </w:rPr>
      </w:pPr>
    </w:p>
    <w:p w14:paraId="3A3402C5" w14:textId="4D8013D2" w:rsidR="00061952" w:rsidRDefault="004625A1" w:rsidP="00D9549D">
      <w:pPr>
        <w:rPr>
          <w:b/>
          <w:bCs/>
          <w:noProof/>
          <w:lang w:val="nl"/>
        </w:rPr>
      </w:pPr>
      <w:r>
        <w:rPr>
          <w:b/>
          <w:bCs/>
          <w:noProof/>
          <w:lang w:val="nl"/>
        </w:rPr>
        <w:t xml:space="preserve">Table </w:t>
      </w:r>
      <w:r w:rsidR="007E4098">
        <w:rPr>
          <w:b/>
          <w:bCs/>
          <w:noProof/>
          <w:lang w:val="nl"/>
        </w:rPr>
        <w:t>3</w:t>
      </w:r>
      <w:r>
        <w:rPr>
          <w:b/>
          <w:bCs/>
          <w:noProof/>
          <w:lang w:val="nl"/>
        </w:rPr>
        <w:t xml:space="preserve">. </w:t>
      </w:r>
    </w:p>
    <w:p w14:paraId="0C97EE67" w14:textId="67E4BAEB" w:rsidR="004625A1" w:rsidRPr="00BD3BB7" w:rsidRDefault="00BD3BB7" w:rsidP="00D9549D">
      <w:pPr>
        <w:rPr>
          <w:i/>
          <w:iCs/>
          <w:noProof/>
          <w:lang w:val="nl"/>
        </w:rPr>
      </w:pPr>
      <w:r>
        <w:rPr>
          <w:i/>
          <w:iCs/>
          <w:noProof/>
          <w:lang w:val="nl"/>
        </w:rPr>
        <w:t>Mean scores and p-value</w:t>
      </w:r>
      <w:r w:rsidR="00A30A08">
        <w:rPr>
          <w:i/>
          <w:iCs/>
          <w:noProof/>
          <w:lang w:val="nl"/>
        </w:rPr>
        <w:t>s of</w:t>
      </w:r>
      <w:r>
        <w:rPr>
          <w:i/>
          <w:iCs/>
          <w:noProof/>
          <w:lang w:val="nl"/>
        </w:rPr>
        <w:t xml:space="preserve"> differences between participants with complete and incomplete data</w:t>
      </w:r>
    </w:p>
    <w:p w14:paraId="7E52A95D" w14:textId="77777777" w:rsidR="00F147B0" w:rsidRDefault="00061952">
      <w:pPr>
        <w:rPr>
          <w:noProof/>
          <w:lang w:val="nl"/>
        </w:rPr>
      </w:pPr>
      <w:r w:rsidRPr="00061952">
        <w:rPr>
          <w:noProof/>
        </w:rPr>
        <w:drawing>
          <wp:inline distT="0" distB="0" distL="0" distR="0" wp14:anchorId="170130C9" wp14:editId="61AC0884">
            <wp:extent cx="5653088" cy="2549089"/>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7784" cy="2564734"/>
                    </a:xfrm>
                    <a:prstGeom prst="rect">
                      <a:avLst/>
                    </a:prstGeom>
                    <a:noFill/>
                    <a:ln>
                      <a:noFill/>
                    </a:ln>
                  </pic:spPr>
                </pic:pic>
              </a:graphicData>
            </a:graphic>
          </wp:inline>
        </w:drawing>
      </w:r>
    </w:p>
    <w:p w14:paraId="04B8229D" w14:textId="77777777" w:rsidR="00E77476" w:rsidRDefault="00E77476">
      <w:pPr>
        <w:rPr>
          <w:b/>
          <w:bCs/>
          <w:lang w:val="nl"/>
        </w:rPr>
      </w:pPr>
    </w:p>
    <w:p w14:paraId="5DC59DEA" w14:textId="77777777" w:rsidR="00E77476" w:rsidRDefault="00E77476">
      <w:pPr>
        <w:rPr>
          <w:b/>
          <w:bCs/>
          <w:lang w:val="nl"/>
        </w:rPr>
      </w:pPr>
    </w:p>
    <w:p w14:paraId="4000E1E7" w14:textId="77777777" w:rsidR="00E77476" w:rsidRDefault="00E77476">
      <w:pPr>
        <w:rPr>
          <w:b/>
          <w:bCs/>
          <w:lang w:val="nl"/>
        </w:rPr>
      </w:pPr>
    </w:p>
    <w:p w14:paraId="4ACEEB68" w14:textId="77777777" w:rsidR="00E77476" w:rsidRDefault="00E77476">
      <w:pPr>
        <w:rPr>
          <w:b/>
          <w:bCs/>
          <w:lang w:val="nl"/>
        </w:rPr>
      </w:pPr>
    </w:p>
    <w:p w14:paraId="050D573A" w14:textId="77777777" w:rsidR="00E77476" w:rsidRDefault="00E77476">
      <w:pPr>
        <w:rPr>
          <w:b/>
          <w:bCs/>
          <w:lang w:val="nl"/>
        </w:rPr>
      </w:pPr>
    </w:p>
    <w:p w14:paraId="57F4F538" w14:textId="77777777" w:rsidR="00E77476" w:rsidRDefault="00E77476">
      <w:pPr>
        <w:rPr>
          <w:b/>
          <w:bCs/>
          <w:lang w:val="nl"/>
        </w:rPr>
      </w:pPr>
    </w:p>
    <w:p w14:paraId="50569027" w14:textId="77777777" w:rsidR="00E77476" w:rsidRDefault="00E77476">
      <w:pPr>
        <w:rPr>
          <w:b/>
          <w:bCs/>
          <w:lang w:val="nl"/>
        </w:rPr>
      </w:pPr>
    </w:p>
    <w:p w14:paraId="263139E1" w14:textId="77777777" w:rsidR="00E77476" w:rsidRDefault="00E77476">
      <w:pPr>
        <w:rPr>
          <w:b/>
          <w:bCs/>
          <w:lang w:val="nl"/>
        </w:rPr>
      </w:pPr>
    </w:p>
    <w:p w14:paraId="3D37C57E" w14:textId="77777777" w:rsidR="00E77476" w:rsidRDefault="00E77476">
      <w:pPr>
        <w:rPr>
          <w:b/>
          <w:bCs/>
          <w:lang w:val="nl"/>
        </w:rPr>
      </w:pPr>
    </w:p>
    <w:p w14:paraId="6379F6C6" w14:textId="77777777" w:rsidR="00E77476" w:rsidRDefault="00E77476">
      <w:pPr>
        <w:rPr>
          <w:b/>
          <w:bCs/>
          <w:lang w:val="nl"/>
        </w:rPr>
      </w:pPr>
    </w:p>
    <w:p w14:paraId="7CCB5F6B" w14:textId="77777777" w:rsidR="00E77476" w:rsidRDefault="00E77476">
      <w:pPr>
        <w:rPr>
          <w:b/>
          <w:bCs/>
          <w:lang w:val="nl"/>
        </w:rPr>
      </w:pPr>
    </w:p>
    <w:p w14:paraId="4657FFED" w14:textId="77777777" w:rsidR="00E77476" w:rsidRDefault="00E77476">
      <w:pPr>
        <w:rPr>
          <w:b/>
          <w:bCs/>
          <w:lang w:val="nl"/>
        </w:rPr>
      </w:pPr>
    </w:p>
    <w:p w14:paraId="60B3A578" w14:textId="77777777" w:rsidR="006E71D1" w:rsidRDefault="006E71D1">
      <w:pPr>
        <w:rPr>
          <w:b/>
          <w:bCs/>
          <w:lang w:val="nl"/>
        </w:rPr>
      </w:pPr>
    </w:p>
    <w:p w14:paraId="32D1F63B" w14:textId="77777777" w:rsidR="006E71D1" w:rsidRDefault="006E71D1">
      <w:pPr>
        <w:rPr>
          <w:b/>
          <w:bCs/>
          <w:lang w:val="nl"/>
        </w:rPr>
      </w:pPr>
    </w:p>
    <w:p w14:paraId="19305639" w14:textId="77777777" w:rsidR="006E71D1" w:rsidRDefault="006E71D1">
      <w:pPr>
        <w:rPr>
          <w:b/>
          <w:bCs/>
          <w:lang w:val="nl"/>
        </w:rPr>
      </w:pPr>
    </w:p>
    <w:p w14:paraId="3B0BF641" w14:textId="77777777" w:rsidR="006E71D1" w:rsidRDefault="006E71D1">
      <w:pPr>
        <w:rPr>
          <w:b/>
          <w:bCs/>
          <w:lang w:val="nl"/>
        </w:rPr>
      </w:pPr>
    </w:p>
    <w:p w14:paraId="059D0D63" w14:textId="77777777" w:rsidR="006E71D1" w:rsidRDefault="006E71D1">
      <w:pPr>
        <w:rPr>
          <w:b/>
          <w:bCs/>
          <w:lang w:val="nl"/>
        </w:rPr>
      </w:pPr>
    </w:p>
    <w:p w14:paraId="1AA72058" w14:textId="77777777" w:rsidR="006E71D1" w:rsidRDefault="006E71D1">
      <w:pPr>
        <w:rPr>
          <w:b/>
          <w:bCs/>
          <w:lang w:val="nl"/>
        </w:rPr>
      </w:pPr>
    </w:p>
    <w:p w14:paraId="7B8278E9" w14:textId="77777777" w:rsidR="006E71D1" w:rsidRDefault="006E71D1">
      <w:pPr>
        <w:rPr>
          <w:b/>
          <w:bCs/>
          <w:lang w:val="nl"/>
        </w:rPr>
      </w:pPr>
    </w:p>
    <w:p w14:paraId="6A936503" w14:textId="77777777" w:rsidR="006E71D1" w:rsidRDefault="006E71D1">
      <w:pPr>
        <w:rPr>
          <w:b/>
          <w:bCs/>
          <w:lang w:val="nl"/>
        </w:rPr>
      </w:pPr>
    </w:p>
    <w:p w14:paraId="57303A0A" w14:textId="57657702" w:rsidR="00D504F2" w:rsidRPr="00D64C0C" w:rsidRDefault="00D504F2">
      <w:pPr>
        <w:rPr>
          <w:noProof/>
          <w:lang w:val="nl"/>
        </w:rPr>
      </w:pPr>
      <w:r>
        <w:rPr>
          <w:b/>
          <w:bCs/>
          <w:lang w:val="nl"/>
        </w:rPr>
        <w:lastRenderedPageBreak/>
        <w:t xml:space="preserve">Figure 1. </w:t>
      </w:r>
    </w:p>
    <w:p w14:paraId="29EF9E6B" w14:textId="291463CE" w:rsidR="00194BF2" w:rsidRPr="00194BF2" w:rsidRDefault="00194BF2">
      <w:pPr>
        <w:rPr>
          <w:i/>
          <w:iCs/>
          <w:lang w:val="nl"/>
        </w:rPr>
      </w:pPr>
      <w:r>
        <w:rPr>
          <w:i/>
          <w:iCs/>
          <w:lang w:val="nl"/>
        </w:rPr>
        <w:t>Schem</w:t>
      </w:r>
      <w:r w:rsidR="00B66F20">
        <w:rPr>
          <w:i/>
          <w:iCs/>
          <w:lang w:val="nl"/>
        </w:rPr>
        <w:t>a</w:t>
      </w:r>
      <w:r>
        <w:rPr>
          <w:i/>
          <w:iCs/>
          <w:lang w:val="nl"/>
        </w:rPr>
        <w:t>tic overview of methods</w:t>
      </w:r>
      <w:r w:rsidR="00F147B0">
        <w:rPr>
          <w:i/>
          <w:iCs/>
          <w:lang w:val="nl"/>
        </w:rPr>
        <w:t>.</w:t>
      </w:r>
    </w:p>
    <w:p w14:paraId="28013E09" w14:textId="0E459348" w:rsidR="00D504F2" w:rsidRDefault="00F147B0">
      <w:pPr>
        <w:rPr>
          <w:lang w:val="nl"/>
        </w:rPr>
      </w:pPr>
      <w:r>
        <w:rPr>
          <w:noProof/>
          <w:lang w:val="nl"/>
        </w:rPr>
        <w:drawing>
          <wp:anchor distT="0" distB="0" distL="114300" distR="114300" simplePos="0" relativeHeight="251649536" behindDoc="1" locked="0" layoutInCell="1" allowOverlap="1" wp14:anchorId="32C888E6" wp14:editId="433B1BF8">
            <wp:simplePos x="0" y="0"/>
            <wp:positionH relativeFrom="column">
              <wp:posOffset>0</wp:posOffset>
            </wp:positionH>
            <wp:positionV relativeFrom="paragraph">
              <wp:posOffset>53975</wp:posOffset>
            </wp:positionV>
            <wp:extent cx="5731510" cy="7774940"/>
            <wp:effectExtent l="0" t="0" r="0" b="0"/>
            <wp:wrapTight wrapText="bothSides">
              <wp:wrapPolygon edited="0">
                <wp:start x="8184" y="0"/>
                <wp:lineTo x="8184" y="953"/>
                <wp:lineTo x="9979" y="1694"/>
                <wp:lineTo x="6174" y="1905"/>
                <wp:lineTo x="5887" y="1958"/>
                <wp:lineTo x="5887" y="2964"/>
                <wp:lineTo x="8113" y="3387"/>
                <wp:lineTo x="10266" y="3387"/>
                <wp:lineTo x="6533" y="3758"/>
                <wp:lineTo x="5959" y="3863"/>
                <wp:lineTo x="5959" y="4869"/>
                <wp:lineTo x="7036" y="5081"/>
                <wp:lineTo x="10266" y="5081"/>
                <wp:lineTo x="7682" y="5504"/>
                <wp:lineTo x="5959" y="5822"/>
                <wp:lineTo x="5959" y="6880"/>
                <wp:lineTo x="9836" y="7621"/>
                <wp:lineTo x="6174" y="7727"/>
                <wp:lineTo x="5887" y="7780"/>
                <wp:lineTo x="5887" y="9209"/>
                <wp:lineTo x="6390" y="9315"/>
                <wp:lineTo x="10266" y="9315"/>
                <wp:lineTo x="5815" y="10161"/>
                <wp:lineTo x="5815" y="11220"/>
                <wp:lineTo x="9189" y="11855"/>
                <wp:lineTo x="10195" y="11855"/>
                <wp:lineTo x="6390" y="12172"/>
                <wp:lineTo x="5815" y="12278"/>
                <wp:lineTo x="5815" y="13707"/>
                <wp:lineTo x="8113" y="14395"/>
                <wp:lineTo x="8615" y="14395"/>
                <wp:lineTo x="2872" y="16936"/>
                <wp:lineTo x="0" y="17200"/>
                <wp:lineTo x="0" y="18365"/>
                <wp:lineTo x="2226" y="18629"/>
                <wp:lineTo x="2226" y="19476"/>
                <wp:lineTo x="144" y="20005"/>
                <wp:lineTo x="144" y="21487"/>
                <wp:lineTo x="14287" y="21540"/>
                <wp:lineTo x="20676" y="21540"/>
                <wp:lineTo x="20820" y="20164"/>
                <wp:lineTo x="20246" y="20005"/>
                <wp:lineTo x="17015" y="19476"/>
                <wp:lineTo x="17374" y="19476"/>
                <wp:lineTo x="18881" y="18788"/>
                <wp:lineTo x="18881" y="18629"/>
                <wp:lineTo x="21538" y="18047"/>
                <wp:lineTo x="21538" y="16989"/>
                <wp:lineTo x="17158" y="16936"/>
                <wp:lineTo x="19671" y="16195"/>
                <wp:lineTo x="19815" y="14977"/>
                <wp:lineTo x="14143" y="14395"/>
                <wp:lineTo x="14933" y="13601"/>
                <wp:lineTo x="16656" y="13549"/>
                <wp:lineTo x="19815" y="13019"/>
                <wp:lineTo x="19887" y="12384"/>
                <wp:lineTo x="18738" y="12278"/>
                <wp:lineTo x="10697" y="11855"/>
                <wp:lineTo x="11702" y="11855"/>
                <wp:lineTo x="14933" y="11220"/>
                <wp:lineTo x="14933" y="11008"/>
                <wp:lineTo x="19599" y="10955"/>
                <wp:lineTo x="19599" y="10214"/>
                <wp:lineTo x="14933" y="10161"/>
                <wp:lineTo x="10697" y="9315"/>
                <wp:lineTo x="14502" y="9315"/>
                <wp:lineTo x="15148" y="9209"/>
                <wp:lineTo x="15148" y="7780"/>
                <wp:lineTo x="14717" y="7727"/>
                <wp:lineTo x="11128" y="7621"/>
                <wp:lineTo x="15005" y="6880"/>
                <wp:lineTo x="15148" y="5822"/>
                <wp:lineTo x="10697" y="5081"/>
                <wp:lineTo x="13928" y="5081"/>
                <wp:lineTo x="15076" y="4869"/>
                <wp:lineTo x="15148" y="3916"/>
                <wp:lineTo x="14789" y="3811"/>
                <wp:lineTo x="10697" y="3387"/>
                <wp:lineTo x="12779" y="3387"/>
                <wp:lineTo x="15005" y="2964"/>
                <wp:lineTo x="15076" y="2011"/>
                <wp:lineTo x="14502" y="1852"/>
                <wp:lineTo x="12564" y="1006"/>
                <wp:lineTo x="12564" y="0"/>
                <wp:lineTo x="8184" y="0"/>
              </wp:wrapPolygon>
            </wp:wrapTight>
            <wp:docPr id="194" name="Picture 19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7774940"/>
                    </a:xfrm>
                    <a:prstGeom prst="rect">
                      <a:avLst/>
                    </a:prstGeom>
                    <a:noFill/>
                  </pic:spPr>
                </pic:pic>
              </a:graphicData>
            </a:graphic>
          </wp:anchor>
        </w:drawing>
      </w:r>
      <w:r w:rsidR="00D504F2">
        <w:rPr>
          <w:lang w:val="nl"/>
        </w:rPr>
        <w:br w:type="page"/>
      </w:r>
    </w:p>
    <w:p w14:paraId="6A9A0F7D" w14:textId="46398B83" w:rsidR="00790560" w:rsidRDefault="00790560">
      <w:pPr>
        <w:rPr>
          <w:b/>
          <w:bCs/>
          <w:lang w:val="nl"/>
        </w:rPr>
      </w:pPr>
      <w:r>
        <w:rPr>
          <w:b/>
          <w:bCs/>
          <w:lang w:val="nl"/>
        </w:rPr>
        <w:lastRenderedPageBreak/>
        <w:t>Figure 2</w:t>
      </w:r>
    </w:p>
    <w:p w14:paraId="0C414D01" w14:textId="0C089AFB" w:rsidR="002179FD" w:rsidRDefault="004B0ECB">
      <w:pPr>
        <w:rPr>
          <w:i/>
          <w:iCs/>
          <w:lang w:val="nl"/>
        </w:rPr>
      </w:pPr>
      <w:r>
        <w:rPr>
          <w:i/>
          <w:iCs/>
          <w:lang w:val="nl"/>
        </w:rPr>
        <w:t xml:space="preserve">HDI of estimated edge weights in all </w:t>
      </w:r>
      <w:r w:rsidR="008E6010">
        <w:rPr>
          <w:i/>
          <w:iCs/>
          <w:lang w:val="nl"/>
        </w:rPr>
        <w:t>100</w:t>
      </w:r>
      <w:r>
        <w:rPr>
          <w:i/>
          <w:iCs/>
          <w:lang w:val="nl"/>
        </w:rPr>
        <w:t xml:space="preserve"> samples </w:t>
      </w:r>
    </w:p>
    <w:p w14:paraId="51BE4479" w14:textId="5E77019E" w:rsidR="008E6010" w:rsidRDefault="00476134">
      <w:pPr>
        <w:rPr>
          <w:i/>
          <w:iCs/>
          <w:lang w:val="nl"/>
        </w:rPr>
      </w:pPr>
      <w:r w:rsidRPr="00476134">
        <w:rPr>
          <w:i/>
          <w:iCs/>
          <w:noProof/>
          <w:lang w:val="nl"/>
        </w:rPr>
        <w:drawing>
          <wp:inline distT="0" distB="0" distL="0" distR="0" wp14:anchorId="168602A9" wp14:editId="06EB11F3">
            <wp:extent cx="5753100" cy="6509249"/>
            <wp:effectExtent l="0" t="0" r="0" b="635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0"/>
                    <a:stretch>
                      <a:fillRect/>
                    </a:stretch>
                  </pic:blipFill>
                  <pic:spPr>
                    <a:xfrm>
                      <a:off x="0" y="0"/>
                      <a:ext cx="5826375" cy="6592154"/>
                    </a:xfrm>
                    <a:prstGeom prst="rect">
                      <a:avLst/>
                    </a:prstGeom>
                  </pic:spPr>
                </pic:pic>
              </a:graphicData>
            </a:graphic>
          </wp:inline>
        </w:drawing>
      </w:r>
    </w:p>
    <w:p w14:paraId="07D1CCD2" w14:textId="0EB1E607" w:rsidR="00BC2A26" w:rsidRDefault="002179FD">
      <w:pPr>
        <w:rPr>
          <w:lang w:val="nl"/>
        </w:rPr>
      </w:pPr>
      <w:r w:rsidRPr="002179FD">
        <w:rPr>
          <w:lang w:val="nl"/>
        </w:rPr>
        <w:t xml:space="preserve"> </w:t>
      </w:r>
    </w:p>
    <w:p w14:paraId="693E1B80" w14:textId="60819B75" w:rsidR="00071F1D" w:rsidRDefault="00071F1D">
      <w:pPr>
        <w:rPr>
          <w:lang w:val="nl"/>
        </w:rPr>
      </w:pPr>
      <w:r>
        <w:rPr>
          <w:lang w:val="nl"/>
        </w:rPr>
        <w:br w:type="page"/>
      </w:r>
    </w:p>
    <w:p w14:paraId="6735CA71" w14:textId="2D21DC41" w:rsidR="00071F1D" w:rsidRDefault="00071F1D">
      <w:pPr>
        <w:rPr>
          <w:b/>
          <w:bCs/>
          <w:lang w:val="nl"/>
        </w:rPr>
      </w:pPr>
      <w:r>
        <w:rPr>
          <w:b/>
          <w:bCs/>
          <w:lang w:val="nl"/>
        </w:rPr>
        <w:lastRenderedPageBreak/>
        <w:t>Figure 3</w:t>
      </w:r>
    </w:p>
    <w:p w14:paraId="2804F074" w14:textId="4FC54287" w:rsidR="00C31719" w:rsidRPr="00C31719" w:rsidRDefault="001C704B">
      <w:pPr>
        <w:rPr>
          <w:i/>
          <w:iCs/>
          <w:lang w:val="nl"/>
        </w:rPr>
      </w:pPr>
      <w:r w:rsidRPr="00071F1D">
        <w:rPr>
          <w:noProof/>
          <w:lang w:val="nl"/>
        </w:rPr>
        <w:drawing>
          <wp:anchor distT="0" distB="0" distL="114300" distR="114300" simplePos="0" relativeHeight="251671040" behindDoc="1" locked="0" layoutInCell="1" allowOverlap="1" wp14:anchorId="68E3280A" wp14:editId="68D86BE2">
            <wp:simplePos x="0" y="0"/>
            <wp:positionH relativeFrom="margin">
              <wp:posOffset>-5080</wp:posOffset>
            </wp:positionH>
            <wp:positionV relativeFrom="paragraph">
              <wp:posOffset>338455</wp:posOffset>
            </wp:positionV>
            <wp:extent cx="5605145" cy="6313170"/>
            <wp:effectExtent l="0" t="0" r="0" b="0"/>
            <wp:wrapTight wrapText="bothSides">
              <wp:wrapPolygon edited="0">
                <wp:start x="0" y="0"/>
                <wp:lineTo x="0" y="21509"/>
                <wp:lineTo x="21509" y="21509"/>
                <wp:lineTo x="21509" y="0"/>
                <wp:lineTo x="0" y="0"/>
              </wp:wrapPolygon>
            </wp:wrapTight>
            <wp:docPr id="195" name="Picture 19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05145" cy="6313170"/>
                    </a:xfrm>
                    <a:prstGeom prst="rect">
                      <a:avLst/>
                    </a:prstGeom>
                  </pic:spPr>
                </pic:pic>
              </a:graphicData>
            </a:graphic>
            <wp14:sizeRelH relativeFrom="margin">
              <wp14:pctWidth>0</wp14:pctWidth>
            </wp14:sizeRelH>
            <wp14:sizeRelV relativeFrom="margin">
              <wp14:pctHeight>0</wp14:pctHeight>
            </wp14:sizeRelV>
          </wp:anchor>
        </w:drawing>
      </w:r>
      <w:r w:rsidR="00C31719">
        <w:rPr>
          <w:i/>
          <w:iCs/>
          <w:lang w:val="nl"/>
        </w:rPr>
        <w:t xml:space="preserve">HDI of Bayes factors for all the edges </w:t>
      </w:r>
    </w:p>
    <w:p w14:paraId="08FCCDFF" w14:textId="0D9CB480" w:rsidR="00C31719" w:rsidRPr="00071F1D" w:rsidRDefault="00C31719">
      <w:pPr>
        <w:rPr>
          <w:b/>
          <w:bCs/>
          <w:lang w:val="nl"/>
        </w:rPr>
      </w:pPr>
    </w:p>
    <w:p w14:paraId="2147F659" w14:textId="4DACCA77" w:rsidR="00345D5C" w:rsidRDefault="00071F1D">
      <w:pPr>
        <w:rPr>
          <w:lang w:val="nl"/>
        </w:rPr>
      </w:pPr>
      <w:r w:rsidRPr="00071F1D">
        <w:rPr>
          <w:lang w:val="nl"/>
        </w:rPr>
        <w:t xml:space="preserve"> </w:t>
      </w:r>
      <w:r>
        <w:rPr>
          <w:lang w:val="nl"/>
        </w:rPr>
        <w:br w:type="page"/>
      </w:r>
    </w:p>
    <w:p w14:paraId="41AD7B8D" w14:textId="5985044C" w:rsidR="00F147B0" w:rsidRPr="00F147B0" w:rsidRDefault="00F147B0" w:rsidP="00F147B0">
      <w:pPr>
        <w:rPr>
          <w:rFonts w:ascii="Calibri" w:eastAsia="Arial" w:hAnsi="Calibri" w:cs="Calibri"/>
          <w:b/>
          <w:bCs/>
          <w:lang w:eastAsia="en-GB"/>
        </w:rPr>
      </w:pPr>
      <w:r w:rsidRPr="00F147B0">
        <w:rPr>
          <w:rFonts w:ascii="Calibri" w:eastAsia="Arial" w:hAnsi="Calibri" w:cs="Calibri"/>
          <w:b/>
          <w:bCs/>
          <w:lang w:eastAsia="en-GB"/>
        </w:rPr>
        <w:lastRenderedPageBreak/>
        <w:t xml:space="preserve">Figure </w:t>
      </w:r>
      <w:r>
        <w:rPr>
          <w:rFonts w:ascii="Calibri" w:eastAsia="Arial" w:hAnsi="Calibri" w:cs="Calibri"/>
          <w:b/>
          <w:bCs/>
          <w:lang w:eastAsia="en-GB"/>
        </w:rPr>
        <w:t>4</w:t>
      </w:r>
    </w:p>
    <w:p w14:paraId="37699B87" w14:textId="77777777" w:rsidR="00F147B0" w:rsidRPr="00F147B0" w:rsidRDefault="00F147B0" w:rsidP="00F147B0">
      <w:pPr>
        <w:rPr>
          <w:rFonts w:ascii="Calibri" w:eastAsia="Arial" w:hAnsi="Calibri" w:cs="Calibri"/>
          <w:i/>
          <w:iCs/>
          <w:lang w:eastAsia="en-GB"/>
        </w:rPr>
      </w:pPr>
      <w:r w:rsidRPr="00F147B0">
        <w:rPr>
          <w:rFonts w:ascii="Calibri" w:eastAsia="Arial" w:hAnsi="Calibri" w:cs="Calibri"/>
          <w:i/>
          <w:iCs/>
          <w:lang w:eastAsia="en-GB"/>
        </w:rPr>
        <w:t xml:space="preserve">Strength centrality of each node, including HDI intervals </w:t>
      </w:r>
    </w:p>
    <w:p w14:paraId="7AECA4A5" w14:textId="69D552EB" w:rsidR="00F147B0" w:rsidRPr="00F147B0" w:rsidRDefault="00F147B0" w:rsidP="00F147B0">
      <w:pPr>
        <w:spacing w:line="480" w:lineRule="auto"/>
        <w:rPr>
          <w:rFonts w:ascii="Calibri" w:eastAsia="Arial" w:hAnsi="Calibri" w:cs="Calibri"/>
          <w:lang w:eastAsia="en-GB"/>
        </w:rPr>
      </w:pPr>
      <w:r w:rsidRPr="00F147B0">
        <w:rPr>
          <w:rFonts w:ascii="Calibri" w:eastAsia="Arial" w:hAnsi="Calibri" w:cs="Calibri"/>
          <w:noProof/>
          <w:lang w:eastAsia="en-GB"/>
        </w:rPr>
        <w:drawing>
          <wp:inline distT="0" distB="0" distL="0" distR="0" wp14:anchorId="63754693" wp14:editId="25216054">
            <wp:extent cx="5574816" cy="3705225"/>
            <wp:effectExtent l="0" t="0" r="6985" b="0"/>
            <wp:docPr id="12" name="Picture 1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rotWithShape="1">
                    <a:blip r:embed="rId12"/>
                    <a:srcRect t="1961"/>
                    <a:stretch/>
                  </pic:blipFill>
                  <pic:spPr bwMode="auto">
                    <a:xfrm>
                      <a:off x="0" y="0"/>
                      <a:ext cx="5605623" cy="3725700"/>
                    </a:xfrm>
                    <a:prstGeom prst="rect">
                      <a:avLst/>
                    </a:prstGeom>
                    <a:ln>
                      <a:noFill/>
                    </a:ln>
                    <a:extLst>
                      <a:ext uri="{53640926-AAD7-44D8-BBD7-CCE9431645EC}">
                        <a14:shadowObscured xmlns:a14="http://schemas.microsoft.com/office/drawing/2010/main"/>
                      </a:ext>
                    </a:extLst>
                  </pic:spPr>
                </pic:pic>
              </a:graphicData>
            </a:graphic>
          </wp:inline>
        </w:drawing>
      </w:r>
    </w:p>
    <w:p w14:paraId="78E01B1B" w14:textId="77777777" w:rsidR="00F147B0" w:rsidRDefault="00F147B0">
      <w:pPr>
        <w:rPr>
          <w:lang w:val="nl"/>
        </w:rPr>
      </w:pPr>
    </w:p>
    <w:p w14:paraId="542A79BF" w14:textId="093FC2D0" w:rsidR="00F441D6" w:rsidRPr="00F441D6" w:rsidRDefault="00F441D6" w:rsidP="00F441D6">
      <w:pPr>
        <w:rPr>
          <w:rFonts w:ascii="Calibri" w:eastAsia="Arial" w:hAnsi="Calibri" w:cs="Calibri"/>
          <w:b/>
          <w:bCs/>
          <w:lang w:eastAsia="en-GB"/>
        </w:rPr>
      </w:pPr>
      <w:r w:rsidRPr="00F441D6">
        <w:rPr>
          <w:rFonts w:ascii="Calibri" w:eastAsia="Arial" w:hAnsi="Calibri" w:cs="Calibri"/>
          <w:b/>
          <w:bCs/>
          <w:lang w:eastAsia="en-GB"/>
        </w:rPr>
        <w:t xml:space="preserve">Figure </w:t>
      </w:r>
      <w:r>
        <w:rPr>
          <w:rFonts w:ascii="Calibri" w:eastAsia="Arial" w:hAnsi="Calibri" w:cs="Calibri"/>
          <w:b/>
          <w:bCs/>
          <w:lang w:eastAsia="en-GB"/>
        </w:rPr>
        <w:t>5</w:t>
      </w:r>
      <w:r w:rsidRPr="00F441D6">
        <w:rPr>
          <w:rFonts w:ascii="Calibri" w:eastAsia="Arial" w:hAnsi="Calibri" w:cs="Calibri"/>
          <w:b/>
          <w:bCs/>
          <w:lang w:eastAsia="en-GB"/>
        </w:rPr>
        <w:t xml:space="preserve"> </w:t>
      </w:r>
    </w:p>
    <w:p w14:paraId="7C8D7916" w14:textId="77777777" w:rsidR="00F441D6" w:rsidRPr="00F441D6" w:rsidRDefault="00F441D6" w:rsidP="00F441D6">
      <w:pPr>
        <w:rPr>
          <w:rFonts w:ascii="Calibri" w:eastAsia="Arial" w:hAnsi="Calibri" w:cs="Calibri"/>
          <w:lang w:eastAsia="en-GB"/>
        </w:rPr>
      </w:pPr>
      <w:r w:rsidRPr="00F441D6">
        <w:rPr>
          <w:rFonts w:ascii="Calibri" w:eastAsia="Arial" w:hAnsi="Calibri" w:cs="Calibri"/>
          <w:i/>
          <w:iCs/>
          <w:lang w:eastAsia="en-GB"/>
        </w:rPr>
        <w:t xml:space="preserve">Centrality of Nodes in Networks of Patients and Siblings </w:t>
      </w:r>
    </w:p>
    <w:p w14:paraId="5A6B45FD" w14:textId="77777777" w:rsidR="00F441D6" w:rsidRPr="00F441D6" w:rsidRDefault="00F441D6" w:rsidP="00F441D6">
      <w:pPr>
        <w:spacing w:line="480" w:lineRule="auto"/>
        <w:rPr>
          <w:rFonts w:ascii="Calibri" w:eastAsia="Arial" w:hAnsi="Calibri" w:cs="Calibri"/>
          <w:lang w:eastAsia="en-GB"/>
        </w:rPr>
      </w:pPr>
      <w:r w:rsidRPr="00F441D6">
        <w:rPr>
          <w:rFonts w:ascii="Calibri" w:eastAsia="Arial" w:hAnsi="Calibri" w:cs="Calibri"/>
          <w:noProof/>
          <w:lang w:eastAsia="en-GB"/>
        </w:rPr>
        <w:drawing>
          <wp:inline distT="0" distB="0" distL="0" distR="0" wp14:anchorId="33180002" wp14:editId="3AC50872">
            <wp:extent cx="5195284" cy="3454400"/>
            <wp:effectExtent l="0" t="0" r="5715" b="0"/>
            <wp:docPr id="18" name="Picture 2" descr="Chart, box and whisker chart&#10;&#10;Description automatically generated">
              <a:extLst xmlns:a="http://schemas.openxmlformats.org/drawingml/2006/main">
                <a:ext uri="{FF2B5EF4-FFF2-40B4-BE49-F238E27FC236}">
                  <a16:creationId xmlns:a16="http://schemas.microsoft.com/office/drawing/2014/main" id="{1654D82A-00F0-49A1-8067-A4A5C82801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Chart, box and whisker chart&#10;&#10;Description automatically generated">
                      <a:extLst>
                        <a:ext uri="{FF2B5EF4-FFF2-40B4-BE49-F238E27FC236}">
                          <a16:creationId xmlns:a16="http://schemas.microsoft.com/office/drawing/2014/main" id="{1654D82A-00F0-49A1-8067-A4A5C8280121}"/>
                        </a:ext>
                      </a:extLst>
                    </pic:cNvPr>
                    <pic:cNvPicPr>
                      <a:picLocks noChangeAspect="1"/>
                    </pic:cNvPicPr>
                  </pic:nvPicPr>
                  <pic:blipFill rotWithShape="1">
                    <a:blip r:embed="rId13"/>
                    <a:srcRect t="4978"/>
                    <a:stretch/>
                  </pic:blipFill>
                  <pic:spPr bwMode="auto">
                    <a:xfrm>
                      <a:off x="0" y="0"/>
                      <a:ext cx="5197956" cy="3456177"/>
                    </a:xfrm>
                    <a:prstGeom prst="rect">
                      <a:avLst/>
                    </a:prstGeom>
                    <a:ln>
                      <a:noFill/>
                    </a:ln>
                    <a:extLst>
                      <a:ext uri="{53640926-AAD7-44D8-BBD7-CCE9431645EC}">
                        <a14:shadowObscured xmlns:a14="http://schemas.microsoft.com/office/drawing/2010/main"/>
                      </a:ext>
                    </a:extLst>
                  </pic:spPr>
                </pic:pic>
              </a:graphicData>
            </a:graphic>
          </wp:inline>
        </w:drawing>
      </w:r>
    </w:p>
    <w:p w14:paraId="6068E4A2" w14:textId="77777777" w:rsidR="00F441D6" w:rsidRPr="00F441D6" w:rsidRDefault="00F441D6" w:rsidP="00F441D6">
      <w:pPr>
        <w:spacing w:line="480" w:lineRule="auto"/>
        <w:rPr>
          <w:rFonts w:ascii="Calibri" w:eastAsia="Arial" w:hAnsi="Calibri" w:cs="Calibri"/>
          <w:lang w:eastAsia="en-GB"/>
        </w:rPr>
      </w:pPr>
    </w:p>
    <w:p w14:paraId="735ACEE5" w14:textId="0DE942C2" w:rsidR="00F441D6" w:rsidRPr="00F441D6" w:rsidRDefault="00F441D6" w:rsidP="00F441D6">
      <w:pPr>
        <w:rPr>
          <w:rFonts w:ascii="Calibri" w:eastAsia="Arial" w:hAnsi="Calibri" w:cs="Calibri"/>
          <w:lang w:eastAsia="en-GB"/>
        </w:rPr>
      </w:pPr>
      <w:r>
        <w:rPr>
          <w:b/>
          <w:bCs/>
          <w:lang w:val="nl"/>
        </w:rPr>
        <w:br w:type="page"/>
      </w:r>
      <w:r w:rsidRPr="00F441D6">
        <w:rPr>
          <w:rFonts w:ascii="Calibri" w:eastAsia="Arial" w:hAnsi="Calibri" w:cs="Calibri"/>
          <w:b/>
          <w:bCs/>
          <w:lang w:eastAsia="en-GB"/>
        </w:rPr>
        <w:lastRenderedPageBreak/>
        <w:t xml:space="preserve">Figure </w:t>
      </w:r>
      <w:r>
        <w:rPr>
          <w:rFonts w:ascii="Calibri" w:eastAsia="Arial" w:hAnsi="Calibri" w:cs="Calibri"/>
          <w:b/>
          <w:bCs/>
          <w:lang w:eastAsia="en-GB"/>
        </w:rPr>
        <w:t>6</w:t>
      </w:r>
    </w:p>
    <w:p w14:paraId="7DC00D8A" w14:textId="77777777" w:rsidR="00F441D6" w:rsidRPr="00F441D6" w:rsidRDefault="00F441D6" w:rsidP="00F441D6">
      <w:pPr>
        <w:rPr>
          <w:rFonts w:ascii="Calibri" w:eastAsia="Arial" w:hAnsi="Calibri" w:cs="Calibri"/>
          <w:i/>
          <w:iCs/>
          <w:lang w:eastAsia="en-GB"/>
        </w:rPr>
      </w:pPr>
      <w:r w:rsidRPr="00F441D6">
        <w:rPr>
          <w:rFonts w:ascii="Calibri" w:eastAsia="Arial" w:hAnsi="Calibri" w:cs="Calibri"/>
          <w:i/>
          <w:iCs/>
          <w:lang w:eastAsia="en-GB"/>
        </w:rPr>
        <w:t xml:space="preserve">Edge weights in the different networks of patients and siblings, including HDI. </w:t>
      </w:r>
    </w:p>
    <w:p w14:paraId="4BD46C21" w14:textId="77777777" w:rsidR="00F441D6" w:rsidRPr="00F441D6" w:rsidRDefault="00F441D6" w:rsidP="00F441D6">
      <w:pPr>
        <w:spacing w:line="480" w:lineRule="auto"/>
        <w:rPr>
          <w:rFonts w:ascii="Calibri" w:eastAsia="Arial" w:hAnsi="Calibri" w:cs="Calibri"/>
          <w:b/>
          <w:bCs/>
          <w:lang w:eastAsia="en-GB"/>
        </w:rPr>
      </w:pPr>
      <w:r w:rsidRPr="00F441D6">
        <w:rPr>
          <w:rFonts w:ascii="Calibri" w:eastAsia="Arial" w:hAnsi="Calibri" w:cs="Calibri"/>
          <w:b/>
          <w:bCs/>
          <w:noProof/>
          <w:lang w:eastAsia="en-GB"/>
        </w:rPr>
        <w:drawing>
          <wp:inline distT="0" distB="0" distL="0" distR="0" wp14:anchorId="7213C25E" wp14:editId="7B147F7D">
            <wp:extent cx="5733415" cy="6479496"/>
            <wp:effectExtent l="0" t="0" r="635" b="0"/>
            <wp:docPr id="24" name="Picture 2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3415" cy="6479496"/>
                    </a:xfrm>
                    <a:prstGeom prst="rect">
                      <a:avLst/>
                    </a:prstGeom>
                    <a:noFill/>
                  </pic:spPr>
                </pic:pic>
              </a:graphicData>
            </a:graphic>
          </wp:inline>
        </w:drawing>
      </w:r>
    </w:p>
    <w:p w14:paraId="2F4517B7" w14:textId="77777777" w:rsidR="00F441D6" w:rsidRPr="00F441D6" w:rsidRDefault="00F441D6" w:rsidP="00F441D6">
      <w:pPr>
        <w:spacing w:line="480" w:lineRule="auto"/>
        <w:rPr>
          <w:rFonts w:ascii="Calibri" w:eastAsia="Arial" w:hAnsi="Calibri" w:cs="Calibri"/>
          <w:b/>
          <w:bCs/>
          <w:lang w:eastAsia="en-GB"/>
        </w:rPr>
      </w:pPr>
    </w:p>
    <w:p w14:paraId="08AB8646" w14:textId="77777777" w:rsidR="00F441D6" w:rsidRPr="00F441D6" w:rsidRDefault="00F441D6" w:rsidP="00F441D6">
      <w:pPr>
        <w:spacing w:line="480" w:lineRule="auto"/>
        <w:rPr>
          <w:rFonts w:ascii="Calibri" w:eastAsia="Arial" w:hAnsi="Calibri" w:cs="Calibri"/>
          <w:b/>
          <w:bCs/>
          <w:lang w:eastAsia="en-GB"/>
        </w:rPr>
      </w:pPr>
    </w:p>
    <w:p w14:paraId="374AE726" w14:textId="77777777" w:rsidR="00F441D6" w:rsidRPr="00F441D6" w:rsidRDefault="00F441D6" w:rsidP="00F441D6">
      <w:pPr>
        <w:spacing w:line="480" w:lineRule="auto"/>
        <w:rPr>
          <w:rFonts w:ascii="Calibri" w:eastAsia="Arial" w:hAnsi="Calibri" w:cs="Calibri"/>
          <w:b/>
          <w:bCs/>
          <w:lang w:eastAsia="en-GB"/>
        </w:rPr>
      </w:pPr>
    </w:p>
    <w:p w14:paraId="4F926DBA" w14:textId="77777777" w:rsidR="00F441D6" w:rsidRPr="00F441D6" w:rsidRDefault="00F441D6" w:rsidP="00F441D6">
      <w:pPr>
        <w:spacing w:line="480" w:lineRule="auto"/>
        <w:rPr>
          <w:rFonts w:ascii="Calibri" w:eastAsia="Arial" w:hAnsi="Calibri" w:cs="Calibri"/>
          <w:b/>
          <w:bCs/>
          <w:lang w:eastAsia="en-GB"/>
        </w:rPr>
      </w:pPr>
    </w:p>
    <w:p w14:paraId="27B20CEC" w14:textId="77777777" w:rsidR="00F441D6" w:rsidRDefault="00F441D6" w:rsidP="00F441D6">
      <w:pPr>
        <w:rPr>
          <w:rFonts w:ascii="Calibri" w:eastAsia="Arial" w:hAnsi="Calibri" w:cs="Calibri"/>
          <w:b/>
          <w:bCs/>
          <w:lang w:eastAsia="en-GB"/>
        </w:rPr>
      </w:pPr>
    </w:p>
    <w:p w14:paraId="33E2F24F" w14:textId="77777777" w:rsidR="00F441D6" w:rsidRDefault="00F441D6" w:rsidP="00F441D6">
      <w:pPr>
        <w:rPr>
          <w:rFonts w:ascii="Calibri" w:eastAsia="Arial" w:hAnsi="Calibri" w:cs="Calibri"/>
          <w:b/>
          <w:bCs/>
          <w:lang w:eastAsia="en-GB"/>
        </w:rPr>
      </w:pPr>
    </w:p>
    <w:p w14:paraId="3F885901" w14:textId="48B2D7EE" w:rsidR="00F441D6" w:rsidRPr="00F441D6" w:rsidRDefault="00F441D6" w:rsidP="00F441D6">
      <w:pPr>
        <w:rPr>
          <w:rFonts w:ascii="Calibri" w:eastAsia="Arial" w:hAnsi="Calibri" w:cs="Calibri"/>
          <w:b/>
          <w:bCs/>
          <w:lang w:eastAsia="en-GB"/>
        </w:rPr>
      </w:pPr>
      <w:r w:rsidRPr="00F441D6">
        <w:rPr>
          <w:rFonts w:ascii="Calibri" w:eastAsia="Arial" w:hAnsi="Calibri" w:cs="Calibri"/>
          <w:b/>
          <w:bCs/>
          <w:lang w:eastAsia="en-GB"/>
        </w:rPr>
        <w:lastRenderedPageBreak/>
        <w:t xml:space="preserve">Figure </w:t>
      </w:r>
      <w:r>
        <w:rPr>
          <w:rFonts w:ascii="Calibri" w:eastAsia="Arial" w:hAnsi="Calibri" w:cs="Calibri"/>
          <w:b/>
          <w:bCs/>
          <w:lang w:eastAsia="en-GB"/>
        </w:rPr>
        <w:t>7</w:t>
      </w:r>
      <w:r w:rsidRPr="00F441D6">
        <w:rPr>
          <w:rFonts w:ascii="Calibri" w:eastAsia="Arial" w:hAnsi="Calibri" w:cs="Calibri"/>
          <w:b/>
          <w:bCs/>
          <w:lang w:eastAsia="en-GB"/>
        </w:rPr>
        <w:t xml:space="preserve"> </w:t>
      </w:r>
    </w:p>
    <w:p w14:paraId="6CCB4C6F" w14:textId="77777777" w:rsidR="00F441D6" w:rsidRPr="00F441D6" w:rsidRDefault="00F441D6" w:rsidP="00F441D6">
      <w:pPr>
        <w:rPr>
          <w:rFonts w:ascii="Calibri" w:eastAsia="Arial" w:hAnsi="Calibri" w:cs="Calibri"/>
          <w:i/>
          <w:iCs/>
          <w:lang w:eastAsia="en-GB"/>
        </w:rPr>
      </w:pPr>
      <w:r w:rsidRPr="00F441D6">
        <w:rPr>
          <w:rFonts w:ascii="Calibri" w:eastAsia="Arial" w:hAnsi="Calibri" w:cs="Calibri"/>
          <w:i/>
          <w:iCs/>
          <w:lang w:eastAsia="en-GB"/>
        </w:rPr>
        <w:t xml:space="preserve">Posterior edge inclusion probabilities of patients and siblings, including HDI </w:t>
      </w:r>
    </w:p>
    <w:p w14:paraId="4E402CB1" w14:textId="77777777" w:rsidR="00F441D6" w:rsidRPr="00F441D6" w:rsidRDefault="00F441D6" w:rsidP="00F441D6">
      <w:pPr>
        <w:spacing w:line="480" w:lineRule="auto"/>
        <w:rPr>
          <w:rFonts w:ascii="Calibri" w:eastAsia="Arial" w:hAnsi="Calibri" w:cs="Calibri"/>
          <w:b/>
          <w:bCs/>
          <w:lang w:eastAsia="en-GB"/>
        </w:rPr>
      </w:pPr>
      <w:r w:rsidRPr="00F441D6">
        <w:rPr>
          <w:rFonts w:ascii="Calibri" w:eastAsia="Arial" w:hAnsi="Calibri" w:cs="Calibri"/>
          <w:b/>
          <w:bCs/>
          <w:noProof/>
          <w:lang w:eastAsia="en-GB"/>
        </w:rPr>
        <w:drawing>
          <wp:inline distT="0" distB="0" distL="0" distR="0" wp14:anchorId="5C6BDB9D" wp14:editId="30D503F5">
            <wp:extent cx="5733415" cy="6490124"/>
            <wp:effectExtent l="0" t="0" r="635" b="6350"/>
            <wp:docPr id="25" name="Picture 2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3415" cy="6490124"/>
                    </a:xfrm>
                    <a:prstGeom prst="rect">
                      <a:avLst/>
                    </a:prstGeom>
                    <a:noFill/>
                  </pic:spPr>
                </pic:pic>
              </a:graphicData>
            </a:graphic>
          </wp:inline>
        </w:drawing>
      </w:r>
    </w:p>
    <w:p w14:paraId="0EFF7193" w14:textId="77777777" w:rsidR="00F441D6" w:rsidRPr="00F441D6" w:rsidRDefault="00F441D6" w:rsidP="00F441D6">
      <w:pPr>
        <w:spacing w:line="480" w:lineRule="auto"/>
        <w:rPr>
          <w:rFonts w:ascii="Calibri" w:eastAsia="Arial" w:hAnsi="Calibri" w:cs="Calibri"/>
          <w:b/>
          <w:bCs/>
          <w:lang w:eastAsia="en-GB"/>
        </w:rPr>
      </w:pPr>
    </w:p>
    <w:p w14:paraId="78B4BDC2" w14:textId="77777777" w:rsidR="00F441D6" w:rsidRPr="00F441D6" w:rsidRDefault="00F441D6" w:rsidP="00F441D6">
      <w:pPr>
        <w:spacing w:line="480" w:lineRule="auto"/>
        <w:rPr>
          <w:rFonts w:ascii="Calibri" w:eastAsia="Arial" w:hAnsi="Calibri" w:cs="Calibri"/>
          <w:b/>
          <w:bCs/>
          <w:lang w:eastAsia="en-GB"/>
        </w:rPr>
      </w:pPr>
    </w:p>
    <w:p w14:paraId="17CFED76" w14:textId="48E0C5DE" w:rsidR="00F441D6" w:rsidRDefault="00F441D6">
      <w:pPr>
        <w:rPr>
          <w:b/>
          <w:bCs/>
          <w:lang w:val="nl"/>
        </w:rPr>
      </w:pPr>
      <w:r>
        <w:rPr>
          <w:b/>
          <w:bCs/>
          <w:lang w:val="nl"/>
        </w:rPr>
        <w:br w:type="page"/>
      </w:r>
    </w:p>
    <w:p w14:paraId="12A04B90" w14:textId="070B66FC" w:rsidR="00345D5C" w:rsidRDefault="00345D5C">
      <w:pPr>
        <w:rPr>
          <w:b/>
          <w:bCs/>
          <w:lang w:val="nl"/>
        </w:rPr>
      </w:pPr>
      <w:r>
        <w:rPr>
          <w:b/>
          <w:bCs/>
          <w:lang w:val="nl"/>
        </w:rPr>
        <w:lastRenderedPageBreak/>
        <w:t xml:space="preserve">Table 2. </w:t>
      </w:r>
    </w:p>
    <w:p w14:paraId="15FF3320" w14:textId="77777777" w:rsidR="004432A2" w:rsidRDefault="002451CB">
      <w:pPr>
        <w:rPr>
          <w:i/>
          <w:iCs/>
          <w:lang w:val="nl"/>
        </w:rPr>
      </w:pPr>
      <w:r>
        <w:rPr>
          <w:i/>
          <w:iCs/>
          <w:lang w:val="nl"/>
        </w:rPr>
        <w:t xml:space="preserve">Weight matrix </w:t>
      </w:r>
      <w:r w:rsidR="004432A2">
        <w:rPr>
          <w:i/>
          <w:iCs/>
          <w:lang w:val="nl"/>
        </w:rPr>
        <w:t xml:space="preserve">of network estimated on sample of patients, siblings and controls </w:t>
      </w:r>
    </w:p>
    <w:p w14:paraId="678310C1" w14:textId="6439D30B" w:rsidR="004432A2" w:rsidRDefault="004432A2">
      <w:r w:rsidRPr="004432A2">
        <w:t xml:space="preserve"> </w:t>
      </w:r>
      <w:r w:rsidR="00D01449" w:rsidRPr="00D01449">
        <w:rPr>
          <w:noProof/>
        </w:rPr>
        <w:drawing>
          <wp:inline distT="0" distB="0" distL="0" distR="0" wp14:anchorId="01AF8593" wp14:editId="13F31C11">
            <wp:extent cx="5464810" cy="1894459"/>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67952" cy="1895548"/>
                    </a:xfrm>
                    <a:prstGeom prst="rect">
                      <a:avLst/>
                    </a:prstGeom>
                    <a:noFill/>
                    <a:ln>
                      <a:noFill/>
                    </a:ln>
                  </pic:spPr>
                </pic:pic>
              </a:graphicData>
            </a:graphic>
          </wp:inline>
        </w:drawing>
      </w:r>
    </w:p>
    <w:p w14:paraId="29350F7A" w14:textId="23AF005C" w:rsidR="000A0E3D" w:rsidRDefault="000A0E3D"/>
    <w:p w14:paraId="0BAD9CF8" w14:textId="77428F62" w:rsidR="00EA276C" w:rsidRDefault="00EA276C">
      <w:pPr>
        <w:rPr>
          <w:b/>
          <w:bCs/>
        </w:rPr>
      </w:pPr>
      <w:r>
        <w:rPr>
          <w:b/>
          <w:bCs/>
        </w:rPr>
        <w:t xml:space="preserve">Table </w:t>
      </w:r>
      <w:r w:rsidR="0070673C">
        <w:rPr>
          <w:b/>
          <w:bCs/>
        </w:rPr>
        <w:t>3</w:t>
      </w:r>
      <w:r>
        <w:rPr>
          <w:b/>
          <w:bCs/>
        </w:rPr>
        <w:t xml:space="preserve">. </w:t>
      </w:r>
    </w:p>
    <w:p w14:paraId="444A0D2D" w14:textId="3445CA11" w:rsidR="00EA276C" w:rsidRDefault="00EA276C">
      <w:pPr>
        <w:rPr>
          <w:i/>
          <w:iCs/>
        </w:rPr>
      </w:pPr>
      <w:r>
        <w:rPr>
          <w:i/>
          <w:iCs/>
        </w:rPr>
        <w:t xml:space="preserve">Weight matrix of network patients, controlled for SFS </w:t>
      </w:r>
    </w:p>
    <w:p w14:paraId="7465B461" w14:textId="400C399B" w:rsidR="00EA276C" w:rsidRDefault="0001036F">
      <w:pPr>
        <w:rPr>
          <w:i/>
          <w:iCs/>
        </w:rPr>
      </w:pPr>
      <w:r w:rsidRPr="0001036F">
        <w:rPr>
          <w:noProof/>
        </w:rPr>
        <w:drawing>
          <wp:inline distT="0" distB="0" distL="0" distR="0" wp14:anchorId="4D084FE5" wp14:editId="4CA51564">
            <wp:extent cx="5731510" cy="1984375"/>
            <wp:effectExtent l="0" t="0" r="254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1984375"/>
                    </a:xfrm>
                    <a:prstGeom prst="rect">
                      <a:avLst/>
                    </a:prstGeom>
                    <a:noFill/>
                    <a:ln>
                      <a:noFill/>
                    </a:ln>
                  </pic:spPr>
                </pic:pic>
              </a:graphicData>
            </a:graphic>
          </wp:inline>
        </w:drawing>
      </w:r>
    </w:p>
    <w:p w14:paraId="4229B3F8" w14:textId="701E10EC" w:rsidR="00EA276C" w:rsidRDefault="00EA276C">
      <w:pPr>
        <w:rPr>
          <w:i/>
          <w:iCs/>
        </w:rPr>
      </w:pPr>
    </w:p>
    <w:p w14:paraId="7393C30F" w14:textId="77777777" w:rsidR="00F441D6" w:rsidRDefault="00F441D6">
      <w:pPr>
        <w:rPr>
          <w:b/>
          <w:bCs/>
        </w:rPr>
      </w:pPr>
    </w:p>
    <w:p w14:paraId="4C7C1EE0" w14:textId="07EFABD3" w:rsidR="00EA276C" w:rsidRDefault="00EA276C">
      <w:pPr>
        <w:rPr>
          <w:b/>
          <w:bCs/>
        </w:rPr>
      </w:pPr>
      <w:r>
        <w:rPr>
          <w:b/>
          <w:bCs/>
        </w:rPr>
        <w:t xml:space="preserve">Table </w:t>
      </w:r>
      <w:r w:rsidR="0070673C">
        <w:rPr>
          <w:b/>
          <w:bCs/>
        </w:rPr>
        <w:t>4</w:t>
      </w:r>
      <w:r>
        <w:rPr>
          <w:b/>
          <w:bCs/>
        </w:rPr>
        <w:t xml:space="preserve">. </w:t>
      </w:r>
    </w:p>
    <w:p w14:paraId="5F5FB8FC" w14:textId="65EF5A1D" w:rsidR="00EA276C" w:rsidRDefault="00EA276C">
      <w:pPr>
        <w:rPr>
          <w:i/>
          <w:iCs/>
        </w:rPr>
      </w:pPr>
      <w:r>
        <w:rPr>
          <w:i/>
          <w:iCs/>
        </w:rPr>
        <w:t xml:space="preserve">Weight matrix of network siblings, controlled for SFS </w:t>
      </w:r>
    </w:p>
    <w:p w14:paraId="2A610711" w14:textId="3B1DD404" w:rsidR="00EA276C" w:rsidRPr="00EA276C" w:rsidRDefault="0095161B">
      <w:r w:rsidRPr="0095161B">
        <w:rPr>
          <w:noProof/>
        </w:rPr>
        <w:drawing>
          <wp:inline distT="0" distB="0" distL="0" distR="0" wp14:anchorId="5FE55300" wp14:editId="215C5951">
            <wp:extent cx="5731510" cy="2056130"/>
            <wp:effectExtent l="0" t="0" r="254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056130"/>
                    </a:xfrm>
                    <a:prstGeom prst="rect">
                      <a:avLst/>
                    </a:prstGeom>
                    <a:noFill/>
                    <a:ln>
                      <a:noFill/>
                    </a:ln>
                  </pic:spPr>
                </pic:pic>
              </a:graphicData>
            </a:graphic>
          </wp:inline>
        </w:drawing>
      </w:r>
    </w:p>
    <w:p w14:paraId="76B9801D" w14:textId="77777777" w:rsidR="00D74113" w:rsidRDefault="00D74113"/>
    <w:p w14:paraId="51985B94" w14:textId="77777777" w:rsidR="0070673C" w:rsidRDefault="0070673C">
      <w:pPr>
        <w:rPr>
          <w:b/>
          <w:bCs/>
        </w:rPr>
      </w:pPr>
    </w:p>
    <w:p w14:paraId="1D764A4C" w14:textId="77777777" w:rsidR="0070673C" w:rsidRDefault="0070673C">
      <w:pPr>
        <w:rPr>
          <w:b/>
          <w:bCs/>
        </w:rPr>
      </w:pPr>
    </w:p>
    <w:p w14:paraId="3696864E" w14:textId="77777777" w:rsidR="0070673C" w:rsidRDefault="0070673C">
      <w:pPr>
        <w:rPr>
          <w:b/>
          <w:bCs/>
        </w:rPr>
      </w:pPr>
    </w:p>
    <w:p w14:paraId="0F68BE95" w14:textId="77777777" w:rsidR="0070673C" w:rsidRDefault="0070673C">
      <w:pPr>
        <w:rPr>
          <w:b/>
          <w:bCs/>
        </w:rPr>
      </w:pPr>
    </w:p>
    <w:p w14:paraId="5A425B48" w14:textId="77777777" w:rsidR="0070673C" w:rsidRDefault="0070673C">
      <w:pPr>
        <w:rPr>
          <w:b/>
          <w:bCs/>
        </w:rPr>
      </w:pPr>
    </w:p>
    <w:p w14:paraId="34DF16D6" w14:textId="77777777" w:rsidR="0070673C" w:rsidRDefault="0070673C">
      <w:pPr>
        <w:rPr>
          <w:b/>
          <w:bCs/>
        </w:rPr>
      </w:pPr>
    </w:p>
    <w:p w14:paraId="4449FB7C" w14:textId="77777777" w:rsidR="0070673C" w:rsidRDefault="0070673C">
      <w:pPr>
        <w:rPr>
          <w:b/>
          <w:bCs/>
        </w:rPr>
      </w:pPr>
    </w:p>
    <w:p w14:paraId="6FD8F617" w14:textId="2072A93A" w:rsidR="000A0E3D" w:rsidRDefault="000A0E3D">
      <w:pPr>
        <w:rPr>
          <w:b/>
          <w:bCs/>
        </w:rPr>
      </w:pPr>
      <w:r>
        <w:rPr>
          <w:b/>
          <w:bCs/>
        </w:rPr>
        <w:lastRenderedPageBreak/>
        <w:t xml:space="preserve">Table </w:t>
      </w:r>
      <w:r w:rsidR="0070673C">
        <w:rPr>
          <w:b/>
          <w:bCs/>
        </w:rPr>
        <w:t>5</w:t>
      </w:r>
      <w:r>
        <w:rPr>
          <w:b/>
          <w:bCs/>
        </w:rPr>
        <w:t xml:space="preserve">. </w:t>
      </w:r>
    </w:p>
    <w:p w14:paraId="26BF27F7" w14:textId="22C7C8D6" w:rsidR="00A16650" w:rsidRPr="00A16650" w:rsidRDefault="00A16650">
      <w:pPr>
        <w:rPr>
          <w:i/>
          <w:iCs/>
        </w:rPr>
      </w:pPr>
      <w:r>
        <w:rPr>
          <w:i/>
          <w:iCs/>
        </w:rPr>
        <w:t xml:space="preserve">Weight matrix of network patients </w:t>
      </w:r>
    </w:p>
    <w:p w14:paraId="45C53208" w14:textId="3A38F804" w:rsidR="00D504F2" w:rsidRDefault="00A16650">
      <w:pPr>
        <w:rPr>
          <w:lang w:val="nl"/>
        </w:rPr>
      </w:pPr>
      <w:r w:rsidRPr="00A16650">
        <w:rPr>
          <w:noProof/>
        </w:rPr>
        <w:drawing>
          <wp:inline distT="0" distB="0" distL="0" distR="0" wp14:anchorId="65F8540B" wp14:editId="2D00C933">
            <wp:extent cx="5731510" cy="187515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875155"/>
                    </a:xfrm>
                    <a:prstGeom prst="rect">
                      <a:avLst/>
                    </a:prstGeom>
                    <a:noFill/>
                    <a:ln>
                      <a:noFill/>
                    </a:ln>
                  </pic:spPr>
                </pic:pic>
              </a:graphicData>
            </a:graphic>
          </wp:inline>
        </w:drawing>
      </w:r>
      <w:r w:rsidRPr="00A16650">
        <w:t xml:space="preserve"> </w:t>
      </w:r>
    </w:p>
    <w:p w14:paraId="07726FD6" w14:textId="77777777" w:rsidR="00F147B0" w:rsidRDefault="00F147B0">
      <w:pPr>
        <w:rPr>
          <w:b/>
          <w:bCs/>
          <w:lang w:val="nl"/>
        </w:rPr>
      </w:pPr>
    </w:p>
    <w:p w14:paraId="24641EC5" w14:textId="58A73937" w:rsidR="00F70EDA" w:rsidRDefault="00F70EDA">
      <w:pPr>
        <w:rPr>
          <w:b/>
          <w:bCs/>
          <w:lang w:val="nl"/>
        </w:rPr>
      </w:pPr>
      <w:r>
        <w:rPr>
          <w:b/>
          <w:bCs/>
          <w:lang w:val="nl"/>
        </w:rPr>
        <w:t xml:space="preserve">Table </w:t>
      </w:r>
      <w:r w:rsidR="0070673C">
        <w:rPr>
          <w:b/>
          <w:bCs/>
          <w:lang w:val="nl"/>
        </w:rPr>
        <w:t>6</w:t>
      </w:r>
      <w:r>
        <w:rPr>
          <w:b/>
          <w:bCs/>
          <w:lang w:val="nl"/>
        </w:rPr>
        <w:t xml:space="preserve">. </w:t>
      </w:r>
    </w:p>
    <w:p w14:paraId="28D0197F" w14:textId="4421A6F9" w:rsidR="00F70EDA" w:rsidRDefault="00F70EDA">
      <w:pPr>
        <w:rPr>
          <w:i/>
          <w:iCs/>
          <w:lang w:val="nl"/>
        </w:rPr>
      </w:pPr>
      <w:r>
        <w:rPr>
          <w:i/>
          <w:iCs/>
          <w:lang w:val="nl"/>
        </w:rPr>
        <w:t xml:space="preserve">Weight matrix of network siblings </w:t>
      </w:r>
    </w:p>
    <w:p w14:paraId="5A0F78D2" w14:textId="1B44FDB8" w:rsidR="00F70EDA" w:rsidRPr="00F70EDA" w:rsidRDefault="00F70EDA">
      <w:pPr>
        <w:rPr>
          <w:i/>
          <w:iCs/>
          <w:lang w:val="nl"/>
        </w:rPr>
      </w:pPr>
      <w:r w:rsidRPr="00F70EDA">
        <w:rPr>
          <w:noProof/>
        </w:rPr>
        <w:drawing>
          <wp:inline distT="0" distB="0" distL="0" distR="0" wp14:anchorId="2FA457B9" wp14:editId="58B48B0A">
            <wp:extent cx="5731510" cy="1885315"/>
            <wp:effectExtent l="0" t="0" r="254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1885315"/>
                    </a:xfrm>
                    <a:prstGeom prst="rect">
                      <a:avLst/>
                    </a:prstGeom>
                    <a:noFill/>
                    <a:ln>
                      <a:noFill/>
                    </a:ln>
                  </pic:spPr>
                </pic:pic>
              </a:graphicData>
            </a:graphic>
          </wp:inline>
        </w:drawing>
      </w:r>
    </w:p>
    <w:p w14:paraId="000F9430" w14:textId="77777777" w:rsidR="001C704B" w:rsidRDefault="001C704B" w:rsidP="00D9549D">
      <w:pPr>
        <w:rPr>
          <w:b/>
          <w:bCs/>
        </w:rPr>
      </w:pPr>
    </w:p>
    <w:p w14:paraId="5EB25FD1" w14:textId="77777777" w:rsidR="001C704B" w:rsidRDefault="001C704B" w:rsidP="00D9549D">
      <w:pPr>
        <w:rPr>
          <w:b/>
          <w:bCs/>
        </w:rPr>
      </w:pPr>
    </w:p>
    <w:p w14:paraId="5894700D" w14:textId="3F37E3E1" w:rsidR="001F3096" w:rsidRDefault="001F3096" w:rsidP="00D9549D">
      <w:pPr>
        <w:rPr>
          <w:b/>
          <w:bCs/>
        </w:rPr>
      </w:pPr>
      <w:r w:rsidRPr="001F3096">
        <w:rPr>
          <w:b/>
          <w:bCs/>
        </w:rPr>
        <w:t xml:space="preserve">Figure </w:t>
      </w:r>
      <w:r w:rsidR="007E4098">
        <w:rPr>
          <w:b/>
          <w:bCs/>
        </w:rPr>
        <w:t>8</w:t>
      </w:r>
      <w:r w:rsidRPr="001F3096">
        <w:rPr>
          <w:b/>
          <w:bCs/>
        </w:rPr>
        <w:t xml:space="preserve"> </w:t>
      </w:r>
    </w:p>
    <w:p w14:paraId="0C0C3314" w14:textId="77C9111A" w:rsidR="0015130D" w:rsidRDefault="001F3096" w:rsidP="00D9549D">
      <w:pPr>
        <w:rPr>
          <w:i/>
          <w:iCs/>
        </w:rPr>
      </w:pPr>
      <w:r w:rsidRPr="001F3096">
        <w:rPr>
          <w:i/>
          <w:iCs/>
        </w:rPr>
        <w:t xml:space="preserve">Average estimated network </w:t>
      </w:r>
      <w:r>
        <w:rPr>
          <w:i/>
          <w:iCs/>
        </w:rPr>
        <w:t xml:space="preserve">of patients, siblings and controls with a prior of 0.75. </w:t>
      </w:r>
    </w:p>
    <w:p w14:paraId="1DA69C77" w14:textId="60C250D4" w:rsidR="001F3096" w:rsidRDefault="00E77476" w:rsidP="00D9549D">
      <w:pPr>
        <w:rPr>
          <w:i/>
          <w:iCs/>
        </w:rPr>
      </w:pPr>
      <w:r w:rsidRPr="00E77476">
        <w:rPr>
          <w:i/>
          <w:iCs/>
          <w:noProof/>
        </w:rPr>
        <w:drawing>
          <wp:anchor distT="0" distB="0" distL="114300" distR="114300" simplePos="0" relativeHeight="251672064" behindDoc="1" locked="0" layoutInCell="1" allowOverlap="1" wp14:anchorId="4F2D0051" wp14:editId="19B1A775">
            <wp:simplePos x="0" y="0"/>
            <wp:positionH relativeFrom="column">
              <wp:posOffset>3623945</wp:posOffset>
            </wp:positionH>
            <wp:positionV relativeFrom="paragraph">
              <wp:posOffset>442595</wp:posOffset>
            </wp:positionV>
            <wp:extent cx="1514475" cy="2274570"/>
            <wp:effectExtent l="0" t="0" r="9525" b="0"/>
            <wp:wrapTight wrapText="bothSides">
              <wp:wrapPolygon edited="0">
                <wp:start x="0" y="0"/>
                <wp:lineTo x="0" y="21347"/>
                <wp:lineTo x="21464" y="21347"/>
                <wp:lineTo x="21464"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4475" cy="2274570"/>
                    </a:xfrm>
                    <a:prstGeom prst="rect">
                      <a:avLst/>
                    </a:prstGeom>
                  </pic:spPr>
                </pic:pic>
              </a:graphicData>
            </a:graphic>
            <wp14:sizeRelH relativeFrom="margin">
              <wp14:pctWidth>0</wp14:pctWidth>
            </wp14:sizeRelH>
            <wp14:sizeRelV relativeFrom="margin">
              <wp14:pctHeight>0</wp14:pctHeight>
            </wp14:sizeRelV>
          </wp:anchor>
        </w:drawing>
      </w:r>
      <w:r w:rsidRPr="00E77476">
        <w:rPr>
          <w:noProof/>
        </w:rPr>
        <w:t xml:space="preserve"> </w:t>
      </w:r>
      <w:r w:rsidRPr="00F50CF4">
        <w:rPr>
          <w:i/>
          <w:iCs/>
          <w:noProof/>
        </w:rPr>
        <w:drawing>
          <wp:inline distT="0" distB="0" distL="0" distR="0" wp14:anchorId="3787B6F3" wp14:editId="2DF22050">
            <wp:extent cx="3381375" cy="3215640"/>
            <wp:effectExtent l="0" t="0" r="9525" b="3810"/>
            <wp:docPr id="21"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rotWithShape="1">
                    <a:blip r:embed="rId22"/>
                    <a:srcRect r="29936"/>
                    <a:stretch/>
                  </pic:blipFill>
                  <pic:spPr bwMode="auto">
                    <a:xfrm>
                      <a:off x="0" y="0"/>
                      <a:ext cx="3385223" cy="3219299"/>
                    </a:xfrm>
                    <a:prstGeom prst="rect">
                      <a:avLst/>
                    </a:prstGeom>
                    <a:ln>
                      <a:noFill/>
                    </a:ln>
                    <a:extLst>
                      <a:ext uri="{53640926-AAD7-44D8-BBD7-CCE9431645EC}">
                        <a14:shadowObscured xmlns:a14="http://schemas.microsoft.com/office/drawing/2010/main"/>
                      </a:ext>
                    </a:extLst>
                  </pic:spPr>
                </pic:pic>
              </a:graphicData>
            </a:graphic>
          </wp:inline>
        </w:drawing>
      </w:r>
    </w:p>
    <w:p w14:paraId="57C0F28F" w14:textId="17007B00" w:rsidR="001F3096" w:rsidRDefault="001F3096" w:rsidP="00D9549D">
      <w:pPr>
        <w:rPr>
          <w:i/>
          <w:iCs/>
        </w:rPr>
      </w:pPr>
    </w:p>
    <w:p w14:paraId="3F6D5EE4" w14:textId="77777777" w:rsidR="0013352F" w:rsidRDefault="0013352F" w:rsidP="00D9549D">
      <w:pPr>
        <w:rPr>
          <w:b/>
          <w:bCs/>
        </w:rPr>
      </w:pPr>
    </w:p>
    <w:p w14:paraId="73A74BAF" w14:textId="40CE24FA" w:rsidR="001F3096" w:rsidRDefault="001F3096" w:rsidP="00D9549D">
      <w:pPr>
        <w:rPr>
          <w:b/>
          <w:bCs/>
        </w:rPr>
      </w:pPr>
      <w:r>
        <w:rPr>
          <w:b/>
          <w:bCs/>
        </w:rPr>
        <w:lastRenderedPageBreak/>
        <w:t xml:space="preserve">Figure </w:t>
      </w:r>
      <w:r w:rsidR="007E4098">
        <w:rPr>
          <w:b/>
          <w:bCs/>
        </w:rPr>
        <w:t>9</w:t>
      </w:r>
      <w:r>
        <w:rPr>
          <w:b/>
          <w:bCs/>
        </w:rPr>
        <w:t xml:space="preserve"> </w:t>
      </w:r>
    </w:p>
    <w:p w14:paraId="0FF6AFC2" w14:textId="2CE8B2BE" w:rsidR="001F3096" w:rsidRDefault="001F3096" w:rsidP="00D9549D">
      <w:pPr>
        <w:rPr>
          <w:i/>
          <w:iCs/>
        </w:rPr>
      </w:pPr>
      <w:r>
        <w:rPr>
          <w:i/>
          <w:iCs/>
        </w:rPr>
        <w:t xml:space="preserve">Average estimated network of patients, siblings and controls with a prior of 0.25 </w:t>
      </w:r>
    </w:p>
    <w:p w14:paraId="7DB1E116" w14:textId="761DE9AE" w:rsidR="002E7955" w:rsidRDefault="00E77476" w:rsidP="00D9549D">
      <w:pPr>
        <w:rPr>
          <w:i/>
          <w:iCs/>
        </w:rPr>
      </w:pPr>
      <w:r w:rsidRPr="00E77476">
        <w:rPr>
          <w:i/>
          <w:iCs/>
          <w:noProof/>
        </w:rPr>
        <w:drawing>
          <wp:anchor distT="0" distB="0" distL="114300" distR="114300" simplePos="0" relativeHeight="251648511" behindDoc="1" locked="0" layoutInCell="1" allowOverlap="1" wp14:anchorId="13942CFE" wp14:editId="0991672C">
            <wp:simplePos x="0" y="0"/>
            <wp:positionH relativeFrom="margin">
              <wp:posOffset>3516948</wp:posOffset>
            </wp:positionH>
            <wp:positionV relativeFrom="paragraph">
              <wp:posOffset>414020</wp:posOffset>
            </wp:positionV>
            <wp:extent cx="1514475" cy="2274570"/>
            <wp:effectExtent l="0" t="0" r="9525" b="0"/>
            <wp:wrapTight wrapText="bothSides">
              <wp:wrapPolygon edited="0">
                <wp:start x="0" y="0"/>
                <wp:lineTo x="0" y="21347"/>
                <wp:lineTo x="21464" y="21347"/>
                <wp:lineTo x="21464"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4475" cy="2274570"/>
                    </a:xfrm>
                    <a:prstGeom prst="rect">
                      <a:avLst/>
                    </a:prstGeom>
                  </pic:spPr>
                </pic:pic>
              </a:graphicData>
            </a:graphic>
            <wp14:sizeRelH relativeFrom="margin">
              <wp14:pctWidth>0</wp14:pctWidth>
            </wp14:sizeRelH>
            <wp14:sizeRelV relativeFrom="margin">
              <wp14:pctHeight>0</wp14:pctHeight>
            </wp14:sizeRelV>
          </wp:anchor>
        </w:drawing>
      </w:r>
      <w:r w:rsidR="002E7955" w:rsidRPr="002E7955">
        <w:rPr>
          <w:i/>
          <w:iCs/>
          <w:noProof/>
        </w:rPr>
        <w:drawing>
          <wp:inline distT="0" distB="0" distL="0" distR="0" wp14:anchorId="228E3A68" wp14:editId="7B5D4755">
            <wp:extent cx="3309938" cy="3154680"/>
            <wp:effectExtent l="0" t="0" r="5080" b="762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23"/>
                    <a:srcRect r="30080"/>
                    <a:stretch/>
                  </pic:blipFill>
                  <pic:spPr bwMode="auto">
                    <a:xfrm>
                      <a:off x="0" y="0"/>
                      <a:ext cx="3316352" cy="3160793"/>
                    </a:xfrm>
                    <a:prstGeom prst="rect">
                      <a:avLst/>
                    </a:prstGeom>
                    <a:ln>
                      <a:noFill/>
                    </a:ln>
                    <a:extLst>
                      <a:ext uri="{53640926-AAD7-44D8-BBD7-CCE9431645EC}">
                        <a14:shadowObscured xmlns:a14="http://schemas.microsoft.com/office/drawing/2010/main"/>
                      </a:ext>
                    </a:extLst>
                  </pic:spPr>
                </pic:pic>
              </a:graphicData>
            </a:graphic>
          </wp:inline>
        </w:drawing>
      </w:r>
    </w:p>
    <w:p w14:paraId="5B6D8F62" w14:textId="379CC3EF" w:rsidR="002E7955" w:rsidRDefault="002E7955" w:rsidP="00D9549D">
      <w:pPr>
        <w:rPr>
          <w:i/>
          <w:iCs/>
        </w:rPr>
      </w:pPr>
    </w:p>
    <w:p w14:paraId="4431F817" w14:textId="77777777" w:rsidR="001C704B" w:rsidRDefault="001C704B" w:rsidP="00D9549D">
      <w:pPr>
        <w:rPr>
          <w:b/>
          <w:bCs/>
        </w:rPr>
      </w:pPr>
    </w:p>
    <w:p w14:paraId="128B8225" w14:textId="77777777" w:rsidR="001C704B" w:rsidRDefault="001C704B" w:rsidP="00D9549D">
      <w:pPr>
        <w:rPr>
          <w:b/>
          <w:bCs/>
        </w:rPr>
      </w:pPr>
    </w:p>
    <w:p w14:paraId="04BCF9BD" w14:textId="25316FD5" w:rsidR="001F3096" w:rsidRDefault="001F3096" w:rsidP="00D9549D">
      <w:pPr>
        <w:rPr>
          <w:b/>
          <w:bCs/>
        </w:rPr>
      </w:pPr>
      <w:r>
        <w:rPr>
          <w:b/>
          <w:bCs/>
        </w:rPr>
        <w:t xml:space="preserve">Figure </w:t>
      </w:r>
      <w:r w:rsidR="007E4098">
        <w:rPr>
          <w:b/>
          <w:bCs/>
        </w:rPr>
        <w:t>10</w:t>
      </w:r>
    </w:p>
    <w:p w14:paraId="47228BB0" w14:textId="14461667" w:rsidR="001F3096" w:rsidRDefault="001F3096" w:rsidP="00D9549D">
      <w:pPr>
        <w:rPr>
          <w:i/>
          <w:iCs/>
        </w:rPr>
      </w:pPr>
      <w:r>
        <w:rPr>
          <w:i/>
          <w:iCs/>
        </w:rPr>
        <w:t xml:space="preserve">Average estimated network of patients, without controlling for SFS </w:t>
      </w:r>
    </w:p>
    <w:p w14:paraId="3EF04397" w14:textId="7501A8A5" w:rsidR="00AB5565" w:rsidRDefault="000D2DEF" w:rsidP="00D9549D">
      <w:r w:rsidRPr="000D2DEF">
        <w:rPr>
          <w:noProof/>
        </w:rPr>
        <w:drawing>
          <wp:inline distT="0" distB="0" distL="0" distR="0" wp14:anchorId="5BAFAAC4" wp14:editId="7ED7C479">
            <wp:extent cx="5051638" cy="355282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57387" cy="3556868"/>
                    </a:xfrm>
                    <a:prstGeom prst="rect">
                      <a:avLst/>
                    </a:prstGeom>
                  </pic:spPr>
                </pic:pic>
              </a:graphicData>
            </a:graphic>
          </wp:inline>
        </w:drawing>
      </w:r>
    </w:p>
    <w:p w14:paraId="04288C81" w14:textId="133259BA" w:rsidR="00AB5565" w:rsidRPr="00AB5565" w:rsidRDefault="00AB5565" w:rsidP="00AB5565"/>
    <w:p w14:paraId="5DDC9240" w14:textId="77777777" w:rsidR="00AB5565" w:rsidRPr="00AB5565" w:rsidRDefault="00AB5565" w:rsidP="00AB5565"/>
    <w:p w14:paraId="419974A3" w14:textId="77777777" w:rsidR="00AB5565" w:rsidRPr="00AB5565" w:rsidRDefault="00AB5565" w:rsidP="00AB5565"/>
    <w:p w14:paraId="31DC080B" w14:textId="77777777" w:rsidR="0013352F" w:rsidRDefault="0013352F" w:rsidP="00D9549D">
      <w:pPr>
        <w:rPr>
          <w:b/>
          <w:bCs/>
        </w:rPr>
      </w:pPr>
    </w:p>
    <w:p w14:paraId="21D65DE1" w14:textId="77777777" w:rsidR="0013352F" w:rsidRDefault="0013352F" w:rsidP="00D9549D">
      <w:pPr>
        <w:rPr>
          <w:b/>
          <w:bCs/>
        </w:rPr>
      </w:pPr>
    </w:p>
    <w:p w14:paraId="29D4FCD1" w14:textId="612D4C56" w:rsidR="00AB5565" w:rsidRDefault="00AB5565" w:rsidP="00D9549D">
      <w:pPr>
        <w:rPr>
          <w:b/>
          <w:bCs/>
        </w:rPr>
      </w:pPr>
      <w:r>
        <w:rPr>
          <w:b/>
          <w:bCs/>
        </w:rPr>
        <w:lastRenderedPageBreak/>
        <w:t xml:space="preserve">Figure </w:t>
      </w:r>
      <w:r w:rsidR="007E4098">
        <w:rPr>
          <w:b/>
          <w:bCs/>
        </w:rPr>
        <w:t>11</w:t>
      </w:r>
      <w:r>
        <w:rPr>
          <w:b/>
          <w:bCs/>
        </w:rPr>
        <w:t xml:space="preserve"> </w:t>
      </w:r>
    </w:p>
    <w:p w14:paraId="1B0E7894" w14:textId="77777777" w:rsidR="00AB5565" w:rsidRDefault="00AB5565" w:rsidP="00D9549D">
      <w:pPr>
        <w:rPr>
          <w:i/>
          <w:iCs/>
        </w:rPr>
      </w:pPr>
      <w:r>
        <w:rPr>
          <w:i/>
          <w:iCs/>
        </w:rPr>
        <w:t>Average network of siblings, without controlling for SFS</w:t>
      </w:r>
    </w:p>
    <w:p w14:paraId="1749E6ED" w14:textId="0AF557D9" w:rsidR="001C704B" w:rsidRPr="007E4098" w:rsidRDefault="000D2DEF" w:rsidP="00D9549D">
      <w:r w:rsidRPr="000D2DEF">
        <w:rPr>
          <w:noProof/>
        </w:rPr>
        <w:drawing>
          <wp:inline distT="0" distB="0" distL="0" distR="0" wp14:anchorId="0137D63C" wp14:editId="0284081E">
            <wp:extent cx="5053013" cy="3571147"/>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67172" cy="3581154"/>
                    </a:xfrm>
                    <a:prstGeom prst="rect">
                      <a:avLst/>
                    </a:prstGeom>
                  </pic:spPr>
                </pic:pic>
              </a:graphicData>
            </a:graphic>
          </wp:inline>
        </w:drawing>
      </w:r>
      <w:r w:rsidR="00AB5565">
        <w:br w:type="textWrapping" w:clear="all"/>
      </w:r>
    </w:p>
    <w:p w14:paraId="78DF7926" w14:textId="77777777" w:rsidR="0013352F" w:rsidRDefault="0013352F" w:rsidP="00D9549D">
      <w:pPr>
        <w:rPr>
          <w:b/>
          <w:bCs/>
        </w:rPr>
      </w:pPr>
    </w:p>
    <w:p w14:paraId="60EC769C" w14:textId="77777777" w:rsidR="0013352F" w:rsidRDefault="0013352F" w:rsidP="00D9549D">
      <w:pPr>
        <w:rPr>
          <w:b/>
          <w:bCs/>
        </w:rPr>
      </w:pPr>
    </w:p>
    <w:p w14:paraId="511391B8" w14:textId="30379F71" w:rsidR="00A3621B" w:rsidRDefault="00A3621B" w:rsidP="00D9549D">
      <w:pPr>
        <w:rPr>
          <w:b/>
          <w:bCs/>
        </w:rPr>
      </w:pPr>
      <w:r>
        <w:rPr>
          <w:b/>
          <w:bCs/>
        </w:rPr>
        <w:t xml:space="preserve">Figure </w:t>
      </w:r>
      <w:r w:rsidR="007E4098">
        <w:rPr>
          <w:b/>
          <w:bCs/>
        </w:rPr>
        <w:t>12</w:t>
      </w:r>
    </w:p>
    <w:p w14:paraId="47AC2021" w14:textId="1B2D48A6" w:rsidR="00A3621B" w:rsidRDefault="00A3621B" w:rsidP="00D9549D">
      <w:pPr>
        <w:rPr>
          <w:i/>
          <w:iCs/>
        </w:rPr>
      </w:pPr>
      <w:r>
        <w:rPr>
          <w:i/>
          <w:iCs/>
        </w:rPr>
        <w:t xml:space="preserve">Centrality of nodes in networks of patients and siblings, without controlling for SFS </w:t>
      </w:r>
    </w:p>
    <w:p w14:paraId="3348D628" w14:textId="01272A83" w:rsidR="00A3621B" w:rsidRDefault="00A3621B" w:rsidP="00D9549D">
      <w:pPr>
        <w:rPr>
          <w:i/>
          <w:iCs/>
        </w:rPr>
      </w:pPr>
      <w:r w:rsidRPr="00A3621B">
        <w:rPr>
          <w:i/>
          <w:iCs/>
          <w:noProof/>
        </w:rPr>
        <w:drawing>
          <wp:inline distT="0" distB="0" distL="0" distR="0" wp14:anchorId="36E00C8D" wp14:editId="161D67E3">
            <wp:extent cx="4755197" cy="3312201"/>
            <wp:effectExtent l="0" t="0" r="7620" b="2540"/>
            <wp:docPr id="51" name="Picture 5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box and whisker chart&#10;&#10;Description automatically generated"/>
                    <pic:cNvPicPr/>
                  </pic:nvPicPr>
                  <pic:blipFill>
                    <a:blip r:embed="rId26"/>
                    <a:stretch>
                      <a:fillRect/>
                    </a:stretch>
                  </pic:blipFill>
                  <pic:spPr>
                    <a:xfrm>
                      <a:off x="0" y="0"/>
                      <a:ext cx="4759947" cy="3315510"/>
                    </a:xfrm>
                    <a:prstGeom prst="rect">
                      <a:avLst/>
                    </a:prstGeom>
                  </pic:spPr>
                </pic:pic>
              </a:graphicData>
            </a:graphic>
          </wp:inline>
        </w:drawing>
      </w:r>
    </w:p>
    <w:p w14:paraId="56969C29" w14:textId="6AF1B00D" w:rsidR="00A3621B" w:rsidRPr="00A3621B" w:rsidRDefault="00A3621B" w:rsidP="00A3621B"/>
    <w:p w14:paraId="54FBE240" w14:textId="5E239115" w:rsidR="00A3621B" w:rsidRDefault="00A3621B" w:rsidP="00A3621B">
      <w:pPr>
        <w:rPr>
          <w:i/>
          <w:iCs/>
        </w:rPr>
      </w:pPr>
    </w:p>
    <w:p w14:paraId="5C15F7E1" w14:textId="77777777" w:rsidR="00C5297F" w:rsidRDefault="00C5297F">
      <w:pPr>
        <w:rPr>
          <w:b/>
          <w:bCs/>
        </w:rPr>
      </w:pPr>
      <w:r>
        <w:rPr>
          <w:b/>
          <w:bCs/>
        </w:rPr>
        <w:br w:type="page"/>
      </w:r>
    </w:p>
    <w:p w14:paraId="1581B8AF" w14:textId="35776AEE" w:rsidR="00A3621B" w:rsidRDefault="00A3621B" w:rsidP="00A3621B">
      <w:pPr>
        <w:tabs>
          <w:tab w:val="left" w:pos="1508"/>
        </w:tabs>
        <w:rPr>
          <w:b/>
          <w:bCs/>
        </w:rPr>
      </w:pPr>
      <w:r>
        <w:rPr>
          <w:b/>
          <w:bCs/>
        </w:rPr>
        <w:lastRenderedPageBreak/>
        <w:t xml:space="preserve">Figure </w:t>
      </w:r>
      <w:r w:rsidR="007E4098">
        <w:rPr>
          <w:b/>
          <w:bCs/>
        </w:rPr>
        <w:t>13</w:t>
      </w:r>
      <w:r>
        <w:rPr>
          <w:b/>
          <w:bCs/>
        </w:rPr>
        <w:t xml:space="preserve"> </w:t>
      </w:r>
    </w:p>
    <w:p w14:paraId="399A33CB" w14:textId="429A5B78" w:rsidR="00A3621B" w:rsidRDefault="00A3621B" w:rsidP="00A3621B">
      <w:pPr>
        <w:rPr>
          <w:i/>
          <w:iCs/>
          <w:lang w:val="nl"/>
        </w:rPr>
      </w:pPr>
      <w:r>
        <w:rPr>
          <w:i/>
          <w:iCs/>
          <w:lang w:val="nl"/>
        </w:rPr>
        <w:t xml:space="preserve">HDI of estimated edge weights </w:t>
      </w:r>
      <w:r w:rsidR="002D0DD4">
        <w:rPr>
          <w:i/>
          <w:iCs/>
          <w:lang w:val="nl"/>
        </w:rPr>
        <w:t>in networks of patients and siblings, without controlling for SFS</w:t>
      </w:r>
    </w:p>
    <w:p w14:paraId="47E4E87A" w14:textId="719D812D" w:rsidR="002D0DD4" w:rsidRDefault="00C5297F" w:rsidP="00A3621B">
      <w:pPr>
        <w:rPr>
          <w:lang w:val="nl"/>
        </w:rPr>
      </w:pPr>
      <w:r w:rsidRPr="00C5297F">
        <w:rPr>
          <w:noProof/>
          <w:lang w:val="nl"/>
        </w:rPr>
        <w:drawing>
          <wp:inline distT="0" distB="0" distL="0" distR="0" wp14:anchorId="42719987" wp14:editId="31396118">
            <wp:extent cx="5634038" cy="6360318"/>
            <wp:effectExtent l="0" t="0" r="5080" b="2540"/>
            <wp:docPr id="8" name="Picture 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with medium confidence"/>
                    <pic:cNvPicPr/>
                  </pic:nvPicPr>
                  <pic:blipFill rotWithShape="1">
                    <a:blip r:embed="rId27"/>
                    <a:srcRect t="6341"/>
                    <a:stretch/>
                  </pic:blipFill>
                  <pic:spPr bwMode="auto">
                    <a:xfrm>
                      <a:off x="0" y="0"/>
                      <a:ext cx="5639662" cy="6366667"/>
                    </a:xfrm>
                    <a:prstGeom prst="rect">
                      <a:avLst/>
                    </a:prstGeom>
                    <a:ln>
                      <a:noFill/>
                    </a:ln>
                    <a:extLst>
                      <a:ext uri="{53640926-AAD7-44D8-BBD7-CCE9431645EC}">
                        <a14:shadowObscured xmlns:a14="http://schemas.microsoft.com/office/drawing/2010/main"/>
                      </a:ext>
                    </a:extLst>
                  </pic:spPr>
                </pic:pic>
              </a:graphicData>
            </a:graphic>
          </wp:inline>
        </w:drawing>
      </w:r>
    </w:p>
    <w:p w14:paraId="5EBD9B4E" w14:textId="2AFBF068" w:rsidR="00167F2F" w:rsidRDefault="00167F2F" w:rsidP="00A3621B">
      <w:pPr>
        <w:rPr>
          <w:lang w:val="nl"/>
        </w:rPr>
      </w:pPr>
    </w:p>
    <w:p w14:paraId="2D245573" w14:textId="77777777" w:rsidR="00167F2F" w:rsidRDefault="00167F2F" w:rsidP="00A3621B">
      <w:pPr>
        <w:rPr>
          <w:b/>
          <w:bCs/>
          <w:lang w:val="nl"/>
        </w:rPr>
      </w:pPr>
    </w:p>
    <w:p w14:paraId="4258B6A1" w14:textId="77777777" w:rsidR="00C5297F" w:rsidRDefault="00C5297F">
      <w:pPr>
        <w:rPr>
          <w:b/>
          <w:bCs/>
          <w:lang w:val="nl"/>
        </w:rPr>
      </w:pPr>
      <w:r>
        <w:rPr>
          <w:b/>
          <w:bCs/>
          <w:lang w:val="nl"/>
        </w:rPr>
        <w:br w:type="page"/>
      </w:r>
    </w:p>
    <w:p w14:paraId="1E427CEE" w14:textId="0892810A" w:rsidR="00167F2F" w:rsidRDefault="00167F2F" w:rsidP="00A3621B">
      <w:pPr>
        <w:rPr>
          <w:b/>
          <w:bCs/>
          <w:lang w:val="nl"/>
        </w:rPr>
      </w:pPr>
      <w:r>
        <w:rPr>
          <w:b/>
          <w:bCs/>
          <w:lang w:val="nl"/>
        </w:rPr>
        <w:lastRenderedPageBreak/>
        <w:t xml:space="preserve">Figure </w:t>
      </w:r>
      <w:r w:rsidR="007E4098">
        <w:rPr>
          <w:b/>
          <w:bCs/>
          <w:lang w:val="nl"/>
        </w:rPr>
        <w:t>14</w:t>
      </w:r>
      <w:r>
        <w:rPr>
          <w:b/>
          <w:bCs/>
          <w:lang w:val="nl"/>
        </w:rPr>
        <w:t xml:space="preserve"> </w:t>
      </w:r>
    </w:p>
    <w:p w14:paraId="793182F4" w14:textId="66601030" w:rsidR="00167F2F" w:rsidRDefault="00167F2F" w:rsidP="00A3621B">
      <w:pPr>
        <w:rPr>
          <w:i/>
          <w:iCs/>
          <w:lang w:val="nl"/>
        </w:rPr>
      </w:pPr>
      <w:r>
        <w:rPr>
          <w:i/>
          <w:iCs/>
          <w:lang w:val="nl"/>
        </w:rPr>
        <w:t>HDI of edge inclusion probabilities in networks of patients and siblings, without controlling for SFS</w:t>
      </w:r>
    </w:p>
    <w:p w14:paraId="0E59E77E" w14:textId="2E0D178A" w:rsidR="00167F2F" w:rsidRPr="00167F2F" w:rsidRDefault="00840E56" w:rsidP="00A3621B">
      <w:pPr>
        <w:rPr>
          <w:lang w:val="nl"/>
        </w:rPr>
      </w:pPr>
      <w:r w:rsidRPr="00840E56">
        <w:rPr>
          <w:noProof/>
          <w:lang w:val="nl"/>
        </w:rPr>
        <w:drawing>
          <wp:inline distT="0" distB="0" distL="0" distR="0" wp14:anchorId="474CD4CF" wp14:editId="2FD1E338">
            <wp:extent cx="5857594" cy="6668452"/>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rotWithShape="1">
                    <a:blip r:embed="rId28"/>
                    <a:srcRect t="6353"/>
                    <a:stretch/>
                  </pic:blipFill>
                  <pic:spPr bwMode="auto">
                    <a:xfrm>
                      <a:off x="0" y="0"/>
                      <a:ext cx="5862499" cy="6674036"/>
                    </a:xfrm>
                    <a:prstGeom prst="rect">
                      <a:avLst/>
                    </a:prstGeom>
                    <a:ln>
                      <a:noFill/>
                    </a:ln>
                    <a:extLst>
                      <a:ext uri="{53640926-AAD7-44D8-BBD7-CCE9431645EC}">
                        <a14:shadowObscured xmlns:a14="http://schemas.microsoft.com/office/drawing/2010/main"/>
                      </a:ext>
                    </a:extLst>
                  </pic:spPr>
                </pic:pic>
              </a:graphicData>
            </a:graphic>
          </wp:inline>
        </w:drawing>
      </w:r>
    </w:p>
    <w:p w14:paraId="4F42D12B" w14:textId="5A2C1B85" w:rsidR="009C6186" w:rsidRPr="00F146CA" w:rsidRDefault="00A824ED" w:rsidP="00F146CA">
      <w:pPr>
        <w:rPr>
          <w:i/>
          <w:iCs/>
        </w:rPr>
      </w:pPr>
      <w:r>
        <w:rPr>
          <w:i/>
          <w:iCs/>
        </w:rPr>
        <w:br w:type="page"/>
      </w:r>
      <w:r w:rsidR="009C6186">
        <w:rPr>
          <w:b/>
          <w:bCs/>
        </w:rPr>
        <w:lastRenderedPageBreak/>
        <w:t xml:space="preserve">References </w:t>
      </w:r>
    </w:p>
    <w:p w14:paraId="44200433" w14:textId="77777777" w:rsidR="009C6186" w:rsidRPr="009C6186" w:rsidRDefault="009C6186" w:rsidP="009C6186">
      <w:pPr>
        <w:widowControl w:val="0"/>
        <w:autoSpaceDE w:val="0"/>
        <w:autoSpaceDN w:val="0"/>
        <w:adjustRightInd w:val="0"/>
        <w:ind w:left="480" w:hanging="480"/>
        <w:rPr>
          <w:b/>
          <w:bCs/>
        </w:rPr>
      </w:pPr>
    </w:p>
    <w:p w14:paraId="4450F334" w14:textId="27876906" w:rsidR="009C6186" w:rsidRDefault="009C6186" w:rsidP="009C6186">
      <w:pPr>
        <w:widowControl w:val="0"/>
        <w:autoSpaceDE w:val="0"/>
        <w:autoSpaceDN w:val="0"/>
        <w:adjustRightInd w:val="0"/>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Pr="009C6186">
        <w:rPr>
          <w:rFonts w:ascii="Calibri" w:hAnsi="Calibri" w:cs="Calibri"/>
          <w:noProof/>
          <w:szCs w:val="24"/>
        </w:rPr>
        <w:t xml:space="preserve">Albonico, A., Malaspina, M., &amp; Daini, R. (2017). Italian normative data and validation of two neuropsychological tests of face recognition: Benton Facial Recognition Test and Cambridge Face Memory Test. </w:t>
      </w:r>
      <w:r w:rsidRPr="009C6186">
        <w:rPr>
          <w:rFonts w:ascii="Calibri" w:hAnsi="Calibri" w:cs="Calibri"/>
          <w:i/>
          <w:iCs/>
          <w:noProof/>
          <w:szCs w:val="24"/>
        </w:rPr>
        <w:t>Neurological Sciences</w:t>
      </w:r>
      <w:r w:rsidRPr="009C6186">
        <w:rPr>
          <w:rFonts w:ascii="Calibri" w:hAnsi="Calibri" w:cs="Calibri"/>
          <w:noProof/>
          <w:szCs w:val="24"/>
        </w:rPr>
        <w:t xml:space="preserve">, </w:t>
      </w:r>
      <w:r w:rsidRPr="009C6186">
        <w:rPr>
          <w:rFonts w:ascii="Calibri" w:hAnsi="Calibri" w:cs="Calibri"/>
          <w:i/>
          <w:iCs/>
          <w:noProof/>
          <w:szCs w:val="24"/>
        </w:rPr>
        <w:t>38</w:t>
      </w:r>
      <w:r w:rsidRPr="009C6186">
        <w:rPr>
          <w:rFonts w:ascii="Calibri" w:hAnsi="Calibri" w:cs="Calibri"/>
          <w:noProof/>
          <w:szCs w:val="24"/>
        </w:rPr>
        <w:t>(9), 1637–1643. https://doi.org/10.1007/S10072-017-3030-6/TABLES/5</w:t>
      </w:r>
    </w:p>
    <w:p w14:paraId="10D4D942" w14:textId="2C005F99" w:rsidR="0023483E" w:rsidRPr="009C6186" w:rsidRDefault="0023483E" w:rsidP="009C6186">
      <w:pPr>
        <w:widowControl w:val="0"/>
        <w:autoSpaceDE w:val="0"/>
        <w:autoSpaceDN w:val="0"/>
        <w:adjustRightInd w:val="0"/>
        <w:ind w:left="480" w:hanging="480"/>
        <w:rPr>
          <w:rFonts w:ascii="Calibri" w:hAnsi="Calibri" w:cs="Calibri"/>
          <w:noProof/>
          <w:szCs w:val="24"/>
        </w:rPr>
      </w:pPr>
      <w:r w:rsidRPr="0023483E">
        <w:rPr>
          <w:rFonts w:ascii="Calibri" w:hAnsi="Calibri" w:cs="Calibri"/>
          <w:noProof/>
          <w:szCs w:val="24"/>
        </w:rPr>
        <w:t xml:space="preserve">Benton, A. L., Van Allen, M. W., Hamsher, K. D., &amp; Levin, H. S. (1973). Test of facial recognition. Manual. </w:t>
      </w:r>
      <w:r w:rsidRPr="0023483E">
        <w:rPr>
          <w:rFonts w:ascii="Calibri" w:hAnsi="Calibri" w:cs="Calibri"/>
          <w:i/>
          <w:iCs/>
          <w:noProof/>
          <w:szCs w:val="24"/>
        </w:rPr>
        <w:t>Neurosurgery Center Publication</w:t>
      </w:r>
      <w:r w:rsidRPr="0023483E">
        <w:rPr>
          <w:rFonts w:ascii="Calibri" w:hAnsi="Calibri" w:cs="Calibri"/>
          <w:noProof/>
          <w:szCs w:val="24"/>
        </w:rPr>
        <w:t>, (287).</w:t>
      </w:r>
    </w:p>
    <w:p w14:paraId="708EF6E4"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Brand, N., &amp; Jolles, J. (1985). Learning and Retrieval Rate of Words Presented Auditorily and Visually. </w:t>
      </w:r>
      <w:r w:rsidRPr="009C6186">
        <w:rPr>
          <w:rFonts w:ascii="Calibri" w:hAnsi="Calibri" w:cs="Calibri"/>
          <w:i/>
          <w:iCs/>
          <w:noProof/>
          <w:szCs w:val="24"/>
        </w:rPr>
        <w:t>The Journal of General Psychology</w:t>
      </w:r>
      <w:r w:rsidRPr="009C6186">
        <w:rPr>
          <w:rFonts w:ascii="Calibri" w:hAnsi="Calibri" w:cs="Calibri"/>
          <w:noProof/>
          <w:szCs w:val="24"/>
        </w:rPr>
        <w:t xml:space="preserve">, </w:t>
      </w:r>
      <w:r w:rsidRPr="009C6186">
        <w:rPr>
          <w:rFonts w:ascii="Calibri" w:hAnsi="Calibri" w:cs="Calibri"/>
          <w:i/>
          <w:iCs/>
          <w:noProof/>
          <w:szCs w:val="24"/>
        </w:rPr>
        <w:t>112</w:t>
      </w:r>
      <w:r w:rsidRPr="009C6186">
        <w:rPr>
          <w:rFonts w:ascii="Calibri" w:hAnsi="Calibri" w:cs="Calibri"/>
          <w:noProof/>
          <w:szCs w:val="24"/>
        </w:rPr>
        <w:t>(2), 201–210. https://doi.org/10.1080/00221309.1985.9711004</w:t>
      </w:r>
    </w:p>
    <w:p w14:paraId="37A28356"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de Ron, J., Robinaugh, D. J., Fried, E. I., Pedrelli, P., Jain, F. A., Mischoulon, D., &amp; Epskamp, S. (2022). Quantifying and addressing the impact of measurement error in network models. </w:t>
      </w:r>
      <w:r w:rsidRPr="009C6186">
        <w:rPr>
          <w:rFonts w:ascii="Calibri" w:hAnsi="Calibri" w:cs="Calibri"/>
          <w:i/>
          <w:iCs/>
          <w:noProof/>
          <w:szCs w:val="24"/>
        </w:rPr>
        <w:t>Behaviour Research and Therapy</w:t>
      </w:r>
      <w:r w:rsidRPr="009C6186">
        <w:rPr>
          <w:rFonts w:ascii="Calibri" w:hAnsi="Calibri" w:cs="Calibri"/>
          <w:noProof/>
          <w:szCs w:val="24"/>
        </w:rPr>
        <w:t xml:space="preserve">, </w:t>
      </w:r>
      <w:r w:rsidRPr="009C6186">
        <w:rPr>
          <w:rFonts w:ascii="Calibri" w:hAnsi="Calibri" w:cs="Calibri"/>
          <w:i/>
          <w:iCs/>
          <w:noProof/>
          <w:szCs w:val="24"/>
        </w:rPr>
        <w:t>157</w:t>
      </w:r>
      <w:r w:rsidRPr="009C6186">
        <w:rPr>
          <w:rFonts w:ascii="Calibri" w:hAnsi="Calibri" w:cs="Calibri"/>
          <w:noProof/>
          <w:szCs w:val="24"/>
        </w:rPr>
        <w:t>, 104163. https://doi.org/10.1016/J.BRAT.2022.104163</w:t>
      </w:r>
    </w:p>
    <w:p w14:paraId="7095537B"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Geffen, G. M., Butterworth, P., &amp; Geffen, L. B. (1994). Test-retest reliability of a new form of the auditory verbal learning test (AVLT). </w:t>
      </w:r>
      <w:r w:rsidRPr="009C6186">
        <w:rPr>
          <w:rFonts w:ascii="Calibri" w:hAnsi="Calibri" w:cs="Calibri"/>
          <w:i/>
          <w:iCs/>
          <w:noProof/>
          <w:szCs w:val="24"/>
        </w:rPr>
        <w:t>Archives of Clinical Neuropsychology</w:t>
      </w:r>
      <w:r w:rsidRPr="009C6186">
        <w:rPr>
          <w:rFonts w:ascii="Calibri" w:hAnsi="Calibri" w:cs="Calibri"/>
          <w:noProof/>
          <w:szCs w:val="24"/>
        </w:rPr>
        <w:t xml:space="preserve">, </w:t>
      </w:r>
      <w:r w:rsidRPr="009C6186">
        <w:rPr>
          <w:rFonts w:ascii="Calibri" w:hAnsi="Calibri" w:cs="Calibri"/>
          <w:i/>
          <w:iCs/>
          <w:noProof/>
          <w:szCs w:val="24"/>
        </w:rPr>
        <w:t>9</w:t>
      </w:r>
      <w:r w:rsidRPr="009C6186">
        <w:rPr>
          <w:rFonts w:ascii="Calibri" w:hAnsi="Calibri" w:cs="Calibri"/>
          <w:noProof/>
          <w:szCs w:val="24"/>
        </w:rPr>
        <w:t>(4), 303–316. https://doi.org/10.1016/0887-6177(94)90018-3</w:t>
      </w:r>
    </w:p>
    <w:p w14:paraId="2BB07C56"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Halperin, J. M., Sharma, V., Greenblatt, E., &amp; Schwartz, S. T. (1991). Assessment of the Continuous Performance Test: Reliability and Validity in a Nonreferred Sample. </w:t>
      </w:r>
      <w:r w:rsidRPr="009C6186">
        <w:rPr>
          <w:rFonts w:ascii="Calibri" w:hAnsi="Calibri" w:cs="Calibri"/>
          <w:i/>
          <w:iCs/>
          <w:noProof/>
          <w:szCs w:val="24"/>
        </w:rPr>
        <w:t>Psychological Assessment</w:t>
      </w:r>
      <w:r w:rsidRPr="009C6186">
        <w:rPr>
          <w:rFonts w:ascii="Calibri" w:hAnsi="Calibri" w:cs="Calibri"/>
          <w:noProof/>
          <w:szCs w:val="24"/>
        </w:rPr>
        <w:t xml:space="preserve">, </w:t>
      </w:r>
      <w:r w:rsidRPr="009C6186">
        <w:rPr>
          <w:rFonts w:ascii="Calibri" w:hAnsi="Calibri" w:cs="Calibri"/>
          <w:i/>
          <w:iCs/>
          <w:noProof/>
          <w:szCs w:val="24"/>
        </w:rPr>
        <w:t>3</w:t>
      </w:r>
      <w:r w:rsidRPr="009C6186">
        <w:rPr>
          <w:rFonts w:ascii="Calibri" w:hAnsi="Calibri" w:cs="Calibri"/>
          <w:noProof/>
          <w:szCs w:val="24"/>
        </w:rPr>
        <w:t>(4), 603–608. https://doi.org/10.1037/1040-3590.3.4.603</w:t>
      </w:r>
    </w:p>
    <w:p w14:paraId="2C9EC363"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Iverson, G. L. (2001). Interpreting change on the WAIS-III/WMS-III in clinical samples. </w:t>
      </w:r>
      <w:r w:rsidRPr="009C6186">
        <w:rPr>
          <w:rFonts w:ascii="Calibri" w:hAnsi="Calibri" w:cs="Calibri"/>
          <w:i/>
          <w:iCs/>
          <w:noProof/>
          <w:szCs w:val="24"/>
        </w:rPr>
        <w:t>Archives of Clinical Neuropsychology</w:t>
      </w:r>
      <w:r w:rsidRPr="009C6186">
        <w:rPr>
          <w:rFonts w:ascii="Calibri" w:hAnsi="Calibri" w:cs="Calibri"/>
          <w:noProof/>
          <w:szCs w:val="24"/>
        </w:rPr>
        <w:t xml:space="preserve">, </w:t>
      </w:r>
      <w:r w:rsidRPr="009C6186">
        <w:rPr>
          <w:rFonts w:ascii="Calibri" w:hAnsi="Calibri" w:cs="Calibri"/>
          <w:i/>
          <w:iCs/>
          <w:noProof/>
          <w:szCs w:val="24"/>
        </w:rPr>
        <w:t>16</w:t>
      </w:r>
      <w:r w:rsidRPr="009C6186">
        <w:rPr>
          <w:rFonts w:ascii="Calibri" w:hAnsi="Calibri" w:cs="Calibri"/>
          <w:noProof/>
          <w:szCs w:val="24"/>
        </w:rPr>
        <w:t>(2), 183–191. https://doi.org/10.1016/S0887-6177(00)00060-3</w:t>
      </w:r>
    </w:p>
    <w:p w14:paraId="61BA8621"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Marsman, M., Maris, G., Bechger, T., &amp; Glas, C. (2016). What can we learn from Plausible Values? </w:t>
      </w:r>
      <w:r w:rsidRPr="009C6186">
        <w:rPr>
          <w:rFonts w:ascii="Calibri" w:hAnsi="Calibri" w:cs="Calibri"/>
          <w:i/>
          <w:iCs/>
          <w:noProof/>
          <w:szCs w:val="24"/>
        </w:rPr>
        <w:t>Psychometrika</w:t>
      </w:r>
      <w:r w:rsidRPr="009C6186">
        <w:rPr>
          <w:rFonts w:ascii="Calibri" w:hAnsi="Calibri" w:cs="Calibri"/>
          <w:noProof/>
          <w:szCs w:val="24"/>
        </w:rPr>
        <w:t xml:space="preserve">, </w:t>
      </w:r>
      <w:r w:rsidRPr="009C6186">
        <w:rPr>
          <w:rFonts w:ascii="Calibri" w:hAnsi="Calibri" w:cs="Calibri"/>
          <w:i/>
          <w:iCs/>
          <w:noProof/>
          <w:szCs w:val="24"/>
        </w:rPr>
        <w:t>81</w:t>
      </w:r>
      <w:r w:rsidRPr="009C6186">
        <w:rPr>
          <w:rFonts w:ascii="Calibri" w:hAnsi="Calibri" w:cs="Calibri"/>
          <w:noProof/>
          <w:szCs w:val="24"/>
        </w:rPr>
        <w:t>(2), 274–289. https://doi.org/10.1007/S11336-016-9497-X/TABLES/3</w:t>
      </w:r>
    </w:p>
    <w:p w14:paraId="4BB87FAC"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Marsman, M., Maris, G., Bechger, T., &amp; Glas, C. (2017). Turning Simulation into Estimation: Generalized Exchange Algorithms for Exponential Family Models. </w:t>
      </w:r>
      <w:r w:rsidRPr="009C6186">
        <w:rPr>
          <w:rFonts w:ascii="Calibri" w:hAnsi="Calibri" w:cs="Calibri"/>
          <w:i/>
          <w:iCs/>
          <w:noProof/>
          <w:szCs w:val="24"/>
        </w:rPr>
        <w:t>PLOS ONE</w:t>
      </w:r>
      <w:r w:rsidRPr="009C6186">
        <w:rPr>
          <w:rFonts w:ascii="Calibri" w:hAnsi="Calibri" w:cs="Calibri"/>
          <w:noProof/>
          <w:szCs w:val="24"/>
        </w:rPr>
        <w:t xml:space="preserve">, </w:t>
      </w:r>
      <w:r w:rsidRPr="009C6186">
        <w:rPr>
          <w:rFonts w:ascii="Calibri" w:hAnsi="Calibri" w:cs="Calibri"/>
          <w:i/>
          <w:iCs/>
          <w:noProof/>
          <w:szCs w:val="24"/>
        </w:rPr>
        <w:t>12</w:t>
      </w:r>
      <w:r w:rsidRPr="009C6186">
        <w:rPr>
          <w:rFonts w:ascii="Calibri" w:hAnsi="Calibri" w:cs="Calibri"/>
          <w:noProof/>
          <w:szCs w:val="24"/>
        </w:rPr>
        <w:t>(1), e0169787. https://doi.org/10.1371/JOURNAL.PONE.0169787</w:t>
      </w:r>
    </w:p>
    <w:p w14:paraId="0006C19B"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Mislevy, R. J. (1991). Randomization-based inference about latent variables from complex samples. </w:t>
      </w:r>
      <w:r w:rsidRPr="009C6186">
        <w:rPr>
          <w:rFonts w:ascii="Calibri" w:hAnsi="Calibri" w:cs="Calibri"/>
          <w:i/>
          <w:iCs/>
          <w:noProof/>
          <w:szCs w:val="24"/>
        </w:rPr>
        <w:t>Psychometrika 1991 56:2</w:t>
      </w:r>
      <w:r w:rsidRPr="009C6186">
        <w:rPr>
          <w:rFonts w:ascii="Calibri" w:hAnsi="Calibri" w:cs="Calibri"/>
          <w:noProof/>
          <w:szCs w:val="24"/>
        </w:rPr>
        <w:t xml:space="preserve">, </w:t>
      </w:r>
      <w:r w:rsidRPr="009C6186">
        <w:rPr>
          <w:rFonts w:ascii="Calibri" w:hAnsi="Calibri" w:cs="Calibri"/>
          <w:i/>
          <w:iCs/>
          <w:noProof/>
          <w:szCs w:val="24"/>
        </w:rPr>
        <w:t>56</w:t>
      </w:r>
      <w:r w:rsidRPr="009C6186">
        <w:rPr>
          <w:rFonts w:ascii="Calibri" w:hAnsi="Calibri" w:cs="Calibri"/>
          <w:noProof/>
          <w:szCs w:val="24"/>
        </w:rPr>
        <w:t>(2), 177–196. https://doi.org/10.1007/BF02294457</w:t>
      </w:r>
    </w:p>
    <w:p w14:paraId="1E3DFBCD" w14:textId="77777777" w:rsidR="009C6186" w:rsidRP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Muraki, E. (1990). Fitting a Polytomous Item Response Model to Likert-Type Data. </w:t>
      </w:r>
      <w:r w:rsidRPr="009C6186">
        <w:rPr>
          <w:rFonts w:ascii="Calibri" w:hAnsi="Calibri" w:cs="Calibri"/>
          <w:i/>
          <w:iCs/>
          <w:noProof/>
          <w:szCs w:val="24"/>
        </w:rPr>
        <w:t>Applied Psychological Measurement</w:t>
      </w:r>
      <w:r w:rsidRPr="009C6186">
        <w:rPr>
          <w:rFonts w:ascii="Calibri" w:hAnsi="Calibri" w:cs="Calibri"/>
          <w:noProof/>
          <w:szCs w:val="24"/>
        </w:rPr>
        <w:t xml:space="preserve">, </w:t>
      </w:r>
      <w:r w:rsidRPr="009C6186">
        <w:rPr>
          <w:rFonts w:ascii="Calibri" w:hAnsi="Calibri" w:cs="Calibri"/>
          <w:i/>
          <w:iCs/>
          <w:noProof/>
          <w:szCs w:val="24"/>
        </w:rPr>
        <w:t>14</w:t>
      </w:r>
      <w:r w:rsidRPr="009C6186">
        <w:rPr>
          <w:rFonts w:ascii="Calibri" w:hAnsi="Calibri" w:cs="Calibri"/>
          <w:noProof/>
          <w:szCs w:val="24"/>
        </w:rPr>
        <w:t>(1), 59–71. https://doi.org/10.1177/014662169001400106</w:t>
      </w:r>
    </w:p>
    <w:p w14:paraId="4AF1AC8F" w14:textId="7944EC37" w:rsidR="009C6186" w:rsidRDefault="009C6186" w:rsidP="009C6186">
      <w:pPr>
        <w:widowControl w:val="0"/>
        <w:autoSpaceDE w:val="0"/>
        <w:autoSpaceDN w:val="0"/>
        <w:adjustRightInd w:val="0"/>
        <w:ind w:left="480" w:hanging="480"/>
        <w:rPr>
          <w:rFonts w:ascii="Calibri" w:hAnsi="Calibri" w:cs="Calibri"/>
          <w:noProof/>
          <w:szCs w:val="24"/>
        </w:rPr>
      </w:pPr>
      <w:r w:rsidRPr="009C6186">
        <w:rPr>
          <w:rFonts w:ascii="Calibri" w:hAnsi="Calibri" w:cs="Calibri"/>
          <w:noProof/>
          <w:szCs w:val="24"/>
        </w:rPr>
        <w:t xml:space="preserve">Rosvold, H. E., Mirsky, A. F., Sarason, I., Bransome, E. D., &amp; Beck, L. H. (1956). A continuous performance test of brain damage. </w:t>
      </w:r>
      <w:r w:rsidRPr="009C6186">
        <w:rPr>
          <w:rFonts w:ascii="Calibri" w:hAnsi="Calibri" w:cs="Calibri"/>
          <w:i/>
          <w:iCs/>
          <w:noProof/>
          <w:szCs w:val="24"/>
        </w:rPr>
        <w:t>Journal of Consulting Psychology</w:t>
      </w:r>
      <w:r w:rsidRPr="009C6186">
        <w:rPr>
          <w:rFonts w:ascii="Calibri" w:hAnsi="Calibri" w:cs="Calibri"/>
          <w:noProof/>
          <w:szCs w:val="24"/>
        </w:rPr>
        <w:t xml:space="preserve">, </w:t>
      </w:r>
      <w:r w:rsidRPr="009C6186">
        <w:rPr>
          <w:rFonts w:ascii="Calibri" w:hAnsi="Calibri" w:cs="Calibri"/>
          <w:i/>
          <w:iCs/>
          <w:noProof/>
          <w:szCs w:val="24"/>
        </w:rPr>
        <w:t>20</w:t>
      </w:r>
      <w:r w:rsidRPr="009C6186">
        <w:rPr>
          <w:rFonts w:ascii="Calibri" w:hAnsi="Calibri" w:cs="Calibri"/>
          <w:noProof/>
          <w:szCs w:val="24"/>
        </w:rPr>
        <w:t>(5), 343–350. https://doi.org/10.1037/H0043220</w:t>
      </w:r>
    </w:p>
    <w:p w14:paraId="6426EF8B" w14:textId="795ED004" w:rsidR="0023483E" w:rsidRPr="009C6186" w:rsidRDefault="0023483E" w:rsidP="009C6186">
      <w:pPr>
        <w:widowControl w:val="0"/>
        <w:autoSpaceDE w:val="0"/>
        <w:autoSpaceDN w:val="0"/>
        <w:adjustRightInd w:val="0"/>
        <w:ind w:left="480" w:hanging="480"/>
        <w:rPr>
          <w:rFonts w:ascii="Calibri" w:hAnsi="Calibri" w:cs="Calibri"/>
          <w:noProof/>
          <w:szCs w:val="24"/>
        </w:rPr>
      </w:pPr>
      <w:r w:rsidRPr="0023483E">
        <w:rPr>
          <w:rFonts w:ascii="Calibri" w:hAnsi="Calibri" w:cs="Calibri"/>
          <w:noProof/>
          <w:szCs w:val="24"/>
        </w:rPr>
        <w:t>Wechsler D. (1997) WAIS-III: Wechsler Adult Intelligence Scale (3rd edition) Administration and Scoring Manual, San Antonio, TX, Psychological Corporation.</w:t>
      </w:r>
    </w:p>
    <w:p w14:paraId="3475BD32" w14:textId="77777777" w:rsidR="009C6186" w:rsidRPr="009C6186" w:rsidRDefault="009C6186" w:rsidP="009C6186">
      <w:pPr>
        <w:widowControl w:val="0"/>
        <w:autoSpaceDE w:val="0"/>
        <w:autoSpaceDN w:val="0"/>
        <w:adjustRightInd w:val="0"/>
        <w:ind w:left="480" w:hanging="480"/>
        <w:rPr>
          <w:rFonts w:ascii="Calibri" w:hAnsi="Calibri" w:cs="Calibri"/>
          <w:noProof/>
        </w:rPr>
      </w:pPr>
      <w:r w:rsidRPr="009C6186">
        <w:rPr>
          <w:rFonts w:ascii="Calibri" w:hAnsi="Calibri" w:cs="Calibri"/>
          <w:noProof/>
          <w:szCs w:val="24"/>
        </w:rPr>
        <w:t xml:space="preserve">Woods, C. M., &amp; Lin, N. (2009). Item response theory with estimation of the latent density using Davidian curves. </w:t>
      </w:r>
      <w:r w:rsidRPr="009C6186">
        <w:rPr>
          <w:rFonts w:ascii="Calibri" w:hAnsi="Calibri" w:cs="Calibri"/>
          <w:i/>
          <w:iCs/>
          <w:noProof/>
          <w:szCs w:val="24"/>
        </w:rPr>
        <w:t>Applied Psychological Measurement</w:t>
      </w:r>
      <w:r w:rsidRPr="009C6186">
        <w:rPr>
          <w:rFonts w:ascii="Calibri" w:hAnsi="Calibri" w:cs="Calibri"/>
          <w:noProof/>
          <w:szCs w:val="24"/>
        </w:rPr>
        <w:t xml:space="preserve">, </w:t>
      </w:r>
      <w:r w:rsidRPr="009C6186">
        <w:rPr>
          <w:rFonts w:ascii="Calibri" w:hAnsi="Calibri" w:cs="Calibri"/>
          <w:i/>
          <w:iCs/>
          <w:noProof/>
          <w:szCs w:val="24"/>
        </w:rPr>
        <w:t>33</w:t>
      </w:r>
      <w:r w:rsidRPr="009C6186">
        <w:rPr>
          <w:rFonts w:ascii="Calibri" w:hAnsi="Calibri" w:cs="Calibri"/>
          <w:noProof/>
          <w:szCs w:val="24"/>
        </w:rPr>
        <w:t>(2), 102–117. https://doi.org/10.1177/0146621608319512</w:t>
      </w:r>
    </w:p>
    <w:p w14:paraId="7F668F40" w14:textId="6B140F80" w:rsidR="009C6186" w:rsidRPr="009C6186" w:rsidRDefault="009C6186" w:rsidP="009C6186">
      <w:pPr>
        <w:tabs>
          <w:tab w:val="left" w:pos="6330"/>
        </w:tabs>
      </w:pPr>
      <w:r>
        <w:fldChar w:fldCharType="end"/>
      </w:r>
    </w:p>
    <w:p w14:paraId="4601C0EA" w14:textId="77777777" w:rsidR="009C6186" w:rsidRPr="009C6186" w:rsidRDefault="009C6186" w:rsidP="009C6186"/>
    <w:sectPr w:rsidR="009C6186" w:rsidRPr="009C6186">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23203" w14:textId="77777777" w:rsidR="000B6D84" w:rsidRDefault="000B6D84" w:rsidP="00790560">
      <w:r>
        <w:separator/>
      </w:r>
    </w:p>
  </w:endnote>
  <w:endnote w:type="continuationSeparator" w:id="0">
    <w:p w14:paraId="61B73810" w14:textId="77777777" w:rsidR="000B6D84" w:rsidRDefault="000B6D84" w:rsidP="0079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047456"/>
      <w:docPartObj>
        <w:docPartGallery w:val="Page Numbers (Bottom of Page)"/>
        <w:docPartUnique/>
      </w:docPartObj>
    </w:sdtPr>
    <w:sdtEndPr>
      <w:rPr>
        <w:noProof/>
      </w:rPr>
    </w:sdtEndPr>
    <w:sdtContent>
      <w:p w14:paraId="03E2D2C7" w14:textId="786796A7" w:rsidR="00A67676" w:rsidRDefault="00A67676">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14:paraId="15941DEE" w14:textId="77777777" w:rsidR="00A67676" w:rsidRDefault="00A676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83B04" w14:textId="77777777" w:rsidR="000B6D84" w:rsidRDefault="000B6D84" w:rsidP="00790560">
      <w:r>
        <w:separator/>
      </w:r>
    </w:p>
  </w:footnote>
  <w:footnote w:type="continuationSeparator" w:id="0">
    <w:p w14:paraId="381DDA10" w14:textId="77777777" w:rsidR="000B6D84" w:rsidRDefault="000B6D84" w:rsidP="007905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B6"/>
    <w:rsid w:val="00004ACC"/>
    <w:rsid w:val="0001036F"/>
    <w:rsid w:val="000243AC"/>
    <w:rsid w:val="00031580"/>
    <w:rsid w:val="00036AB1"/>
    <w:rsid w:val="00041772"/>
    <w:rsid w:val="00047B22"/>
    <w:rsid w:val="0005715F"/>
    <w:rsid w:val="0005775C"/>
    <w:rsid w:val="00061952"/>
    <w:rsid w:val="00071812"/>
    <w:rsid w:val="00071F1D"/>
    <w:rsid w:val="0009432A"/>
    <w:rsid w:val="000A0E3D"/>
    <w:rsid w:val="000A4837"/>
    <w:rsid w:val="000B6D84"/>
    <w:rsid w:val="000D2DEF"/>
    <w:rsid w:val="000D600F"/>
    <w:rsid w:val="00110F4E"/>
    <w:rsid w:val="0013352F"/>
    <w:rsid w:val="00150E69"/>
    <w:rsid w:val="0015130D"/>
    <w:rsid w:val="00152093"/>
    <w:rsid w:val="001530D2"/>
    <w:rsid w:val="001543C0"/>
    <w:rsid w:val="00167F2F"/>
    <w:rsid w:val="00174AA7"/>
    <w:rsid w:val="00180AE8"/>
    <w:rsid w:val="00181194"/>
    <w:rsid w:val="00193011"/>
    <w:rsid w:val="00194BF2"/>
    <w:rsid w:val="00196F9A"/>
    <w:rsid w:val="001A2178"/>
    <w:rsid w:val="001A60C8"/>
    <w:rsid w:val="001A718B"/>
    <w:rsid w:val="001C704B"/>
    <w:rsid w:val="001D5955"/>
    <w:rsid w:val="001E65B2"/>
    <w:rsid w:val="001F3096"/>
    <w:rsid w:val="00200F4F"/>
    <w:rsid w:val="002069EE"/>
    <w:rsid w:val="002179FD"/>
    <w:rsid w:val="002316EF"/>
    <w:rsid w:val="0023483E"/>
    <w:rsid w:val="00234FC8"/>
    <w:rsid w:val="002362E1"/>
    <w:rsid w:val="002451CB"/>
    <w:rsid w:val="002532A5"/>
    <w:rsid w:val="0027367D"/>
    <w:rsid w:val="002961A8"/>
    <w:rsid w:val="002A1E75"/>
    <w:rsid w:val="002B4681"/>
    <w:rsid w:val="002C0FC5"/>
    <w:rsid w:val="002C24FA"/>
    <w:rsid w:val="002C3422"/>
    <w:rsid w:val="002D0DD4"/>
    <w:rsid w:val="002E7955"/>
    <w:rsid w:val="002F0605"/>
    <w:rsid w:val="002F296E"/>
    <w:rsid w:val="002F43CC"/>
    <w:rsid w:val="00302FDB"/>
    <w:rsid w:val="00345D5C"/>
    <w:rsid w:val="0035394F"/>
    <w:rsid w:val="0036667A"/>
    <w:rsid w:val="00366BD7"/>
    <w:rsid w:val="003904FC"/>
    <w:rsid w:val="003D72DF"/>
    <w:rsid w:val="003E7F32"/>
    <w:rsid w:val="004410E6"/>
    <w:rsid w:val="004432A2"/>
    <w:rsid w:val="0045002D"/>
    <w:rsid w:val="004625A1"/>
    <w:rsid w:val="00476134"/>
    <w:rsid w:val="00492BCE"/>
    <w:rsid w:val="004B0ECB"/>
    <w:rsid w:val="004C0317"/>
    <w:rsid w:val="004C3F83"/>
    <w:rsid w:val="004D6B1A"/>
    <w:rsid w:val="004D6B56"/>
    <w:rsid w:val="00512011"/>
    <w:rsid w:val="00522B47"/>
    <w:rsid w:val="00545A30"/>
    <w:rsid w:val="005577CF"/>
    <w:rsid w:val="005A08BA"/>
    <w:rsid w:val="005B3969"/>
    <w:rsid w:val="005D2704"/>
    <w:rsid w:val="00602D8C"/>
    <w:rsid w:val="00615320"/>
    <w:rsid w:val="00636052"/>
    <w:rsid w:val="00663840"/>
    <w:rsid w:val="006836B2"/>
    <w:rsid w:val="00683FCB"/>
    <w:rsid w:val="00690ED7"/>
    <w:rsid w:val="006C453E"/>
    <w:rsid w:val="006C56A8"/>
    <w:rsid w:val="006D5B45"/>
    <w:rsid w:val="006E5254"/>
    <w:rsid w:val="006E71D1"/>
    <w:rsid w:val="006F1CA4"/>
    <w:rsid w:val="0070673C"/>
    <w:rsid w:val="0071160B"/>
    <w:rsid w:val="00715A02"/>
    <w:rsid w:val="00715A5E"/>
    <w:rsid w:val="00751318"/>
    <w:rsid w:val="00765291"/>
    <w:rsid w:val="00790560"/>
    <w:rsid w:val="007B26B6"/>
    <w:rsid w:val="007E4098"/>
    <w:rsid w:val="00800FC7"/>
    <w:rsid w:val="00825436"/>
    <w:rsid w:val="00830FDC"/>
    <w:rsid w:val="00835A1D"/>
    <w:rsid w:val="00840E56"/>
    <w:rsid w:val="008763C9"/>
    <w:rsid w:val="008A2D58"/>
    <w:rsid w:val="008A6CD4"/>
    <w:rsid w:val="008B10C6"/>
    <w:rsid w:val="008E6010"/>
    <w:rsid w:val="0091017A"/>
    <w:rsid w:val="009273A7"/>
    <w:rsid w:val="00945474"/>
    <w:rsid w:val="0095161B"/>
    <w:rsid w:val="009538A7"/>
    <w:rsid w:val="00953FA9"/>
    <w:rsid w:val="00955C01"/>
    <w:rsid w:val="00984355"/>
    <w:rsid w:val="009C6186"/>
    <w:rsid w:val="009E6A3A"/>
    <w:rsid w:val="00A029B7"/>
    <w:rsid w:val="00A0333D"/>
    <w:rsid w:val="00A1118E"/>
    <w:rsid w:val="00A13482"/>
    <w:rsid w:val="00A16650"/>
    <w:rsid w:val="00A30A08"/>
    <w:rsid w:val="00A3257A"/>
    <w:rsid w:val="00A3621B"/>
    <w:rsid w:val="00A67676"/>
    <w:rsid w:val="00A71D0D"/>
    <w:rsid w:val="00A824ED"/>
    <w:rsid w:val="00AA20D0"/>
    <w:rsid w:val="00AA5B2C"/>
    <w:rsid w:val="00AB1DDB"/>
    <w:rsid w:val="00AB5565"/>
    <w:rsid w:val="00AB623C"/>
    <w:rsid w:val="00AC220E"/>
    <w:rsid w:val="00AC5FCB"/>
    <w:rsid w:val="00B042E0"/>
    <w:rsid w:val="00B21947"/>
    <w:rsid w:val="00B3226A"/>
    <w:rsid w:val="00B50866"/>
    <w:rsid w:val="00B60AB5"/>
    <w:rsid w:val="00B659E6"/>
    <w:rsid w:val="00B66F20"/>
    <w:rsid w:val="00BC2A26"/>
    <w:rsid w:val="00BD31D2"/>
    <w:rsid w:val="00BD3BB7"/>
    <w:rsid w:val="00BD7BFD"/>
    <w:rsid w:val="00C054AB"/>
    <w:rsid w:val="00C06250"/>
    <w:rsid w:val="00C0752A"/>
    <w:rsid w:val="00C07944"/>
    <w:rsid w:val="00C31719"/>
    <w:rsid w:val="00C4420C"/>
    <w:rsid w:val="00C5297F"/>
    <w:rsid w:val="00C54882"/>
    <w:rsid w:val="00CA0B18"/>
    <w:rsid w:val="00CA4C1F"/>
    <w:rsid w:val="00CB1E61"/>
    <w:rsid w:val="00CD04F2"/>
    <w:rsid w:val="00CF24BF"/>
    <w:rsid w:val="00D01449"/>
    <w:rsid w:val="00D16AC1"/>
    <w:rsid w:val="00D16C1F"/>
    <w:rsid w:val="00D504F2"/>
    <w:rsid w:val="00D628B3"/>
    <w:rsid w:val="00D64C0C"/>
    <w:rsid w:val="00D651EF"/>
    <w:rsid w:val="00D73946"/>
    <w:rsid w:val="00D74113"/>
    <w:rsid w:val="00D91F85"/>
    <w:rsid w:val="00D9549D"/>
    <w:rsid w:val="00D96F11"/>
    <w:rsid w:val="00DB06D6"/>
    <w:rsid w:val="00DD7732"/>
    <w:rsid w:val="00DE79A0"/>
    <w:rsid w:val="00E225BD"/>
    <w:rsid w:val="00E23DB3"/>
    <w:rsid w:val="00E2421D"/>
    <w:rsid w:val="00E3274D"/>
    <w:rsid w:val="00E36A87"/>
    <w:rsid w:val="00E4613C"/>
    <w:rsid w:val="00E63F39"/>
    <w:rsid w:val="00E65ECD"/>
    <w:rsid w:val="00E77476"/>
    <w:rsid w:val="00E832D8"/>
    <w:rsid w:val="00E95066"/>
    <w:rsid w:val="00EA276C"/>
    <w:rsid w:val="00EB2A5C"/>
    <w:rsid w:val="00EB599C"/>
    <w:rsid w:val="00EC53CD"/>
    <w:rsid w:val="00EE1D1B"/>
    <w:rsid w:val="00EF6B33"/>
    <w:rsid w:val="00F004E9"/>
    <w:rsid w:val="00F146CA"/>
    <w:rsid w:val="00F147B0"/>
    <w:rsid w:val="00F36A7A"/>
    <w:rsid w:val="00F441D6"/>
    <w:rsid w:val="00F50CF4"/>
    <w:rsid w:val="00F70EDA"/>
    <w:rsid w:val="00F8433F"/>
    <w:rsid w:val="00F93602"/>
    <w:rsid w:val="00F95E20"/>
    <w:rsid w:val="00FC2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8C970"/>
  <w15:docId w15:val="{65A999B5-8D67-438A-B69F-4FA22C963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90560"/>
    <w:pPr>
      <w:tabs>
        <w:tab w:val="center" w:pos="4513"/>
        <w:tab w:val="right" w:pos="9026"/>
      </w:tabs>
    </w:pPr>
  </w:style>
  <w:style w:type="character" w:customStyle="1" w:styleId="KoptekstChar">
    <w:name w:val="Koptekst Char"/>
    <w:basedOn w:val="Standaardalinea-lettertype"/>
    <w:link w:val="Koptekst"/>
    <w:uiPriority w:val="99"/>
    <w:rsid w:val="00790560"/>
    <w:rPr>
      <w:lang w:val="en-GB"/>
    </w:rPr>
  </w:style>
  <w:style w:type="paragraph" w:styleId="Voettekst">
    <w:name w:val="footer"/>
    <w:basedOn w:val="Standaard"/>
    <w:link w:val="VoettekstChar"/>
    <w:uiPriority w:val="99"/>
    <w:unhideWhenUsed/>
    <w:rsid w:val="00790560"/>
    <w:pPr>
      <w:tabs>
        <w:tab w:val="center" w:pos="4513"/>
        <w:tab w:val="right" w:pos="9026"/>
      </w:tabs>
    </w:pPr>
  </w:style>
  <w:style w:type="character" w:customStyle="1" w:styleId="VoettekstChar">
    <w:name w:val="Voettekst Char"/>
    <w:basedOn w:val="Standaardalinea-lettertype"/>
    <w:link w:val="Voettekst"/>
    <w:uiPriority w:val="99"/>
    <w:rsid w:val="00790560"/>
    <w:rPr>
      <w:lang w:val="en-GB"/>
    </w:rPr>
  </w:style>
  <w:style w:type="table" w:styleId="Tabelraster">
    <w:name w:val="Table Grid"/>
    <w:basedOn w:val="Standaardtabel"/>
    <w:uiPriority w:val="39"/>
    <w:rsid w:val="00984355"/>
    <w:rPr>
      <w:rFonts w:ascii="Arial" w:eastAsia="Arial" w:hAnsi="Arial" w:cs="Arial"/>
      <w:lang w:val="n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3513">
      <w:bodyDiv w:val="1"/>
      <w:marLeft w:val="0"/>
      <w:marRight w:val="0"/>
      <w:marTop w:val="0"/>
      <w:marBottom w:val="0"/>
      <w:divBdr>
        <w:top w:val="none" w:sz="0" w:space="0" w:color="auto"/>
        <w:left w:val="none" w:sz="0" w:space="0" w:color="auto"/>
        <w:bottom w:val="none" w:sz="0" w:space="0" w:color="auto"/>
        <w:right w:val="none" w:sz="0" w:space="0" w:color="auto"/>
      </w:divBdr>
    </w:div>
    <w:div w:id="354842528">
      <w:bodyDiv w:val="1"/>
      <w:marLeft w:val="0"/>
      <w:marRight w:val="0"/>
      <w:marTop w:val="0"/>
      <w:marBottom w:val="0"/>
      <w:divBdr>
        <w:top w:val="none" w:sz="0" w:space="0" w:color="auto"/>
        <w:left w:val="none" w:sz="0" w:space="0" w:color="auto"/>
        <w:bottom w:val="none" w:sz="0" w:space="0" w:color="auto"/>
        <w:right w:val="none" w:sz="0" w:space="0" w:color="auto"/>
      </w:divBdr>
    </w:div>
    <w:div w:id="387000637">
      <w:bodyDiv w:val="1"/>
      <w:marLeft w:val="0"/>
      <w:marRight w:val="0"/>
      <w:marTop w:val="0"/>
      <w:marBottom w:val="0"/>
      <w:divBdr>
        <w:top w:val="none" w:sz="0" w:space="0" w:color="auto"/>
        <w:left w:val="none" w:sz="0" w:space="0" w:color="auto"/>
        <w:bottom w:val="none" w:sz="0" w:space="0" w:color="auto"/>
        <w:right w:val="none" w:sz="0" w:space="0" w:color="auto"/>
      </w:divBdr>
    </w:div>
    <w:div w:id="808741095">
      <w:bodyDiv w:val="1"/>
      <w:marLeft w:val="0"/>
      <w:marRight w:val="0"/>
      <w:marTop w:val="0"/>
      <w:marBottom w:val="0"/>
      <w:divBdr>
        <w:top w:val="none" w:sz="0" w:space="0" w:color="auto"/>
        <w:left w:val="none" w:sz="0" w:space="0" w:color="auto"/>
        <w:bottom w:val="none" w:sz="0" w:space="0" w:color="auto"/>
        <w:right w:val="none" w:sz="0" w:space="0" w:color="auto"/>
      </w:divBdr>
    </w:div>
    <w:div w:id="1490906174">
      <w:bodyDiv w:val="1"/>
      <w:marLeft w:val="0"/>
      <w:marRight w:val="0"/>
      <w:marTop w:val="0"/>
      <w:marBottom w:val="0"/>
      <w:divBdr>
        <w:top w:val="none" w:sz="0" w:space="0" w:color="auto"/>
        <w:left w:val="none" w:sz="0" w:space="0" w:color="auto"/>
        <w:bottom w:val="none" w:sz="0" w:space="0" w:color="auto"/>
        <w:right w:val="none" w:sz="0" w:space="0" w:color="auto"/>
      </w:divBdr>
    </w:div>
    <w:div w:id="1560508144">
      <w:bodyDiv w:val="1"/>
      <w:marLeft w:val="0"/>
      <w:marRight w:val="0"/>
      <w:marTop w:val="0"/>
      <w:marBottom w:val="0"/>
      <w:divBdr>
        <w:top w:val="none" w:sz="0" w:space="0" w:color="auto"/>
        <w:left w:val="none" w:sz="0" w:space="0" w:color="auto"/>
        <w:bottom w:val="none" w:sz="0" w:space="0" w:color="auto"/>
        <w:right w:val="none" w:sz="0" w:space="0" w:color="auto"/>
      </w:divBdr>
    </w:div>
    <w:div w:id="1770002636">
      <w:bodyDiv w:val="1"/>
      <w:marLeft w:val="0"/>
      <w:marRight w:val="0"/>
      <w:marTop w:val="0"/>
      <w:marBottom w:val="0"/>
      <w:divBdr>
        <w:top w:val="none" w:sz="0" w:space="0" w:color="auto"/>
        <w:left w:val="none" w:sz="0" w:space="0" w:color="auto"/>
        <w:bottom w:val="none" w:sz="0" w:space="0" w:color="auto"/>
        <w:right w:val="none" w:sz="0" w:space="0" w:color="auto"/>
      </w:divBdr>
    </w:div>
    <w:div w:id="1842814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0900C-A15C-4E19-AA94-8F93AE8B4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6897</Words>
  <Characters>39314</Characters>
  <Application>Microsoft Office Word</Application>
  <DocSecurity>0</DocSecurity>
  <Lines>327</Lines>
  <Paragraphs>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Minke Bosma</dc:creator>
  <cp:keywords/>
  <dc:description/>
  <cp:lastModifiedBy>Minke Bosma</cp:lastModifiedBy>
  <cp:revision>2</cp:revision>
  <dcterms:created xsi:type="dcterms:W3CDTF">2024-08-22T08:16:00Z</dcterms:created>
  <dcterms:modified xsi:type="dcterms:W3CDTF">2024-08-22T08:16:00Z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5eec7164-d87d-3662-a47a-bca6982d1696</vt:lpwstr>
  </property>
  <property fmtid="{D5CDD505-2E9C-101B-9397-08002B2CF9AE}" pid="24" name="Mendeley Citation Style_1">
    <vt:lpwstr>http://www.zotero.org/styles/apa</vt:lpwstr>
  </property>
</Properties>
</file>