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54C84" w14:textId="77777777" w:rsidR="00D04A77" w:rsidRPr="00F0083C" w:rsidRDefault="00D04A77" w:rsidP="00D04A77">
      <w:pPr>
        <w:rPr>
          <w:b/>
        </w:rPr>
      </w:pPr>
      <w:r w:rsidRPr="00F0083C">
        <w:rPr>
          <w:b/>
        </w:rPr>
        <w:t>APPENDICES FOR:</w:t>
      </w:r>
    </w:p>
    <w:p w14:paraId="606F5FF3" w14:textId="77777777" w:rsidR="00E81444" w:rsidRDefault="00E81444" w:rsidP="00D04A77">
      <w:pPr>
        <w:rPr>
          <w:b/>
        </w:rPr>
      </w:pPr>
      <w:r w:rsidRPr="00E81444">
        <w:rPr>
          <w:b/>
        </w:rPr>
        <w:t xml:space="preserve">Drug company methodologies used for reporting in the UK pharmaceutical industry payment transparency database between 2015-2019: A content analysis </w:t>
      </w:r>
    </w:p>
    <w:p w14:paraId="5B2CA8BF" w14:textId="3A79744C" w:rsidR="00D04A77" w:rsidRDefault="00D04A77" w:rsidP="00D04A77">
      <w:pPr>
        <w:rPr>
          <w:bCs/>
        </w:rPr>
      </w:pPr>
      <w:r w:rsidRPr="00E737CB">
        <w:rPr>
          <w:bCs/>
        </w:rPr>
        <w:t xml:space="preserve">By J. Larkin, </w:t>
      </w:r>
      <w:r>
        <w:rPr>
          <w:bCs/>
        </w:rPr>
        <w:t xml:space="preserve">B </w:t>
      </w:r>
      <w:proofErr w:type="spellStart"/>
      <w:r>
        <w:rPr>
          <w:bCs/>
        </w:rPr>
        <w:t>Matthes</w:t>
      </w:r>
      <w:proofErr w:type="spellEnd"/>
      <w:r>
        <w:rPr>
          <w:bCs/>
        </w:rPr>
        <w:t xml:space="preserve">, M. </w:t>
      </w:r>
      <w:proofErr w:type="spellStart"/>
      <w:r>
        <w:rPr>
          <w:bCs/>
        </w:rPr>
        <w:t>Azribi</w:t>
      </w:r>
      <w:proofErr w:type="spellEnd"/>
      <w:r>
        <w:rPr>
          <w:bCs/>
        </w:rPr>
        <w:t xml:space="preserve">, C. Kearns, </w:t>
      </w:r>
      <w:r w:rsidRPr="00E737CB">
        <w:rPr>
          <w:bCs/>
        </w:rPr>
        <w:t>S. Mulinari,</w:t>
      </w:r>
      <w:r>
        <w:rPr>
          <w:bCs/>
        </w:rPr>
        <w:t xml:space="preserve"> E. Rickard, F. Moriarty, T. Fahey</w:t>
      </w:r>
      <w:r w:rsidR="002D354A">
        <w:rPr>
          <w:bCs/>
        </w:rPr>
        <w:t>,</w:t>
      </w:r>
      <w:r w:rsidRPr="00E737CB">
        <w:rPr>
          <w:bCs/>
        </w:rPr>
        <w:t xml:space="preserve"> P. Ozieranski</w:t>
      </w:r>
      <w:r>
        <w:rPr>
          <w:bCs/>
        </w:rPr>
        <w:t>.</w:t>
      </w:r>
    </w:p>
    <w:p w14:paraId="1F0818B3" w14:textId="77777777" w:rsidR="00D04A77" w:rsidRDefault="00D04A77">
      <w:r>
        <w:br w:type="page"/>
      </w:r>
    </w:p>
    <w:p w14:paraId="3A921B68" w14:textId="77777777" w:rsidR="00471213" w:rsidRDefault="00471213">
      <w:pPr>
        <w:rPr>
          <w:rFonts w:ascii="Arial" w:hAnsi="Arial" w:cs="Arial"/>
        </w:rPr>
      </w:pPr>
      <w:proofErr w:type="spellStart"/>
      <w:r>
        <w:rPr>
          <w:rFonts w:ascii="Arial" w:hAnsi="Arial" w:cs="Arial"/>
        </w:rPr>
        <w:lastRenderedPageBreak/>
        <w:t>eTable</w:t>
      </w:r>
      <w:proofErr w:type="spellEnd"/>
      <w:r>
        <w:rPr>
          <w:rFonts w:ascii="Arial" w:hAnsi="Arial" w:cs="Arial"/>
        </w:rPr>
        <w:t xml:space="preserve"> 1 Examples of the categorisation </w:t>
      </w:r>
    </w:p>
    <w:tbl>
      <w:tblPr>
        <w:tblStyle w:val="TableGrid"/>
        <w:tblW w:w="9351" w:type="dxa"/>
        <w:tblLook w:val="04A0" w:firstRow="1" w:lastRow="0" w:firstColumn="1" w:lastColumn="0" w:noHBand="0" w:noVBand="1"/>
      </w:tblPr>
      <w:tblGrid>
        <w:gridCol w:w="1555"/>
        <w:gridCol w:w="3969"/>
        <w:gridCol w:w="3827"/>
      </w:tblGrid>
      <w:tr w:rsidR="00471213" w14:paraId="11DFFF2A" w14:textId="77777777" w:rsidTr="005F7FEB">
        <w:tc>
          <w:tcPr>
            <w:tcW w:w="1555" w:type="dxa"/>
          </w:tcPr>
          <w:p w14:paraId="4DA56116" w14:textId="77777777" w:rsidR="00471213" w:rsidRDefault="00471213">
            <w:pPr>
              <w:rPr>
                <w:rFonts w:ascii="Arial" w:hAnsi="Arial" w:cs="Arial"/>
              </w:rPr>
            </w:pPr>
          </w:p>
        </w:tc>
        <w:tc>
          <w:tcPr>
            <w:tcW w:w="3969" w:type="dxa"/>
          </w:tcPr>
          <w:p w14:paraId="5C8A6DB2" w14:textId="71571089" w:rsidR="00471213" w:rsidRDefault="00471213">
            <w:pPr>
              <w:rPr>
                <w:rFonts w:ascii="Arial" w:hAnsi="Arial" w:cs="Arial"/>
              </w:rPr>
            </w:pPr>
            <w:r w:rsidRPr="00471213">
              <w:rPr>
                <w:rFonts w:ascii="Arial" w:hAnsi="Arial" w:cs="Arial"/>
              </w:rPr>
              <w:t>Clear information provided</w:t>
            </w:r>
          </w:p>
        </w:tc>
        <w:tc>
          <w:tcPr>
            <w:tcW w:w="3827" w:type="dxa"/>
          </w:tcPr>
          <w:p w14:paraId="459F244C" w14:textId="6E9361D5" w:rsidR="00471213" w:rsidRDefault="00471213">
            <w:pPr>
              <w:rPr>
                <w:rFonts w:ascii="Arial" w:hAnsi="Arial" w:cs="Arial"/>
              </w:rPr>
            </w:pPr>
            <w:r w:rsidRPr="00471213">
              <w:rPr>
                <w:rFonts w:ascii="Arial" w:hAnsi="Arial" w:cs="Arial"/>
              </w:rPr>
              <w:t>Information provided but unclear</w:t>
            </w:r>
          </w:p>
        </w:tc>
      </w:tr>
      <w:tr w:rsidR="00471213" w14:paraId="58278CE2" w14:textId="77777777" w:rsidTr="005F7FEB">
        <w:tc>
          <w:tcPr>
            <w:tcW w:w="1555" w:type="dxa"/>
          </w:tcPr>
          <w:p w14:paraId="594CAE18" w14:textId="32E59484" w:rsidR="00471213" w:rsidRDefault="00144F9B">
            <w:pPr>
              <w:rPr>
                <w:rFonts w:ascii="Arial" w:hAnsi="Arial" w:cs="Arial"/>
              </w:rPr>
            </w:pPr>
            <w:r>
              <w:rPr>
                <w:rFonts w:ascii="Arial" w:hAnsi="Arial" w:cs="Arial"/>
              </w:rPr>
              <w:t>VAT</w:t>
            </w:r>
          </w:p>
        </w:tc>
        <w:tc>
          <w:tcPr>
            <w:tcW w:w="3969" w:type="dxa"/>
          </w:tcPr>
          <w:p w14:paraId="6DBFC5A1" w14:textId="7611AC4F" w:rsidR="00471213" w:rsidRDefault="00613E1F">
            <w:pPr>
              <w:rPr>
                <w:rFonts w:ascii="Arial" w:hAnsi="Arial" w:cs="Arial"/>
              </w:rPr>
            </w:pPr>
            <w:r>
              <w:rPr>
                <w:rFonts w:ascii="Arial" w:hAnsi="Arial" w:cs="Arial"/>
              </w:rPr>
              <w:t>‘</w:t>
            </w:r>
            <w:r w:rsidRPr="00613E1F">
              <w:rPr>
                <w:rFonts w:ascii="Arial" w:hAnsi="Arial" w:cs="Arial"/>
              </w:rPr>
              <w:t>All values reported are exclusive of VAT</w:t>
            </w:r>
            <w:r>
              <w:rPr>
                <w:rFonts w:ascii="Arial" w:hAnsi="Arial" w:cs="Arial"/>
              </w:rPr>
              <w:t>’</w:t>
            </w:r>
          </w:p>
        </w:tc>
        <w:tc>
          <w:tcPr>
            <w:tcW w:w="3827" w:type="dxa"/>
          </w:tcPr>
          <w:p w14:paraId="710D9571" w14:textId="0FABE16B" w:rsidR="00471213" w:rsidRDefault="00613E1F">
            <w:pPr>
              <w:rPr>
                <w:rFonts w:ascii="Arial" w:hAnsi="Arial" w:cs="Arial"/>
              </w:rPr>
            </w:pPr>
            <w:r>
              <w:rPr>
                <w:rFonts w:ascii="Arial" w:hAnsi="Arial" w:cs="Arial"/>
              </w:rPr>
              <w:t>‘</w:t>
            </w:r>
            <w:r w:rsidRPr="00613E1F">
              <w:rPr>
                <w:rFonts w:ascii="Arial" w:hAnsi="Arial" w:cs="Arial"/>
              </w:rPr>
              <w:t>VAT is only paid where the recipient is VAT registered and has provided a bone fide VAT invoice.</w:t>
            </w:r>
            <w:r>
              <w:rPr>
                <w:rFonts w:ascii="Arial" w:hAnsi="Arial" w:cs="Arial"/>
              </w:rPr>
              <w:t>’</w:t>
            </w:r>
          </w:p>
        </w:tc>
      </w:tr>
      <w:tr w:rsidR="00471213" w14:paraId="4207624D" w14:textId="77777777" w:rsidTr="005F7FEB">
        <w:tc>
          <w:tcPr>
            <w:tcW w:w="1555" w:type="dxa"/>
          </w:tcPr>
          <w:p w14:paraId="00549345" w14:textId="176D498F" w:rsidR="00471213" w:rsidRDefault="00613E1F">
            <w:pPr>
              <w:rPr>
                <w:rFonts w:ascii="Arial" w:hAnsi="Arial" w:cs="Arial"/>
              </w:rPr>
            </w:pPr>
            <w:r>
              <w:rPr>
                <w:rFonts w:ascii="Arial" w:hAnsi="Arial" w:cs="Arial"/>
              </w:rPr>
              <w:t>Exchange rates</w:t>
            </w:r>
          </w:p>
        </w:tc>
        <w:tc>
          <w:tcPr>
            <w:tcW w:w="3969" w:type="dxa"/>
          </w:tcPr>
          <w:p w14:paraId="47A27763" w14:textId="1A569B02" w:rsidR="00471213" w:rsidRDefault="00613E1F">
            <w:pPr>
              <w:rPr>
                <w:rFonts w:ascii="Arial" w:hAnsi="Arial" w:cs="Arial"/>
              </w:rPr>
            </w:pPr>
            <w:r>
              <w:rPr>
                <w:rFonts w:ascii="Arial" w:hAnsi="Arial" w:cs="Arial"/>
              </w:rPr>
              <w:t>‘</w:t>
            </w:r>
            <w:r w:rsidRPr="00613E1F">
              <w:rPr>
                <w:rFonts w:ascii="Arial" w:hAnsi="Arial" w:cs="Arial"/>
              </w:rPr>
              <w:t>Where a transfer of value is made in a currency other than GBP Alexion will convert at HMRC 2017 average exchange rates.</w:t>
            </w:r>
            <w:r>
              <w:rPr>
                <w:rFonts w:ascii="Arial" w:hAnsi="Arial" w:cs="Arial"/>
              </w:rPr>
              <w:t>’</w:t>
            </w:r>
          </w:p>
        </w:tc>
        <w:tc>
          <w:tcPr>
            <w:tcW w:w="3827" w:type="dxa"/>
          </w:tcPr>
          <w:p w14:paraId="3ECAE915" w14:textId="64F26CE5" w:rsidR="00471213" w:rsidRDefault="00613E1F">
            <w:pPr>
              <w:rPr>
                <w:rFonts w:ascii="Arial" w:hAnsi="Arial" w:cs="Arial"/>
              </w:rPr>
            </w:pPr>
            <w:r>
              <w:rPr>
                <w:rFonts w:ascii="Arial" w:hAnsi="Arial" w:cs="Arial"/>
              </w:rPr>
              <w:t>‘</w:t>
            </w:r>
            <w:r w:rsidRPr="00613E1F">
              <w:rPr>
                <w:rFonts w:ascii="Arial" w:hAnsi="Arial" w:cs="Arial"/>
              </w:rPr>
              <w:t>The Disclosure Report will show transfers of value made in GDP. Conversion from local currency to GDP will be carried out at the time of the generation of the report.</w:t>
            </w:r>
            <w:r>
              <w:rPr>
                <w:rFonts w:ascii="Arial" w:hAnsi="Arial" w:cs="Arial"/>
              </w:rPr>
              <w:t>’</w:t>
            </w:r>
          </w:p>
        </w:tc>
      </w:tr>
      <w:tr w:rsidR="00471213" w14:paraId="1535769A" w14:textId="77777777" w:rsidTr="005F7FEB">
        <w:tc>
          <w:tcPr>
            <w:tcW w:w="1555" w:type="dxa"/>
          </w:tcPr>
          <w:p w14:paraId="3052F7F8" w14:textId="1B63F01B" w:rsidR="00471213" w:rsidRDefault="00613E1F">
            <w:pPr>
              <w:rPr>
                <w:rFonts w:ascii="Arial" w:hAnsi="Arial" w:cs="Arial"/>
              </w:rPr>
            </w:pPr>
            <w:r>
              <w:rPr>
                <w:rFonts w:ascii="Arial" w:hAnsi="Arial" w:cs="Arial"/>
              </w:rPr>
              <w:t>Timing</w:t>
            </w:r>
          </w:p>
        </w:tc>
        <w:tc>
          <w:tcPr>
            <w:tcW w:w="3969" w:type="dxa"/>
          </w:tcPr>
          <w:p w14:paraId="1337767D" w14:textId="123C4A53" w:rsidR="005F7FEB" w:rsidRPr="005F7FEB" w:rsidRDefault="005F7FEB" w:rsidP="005F7FEB">
            <w:pPr>
              <w:rPr>
                <w:rFonts w:ascii="Arial" w:hAnsi="Arial" w:cs="Arial"/>
              </w:rPr>
            </w:pPr>
            <w:r>
              <w:rPr>
                <w:rFonts w:ascii="Arial" w:hAnsi="Arial" w:cs="Arial"/>
              </w:rPr>
              <w:t>‘</w:t>
            </w:r>
            <w:r w:rsidRPr="005F7FEB">
              <w:rPr>
                <w:rFonts w:ascii="Arial" w:hAnsi="Arial" w:cs="Arial"/>
              </w:rPr>
              <w:t xml:space="preserve">This disclosure submission includes those payments and </w:t>
            </w:r>
            <w:proofErr w:type="spellStart"/>
            <w:r w:rsidRPr="005F7FEB">
              <w:rPr>
                <w:rFonts w:ascii="Arial" w:hAnsi="Arial" w:cs="Arial"/>
              </w:rPr>
              <w:t>ToVs</w:t>
            </w:r>
            <w:proofErr w:type="spellEnd"/>
            <w:r w:rsidRPr="005F7FEB">
              <w:rPr>
                <w:rFonts w:ascii="Arial" w:hAnsi="Arial" w:cs="Arial"/>
              </w:rPr>
              <w:t xml:space="preserve"> that are subject to Britannia disclosure</w:t>
            </w:r>
          </w:p>
          <w:p w14:paraId="79FFB052" w14:textId="09FA58EC" w:rsidR="00471213" w:rsidRDefault="005F7FEB" w:rsidP="005F7FEB">
            <w:pPr>
              <w:rPr>
                <w:rFonts w:ascii="Arial" w:hAnsi="Arial" w:cs="Arial"/>
              </w:rPr>
            </w:pPr>
            <w:r w:rsidRPr="005F7FEB">
              <w:rPr>
                <w:rFonts w:ascii="Arial" w:hAnsi="Arial" w:cs="Arial"/>
              </w:rPr>
              <w:t>obligations covering the period 1 January 2019 to 31 December 2019.</w:t>
            </w:r>
            <w:r>
              <w:rPr>
                <w:rFonts w:ascii="Arial" w:hAnsi="Arial" w:cs="Arial"/>
              </w:rPr>
              <w:t>’</w:t>
            </w:r>
          </w:p>
        </w:tc>
        <w:tc>
          <w:tcPr>
            <w:tcW w:w="3827" w:type="dxa"/>
          </w:tcPr>
          <w:p w14:paraId="611C21B7" w14:textId="17F15D20" w:rsidR="00471213" w:rsidRDefault="00613E1F">
            <w:pPr>
              <w:rPr>
                <w:rFonts w:ascii="Arial" w:hAnsi="Arial" w:cs="Arial"/>
              </w:rPr>
            </w:pPr>
            <w:r>
              <w:rPr>
                <w:rFonts w:ascii="Arial" w:hAnsi="Arial" w:cs="Arial"/>
              </w:rPr>
              <w:t>‘</w:t>
            </w:r>
            <w:r w:rsidR="00A64103" w:rsidRPr="00A64103">
              <w:rPr>
                <w:rFonts w:ascii="Arial" w:hAnsi="Arial" w:cs="Arial"/>
              </w:rPr>
              <w:t>The information provided has been derived from invoices coded into the financial systems for the relevant period</w:t>
            </w:r>
            <w:r w:rsidR="005F7FEB" w:rsidRPr="005F7FEB">
              <w:rPr>
                <w:rFonts w:ascii="Arial" w:hAnsi="Arial" w:cs="Arial"/>
              </w:rPr>
              <w:t>.</w:t>
            </w:r>
            <w:r w:rsidR="00D27047">
              <w:rPr>
                <w:rFonts w:ascii="Arial" w:hAnsi="Arial" w:cs="Arial"/>
              </w:rPr>
              <w:t>’</w:t>
            </w:r>
            <w:r w:rsidR="005F7FEB" w:rsidRPr="005F7FEB">
              <w:rPr>
                <w:rFonts w:ascii="Arial" w:hAnsi="Arial" w:cs="Arial"/>
              </w:rPr>
              <w:t> </w:t>
            </w:r>
          </w:p>
        </w:tc>
      </w:tr>
      <w:tr w:rsidR="00471213" w14:paraId="2F67162F" w14:textId="77777777" w:rsidTr="005F7FEB">
        <w:tc>
          <w:tcPr>
            <w:tcW w:w="1555" w:type="dxa"/>
          </w:tcPr>
          <w:p w14:paraId="3F13B5C1" w14:textId="1E2F4EED" w:rsidR="00471213" w:rsidRDefault="00613E1F">
            <w:pPr>
              <w:rPr>
                <w:rFonts w:ascii="Arial" w:hAnsi="Arial" w:cs="Arial"/>
              </w:rPr>
            </w:pPr>
            <w:r>
              <w:rPr>
                <w:rFonts w:ascii="Arial" w:hAnsi="Arial" w:cs="Arial"/>
              </w:rPr>
              <w:t>Multi-year projects</w:t>
            </w:r>
          </w:p>
        </w:tc>
        <w:tc>
          <w:tcPr>
            <w:tcW w:w="3969" w:type="dxa"/>
          </w:tcPr>
          <w:p w14:paraId="723095B6" w14:textId="51039343" w:rsidR="00471213" w:rsidRDefault="005F7FEB">
            <w:pPr>
              <w:rPr>
                <w:rFonts w:ascii="Arial" w:hAnsi="Arial" w:cs="Arial"/>
              </w:rPr>
            </w:pPr>
            <w:r>
              <w:rPr>
                <w:rFonts w:ascii="Arial" w:hAnsi="Arial" w:cs="Arial"/>
              </w:rPr>
              <w:t>‘</w:t>
            </w:r>
            <w:r w:rsidRPr="005F7FEB">
              <w:rPr>
                <w:rFonts w:ascii="Arial" w:hAnsi="Arial" w:cs="Arial"/>
              </w:rPr>
              <w:t xml:space="preserve">For </w:t>
            </w:r>
            <w:proofErr w:type="spellStart"/>
            <w:r w:rsidRPr="005F7FEB">
              <w:rPr>
                <w:rFonts w:ascii="Arial" w:hAnsi="Arial" w:cs="Arial"/>
              </w:rPr>
              <w:t>multi year</w:t>
            </w:r>
            <w:proofErr w:type="spellEnd"/>
            <w:r w:rsidRPr="005F7FEB">
              <w:rPr>
                <w:rFonts w:ascii="Arial" w:hAnsi="Arial" w:cs="Arial"/>
              </w:rPr>
              <w:t xml:space="preserve"> contracts, payments are disclosed in the year corresponding to the date of each payment</w:t>
            </w:r>
            <w:r>
              <w:rPr>
                <w:rFonts w:ascii="Arial" w:hAnsi="Arial" w:cs="Arial"/>
              </w:rPr>
              <w:t>’</w:t>
            </w:r>
          </w:p>
        </w:tc>
        <w:tc>
          <w:tcPr>
            <w:tcW w:w="3827" w:type="dxa"/>
          </w:tcPr>
          <w:p w14:paraId="4CEC56D6" w14:textId="35432423" w:rsidR="00471213" w:rsidRDefault="005F7FEB">
            <w:pPr>
              <w:rPr>
                <w:rFonts w:ascii="Arial" w:hAnsi="Arial" w:cs="Arial"/>
              </w:rPr>
            </w:pPr>
            <w:r>
              <w:rPr>
                <w:rFonts w:ascii="Arial" w:hAnsi="Arial" w:cs="Arial"/>
              </w:rPr>
              <w:t>‘</w:t>
            </w:r>
            <w:r w:rsidRPr="005F7FEB">
              <w:rPr>
                <w:rFonts w:ascii="Arial" w:hAnsi="Arial" w:cs="Arial"/>
              </w:rPr>
              <w:t xml:space="preserve">For multiyear contracts, disclosure only includes </w:t>
            </w:r>
            <w:proofErr w:type="spellStart"/>
            <w:r w:rsidRPr="005F7FEB">
              <w:rPr>
                <w:rFonts w:ascii="Arial" w:hAnsi="Arial" w:cs="Arial"/>
              </w:rPr>
              <w:t>ToVs</w:t>
            </w:r>
            <w:proofErr w:type="spellEnd"/>
            <w:r w:rsidRPr="005F7FEB">
              <w:rPr>
                <w:rFonts w:ascii="Arial" w:hAnsi="Arial" w:cs="Arial"/>
              </w:rPr>
              <w:t xml:space="preserve"> applicable during the reporting period (1 January 2015 and 31 December 2015).</w:t>
            </w:r>
            <w:r>
              <w:rPr>
                <w:rFonts w:ascii="Arial" w:hAnsi="Arial" w:cs="Arial"/>
              </w:rPr>
              <w:t>’</w:t>
            </w:r>
          </w:p>
        </w:tc>
      </w:tr>
      <w:tr w:rsidR="00613E1F" w14:paraId="251CBFB7" w14:textId="77777777" w:rsidTr="005F7FEB">
        <w:tc>
          <w:tcPr>
            <w:tcW w:w="1555" w:type="dxa"/>
          </w:tcPr>
          <w:p w14:paraId="25DB8697" w14:textId="724F035C" w:rsidR="00613E1F" w:rsidRDefault="00613E1F">
            <w:pPr>
              <w:rPr>
                <w:rFonts w:ascii="Arial" w:hAnsi="Arial" w:cs="Arial"/>
              </w:rPr>
            </w:pPr>
            <w:r>
              <w:rPr>
                <w:rFonts w:ascii="Arial" w:hAnsi="Arial" w:cs="Arial"/>
              </w:rPr>
              <w:t>Cross-border payments</w:t>
            </w:r>
          </w:p>
        </w:tc>
        <w:tc>
          <w:tcPr>
            <w:tcW w:w="3969" w:type="dxa"/>
          </w:tcPr>
          <w:p w14:paraId="71C7162F" w14:textId="64ACDFF2" w:rsidR="00613E1F" w:rsidRDefault="005F7FEB">
            <w:pPr>
              <w:rPr>
                <w:rFonts w:ascii="Arial" w:hAnsi="Arial" w:cs="Arial"/>
              </w:rPr>
            </w:pPr>
            <w:r>
              <w:rPr>
                <w:rFonts w:ascii="Arial" w:hAnsi="Arial" w:cs="Arial"/>
              </w:rPr>
              <w:t>‘</w:t>
            </w:r>
            <w:r w:rsidRPr="005F7FEB">
              <w:rPr>
                <w:rFonts w:ascii="Arial" w:hAnsi="Arial" w:cs="Arial"/>
              </w:rPr>
              <w:t>All payments worldwide are declared as Diurnal is headquartered in the UK</w:t>
            </w:r>
            <w:r>
              <w:rPr>
                <w:rFonts w:ascii="Arial" w:hAnsi="Arial" w:cs="Arial"/>
              </w:rPr>
              <w:t>’</w:t>
            </w:r>
          </w:p>
        </w:tc>
        <w:tc>
          <w:tcPr>
            <w:tcW w:w="3827" w:type="dxa"/>
          </w:tcPr>
          <w:p w14:paraId="7DAB0647" w14:textId="20DB510A" w:rsidR="00613E1F" w:rsidRDefault="005F7FEB" w:rsidP="00E96C98">
            <w:pPr>
              <w:rPr>
                <w:rFonts w:ascii="Arial" w:hAnsi="Arial" w:cs="Arial"/>
              </w:rPr>
            </w:pPr>
            <w:r w:rsidRPr="00D27047">
              <w:rPr>
                <w:rFonts w:ascii="Arial" w:hAnsi="Arial" w:cs="Arial"/>
              </w:rPr>
              <w:t>‘</w:t>
            </w:r>
            <w:r w:rsidR="00D27047" w:rsidRPr="00D27047">
              <w:rPr>
                <w:rFonts w:ascii="Arial" w:hAnsi="Arial" w:cs="Arial"/>
              </w:rPr>
              <w:t>Cross-border payments: All payments made to UK HCPs or HCOs from outside the UK are tracked and managed centrally by our European team. All information is contained within our financial system outlining full payments made including travel and associated expenses. Contracts are also shared with the UK office containing full payment details for each engagement. The PTC Finance Team are able to track all external payments made to HCPs and HCOs within the UK</w:t>
            </w:r>
            <w:r w:rsidRPr="00D27047">
              <w:rPr>
                <w:rFonts w:ascii="Arial" w:hAnsi="Arial" w:cs="Arial"/>
              </w:rPr>
              <w:t>.’</w:t>
            </w:r>
          </w:p>
        </w:tc>
      </w:tr>
      <w:tr w:rsidR="00613E1F" w14:paraId="5EB8630C" w14:textId="77777777" w:rsidTr="005F7FEB">
        <w:tc>
          <w:tcPr>
            <w:tcW w:w="1555" w:type="dxa"/>
          </w:tcPr>
          <w:p w14:paraId="5AF394F0" w14:textId="1C832C64" w:rsidR="00613E1F" w:rsidRDefault="00613E1F">
            <w:pPr>
              <w:rPr>
                <w:rFonts w:ascii="Arial" w:hAnsi="Arial" w:cs="Arial"/>
              </w:rPr>
            </w:pPr>
            <w:r>
              <w:rPr>
                <w:rFonts w:ascii="Arial" w:hAnsi="Arial" w:cs="Arial"/>
              </w:rPr>
              <w:t>Over-the-counter medicines</w:t>
            </w:r>
          </w:p>
        </w:tc>
        <w:tc>
          <w:tcPr>
            <w:tcW w:w="3969" w:type="dxa"/>
          </w:tcPr>
          <w:p w14:paraId="4DA5A3A3" w14:textId="1720726D" w:rsidR="00613E1F" w:rsidRDefault="005F7FEB">
            <w:pPr>
              <w:rPr>
                <w:rFonts w:ascii="Arial" w:hAnsi="Arial" w:cs="Arial"/>
              </w:rPr>
            </w:pPr>
            <w:r>
              <w:rPr>
                <w:rFonts w:ascii="Arial" w:hAnsi="Arial" w:cs="Arial"/>
              </w:rPr>
              <w:t>‘</w:t>
            </w:r>
            <w:r w:rsidRPr="005F7FEB">
              <w:rPr>
                <w:rFonts w:ascii="Arial" w:hAnsi="Arial" w:cs="Arial"/>
              </w:rPr>
              <w:t>In accordance with the EFPIA Disclosure Code and the ABPI Code of Practice, Novo Nordisk does not</w:t>
            </w:r>
            <w:r>
              <w:rPr>
                <w:rFonts w:ascii="Arial" w:hAnsi="Arial" w:cs="Arial"/>
              </w:rPr>
              <w:t xml:space="preserve"> </w:t>
            </w:r>
            <w:r w:rsidRPr="005F7FEB">
              <w:rPr>
                <w:rFonts w:ascii="Arial" w:hAnsi="Arial" w:cs="Arial"/>
              </w:rPr>
              <w:t>disclose the following items:</w:t>
            </w:r>
            <w:r>
              <w:rPr>
                <w:rFonts w:ascii="Arial" w:hAnsi="Arial" w:cs="Arial"/>
              </w:rPr>
              <w:t xml:space="preserve"> </w:t>
            </w:r>
            <w:proofErr w:type="spellStart"/>
            <w:r w:rsidRPr="005F7FEB">
              <w:rPr>
                <w:rFonts w:ascii="Arial" w:hAnsi="Arial" w:cs="Arial"/>
              </w:rPr>
              <w:t>i</w:t>
            </w:r>
            <w:proofErr w:type="spellEnd"/>
            <w:r w:rsidRPr="005F7FEB">
              <w:rPr>
                <w:rFonts w:ascii="Arial" w:hAnsi="Arial" w:cs="Arial"/>
              </w:rPr>
              <w:t>)</w:t>
            </w:r>
            <w:r>
              <w:rPr>
                <w:rFonts w:ascii="Arial" w:hAnsi="Arial" w:cs="Arial"/>
              </w:rPr>
              <w:t xml:space="preserve"> </w:t>
            </w:r>
            <w:r w:rsidRPr="005F7FEB">
              <w:rPr>
                <w:rFonts w:ascii="Arial" w:hAnsi="Arial" w:cs="Arial"/>
              </w:rPr>
              <w:t>over-the-counter medicines</w:t>
            </w:r>
            <w:r>
              <w:rPr>
                <w:rFonts w:ascii="Arial" w:hAnsi="Arial" w:cs="Arial"/>
              </w:rPr>
              <w:t>’</w:t>
            </w:r>
          </w:p>
        </w:tc>
        <w:tc>
          <w:tcPr>
            <w:tcW w:w="3827" w:type="dxa"/>
          </w:tcPr>
          <w:p w14:paraId="668385FF" w14:textId="338AF4C8" w:rsidR="00613E1F" w:rsidRDefault="005F7FEB">
            <w:pPr>
              <w:rPr>
                <w:rFonts w:ascii="Arial" w:hAnsi="Arial" w:cs="Arial"/>
              </w:rPr>
            </w:pPr>
            <w:r>
              <w:rPr>
                <w:rFonts w:ascii="Arial" w:hAnsi="Arial" w:cs="Arial"/>
              </w:rPr>
              <w:t xml:space="preserve">No entries were categorised as </w:t>
            </w:r>
            <w:r w:rsidRPr="00013B85">
              <w:rPr>
                <w:rFonts w:ascii="Arial" w:hAnsi="Arial" w:cs="Arial"/>
                <w:i/>
              </w:rPr>
              <w:t>Information provided but unclear</w:t>
            </w:r>
            <w:r>
              <w:rPr>
                <w:rFonts w:ascii="Arial" w:hAnsi="Arial" w:cs="Arial"/>
              </w:rPr>
              <w:t xml:space="preserve"> for over-the-counter medicines</w:t>
            </w:r>
          </w:p>
        </w:tc>
      </w:tr>
      <w:tr w:rsidR="00613E1F" w14:paraId="0B85A420" w14:textId="77777777" w:rsidTr="005F7FEB">
        <w:tc>
          <w:tcPr>
            <w:tcW w:w="1555" w:type="dxa"/>
          </w:tcPr>
          <w:p w14:paraId="62BCB446" w14:textId="35FA31C9" w:rsidR="00613E1F" w:rsidRDefault="00613E1F">
            <w:pPr>
              <w:rPr>
                <w:rFonts w:ascii="Arial" w:hAnsi="Arial" w:cs="Arial"/>
              </w:rPr>
            </w:pPr>
            <w:r>
              <w:rPr>
                <w:rFonts w:ascii="Arial" w:hAnsi="Arial" w:cs="Arial"/>
              </w:rPr>
              <w:t>Medical Devices</w:t>
            </w:r>
          </w:p>
        </w:tc>
        <w:tc>
          <w:tcPr>
            <w:tcW w:w="3969" w:type="dxa"/>
          </w:tcPr>
          <w:p w14:paraId="7C5CD75D" w14:textId="5FB740CB" w:rsidR="00613E1F" w:rsidRDefault="005F7FEB">
            <w:pPr>
              <w:rPr>
                <w:rFonts w:ascii="Arial" w:hAnsi="Arial" w:cs="Arial"/>
              </w:rPr>
            </w:pPr>
            <w:r>
              <w:rPr>
                <w:rFonts w:ascii="Arial" w:hAnsi="Arial" w:cs="Arial"/>
              </w:rPr>
              <w:t>‘</w:t>
            </w:r>
            <w:r w:rsidRPr="005F7FEB">
              <w:rPr>
                <w:rFonts w:ascii="Arial" w:hAnsi="Arial" w:cs="Arial"/>
              </w:rPr>
              <w:t xml:space="preserve">As long as </w:t>
            </w:r>
            <w:proofErr w:type="spellStart"/>
            <w:r w:rsidRPr="005F7FEB">
              <w:rPr>
                <w:rFonts w:ascii="Arial" w:hAnsi="Arial" w:cs="Arial"/>
              </w:rPr>
              <w:t>ToVs</w:t>
            </w:r>
            <w:proofErr w:type="spellEnd"/>
            <w:r w:rsidRPr="005F7FEB">
              <w:rPr>
                <w:rFonts w:ascii="Arial" w:hAnsi="Arial" w:cs="Arial"/>
              </w:rPr>
              <w:t xml:space="preserve"> are not exclusively connected to over-the-counter medicines or medical devices – which are not in scope of the EFPIA Disclosure Code - Bayer will disclose such </w:t>
            </w:r>
            <w:proofErr w:type="spellStart"/>
            <w:r w:rsidRPr="005F7FEB">
              <w:rPr>
                <w:rFonts w:ascii="Arial" w:hAnsi="Arial" w:cs="Arial"/>
              </w:rPr>
              <w:t>ToVs</w:t>
            </w:r>
            <w:proofErr w:type="spellEnd"/>
            <w:r w:rsidRPr="005F7FEB">
              <w:rPr>
                <w:rFonts w:ascii="Arial" w:hAnsi="Arial" w:cs="Arial"/>
              </w:rPr>
              <w:t xml:space="preserve"> in full.</w:t>
            </w:r>
            <w:r>
              <w:rPr>
                <w:rFonts w:ascii="Arial" w:hAnsi="Arial" w:cs="Arial"/>
              </w:rPr>
              <w:t>’</w:t>
            </w:r>
          </w:p>
        </w:tc>
        <w:tc>
          <w:tcPr>
            <w:tcW w:w="3827" w:type="dxa"/>
          </w:tcPr>
          <w:p w14:paraId="10BF073F" w14:textId="5B062E06" w:rsidR="00613E1F" w:rsidRDefault="005F7FEB">
            <w:pPr>
              <w:rPr>
                <w:rFonts w:ascii="Arial" w:hAnsi="Arial" w:cs="Arial"/>
              </w:rPr>
            </w:pPr>
            <w:r>
              <w:rPr>
                <w:rFonts w:ascii="Arial" w:hAnsi="Arial" w:cs="Arial"/>
              </w:rPr>
              <w:t xml:space="preserve">No entries were categorised as </w:t>
            </w:r>
            <w:r w:rsidRPr="00013B85">
              <w:rPr>
                <w:rFonts w:ascii="Arial" w:hAnsi="Arial" w:cs="Arial"/>
                <w:i/>
              </w:rPr>
              <w:t>Information provided but unclear</w:t>
            </w:r>
            <w:r>
              <w:rPr>
                <w:rFonts w:ascii="Arial" w:hAnsi="Arial" w:cs="Arial"/>
              </w:rPr>
              <w:t xml:space="preserve"> for medical devices</w:t>
            </w:r>
          </w:p>
        </w:tc>
      </w:tr>
      <w:tr w:rsidR="00613E1F" w14:paraId="41E8B346" w14:textId="77777777" w:rsidTr="005F7FEB">
        <w:tc>
          <w:tcPr>
            <w:tcW w:w="1555" w:type="dxa"/>
          </w:tcPr>
          <w:p w14:paraId="20F627DC" w14:textId="2B4BDC6E" w:rsidR="00613E1F" w:rsidRDefault="00613E1F">
            <w:pPr>
              <w:rPr>
                <w:rFonts w:ascii="Arial" w:hAnsi="Arial" w:cs="Arial"/>
              </w:rPr>
            </w:pPr>
            <w:r>
              <w:rPr>
                <w:rFonts w:ascii="Arial" w:hAnsi="Arial" w:cs="Arial"/>
              </w:rPr>
              <w:t>Non-Monetary Payments</w:t>
            </w:r>
          </w:p>
        </w:tc>
        <w:tc>
          <w:tcPr>
            <w:tcW w:w="3969" w:type="dxa"/>
          </w:tcPr>
          <w:p w14:paraId="1E63DA4C" w14:textId="02A8CE3F" w:rsidR="00613E1F" w:rsidRDefault="005F7FEB" w:rsidP="005F7FEB">
            <w:pPr>
              <w:rPr>
                <w:rFonts w:ascii="Arial" w:hAnsi="Arial" w:cs="Arial"/>
              </w:rPr>
            </w:pPr>
            <w:r>
              <w:rPr>
                <w:rFonts w:ascii="Arial" w:hAnsi="Arial" w:cs="Arial"/>
              </w:rPr>
              <w:t>‘</w:t>
            </w:r>
            <w:r w:rsidRPr="005F7FEB">
              <w:rPr>
                <w:rFonts w:ascii="Arial" w:hAnsi="Arial" w:cs="Arial"/>
              </w:rPr>
              <w:t xml:space="preserve">If a ‘donation in kind’ is provided to </w:t>
            </w:r>
            <w:proofErr w:type="gramStart"/>
            <w:r w:rsidRPr="005F7FEB">
              <w:rPr>
                <w:rFonts w:ascii="Arial" w:hAnsi="Arial" w:cs="Arial"/>
              </w:rPr>
              <w:t>a</w:t>
            </w:r>
            <w:proofErr w:type="gramEnd"/>
            <w:r w:rsidRPr="005F7FEB">
              <w:rPr>
                <w:rFonts w:ascii="Arial" w:hAnsi="Arial" w:cs="Arial"/>
              </w:rPr>
              <w:t xml:space="preserve"> HCO e.g. Amgen staff time, a </w:t>
            </w:r>
            <w:r>
              <w:rPr>
                <w:rFonts w:ascii="Arial" w:hAnsi="Arial" w:cs="Arial"/>
              </w:rPr>
              <w:t>m</w:t>
            </w:r>
            <w:r w:rsidRPr="005F7FEB">
              <w:rPr>
                <w:rFonts w:ascii="Arial" w:hAnsi="Arial" w:cs="Arial"/>
              </w:rPr>
              <w:t>onetary value</w:t>
            </w:r>
            <w:r>
              <w:rPr>
                <w:rFonts w:ascii="Arial" w:hAnsi="Arial" w:cs="Arial"/>
              </w:rPr>
              <w:t xml:space="preserve"> </w:t>
            </w:r>
            <w:r w:rsidRPr="005F7FEB">
              <w:rPr>
                <w:rFonts w:ascii="Arial" w:hAnsi="Arial" w:cs="Arial"/>
              </w:rPr>
              <w:t>will be attributed to the ‘in kind’ donation for the purpose of disclosure.</w:t>
            </w:r>
            <w:r>
              <w:rPr>
                <w:rFonts w:ascii="Arial" w:hAnsi="Arial" w:cs="Arial"/>
              </w:rPr>
              <w:t>’</w:t>
            </w:r>
          </w:p>
        </w:tc>
        <w:tc>
          <w:tcPr>
            <w:tcW w:w="3827" w:type="dxa"/>
          </w:tcPr>
          <w:p w14:paraId="77BA5200" w14:textId="2567C276" w:rsidR="00613E1F" w:rsidRDefault="00013B85">
            <w:pPr>
              <w:rPr>
                <w:rFonts w:ascii="Arial" w:hAnsi="Arial" w:cs="Arial"/>
              </w:rPr>
            </w:pPr>
            <w:r>
              <w:rPr>
                <w:rFonts w:ascii="Arial" w:hAnsi="Arial" w:cs="Arial"/>
              </w:rPr>
              <w:t>‘</w:t>
            </w:r>
            <w:r w:rsidRPr="00013B85">
              <w:rPr>
                <w:rFonts w:ascii="Arial" w:hAnsi="Arial" w:cs="Arial"/>
              </w:rPr>
              <w:t xml:space="preserve">How should Member Companies handle the more intangible Transfers of Value relating to medical publications support which could be “in kind” transfers of value or indirect support? Answer: This answer </w:t>
            </w:r>
            <w:proofErr w:type="gramStart"/>
            <w:r w:rsidRPr="00013B85">
              <w:rPr>
                <w:rFonts w:ascii="Arial" w:hAnsi="Arial" w:cs="Arial"/>
              </w:rPr>
              <w:t>need</w:t>
            </w:r>
            <w:proofErr w:type="gramEnd"/>
            <w:r w:rsidRPr="00013B85">
              <w:rPr>
                <w:rFonts w:ascii="Arial" w:hAnsi="Arial" w:cs="Arial"/>
              </w:rPr>
              <w:t xml:space="preserve"> to be review by the drafting group</w:t>
            </w:r>
            <w:r>
              <w:rPr>
                <w:rFonts w:ascii="Arial" w:hAnsi="Arial" w:cs="Arial"/>
              </w:rPr>
              <w:t>’</w:t>
            </w:r>
          </w:p>
        </w:tc>
      </w:tr>
      <w:tr w:rsidR="00613E1F" w14:paraId="48C9BD4D" w14:textId="77777777" w:rsidTr="005F7FEB">
        <w:tc>
          <w:tcPr>
            <w:tcW w:w="1555" w:type="dxa"/>
          </w:tcPr>
          <w:p w14:paraId="70473070" w14:textId="5697BEE4" w:rsidR="00613E1F" w:rsidRDefault="00613E1F">
            <w:pPr>
              <w:rPr>
                <w:rFonts w:ascii="Arial" w:hAnsi="Arial" w:cs="Arial"/>
              </w:rPr>
            </w:pPr>
            <w:r>
              <w:rPr>
                <w:rFonts w:ascii="Arial" w:hAnsi="Arial" w:cs="Arial"/>
              </w:rPr>
              <w:t>Partial disclosure</w:t>
            </w:r>
          </w:p>
        </w:tc>
        <w:tc>
          <w:tcPr>
            <w:tcW w:w="3969" w:type="dxa"/>
          </w:tcPr>
          <w:p w14:paraId="761A3524" w14:textId="615261CA" w:rsidR="00613E1F" w:rsidRDefault="005F7FEB">
            <w:pPr>
              <w:rPr>
                <w:rFonts w:ascii="Arial" w:hAnsi="Arial" w:cs="Arial"/>
              </w:rPr>
            </w:pPr>
            <w:r>
              <w:rPr>
                <w:rFonts w:ascii="Arial" w:hAnsi="Arial" w:cs="Arial"/>
              </w:rPr>
              <w:t>‘</w:t>
            </w:r>
            <w:r w:rsidRPr="005F7FEB">
              <w:rPr>
                <w:rFonts w:ascii="Arial" w:hAnsi="Arial" w:cs="Arial"/>
              </w:rPr>
              <w:t xml:space="preserve">Partial Consent: </w:t>
            </w:r>
            <w:proofErr w:type="spellStart"/>
            <w:r w:rsidRPr="005F7FEB">
              <w:rPr>
                <w:rFonts w:ascii="Arial" w:hAnsi="Arial" w:cs="Arial"/>
              </w:rPr>
              <w:t>Almirall</w:t>
            </w:r>
            <w:proofErr w:type="spellEnd"/>
            <w:r w:rsidRPr="005F7FEB">
              <w:rPr>
                <w:rFonts w:ascii="Arial" w:hAnsi="Arial" w:cs="Arial"/>
              </w:rPr>
              <w:t xml:space="preserve"> Ltd. collects consent on a per-activity basis. Where </w:t>
            </w:r>
            <w:r w:rsidRPr="005F7FEB">
              <w:rPr>
                <w:rFonts w:ascii="Arial" w:hAnsi="Arial" w:cs="Arial"/>
              </w:rPr>
              <w:lastRenderedPageBreak/>
              <w:t>recipients of transfers of value have decided to disclose as an individual in some activities and aggregate in others, the amount attributable to all transfers is disclosed on an aggregate basis</w:t>
            </w:r>
            <w:r>
              <w:rPr>
                <w:rFonts w:ascii="Arial" w:hAnsi="Arial" w:cs="Arial"/>
              </w:rPr>
              <w:t>’</w:t>
            </w:r>
          </w:p>
        </w:tc>
        <w:tc>
          <w:tcPr>
            <w:tcW w:w="3827" w:type="dxa"/>
          </w:tcPr>
          <w:p w14:paraId="66759B0A" w14:textId="1FB6F2CA" w:rsidR="00613E1F" w:rsidRDefault="005F7FEB">
            <w:pPr>
              <w:rPr>
                <w:rFonts w:ascii="Arial" w:hAnsi="Arial" w:cs="Arial"/>
              </w:rPr>
            </w:pPr>
            <w:r w:rsidRPr="00D27047">
              <w:rPr>
                <w:rFonts w:ascii="Arial" w:hAnsi="Arial" w:cs="Arial"/>
              </w:rPr>
              <w:lastRenderedPageBreak/>
              <w:t xml:space="preserve">‘If </w:t>
            </w:r>
            <w:proofErr w:type="gramStart"/>
            <w:r w:rsidRPr="00D27047">
              <w:rPr>
                <w:rFonts w:ascii="Arial" w:hAnsi="Arial" w:cs="Arial"/>
              </w:rPr>
              <w:t>a</w:t>
            </w:r>
            <w:proofErr w:type="gramEnd"/>
            <w:r w:rsidRPr="00D27047">
              <w:rPr>
                <w:rFonts w:ascii="Arial" w:hAnsi="Arial" w:cs="Arial"/>
              </w:rPr>
              <w:t xml:space="preserve"> HCP revokes the consent to disclose under the Disclosure Code, </w:t>
            </w:r>
            <w:r w:rsidRPr="00D27047">
              <w:rPr>
                <w:rFonts w:ascii="Arial" w:hAnsi="Arial" w:cs="Arial"/>
              </w:rPr>
              <w:lastRenderedPageBreak/>
              <w:t>Baxter will aggregate the data for the future but not retrospectively. Any consequences of withdrawal of consents shall be defined in the relevant Agreement.’</w:t>
            </w:r>
          </w:p>
        </w:tc>
      </w:tr>
      <w:tr w:rsidR="00613E1F" w14:paraId="060C48F0" w14:textId="77777777" w:rsidTr="005F7FEB">
        <w:tc>
          <w:tcPr>
            <w:tcW w:w="1555" w:type="dxa"/>
          </w:tcPr>
          <w:p w14:paraId="7E7017AC" w14:textId="7B2BD7FC" w:rsidR="00613E1F" w:rsidRDefault="00613E1F">
            <w:pPr>
              <w:rPr>
                <w:rFonts w:ascii="Arial" w:hAnsi="Arial" w:cs="Arial"/>
              </w:rPr>
            </w:pPr>
            <w:r>
              <w:rPr>
                <w:rFonts w:ascii="Arial" w:hAnsi="Arial" w:cs="Arial"/>
              </w:rPr>
              <w:lastRenderedPageBreak/>
              <w:t>Non-attendance or cancellation</w:t>
            </w:r>
          </w:p>
        </w:tc>
        <w:tc>
          <w:tcPr>
            <w:tcW w:w="3969" w:type="dxa"/>
          </w:tcPr>
          <w:p w14:paraId="2D49267C" w14:textId="1C0C462B" w:rsidR="00613E1F" w:rsidRDefault="00013B85">
            <w:pPr>
              <w:rPr>
                <w:rFonts w:ascii="Arial" w:hAnsi="Arial" w:cs="Arial"/>
              </w:rPr>
            </w:pPr>
            <w:r>
              <w:rPr>
                <w:rFonts w:ascii="Arial" w:hAnsi="Arial" w:cs="Arial"/>
              </w:rPr>
              <w:t>‘</w:t>
            </w:r>
            <w:r w:rsidRPr="00013B85">
              <w:rPr>
                <w:rFonts w:ascii="Arial" w:hAnsi="Arial" w:cs="Arial"/>
              </w:rPr>
              <w:t xml:space="preserve">In case of cancellation the </w:t>
            </w:r>
            <w:proofErr w:type="spellStart"/>
            <w:r w:rsidRPr="00013B85">
              <w:rPr>
                <w:rFonts w:ascii="Arial" w:hAnsi="Arial" w:cs="Arial"/>
              </w:rPr>
              <w:t>ToV</w:t>
            </w:r>
            <w:proofErr w:type="spellEnd"/>
            <w:r w:rsidRPr="00013B85">
              <w:rPr>
                <w:rFonts w:ascii="Arial" w:hAnsi="Arial" w:cs="Arial"/>
              </w:rPr>
              <w:t xml:space="preserve"> is not included in the disclosure. In case of partial </w:t>
            </w:r>
            <w:proofErr w:type="gramStart"/>
            <w:r w:rsidRPr="00013B85">
              <w:rPr>
                <w:rFonts w:ascii="Arial" w:hAnsi="Arial" w:cs="Arial"/>
              </w:rPr>
              <w:t>attendance</w:t>
            </w:r>
            <w:proofErr w:type="gramEnd"/>
            <w:r w:rsidRPr="00013B85">
              <w:rPr>
                <w:rFonts w:ascii="Arial" w:hAnsi="Arial" w:cs="Arial"/>
              </w:rPr>
              <w:t xml:space="preserve"> the </w:t>
            </w:r>
            <w:proofErr w:type="spellStart"/>
            <w:r w:rsidRPr="00013B85">
              <w:rPr>
                <w:rFonts w:ascii="Arial" w:hAnsi="Arial" w:cs="Arial"/>
              </w:rPr>
              <w:t>ToV</w:t>
            </w:r>
            <w:proofErr w:type="spellEnd"/>
            <w:r w:rsidRPr="00013B85">
              <w:rPr>
                <w:rFonts w:ascii="Arial" w:hAnsi="Arial" w:cs="Arial"/>
              </w:rPr>
              <w:t xml:space="preserve"> is included in the disclosure</w:t>
            </w:r>
            <w:r>
              <w:rPr>
                <w:rFonts w:ascii="Arial" w:hAnsi="Arial" w:cs="Arial"/>
              </w:rPr>
              <w:t>’</w:t>
            </w:r>
          </w:p>
        </w:tc>
        <w:tc>
          <w:tcPr>
            <w:tcW w:w="3827" w:type="dxa"/>
          </w:tcPr>
          <w:p w14:paraId="6A562668" w14:textId="0EE936FE" w:rsidR="00613E1F" w:rsidRDefault="00013B85">
            <w:pPr>
              <w:rPr>
                <w:rFonts w:ascii="Arial" w:hAnsi="Arial" w:cs="Arial"/>
              </w:rPr>
            </w:pPr>
            <w:r w:rsidRPr="00013B85">
              <w:rPr>
                <w:rFonts w:ascii="Arial" w:hAnsi="Arial" w:cs="Arial"/>
              </w:rPr>
              <w:t xml:space="preserve">No entries were categorised as </w:t>
            </w:r>
            <w:r w:rsidRPr="00013B85">
              <w:rPr>
                <w:rFonts w:ascii="Arial" w:hAnsi="Arial" w:cs="Arial"/>
                <w:i/>
              </w:rPr>
              <w:t>Information provided but unclear</w:t>
            </w:r>
            <w:r w:rsidRPr="00013B85">
              <w:rPr>
                <w:rFonts w:ascii="Arial" w:hAnsi="Arial" w:cs="Arial"/>
              </w:rPr>
              <w:t xml:space="preserve"> for medical devices</w:t>
            </w:r>
          </w:p>
        </w:tc>
      </w:tr>
      <w:tr w:rsidR="00613E1F" w14:paraId="515C9F39" w14:textId="77777777" w:rsidTr="005F7FEB">
        <w:tc>
          <w:tcPr>
            <w:tcW w:w="1555" w:type="dxa"/>
          </w:tcPr>
          <w:p w14:paraId="2056DAE8" w14:textId="488BF9F6" w:rsidR="00613E1F" w:rsidRDefault="00613E1F">
            <w:pPr>
              <w:rPr>
                <w:rFonts w:ascii="Arial" w:hAnsi="Arial" w:cs="Arial"/>
              </w:rPr>
            </w:pPr>
            <w:r>
              <w:rPr>
                <w:rFonts w:ascii="Arial" w:hAnsi="Arial" w:cs="Arial"/>
              </w:rPr>
              <w:t>Blinded market research</w:t>
            </w:r>
          </w:p>
        </w:tc>
        <w:tc>
          <w:tcPr>
            <w:tcW w:w="3969" w:type="dxa"/>
          </w:tcPr>
          <w:p w14:paraId="3F18C734" w14:textId="16531610" w:rsidR="00613E1F" w:rsidRDefault="00013B85">
            <w:pPr>
              <w:rPr>
                <w:rFonts w:ascii="Arial" w:hAnsi="Arial" w:cs="Arial"/>
              </w:rPr>
            </w:pPr>
            <w:r>
              <w:rPr>
                <w:rFonts w:ascii="Arial" w:hAnsi="Arial" w:cs="Arial"/>
              </w:rPr>
              <w:t>‘</w:t>
            </w:r>
            <w:proofErr w:type="spellStart"/>
            <w:r w:rsidRPr="00013B85">
              <w:rPr>
                <w:rFonts w:ascii="Arial" w:hAnsi="Arial" w:cs="Arial"/>
              </w:rPr>
              <w:t>ToV</w:t>
            </w:r>
            <w:proofErr w:type="spellEnd"/>
            <w:r w:rsidRPr="00013B85">
              <w:rPr>
                <w:rFonts w:ascii="Arial" w:hAnsi="Arial" w:cs="Arial"/>
              </w:rPr>
              <w:t xml:space="preserve"> paid as part of a market research study where Eisai does not know the identity of the participating HCPs or HCOs will be disclosed on </w:t>
            </w:r>
            <w:proofErr w:type="gramStart"/>
            <w:r w:rsidRPr="00013B85">
              <w:rPr>
                <w:rFonts w:ascii="Arial" w:hAnsi="Arial" w:cs="Arial"/>
              </w:rPr>
              <w:t>a</w:t>
            </w:r>
            <w:proofErr w:type="gramEnd"/>
            <w:r w:rsidRPr="00013B85">
              <w:rPr>
                <w:rFonts w:ascii="Arial" w:hAnsi="Arial" w:cs="Arial"/>
              </w:rPr>
              <w:t xml:space="preserve"> aggregated basis. if available.</w:t>
            </w:r>
            <w:r>
              <w:rPr>
                <w:rFonts w:ascii="Arial" w:hAnsi="Arial" w:cs="Arial"/>
              </w:rPr>
              <w:t>’</w:t>
            </w:r>
          </w:p>
        </w:tc>
        <w:tc>
          <w:tcPr>
            <w:tcW w:w="3827" w:type="dxa"/>
          </w:tcPr>
          <w:p w14:paraId="349EF653" w14:textId="4C6F7678" w:rsidR="00613E1F" w:rsidRDefault="00013B85">
            <w:pPr>
              <w:rPr>
                <w:rFonts w:ascii="Arial" w:hAnsi="Arial" w:cs="Arial"/>
              </w:rPr>
            </w:pPr>
            <w:r w:rsidRPr="00013B85">
              <w:rPr>
                <w:rFonts w:ascii="Arial" w:hAnsi="Arial" w:cs="Arial"/>
              </w:rPr>
              <w:t xml:space="preserve">No entries were categorised as </w:t>
            </w:r>
            <w:r w:rsidRPr="00013B85">
              <w:rPr>
                <w:rFonts w:ascii="Arial" w:hAnsi="Arial" w:cs="Arial"/>
                <w:i/>
              </w:rPr>
              <w:t>Information provided but unclear</w:t>
            </w:r>
            <w:r w:rsidRPr="00013B85">
              <w:rPr>
                <w:rFonts w:ascii="Arial" w:hAnsi="Arial" w:cs="Arial"/>
              </w:rPr>
              <w:t xml:space="preserve"> for medical devices</w:t>
            </w:r>
          </w:p>
        </w:tc>
      </w:tr>
      <w:tr w:rsidR="00613E1F" w14:paraId="1BCE38E5" w14:textId="77777777" w:rsidTr="005F7FEB">
        <w:tc>
          <w:tcPr>
            <w:tcW w:w="1555" w:type="dxa"/>
          </w:tcPr>
          <w:p w14:paraId="69553C13" w14:textId="761A776B" w:rsidR="00613E1F" w:rsidRDefault="00613E1F">
            <w:pPr>
              <w:rPr>
                <w:rFonts w:ascii="Arial" w:hAnsi="Arial" w:cs="Arial"/>
              </w:rPr>
            </w:pPr>
            <w:r>
              <w:rPr>
                <w:rFonts w:ascii="Arial" w:hAnsi="Arial" w:cs="Arial"/>
              </w:rPr>
              <w:t>Internal events</w:t>
            </w:r>
          </w:p>
        </w:tc>
        <w:tc>
          <w:tcPr>
            <w:tcW w:w="3969" w:type="dxa"/>
          </w:tcPr>
          <w:p w14:paraId="05EE941A" w14:textId="3F9DCD59" w:rsidR="00613E1F" w:rsidRDefault="00013B85">
            <w:pPr>
              <w:rPr>
                <w:rFonts w:ascii="Arial" w:hAnsi="Arial" w:cs="Arial"/>
              </w:rPr>
            </w:pPr>
            <w:r>
              <w:rPr>
                <w:rFonts w:ascii="Arial" w:hAnsi="Arial" w:cs="Arial"/>
              </w:rPr>
              <w:t>‘</w:t>
            </w:r>
            <w:r w:rsidRPr="00013B85">
              <w:rPr>
                <w:rFonts w:ascii="Arial" w:hAnsi="Arial" w:cs="Arial"/>
              </w:rPr>
              <w:t>Costs for internal Events such as rent for space, technical expenses or equipment hire will not be disclosed within the Disclosure Report.</w:t>
            </w:r>
            <w:r>
              <w:rPr>
                <w:rFonts w:ascii="Arial" w:hAnsi="Arial" w:cs="Arial"/>
              </w:rPr>
              <w:t>’</w:t>
            </w:r>
          </w:p>
        </w:tc>
        <w:tc>
          <w:tcPr>
            <w:tcW w:w="3827" w:type="dxa"/>
          </w:tcPr>
          <w:p w14:paraId="2CB44BD7" w14:textId="2D5C8657" w:rsidR="00613E1F" w:rsidRDefault="00013B85">
            <w:pPr>
              <w:rPr>
                <w:rFonts w:ascii="Arial" w:hAnsi="Arial" w:cs="Arial"/>
              </w:rPr>
            </w:pPr>
            <w:r w:rsidRPr="00013B85">
              <w:rPr>
                <w:rFonts w:ascii="Arial" w:hAnsi="Arial" w:cs="Arial"/>
              </w:rPr>
              <w:t xml:space="preserve">No entries were categorised as </w:t>
            </w:r>
            <w:r w:rsidRPr="00013B85">
              <w:rPr>
                <w:rFonts w:ascii="Arial" w:hAnsi="Arial" w:cs="Arial"/>
                <w:i/>
              </w:rPr>
              <w:t>Information provided but unclear</w:t>
            </w:r>
            <w:r w:rsidRPr="00013B85">
              <w:rPr>
                <w:rFonts w:ascii="Arial" w:hAnsi="Arial" w:cs="Arial"/>
              </w:rPr>
              <w:t xml:space="preserve"> for medical devices</w:t>
            </w:r>
          </w:p>
        </w:tc>
      </w:tr>
    </w:tbl>
    <w:p w14:paraId="00E1AE2B" w14:textId="293392C3" w:rsidR="00471213" w:rsidRDefault="00471213">
      <w:pPr>
        <w:rPr>
          <w:rFonts w:ascii="Arial" w:hAnsi="Arial" w:cs="Arial"/>
        </w:rPr>
      </w:pPr>
      <w:r>
        <w:rPr>
          <w:rFonts w:ascii="Arial" w:hAnsi="Arial" w:cs="Arial"/>
        </w:rPr>
        <w:br w:type="page"/>
      </w:r>
    </w:p>
    <w:p w14:paraId="54834D56" w14:textId="21F7A6B1" w:rsidR="00D04A77" w:rsidRPr="008F55FB" w:rsidRDefault="00D04A77" w:rsidP="00D04A77">
      <w:pPr>
        <w:spacing w:line="240" w:lineRule="auto"/>
        <w:rPr>
          <w:rFonts w:ascii="Arial" w:hAnsi="Arial" w:cs="Arial"/>
        </w:rPr>
      </w:pPr>
      <w:proofErr w:type="spellStart"/>
      <w:r>
        <w:rPr>
          <w:rFonts w:ascii="Arial" w:hAnsi="Arial" w:cs="Arial"/>
        </w:rPr>
        <w:lastRenderedPageBreak/>
        <w:t>e</w:t>
      </w:r>
      <w:r w:rsidRPr="008F55FB">
        <w:rPr>
          <w:rFonts w:ascii="Arial" w:hAnsi="Arial" w:cs="Arial"/>
        </w:rPr>
        <w:t>Table</w:t>
      </w:r>
      <w:proofErr w:type="spellEnd"/>
      <w:r w:rsidRPr="008F55FB">
        <w:rPr>
          <w:rFonts w:ascii="Arial" w:hAnsi="Arial" w:cs="Arial"/>
        </w:rPr>
        <w:t xml:space="preserve"> </w:t>
      </w:r>
      <w:r w:rsidR="00832631">
        <w:rPr>
          <w:rFonts w:ascii="Arial" w:hAnsi="Arial" w:cs="Arial"/>
        </w:rPr>
        <w:t>2</w:t>
      </w:r>
      <w:r w:rsidRPr="008F55FB">
        <w:rPr>
          <w:rFonts w:ascii="Arial" w:hAnsi="Arial" w:cs="Arial"/>
        </w:rPr>
        <w:t>.</w:t>
      </w:r>
      <w:r>
        <w:rPr>
          <w:rFonts w:ascii="Arial" w:hAnsi="Arial" w:cs="Arial"/>
        </w:rPr>
        <w:t xml:space="preserve"> Whether information was provided for key methodological areas and whether policies changed between years</w:t>
      </w:r>
    </w:p>
    <w:tbl>
      <w:tblPr>
        <w:tblStyle w:val="TableGrid"/>
        <w:tblW w:w="9214" w:type="dxa"/>
        <w:tblInd w:w="-289" w:type="dxa"/>
        <w:tblLook w:val="04A0" w:firstRow="1" w:lastRow="0" w:firstColumn="1" w:lastColumn="0" w:noHBand="0" w:noVBand="1"/>
      </w:tblPr>
      <w:tblGrid>
        <w:gridCol w:w="1372"/>
        <w:gridCol w:w="810"/>
        <w:gridCol w:w="872"/>
        <w:gridCol w:w="776"/>
        <w:gridCol w:w="822"/>
        <w:gridCol w:w="805"/>
        <w:gridCol w:w="912"/>
        <w:gridCol w:w="774"/>
        <w:gridCol w:w="824"/>
        <w:gridCol w:w="1247"/>
      </w:tblGrid>
      <w:tr w:rsidR="001739A4" w:rsidRPr="008F55FB" w14:paraId="06F60F9B" w14:textId="77777777" w:rsidTr="0CA5D402">
        <w:tc>
          <w:tcPr>
            <w:tcW w:w="1497" w:type="dxa"/>
          </w:tcPr>
          <w:p w14:paraId="4C3AAFB6" w14:textId="77777777" w:rsidR="00D04A77" w:rsidRPr="008F55FB" w:rsidRDefault="00D04A77" w:rsidP="0081080E">
            <w:pPr>
              <w:spacing w:line="360" w:lineRule="auto"/>
              <w:rPr>
                <w:rFonts w:ascii="Arial" w:hAnsi="Arial" w:cs="Arial"/>
                <w:sz w:val="18"/>
                <w:szCs w:val="18"/>
              </w:rPr>
            </w:pPr>
          </w:p>
        </w:tc>
        <w:tc>
          <w:tcPr>
            <w:tcW w:w="1706" w:type="dxa"/>
            <w:gridSpan w:val="2"/>
          </w:tcPr>
          <w:p w14:paraId="0273C04C" w14:textId="77777777" w:rsidR="00D04A77" w:rsidRPr="008F55FB" w:rsidRDefault="00D04A77" w:rsidP="0081080E">
            <w:pPr>
              <w:spacing w:line="360" w:lineRule="auto"/>
              <w:rPr>
                <w:rFonts w:ascii="Arial" w:hAnsi="Arial" w:cs="Arial"/>
                <w:sz w:val="18"/>
                <w:szCs w:val="18"/>
              </w:rPr>
            </w:pPr>
            <w:r w:rsidRPr="008F55FB">
              <w:rPr>
                <w:rFonts w:ascii="Arial" w:hAnsi="Arial" w:cs="Arial"/>
                <w:sz w:val="18"/>
                <w:szCs w:val="18"/>
              </w:rPr>
              <w:t xml:space="preserve">Clear information provided </w:t>
            </w:r>
          </w:p>
        </w:tc>
        <w:tc>
          <w:tcPr>
            <w:tcW w:w="1632" w:type="dxa"/>
            <w:gridSpan w:val="2"/>
          </w:tcPr>
          <w:p w14:paraId="2DA4DBA8" w14:textId="77777777" w:rsidR="00D04A77" w:rsidRPr="008F55FB" w:rsidRDefault="00D04A77" w:rsidP="0081080E">
            <w:pPr>
              <w:spacing w:line="360" w:lineRule="auto"/>
              <w:rPr>
                <w:rFonts w:ascii="Arial" w:hAnsi="Arial" w:cs="Arial"/>
                <w:sz w:val="18"/>
                <w:szCs w:val="18"/>
              </w:rPr>
            </w:pPr>
            <w:r w:rsidRPr="008F55FB">
              <w:rPr>
                <w:rFonts w:ascii="Arial" w:hAnsi="Arial" w:cs="Arial"/>
                <w:sz w:val="18"/>
                <w:szCs w:val="18"/>
              </w:rPr>
              <w:t>Information provided but unclear</w:t>
            </w:r>
          </w:p>
        </w:tc>
        <w:tc>
          <w:tcPr>
            <w:tcW w:w="1761" w:type="dxa"/>
            <w:gridSpan w:val="2"/>
          </w:tcPr>
          <w:p w14:paraId="288B90C7" w14:textId="77777777" w:rsidR="00D04A77" w:rsidRPr="008F55FB" w:rsidRDefault="00D04A77" w:rsidP="0081080E">
            <w:pPr>
              <w:spacing w:line="360" w:lineRule="auto"/>
              <w:rPr>
                <w:rFonts w:ascii="Arial" w:hAnsi="Arial" w:cs="Arial"/>
                <w:sz w:val="18"/>
                <w:szCs w:val="18"/>
              </w:rPr>
            </w:pPr>
            <w:r w:rsidRPr="008F55FB">
              <w:rPr>
                <w:rFonts w:ascii="Arial" w:hAnsi="Arial" w:cs="Arial"/>
                <w:sz w:val="18"/>
                <w:szCs w:val="18"/>
              </w:rPr>
              <w:t>Information not provided</w:t>
            </w:r>
          </w:p>
        </w:tc>
        <w:tc>
          <w:tcPr>
            <w:tcW w:w="1631" w:type="dxa"/>
            <w:gridSpan w:val="2"/>
          </w:tcPr>
          <w:p w14:paraId="0D3DFD7C" w14:textId="77777777" w:rsidR="00D04A77" w:rsidRPr="008F55FB" w:rsidRDefault="00D04A77" w:rsidP="0081080E">
            <w:pPr>
              <w:spacing w:line="360" w:lineRule="auto"/>
              <w:rPr>
                <w:rFonts w:ascii="Arial" w:hAnsi="Arial" w:cs="Arial"/>
                <w:sz w:val="18"/>
                <w:szCs w:val="18"/>
              </w:rPr>
            </w:pPr>
            <w:r w:rsidRPr="008F55FB">
              <w:rPr>
                <w:rFonts w:ascii="Arial" w:hAnsi="Arial" w:cs="Arial"/>
                <w:sz w:val="18"/>
                <w:szCs w:val="18"/>
              </w:rPr>
              <w:t>Not applicable</w:t>
            </w:r>
          </w:p>
        </w:tc>
        <w:tc>
          <w:tcPr>
            <w:tcW w:w="987" w:type="dxa"/>
          </w:tcPr>
          <w:p w14:paraId="1E3233B3" w14:textId="7D09DF91" w:rsidR="00D04A77" w:rsidRPr="008F55FB" w:rsidRDefault="00D04A77" w:rsidP="0081080E">
            <w:pPr>
              <w:spacing w:line="360" w:lineRule="auto"/>
              <w:rPr>
                <w:rFonts w:ascii="Arial" w:hAnsi="Arial" w:cs="Arial"/>
                <w:sz w:val="18"/>
                <w:szCs w:val="18"/>
                <w:vertAlign w:val="superscript"/>
              </w:rPr>
            </w:pPr>
            <w:r w:rsidRPr="008F55FB">
              <w:rPr>
                <w:rFonts w:ascii="Arial" w:hAnsi="Arial" w:cs="Arial"/>
                <w:sz w:val="18"/>
                <w:szCs w:val="18"/>
              </w:rPr>
              <w:t xml:space="preserve">Company changed </w:t>
            </w:r>
            <w:r w:rsidR="0060353B" w:rsidRPr="0060353B">
              <w:rPr>
                <w:rFonts w:ascii="Arial" w:hAnsi="Arial" w:cs="Arial"/>
                <w:sz w:val="18"/>
                <w:szCs w:val="18"/>
              </w:rPr>
              <w:t xml:space="preserve">methodology </w:t>
            </w:r>
            <w:r w:rsidRPr="008F55FB">
              <w:rPr>
                <w:rFonts w:ascii="Arial" w:hAnsi="Arial" w:cs="Arial"/>
                <w:sz w:val="18"/>
                <w:szCs w:val="18"/>
              </w:rPr>
              <w:t xml:space="preserve">between </w:t>
            </w:r>
            <w:proofErr w:type="spellStart"/>
            <w:r w:rsidRPr="008F55FB">
              <w:rPr>
                <w:rFonts w:ascii="Arial" w:hAnsi="Arial" w:cs="Arial"/>
                <w:sz w:val="18"/>
                <w:szCs w:val="18"/>
              </w:rPr>
              <w:t>years</w:t>
            </w:r>
            <w:r w:rsidRPr="008F55FB">
              <w:rPr>
                <w:rFonts w:ascii="Arial" w:hAnsi="Arial" w:cs="Arial"/>
                <w:sz w:val="18"/>
                <w:szCs w:val="18"/>
                <w:vertAlign w:val="superscript"/>
              </w:rPr>
              <w:t>x</w:t>
            </w:r>
            <w:proofErr w:type="spellEnd"/>
          </w:p>
        </w:tc>
      </w:tr>
      <w:tr w:rsidR="001739A4" w:rsidRPr="00DE6D82" w14:paraId="436798C5" w14:textId="77777777" w:rsidTr="0CA5D402">
        <w:tc>
          <w:tcPr>
            <w:tcW w:w="1497" w:type="dxa"/>
          </w:tcPr>
          <w:p w14:paraId="28C15BEA" w14:textId="77777777" w:rsidR="00D04A77" w:rsidRPr="008F55FB" w:rsidRDefault="00D04A77" w:rsidP="0081080E">
            <w:pPr>
              <w:spacing w:line="360" w:lineRule="auto"/>
              <w:rPr>
                <w:rFonts w:ascii="Arial" w:hAnsi="Arial" w:cs="Arial"/>
                <w:sz w:val="18"/>
                <w:szCs w:val="18"/>
              </w:rPr>
            </w:pPr>
          </w:p>
        </w:tc>
        <w:tc>
          <w:tcPr>
            <w:tcW w:w="834" w:type="dxa"/>
          </w:tcPr>
          <w:p w14:paraId="1CEFF91A"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Com*</w:t>
            </w:r>
          </w:p>
        </w:tc>
        <w:tc>
          <w:tcPr>
            <w:tcW w:w="872" w:type="dxa"/>
          </w:tcPr>
          <w:p w14:paraId="3D340CCC"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Note</w:t>
            </w:r>
            <w:r w:rsidRPr="00DE6D82">
              <w:rPr>
                <w:rFonts w:ascii="Arial" w:hAnsi="Arial" w:cs="Arial"/>
                <w:sz w:val="18"/>
                <w:szCs w:val="18"/>
                <w:vertAlign w:val="superscript"/>
              </w:rPr>
              <w:t>+</w:t>
            </w:r>
          </w:p>
        </w:tc>
        <w:tc>
          <w:tcPr>
            <w:tcW w:w="779" w:type="dxa"/>
          </w:tcPr>
          <w:p w14:paraId="10DBCA59"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Com</w:t>
            </w:r>
          </w:p>
        </w:tc>
        <w:tc>
          <w:tcPr>
            <w:tcW w:w="853" w:type="dxa"/>
          </w:tcPr>
          <w:p w14:paraId="5AEE82CF"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Note</w:t>
            </w:r>
          </w:p>
        </w:tc>
        <w:tc>
          <w:tcPr>
            <w:tcW w:w="825" w:type="dxa"/>
          </w:tcPr>
          <w:p w14:paraId="0B1D2E2C"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Com</w:t>
            </w:r>
          </w:p>
        </w:tc>
        <w:tc>
          <w:tcPr>
            <w:tcW w:w="936" w:type="dxa"/>
          </w:tcPr>
          <w:p w14:paraId="798101D5"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Note</w:t>
            </w:r>
          </w:p>
        </w:tc>
        <w:tc>
          <w:tcPr>
            <w:tcW w:w="775" w:type="dxa"/>
          </w:tcPr>
          <w:p w14:paraId="65303CE4"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Com</w:t>
            </w:r>
          </w:p>
        </w:tc>
        <w:tc>
          <w:tcPr>
            <w:tcW w:w="856" w:type="dxa"/>
          </w:tcPr>
          <w:p w14:paraId="069CE20E"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Note</w:t>
            </w:r>
          </w:p>
        </w:tc>
        <w:tc>
          <w:tcPr>
            <w:tcW w:w="987" w:type="dxa"/>
          </w:tcPr>
          <w:p w14:paraId="4B98E3CA" w14:textId="77777777" w:rsidR="00D04A77" w:rsidRPr="00DE6D82" w:rsidRDefault="00D04A77" w:rsidP="0081080E">
            <w:pPr>
              <w:spacing w:line="360" w:lineRule="auto"/>
              <w:rPr>
                <w:rFonts w:ascii="Arial" w:hAnsi="Arial" w:cs="Arial"/>
                <w:sz w:val="18"/>
                <w:szCs w:val="18"/>
              </w:rPr>
            </w:pPr>
          </w:p>
        </w:tc>
      </w:tr>
      <w:tr w:rsidR="00D04A77" w:rsidRPr="00DE6D82" w14:paraId="12F2A4EA" w14:textId="77777777" w:rsidTr="0CA5D402">
        <w:tc>
          <w:tcPr>
            <w:tcW w:w="9214" w:type="dxa"/>
            <w:gridSpan w:val="10"/>
          </w:tcPr>
          <w:p w14:paraId="785C95FB" w14:textId="77777777" w:rsidR="00D04A77" w:rsidRPr="00DE6D82" w:rsidRDefault="00D04A77" w:rsidP="0081080E">
            <w:pPr>
              <w:spacing w:line="360" w:lineRule="auto"/>
              <w:rPr>
                <w:rFonts w:ascii="Arial" w:hAnsi="Arial" w:cs="Arial"/>
                <w:sz w:val="18"/>
                <w:szCs w:val="18"/>
              </w:rPr>
            </w:pPr>
            <w:r w:rsidRPr="00DE6D82">
              <w:rPr>
                <w:rFonts w:ascii="Arial" w:hAnsi="Arial" w:cs="Arial"/>
                <w:b/>
                <w:bCs/>
                <w:sz w:val="18"/>
                <w:szCs w:val="18"/>
              </w:rPr>
              <w:t>ABPI</w:t>
            </w:r>
            <w:r>
              <w:rPr>
                <w:rFonts w:ascii="Arial" w:hAnsi="Arial" w:cs="Arial"/>
                <w:b/>
                <w:bCs/>
                <w:sz w:val="18"/>
                <w:szCs w:val="18"/>
              </w:rPr>
              <w:t xml:space="preserve"> Requirements</w:t>
            </w:r>
          </w:p>
        </w:tc>
      </w:tr>
      <w:tr w:rsidR="001739A4" w:rsidRPr="00DE6D82" w14:paraId="150DA4D8" w14:textId="77777777" w:rsidTr="0CA5D402">
        <w:tc>
          <w:tcPr>
            <w:tcW w:w="1497" w:type="dxa"/>
          </w:tcPr>
          <w:p w14:paraId="01AD59B0" w14:textId="77777777" w:rsidR="00D04A77" w:rsidRPr="00DE6D82" w:rsidRDefault="00D04A77" w:rsidP="0081080E">
            <w:pPr>
              <w:spacing w:line="360" w:lineRule="auto"/>
              <w:rPr>
                <w:rFonts w:ascii="Arial" w:hAnsi="Arial" w:cs="Arial"/>
                <w:sz w:val="18"/>
                <w:szCs w:val="18"/>
              </w:rPr>
            </w:pPr>
            <w:bookmarkStart w:id="0" w:name="_Hlk153615338"/>
            <w:r w:rsidRPr="00DE6D82">
              <w:rPr>
                <w:rFonts w:ascii="Arial" w:hAnsi="Arial" w:cs="Arial"/>
                <w:sz w:val="18"/>
                <w:szCs w:val="18"/>
              </w:rPr>
              <w:t>VAT</w:t>
            </w:r>
          </w:p>
        </w:tc>
        <w:tc>
          <w:tcPr>
            <w:tcW w:w="834" w:type="dxa"/>
          </w:tcPr>
          <w:p w14:paraId="72565CA6" w14:textId="77777777" w:rsidR="00D04A77" w:rsidRDefault="00D04A77" w:rsidP="0081080E">
            <w:pPr>
              <w:spacing w:line="360" w:lineRule="auto"/>
              <w:rPr>
                <w:rFonts w:ascii="Arial" w:hAnsi="Arial" w:cs="Arial"/>
                <w:sz w:val="18"/>
                <w:szCs w:val="18"/>
              </w:rPr>
            </w:pPr>
            <w:r>
              <w:rPr>
                <w:rFonts w:ascii="Arial" w:hAnsi="Arial" w:cs="Arial"/>
                <w:sz w:val="18"/>
                <w:szCs w:val="18"/>
              </w:rPr>
              <w:t>93.3%</w:t>
            </w:r>
          </w:p>
          <w:p w14:paraId="762D307C" w14:textId="77777777" w:rsidR="00D04A77" w:rsidRPr="00DE6D82" w:rsidRDefault="00D04A77" w:rsidP="0081080E">
            <w:pPr>
              <w:spacing w:line="360" w:lineRule="auto"/>
              <w:rPr>
                <w:rFonts w:ascii="Arial" w:hAnsi="Arial" w:cs="Arial"/>
                <w:sz w:val="18"/>
                <w:szCs w:val="18"/>
              </w:rPr>
            </w:pPr>
            <w:r>
              <w:rPr>
                <w:rFonts w:ascii="Arial" w:hAnsi="Arial" w:cs="Arial"/>
                <w:sz w:val="18"/>
                <w:szCs w:val="18"/>
              </w:rPr>
              <w:t>(N=84)</w:t>
            </w:r>
          </w:p>
        </w:tc>
        <w:tc>
          <w:tcPr>
            <w:tcW w:w="872" w:type="dxa"/>
            <w:vAlign w:val="center"/>
          </w:tcPr>
          <w:p w14:paraId="3EA9F045"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90.7%</w:t>
            </w:r>
          </w:p>
          <w:p w14:paraId="18735E36"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(N=244)</w:t>
            </w:r>
          </w:p>
        </w:tc>
        <w:tc>
          <w:tcPr>
            <w:tcW w:w="779" w:type="dxa"/>
            <w:vAlign w:val="center"/>
          </w:tcPr>
          <w:p w14:paraId="1CF1FA9C"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3.3% (N=3)</w:t>
            </w:r>
          </w:p>
        </w:tc>
        <w:tc>
          <w:tcPr>
            <w:tcW w:w="853" w:type="dxa"/>
            <w:vAlign w:val="center"/>
          </w:tcPr>
          <w:p w14:paraId="0A2806F8"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2.6% (N=7)</w:t>
            </w:r>
          </w:p>
        </w:tc>
        <w:tc>
          <w:tcPr>
            <w:tcW w:w="825" w:type="dxa"/>
          </w:tcPr>
          <w:p w14:paraId="3CA018D5"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10.0% (N=9)</w:t>
            </w:r>
          </w:p>
        </w:tc>
        <w:tc>
          <w:tcPr>
            <w:tcW w:w="936" w:type="dxa"/>
          </w:tcPr>
          <w:p w14:paraId="64E57AD1"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6.7% (N=18)</w:t>
            </w:r>
          </w:p>
        </w:tc>
        <w:tc>
          <w:tcPr>
            <w:tcW w:w="775" w:type="dxa"/>
            <w:vAlign w:val="center"/>
          </w:tcPr>
          <w:p w14:paraId="52A5A327"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6" w:type="dxa"/>
            <w:vAlign w:val="center"/>
          </w:tcPr>
          <w:p w14:paraId="3770F958"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987" w:type="dxa"/>
            <w:vAlign w:val="center"/>
          </w:tcPr>
          <w:p w14:paraId="041A6736"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26.5%</w:t>
            </w:r>
          </w:p>
          <w:p w14:paraId="03F6259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(N=22)</w:t>
            </w:r>
          </w:p>
        </w:tc>
      </w:tr>
      <w:tr w:rsidR="001739A4" w:rsidRPr="00DE6D82" w14:paraId="0DAAB64D" w14:textId="77777777" w:rsidTr="0CA5D402">
        <w:tc>
          <w:tcPr>
            <w:tcW w:w="1497" w:type="dxa"/>
          </w:tcPr>
          <w:p w14:paraId="4779BDC6"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Exchange rates</w:t>
            </w:r>
          </w:p>
        </w:tc>
        <w:tc>
          <w:tcPr>
            <w:tcW w:w="834" w:type="dxa"/>
          </w:tcPr>
          <w:p w14:paraId="24721D76" w14:textId="255A02DA" w:rsidR="00D04A77" w:rsidRDefault="001739A4" w:rsidP="0081080E">
            <w:pPr>
              <w:spacing w:line="360" w:lineRule="auto"/>
              <w:rPr>
                <w:rFonts w:ascii="Arial" w:hAnsi="Arial" w:cs="Arial"/>
                <w:sz w:val="18"/>
                <w:szCs w:val="18"/>
              </w:rPr>
            </w:pPr>
            <w:r>
              <w:rPr>
                <w:rFonts w:ascii="Arial" w:hAnsi="Arial" w:cs="Arial"/>
                <w:sz w:val="18"/>
                <w:szCs w:val="18"/>
              </w:rPr>
              <w:t>71.1</w:t>
            </w:r>
            <w:r w:rsidR="00D04A77">
              <w:rPr>
                <w:rFonts w:ascii="Arial" w:hAnsi="Arial" w:cs="Arial"/>
                <w:sz w:val="18"/>
                <w:szCs w:val="18"/>
              </w:rPr>
              <w:t>%</w:t>
            </w:r>
          </w:p>
          <w:p w14:paraId="48E10B1D" w14:textId="766FF5E9" w:rsidR="00D04A77" w:rsidRPr="00DE6D82" w:rsidRDefault="00D04A77" w:rsidP="0081080E">
            <w:pPr>
              <w:spacing w:line="360" w:lineRule="auto"/>
              <w:rPr>
                <w:rFonts w:ascii="Arial" w:hAnsi="Arial" w:cs="Arial"/>
                <w:sz w:val="18"/>
                <w:szCs w:val="18"/>
              </w:rPr>
            </w:pPr>
            <w:r>
              <w:rPr>
                <w:rFonts w:ascii="Arial" w:hAnsi="Arial" w:cs="Arial"/>
                <w:sz w:val="18"/>
                <w:szCs w:val="18"/>
              </w:rPr>
              <w:t>(N=6</w:t>
            </w:r>
            <w:r w:rsidR="001739A4">
              <w:rPr>
                <w:rFonts w:ascii="Arial" w:hAnsi="Arial" w:cs="Arial"/>
                <w:sz w:val="18"/>
                <w:szCs w:val="18"/>
              </w:rPr>
              <w:t>4</w:t>
            </w:r>
            <w:r>
              <w:rPr>
                <w:rFonts w:ascii="Arial" w:hAnsi="Arial" w:cs="Arial"/>
                <w:sz w:val="18"/>
                <w:szCs w:val="18"/>
              </w:rPr>
              <w:t>)</w:t>
            </w:r>
          </w:p>
        </w:tc>
        <w:tc>
          <w:tcPr>
            <w:tcW w:w="872" w:type="dxa"/>
            <w:vAlign w:val="center"/>
          </w:tcPr>
          <w:p w14:paraId="7C7429CE" w14:textId="42B39344" w:rsidR="00D04A77" w:rsidRDefault="00D04A77" w:rsidP="0081080E">
            <w:pPr>
              <w:spacing w:line="360" w:lineRule="auto"/>
              <w:jc w:val="center"/>
              <w:rPr>
                <w:rFonts w:ascii="Arial" w:hAnsi="Arial" w:cs="Arial"/>
                <w:sz w:val="18"/>
                <w:szCs w:val="18"/>
              </w:rPr>
            </w:pPr>
            <w:r>
              <w:rPr>
                <w:rFonts w:ascii="Arial" w:hAnsi="Arial" w:cs="Arial"/>
                <w:sz w:val="18"/>
                <w:szCs w:val="18"/>
              </w:rPr>
              <w:t>6</w:t>
            </w:r>
            <w:r w:rsidR="001739A4">
              <w:rPr>
                <w:rFonts w:ascii="Arial" w:hAnsi="Arial" w:cs="Arial"/>
                <w:sz w:val="18"/>
                <w:szCs w:val="18"/>
              </w:rPr>
              <w:t>7.7</w:t>
            </w:r>
            <w:r>
              <w:rPr>
                <w:rFonts w:ascii="Arial" w:hAnsi="Arial" w:cs="Arial"/>
                <w:sz w:val="18"/>
                <w:szCs w:val="18"/>
              </w:rPr>
              <w:t>%</w:t>
            </w:r>
          </w:p>
          <w:p w14:paraId="0F74AE9D" w14:textId="610D405C"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(N=18</w:t>
            </w:r>
            <w:r w:rsidR="001739A4">
              <w:rPr>
                <w:rFonts w:ascii="Arial" w:hAnsi="Arial" w:cs="Arial"/>
                <w:sz w:val="18"/>
                <w:szCs w:val="18"/>
              </w:rPr>
              <w:t>2</w:t>
            </w:r>
            <w:r>
              <w:rPr>
                <w:rFonts w:ascii="Arial" w:hAnsi="Arial" w:cs="Arial"/>
                <w:sz w:val="18"/>
                <w:szCs w:val="18"/>
              </w:rPr>
              <w:t>)</w:t>
            </w:r>
          </w:p>
        </w:tc>
        <w:tc>
          <w:tcPr>
            <w:tcW w:w="779" w:type="dxa"/>
            <w:vAlign w:val="center"/>
          </w:tcPr>
          <w:p w14:paraId="0A5B6A5F"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24.4% (N=22)</w:t>
            </w:r>
          </w:p>
        </w:tc>
        <w:tc>
          <w:tcPr>
            <w:tcW w:w="853" w:type="dxa"/>
            <w:vAlign w:val="center"/>
          </w:tcPr>
          <w:p w14:paraId="700C6DDD" w14:textId="57319C63" w:rsidR="00D04A77" w:rsidRPr="00DE6D82" w:rsidRDefault="001739A4" w:rsidP="0081080E">
            <w:pPr>
              <w:spacing w:line="360" w:lineRule="auto"/>
              <w:jc w:val="center"/>
              <w:rPr>
                <w:rFonts w:ascii="Arial" w:hAnsi="Arial" w:cs="Arial"/>
                <w:sz w:val="18"/>
                <w:szCs w:val="18"/>
              </w:rPr>
            </w:pPr>
            <w:r>
              <w:rPr>
                <w:rFonts w:ascii="Arial" w:hAnsi="Arial" w:cs="Arial"/>
                <w:sz w:val="18"/>
                <w:szCs w:val="18"/>
              </w:rPr>
              <w:t>20.1</w:t>
            </w:r>
            <w:r w:rsidR="00D04A77" w:rsidRPr="00DE6D82">
              <w:rPr>
                <w:rFonts w:ascii="Arial" w:hAnsi="Arial" w:cs="Arial"/>
                <w:sz w:val="18"/>
                <w:szCs w:val="18"/>
              </w:rPr>
              <w:t>% (N=5</w:t>
            </w:r>
            <w:r>
              <w:rPr>
                <w:rFonts w:ascii="Arial" w:hAnsi="Arial" w:cs="Arial"/>
                <w:sz w:val="18"/>
                <w:szCs w:val="18"/>
              </w:rPr>
              <w:t>4</w:t>
            </w:r>
            <w:r w:rsidR="00D04A77" w:rsidRPr="00DE6D82">
              <w:rPr>
                <w:rFonts w:ascii="Arial" w:hAnsi="Arial" w:cs="Arial"/>
                <w:sz w:val="18"/>
                <w:szCs w:val="18"/>
              </w:rPr>
              <w:t>)</w:t>
            </w:r>
          </w:p>
        </w:tc>
        <w:tc>
          <w:tcPr>
            <w:tcW w:w="825" w:type="dxa"/>
          </w:tcPr>
          <w:p w14:paraId="27DFAFB2"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8.9% (N=8)</w:t>
            </w:r>
          </w:p>
        </w:tc>
        <w:tc>
          <w:tcPr>
            <w:tcW w:w="936" w:type="dxa"/>
          </w:tcPr>
          <w:p w14:paraId="4B64159B"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7.1% (N=19)</w:t>
            </w:r>
          </w:p>
        </w:tc>
        <w:tc>
          <w:tcPr>
            <w:tcW w:w="775" w:type="dxa"/>
            <w:vAlign w:val="center"/>
          </w:tcPr>
          <w:p w14:paraId="599DC242"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6.7% (N=6)</w:t>
            </w:r>
          </w:p>
        </w:tc>
        <w:tc>
          <w:tcPr>
            <w:tcW w:w="856" w:type="dxa"/>
            <w:vAlign w:val="center"/>
          </w:tcPr>
          <w:p w14:paraId="14324DD9"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5.2% (N=14)</w:t>
            </w:r>
          </w:p>
        </w:tc>
        <w:tc>
          <w:tcPr>
            <w:tcW w:w="987" w:type="dxa"/>
            <w:vAlign w:val="center"/>
          </w:tcPr>
          <w:p w14:paraId="68E13893"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23.8%</w:t>
            </w:r>
          </w:p>
          <w:p w14:paraId="234448D4"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(N=15)</w:t>
            </w:r>
          </w:p>
        </w:tc>
      </w:tr>
      <w:tr w:rsidR="001739A4" w:rsidRPr="00DE6D82" w14:paraId="7C10AA4C" w14:textId="77777777" w:rsidTr="0CA5D402">
        <w:tc>
          <w:tcPr>
            <w:tcW w:w="1497" w:type="dxa"/>
          </w:tcPr>
          <w:p w14:paraId="69204DCF" w14:textId="77777777" w:rsidR="00D04A77" w:rsidRPr="00DE6D82" w:rsidRDefault="00D04A77" w:rsidP="0081080E">
            <w:pPr>
              <w:spacing w:line="360" w:lineRule="auto"/>
              <w:rPr>
                <w:rFonts w:ascii="Arial" w:hAnsi="Arial" w:cs="Arial"/>
                <w:sz w:val="18"/>
                <w:szCs w:val="18"/>
              </w:rPr>
            </w:pPr>
            <w:r>
              <w:rPr>
                <w:rFonts w:ascii="Arial" w:hAnsi="Arial" w:cs="Arial"/>
                <w:sz w:val="18"/>
                <w:szCs w:val="18"/>
              </w:rPr>
              <w:t>Timing</w:t>
            </w:r>
          </w:p>
        </w:tc>
        <w:tc>
          <w:tcPr>
            <w:tcW w:w="834" w:type="dxa"/>
          </w:tcPr>
          <w:p w14:paraId="1755F3FD" w14:textId="77777777" w:rsidR="00D04A77" w:rsidRDefault="00D04A77" w:rsidP="0081080E">
            <w:pPr>
              <w:spacing w:line="360" w:lineRule="auto"/>
              <w:rPr>
                <w:rFonts w:ascii="Arial" w:hAnsi="Arial" w:cs="Arial"/>
                <w:sz w:val="18"/>
                <w:szCs w:val="18"/>
              </w:rPr>
            </w:pPr>
            <w:r>
              <w:rPr>
                <w:rFonts w:ascii="Arial" w:hAnsi="Arial" w:cs="Arial"/>
                <w:sz w:val="18"/>
                <w:szCs w:val="18"/>
              </w:rPr>
              <w:t>74.4%</w:t>
            </w:r>
          </w:p>
          <w:p w14:paraId="577DF911" w14:textId="77777777" w:rsidR="00D04A77" w:rsidRPr="00DE6D82" w:rsidRDefault="00D04A77" w:rsidP="0081080E">
            <w:pPr>
              <w:spacing w:line="360" w:lineRule="auto"/>
              <w:rPr>
                <w:rFonts w:ascii="Arial" w:hAnsi="Arial" w:cs="Arial"/>
                <w:sz w:val="18"/>
                <w:szCs w:val="18"/>
              </w:rPr>
            </w:pPr>
            <w:r>
              <w:rPr>
                <w:rFonts w:ascii="Arial" w:hAnsi="Arial" w:cs="Arial"/>
                <w:sz w:val="18"/>
                <w:szCs w:val="18"/>
              </w:rPr>
              <w:t>(N=67)</w:t>
            </w:r>
          </w:p>
        </w:tc>
        <w:tc>
          <w:tcPr>
            <w:tcW w:w="872" w:type="dxa"/>
            <w:vAlign w:val="center"/>
          </w:tcPr>
          <w:p w14:paraId="16C8D7F2"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70.6%</w:t>
            </w:r>
          </w:p>
          <w:p w14:paraId="32111F6E"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(N=190)</w:t>
            </w:r>
          </w:p>
        </w:tc>
        <w:tc>
          <w:tcPr>
            <w:tcW w:w="779" w:type="dxa"/>
            <w:vAlign w:val="center"/>
          </w:tcPr>
          <w:p w14:paraId="55EF817F" w14:textId="2AC014CD" w:rsidR="00D04A77" w:rsidRPr="00DE6D82" w:rsidRDefault="001739A4" w:rsidP="0081080E">
            <w:pPr>
              <w:spacing w:line="360" w:lineRule="auto"/>
              <w:jc w:val="center"/>
              <w:rPr>
                <w:rFonts w:ascii="Arial" w:hAnsi="Arial" w:cs="Arial"/>
                <w:sz w:val="18"/>
                <w:szCs w:val="18"/>
              </w:rPr>
            </w:pPr>
            <w:r>
              <w:rPr>
                <w:rFonts w:ascii="Arial" w:hAnsi="Arial" w:cs="Arial"/>
                <w:sz w:val="18"/>
                <w:szCs w:val="18"/>
              </w:rPr>
              <w:t>10.0</w:t>
            </w:r>
            <w:r w:rsidR="00D04A77" w:rsidRPr="00DE6D82">
              <w:rPr>
                <w:rFonts w:ascii="Arial" w:hAnsi="Arial" w:cs="Arial"/>
                <w:sz w:val="18"/>
                <w:szCs w:val="18"/>
              </w:rPr>
              <w:t>% (N=</w:t>
            </w:r>
            <w:r>
              <w:rPr>
                <w:rFonts w:ascii="Arial" w:hAnsi="Arial" w:cs="Arial"/>
                <w:sz w:val="18"/>
                <w:szCs w:val="18"/>
              </w:rPr>
              <w:t>9</w:t>
            </w:r>
            <w:r w:rsidR="00D04A77" w:rsidRPr="00DE6D82">
              <w:rPr>
                <w:rFonts w:ascii="Arial" w:hAnsi="Arial" w:cs="Arial"/>
                <w:sz w:val="18"/>
                <w:szCs w:val="18"/>
              </w:rPr>
              <w:t>)</w:t>
            </w:r>
          </w:p>
        </w:tc>
        <w:tc>
          <w:tcPr>
            <w:tcW w:w="853" w:type="dxa"/>
            <w:vAlign w:val="center"/>
          </w:tcPr>
          <w:p w14:paraId="6047CA5D" w14:textId="0F6D46FF" w:rsidR="00D04A77" w:rsidRPr="00DE6D82" w:rsidRDefault="001739A4" w:rsidP="0081080E">
            <w:pPr>
              <w:spacing w:line="360" w:lineRule="auto"/>
              <w:jc w:val="center"/>
              <w:rPr>
                <w:rFonts w:ascii="Arial" w:hAnsi="Arial" w:cs="Arial"/>
                <w:sz w:val="18"/>
                <w:szCs w:val="18"/>
              </w:rPr>
            </w:pPr>
            <w:r>
              <w:rPr>
                <w:rFonts w:ascii="Arial" w:hAnsi="Arial" w:cs="Arial"/>
                <w:sz w:val="18"/>
                <w:szCs w:val="18"/>
              </w:rPr>
              <w:t>8.2</w:t>
            </w:r>
            <w:r w:rsidR="00D04A77" w:rsidRPr="00DE6D82">
              <w:rPr>
                <w:rFonts w:ascii="Arial" w:hAnsi="Arial" w:cs="Arial"/>
                <w:sz w:val="18"/>
                <w:szCs w:val="18"/>
              </w:rPr>
              <w:t>% (N=</w:t>
            </w:r>
            <w:r>
              <w:rPr>
                <w:rFonts w:ascii="Arial" w:hAnsi="Arial" w:cs="Arial"/>
                <w:sz w:val="18"/>
                <w:szCs w:val="18"/>
              </w:rPr>
              <w:t>22</w:t>
            </w:r>
            <w:r w:rsidR="00D04A77" w:rsidRPr="00DE6D82">
              <w:rPr>
                <w:rFonts w:ascii="Arial" w:hAnsi="Arial" w:cs="Arial"/>
                <w:sz w:val="18"/>
                <w:szCs w:val="18"/>
              </w:rPr>
              <w:t>)</w:t>
            </w:r>
          </w:p>
        </w:tc>
        <w:tc>
          <w:tcPr>
            <w:tcW w:w="825" w:type="dxa"/>
          </w:tcPr>
          <w:p w14:paraId="3D2B3AD6" w14:textId="37E7BA38"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2</w:t>
            </w:r>
            <w:r w:rsidR="001739A4">
              <w:rPr>
                <w:rFonts w:ascii="Arial" w:hAnsi="Arial" w:cs="Arial"/>
                <w:sz w:val="18"/>
                <w:szCs w:val="18"/>
              </w:rPr>
              <w:t>4.4</w:t>
            </w:r>
            <w:r w:rsidRPr="00D87864">
              <w:rPr>
                <w:rFonts w:ascii="Arial" w:hAnsi="Arial" w:cs="Arial"/>
                <w:sz w:val="18"/>
                <w:szCs w:val="18"/>
              </w:rPr>
              <w:t>% (N=</w:t>
            </w:r>
            <w:r w:rsidR="001739A4">
              <w:rPr>
                <w:rFonts w:ascii="Arial" w:hAnsi="Arial" w:cs="Arial"/>
                <w:sz w:val="18"/>
                <w:szCs w:val="18"/>
              </w:rPr>
              <w:t>22</w:t>
            </w:r>
            <w:r w:rsidRPr="00D87864">
              <w:rPr>
                <w:rFonts w:ascii="Arial" w:hAnsi="Arial" w:cs="Arial"/>
                <w:sz w:val="18"/>
                <w:szCs w:val="18"/>
              </w:rPr>
              <w:t>)</w:t>
            </w:r>
          </w:p>
        </w:tc>
        <w:tc>
          <w:tcPr>
            <w:tcW w:w="936" w:type="dxa"/>
          </w:tcPr>
          <w:p w14:paraId="3E7CF08B" w14:textId="19924519"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2</w:t>
            </w:r>
            <w:r w:rsidR="001739A4">
              <w:rPr>
                <w:rFonts w:ascii="Arial" w:hAnsi="Arial" w:cs="Arial"/>
                <w:sz w:val="18"/>
                <w:szCs w:val="18"/>
              </w:rPr>
              <w:t>1.2</w:t>
            </w:r>
            <w:r w:rsidRPr="00D87864">
              <w:rPr>
                <w:rFonts w:ascii="Arial" w:hAnsi="Arial" w:cs="Arial"/>
                <w:sz w:val="18"/>
                <w:szCs w:val="18"/>
              </w:rPr>
              <w:t>% (N=</w:t>
            </w:r>
            <w:r w:rsidR="001739A4">
              <w:rPr>
                <w:rFonts w:ascii="Arial" w:hAnsi="Arial" w:cs="Arial"/>
                <w:sz w:val="18"/>
                <w:szCs w:val="18"/>
              </w:rPr>
              <w:t>57</w:t>
            </w:r>
            <w:r w:rsidRPr="00D87864">
              <w:rPr>
                <w:rFonts w:ascii="Arial" w:hAnsi="Arial" w:cs="Arial"/>
                <w:sz w:val="18"/>
                <w:szCs w:val="18"/>
              </w:rPr>
              <w:t>)</w:t>
            </w:r>
          </w:p>
        </w:tc>
        <w:tc>
          <w:tcPr>
            <w:tcW w:w="775" w:type="dxa"/>
            <w:vAlign w:val="center"/>
          </w:tcPr>
          <w:p w14:paraId="5A24E54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6" w:type="dxa"/>
            <w:vAlign w:val="center"/>
          </w:tcPr>
          <w:p w14:paraId="547DAEE3"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987" w:type="dxa"/>
            <w:vAlign w:val="center"/>
          </w:tcPr>
          <w:p w14:paraId="74AB143A"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17.2%</w:t>
            </w:r>
          </w:p>
          <w:p w14:paraId="6233E623"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(N=11)</w:t>
            </w:r>
          </w:p>
        </w:tc>
      </w:tr>
      <w:tr w:rsidR="001739A4" w:rsidRPr="00DE6D82" w14:paraId="68132916" w14:textId="77777777" w:rsidTr="0CA5D402">
        <w:tc>
          <w:tcPr>
            <w:tcW w:w="1497" w:type="dxa"/>
          </w:tcPr>
          <w:p w14:paraId="266220CB"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Multi-year projects</w:t>
            </w:r>
          </w:p>
        </w:tc>
        <w:tc>
          <w:tcPr>
            <w:tcW w:w="834" w:type="dxa"/>
          </w:tcPr>
          <w:p w14:paraId="1D90D6E7" w14:textId="77777777" w:rsidR="00D04A77" w:rsidRDefault="00D04A77" w:rsidP="0081080E">
            <w:pPr>
              <w:spacing w:line="360" w:lineRule="auto"/>
              <w:rPr>
                <w:rFonts w:ascii="Arial" w:hAnsi="Arial" w:cs="Arial"/>
                <w:sz w:val="18"/>
                <w:szCs w:val="18"/>
              </w:rPr>
            </w:pPr>
            <w:r>
              <w:rPr>
                <w:rFonts w:ascii="Arial" w:hAnsi="Arial" w:cs="Arial"/>
                <w:sz w:val="18"/>
                <w:szCs w:val="18"/>
              </w:rPr>
              <w:t>64.4%</w:t>
            </w:r>
          </w:p>
          <w:p w14:paraId="58911683" w14:textId="77777777" w:rsidR="00D04A77" w:rsidRPr="00DE6D82" w:rsidRDefault="00D04A77" w:rsidP="0081080E">
            <w:pPr>
              <w:spacing w:line="360" w:lineRule="auto"/>
              <w:rPr>
                <w:rFonts w:ascii="Arial" w:hAnsi="Arial" w:cs="Arial"/>
                <w:sz w:val="18"/>
                <w:szCs w:val="18"/>
              </w:rPr>
            </w:pPr>
            <w:r>
              <w:rPr>
                <w:rFonts w:ascii="Arial" w:hAnsi="Arial" w:cs="Arial"/>
                <w:sz w:val="18"/>
                <w:szCs w:val="18"/>
              </w:rPr>
              <w:t>(N=58)</w:t>
            </w:r>
          </w:p>
        </w:tc>
        <w:tc>
          <w:tcPr>
            <w:tcW w:w="872" w:type="dxa"/>
            <w:vAlign w:val="center"/>
          </w:tcPr>
          <w:p w14:paraId="51197B14"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55.8%</w:t>
            </w:r>
          </w:p>
          <w:p w14:paraId="59937FC9"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(N=150)</w:t>
            </w:r>
          </w:p>
        </w:tc>
        <w:tc>
          <w:tcPr>
            <w:tcW w:w="779" w:type="dxa"/>
            <w:vAlign w:val="center"/>
          </w:tcPr>
          <w:p w14:paraId="0A9A33D7"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1.1% (N=1)</w:t>
            </w:r>
          </w:p>
        </w:tc>
        <w:tc>
          <w:tcPr>
            <w:tcW w:w="853" w:type="dxa"/>
            <w:vAlign w:val="center"/>
          </w:tcPr>
          <w:p w14:paraId="58C36F35"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0.4% (N=1)</w:t>
            </w:r>
          </w:p>
        </w:tc>
        <w:tc>
          <w:tcPr>
            <w:tcW w:w="825" w:type="dxa"/>
          </w:tcPr>
          <w:p w14:paraId="5C8E359E"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41.1% (N=37)</w:t>
            </w:r>
          </w:p>
        </w:tc>
        <w:tc>
          <w:tcPr>
            <w:tcW w:w="936" w:type="dxa"/>
          </w:tcPr>
          <w:p w14:paraId="56ABE7C8"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32.7% (N=88)</w:t>
            </w:r>
          </w:p>
        </w:tc>
        <w:tc>
          <w:tcPr>
            <w:tcW w:w="775" w:type="dxa"/>
            <w:vAlign w:val="center"/>
          </w:tcPr>
          <w:p w14:paraId="1BE7C763"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14.4% (N=13)</w:t>
            </w:r>
          </w:p>
        </w:tc>
        <w:tc>
          <w:tcPr>
            <w:tcW w:w="856" w:type="dxa"/>
            <w:vAlign w:val="center"/>
          </w:tcPr>
          <w:p w14:paraId="25D8F1B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11.2% (N=30)</w:t>
            </w:r>
          </w:p>
        </w:tc>
        <w:tc>
          <w:tcPr>
            <w:tcW w:w="987" w:type="dxa"/>
            <w:vAlign w:val="center"/>
          </w:tcPr>
          <w:p w14:paraId="0EBEB229"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9.8%</w:t>
            </w:r>
          </w:p>
          <w:p w14:paraId="44C581D9"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(N=5)</w:t>
            </w:r>
          </w:p>
        </w:tc>
      </w:tr>
      <w:bookmarkEnd w:id="0"/>
      <w:tr w:rsidR="00D04A77" w:rsidRPr="00DE6D82" w14:paraId="4D19CE09" w14:textId="77777777" w:rsidTr="0CA5D402">
        <w:tc>
          <w:tcPr>
            <w:tcW w:w="9214" w:type="dxa"/>
            <w:gridSpan w:val="10"/>
          </w:tcPr>
          <w:p w14:paraId="421C273B" w14:textId="77777777" w:rsidR="00D04A77" w:rsidRPr="00DE6D82" w:rsidRDefault="00D04A77" w:rsidP="0081080E">
            <w:pPr>
              <w:spacing w:line="360" w:lineRule="auto"/>
              <w:rPr>
                <w:rFonts w:ascii="Arial" w:hAnsi="Arial" w:cs="Arial"/>
                <w:sz w:val="18"/>
                <w:szCs w:val="18"/>
              </w:rPr>
            </w:pPr>
            <w:r w:rsidRPr="00DE6D82">
              <w:rPr>
                <w:rFonts w:ascii="Arial" w:hAnsi="Arial" w:cs="Arial"/>
                <w:b/>
                <w:bCs/>
                <w:sz w:val="18"/>
                <w:szCs w:val="18"/>
              </w:rPr>
              <w:t>PMCPA</w:t>
            </w:r>
            <w:r>
              <w:rPr>
                <w:rFonts w:ascii="Arial" w:hAnsi="Arial" w:cs="Arial"/>
                <w:b/>
                <w:bCs/>
                <w:sz w:val="18"/>
                <w:szCs w:val="18"/>
              </w:rPr>
              <w:t xml:space="preserve"> Recommendations</w:t>
            </w:r>
          </w:p>
        </w:tc>
      </w:tr>
      <w:tr w:rsidR="001739A4" w:rsidRPr="00DE6D82" w14:paraId="54ED90C6" w14:textId="77777777" w:rsidTr="0CA5D402">
        <w:trPr>
          <w:trHeight w:val="401"/>
        </w:trPr>
        <w:tc>
          <w:tcPr>
            <w:tcW w:w="1497" w:type="dxa"/>
          </w:tcPr>
          <w:p w14:paraId="720213AC"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Cross</w:t>
            </w:r>
            <w:r>
              <w:rPr>
                <w:rFonts w:ascii="Arial" w:hAnsi="Arial" w:cs="Arial"/>
                <w:sz w:val="18"/>
                <w:szCs w:val="18"/>
              </w:rPr>
              <w:t>-</w:t>
            </w:r>
            <w:r w:rsidRPr="00DE6D82">
              <w:rPr>
                <w:rFonts w:ascii="Arial" w:hAnsi="Arial" w:cs="Arial"/>
                <w:sz w:val="18"/>
                <w:szCs w:val="18"/>
              </w:rPr>
              <w:t>border payments</w:t>
            </w:r>
          </w:p>
        </w:tc>
        <w:tc>
          <w:tcPr>
            <w:tcW w:w="834" w:type="dxa"/>
            <w:vAlign w:val="center"/>
          </w:tcPr>
          <w:p w14:paraId="54B9969C"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66.7%</w:t>
            </w:r>
          </w:p>
          <w:p w14:paraId="6ED3B284"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(N=60)</w:t>
            </w:r>
          </w:p>
        </w:tc>
        <w:tc>
          <w:tcPr>
            <w:tcW w:w="872" w:type="dxa"/>
            <w:vAlign w:val="center"/>
          </w:tcPr>
          <w:p w14:paraId="4A74559C"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63.6%</w:t>
            </w:r>
          </w:p>
          <w:p w14:paraId="6C050BA0"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(N=171)</w:t>
            </w:r>
          </w:p>
        </w:tc>
        <w:tc>
          <w:tcPr>
            <w:tcW w:w="779" w:type="dxa"/>
          </w:tcPr>
          <w:p w14:paraId="189BDDAE"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6.7% (N=6)</w:t>
            </w:r>
          </w:p>
        </w:tc>
        <w:tc>
          <w:tcPr>
            <w:tcW w:w="853" w:type="dxa"/>
          </w:tcPr>
          <w:p w14:paraId="2E942D0F"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5.6% (N=15)</w:t>
            </w:r>
          </w:p>
        </w:tc>
        <w:tc>
          <w:tcPr>
            <w:tcW w:w="825" w:type="dxa"/>
          </w:tcPr>
          <w:p w14:paraId="059171EB"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31.1% (N=28)</w:t>
            </w:r>
          </w:p>
        </w:tc>
        <w:tc>
          <w:tcPr>
            <w:tcW w:w="936" w:type="dxa"/>
          </w:tcPr>
          <w:p w14:paraId="37CBF334"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26.4% (N=71)</w:t>
            </w:r>
          </w:p>
        </w:tc>
        <w:tc>
          <w:tcPr>
            <w:tcW w:w="775" w:type="dxa"/>
            <w:vAlign w:val="center"/>
          </w:tcPr>
          <w:p w14:paraId="263DD986"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5.6% (N=5)</w:t>
            </w:r>
          </w:p>
        </w:tc>
        <w:tc>
          <w:tcPr>
            <w:tcW w:w="856" w:type="dxa"/>
            <w:vAlign w:val="center"/>
          </w:tcPr>
          <w:p w14:paraId="2DCEB608"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4.5% (N=12)</w:t>
            </w:r>
          </w:p>
        </w:tc>
        <w:tc>
          <w:tcPr>
            <w:tcW w:w="987" w:type="dxa"/>
            <w:vAlign w:val="center"/>
          </w:tcPr>
          <w:p w14:paraId="6E2A2E44"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10.8%</w:t>
            </w:r>
          </w:p>
          <w:p w14:paraId="633DCCFA"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(N=4)</w:t>
            </w:r>
          </w:p>
        </w:tc>
      </w:tr>
      <w:tr w:rsidR="001739A4" w:rsidRPr="00DE6D82" w14:paraId="438B4D63" w14:textId="77777777" w:rsidTr="0CA5D402">
        <w:tc>
          <w:tcPr>
            <w:tcW w:w="1497" w:type="dxa"/>
          </w:tcPr>
          <w:p w14:paraId="38D7E2BB" w14:textId="5A40A4A5"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Over</w:t>
            </w:r>
            <w:r>
              <w:rPr>
                <w:rFonts w:ascii="Arial" w:hAnsi="Arial" w:cs="Arial"/>
                <w:sz w:val="18"/>
                <w:szCs w:val="18"/>
              </w:rPr>
              <w:t>-</w:t>
            </w:r>
            <w:r w:rsidRPr="00DE6D82">
              <w:rPr>
                <w:rFonts w:ascii="Arial" w:hAnsi="Arial" w:cs="Arial"/>
                <w:sz w:val="18"/>
                <w:szCs w:val="18"/>
              </w:rPr>
              <w:t>the</w:t>
            </w:r>
            <w:r>
              <w:rPr>
                <w:rFonts w:ascii="Arial" w:hAnsi="Arial" w:cs="Arial"/>
                <w:sz w:val="18"/>
                <w:szCs w:val="18"/>
              </w:rPr>
              <w:t>-</w:t>
            </w:r>
            <w:r w:rsidRPr="00DE6D82">
              <w:rPr>
                <w:rFonts w:ascii="Arial" w:hAnsi="Arial" w:cs="Arial"/>
                <w:sz w:val="18"/>
                <w:szCs w:val="18"/>
              </w:rPr>
              <w:t xml:space="preserve">counter </w:t>
            </w:r>
            <w:r w:rsidR="00EE3F6C">
              <w:rPr>
                <w:rFonts w:ascii="Arial" w:hAnsi="Arial" w:cs="Arial"/>
                <w:sz w:val="18"/>
                <w:szCs w:val="18"/>
              </w:rPr>
              <w:t>medicines</w:t>
            </w:r>
            <w:r>
              <w:rPr>
                <w:rFonts w:ascii="Arial" w:hAnsi="Arial" w:cs="Arial"/>
                <w:sz w:val="18"/>
                <w:szCs w:val="18"/>
              </w:rPr>
              <w:t xml:space="preserve"> </w:t>
            </w:r>
          </w:p>
        </w:tc>
        <w:tc>
          <w:tcPr>
            <w:tcW w:w="834" w:type="dxa"/>
          </w:tcPr>
          <w:p w14:paraId="4D2201DD" w14:textId="77777777" w:rsidR="00D04A77" w:rsidRPr="00DE6D82" w:rsidRDefault="00D04A77" w:rsidP="005E2419">
            <w:pPr>
              <w:spacing w:line="360" w:lineRule="auto"/>
              <w:jc w:val="center"/>
              <w:rPr>
                <w:rFonts w:ascii="Arial" w:hAnsi="Arial" w:cs="Arial"/>
                <w:sz w:val="18"/>
                <w:szCs w:val="18"/>
              </w:rPr>
            </w:pPr>
            <w:r>
              <w:rPr>
                <w:rFonts w:ascii="Arial" w:hAnsi="Arial" w:cs="Arial"/>
                <w:sz w:val="18"/>
                <w:szCs w:val="18"/>
              </w:rPr>
              <w:t>36.7% (N=33)</w:t>
            </w:r>
          </w:p>
        </w:tc>
        <w:tc>
          <w:tcPr>
            <w:tcW w:w="872" w:type="dxa"/>
          </w:tcPr>
          <w:p w14:paraId="2CAE64A3" w14:textId="77777777" w:rsidR="00D04A77" w:rsidRDefault="00D04A77" w:rsidP="005E2419">
            <w:pPr>
              <w:spacing w:line="360" w:lineRule="auto"/>
              <w:jc w:val="center"/>
              <w:rPr>
                <w:rFonts w:ascii="Arial" w:hAnsi="Arial" w:cs="Arial"/>
                <w:sz w:val="18"/>
                <w:szCs w:val="18"/>
              </w:rPr>
            </w:pPr>
            <w:r>
              <w:rPr>
                <w:rFonts w:ascii="Arial" w:hAnsi="Arial" w:cs="Arial"/>
                <w:sz w:val="18"/>
                <w:szCs w:val="18"/>
              </w:rPr>
              <w:t>32.0%</w:t>
            </w:r>
          </w:p>
          <w:p w14:paraId="39578387" w14:textId="77777777" w:rsidR="00D04A77" w:rsidRPr="00DE6D82" w:rsidRDefault="00D04A77" w:rsidP="005E2419">
            <w:pPr>
              <w:spacing w:line="360" w:lineRule="auto"/>
              <w:jc w:val="center"/>
              <w:rPr>
                <w:rFonts w:ascii="Arial" w:hAnsi="Arial" w:cs="Arial"/>
                <w:sz w:val="18"/>
                <w:szCs w:val="18"/>
              </w:rPr>
            </w:pPr>
            <w:r>
              <w:rPr>
                <w:rFonts w:ascii="Arial" w:hAnsi="Arial" w:cs="Arial"/>
                <w:sz w:val="18"/>
                <w:szCs w:val="18"/>
              </w:rPr>
              <w:t>(N=86)</w:t>
            </w:r>
          </w:p>
        </w:tc>
        <w:tc>
          <w:tcPr>
            <w:tcW w:w="779" w:type="dxa"/>
          </w:tcPr>
          <w:p w14:paraId="6D5DA25D"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0.0% (N=0)</w:t>
            </w:r>
          </w:p>
        </w:tc>
        <w:tc>
          <w:tcPr>
            <w:tcW w:w="853" w:type="dxa"/>
          </w:tcPr>
          <w:p w14:paraId="3C2ABF33"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0.0% (N=0)</w:t>
            </w:r>
          </w:p>
        </w:tc>
        <w:tc>
          <w:tcPr>
            <w:tcW w:w="825" w:type="dxa"/>
          </w:tcPr>
          <w:p w14:paraId="4EF5D347"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58.9% (N=53)</w:t>
            </w:r>
          </w:p>
        </w:tc>
        <w:tc>
          <w:tcPr>
            <w:tcW w:w="936" w:type="dxa"/>
          </w:tcPr>
          <w:p w14:paraId="47B73D22"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51.3% (N=138)</w:t>
            </w:r>
          </w:p>
        </w:tc>
        <w:tc>
          <w:tcPr>
            <w:tcW w:w="775" w:type="dxa"/>
          </w:tcPr>
          <w:p w14:paraId="5BB1223C" w14:textId="77777777" w:rsidR="00D04A77" w:rsidRPr="00DE6D82" w:rsidRDefault="00D04A77" w:rsidP="005E2419">
            <w:pPr>
              <w:spacing w:line="360" w:lineRule="auto"/>
              <w:jc w:val="center"/>
              <w:rPr>
                <w:rFonts w:ascii="Arial" w:hAnsi="Arial" w:cs="Arial"/>
                <w:sz w:val="18"/>
                <w:szCs w:val="18"/>
              </w:rPr>
            </w:pPr>
            <w:r w:rsidRPr="00DE6D82">
              <w:rPr>
                <w:rFonts w:ascii="Arial" w:hAnsi="Arial" w:cs="Arial"/>
                <w:sz w:val="18"/>
                <w:szCs w:val="18"/>
              </w:rPr>
              <w:t>16.7% (N=15)</w:t>
            </w:r>
          </w:p>
        </w:tc>
        <w:tc>
          <w:tcPr>
            <w:tcW w:w="856" w:type="dxa"/>
          </w:tcPr>
          <w:p w14:paraId="357B2C51" w14:textId="77777777" w:rsidR="00D04A77" w:rsidRPr="00DE6D82" w:rsidRDefault="00D04A77" w:rsidP="005E2419">
            <w:pPr>
              <w:spacing w:line="360" w:lineRule="auto"/>
              <w:jc w:val="center"/>
              <w:rPr>
                <w:rFonts w:ascii="Arial" w:hAnsi="Arial" w:cs="Arial"/>
                <w:sz w:val="18"/>
                <w:szCs w:val="18"/>
              </w:rPr>
            </w:pPr>
            <w:r w:rsidRPr="00DE6D82">
              <w:rPr>
                <w:rFonts w:ascii="Arial" w:hAnsi="Arial" w:cs="Arial"/>
                <w:sz w:val="18"/>
                <w:szCs w:val="18"/>
              </w:rPr>
              <w:t>16.7% (N=45)</w:t>
            </w:r>
          </w:p>
        </w:tc>
        <w:tc>
          <w:tcPr>
            <w:tcW w:w="987" w:type="dxa"/>
          </w:tcPr>
          <w:p w14:paraId="515FF511" w14:textId="77777777" w:rsidR="00D04A77" w:rsidRPr="00DE6D82" w:rsidRDefault="00D04A77" w:rsidP="005E2419">
            <w:pPr>
              <w:spacing w:line="360" w:lineRule="auto"/>
              <w:jc w:val="center"/>
              <w:rPr>
                <w:rFonts w:ascii="Arial" w:hAnsi="Arial" w:cs="Arial"/>
                <w:sz w:val="18"/>
                <w:szCs w:val="18"/>
              </w:rPr>
            </w:pPr>
            <w:r w:rsidRPr="00DE6D82">
              <w:rPr>
                <w:rFonts w:ascii="Arial" w:hAnsi="Arial" w:cs="Arial"/>
                <w:sz w:val="18"/>
                <w:szCs w:val="18"/>
              </w:rPr>
              <w:t>3.6%</w:t>
            </w:r>
          </w:p>
          <w:p w14:paraId="69497E9D" w14:textId="77777777" w:rsidR="00D04A77" w:rsidRPr="00DE6D82" w:rsidRDefault="00D04A77" w:rsidP="005E2419">
            <w:pPr>
              <w:spacing w:line="360" w:lineRule="auto"/>
              <w:jc w:val="center"/>
              <w:rPr>
                <w:rFonts w:ascii="Arial" w:hAnsi="Arial" w:cs="Arial"/>
                <w:sz w:val="18"/>
                <w:szCs w:val="18"/>
              </w:rPr>
            </w:pPr>
            <w:r w:rsidRPr="00DE6D82">
              <w:rPr>
                <w:rFonts w:ascii="Arial" w:hAnsi="Arial" w:cs="Arial"/>
                <w:sz w:val="18"/>
                <w:szCs w:val="18"/>
              </w:rPr>
              <w:t>(N=1)</w:t>
            </w:r>
          </w:p>
        </w:tc>
      </w:tr>
      <w:tr w:rsidR="001739A4" w:rsidRPr="00DE6D82" w14:paraId="13727A67" w14:textId="77777777" w:rsidTr="0CA5D402">
        <w:tc>
          <w:tcPr>
            <w:tcW w:w="1497" w:type="dxa"/>
          </w:tcPr>
          <w:p w14:paraId="5224AE93"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Medical devices</w:t>
            </w:r>
          </w:p>
        </w:tc>
        <w:tc>
          <w:tcPr>
            <w:tcW w:w="834" w:type="dxa"/>
            <w:vAlign w:val="center"/>
          </w:tcPr>
          <w:p w14:paraId="644A0E8C"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32.2%</w:t>
            </w:r>
          </w:p>
          <w:p w14:paraId="081D0633"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(N=29)</w:t>
            </w:r>
          </w:p>
        </w:tc>
        <w:tc>
          <w:tcPr>
            <w:tcW w:w="872" w:type="dxa"/>
            <w:vAlign w:val="center"/>
          </w:tcPr>
          <w:p w14:paraId="5C83973C"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26.0% (N=70)</w:t>
            </w:r>
          </w:p>
        </w:tc>
        <w:tc>
          <w:tcPr>
            <w:tcW w:w="779" w:type="dxa"/>
          </w:tcPr>
          <w:p w14:paraId="3F4DC84A"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0.0% (N=0)</w:t>
            </w:r>
          </w:p>
        </w:tc>
        <w:tc>
          <w:tcPr>
            <w:tcW w:w="853" w:type="dxa"/>
          </w:tcPr>
          <w:p w14:paraId="2609A383"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0.0% (N=0)</w:t>
            </w:r>
          </w:p>
        </w:tc>
        <w:tc>
          <w:tcPr>
            <w:tcW w:w="825" w:type="dxa"/>
          </w:tcPr>
          <w:p w14:paraId="5AD2B041"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70.0% (N=63)</w:t>
            </w:r>
          </w:p>
        </w:tc>
        <w:tc>
          <w:tcPr>
            <w:tcW w:w="936" w:type="dxa"/>
          </w:tcPr>
          <w:p w14:paraId="5FC09B62"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61.7% (N=166)</w:t>
            </w:r>
          </w:p>
        </w:tc>
        <w:tc>
          <w:tcPr>
            <w:tcW w:w="775" w:type="dxa"/>
            <w:vAlign w:val="center"/>
          </w:tcPr>
          <w:p w14:paraId="7B15DC69"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15.6% (N=14)</w:t>
            </w:r>
          </w:p>
        </w:tc>
        <w:tc>
          <w:tcPr>
            <w:tcW w:w="856" w:type="dxa"/>
            <w:vAlign w:val="center"/>
          </w:tcPr>
          <w:p w14:paraId="10B591DF"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12.3% (N=33)</w:t>
            </w:r>
          </w:p>
        </w:tc>
        <w:tc>
          <w:tcPr>
            <w:tcW w:w="987" w:type="dxa"/>
            <w:vAlign w:val="center"/>
          </w:tcPr>
          <w:p w14:paraId="20A9D6E1"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9.1%</w:t>
            </w:r>
          </w:p>
          <w:p w14:paraId="2EA5386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(N=2)</w:t>
            </w:r>
          </w:p>
        </w:tc>
      </w:tr>
      <w:tr w:rsidR="001739A4" w:rsidRPr="00DE6D82" w14:paraId="04F60378" w14:textId="77777777" w:rsidTr="0CA5D402">
        <w:tc>
          <w:tcPr>
            <w:tcW w:w="1497" w:type="dxa"/>
          </w:tcPr>
          <w:p w14:paraId="29CE7BDD"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Non-monetary payments</w:t>
            </w:r>
          </w:p>
        </w:tc>
        <w:tc>
          <w:tcPr>
            <w:tcW w:w="834" w:type="dxa"/>
            <w:vAlign w:val="center"/>
          </w:tcPr>
          <w:p w14:paraId="71729AD5"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31.1%</w:t>
            </w:r>
          </w:p>
          <w:p w14:paraId="54AADD81"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(N=28)</w:t>
            </w:r>
          </w:p>
        </w:tc>
        <w:tc>
          <w:tcPr>
            <w:tcW w:w="872" w:type="dxa"/>
            <w:vAlign w:val="center"/>
          </w:tcPr>
          <w:p w14:paraId="3A008F15"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26.8% (N=72)</w:t>
            </w:r>
          </w:p>
        </w:tc>
        <w:tc>
          <w:tcPr>
            <w:tcW w:w="779" w:type="dxa"/>
          </w:tcPr>
          <w:p w14:paraId="427DDDB7"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1.1% (N=1)</w:t>
            </w:r>
          </w:p>
        </w:tc>
        <w:tc>
          <w:tcPr>
            <w:tcW w:w="853" w:type="dxa"/>
          </w:tcPr>
          <w:p w14:paraId="71AF7B16" w14:textId="77777777" w:rsidR="00D04A77" w:rsidRPr="00DE6D82" w:rsidRDefault="00D04A77" w:rsidP="0081080E">
            <w:pPr>
              <w:spacing w:line="360" w:lineRule="auto"/>
              <w:jc w:val="center"/>
              <w:rPr>
                <w:rFonts w:ascii="Arial" w:hAnsi="Arial" w:cs="Arial"/>
                <w:sz w:val="18"/>
                <w:szCs w:val="18"/>
              </w:rPr>
            </w:pPr>
            <w:r w:rsidRPr="003A1802">
              <w:rPr>
                <w:rFonts w:ascii="Arial" w:hAnsi="Arial" w:cs="Arial"/>
                <w:sz w:val="18"/>
                <w:szCs w:val="18"/>
              </w:rPr>
              <w:t>0.4% (N=1)</w:t>
            </w:r>
          </w:p>
        </w:tc>
        <w:tc>
          <w:tcPr>
            <w:tcW w:w="825" w:type="dxa"/>
          </w:tcPr>
          <w:p w14:paraId="7411F160"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66.7% (N=60)</w:t>
            </w:r>
          </w:p>
        </w:tc>
        <w:tc>
          <w:tcPr>
            <w:tcW w:w="936" w:type="dxa"/>
          </w:tcPr>
          <w:p w14:paraId="6F65EFC6"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61.7% (N=166)</w:t>
            </w:r>
          </w:p>
        </w:tc>
        <w:tc>
          <w:tcPr>
            <w:tcW w:w="775" w:type="dxa"/>
            <w:vAlign w:val="center"/>
          </w:tcPr>
          <w:p w14:paraId="34AC8188"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15.6% (N=14)</w:t>
            </w:r>
          </w:p>
        </w:tc>
        <w:tc>
          <w:tcPr>
            <w:tcW w:w="856" w:type="dxa"/>
            <w:vAlign w:val="center"/>
          </w:tcPr>
          <w:p w14:paraId="58F208F5"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11.2% (N=30)</w:t>
            </w:r>
          </w:p>
        </w:tc>
        <w:tc>
          <w:tcPr>
            <w:tcW w:w="987" w:type="dxa"/>
            <w:vAlign w:val="center"/>
          </w:tcPr>
          <w:p w14:paraId="584E94F1"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4.3%</w:t>
            </w:r>
          </w:p>
          <w:p w14:paraId="59B4B7A4"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(N=1)</w:t>
            </w:r>
          </w:p>
        </w:tc>
      </w:tr>
      <w:tr w:rsidR="00D04A77" w:rsidRPr="00DE6D82" w14:paraId="479F5A6A" w14:textId="77777777" w:rsidTr="0CA5D402">
        <w:tc>
          <w:tcPr>
            <w:tcW w:w="9214" w:type="dxa"/>
            <w:gridSpan w:val="10"/>
          </w:tcPr>
          <w:p w14:paraId="6CEFD3DB" w14:textId="77777777" w:rsidR="00D04A77" w:rsidRPr="00DE6D82" w:rsidRDefault="00D04A77" w:rsidP="0081080E">
            <w:pPr>
              <w:spacing w:line="360" w:lineRule="auto"/>
              <w:rPr>
                <w:rFonts w:ascii="Arial" w:hAnsi="Arial" w:cs="Arial"/>
                <w:sz w:val="18"/>
                <w:szCs w:val="18"/>
              </w:rPr>
            </w:pPr>
            <w:r w:rsidRPr="0CA5D402">
              <w:rPr>
                <w:rFonts w:ascii="Arial" w:hAnsi="Arial" w:cs="Arial"/>
                <w:b/>
                <w:bCs/>
                <w:sz w:val="18"/>
                <w:szCs w:val="18"/>
              </w:rPr>
              <w:t>Other Areas of Interest</w:t>
            </w:r>
          </w:p>
        </w:tc>
      </w:tr>
      <w:tr w:rsidR="001739A4" w:rsidRPr="00DE6D82" w14:paraId="418C4162" w14:textId="77777777" w:rsidTr="0CA5D402">
        <w:tc>
          <w:tcPr>
            <w:tcW w:w="1497" w:type="dxa"/>
          </w:tcPr>
          <w:p w14:paraId="475C770A"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Partial disclosure</w:t>
            </w:r>
          </w:p>
        </w:tc>
        <w:tc>
          <w:tcPr>
            <w:tcW w:w="834" w:type="dxa"/>
            <w:vAlign w:val="center"/>
          </w:tcPr>
          <w:p w14:paraId="414F8F01"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44.4%</w:t>
            </w:r>
          </w:p>
          <w:p w14:paraId="242DE112"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(N=40)</w:t>
            </w:r>
          </w:p>
        </w:tc>
        <w:tc>
          <w:tcPr>
            <w:tcW w:w="872" w:type="dxa"/>
            <w:vAlign w:val="center"/>
          </w:tcPr>
          <w:p w14:paraId="0F2042DD"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40.5%</w:t>
            </w:r>
          </w:p>
          <w:p w14:paraId="63B1CB29"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(N=109)</w:t>
            </w:r>
          </w:p>
        </w:tc>
        <w:tc>
          <w:tcPr>
            <w:tcW w:w="779" w:type="dxa"/>
            <w:vAlign w:val="center"/>
          </w:tcPr>
          <w:p w14:paraId="36CBCA8C"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1.1% (N=1)</w:t>
            </w:r>
          </w:p>
        </w:tc>
        <w:tc>
          <w:tcPr>
            <w:tcW w:w="853" w:type="dxa"/>
            <w:vAlign w:val="center"/>
          </w:tcPr>
          <w:p w14:paraId="432630DB"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1.1% (N=3)</w:t>
            </w:r>
          </w:p>
        </w:tc>
        <w:tc>
          <w:tcPr>
            <w:tcW w:w="825" w:type="dxa"/>
          </w:tcPr>
          <w:p w14:paraId="2B2D0CCA"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62.2% (N=56)</w:t>
            </w:r>
          </w:p>
        </w:tc>
        <w:tc>
          <w:tcPr>
            <w:tcW w:w="936" w:type="dxa"/>
          </w:tcPr>
          <w:p w14:paraId="7A5062F1"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58.4% (N=157)</w:t>
            </w:r>
          </w:p>
        </w:tc>
        <w:tc>
          <w:tcPr>
            <w:tcW w:w="775" w:type="dxa"/>
            <w:vAlign w:val="center"/>
          </w:tcPr>
          <w:p w14:paraId="78F0B547"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6" w:type="dxa"/>
            <w:vAlign w:val="center"/>
          </w:tcPr>
          <w:p w14:paraId="45675D34"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987" w:type="dxa"/>
            <w:vAlign w:val="center"/>
          </w:tcPr>
          <w:p w14:paraId="296F69D6"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5.6%</w:t>
            </w:r>
          </w:p>
          <w:p w14:paraId="323BF755"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(N=2)</w:t>
            </w:r>
          </w:p>
        </w:tc>
      </w:tr>
      <w:tr w:rsidR="001739A4" w:rsidRPr="00DE6D82" w14:paraId="6B41EDE3" w14:textId="77777777" w:rsidTr="0CA5D402">
        <w:tc>
          <w:tcPr>
            <w:tcW w:w="1497" w:type="dxa"/>
          </w:tcPr>
          <w:p w14:paraId="3CB52DB6"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Non-attendance or cancellation</w:t>
            </w:r>
          </w:p>
        </w:tc>
        <w:tc>
          <w:tcPr>
            <w:tcW w:w="834" w:type="dxa"/>
            <w:vAlign w:val="center"/>
          </w:tcPr>
          <w:p w14:paraId="0DA7622E"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31.1%</w:t>
            </w:r>
          </w:p>
          <w:p w14:paraId="696E47FD"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(N=28)</w:t>
            </w:r>
          </w:p>
        </w:tc>
        <w:tc>
          <w:tcPr>
            <w:tcW w:w="872" w:type="dxa"/>
            <w:vAlign w:val="center"/>
          </w:tcPr>
          <w:p w14:paraId="46CCA77A"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28.3%</w:t>
            </w:r>
          </w:p>
          <w:p w14:paraId="3441C2BF"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(N=76)</w:t>
            </w:r>
          </w:p>
        </w:tc>
        <w:tc>
          <w:tcPr>
            <w:tcW w:w="779" w:type="dxa"/>
            <w:vAlign w:val="center"/>
          </w:tcPr>
          <w:p w14:paraId="59D8E18B"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3" w:type="dxa"/>
            <w:vAlign w:val="center"/>
          </w:tcPr>
          <w:p w14:paraId="70516843"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25" w:type="dxa"/>
          </w:tcPr>
          <w:p w14:paraId="7E19B937"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74.4% (N=67)</w:t>
            </w:r>
          </w:p>
        </w:tc>
        <w:tc>
          <w:tcPr>
            <w:tcW w:w="936" w:type="dxa"/>
          </w:tcPr>
          <w:p w14:paraId="3BE35BF5"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71.7% (N=193)</w:t>
            </w:r>
          </w:p>
        </w:tc>
        <w:tc>
          <w:tcPr>
            <w:tcW w:w="775" w:type="dxa"/>
            <w:vAlign w:val="center"/>
          </w:tcPr>
          <w:p w14:paraId="1C4B8BEA"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6" w:type="dxa"/>
            <w:vAlign w:val="center"/>
          </w:tcPr>
          <w:p w14:paraId="1943558B"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987" w:type="dxa"/>
            <w:vAlign w:val="center"/>
          </w:tcPr>
          <w:p w14:paraId="47357E8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8.0%</w:t>
            </w:r>
          </w:p>
          <w:p w14:paraId="6A44C4E1"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(N=2)</w:t>
            </w:r>
          </w:p>
        </w:tc>
      </w:tr>
      <w:tr w:rsidR="001739A4" w:rsidRPr="00DE6D82" w14:paraId="2712DA1C" w14:textId="77777777" w:rsidTr="0CA5D402">
        <w:tc>
          <w:tcPr>
            <w:tcW w:w="1497" w:type="dxa"/>
          </w:tcPr>
          <w:p w14:paraId="5B500ADC"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Blinded market research</w:t>
            </w:r>
          </w:p>
        </w:tc>
        <w:tc>
          <w:tcPr>
            <w:tcW w:w="834" w:type="dxa"/>
            <w:vAlign w:val="center"/>
          </w:tcPr>
          <w:p w14:paraId="28BD7B41"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18.9%</w:t>
            </w:r>
          </w:p>
          <w:p w14:paraId="082E4495"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(N=17)</w:t>
            </w:r>
          </w:p>
        </w:tc>
        <w:tc>
          <w:tcPr>
            <w:tcW w:w="872" w:type="dxa"/>
            <w:vAlign w:val="center"/>
          </w:tcPr>
          <w:p w14:paraId="7209C50B"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17.1%</w:t>
            </w:r>
          </w:p>
          <w:p w14:paraId="7BD92AAF"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(N=46)</w:t>
            </w:r>
          </w:p>
        </w:tc>
        <w:tc>
          <w:tcPr>
            <w:tcW w:w="779" w:type="dxa"/>
            <w:vAlign w:val="center"/>
          </w:tcPr>
          <w:p w14:paraId="554766CC"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3" w:type="dxa"/>
            <w:vAlign w:val="center"/>
          </w:tcPr>
          <w:p w14:paraId="2F3F7741"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25" w:type="dxa"/>
          </w:tcPr>
          <w:p w14:paraId="30CEB59B"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84.4% (N=76)</w:t>
            </w:r>
          </w:p>
        </w:tc>
        <w:tc>
          <w:tcPr>
            <w:tcW w:w="936" w:type="dxa"/>
          </w:tcPr>
          <w:p w14:paraId="0519CF9B"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82.9% (N=223)</w:t>
            </w:r>
          </w:p>
        </w:tc>
        <w:tc>
          <w:tcPr>
            <w:tcW w:w="775" w:type="dxa"/>
            <w:vAlign w:val="center"/>
          </w:tcPr>
          <w:p w14:paraId="4A3E2E0C"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6" w:type="dxa"/>
            <w:vAlign w:val="center"/>
          </w:tcPr>
          <w:p w14:paraId="4E7959C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987" w:type="dxa"/>
            <w:vAlign w:val="center"/>
          </w:tcPr>
          <w:p w14:paraId="2076E657"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 xml:space="preserve">100.0% </w:t>
            </w:r>
          </w:p>
          <w:p w14:paraId="0C6F5B6B"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(N=15)</w:t>
            </w:r>
          </w:p>
        </w:tc>
      </w:tr>
      <w:tr w:rsidR="001739A4" w:rsidRPr="00DE6D82" w14:paraId="4443123A" w14:textId="77777777" w:rsidTr="0CA5D402">
        <w:tc>
          <w:tcPr>
            <w:tcW w:w="1497" w:type="dxa"/>
          </w:tcPr>
          <w:p w14:paraId="19462D88" w14:textId="77777777" w:rsidR="00D04A77" w:rsidRPr="00DE6D82" w:rsidRDefault="00D04A77" w:rsidP="0081080E">
            <w:pPr>
              <w:spacing w:line="360" w:lineRule="auto"/>
              <w:rPr>
                <w:rFonts w:ascii="Arial" w:hAnsi="Arial" w:cs="Arial"/>
                <w:sz w:val="18"/>
                <w:szCs w:val="18"/>
              </w:rPr>
            </w:pPr>
            <w:r w:rsidRPr="00DE6D82">
              <w:rPr>
                <w:rFonts w:ascii="Arial" w:hAnsi="Arial" w:cs="Arial"/>
                <w:sz w:val="18"/>
                <w:szCs w:val="18"/>
              </w:rPr>
              <w:t>Internal events</w:t>
            </w:r>
          </w:p>
        </w:tc>
        <w:tc>
          <w:tcPr>
            <w:tcW w:w="834" w:type="dxa"/>
            <w:vAlign w:val="center"/>
          </w:tcPr>
          <w:p w14:paraId="344D6737"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17.8%</w:t>
            </w:r>
          </w:p>
          <w:p w14:paraId="187D7449"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(N=16)</w:t>
            </w:r>
          </w:p>
        </w:tc>
        <w:tc>
          <w:tcPr>
            <w:tcW w:w="872" w:type="dxa"/>
            <w:vAlign w:val="center"/>
          </w:tcPr>
          <w:p w14:paraId="1FE2DD0D" w14:textId="77777777" w:rsidR="00D04A77" w:rsidRDefault="00D04A77" w:rsidP="0081080E">
            <w:pPr>
              <w:spacing w:line="360" w:lineRule="auto"/>
              <w:jc w:val="center"/>
              <w:rPr>
                <w:rFonts w:ascii="Arial" w:hAnsi="Arial" w:cs="Arial"/>
                <w:sz w:val="18"/>
                <w:szCs w:val="18"/>
              </w:rPr>
            </w:pPr>
            <w:r>
              <w:rPr>
                <w:rFonts w:ascii="Arial" w:hAnsi="Arial" w:cs="Arial"/>
                <w:sz w:val="18"/>
                <w:szCs w:val="18"/>
              </w:rPr>
              <w:t>13.4%</w:t>
            </w:r>
          </w:p>
          <w:p w14:paraId="5D470EF7" w14:textId="77777777" w:rsidR="00D04A77" w:rsidRPr="00DE6D82" w:rsidRDefault="00D04A77" w:rsidP="0081080E">
            <w:pPr>
              <w:spacing w:line="360" w:lineRule="auto"/>
              <w:jc w:val="center"/>
              <w:rPr>
                <w:rFonts w:ascii="Arial" w:hAnsi="Arial" w:cs="Arial"/>
                <w:sz w:val="18"/>
                <w:szCs w:val="18"/>
              </w:rPr>
            </w:pPr>
            <w:r>
              <w:rPr>
                <w:rFonts w:ascii="Arial" w:hAnsi="Arial" w:cs="Arial"/>
                <w:sz w:val="18"/>
                <w:szCs w:val="18"/>
              </w:rPr>
              <w:t>(N=36)</w:t>
            </w:r>
          </w:p>
        </w:tc>
        <w:tc>
          <w:tcPr>
            <w:tcW w:w="779" w:type="dxa"/>
            <w:vAlign w:val="center"/>
          </w:tcPr>
          <w:p w14:paraId="0A16125E"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3" w:type="dxa"/>
            <w:vAlign w:val="center"/>
          </w:tcPr>
          <w:p w14:paraId="0BCB6490"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25" w:type="dxa"/>
          </w:tcPr>
          <w:p w14:paraId="14DD9592"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90% (N=81)</w:t>
            </w:r>
          </w:p>
        </w:tc>
        <w:tc>
          <w:tcPr>
            <w:tcW w:w="936" w:type="dxa"/>
          </w:tcPr>
          <w:p w14:paraId="13BFD0CB" w14:textId="77777777" w:rsidR="00D04A77" w:rsidRPr="00DE6D82" w:rsidRDefault="00D04A77" w:rsidP="0081080E">
            <w:pPr>
              <w:spacing w:line="360" w:lineRule="auto"/>
              <w:jc w:val="center"/>
              <w:rPr>
                <w:rFonts w:ascii="Arial" w:hAnsi="Arial" w:cs="Arial"/>
                <w:sz w:val="18"/>
                <w:szCs w:val="18"/>
              </w:rPr>
            </w:pPr>
            <w:r w:rsidRPr="00D87864">
              <w:rPr>
                <w:rFonts w:ascii="Arial" w:hAnsi="Arial" w:cs="Arial"/>
                <w:sz w:val="18"/>
                <w:szCs w:val="18"/>
              </w:rPr>
              <w:t>86.6% (N=233)</w:t>
            </w:r>
          </w:p>
        </w:tc>
        <w:tc>
          <w:tcPr>
            <w:tcW w:w="775" w:type="dxa"/>
            <w:vAlign w:val="center"/>
          </w:tcPr>
          <w:p w14:paraId="40B9AB8D"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856" w:type="dxa"/>
            <w:vAlign w:val="center"/>
          </w:tcPr>
          <w:p w14:paraId="2DF715B8"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0.0% (N=0)</w:t>
            </w:r>
          </w:p>
        </w:tc>
        <w:tc>
          <w:tcPr>
            <w:tcW w:w="987" w:type="dxa"/>
            <w:vAlign w:val="center"/>
          </w:tcPr>
          <w:p w14:paraId="7B08F0FB"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 xml:space="preserve">0.0% </w:t>
            </w:r>
          </w:p>
          <w:p w14:paraId="2111D5C8" w14:textId="77777777" w:rsidR="00D04A77" w:rsidRPr="00DE6D82" w:rsidRDefault="00D04A77" w:rsidP="0081080E">
            <w:pPr>
              <w:spacing w:line="360" w:lineRule="auto"/>
              <w:jc w:val="center"/>
              <w:rPr>
                <w:rFonts w:ascii="Arial" w:hAnsi="Arial" w:cs="Arial"/>
                <w:sz w:val="18"/>
                <w:szCs w:val="18"/>
              </w:rPr>
            </w:pPr>
            <w:r w:rsidRPr="00DE6D82">
              <w:rPr>
                <w:rFonts w:ascii="Arial" w:hAnsi="Arial" w:cs="Arial"/>
                <w:sz w:val="18"/>
                <w:szCs w:val="18"/>
              </w:rPr>
              <w:t>(N=0)</w:t>
            </w:r>
          </w:p>
        </w:tc>
      </w:tr>
    </w:tbl>
    <w:p w14:paraId="5C1F1A3A" w14:textId="77777777" w:rsidR="00D04A77" w:rsidRPr="00B746EF" w:rsidRDefault="00D04A77" w:rsidP="00D04A77">
      <w:pPr>
        <w:spacing w:after="0" w:line="240" w:lineRule="auto"/>
        <w:rPr>
          <w:rFonts w:ascii="Arial" w:hAnsi="Arial" w:cs="Arial"/>
        </w:rPr>
      </w:pPr>
      <w:r w:rsidRPr="00B746EF">
        <w:rPr>
          <w:rFonts w:ascii="Arial" w:hAnsi="Arial" w:cs="Arial"/>
        </w:rPr>
        <w:t xml:space="preserve">* proportion of the 90 companies for whom this category is applicable to in at least one note </w:t>
      </w:r>
    </w:p>
    <w:p w14:paraId="303E1723" w14:textId="77777777" w:rsidR="00D04A77" w:rsidRPr="00B746EF" w:rsidRDefault="00D04A77" w:rsidP="00D04A77">
      <w:pPr>
        <w:spacing w:after="0" w:line="240" w:lineRule="auto"/>
        <w:rPr>
          <w:rFonts w:ascii="Arial" w:hAnsi="Arial" w:cs="Arial"/>
        </w:rPr>
      </w:pPr>
      <w:r w:rsidRPr="00B746EF">
        <w:rPr>
          <w:rFonts w:ascii="Arial" w:hAnsi="Arial" w:cs="Arial"/>
          <w:vertAlign w:val="superscript"/>
        </w:rPr>
        <w:t xml:space="preserve">+ </w:t>
      </w:r>
      <w:bookmarkStart w:id="1" w:name="_Hlk153614133"/>
      <w:r w:rsidRPr="00B746EF">
        <w:rPr>
          <w:rFonts w:ascii="Arial" w:hAnsi="Arial" w:cs="Arial"/>
        </w:rPr>
        <w:t>proportion of the 269 notes this category is applicable to</w:t>
      </w:r>
      <w:bookmarkEnd w:id="1"/>
    </w:p>
    <w:p w14:paraId="590A5B0D" w14:textId="2E0C4F8C" w:rsidR="00D04A77" w:rsidRPr="00B746EF" w:rsidRDefault="00D04A77" w:rsidP="00D04A77">
      <w:pPr>
        <w:spacing w:line="240" w:lineRule="auto"/>
        <w:rPr>
          <w:rFonts w:ascii="Arial" w:hAnsi="Arial" w:cs="Arial"/>
        </w:rPr>
      </w:pPr>
      <w:r w:rsidRPr="00B746EF">
        <w:rPr>
          <w:rFonts w:ascii="Arial" w:hAnsi="Arial" w:cs="Arial"/>
          <w:vertAlign w:val="superscript"/>
        </w:rPr>
        <w:t>x</w:t>
      </w:r>
      <w:r w:rsidRPr="00B746EF">
        <w:rPr>
          <w:rFonts w:ascii="Arial" w:hAnsi="Arial" w:cs="Arial"/>
        </w:rPr>
        <w:t xml:space="preserve"> Proportion of companies who provided information in at least two years who had different </w:t>
      </w:r>
      <w:r w:rsidR="0060353B">
        <w:rPr>
          <w:rFonts w:ascii="Arial" w:hAnsi="Arial" w:cs="Arial"/>
        </w:rPr>
        <w:t>methodologies</w:t>
      </w:r>
      <w:r w:rsidRPr="00B746EF">
        <w:rPr>
          <w:rFonts w:ascii="Arial" w:hAnsi="Arial" w:cs="Arial"/>
        </w:rPr>
        <w:t xml:space="preserve"> in at least two of the three analysed years</w:t>
      </w:r>
      <w:r>
        <w:rPr>
          <w:rFonts w:ascii="Arial" w:hAnsi="Arial" w:cs="Arial"/>
        </w:rPr>
        <w:t xml:space="preserve"> for the given area</w:t>
      </w:r>
    </w:p>
    <w:p w14:paraId="1904A256" w14:textId="77777777" w:rsidR="00D04A77" w:rsidRDefault="00D04A77">
      <w:r>
        <w:br w:type="page"/>
      </w:r>
    </w:p>
    <w:p w14:paraId="7A3CB3E9" w14:textId="6D255963" w:rsidR="001E42B3" w:rsidRDefault="001E42B3" w:rsidP="000D32EB">
      <w:proofErr w:type="spellStart"/>
      <w:r>
        <w:lastRenderedPageBreak/>
        <w:t>eBox</w:t>
      </w:r>
      <w:proofErr w:type="spellEnd"/>
      <w:r>
        <w:t xml:space="preserve"> 1. Definition of HCPs, HCOs, ORDMs, </w:t>
      </w:r>
      <w:r w:rsidR="00A6206A">
        <w:t>and</w:t>
      </w:r>
      <w:r>
        <w:t xml:space="preserve"> payment areas according to the ABPI disclosure code</w:t>
      </w:r>
      <w:r w:rsidR="00967A3A">
        <w:fldChar w:fldCharType="begin"/>
      </w:r>
      <w:r w:rsidR="00967A3A">
        <w:instrText xml:space="preserve"> ADDIN EN.CITE &lt;EndNote&gt;&lt;Cite&gt;&lt;Author&gt;The Association of the British Pharmaceutical Industry&lt;/Author&gt;&lt;Year&gt;2021&lt;/Year&gt;&lt;RecNum&gt;12&lt;/RecNum&gt;&lt;DisplayText&gt;&lt;style face="superscript"&gt;1&lt;/style&gt;&lt;/DisplayText&gt;&lt;record&gt;&lt;rec-number&gt;12&lt;/rec-number&gt;&lt;foreign-keys&gt;&lt;key app="EN" db-id="arx09ae2tetvs2e9spfxxarlpff0wvx0dspf" timestamp="1692195627"&gt;12&lt;/key&gt;&lt;/foreign-keys&gt;&lt;ref-type name="Web Page"&gt;12&lt;/ref-type&gt;&lt;contributors&gt;&lt;authors&gt;&lt;author&gt;The Association of the British Pharmaceutical Industry,&lt;/author&gt;&lt;/authors&gt;&lt;/contributors&gt;&lt;titles&gt;&lt;title&gt;Code of Practice for the Pharmaceutical Industry 2021&lt;/title&gt;&lt;/titles&gt;&lt;volume&gt;2023&lt;/volume&gt;&lt;number&gt;16 August&lt;/number&gt;&lt;dates&gt;&lt;year&gt;2021&lt;/year&gt;&lt;/dates&gt;&lt;urls&gt;&lt;related-urls&gt;&lt;url&gt;https://www.abpi.org.uk/publications/code-of-practice-for-the-pharmaceutical-industry-2021/&lt;/url&gt;&lt;/related-urls&gt;&lt;/urls&gt;&lt;/record&gt;&lt;/Cite&gt;&lt;/EndNote&gt;</w:instrText>
      </w:r>
      <w:r w:rsidR="00967A3A">
        <w:fldChar w:fldCharType="separate"/>
      </w:r>
      <w:r w:rsidR="00967A3A" w:rsidRPr="00967A3A">
        <w:rPr>
          <w:noProof/>
          <w:vertAlign w:val="superscript"/>
        </w:rPr>
        <w:t>1</w:t>
      </w:r>
      <w:r w:rsidR="00967A3A">
        <w:fldChar w:fldCharType="end"/>
      </w:r>
    </w:p>
    <w:tbl>
      <w:tblPr>
        <w:tblStyle w:val="TableGrid"/>
        <w:tblW w:w="0" w:type="auto"/>
        <w:tblLook w:val="04A0" w:firstRow="1" w:lastRow="0" w:firstColumn="1" w:lastColumn="0" w:noHBand="0" w:noVBand="1"/>
      </w:tblPr>
      <w:tblGrid>
        <w:gridCol w:w="9016"/>
      </w:tblGrid>
      <w:tr w:rsidR="001E42B3" w14:paraId="3892931F" w14:textId="77777777" w:rsidTr="001E42B3">
        <w:tc>
          <w:tcPr>
            <w:tcW w:w="9016" w:type="dxa"/>
          </w:tcPr>
          <w:p w14:paraId="5FDDCB7A" w14:textId="2899FAB0" w:rsidR="001E42B3" w:rsidRDefault="001E42B3" w:rsidP="001E42B3">
            <w:r>
              <w:t>‘Other relevant decision maker ‘is someone with an NHS role who could influence in any way the administration, consumption, prescription, purchase, recommendation, sale, supply or use of any medicine but who is not a health professional</w:t>
            </w:r>
          </w:p>
          <w:p w14:paraId="16DE55BB" w14:textId="77777777" w:rsidR="001E42B3" w:rsidRDefault="001E42B3" w:rsidP="001E42B3"/>
          <w:p w14:paraId="5AD3E14F" w14:textId="236FC6DC" w:rsidR="001E42B3" w:rsidRDefault="001E42B3" w:rsidP="001E42B3">
            <w:r>
              <w:t>'Health professional' includes any member of the medical, dental, pharmacy or nursing profession and any other person who in the course of their professional activities may administer, prescribe, purchase, recommend or supply a medicine. In relation to the annual disclosure of transfers of value (Clause 28), the term also includes any employee of a pharmaceutical company whose primary occupation is that of a practising health professional</w:t>
            </w:r>
          </w:p>
          <w:p w14:paraId="122CB619" w14:textId="77777777" w:rsidR="001E42B3" w:rsidRDefault="001E42B3" w:rsidP="001E42B3"/>
          <w:p w14:paraId="0D777350" w14:textId="58529E32" w:rsidR="001E42B3" w:rsidRDefault="001E42B3" w:rsidP="001E42B3">
            <w:r>
              <w:t>'Healthcare organisation' means either a healthcare, medical or scientific association or organisation such as a hospital, clinic, foundation, university or other teaching institution or learned society whose business address, place of incorporation or primary place of operation is in Europe or an organisation through which one or more health professionals or other relevant decision makers provide services.</w:t>
            </w:r>
          </w:p>
          <w:p w14:paraId="748BB815" w14:textId="77777777" w:rsidR="001E42B3" w:rsidRDefault="001E42B3" w:rsidP="001E42B3"/>
          <w:p w14:paraId="3FDF4D19" w14:textId="7935517C" w:rsidR="00A6206A" w:rsidRDefault="00A6206A" w:rsidP="00A6206A">
            <w:r>
              <w:t>‘C</w:t>
            </w:r>
            <w:r w:rsidRPr="00A6206A">
              <w:t>ontracted services’</w:t>
            </w:r>
            <w:r>
              <w:t>: Health professionals, other relevant decision makers or their employers on their behalf, healthcare organisations, patient organisations, individuals representing patient</w:t>
            </w:r>
          </w:p>
          <w:p w14:paraId="622B6AFB" w14:textId="233667B5" w:rsidR="001E42B3" w:rsidRDefault="00A6206A" w:rsidP="00A6206A">
            <w:r>
              <w:t>organisations, and members of the public, including patients and journalists, may be used as consultants and advisors, whether in groups or individually, for services such as speaking at and chairing meetings, involvement in medical/ scientific studies, clinical trials or training services, writing articles and/or publications, participation at advisory board meetings, and participation in market research where such participation may involve remuneration and/or hospitality.</w:t>
            </w:r>
          </w:p>
          <w:p w14:paraId="5163A75E" w14:textId="77777777" w:rsidR="00A6206A" w:rsidRDefault="00A6206A" w:rsidP="001E42B3"/>
          <w:p w14:paraId="7B4F27B1" w14:textId="1B34EF1E" w:rsidR="001E42B3" w:rsidRDefault="001E42B3" w:rsidP="001E42B3">
            <w:r>
              <w:t>‘</w:t>
            </w:r>
            <w:r w:rsidRPr="0071580C">
              <w:t xml:space="preserve">Contributions to cost </w:t>
            </w:r>
            <w:r>
              <w:t>related to</w:t>
            </w:r>
            <w:r w:rsidRPr="0071580C">
              <w:t xml:space="preserve"> events</w:t>
            </w:r>
            <w:r>
              <w:t>’ means providing or covering the costs of travel, accommodation and/or registration fees to support the attendance of an individual to an event organised or created by a company and/or independent organisation. When providing sponsorship of events/meetings to organisations, associations etc such contributions may include costs for subsistence (food and drink).</w:t>
            </w:r>
          </w:p>
          <w:p w14:paraId="58C61F99" w14:textId="77777777" w:rsidR="001E42B3" w:rsidRDefault="001E42B3" w:rsidP="001E42B3"/>
          <w:p w14:paraId="7D4209CB" w14:textId="615D401C" w:rsidR="00967A3A" w:rsidRDefault="00967A3A" w:rsidP="001E42B3">
            <w:r>
              <w:t>‘</w:t>
            </w:r>
            <w:r w:rsidRPr="0071580C">
              <w:t xml:space="preserve">Donations </w:t>
            </w:r>
            <w:r w:rsidR="001E42B3" w:rsidRPr="0071580C">
              <w:t>and grants</w:t>
            </w:r>
            <w:r>
              <w:t xml:space="preserve">' collectively mean providing funds, benefits-in-kind or services freely given for the purpose of supporting healthcare, scientific research or education, with no consequent obligation on the recipient organisation, institution and the like to provide goods or services to the benefit of the pharmaceutical company in return. Donations and grants to individuals are prohibited. In general, donations are physical items, services or </w:t>
            </w:r>
            <w:proofErr w:type="spellStart"/>
            <w:r>
              <w:t>benefitsin</w:t>
            </w:r>
            <w:proofErr w:type="spellEnd"/>
            <w:r>
              <w:t>-kind which may be offered or requested. Grants are the provision of funds.</w:t>
            </w:r>
          </w:p>
          <w:p w14:paraId="51715381" w14:textId="77777777" w:rsidR="00967A3A" w:rsidRDefault="00967A3A" w:rsidP="001E42B3"/>
          <w:p w14:paraId="61E83AAD" w14:textId="16FBC276" w:rsidR="00967A3A" w:rsidRDefault="00967A3A" w:rsidP="001E42B3">
            <w:r>
              <w:t>‘</w:t>
            </w:r>
            <w:r w:rsidRPr="0071580C">
              <w:t xml:space="preserve">Joint </w:t>
            </w:r>
            <w:r w:rsidR="001E42B3" w:rsidRPr="0071580C">
              <w:t>working</w:t>
            </w:r>
            <w:r>
              <w:t>’</w:t>
            </w:r>
            <w:r w:rsidR="001E42B3" w:rsidRPr="0071580C">
              <w:t xml:space="preserve"> </w:t>
            </w:r>
            <w:r>
              <w:t xml:space="preserve">is defined as situations where, for the benefit of patients, one or more pharmaceutical companies and the NHS pool skills, experience and/or resources for the joint development and implementation of patient centred projects and share a commitment for successful delivery. Each party must make a significant contribution and the outcomes must be measured. </w:t>
            </w:r>
          </w:p>
          <w:p w14:paraId="51DFA893" w14:textId="77777777" w:rsidR="00967A3A" w:rsidRDefault="00967A3A" w:rsidP="001E42B3"/>
          <w:p w14:paraId="3A8F6ED9" w14:textId="00E4AA78" w:rsidR="001E42B3" w:rsidRDefault="00967A3A" w:rsidP="001E42B3">
            <w:r>
              <w:t>‘</w:t>
            </w:r>
            <w:r w:rsidR="001E42B3" w:rsidRPr="0071580C">
              <w:t>Research and development</w:t>
            </w:r>
            <w:r>
              <w:t xml:space="preserve">’ </w:t>
            </w:r>
            <w:proofErr w:type="gramStart"/>
            <w:r>
              <w:t>means</w:t>
            </w:r>
            <w:proofErr w:type="gramEnd"/>
            <w:r>
              <w:t xml:space="preserve">, for the purposes of disclosure, transfers of value to health professionals or healthcare organisations related to the planning or conduct of: </w:t>
            </w:r>
            <w:proofErr w:type="spellStart"/>
            <w:r>
              <w:t>i</w:t>
            </w:r>
            <w:proofErr w:type="spellEnd"/>
            <w:r>
              <w:t>. non-clinical studies (as defined in the OECD Principles on Good Laboratory Practice) ii. clinical trials (as defined in Regulation 536/2014) iii. non-interventional studies that are prospective in nature and that involve the collection of patient data from or on behalf of individual or groups of health professionals specifically for the study</w:t>
            </w:r>
          </w:p>
          <w:p w14:paraId="6DB0F421" w14:textId="77777777" w:rsidR="001E42B3" w:rsidRDefault="001E42B3" w:rsidP="000D32EB"/>
        </w:tc>
      </w:tr>
    </w:tbl>
    <w:p w14:paraId="1B28CCFA" w14:textId="77777777" w:rsidR="00783854" w:rsidRDefault="00783854" w:rsidP="00967A3A">
      <w:pPr>
        <w:pStyle w:val="EndNoteBibliographyTitle"/>
      </w:pPr>
    </w:p>
    <w:p w14:paraId="1A3E7FD4" w14:textId="56C74F34" w:rsidR="00783854" w:rsidRPr="00783854" w:rsidRDefault="00783854">
      <w:bookmarkStart w:id="2" w:name="_GoBack"/>
      <w:r>
        <w:rPr>
          <w:rFonts w:ascii="Calibri" w:hAnsi="Calibri" w:cs="Calibri"/>
          <w:noProof/>
          <w:lang w:val="en-US"/>
        </w:rPr>
        <w:t xml:space="preserve">eBox 2. Details of </w:t>
      </w:r>
      <w:r w:rsidR="0060353B">
        <w:rPr>
          <w:rFonts w:ascii="Calibri" w:hAnsi="Calibri" w:cs="Calibri"/>
          <w:noProof/>
          <w:lang w:val="en-US"/>
        </w:rPr>
        <w:t>methodologies</w:t>
      </w:r>
      <w:r>
        <w:t xml:space="preserve"> broken down </w:t>
      </w:r>
      <w:bookmarkEnd w:id="2"/>
      <w:r>
        <w:t>by company</w:t>
      </w:r>
    </w:p>
    <w:tbl>
      <w:tblPr>
        <w:tblStyle w:val="TableGrid"/>
        <w:tblW w:w="0" w:type="auto"/>
        <w:tblLook w:val="04A0" w:firstRow="1" w:lastRow="0" w:firstColumn="1" w:lastColumn="0" w:noHBand="0" w:noVBand="1"/>
      </w:tblPr>
      <w:tblGrid>
        <w:gridCol w:w="9016"/>
      </w:tblGrid>
      <w:tr w:rsidR="00783854" w14:paraId="1C07A315" w14:textId="77777777" w:rsidTr="00783854">
        <w:tc>
          <w:tcPr>
            <w:tcW w:w="9016" w:type="dxa"/>
          </w:tcPr>
          <w:p w14:paraId="62C977D4" w14:textId="2AF09A1D" w:rsidR="00783854" w:rsidRDefault="00783854" w:rsidP="00783854"/>
          <w:p w14:paraId="6606FDD1" w14:textId="7940DD5C" w:rsidR="00783854" w:rsidRPr="00E617EB" w:rsidRDefault="0060353B" w:rsidP="00783854">
            <w:pPr>
              <w:pStyle w:val="Heading2"/>
              <w:outlineLvl w:val="1"/>
            </w:pPr>
            <w:r>
              <w:t>Methodologies for</w:t>
            </w:r>
            <w:r w:rsidR="00783854" w:rsidRPr="00E617EB">
              <w:t xml:space="preserve"> ABPI </w:t>
            </w:r>
            <w:r w:rsidR="00783854">
              <w:t>Requirements</w:t>
            </w:r>
          </w:p>
          <w:p w14:paraId="2CEDFECF" w14:textId="3B84D373" w:rsidR="00BF29B1" w:rsidRDefault="00BF29B1" w:rsidP="00783854">
            <w:pPr>
              <w:spacing w:line="360" w:lineRule="auto"/>
              <w:rPr>
                <w:rFonts w:ascii="Arial" w:hAnsi="Arial" w:cs="Arial"/>
              </w:rPr>
            </w:pPr>
            <w:bookmarkStart w:id="3" w:name="_Hlk155178277"/>
            <w:bookmarkStart w:id="4" w:name="_Hlk155177906"/>
            <w:r w:rsidRPr="00DE6D82">
              <w:rPr>
                <w:rFonts w:ascii="Arial" w:hAnsi="Arial" w:cs="Arial"/>
              </w:rPr>
              <w:t xml:space="preserve">Of the </w:t>
            </w:r>
            <w:r>
              <w:rPr>
                <w:rFonts w:ascii="Arial" w:hAnsi="Arial" w:cs="Arial"/>
              </w:rPr>
              <w:t>84</w:t>
            </w:r>
            <w:r w:rsidRPr="00DE6D82">
              <w:rPr>
                <w:rFonts w:ascii="Arial" w:hAnsi="Arial" w:cs="Arial"/>
              </w:rPr>
              <w:t xml:space="preserve"> </w:t>
            </w:r>
            <w:r>
              <w:rPr>
                <w:rFonts w:ascii="Arial" w:hAnsi="Arial" w:cs="Arial"/>
              </w:rPr>
              <w:t>companies</w:t>
            </w:r>
            <w:r w:rsidRPr="00DE6D82">
              <w:rPr>
                <w:rFonts w:ascii="Arial" w:hAnsi="Arial" w:cs="Arial"/>
              </w:rPr>
              <w:t xml:space="preserve"> that provide</w:t>
            </w:r>
            <w:r>
              <w:rPr>
                <w:rFonts w:ascii="Arial" w:hAnsi="Arial" w:cs="Arial"/>
              </w:rPr>
              <w:t xml:space="preserve">d clear information on </w:t>
            </w:r>
            <w:r w:rsidRPr="00C71B67">
              <w:rPr>
                <w:rFonts w:ascii="Arial" w:hAnsi="Arial" w:cs="Arial"/>
                <w:b/>
                <w:bCs/>
              </w:rPr>
              <w:t>VAT management</w:t>
            </w:r>
            <w:r>
              <w:rPr>
                <w:rFonts w:ascii="Arial" w:hAnsi="Arial" w:cs="Arial"/>
              </w:rPr>
              <w:t xml:space="preserve"> in at least one year</w:t>
            </w:r>
            <w:r w:rsidRPr="00DE6D82">
              <w:rPr>
                <w:rFonts w:ascii="Arial" w:hAnsi="Arial" w:cs="Arial"/>
              </w:rPr>
              <w:t xml:space="preserve">, </w:t>
            </w:r>
            <w:r w:rsidR="0091311C">
              <w:rPr>
                <w:rFonts w:ascii="Arial" w:hAnsi="Arial" w:cs="Arial"/>
              </w:rPr>
              <w:t>45.2</w:t>
            </w:r>
            <w:r w:rsidRPr="00DE6D82">
              <w:rPr>
                <w:rFonts w:ascii="Arial" w:hAnsi="Arial" w:cs="Arial"/>
              </w:rPr>
              <w:t>% (N=</w:t>
            </w:r>
            <w:r w:rsidR="0091311C">
              <w:rPr>
                <w:rFonts w:ascii="Arial" w:hAnsi="Arial" w:cs="Arial"/>
              </w:rPr>
              <w:t>3</w:t>
            </w:r>
            <w:r w:rsidRPr="00DE6D82">
              <w:rPr>
                <w:rFonts w:ascii="Arial" w:hAnsi="Arial" w:cs="Arial"/>
              </w:rPr>
              <w:t>8) included VAT</w:t>
            </w:r>
            <w:r w:rsidR="0091311C">
              <w:rPr>
                <w:rFonts w:ascii="Arial" w:hAnsi="Arial" w:cs="Arial"/>
              </w:rPr>
              <w:t xml:space="preserve"> in at least one year</w:t>
            </w:r>
            <w:r w:rsidRPr="00DE6D82">
              <w:rPr>
                <w:rFonts w:ascii="Arial" w:hAnsi="Arial" w:cs="Arial"/>
              </w:rPr>
              <w:t xml:space="preserve">, </w:t>
            </w:r>
            <w:r w:rsidR="0091311C">
              <w:rPr>
                <w:rFonts w:ascii="Arial" w:hAnsi="Arial" w:cs="Arial"/>
              </w:rPr>
              <w:t>41.7</w:t>
            </w:r>
            <w:r w:rsidRPr="00DE6D82">
              <w:rPr>
                <w:rFonts w:ascii="Arial" w:hAnsi="Arial" w:cs="Arial"/>
              </w:rPr>
              <w:t>% (N=</w:t>
            </w:r>
            <w:r w:rsidR="0091311C">
              <w:rPr>
                <w:rFonts w:ascii="Arial" w:hAnsi="Arial" w:cs="Arial"/>
              </w:rPr>
              <w:t>35</w:t>
            </w:r>
            <w:r w:rsidRPr="00DE6D82">
              <w:rPr>
                <w:rFonts w:ascii="Arial" w:hAnsi="Arial" w:cs="Arial"/>
              </w:rPr>
              <w:t>) excluded VAT</w:t>
            </w:r>
            <w:r w:rsidR="0091311C">
              <w:rPr>
                <w:rFonts w:ascii="Arial" w:hAnsi="Arial" w:cs="Arial"/>
              </w:rPr>
              <w:t xml:space="preserve"> in at least one year</w:t>
            </w:r>
            <w:r w:rsidRPr="00DE6D82">
              <w:rPr>
                <w:rFonts w:ascii="Arial" w:hAnsi="Arial" w:cs="Arial"/>
              </w:rPr>
              <w:t>, and 3</w:t>
            </w:r>
            <w:r w:rsidR="0091311C">
              <w:rPr>
                <w:rFonts w:ascii="Arial" w:hAnsi="Arial" w:cs="Arial"/>
              </w:rPr>
              <w:t>9.</w:t>
            </w:r>
            <w:r w:rsidRPr="00DE6D82">
              <w:rPr>
                <w:rFonts w:ascii="Arial" w:hAnsi="Arial" w:cs="Arial"/>
              </w:rPr>
              <w:t>3% (N=</w:t>
            </w:r>
            <w:r w:rsidR="0091311C">
              <w:rPr>
                <w:rFonts w:ascii="Arial" w:hAnsi="Arial" w:cs="Arial"/>
              </w:rPr>
              <w:t>33</w:t>
            </w:r>
            <w:r w:rsidRPr="00DE6D82">
              <w:rPr>
                <w:rFonts w:ascii="Arial" w:hAnsi="Arial" w:cs="Arial"/>
              </w:rPr>
              <w:t>) had multiple rules for VAT</w:t>
            </w:r>
            <w:r w:rsidR="0091311C">
              <w:rPr>
                <w:rFonts w:ascii="Arial" w:hAnsi="Arial" w:cs="Arial"/>
              </w:rPr>
              <w:t xml:space="preserve"> in at least one year</w:t>
            </w:r>
            <w:r w:rsidRPr="00DE6D82">
              <w:rPr>
                <w:rFonts w:ascii="Arial" w:hAnsi="Arial" w:cs="Arial"/>
              </w:rPr>
              <w:t xml:space="preserve">. </w:t>
            </w:r>
          </w:p>
          <w:bookmarkEnd w:id="3"/>
          <w:p w14:paraId="79BFEAB5" w14:textId="77777777" w:rsidR="00BF29B1" w:rsidRDefault="00BF29B1" w:rsidP="00783854">
            <w:pPr>
              <w:spacing w:line="360" w:lineRule="auto"/>
              <w:rPr>
                <w:rFonts w:ascii="Arial" w:hAnsi="Arial" w:cs="Arial"/>
              </w:rPr>
            </w:pPr>
          </w:p>
          <w:p w14:paraId="35443A28" w14:textId="29255C7A" w:rsidR="00783854" w:rsidRDefault="00783854" w:rsidP="00783854">
            <w:pPr>
              <w:spacing w:line="360" w:lineRule="auto"/>
              <w:rPr>
                <w:rFonts w:ascii="Arial" w:hAnsi="Arial" w:cs="Arial"/>
              </w:rPr>
            </w:pPr>
            <w:r w:rsidRPr="00DE6D82">
              <w:rPr>
                <w:rFonts w:ascii="Arial" w:hAnsi="Arial" w:cs="Arial"/>
              </w:rPr>
              <w:t xml:space="preserve">Of the </w:t>
            </w:r>
            <w:r>
              <w:rPr>
                <w:rFonts w:ascii="Arial" w:hAnsi="Arial" w:cs="Arial"/>
              </w:rPr>
              <w:t>65 companies</w:t>
            </w:r>
            <w:r w:rsidRPr="00DE6D82">
              <w:rPr>
                <w:rFonts w:ascii="Arial" w:hAnsi="Arial" w:cs="Arial"/>
              </w:rPr>
              <w:t xml:space="preserve"> which </w:t>
            </w:r>
            <w:r>
              <w:rPr>
                <w:rFonts w:ascii="Arial" w:hAnsi="Arial" w:cs="Arial"/>
              </w:rPr>
              <w:t xml:space="preserve">provided </w:t>
            </w:r>
            <w:r w:rsidRPr="00DE6D82">
              <w:rPr>
                <w:rFonts w:ascii="Arial" w:hAnsi="Arial" w:cs="Arial"/>
              </w:rPr>
              <w:t xml:space="preserve">details </w:t>
            </w:r>
            <w:r>
              <w:rPr>
                <w:rFonts w:ascii="Arial" w:hAnsi="Arial" w:cs="Arial"/>
              </w:rPr>
              <w:t xml:space="preserve">on an </w:t>
            </w:r>
            <w:r w:rsidRPr="009F11B5">
              <w:rPr>
                <w:rFonts w:ascii="Arial" w:hAnsi="Arial" w:cs="Arial"/>
                <w:b/>
                <w:bCs/>
              </w:rPr>
              <w:t>exchange rate</w:t>
            </w:r>
            <w:r w:rsidRPr="00DE6D82">
              <w:rPr>
                <w:rFonts w:ascii="Arial" w:hAnsi="Arial" w:cs="Arial"/>
              </w:rPr>
              <w:t xml:space="preserve"> </w:t>
            </w:r>
            <w:r w:rsidR="0060353B" w:rsidRPr="0060353B">
              <w:rPr>
                <w:rFonts w:ascii="Arial" w:hAnsi="Arial" w:cs="Arial"/>
              </w:rPr>
              <w:t xml:space="preserve">methodology </w:t>
            </w:r>
            <w:r>
              <w:rPr>
                <w:rFonts w:ascii="Arial" w:hAnsi="Arial" w:cs="Arial"/>
              </w:rPr>
              <w:t>in at least one year</w:t>
            </w:r>
            <w:r w:rsidRPr="00DE6D82">
              <w:rPr>
                <w:rFonts w:ascii="Arial" w:hAnsi="Arial" w:cs="Arial"/>
              </w:rPr>
              <w:t xml:space="preserve">, </w:t>
            </w:r>
            <w:r>
              <w:rPr>
                <w:rFonts w:ascii="Arial" w:hAnsi="Arial" w:cs="Arial"/>
              </w:rPr>
              <w:t>companies</w:t>
            </w:r>
            <w:r w:rsidRPr="00DE6D82">
              <w:rPr>
                <w:rFonts w:ascii="Arial" w:hAnsi="Arial" w:cs="Arial"/>
              </w:rPr>
              <w:t xml:space="preserve"> </w:t>
            </w:r>
            <w:r>
              <w:rPr>
                <w:rFonts w:ascii="Arial" w:hAnsi="Arial" w:cs="Arial"/>
              </w:rPr>
              <w:t xml:space="preserve">reported </w:t>
            </w:r>
            <w:r w:rsidRPr="00DE6D82">
              <w:rPr>
                <w:rFonts w:ascii="Arial" w:hAnsi="Arial" w:cs="Arial"/>
              </w:rPr>
              <w:t xml:space="preserve">one of five </w:t>
            </w:r>
            <w:r w:rsidR="0060353B">
              <w:rPr>
                <w:rFonts w:ascii="Arial" w:hAnsi="Arial" w:cs="Arial"/>
              </w:rPr>
              <w:t>methodologies</w:t>
            </w:r>
            <w:r>
              <w:rPr>
                <w:rFonts w:ascii="Arial" w:hAnsi="Arial" w:cs="Arial"/>
              </w:rPr>
              <w:t xml:space="preserve"> in at least one year</w:t>
            </w:r>
            <w:bookmarkEnd w:id="4"/>
            <w:r w:rsidRPr="00DE6D82">
              <w:rPr>
                <w:rFonts w:ascii="Arial" w:hAnsi="Arial" w:cs="Arial"/>
              </w:rPr>
              <w:t>: 1) the exchange rate on date of payment</w:t>
            </w:r>
            <w:r>
              <w:rPr>
                <w:rFonts w:ascii="Arial" w:hAnsi="Arial" w:cs="Arial"/>
              </w:rPr>
              <w:t xml:space="preserve"> (6</w:t>
            </w:r>
            <w:r w:rsidR="001739A4">
              <w:rPr>
                <w:rFonts w:ascii="Arial" w:hAnsi="Arial" w:cs="Arial"/>
              </w:rPr>
              <w:t>0.0</w:t>
            </w:r>
            <w:r>
              <w:rPr>
                <w:rFonts w:ascii="Arial" w:hAnsi="Arial" w:cs="Arial"/>
              </w:rPr>
              <w:t>%, N=</w:t>
            </w:r>
            <w:r w:rsidR="001739A4">
              <w:rPr>
                <w:rFonts w:ascii="Arial" w:hAnsi="Arial" w:cs="Arial"/>
              </w:rPr>
              <w:t>39</w:t>
            </w:r>
            <w:r>
              <w:rPr>
                <w:rFonts w:ascii="Arial" w:hAnsi="Arial" w:cs="Arial"/>
              </w:rPr>
              <w:t>)</w:t>
            </w:r>
            <w:r w:rsidRPr="00DE6D82">
              <w:rPr>
                <w:rFonts w:ascii="Arial" w:hAnsi="Arial" w:cs="Arial"/>
              </w:rPr>
              <w:t>, 2</w:t>
            </w:r>
            <w:r>
              <w:rPr>
                <w:rFonts w:ascii="Arial" w:hAnsi="Arial" w:cs="Arial"/>
              </w:rPr>
              <w:t>)</w:t>
            </w:r>
            <w:r w:rsidRPr="00AD4E62">
              <w:rPr>
                <w:rFonts w:ascii="Arial" w:hAnsi="Arial" w:cs="Arial"/>
              </w:rPr>
              <w:t xml:space="preserve"> </w:t>
            </w:r>
            <w:r>
              <w:rPr>
                <w:rFonts w:ascii="Arial" w:hAnsi="Arial" w:cs="Arial"/>
              </w:rPr>
              <w:t xml:space="preserve">the </w:t>
            </w:r>
            <w:r w:rsidRPr="00DE6D82">
              <w:rPr>
                <w:rFonts w:ascii="Arial" w:hAnsi="Arial" w:cs="Arial"/>
              </w:rPr>
              <w:t xml:space="preserve">average rate for </w:t>
            </w:r>
            <w:r>
              <w:rPr>
                <w:rFonts w:ascii="Arial" w:hAnsi="Arial" w:cs="Arial"/>
              </w:rPr>
              <w:t xml:space="preserve">the </w:t>
            </w:r>
            <w:r w:rsidRPr="00DE6D82">
              <w:rPr>
                <w:rFonts w:ascii="Arial" w:hAnsi="Arial" w:cs="Arial"/>
              </w:rPr>
              <w:t>respective year</w:t>
            </w:r>
            <w:r>
              <w:rPr>
                <w:rFonts w:ascii="Arial" w:hAnsi="Arial" w:cs="Arial"/>
              </w:rPr>
              <w:t xml:space="preserve"> (13.8%, N=9),</w:t>
            </w:r>
            <w:r w:rsidRPr="00DE6D82">
              <w:rPr>
                <w:rFonts w:ascii="Arial" w:hAnsi="Arial" w:cs="Arial"/>
              </w:rPr>
              <w:t xml:space="preserve"> 3) </w:t>
            </w:r>
            <w:r>
              <w:rPr>
                <w:rFonts w:ascii="Arial" w:hAnsi="Arial" w:cs="Arial"/>
              </w:rPr>
              <w:t xml:space="preserve">the </w:t>
            </w:r>
            <w:r w:rsidRPr="00DE6D82">
              <w:rPr>
                <w:rFonts w:ascii="Arial" w:hAnsi="Arial" w:cs="Arial"/>
              </w:rPr>
              <w:t xml:space="preserve">average rate for </w:t>
            </w:r>
            <w:r>
              <w:rPr>
                <w:rFonts w:ascii="Arial" w:hAnsi="Arial" w:cs="Arial"/>
              </w:rPr>
              <w:t xml:space="preserve">the </w:t>
            </w:r>
            <w:r w:rsidRPr="00DE6D82">
              <w:rPr>
                <w:rFonts w:ascii="Arial" w:hAnsi="Arial" w:cs="Arial"/>
              </w:rPr>
              <w:t>respective month</w:t>
            </w:r>
            <w:r>
              <w:rPr>
                <w:rFonts w:ascii="Arial" w:hAnsi="Arial" w:cs="Arial"/>
              </w:rPr>
              <w:t xml:space="preserve"> (20.0%, N=13)</w:t>
            </w:r>
            <w:r w:rsidRPr="00DE6D82">
              <w:rPr>
                <w:rFonts w:ascii="Arial" w:hAnsi="Arial" w:cs="Arial"/>
              </w:rPr>
              <w:t xml:space="preserve">, 4) the rate at another time </w:t>
            </w:r>
            <w:r>
              <w:rPr>
                <w:rFonts w:ascii="Arial" w:hAnsi="Arial" w:cs="Arial"/>
              </w:rPr>
              <w:t>such as the</w:t>
            </w:r>
            <w:r w:rsidRPr="00DE6D82">
              <w:rPr>
                <w:rFonts w:ascii="Arial" w:hAnsi="Arial" w:cs="Arial"/>
              </w:rPr>
              <w:t xml:space="preserve"> date of entry</w:t>
            </w:r>
            <w:r>
              <w:rPr>
                <w:rFonts w:ascii="Arial" w:hAnsi="Arial" w:cs="Arial"/>
              </w:rPr>
              <w:t xml:space="preserve"> (</w:t>
            </w:r>
            <w:r w:rsidR="001739A4">
              <w:rPr>
                <w:rFonts w:ascii="Arial" w:hAnsi="Arial" w:cs="Arial"/>
              </w:rPr>
              <w:t>7.7</w:t>
            </w:r>
            <w:r>
              <w:rPr>
                <w:rFonts w:ascii="Arial" w:hAnsi="Arial" w:cs="Arial"/>
              </w:rPr>
              <w:t>%, N=</w:t>
            </w:r>
            <w:r w:rsidR="001739A4">
              <w:rPr>
                <w:rFonts w:ascii="Arial" w:hAnsi="Arial" w:cs="Arial"/>
              </w:rPr>
              <w:t>5</w:t>
            </w:r>
            <w:r>
              <w:rPr>
                <w:rFonts w:ascii="Arial" w:hAnsi="Arial" w:cs="Arial"/>
              </w:rPr>
              <w:t>)</w:t>
            </w:r>
            <w:r w:rsidRPr="00DE6D82">
              <w:rPr>
                <w:rFonts w:ascii="Arial" w:hAnsi="Arial" w:cs="Arial"/>
              </w:rPr>
              <w:t>, or 5) the exact exchange rate was given</w:t>
            </w:r>
            <w:r>
              <w:rPr>
                <w:rFonts w:ascii="Arial" w:hAnsi="Arial" w:cs="Arial"/>
              </w:rPr>
              <w:t xml:space="preserve"> (13.8%, N=9)</w:t>
            </w:r>
            <w:r w:rsidRPr="00DE6D82">
              <w:rPr>
                <w:rFonts w:ascii="Arial" w:hAnsi="Arial" w:cs="Arial"/>
              </w:rPr>
              <w:t xml:space="preserve">. </w:t>
            </w:r>
            <w:r>
              <w:rPr>
                <w:rFonts w:ascii="Arial" w:hAnsi="Arial" w:cs="Arial"/>
              </w:rPr>
              <w:t>For 7.7</w:t>
            </w:r>
            <w:r w:rsidRPr="00DE6D82">
              <w:rPr>
                <w:rFonts w:ascii="Arial" w:hAnsi="Arial" w:cs="Arial"/>
              </w:rPr>
              <w:t>% (N=</w:t>
            </w:r>
            <w:r>
              <w:rPr>
                <w:rFonts w:ascii="Arial" w:hAnsi="Arial" w:cs="Arial"/>
              </w:rPr>
              <w:t>5</w:t>
            </w:r>
            <w:r w:rsidRPr="00DE6D82">
              <w:rPr>
                <w:rFonts w:ascii="Arial" w:hAnsi="Arial" w:cs="Arial"/>
              </w:rPr>
              <w:t xml:space="preserve">) of </w:t>
            </w:r>
            <w:r w:rsidR="00BF29B1">
              <w:rPr>
                <w:rFonts w:ascii="Arial" w:hAnsi="Arial" w:cs="Arial"/>
              </w:rPr>
              <w:t>companies</w:t>
            </w:r>
            <w:r w:rsidRPr="00DE6D82">
              <w:rPr>
                <w:rFonts w:ascii="Arial" w:hAnsi="Arial" w:cs="Arial"/>
              </w:rPr>
              <w:t xml:space="preserve"> </w:t>
            </w:r>
            <w:r>
              <w:rPr>
                <w:rFonts w:ascii="Arial" w:hAnsi="Arial" w:cs="Arial"/>
              </w:rPr>
              <w:t>provided</w:t>
            </w:r>
            <w:r w:rsidRPr="00DE6D82">
              <w:rPr>
                <w:rFonts w:ascii="Arial" w:hAnsi="Arial" w:cs="Arial"/>
              </w:rPr>
              <w:t xml:space="preserve"> different rules depending on the circumstances.</w:t>
            </w:r>
          </w:p>
          <w:p w14:paraId="4AA4679E" w14:textId="77777777" w:rsidR="00BF29B1" w:rsidRDefault="00BF29B1" w:rsidP="00783854">
            <w:pPr>
              <w:spacing w:line="360" w:lineRule="auto"/>
              <w:rPr>
                <w:rFonts w:ascii="Arial" w:hAnsi="Arial" w:cs="Arial"/>
              </w:rPr>
            </w:pPr>
          </w:p>
          <w:p w14:paraId="1577D458" w14:textId="1103426A" w:rsidR="00783854" w:rsidRDefault="00783854" w:rsidP="00783854">
            <w:pPr>
              <w:spacing w:line="360" w:lineRule="auto"/>
              <w:rPr>
                <w:rFonts w:ascii="Arial" w:hAnsi="Arial" w:cs="Arial"/>
              </w:rPr>
            </w:pPr>
            <w:r w:rsidRPr="00DE6D82">
              <w:rPr>
                <w:rFonts w:ascii="Arial" w:hAnsi="Arial" w:cs="Arial"/>
              </w:rPr>
              <w:t xml:space="preserve">Of the </w:t>
            </w:r>
            <w:r>
              <w:rPr>
                <w:rFonts w:ascii="Arial" w:hAnsi="Arial" w:cs="Arial"/>
              </w:rPr>
              <w:t>67 companies</w:t>
            </w:r>
            <w:r w:rsidRPr="00DE6D82">
              <w:rPr>
                <w:rFonts w:ascii="Arial" w:hAnsi="Arial" w:cs="Arial"/>
              </w:rPr>
              <w:t xml:space="preserve"> which </w:t>
            </w:r>
            <w:r>
              <w:rPr>
                <w:rFonts w:ascii="Arial" w:hAnsi="Arial" w:cs="Arial"/>
              </w:rPr>
              <w:t xml:space="preserve">provided </w:t>
            </w:r>
            <w:r w:rsidRPr="00DE6D82">
              <w:rPr>
                <w:rFonts w:ascii="Arial" w:hAnsi="Arial" w:cs="Arial"/>
              </w:rPr>
              <w:t xml:space="preserve">details </w:t>
            </w:r>
            <w:r>
              <w:rPr>
                <w:rFonts w:ascii="Arial" w:hAnsi="Arial" w:cs="Arial"/>
              </w:rPr>
              <w:t xml:space="preserve">on a </w:t>
            </w:r>
            <w:r w:rsidRPr="00BD3868">
              <w:rPr>
                <w:rFonts w:ascii="Arial" w:hAnsi="Arial" w:cs="Arial"/>
                <w:b/>
              </w:rPr>
              <w:t>timing</w:t>
            </w:r>
            <w:r>
              <w:rPr>
                <w:rFonts w:ascii="Arial" w:hAnsi="Arial" w:cs="Arial"/>
              </w:rPr>
              <w:t xml:space="preserve"> </w:t>
            </w:r>
            <w:r w:rsidR="0060353B" w:rsidRPr="0060353B">
              <w:rPr>
                <w:rFonts w:ascii="Arial" w:hAnsi="Arial" w:cs="Arial"/>
              </w:rPr>
              <w:t xml:space="preserve">methodology </w:t>
            </w:r>
            <w:r>
              <w:rPr>
                <w:rFonts w:ascii="Arial" w:hAnsi="Arial" w:cs="Arial"/>
              </w:rPr>
              <w:t>in at least one year</w:t>
            </w:r>
            <w:r w:rsidRPr="00DE6D82">
              <w:rPr>
                <w:rFonts w:ascii="Arial" w:hAnsi="Arial" w:cs="Arial"/>
              </w:rPr>
              <w:t xml:space="preserve">, </w:t>
            </w:r>
            <w:r>
              <w:rPr>
                <w:rFonts w:ascii="Arial" w:hAnsi="Arial" w:cs="Arial"/>
              </w:rPr>
              <w:t>companies</w:t>
            </w:r>
            <w:r w:rsidRPr="00DE6D82">
              <w:rPr>
                <w:rFonts w:ascii="Arial" w:hAnsi="Arial" w:cs="Arial"/>
              </w:rPr>
              <w:t xml:space="preserve"> </w:t>
            </w:r>
            <w:r>
              <w:rPr>
                <w:rFonts w:ascii="Arial" w:hAnsi="Arial" w:cs="Arial"/>
              </w:rPr>
              <w:t xml:space="preserve">reported </w:t>
            </w:r>
            <w:r w:rsidRPr="00DE6D82">
              <w:rPr>
                <w:rFonts w:ascii="Arial" w:hAnsi="Arial" w:cs="Arial"/>
              </w:rPr>
              <w:t xml:space="preserve">one of </w:t>
            </w:r>
            <w:r>
              <w:rPr>
                <w:rFonts w:ascii="Arial" w:hAnsi="Arial" w:cs="Arial"/>
              </w:rPr>
              <w:t xml:space="preserve">two </w:t>
            </w:r>
            <w:r w:rsidR="0060353B">
              <w:rPr>
                <w:rFonts w:ascii="Arial" w:hAnsi="Arial" w:cs="Arial"/>
              </w:rPr>
              <w:t xml:space="preserve">methodologies </w:t>
            </w:r>
            <w:r>
              <w:rPr>
                <w:rFonts w:ascii="Arial" w:hAnsi="Arial" w:cs="Arial"/>
              </w:rPr>
              <w:t>in at least one year</w:t>
            </w:r>
            <w:r w:rsidRPr="00DE6D82">
              <w:rPr>
                <w:rFonts w:ascii="Arial" w:hAnsi="Arial" w:cs="Arial"/>
              </w:rPr>
              <w:t xml:space="preserve">: 1) </w:t>
            </w:r>
            <w:r>
              <w:rPr>
                <w:rFonts w:ascii="Arial" w:hAnsi="Arial" w:cs="Arial"/>
              </w:rPr>
              <w:t>64.2</w:t>
            </w:r>
            <w:r w:rsidRPr="00DE6D82">
              <w:rPr>
                <w:rFonts w:ascii="Arial" w:hAnsi="Arial" w:cs="Arial"/>
              </w:rPr>
              <w:t>% (N=</w:t>
            </w:r>
            <w:r>
              <w:rPr>
                <w:rFonts w:ascii="Arial" w:hAnsi="Arial" w:cs="Arial"/>
              </w:rPr>
              <w:t>43</w:t>
            </w:r>
            <w:r w:rsidRPr="00DE6D82">
              <w:rPr>
                <w:rFonts w:ascii="Arial" w:hAnsi="Arial" w:cs="Arial"/>
              </w:rPr>
              <w:t xml:space="preserve">) of </w:t>
            </w:r>
            <w:r>
              <w:rPr>
                <w:rFonts w:ascii="Arial" w:hAnsi="Arial" w:cs="Arial"/>
              </w:rPr>
              <w:t>companies reported using</w:t>
            </w:r>
            <w:r w:rsidRPr="00DE6D82">
              <w:rPr>
                <w:rFonts w:ascii="Arial" w:hAnsi="Arial" w:cs="Arial"/>
              </w:rPr>
              <w:t xml:space="preserve"> </w:t>
            </w:r>
            <w:r>
              <w:rPr>
                <w:rFonts w:ascii="Arial" w:hAnsi="Arial" w:cs="Arial"/>
              </w:rPr>
              <w:t xml:space="preserve">the </w:t>
            </w:r>
            <w:r w:rsidRPr="00DE6D82">
              <w:rPr>
                <w:rFonts w:ascii="Arial" w:hAnsi="Arial" w:cs="Arial"/>
              </w:rPr>
              <w:t>payment date,</w:t>
            </w:r>
            <w:r>
              <w:rPr>
                <w:rFonts w:ascii="Arial" w:hAnsi="Arial" w:cs="Arial"/>
              </w:rPr>
              <w:t xml:space="preserve"> and</w:t>
            </w:r>
            <w:r w:rsidRPr="00DE6D82">
              <w:rPr>
                <w:rFonts w:ascii="Arial" w:hAnsi="Arial" w:cs="Arial"/>
              </w:rPr>
              <w:t xml:space="preserve"> </w:t>
            </w:r>
            <w:r>
              <w:rPr>
                <w:rFonts w:ascii="Arial" w:hAnsi="Arial" w:cs="Arial"/>
              </w:rPr>
              <w:t>2) 11.9</w:t>
            </w:r>
            <w:r w:rsidRPr="00DE6D82">
              <w:rPr>
                <w:rFonts w:ascii="Arial" w:hAnsi="Arial" w:cs="Arial"/>
              </w:rPr>
              <w:t>% (N=</w:t>
            </w:r>
            <w:r>
              <w:rPr>
                <w:rFonts w:ascii="Arial" w:hAnsi="Arial" w:cs="Arial"/>
              </w:rPr>
              <w:t>8</w:t>
            </w:r>
            <w:r w:rsidRPr="00DE6D82">
              <w:rPr>
                <w:rFonts w:ascii="Arial" w:hAnsi="Arial" w:cs="Arial"/>
              </w:rPr>
              <w:t xml:space="preserve">) </w:t>
            </w:r>
            <w:r>
              <w:rPr>
                <w:rFonts w:ascii="Arial" w:hAnsi="Arial" w:cs="Arial"/>
              </w:rPr>
              <w:t>reported using</w:t>
            </w:r>
            <w:r w:rsidRPr="00DE6D82">
              <w:rPr>
                <w:rFonts w:ascii="Arial" w:hAnsi="Arial" w:cs="Arial"/>
              </w:rPr>
              <w:t xml:space="preserve"> </w:t>
            </w:r>
            <w:r>
              <w:rPr>
                <w:rFonts w:ascii="Arial" w:hAnsi="Arial" w:cs="Arial"/>
              </w:rPr>
              <w:t xml:space="preserve">event </w:t>
            </w:r>
            <w:r w:rsidRPr="00DE6D82">
              <w:rPr>
                <w:rFonts w:ascii="Arial" w:hAnsi="Arial" w:cs="Arial"/>
              </w:rPr>
              <w:t>date</w:t>
            </w:r>
            <w:r>
              <w:rPr>
                <w:rFonts w:ascii="Arial" w:hAnsi="Arial" w:cs="Arial"/>
              </w:rPr>
              <w:t>. For 4</w:t>
            </w:r>
            <w:r w:rsidRPr="00DE6D82">
              <w:rPr>
                <w:rFonts w:ascii="Arial" w:hAnsi="Arial" w:cs="Arial"/>
              </w:rPr>
              <w:t>0</w:t>
            </w:r>
            <w:r>
              <w:rPr>
                <w:rFonts w:ascii="Arial" w:hAnsi="Arial" w:cs="Arial"/>
              </w:rPr>
              <w:t>.3</w:t>
            </w:r>
            <w:r w:rsidRPr="00DE6D82">
              <w:rPr>
                <w:rFonts w:ascii="Arial" w:hAnsi="Arial" w:cs="Arial"/>
              </w:rPr>
              <w:t>% (N=</w:t>
            </w:r>
            <w:r>
              <w:rPr>
                <w:rFonts w:ascii="Arial" w:hAnsi="Arial" w:cs="Arial"/>
              </w:rPr>
              <w:t>27</w:t>
            </w:r>
            <w:r w:rsidRPr="00DE6D82">
              <w:rPr>
                <w:rFonts w:ascii="Arial" w:hAnsi="Arial" w:cs="Arial"/>
              </w:rPr>
              <w:t xml:space="preserve">) </w:t>
            </w:r>
            <w:r>
              <w:rPr>
                <w:rFonts w:ascii="Arial" w:hAnsi="Arial" w:cs="Arial"/>
              </w:rPr>
              <w:t xml:space="preserve">of companies, in at least one of their notes </w:t>
            </w:r>
            <w:r w:rsidRPr="00DE6D82">
              <w:rPr>
                <w:rFonts w:ascii="Arial" w:hAnsi="Arial" w:cs="Arial"/>
              </w:rPr>
              <w:t>multiple rules</w:t>
            </w:r>
            <w:r>
              <w:rPr>
                <w:rFonts w:ascii="Arial" w:hAnsi="Arial" w:cs="Arial"/>
              </w:rPr>
              <w:t xml:space="preserve"> were used i.e. in certain cases it is the date of payment and in other cases it is the event date</w:t>
            </w:r>
            <w:r w:rsidRPr="00DE6D82">
              <w:rPr>
                <w:rFonts w:ascii="Arial" w:hAnsi="Arial" w:cs="Arial"/>
              </w:rPr>
              <w:t>.</w:t>
            </w:r>
          </w:p>
          <w:p w14:paraId="3119F635" w14:textId="78E302A2" w:rsidR="00783854" w:rsidRDefault="00783854" w:rsidP="00783854">
            <w:pPr>
              <w:spacing w:line="360" w:lineRule="auto"/>
              <w:rPr>
                <w:rFonts w:ascii="Arial" w:hAnsi="Arial" w:cs="Arial"/>
              </w:rPr>
            </w:pPr>
            <w:bookmarkStart w:id="5" w:name="_Hlk155177957"/>
            <w:r w:rsidRPr="00DE6D82">
              <w:rPr>
                <w:rFonts w:ascii="Arial" w:hAnsi="Arial" w:cs="Arial"/>
              </w:rPr>
              <w:t xml:space="preserve">Of the </w:t>
            </w:r>
            <w:r>
              <w:rPr>
                <w:rFonts w:ascii="Arial" w:hAnsi="Arial" w:cs="Arial"/>
              </w:rPr>
              <w:t>58</w:t>
            </w:r>
            <w:r w:rsidRPr="00DE6D82">
              <w:rPr>
                <w:rFonts w:ascii="Arial" w:hAnsi="Arial" w:cs="Arial"/>
              </w:rPr>
              <w:t xml:space="preserve"> </w:t>
            </w:r>
            <w:r>
              <w:rPr>
                <w:rFonts w:ascii="Arial" w:hAnsi="Arial" w:cs="Arial"/>
              </w:rPr>
              <w:t>companies</w:t>
            </w:r>
            <w:r w:rsidRPr="00DE6D82">
              <w:rPr>
                <w:rFonts w:ascii="Arial" w:hAnsi="Arial" w:cs="Arial"/>
              </w:rPr>
              <w:t xml:space="preserve"> that provided a clear </w:t>
            </w:r>
            <w:r w:rsidR="0060353B">
              <w:rPr>
                <w:rFonts w:ascii="Arial" w:hAnsi="Arial" w:cs="Arial"/>
              </w:rPr>
              <w:t xml:space="preserve">methodology </w:t>
            </w:r>
            <w:r w:rsidRPr="00DE6D82">
              <w:rPr>
                <w:rFonts w:ascii="Arial" w:hAnsi="Arial" w:cs="Arial"/>
              </w:rPr>
              <w:t xml:space="preserve">on how </w:t>
            </w:r>
            <w:r w:rsidRPr="00961B93">
              <w:rPr>
                <w:rFonts w:ascii="Arial" w:hAnsi="Arial" w:cs="Arial"/>
                <w:b/>
                <w:bCs/>
              </w:rPr>
              <w:t>multi-year projects</w:t>
            </w:r>
            <w:r w:rsidRPr="00DE6D82">
              <w:rPr>
                <w:rFonts w:ascii="Arial" w:hAnsi="Arial" w:cs="Arial"/>
              </w:rPr>
              <w:t xml:space="preserve"> were managed</w:t>
            </w:r>
            <w:r w:rsidRPr="00864373">
              <w:rPr>
                <w:rFonts w:ascii="Arial" w:hAnsi="Arial" w:cs="Arial"/>
              </w:rPr>
              <w:t xml:space="preserve"> </w:t>
            </w:r>
            <w:r>
              <w:rPr>
                <w:rFonts w:ascii="Arial" w:hAnsi="Arial" w:cs="Arial"/>
              </w:rPr>
              <w:t>in at least one year</w:t>
            </w:r>
            <w:r w:rsidRPr="00DE6D82">
              <w:rPr>
                <w:rFonts w:ascii="Arial" w:hAnsi="Arial" w:cs="Arial"/>
              </w:rPr>
              <w:t>,</w:t>
            </w:r>
            <w:bookmarkEnd w:id="5"/>
            <w:r w:rsidRPr="00DE6D82">
              <w:rPr>
                <w:rFonts w:ascii="Arial" w:hAnsi="Arial" w:cs="Arial"/>
              </w:rPr>
              <w:t xml:space="preserve"> </w:t>
            </w:r>
            <w:r>
              <w:rPr>
                <w:rFonts w:ascii="Arial" w:hAnsi="Arial" w:cs="Arial"/>
              </w:rPr>
              <w:t>72.4</w:t>
            </w:r>
            <w:r w:rsidRPr="00DE6D82">
              <w:rPr>
                <w:rFonts w:ascii="Arial" w:hAnsi="Arial" w:cs="Arial"/>
              </w:rPr>
              <w:t>% (N=</w:t>
            </w:r>
            <w:r>
              <w:rPr>
                <w:rFonts w:ascii="Arial" w:hAnsi="Arial" w:cs="Arial"/>
              </w:rPr>
              <w:t>42</w:t>
            </w:r>
            <w:r w:rsidRPr="00DE6D82">
              <w:rPr>
                <w:rFonts w:ascii="Arial" w:hAnsi="Arial" w:cs="Arial"/>
              </w:rPr>
              <w:t xml:space="preserve">) of </w:t>
            </w:r>
            <w:r>
              <w:rPr>
                <w:rFonts w:ascii="Arial" w:hAnsi="Arial" w:cs="Arial"/>
              </w:rPr>
              <w:t>companies</w:t>
            </w:r>
            <w:r w:rsidRPr="00DE6D82">
              <w:rPr>
                <w:rFonts w:ascii="Arial" w:hAnsi="Arial" w:cs="Arial"/>
              </w:rPr>
              <w:t xml:space="preserve"> described assigning each payment in the multi-year contract to that payment’s respective year</w:t>
            </w:r>
            <w:r>
              <w:rPr>
                <w:rFonts w:ascii="Arial" w:hAnsi="Arial" w:cs="Arial"/>
              </w:rPr>
              <w:t xml:space="preserve"> (this also included notes that </w:t>
            </w:r>
            <w:r w:rsidRPr="00DE6D82">
              <w:rPr>
                <w:rFonts w:ascii="Arial" w:hAnsi="Arial" w:cs="Arial"/>
              </w:rPr>
              <w:t xml:space="preserve">described assigning each payment in the multi-year contract to that </w:t>
            </w:r>
            <w:r>
              <w:rPr>
                <w:rFonts w:ascii="Arial" w:hAnsi="Arial" w:cs="Arial"/>
              </w:rPr>
              <w:t>invoice’s</w:t>
            </w:r>
            <w:r w:rsidRPr="00DE6D82">
              <w:rPr>
                <w:rFonts w:ascii="Arial" w:hAnsi="Arial" w:cs="Arial"/>
              </w:rPr>
              <w:t xml:space="preserve"> respective year</w:t>
            </w:r>
            <w:r>
              <w:rPr>
                <w:rFonts w:ascii="Arial" w:hAnsi="Arial" w:cs="Arial"/>
              </w:rPr>
              <w:t>),</w:t>
            </w:r>
            <w:r w:rsidRPr="00DE6D82">
              <w:rPr>
                <w:rFonts w:ascii="Arial" w:hAnsi="Arial" w:cs="Arial"/>
              </w:rPr>
              <w:t xml:space="preserve"> </w:t>
            </w:r>
            <w:r>
              <w:rPr>
                <w:rFonts w:ascii="Arial" w:hAnsi="Arial" w:cs="Arial"/>
              </w:rPr>
              <w:t>5.2</w:t>
            </w:r>
            <w:r w:rsidRPr="00DE6D82">
              <w:rPr>
                <w:rFonts w:ascii="Arial" w:hAnsi="Arial" w:cs="Arial"/>
              </w:rPr>
              <w:t>% (N=</w:t>
            </w:r>
            <w:r>
              <w:rPr>
                <w:rFonts w:ascii="Arial" w:hAnsi="Arial" w:cs="Arial"/>
              </w:rPr>
              <w:t>3</w:t>
            </w:r>
            <w:r w:rsidRPr="00DE6D82">
              <w:rPr>
                <w:rFonts w:ascii="Arial" w:hAnsi="Arial" w:cs="Arial"/>
              </w:rPr>
              <w:t xml:space="preserve">) assigned the total value to the year in which </w:t>
            </w:r>
            <w:r>
              <w:rPr>
                <w:rFonts w:ascii="Arial" w:hAnsi="Arial" w:cs="Arial"/>
              </w:rPr>
              <w:t>the</w:t>
            </w:r>
            <w:r w:rsidRPr="00DE6D82">
              <w:rPr>
                <w:rFonts w:ascii="Arial" w:hAnsi="Arial" w:cs="Arial"/>
              </w:rPr>
              <w:t xml:space="preserve"> last payment was made, </w:t>
            </w:r>
            <w:r>
              <w:rPr>
                <w:rFonts w:ascii="Arial" w:hAnsi="Arial" w:cs="Arial"/>
              </w:rPr>
              <w:t>20.7</w:t>
            </w:r>
            <w:r w:rsidRPr="00DE6D82">
              <w:rPr>
                <w:rFonts w:ascii="Arial" w:hAnsi="Arial" w:cs="Arial"/>
              </w:rPr>
              <w:t>% (N=</w:t>
            </w:r>
            <w:r>
              <w:rPr>
                <w:rFonts w:ascii="Arial" w:hAnsi="Arial" w:cs="Arial"/>
              </w:rPr>
              <w:t>12</w:t>
            </w:r>
            <w:r w:rsidRPr="00DE6D82">
              <w:rPr>
                <w:rFonts w:ascii="Arial" w:hAnsi="Arial" w:cs="Arial"/>
              </w:rPr>
              <w:t xml:space="preserve">) of notes assigned the payment to the year the </w:t>
            </w:r>
            <w:r>
              <w:rPr>
                <w:rFonts w:ascii="Arial" w:hAnsi="Arial" w:cs="Arial"/>
              </w:rPr>
              <w:t>transfer of value</w:t>
            </w:r>
            <w:r w:rsidRPr="00DE6D82">
              <w:rPr>
                <w:rFonts w:ascii="Arial" w:hAnsi="Arial" w:cs="Arial"/>
              </w:rPr>
              <w:t xml:space="preserve"> </w:t>
            </w:r>
            <w:r>
              <w:rPr>
                <w:rFonts w:ascii="Arial" w:hAnsi="Arial" w:cs="Arial"/>
              </w:rPr>
              <w:t xml:space="preserve">occurred (this could occur in a single year or there could be several transfers of value in several different years), and 5.2% (N=3) used multiple rules. </w:t>
            </w:r>
          </w:p>
          <w:p w14:paraId="4C07189C" w14:textId="7424FF51" w:rsidR="00783854" w:rsidRPr="00E617EB" w:rsidRDefault="0060353B" w:rsidP="00783854">
            <w:pPr>
              <w:pStyle w:val="Heading2"/>
              <w:outlineLvl w:val="1"/>
            </w:pPr>
            <w:r>
              <w:rPr>
                <w:rFonts w:cs="Arial"/>
              </w:rPr>
              <w:t xml:space="preserve">Methodologies </w:t>
            </w:r>
            <w:r>
              <w:t>for</w:t>
            </w:r>
            <w:r w:rsidR="00783854" w:rsidRPr="00E617EB">
              <w:t xml:space="preserve"> PMCPA Recommendations</w:t>
            </w:r>
          </w:p>
          <w:p w14:paraId="4747EBD8" w14:textId="77777777" w:rsidR="00783854" w:rsidRDefault="00783854" w:rsidP="00783854">
            <w:pPr>
              <w:spacing w:line="360" w:lineRule="auto"/>
              <w:rPr>
                <w:rFonts w:ascii="Arial" w:hAnsi="Arial" w:cs="Arial"/>
              </w:rPr>
            </w:pPr>
            <w:r>
              <w:rPr>
                <w:rFonts w:ascii="Arial" w:hAnsi="Arial" w:cs="Arial"/>
              </w:rPr>
              <w:t xml:space="preserve">Of the 54 companies that provided clear information on management of </w:t>
            </w:r>
            <w:r w:rsidRPr="00961B93">
              <w:rPr>
                <w:rFonts w:ascii="Arial" w:hAnsi="Arial" w:cs="Arial"/>
                <w:b/>
                <w:bCs/>
              </w:rPr>
              <w:t>cross-border payments</w:t>
            </w:r>
            <w:r>
              <w:rPr>
                <w:rFonts w:ascii="Arial" w:hAnsi="Arial" w:cs="Arial"/>
                <w:b/>
                <w:bCs/>
              </w:rPr>
              <w:t xml:space="preserve"> to UK registered recipients </w:t>
            </w:r>
            <w:r>
              <w:rPr>
                <w:rFonts w:ascii="Arial" w:hAnsi="Arial" w:cs="Arial"/>
              </w:rPr>
              <w:t>in at least one note</w:t>
            </w:r>
            <w:r w:rsidRPr="00E120FB">
              <w:rPr>
                <w:rFonts w:ascii="Arial" w:hAnsi="Arial" w:cs="Arial"/>
                <w:bCs/>
              </w:rPr>
              <w:t>,</w:t>
            </w:r>
            <w:r>
              <w:rPr>
                <w:rFonts w:ascii="Arial" w:hAnsi="Arial" w:cs="Arial"/>
              </w:rPr>
              <w:t xml:space="preserve"> for 98.1</w:t>
            </w:r>
            <w:r w:rsidRPr="00DE6D82">
              <w:rPr>
                <w:rFonts w:ascii="Arial" w:hAnsi="Arial" w:cs="Arial"/>
              </w:rPr>
              <w:t>% (N=</w:t>
            </w:r>
            <w:r>
              <w:rPr>
                <w:rFonts w:ascii="Arial" w:hAnsi="Arial" w:cs="Arial"/>
              </w:rPr>
              <w:t>53</w:t>
            </w:r>
            <w:r w:rsidRPr="00DE6D82">
              <w:rPr>
                <w:rFonts w:ascii="Arial" w:hAnsi="Arial" w:cs="Arial"/>
              </w:rPr>
              <w:t>)</w:t>
            </w:r>
            <w:r>
              <w:rPr>
                <w:rFonts w:ascii="Arial" w:hAnsi="Arial" w:cs="Arial"/>
              </w:rPr>
              <w:t xml:space="preserve"> of </w:t>
            </w:r>
            <w:bookmarkStart w:id="6" w:name="_Hlk149037279"/>
            <w:r>
              <w:rPr>
                <w:rFonts w:ascii="Arial" w:hAnsi="Arial" w:cs="Arial"/>
              </w:rPr>
              <w:t xml:space="preserve">companies, </w:t>
            </w:r>
            <w:r w:rsidRPr="00DE6D82">
              <w:rPr>
                <w:rFonts w:ascii="Arial" w:hAnsi="Arial" w:cs="Arial"/>
              </w:rPr>
              <w:t xml:space="preserve">payments to UK registered recipients by a company’s affiliate outside the UK, and/or for activities outside the UK, were </w:t>
            </w:r>
            <w:r>
              <w:rPr>
                <w:rFonts w:ascii="Arial" w:hAnsi="Arial" w:cs="Arial"/>
              </w:rPr>
              <w:t>disclosed</w:t>
            </w:r>
            <w:r w:rsidRPr="00DE6D82">
              <w:rPr>
                <w:rFonts w:ascii="Arial" w:hAnsi="Arial" w:cs="Arial"/>
              </w:rPr>
              <w:t xml:space="preserve"> on disclosure UK.</w:t>
            </w:r>
            <w:bookmarkEnd w:id="6"/>
            <w:r w:rsidRPr="00DE6D82">
              <w:rPr>
                <w:rFonts w:ascii="Arial" w:hAnsi="Arial" w:cs="Arial"/>
              </w:rPr>
              <w:t xml:space="preserve"> For all three notes from</w:t>
            </w:r>
            <w:r>
              <w:rPr>
                <w:rFonts w:ascii="Arial" w:hAnsi="Arial" w:cs="Arial"/>
              </w:rPr>
              <w:t xml:space="preserve"> Baxter international</w:t>
            </w:r>
            <w:r w:rsidRPr="00DE6D82">
              <w:rPr>
                <w:rFonts w:ascii="Arial" w:hAnsi="Arial" w:cs="Arial"/>
              </w:rPr>
              <w:t xml:space="preserve">, </w:t>
            </w:r>
            <w:bookmarkStart w:id="7" w:name="_Hlk149037310"/>
            <w:r w:rsidRPr="00DE6D82">
              <w:rPr>
                <w:rFonts w:ascii="Arial" w:hAnsi="Arial" w:cs="Arial"/>
              </w:rPr>
              <w:t>payments to UK based HCPs/HCOs from the company’s US affiliate were not included</w:t>
            </w:r>
            <w:bookmarkEnd w:id="7"/>
            <w:r w:rsidRPr="00DE6D82">
              <w:rPr>
                <w:rFonts w:ascii="Arial" w:hAnsi="Arial" w:cs="Arial"/>
              </w:rPr>
              <w:t xml:space="preserve">.  </w:t>
            </w:r>
          </w:p>
          <w:p w14:paraId="2D2F88C6" w14:textId="77777777" w:rsidR="00783854" w:rsidRPr="00DE6D82" w:rsidRDefault="00783854" w:rsidP="00783854">
            <w:pPr>
              <w:spacing w:line="360" w:lineRule="auto"/>
              <w:rPr>
                <w:rFonts w:ascii="Arial" w:hAnsi="Arial" w:cs="Arial"/>
              </w:rPr>
            </w:pPr>
            <w:r>
              <w:rPr>
                <w:rFonts w:ascii="Arial" w:hAnsi="Arial" w:cs="Arial"/>
              </w:rPr>
              <w:lastRenderedPageBreak/>
              <w:t xml:space="preserve">Of the 41 companies that provided clear information on management of </w:t>
            </w:r>
            <w:r w:rsidRPr="00961B93">
              <w:rPr>
                <w:rFonts w:ascii="Arial" w:hAnsi="Arial" w:cs="Arial"/>
                <w:b/>
                <w:bCs/>
              </w:rPr>
              <w:t>cross-border payments</w:t>
            </w:r>
            <w:r>
              <w:rPr>
                <w:rFonts w:ascii="Arial" w:hAnsi="Arial" w:cs="Arial"/>
                <w:b/>
                <w:bCs/>
              </w:rPr>
              <w:t xml:space="preserve"> to recipients</w:t>
            </w:r>
            <w:r w:rsidRPr="00DE6D82">
              <w:rPr>
                <w:rFonts w:ascii="Arial" w:hAnsi="Arial" w:cs="Arial"/>
              </w:rPr>
              <w:t xml:space="preserve"> </w:t>
            </w:r>
            <w:r>
              <w:rPr>
                <w:rFonts w:ascii="Arial" w:hAnsi="Arial" w:cs="Arial"/>
                <w:b/>
                <w:bCs/>
              </w:rPr>
              <w:t>registered outside the UK</w:t>
            </w:r>
            <w:r w:rsidRPr="00E120FB">
              <w:rPr>
                <w:rFonts w:ascii="Arial" w:hAnsi="Arial" w:cs="Arial"/>
              </w:rPr>
              <w:t xml:space="preserve"> </w:t>
            </w:r>
            <w:r>
              <w:rPr>
                <w:rFonts w:ascii="Arial" w:hAnsi="Arial" w:cs="Arial"/>
              </w:rPr>
              <w:t>in at least one note</w:t>
            </w:r>
            <w:r w:rsidRPr="00E120FB">
              <w:rPr>
                <w:rFonts w:ascii="Arial" w:hAnsi="Arial" w:cs="Arial"/>
                <w:bCs/>
              </w:rPr>
              <w:t>,</w:t>
            </w:r>
            <w:r>
              <w:rPr>
                <w:rFonts w:ascii="Arial" w:hAnsi="Arial" w:cs="Arial"/>
                <w:b/>
                <w:bCs/>
              </w:rPr>
              <w:t xml:space="preserve"> </w:t>
            </w:r>
            <w:r>
              <w:rPr>
                <w:rFonts w:ascii="Arial" w:hAnsi="Arial" w:cs="Arial"/>
              </w:rPr>
              <w:t>f</w:t>
            </w:r>
            <w:r w:rsidRPr="00DE6D82">
              <w:rPr>
                <w:rFonts w:ascii="Arial" w:hAnsi="Arial" w:cs="Arial"/>
              </w:rPr>
              <w:t xml:space="preserve">or </w:t>
            </w:r>
            <w:r>
              <w:rPr>
                <w:rFonts w:ascii="Arial" w:hAnsi="Arial" w:cs="Arial"/>
              </w:rPr>
              <w:t>17.1</w:t>
            </w:r>
            <w:r w:rsidRPr="00DE6D82">
              <w:rPr>
                <w:rFonts w:ascii="Arial" w:hAnsi="Arial" w:cs="Arial"/>
              </w:rPr>
              <w:t>% (N=</w:t>
            </w:r>
            <w:r>
              <w:rPr>
                <w:rFonts w:ascii="Arial" w:hAnsi="Arial" w:cs="Arial"/>
              </w:rPr>
              <w:t>7</w:t>
            </w:r>
            <w:r w:rsidRPr="00DE6D82">
              <w:rPr>
                <w:rFonts w:ascii="Arial" w:hAnsi="Arial" w:cs="Arial"/>
              </w:rPr>
              <w:t xml:space="preserve">) of </w:t>
            </w:r>
            <w:r>
              <w:rPr>
                <w:rFonts w:ascii="Arial" w:hAnsi="Arial" w:cs="Arial"/>
              </w:rPr>
              <w:t>companies</w:t>
            </w:r>
            <w:r w:rsidRPr="00DE6D82">
              <w:rPr>
                <w:rFonts w:ascii="Arial" w:hAnsi="Arial" w:cs="Arial"/>
              </w:rPr>
              <w:t xml:space="preserve">, </w:t>
            </w:r>
            <w:bookmarkStart w:id="8" w:name="_Hlk149037289"/>
            <w:r w:rsidRPr="00DE6D82">
              <w:rPr>
                <w:rFonts w:ascii="Arial" w:hAnsi="Arial" w:cs="Arial"/>
              </w:rPr>
              <w:t>payments by the respective company, to HCPs/HCOs based outside the UK were included in the UK disclosure system</w:t>
            </w:r>
            <w:bookmarkEnd w:id="8"/>
            <w:r w:rsidRPr="00DE6D82">
              <w:rPr>
                <w:rFonts w:ascii="Arial" w:hAnsi="Arial" w:cs="Arial"/>
              </w:rPr>
              <w:t xml:space="preserve">. Though it should be noted that in some cases this only applied to countries where the company did not have an affiliate. For </w:t>
            </w:r>
            <w:r>
              <w:rPr>
                <w:rFonts w:ascii="Arial" w:hAnsi="Arial" w:cs="Arial"/>
              </w:rPr>
              <w:t>85.4</w:t>
            </w:r>
            <w:r w:rsidRPr="00DE6D82">
              <w:rPr>
                <w:rFonts w:ascii="Arial" w:hAnsi="Arial" w:cs="Arial"/>
              </w:rPr>
              <w:t>% (N=</w:t>
            </w:r>
            <w:r>
              <w:rPr>
                <w:rFonts w:ascii="Arial" w:hAnsi="Arial" w:cs="Arial"/>
              </w:rPr>
              <w:t>35</w:t>
            </w:r>
            <w:r w:rsidRPr="00DE6D82">
              <w:rPr>
                <w:rFonts w:ascii="Arial" w:hAnsi="Arial" w:cs="Arial"/>
              </w:rPr>
              <w:t xml:space="preserve">) of </w:t>
            </w:r>
            <w:r>
              <w:rPr>
                <w:rFonts w:ascii="Arial" w:hAnsi="Arial" w:cs="Arial"/>
              </w:rPr>
              <w:t>companies</w:t>
            </w:r>
            <w:r w:rsidRPr="00DE6D82">
              <w:rPr>
                <w:rFonts w:ascii="Arial" w:hAnsi="Arial" w:cs="Arial"/>
              </w:rPr>
              <w:t xml:space="preserve">, </w:t>
            </w:r>
            <w:bookmarkStart w:id="9" w:name="_Hlk149037302"/>
            <w:r w:rsidRPr="00DE6D82">
              <w:rPr>
                <w:rFonts w:ascii="Arial" w:hAnsi="Arial" w:cs="Arial"/>
              </w:rPr>
              <w:t>it was explicitly stated that HCPs/HCOs based outside the UK were not included in the UK disclosure system</w:t>
            </w:r>
            <w:bookmarkEnd w:id="9"/>
            <w:r w:rsidRPr="00DE6D82">
              <w:rPr>
                <w:rFonts w:ascii="Arial" w:hAnsi="Arial" w:cs="Arial"/>
              </w:rPr>
              <w:t xml:space="preserve">. </w:t>
            </w:r>
          </w:p>
          <w:p w14:paraId="139EDC77" w14:textId="5D0578F8" w:rsidR="00783854" w:rsidRPr="00DE6D82" w:rsidRDefault="00783854" w:rsidP="00783854">
            <w:pPr>
              <w:spacing w:line="360" w:lineRule="auto"/>
              <w:rPr>
                <w:rFonts w:ascii="Arial" w:hAnsi="Arial" w:cs="Arial"/>
              </w:rPr>
            </w:pPr>
            <w:r w:rsidRPr="00DE6D82">
              <w:rPr>
                <w:rFonts w:ascii="Arial" w:hAnsi="Arial" w:cs="Arial"/>
              </w:rPr>
              <w:t xml:space="preserve">Of the </w:t>
            </w:r>
            <w:r>
              <w:rPr>
                <w:rFonts w:ascii="Arial" w:hAnsi="Arial" w:cs="Arial"/>
              </w:rPr>
              <w:t>33</w:t>
            </w:r>
            <w:r w:rsidRPr="00DE6D82">
              <w:rPr>
                <w:rFonts w:ascii="Arial" w:hAnsi="Arial" w:cs="Arial"/>
              </w:rPr>
              <w:t xml:space="preserve"> </w:t>
            </w:r>
            <w:r>
              <w:rPr>
                <w:rFonts w:ascii="Arial" w:hAnsi="Arial" w:cs="Arial"/>
              </w:rPr>
              <w:t>companies</w:t>
            </w:r>
            <w:r w:rsidRPr="00DE6D82">
              <w:rPr>
                <w:rFonts w:ascii="Arial" w:hAnsi="Arial" w:cs="Arial"/>
              </w:rPr>
              <w:t xml:space="preserve"> that provided details </w:t>
            </w:r>
            <w:r>
              <w:rPr>
                <w:rFonts w:ascii="Arial" w:hAnsi="Arial" w:cs="Arial"/>
              </w:rPr>
              <w:t>in at least one note</w:t>
            </w:r>
            <w:r w:rsidRPr="00DE6D82">
              <w:rPr>
                <w:rFonts w:ascii="Arial" w:hAnsi="Arial" w:cs="Arial"/>
              </w:rPr>
              <w:t xml:space="preserve"> of a </w:t>
            </w:r>
            <w:r w:rsidR="0060353B">
              <w:rPr>
                <w:rFonts w:ascii="Arial" w:hAnsi="Arial" w:cs="Arial"/>
              </w:rPr>
              <w:t>methodology for</w:t>
            </w:r>
            <w:r w:rsidRPr="00DE6D82">
              <w:rPr>
                <w:rFonts w:ascii="Arial" w:hAnsi="Arial" w:cs="Arial"/>
              </w:rPr>
              <w:t xml:space="preserve"> </w:t>
            </w:r>
            <w:r w:rsidR="0060353B">
              <w:rPr>
                <w:rFonts w:ascii="Arial" w:hAnsi="Arial" w:cs="Arial"/>
              </w:rPr>
              <w:t>payments</w:t>
            </w:r>
            <w:r w:rsidR="0060353B" w:rsidRPr="00DE6D82">
              <w:rPr>
                <w:rFonts w:ascii="Arial" w:hAnsi="Arial" w:cs="Arial"/>
              </w:rPr>
              <w:t xml:space="preserve"> related </w:t>
            </w:r>
            <w:r w:rsidR="0060353B">
              <w:rPr>
                <w:rFonts w:ascii="Arial" w:hAnsi="Arial" w:cs="Arial"/>
              </w:rPr>
              <w:t xml:space="preserve">to </w:t>
            </w:r>
            <w:r w:rsidRPr="00961B93">
              <w:rPr>
                <w:rFonts w:ascii="Arial" w:hAnsi="Arial" w:cs="Arial"/>
                <w:b/>
                <w:bCs/>
              </w:rPr>
              <w:t>over-the-counter medicines</w:t>
            </w:r>
            <w:r w:rsidRPr="00DE6D82">
              <w:rPr>
                <w:rFonts w:ascii="Arial" w:hAnsi="Arial" w:cs="Arial"/>
              </w:rPr>
              <w:t xml:space="preserve">, </w:t>
            </w:r>
            <w:r>
              <w:rPr>
                <w:rFonts w:ascii="Arial" w:hAnsi="Arial" w:cs="Arial"/>
              </w:rPr>
              <w:t>21.2</w:t>
            </w:r>
            <w:r w:rsidRPr="00DE6D82">
              <w:rPr>
                <w:rFonts w:ascii="Arial" w:hAnsi="Arial" w:cs="Arial"/>
              </w:rPr>
              <w:t>% (N=</w:t>
            </w:r>
            <w:r>
              <w:rPr>
                <w:rFonts w:ascii="Arial" w:hAnsi="Arial" w:cs="Arial"/>
              </w:rPr>
              <w:t>7</w:t>
            </w:r>
            <w:r w:rsidRPr="00DE6D82">
              <w:rPr>
                <w:rFonts w:ascii="Arial" w:hAnsi="Arial" w:cs="Arial"/>
              </w:rPr>
              <w:t xml:space="preserve">) </w:t>
            </w:r>
            <w:r>
              <w:rPr>
                <w:rFonts w:ascii="Arial" w:hAnsi="Arial" w:cs="Arial"/>
              </w:rPr>
              <w:t xml:space="preserve">stated they </w:t>
            </w:r>
            <w:r w:rsidRPr="00DE6D82">
              <w:rPr>
                <w:rFonts w:ascii="Arial" w:hAnsi="Arial" w:cs="Arial"/>
              </w:rPr>
              <w:t>includ</w:t>
            </w:r>
            <w:r>
              <w:rPr>
                <w:rFonts w:ascii="Arial" w:hAnsi="Arial" w:cs="Arial"/>
              </w:rPr>
              <w:t xml:space="preserve">ed them </w:t>
            </w:r>
            <w:r w:rsidRPr="00DE6D82">
              <w:rPr>
                <w:rFonts w:ascii="Arial" w:hAnsi="Arial" w:cs="Arial"/>
              </w:rPr>
              <w:t xml:space="preserve">in their disclosure, </w:t>
            </w:r>
            <w:r>
              <w:rPr>
                <w:rFonts w:ascii="Arial" w:hAnsi="Arial" w:cs="Arial"/>
              </w:rPr>
              <w:t>whereas 54.5</w:t>
            </w:r>
            <w:r w:rsidRPr="00DE6D82">
              <w:rPr>
                <w:rFonts w:ascii="Arial" w:hAnsi="Arial" w:cs="Arial"/>
              </w:rPr>
              <w:t>% (N=</w:t>
            </w:r>
            <w:r>
              <w:rPr>
                <w:rFonts w:ascii="Arial" w:hAnsi="Arial" w:cs="Arial"/>
              </w:rPr>
              <w:t>18</w:t>
            </w:r>
            <w:r w:rsidRPr="00DE6D82">
              <w:rPr>
                <w:rFonts w:ascii="Arial" w:hAnsi="Arial" w:cs="Arial"/>
              </w:rPr>
              <w:t xml:space="preserve">) explicitly excluded </w:t>
            </w:r>
            <w:r>
              <w:rPr>
                <w:rFonts w:ascii="Arial" w:hAnsi="Arial" w:cs="Arial"/>
              </w:rPr>
              <w:t>them. F</w:t>
            </w:r>
            <w:r w:rsidRPr="00DE6D82">
              <w:rPr>
                <w:rFonts w:ascii="Arial" w:hAnsi="Arial" w:cs="Arial"/>
              </w:rPr>
              <w:t xml:space="preserve">or </w:t>
            </w:r>
            <w:r>
              <w:rPr>
                <w:rFonts w:ascii="Arial" w:hAnsi="Arial" w:cs="Arial"/>
              </w:rPr>
              <w:t>33.3</w:t>
            </w:r>
            <w:r w:rsidRPr="00DE6D82">
              <w:rPr>
                <w:rFonts w:ascii="Arial" w:hAnsi="Arial" w:cs="Arial"/>
              </w:rPr>
              <w:t>% (N=</w:t>
            </w:r>
            <w:r>
              <w:rPr>
                <w:rFonts w:ascii="Arial" w:hAnsi="Arial" w:cs="Arial"/>
              </w:rPr>
              <w:t>11</w:t>
            </w:r>
            <w:r w:rsidRPr="00DE6D82">
              <w:rPr>
                <w:rFonts w:ascii="Arial" w:hAnsi="Arial" w:cs="Arial"/>
              </w:rPr>
              <w:t>) of notes, it c</w:t>
            </w:r>
            <w:r>
              <w:rPr>
                <w:rFonts w:ascii="Arial" w:hAnsi="Arial" w:cs="Arial"/>
              </w:rPr>
              <w:t>an</w:t>
            </w:r>
            <w:r w:rsidRPr="00DE6D82">
              <w:rPr>
                <w:rFonts w:ascii="Arial" w:hAnsi="Arial" w:cs="Arial"/>
              </w:rPr>
              <w:t xml:space="preserve"> be inferred from their definition of </w:t>
            </w:r>
            <w:r>
              <w:rPr>
                <w:rFonts w:ascii="Arial" w:hAnsi="Arial" w:cs="Arial"/>
              </w:rPr>
              <w:t>includable payments</w:t>
            </w:r>
            <w:r w:rsidRPr="00DE6D82">
              <w:rPr>
                <w:rFonts w:ascii="Arial" w:hAnsi="Arial" w:cs="Arial"/>
              </w:rPr>
              <w:t xml:space="preserve"> as related to ‘prescription only medicines’ that </w:t>
            </w:r>
            <w:r>
              <w:rPr>
                <w:rFonts w:ascii="Arial" w:hAnsi="Arial" w:cs="Arial"/>
              </w:rPr>
              <w:t>payments</w:t>
            </w:r>
            <w:r w:rsidRPr="00DE6D82">
              <w:rPr>
                <w:rFonts w:ascii="Arial" w:hAnsi="Arial" w:cs="Arial"/>
              </w:rPr>
              <w:t xml:space="preserve"> related to over-the-counter medicines were excluded.  </w:t>
            </w:r>
          </w:p>
          <w:p w14:paraId="507C6E1D" w14:textId="35FEBCAD" w:rsidR="00783854" w:rsidRDefault="00783854" w:rsidP="00783854">
            <w:pPr>
              <w:spacing w:line="360" w:lineRule="auto"/>
              <w:rPr>
                <w:rFonts w:ascii="Arial" w:hAnsi="Arial" w:cs="Arial"/>
              </w:rPr>
            </w:pPr>
            <w:r w:rsidRPr="00DE6D82">
              <w:rPr>
                <w:rFonts w:ascii="Arial" w:hAnsi="Arial" w:cs="Arial"/>
              </w:rPr>
              <w:t xml:space="preserve">Of the </w:t>
            </w:r>
            <w:r>
              <w:rPr>
                <w:rFonts w:ascii="Arial" w:hAnsi="Arial" w:cs="Arial"/>
              </w:rPr>
              <w:t>29</w:t>
            </w:r>
            <w:r w:rsidRPr="00DE6D82">
              <w:rPr>
                <w:rFonts w:ascii="Arial" w:hAnsi="Arial" w:cs="Arial"/>
              </w:rPr>
              <w:t xml:space="preserve"> </w:t>
            </w:r>
            <w:r>
              <w:rPr>
                <w:rFonts w:ascii="Arial" w:hAnsi="Arial" w:cs="Arial"/>
              </w:rPr>
              <w:t>companies</w:t>
            </w:r>
            <w:r w:rsidRPr="00DE6D82">
              <w:rPr>
                <w:rFonts w:ascii="Arial" w:hAnsi="Arial" w:cs="Arial"/>
              </w:rPr>
              <w:t xml:space="preserve"> that provided details </w:t>
            </w:r>
            <w:r>
              <w:rPr>
                <w:rFonts w:ascii="Arial" w:hAnsi="Arial" w:cs="Arial"/>
              </w:rPr>
              <w:t>in at least one note</w:t>
            </w:r>
            <w:r w:rsidRPr="00DE6D82">
              <w:rPr>
                <w:rFonts w:ascii="Arial" w:hAnsi="Arial" w:cs="Arial"/>
              </w:rPr>
              <w:t xml:space="preserve"> of a </w:t>
            </w:r>
            <w:r w:rsidR="0060353B">
              <w:rPr>
                <w:rFonts w:ascii="Arial" w:hAnsi="Arial" w:cs="Arial"/>
              </w:rPr>
              <w:t xml:space="preserve">methodology for </w:t>
            </w:r>
            <w:r>
              <w:rPr>
                <w:rFonts w:ascii="Arial" w:hAnsi="Arial" w:cs="Arial"/>
              </w:rPr>
              <w:t>payments</w:t>
            </w:r>
            <w:r w:rsidRPr="00DE6D82">
              <w:rPr>
                <w:rFonts w:ascii="Arial" w:hAnsi="Arial" w:cs="Arial"/>
              </w:rPr>
              <w:t xml:space="preserve"> related to </w:t>
            </w:r>
            <w:r w:rsidRPr="00DC31C6">
              <w:rPr>
                <w:rFonts w:ascii="Arial" w:hAnsi="Arial" w:cs="Arial"/>
                <w:b/>
                <w:bCs/>
              </w:rPr>
              <w:t>medical devices</w:t>
            </w:r>
            <w:r w:rsidRPr="00DE6D82">
              <w:rPr>
                <w:rFonts w:ascii="Arial" w:hAnsi="Arial" w:cs="Arial"/>
              </w:rPr>
              <w:t xml:space="preserve">, </w:t>
            </w:r>
            <w:r>
              <w:rPr>
                <w:rFonts w:ascii="Arial" w:hAnsi="Arial" w:cs="Arial"/>
              </w:rPr>
              <w:t>27.6</w:t>
            </w:r>
            <w:r w:rsidRPr="00DE6D82">
              <w:rPr>
                <w:rFonts w:ascii="Arial" w:hAnsi="Arial" w:cs="Arial"/>
              </w:rPr>
              <w:t>% (N=</w:t>
            </w:r>
            <w:r>
              <w:rPr>
                <w:rFonts w:ascii="Arial" w:hAnsi="Arial" w:cs="Arial"/>
              </w:rPr>
              <w:t>8</w:t>
            </w:r>
            <w:r w:rsidRPr="00DE6D82">
              <w:rPr>
                <w:rFonts w:ascii="Arial" w:hAnsi="Arial" w:cs="Arial"/>
              </w:rPr>
              <w:t xml:space="preserve">) included </w:t>
            </w:r>
            <w:r>
              <w:rPr>
                <w:rFonts w:ascii="Arial" w:hAnsi="Arial" w:cs="Arial"/>
              </w:rPr>
              <w:t>such payments</w:t>
            </w:r>
            <w:r w:rsidRPr="00DE6D82">
              <w:rPr>
                <w:rFonts w:ascii="Arial" w:hAnsi="Arial" w:cs="Arial"/>
              </w:rPr>
              <w:t xml:space="preserve"> in their disclosure, </w:t>
            </w:r>
            <w:r>
              <w:rPr>
                <w:rFonts w:ascii="Arial" w:hAnsi="Arial" w:cs="Arial"/>
              </w:rPr>
              <w:t>34.5</w:t>
            </w:r>
            <w:r w:rsidRPr="00DE6D82">
              <w:rPr>
                <w:rFonts w:ascii="Arial" w:hAnsi="Arial" w:cs="Arial"/>
              </w:rPr>
              <w:t>% (N=</w:t>
            </w:r>
            <w:r>
              <w:rPr>
                <w:rFonts w:ascii="Arial" w:hAnsi="Arial" w:cs="Arial"/>
              </w:rPr>
              <w:t>10</w:t>
            </w:r>
            <w:r w:rsidRPr="00DE6D82">
              <w:rPr>
                <w:rFonts w:ascii="Arial" w:hAnsi="Arial" w:cs="Arial"/>
              </w:rPr>
              <w:t xml:space="preserve">) explicitly excluded </w:t>
            </w:r>
            <w:r>
              <w:rPr>
                <w:rFonts w:ascii="Arial" w:hAnsi="Arial" w:cs="Arial"/>
              </w:rPr>
              <w:t>them.</w:t>
            </w:r>
            <w:r w:rsidRPr="00DE6D82">
              <w:rPr>
                <w:rFonts w:ascii="Arial" w:hAnsi="Arial" w:cs="Arial"/>
              </w:rPr>
              <w:t xml:space="preserve"> </w:t>
            </w:r>
            <w:r>
              <w:rPr>
                <w:rFonts w:ascii="Arial" w:hAnsi="Arial" w:cs="Arial"/>
              </w:rPr>
              <w:t>F</w:t>
            </w:r>
            <w:r w:rsidRPr="00DE6D82">
              <w:rPr>
                <w:rFonts w:ascii="Arial" w:hAnsi="Arial" w:cs="Arial"/>
              </w:rPr>
              <w:t xml:space="preserve">or </w:t>
            </w:r>
            <w:r>
              <w:rPr>
                <w:rFonts w:ascii="Arial" w:hAnsi="Arial" w:cs="Arial"/>
              </w:rPr>
              <w:t>37.9</w:t>
            </w:r>
            <w:r w:rsidRPr="00DE6D82">
              <w:rPr>
                <w:rFonts w:ascii="Arial" w:hAnsi="Arial" w:cs="Arial"/>
              </w:rPr>
              <w:t>% (N=</w:t>
            </w:r>
            <w:r>
              <w:rPr>
                <w:rFonts w:ascii="Arial" w:hAnsi="Arial" w:cs="Arial"/>
              </w:rPr>
              <w:t>11</w:t>
            </w:r>
            <w:r w:rsidRPr="00DE6D82">
              <w:rPr>
                <w:rFonts w:ascii="Arial" w:hAnsi="Arial" w:cs="Arial"/>
              </w:rPr>
              <w:t xml:space="preserve">) of </w:t>
            </w:r>
            <w:r>
              <w:rPr>
                <w:rFonts w:ascii="Arial" w:hAnsi="Arial" w:cs="Arial"/>
              </w:rPr>
              <w:t>companies</w:t>
            </w:r>
            <w:r w:rsidRPr="00DE6D82">
              <w:rPr>
                <w:rFonts w:ascii="Arial" w:hAnsi="Arial" w:cs="Arial"/>
              </w:rPr>
              <w:t>,</w:t>
            </w:r>
            <w:r>
              <w:rPr>
                <w:rFonts w:ascii="Arial" w:hAnsi="Arial" w:cs="Arial"/>
              </w:rPr>
              <w:t xml:space="preserve"> in at least one of their notes</w:t>
            </w:r>
            <w:r w:rsidRPr="00DE6D82">
              <w:rPr>
                <w:rFonts w:ascii="Arial" w:hAnsi="Arial" w:cs="Arial"/>
              </w:rPr>
              <w:t xml:space="preserve"> it c</w:t>
            </w:r>
            <w:r>
              <w:rPr>
                <w:rFonts w:ascii="Arial" w:hAnsi="Arial" w:cs="Arial"/>
              </w:rPr>
              <w:t>an</w:t>
            </w:r>
            <w:r w:rsidRPr="00DE6D82">
              <w:rPr>
                <w:rFonts w:ascii="Arial" w:hAnsi="Arial" w:cs="Arial"/>
              </w:rPr>
              <w:t xml:space="preserve"> be inferred from their definition of </w:t>
            </w:r>
            <w:r>
              <w:rPr>
                <w:rFonts w:ascii="Arial" w:hAnsi="Arial" w:cs="Arial"/>
              </w:rPr>
              <w:t>includable payments</w:t>
            </w:r>
            <w:r w:rsidRPr="00DE6D82">
              <w:rPr>
                <w:rFonts w:ascii="Arial" w:hAnsi="Arial" w:cs="Arial"/>
              </w:rPr>
              <w:t xml:space="preserve"> as related to ‘prescription only medicines’ that </w:t>
            </w:r>
            <w:r>
              <w:rPr>
                <w:rFonts w:ascii="Arial" w:hAnsi="Arial" w:cs="Arial"/>
              </w:rPr>
              <w:t>payments</w:t>
            </w:r>
            <w:r w:rsidRPr="00DE6D82">
              <w:rPr>
                <w:rFonts w:ascii="Arial" w:hAnsi="Arial" w:cs="Arial"/>
              </w:rPr>
              <w:t xml:space="preserve"> related to medical devices were excluded. For </w:t>
            </w:r>
            <w:r>
              <w:rPr>
                <w:rFonts w:ascii="Arial" w:hAnsi="Arial" w:cs="Arial"/>
              </w:rPr>
              <w:t>6.9</w:t>
            </w:r>
            <w:r w:rsidRPr="00DE6D82">
              <w:rPr>
                <w:rFonts w:ascii="Arial" w:hAnsi="Arial" w:cs="Arial"/>
              </w:rPr>
              <w:t>% (N=</w:t>
            </w:r>
            <w:r>
              <w:rPr>
                <w:rFonts w:ascii="Arial" w:hAnsi="Arial" w:cs="Arial"/>
              </w:rPr>
              <w:t>2</w:t>
            </w:r>
            <w:r w:rsidRPr="00DE6D82">
              <w:rPr>
                <w:rFonts w:ascii="Arial" w:hAnsi="Arial" w:cs="Arial"/>
              </w:rPr>
              <w:t xml:space="preserve">) of </w:t>
            </w:r>
            <w:r>
              <w:rPr>
                <w:rFonts w:ascii="Arial" w:hAnsi="Arial" w:cs="Arial"/>
              </w:rPr>
              <w:t>companies</w:t>
            </w:r>
            <w:r w:rsidRPr="00DE6D82">
              <w:rPr>
                <w:rFonts w:ascii="Arial" w:hAnsi="Arial" w:cs="Arial"/>
              </w:rPr>
              <w:t xml:space="preserve">, </w:t>
            </w:r>
            <w:r>
              <w:rPr>
                <w:rFonts w:ascii="Arial" w:hAnsi="Arial" w:cs="Arial"/>
              </w:rPr>
              <w:t>in at least one of their notes</w:t>
            </w:r>
            <w:r w:rsidRPr="00DE6D82">
              <w:rPr>
                <w:rFonts w:ascii="Arial" w:hAnsi="Arial" w:cs="Arial"/>
              </w:rPr>
              <w:t xml:space="preserve"> medical device </w:t>
            </w:r>
            <w:r>
              <w:rPr>
                <w:rFonts w:ascii="Arial" w:hAnsi="Arial" w:cs="Arial"/>
              </w:rPr>
              <w:t>payments</w:t>
            </w:r>
            <w:r w:rsidRPr="00DE6D82">
              <w:rPr>
                <w:rFonts w:ascii="Arial" w:hAnsi="Arial" w:cs="Arial"/>
              </w:rPr>
              <w:t xml:space="preserve"> were partially disclosed, for example, for devices with active pharmacological ingredients. </w:t>
            </w:r>
          </w:p>
          <w:p w14:paraId="509920CE" w14:textId="1701096D" w:rsidR="00783854" w:rsidRDefault="00783854" w:rsidP="00783854">
            <w:pPr>
              <w:spacing w:line="360" w:lineRule="auto"/>
              <w:rPr>
                <w:rFonts w:ascii="Arial" w:hAnsi="Arial" w:cs="Arial"/>
              </w:rPr>
            </w:pPr>
            <w:r w:rsidRPr="00DE6D82">
              <w:rPr>
                <w:rFonts w:ascii="Arial" w:hAnsi="Arial" w:cs="Arial"/>
              </w:rPr>
              <w:t xml:space="preserve">Of the </w:t>
            </w:r>
            <w:r>
              <w:rPr>
                <w:rFonts w:ascii="Arial" w:hAnsi="Arial" w:cs="Arial"/>
              </w:rPr>
              <w:t>28</w:t>
            </w:r>
            <w:r w:rsidRPr="00DE6D82">
              <w:rPr>
                <w:rFonts w:ascii="Arial" w:hAnsi="Arial" w:cs="Arial"/>
              </w:rPr>
              <w:t xml:space="preserve"> </w:t>
            </w:r>
            <w:r>
              <w:rPr>
                <w:rFonts w:ascii="Arial" w:hAnsi="Arial" w:cs="Arial"/>
              </w:rPr>
              <w:t>companies</w:t>
            </w:r>
            <w:r w:rsidRPr="00DE6D82">
              <w:rPr>
                <w:rFonts w:ascii="Arial" w:hAnsi="Arial" w:cs="Arial"/>
              </w:rPr>
              <w:t xml:space="preserve"> that provided clear details</w:t>
            </w:r>
            <w:r w:rsidRPr="0086251A">
              <w:rPr>
                <w:rFonts w:ascii="Arial" w:hAnsi="Arial" w:cs="Arial"/>
              </w:rPr>
              <w:t xml:space="preserve"> </w:t>
            </w:r>
            <w:r>
              <w:rPr>
                <w:rFonts w:ascii="Arial" w:hAnsi="Arial" w:cs="Arial"/>
              </w:rPr>
              <w:t>in at least one note</w:t>
            </w:r>
            <w:r w:rsidRPr="00DE6D82">
              <w:rPr>
                <w:rFonts w:ascii="Arial" w:hAnsi="Arial" w:cs="Arial"/>
              </w:rPr>
              <w:t xml:space="preserve"> of a </w:t>
            </w:r>
            <w:r w:rsidR="0060353B">
              <w:rPr>
                <w:rFonts w:cs="Arial"/>
              </w:rPr>
              <w:t xml:space="preserve">methodology </w:t>
            </w:r>
            <w:r w:rsidRPr="00DE6D82">
              <w:rPr>
                <w:rFonts w:ascii="Arial" w:hAnsi="Arial" w:cs="Arial"/>
              </w:rPr>
              <w:t xml:space="preserve">on how </w:t>
            </w:r>
            <w:r w:rsidRPr="00DC31C6">
              <w:rPr>
                <w:rFonts w:ascii="Arial" w:hAnsi="Arial" w:cs="Arial"/>
                <w:b/>
                <w:bCs/>
              </w:rPr>
              <w:t>non-monetary payments</w:t>
            </w:r>
            <w:r w:rsidRPr="00DE6D82">
              <w:rPr>
                <w:rFonts w:ascii="Arial" w:hAnsi="Arial" w:cs="Arial"/>
              </w:rPr>
              <w:t xml:space="preserve"> </w:t>
            </w:r>
            <w:r>
              <w:rPr>
                <w:rFonts w:ascii="Arial" w:hAnsi="Arial" w:cs="Arial"/>
              </w:rPr>
              <w:t>were</w:t>
            </w:r>
            <w:r w:rsidRPr="00DE6D82">
              <w:rPr>
                <w:rFonts w:ascii="Arial" w:hAnsi="Arial" w:cs="Arial"/>
              </w:rPr>
              <w:t xml:space="preserve"> quantified, </w:t>
            </w:r>
            <w:r>
              <w:rPr>
                <w:rFonts w:ascii="Arial" w:hAnsi="Arial" w:cs="Arial"/>
              </w:rPr>
              <w:t>53.6</w:t>
            </w:r>
            <w:r w:rsidRPr="00DE6D82">
              <w:rPr>
                <w:rFonts w:ascii="Arial" w:hAnsi="Arial" w:cs="Arial"/>
              </w:rPr>
              <w:t>% (N=</w:t>
            </w:r>
            <w:r>
              <w:rPr>
                <w:rFonts w:ascii="Arial" w:hAnsi="Arial" w:cs="Arial"/>
              </w:rPr>
              <w:t>15</w:t>
            </w:r>
            <w:r w:rsidRPr="00DE6D82">
              <w:rPr>
                <w:rFonts w:ascii="Arial" w:hAnsi="Arial" w:cs="Arial"/>
              </w:rPr>
              <w:t xml:space="preserve">) described quantifying non-monetary </w:t>
            </w:r>
            <w:r>
              <w:rPr>
                <w:rFonts w:ascii="Arial" w:hAnsi="Arial" w:cs="Arial"/>
              </w:rPr>
              <w:t>payments</w:t>
            </w:r>
            <w:r w:rsidRPr="00DE6D82">
              <w:rPr>
                <w:rFonts w:ascii="Arial" w:hAnsi="Arial" w:cs="Arial"/>
              </w:rPr>
              <w:t xml:space="preserve"> but did not provide details of a calculation method, </w:t>
            </w:r>
            <w:r>
              <w:rPr>
                <w:rFonts w:ascii="Arial" w:hAnsi="Arial" w:cs="Arial"/>
              </w:rPr>
              <w:t>46.4</w:t>
            </w:r>
            <w:r w:rsidRPr="00DE6D82">
              <w:rPr>
                <w:rFonts w:ascii="Arial" w:hAnsi="Arial" w:cs="Arial"/>
              </w:rPr>
              <w:t>% (N=</w:t>
            </w:r>
            <w:r>
              <w:rPr>
                <w:rFonts w:ascii="Arial" w:hAnsi="Arial" w:cs="Arial"/>
              </w:rPr>
              <w:t>13</w:t>
            </w:r>
            <w:r w:rsidRPr="00DE6D82">
              <w:rPr>
                <w:rFonts w:ascii="Arial" w:hAnsi="Arial" w:cs="Arial"/>
              </w:rPr>
              <w:t xml:space="preserve">) did provide details of a calculation method. </w:t>
            </w:r>
            <w:r>
              <w:rPr>
                <w:rFonts w:ascii="Arial" w:hAnsi="Arial" w:cs="Arial"/>
              </w:rPr>
              <w:t>In the case of Leo Pharma</w:t>
            </w:r>
            <w:r w:rsidRPr="00DE6D82">
              <w:rPr>
                <w:rFonts w:ascii="Arial" w:hAnsi="Arial" w:cs="Arial"/>
              </w:rPr>
              <w:t>, all three of their notes describe several areas of ‘non-financial support […] that cannot be assigned a monetary value.’</w:t>
            </w:r>
          </w:p>
          <w:p w14:paraId="1D8C699C" w14:textId="0C1A5C97" w:rsidR="00783854" w:rsidRPr="00E617EB" w:rsidRDefault="0060353B" w:rsidP="00783854">
            <w:pPr>
              <w:pStyle w:val="Heading2"/>
              <w:outlineLvl w:val="1"/>
            </w:pPr>
            <w:r>
              <w:rPr>
                <w:rFonts w:cs="Arial"/>
              </w:rPr>
              <w:t xml:space="preserve">Methodologies </w:t>
            </w:r>
            <w:r>
              <w:t>for</w:t>
            </w:r>
            <w:r w:rsidR="00783854" w:rsidRPr="00E617EB">
              <w:t xml:space="preserve"> Other Areas</w:t>
            </w:r>
          </w:p>
          <w:p w14:paraId="2EBC594B" w14:textId="2CABEF95" w:rsidR="00783854" w:rsidRPr="00DE6D82" w:rsidRDefault="00783854" w:rsidP="00783854">
            <w:pPr>
              <w:spacing w:line="360" w:lineRule="auto"/>
              <w:rPr>
                <w:rFonts w:ascii="Arial" w:hAnsi="Arial" w:cs="Arial"/>
              </w:rPr>
            </w:pPr>
            <w:r>
              <w:rPr>
                <w:rFonts w:ascii="Arial" w:hAnsi="Arial" w:cs="Arial"/>
              </w:rPr>
              <w:t>Of the 40</w:t>
            </w:r>
            <w:r w:rsidRPr="00DE6D82">
              <w:rPr>
                <w:rFonts w:ascii="Arial" w:hAnsi="Arial" w:cs="Arial"/>
              </w:rPr>
              <w:t xml:space="preserve"> </w:t>
            </w:r>
            <w:r>
              <w:rPr>
                <w:rFonts w:ascii="Arial" w:hAnsi="Arial" w:cs="Arial"/>
              </w:rPr>
              <w:t>companies</w:t>
            </w:r>
            <w:r w:rsidRPr="00DE6D82">
              <w:rPr>
                <w:rFonts w:ascii="Arial" w:hAnsi="Arial" w:cs="Arial"/>
              </w:rPr>
              <w:t xml:space="preserve"> that provided</w:t>
            </w:r>
            <w:r>
              <w:rPr>
                <w:rFonts w:ascii="Arial" w:hAnsi="Arial" w:cs="Arial"/>
              </w:rPr>
              <w:t>, in at least one note,</w:t>
            </w:r>
            <w:r w:rsidRPr="00DE6D82">
              <w:rPr>
                <w:rFonts w:ascii="Arial" w:hAnsi="Arial" w:cs="Arial"/>
              </w:rPr>
              <w:t xml:space="preserve"> a clear </w:t>
            </w:r>
            <w:r w:rsidR="0060353B">
              <w:rPr>
                <w:rFonts w:ascii="Arial" w:hAnsi="Arial" w:cs="Arial"/>
              </w:rPr>
              <w:t xml:space="preserve">methodology </w:t>
            </w:r>
            <w:r>
              <w:rPr>
                <w:rFonts w:ascii="Arial" w:hAnsi="Arial" w:cs="Arial"/>
              </w:rPr>
              <w:t xml:space="preserve">on </w:t>
            </w:r>
            <w:r w:rsidRPr="003C0E37">
              <w:rPr>
                <w:rFonts w:ascii="Arial" w:hAnsi="Arial" w:cs="Arial"/>
                <w:b/>
                <w:bCs/>
              </w:rPr>
              <w:t>partial disclosure</w:t>
            </w:r>
            <w:r w:rsidRPr="00DE6D82">
              <w:rPr>
                <w:rFonts w:ascii="Arial" w:hAnsi="Arial" w:cs="Arial"/>
              </w:rPr>
              <w:t>, the practice of allowing individual HCPs to anonymise some of the payments they have received while consenting to being identified for other payments,</w:t>
            </w:r>
            <w:r>
              <w:rPr>
                <w:rFonts w:ascii="Arial" w:hAnsi="Arial" w:cs="Arial"/>
              </w:rPr>
              <w:t xml:space="preserve"> this</w:t>
            </w:r>
            <w:r w:rsidRPr="00DE6D82">
              <w:rPr>
                <w:rFonts w:ascii="Arial" w:hAnsi="Arial" w:cs="Arial"/>
              </w:rPr>
              <w:t xml:space="preserve"> was permitted in </w:t>
            </w:r>
            <w:r>
              <w:rPr>
                <w:rFonts w:ascii="Arial" w:hAnsi="Arial" w:cs="Arial"/>
              </w:rPr>
              <w:t>Y</w:t>
            </w:r>
            <w:r w:rsidRPr="00DE6D82">
              <w:rPr>
                <w:rFonts w:ascii="Arial" w:hAnsi="Arial" w:cs="Arial"/>
              </w:rPr>
              <w:t>% (N=</w:t>
            </w:r>
            <w:r>
              <w:rPr>
                <w:rFonts w:ascii="Arial" w:hAnsi="Arial" w:cs="Arial"/>
              </w:rPr>
              <w:t>Y</w:t>
            </w:r>
            <w:r w:rsidRPr="00DE6D82">
              <w:rPr>
                <w:rFonts w:ascii="Arial" w:hAnsi="Arial" w:cs="Arial"/>
              </w:rPr>
              <w:t xml:space="preserve">) of </w:t>
            </w:r>
            <w:r>
              <w:rPr>
                <w:rFonts w:ascii="Arial" w:hAnsi="Arial" w:cs="Arial"/>
              </w:rPr>
              <w:t>companies</w:t>
            </w:r>
            <w:r w:rsidRPr="00DE6D82">
              <w:rPr>
                <w:rFonts w:ascii="Arial" w:hAnsi="Arial" w:cs="Arial"/>
              </w:rPr>
              <w:t xml:space="preserve">. </w:t>
            </w:r>
            <w:r>
              <w:rPr>
                <w:rFonts w:ascii="Arial" w:hAnsi="Arial" w:cs="Arial"/>
              </w:rPr>
              <w:t>For</w:t>
            </w:r>
            <w:r w:rsidRPr="00DE6D82">
              <w:rPr>
                <w:rFonts w:ascii="Arial" w:hAnsi="Arial" w:cs="Arial"/>
              </w:rPr>
              <w:t xml:space="preserve"> </w:t>
            </w:r>
            <w:r>
              <w:rPr>
                <w:rFonts w:ascii="Arial" w:hAnsi="Arial" w:cs="Arial"/>
              </w:rPr>
              <w:t>Y</w:t>
            </w:r>
            <w:r w:rsidRPr="00DE6D82">
              <w:rPr>
                <w:rFonts w:ascii="Arial" w:hAnsi="Arial" w:cs="Arial"/>
              </w:rPr>
              <w:t>% (N=</w:t>
            </w:r>
            <w:r>
              <w:rPr>
                <w:rFonts w:ascii="Arial" w:hAnsi="Arial" w:cs="Arial"/>
              </w:rPr>
              <w:t>Y</w:t>
            </w:r>
            <w:r w:rsidRPr="00DE6D82">
              <w:rPr>
                <w:rFonts w:ascii="Arial" w:hAnsi="Arial" w:cs="Arial"/>
              </w:rPr>
              <w:t xml:space="preserve">) of </w:t>
            </w:r>
            <w:r>
              <w:rPr>
                <w:rFonts w:ascii="Arial" w:hAnsi="Arial" w:cs="Arial"/>
              </w:rPr>
              <w:t>companies</w:t>
            </w:r>
            <w:r w:rsidRPr="00DE6D82">
              <w:rPr>
                <w:rFonts w:ascii="Arial" w:hAnsi="Arial" w:cs="Arial"/>
              </w:rPr>
              <w:t xml:space="preserve"> did not permit partial disclosure. </w:t>
            </w:r>
          </w:p>
          <w:p w14:paraId="0ABA6100" w14:textId="7AC2DB2B" w:rsidR="00783854" w:rsidRPr="00DE6D82" w:rsidRDefault="00783854" w:rsidP="00783854">
            <w:pPr>
              <w:spacing w:line="360" w:lineRule="auto"/>
              <w:rPr>
                <w:rFonts w:ascii="Arial" w:hAnsi="Arial" w:cs="Arial"/>
              </w:rPr>
            </w:pPr>
            <w:r>
              <w:rPr>
                <w:rFonts w:ascii="Arial" w:hAnsi="Arial" w:cs="Arial"/>
              </w:rPr>
              <w:t>Of the 28</w:t>
            </w:r>
            <w:r w:rsidRPr="00DE6D82">
              <w:rPr>
                <w:rFonts w:ascii="Arial" w:hAnsi="Arial" w:cs="Arial"/>
              </w:rPr>
              <w:t xml:space="preserve"> </w:t>
            </w:r>
            <w:r>
              <w:rPr>
                <w:rFonts w:ascii="Arial" w:hAnsi="Arial" w:cs="Arial"/>
              </w:rPr>
              <w:t>companies</w:t>
            </w:r>
            <w:r w:rsidRPr="00DE6D82">
              <w:rPr>
                <w:rFonts w:ascii="Arial" w:hAnsi="Arial" w:cs="Arial"/>
              </w:rPr>
              <w:t xml:space="preserve"> that provided</w:t>
            </w:r>
            <w:r>
              <w:rPr>
                <w:rFonts w:ascii="Arial" w:hAnsi="Arial" w:cs="Arial"/>
              </w:rPr>
              <w:t>, in at least one note,</w:t>
            </w:r>
            <w:r w:rsidRPr="00DE6D82">
              <w:rPr>
                <w:rFonts w:ascii="Arial" w:hAnsi="Arial" w:cs="Arial"/>
              </w:rPr>
              <w:t xml:space="preserve"> a clear </w:t>
            </w:r>
            <w:r w:rsidR="0060353B">
              <w:rPr>
                <w:rFonts w:ascii="Arial" w:hAnsi="Arial" w:cs="Arial"/>
              </w:rPr>
              <w:t xml:space="preserve">methodology </w:t>
            </w:r>
            <w:r>
              <w:rPr>
                <w:rFonts w:ascii="Arial" w:hAnsi="Arial" w:cs="Arial"/>
              </w:rPr>
              <w:t xml:space="preserve">on </w:t>
            </w:r>
            <w:r w:rsidRPr="003C0E37">
              <w:rPr>
                <w:rFonts w:ascii="Arial" w:hAnsi="Arial" w:cs="Arial"/>
                <w:b/>
                <w:bCs/>
              </w:rPr>
              <w:t>non-attendance or cancellation</w:t>
            </w:r>
            <w:r w:rsidRPr="001F5F55">
              <w:rPr>
                <w:rFonts w:ascii="Arial" w:hAnsi="Arial" w:cs="Arial"/>
              </w:rPr>
              <w:t xml:space="preserve"> </w:t>
            </w:r>
            <w:r>
              <w:rPr>
                <w:rFonts w:ascii="Arial" w:hAnsi="Arial" w:cs="Arial"/>
              </w:rPr>
              <w:t>(</w:t>
            </w:r>
            <w:r w:rsidRPr="003C0E37">
              <w:rPr>
                <w:rFonts w:ascii="Arial" w:hAnsi="Arial" w:cs="Arial"/>
              </w:rPr>
              <w:t xml:space="preserve">when </w:t>
            </w:r>
            <w:proofErr w:type="gramStart"/>
            <w:r w:rsidRPr="003C0E37">
              <w:rPr>
                <w:rFonts w:ascii="Arial" w:hAnsi="Arial" w:cs="Arial"/>
              </w:rPr>
              <w:t>a</w:t>
            </w:r>
            <w:proofErr w:type="gramEnd"/>
            <w:r w:rsidRPr="003C0E37">
              <w:rPr>
                <w:rFonts w:ascii="Arial" w:hAnsi="Arial" w:cs="Arial"/>
              </w:rPr>
              <w:t xml:space="preserve"> HCP cancelled or did not show up </w:t>
            </w:r>
            <w:r>
              <w:rPr>
                <w:rFonts w:ascii="Arial" w:hAnsi="Arial" w:cs="Arial"/>
              </w:rPr>
              <w:t>to an event)</w:t>
            </w:r>
            <w:r w:rsidRPr="00DE6D82">
              <w:rPr>
                <w:rFonts w:ascii="Arial" w:hAnsi="Arial" w:cs="Arial"/>
              </w:rPr>
              <w:t xml:space="preserve">: </w:t>
            </w:r>
            <w:r>
              <w:rPr>
                <w:rFonts w:ascii="Arial" w:hAnsi="Arial" w:cs="Arial"/>
              </w:rPr>
              <w:t>85.7</w:t>
            </w:r>
            <w:r w:rsidRPr="00DE6D82">
              <w:rPr>
                <w:rFonts w:ascii="Arial" w:hAnsi="Arial" w:cs="Arial"/>
              </w:rPr>
              <w:t>% (N=</w:t>
            </w:r>
            <w:r>
              <w:rPr>
                <w:rFonts w:ascii="Arial" w:hAnsi="Arial" w:cs="Arial"/>
              </w:rPr>
              <w:t>24)</w:t>
            </w:r>
            <w:r w:rsidRPr="00DE6D82">
              <w:rPr>
                <w:rFonts w:ascii="Arial" w:hAnsi="Arial" w:cs="Arial"/>
              </w:rPr>
              <w:t xml:space="preserve"> of </w:t>
            </w:r>
            <w:r>
              <w:rPr>
                <w:rFonts w:ascii="Arial" w:hAnsi="Arial" w:cs="Arial"/>
              </w:rPr>
              <w:t>companies</w:t>
            </w:r>
            <w:r w:rsidRPr="00DE6D82">
              <w:rPr>
                <w:rFonts w:ascii="Arial" w:hAnsi="Arial" w:cs="Arial"/>
              </w:rPr>
              <w:t xml:space="preserve"> did not include these in their disclosure</w:t>
            </w:r>
            <w:r>
              <w:rPr>
                <w:rFonts w:ascii="Arial" w:hAnsi="Arial" w:cs="Arial"/>
              </w:rPr>
              <w:t>.</w:t>
            </w:r>
            <w:r w:rsidRPr="00DE6D82">
              <w:rPr>
                <w:rFonts w:ascii="Arial" w:hAnsi="Arial" w:cs="Arial"/>
              </w:rPr>
              <w:t xml:space="preserve"> </w:t>
            </w:r>
            <w:r>
              <w:rPr>
                <w:rFonts w:ascii="Arial" w:hAnsi="Arial" w:cs="Arial"/>
              </w:rPr>
              <w:t>W</w:t>
            </w:r>
            <w:r w:rsidRPr="00DE6D82">
              <w:rPr>
                <w:rFonts w:ascii="Arial" w:hAnsi="Arial" w:cs="Arial"/>
              </w:rPr>
              <w:t xml:space="preserve">hereas </w:t>
            </w:r>
            <w:r>
              <w:rPr>
                <w:rFonts w:ascii="Arial" w:hAnsi="Arial" w:cs="Arial"/>
              </w:rPr>
              <w:t>21.4</w:t>
            </w:r>
            <w:r w:rsidRPr="00DE6D82">
              <w:rPr>
                <w:rFonts w:ascii="Arial" w:hAnsi="Arial" w:cs="Arial"/>
              </w:rPr>
              <w:t xml:space="preserve">% </w:t>
            </w:r>
            <w:r w:rsidRPr="00DE6D82">
              <w:rPr>
                <w:rFonts w:ascii="Arial" w:hAnsi="Arial" w:cs="Arial"/>
              </w:rPr>
              <w:lastRenderedPageBreak/>
              <w:t>(N=</w:t>
            </w:r>
            <w:r>
              <w:rPr>
                <w:rFonts w:ascii="Arial" w:hAnsi="Arial" w:cs="Arial"/>
              </w:rPr>
              <w:t>6</w:t>
            </w:r>
            <w:r w:rsidRPr="00DE6D82">
              <w:rPr>
                <w:rFonts w:ascii="Arial" w:hAnsi="Arial" w:cs="Arial"/>
              </w:rPr>
              <w:t xml:space="preserve">) did include </w:t>
            </w:r>
            <w:r>
              <w:rPr>
                <w:rFonts w:ascii="Arial" w:hAnsi="Arial" w:cs="Arial"/>
              </w:rPr>
              <w:t>such</w:t>
            </w:r>
            <w:r w:rsidRPr="00DE6D82">
              <w:rPr>
                <w:rFonts w:ascii="Arial" w:hAnsi="Arial" w:cs="Arial"/>
              </w:rPr>
              <w:t xml:space="preserve"> payments in their disclosure but only in certain cases</w:t>
            </w:r>
            <w:r>
              <w:rPr>
                <w:rFonts w:ascii="Arial" w:hAnsi="Arial" w:cs="Arial"/>
              </w:rPr>
              <w:t>,</w:t>
            </w:r>
            <w:r w:rsidRPr="00DE6D82">
              <w:rPr>
                <w:rFonts w:ascii="Arial" w:hAnsi="Arial" w:cs="Arial"/>
              </w:rPr>
              <w:t xml:space="preserve"> for example</w:t>
            </w:r>
            <w:r>
              <w:rPr>
                <w:rFonts w:ascii="Arial" w:hAnsi="Arial" w:cs="Arial"/>
              </w:rPr>
              <w:t>,</w:t>
            </w:r>
            <w:r w:rsidRPr="00DE6D82">
              <w:rPr>
                <w:rFonts w:ascii="Arial" w:hAnsi="Arial" w:cs="Arial"/>
              </w:rPr>
              <w:t xml:space="preserve"> if travel costs were paid by the HCP and reimbursed by the company, but the HCP did not take the journey. </w:t>
            </w:r>
          </w:p>
          <w:p w14:paraId="2B27ECCE" w14:textId="77777777" w:rsidR="00783854" w:rsidRDefault="00783854" w:rsidP="00783854">
            <w:pPr>
              <w:spacing w:line="360" w:lineRule="auto"/>
              <w:rPr>
                <w:rFonts w:ascii="Arial" w:hAnsi="Arial" w:cs="Arial"/>
              </w:rPr>
            </w:pPr>
            <w:r>
              <w:rPr>
                <w:rFonts w:ascii="Arial" w:hAnsi="Arial" w:cs="Arial"/>
              </w:rPr>
              <w:t>Of the 17</w:t>
            </w:r>
            <w:r w:rsidRPr="00DE6D82">
              <w:rPr>
                <w:rFonts w:ascii="Arial" w:hAnsi="Arial" w:cs="Arial"/>
              </w:rPr>
              <w:t xml:space="preserve"> </w:t>
            </w:r>
            <w:r>
              <w:rPr>
                <w:rFonts w:ascii="Arial" w:hAnsi="Arial" w:cs="Arial"/>
              </w:rPr>
              <w:t>companies</w:t>
            </w:r>
            <w:r w:rsidRPr="00DE6D82">
              <w:rPr>
                <w:rFonts w:ascii="Arial" w:hAnsi="Arial" w:cs="Arial"/>
              </w:rPr>
              <w:t xml:space="preserve"> that provided</w:t>
            </w:r>
            <w:r>
              <w:rPr>
                <w:rFonts w:ascii="Arial" w:hAnsi="Arial" w:cs="Arial"/>
              </w:rPr>
              <w:t>, in at least one note,</w:t>
            </w:r>
            <w:r w:rsidRPr="00DE6D82">
              <w:rPr>
                <w:rFonts w:ascii="Arial" w:hAnsi="Arial" w:cs="Arial"/>
              </w:rPr>
              <w:t xml:space="preserve"> information on how they managed </w:t>
            </w:r>
            <w:r w:rsidRPr="003C0E37">
              <w:rPr>
                <w:rFonts w:ascii="Arial" w:hAnsi="Arial" w:cs="Arial"/>
                <w:b/>
                <w:bCs/>
              </w:rPr>
              <w:t>blinded market research</w:t>
            </w:r>
            <w:r w:rsidRPr="00DE6D82">
              <w:rPr>
                <w:rFonts w:ascii="Arial" w:hAnsi="Arial" w:cs="Arial"/>
              </w:rPr>
              <w:t xml:space="preserve">, </w:t>
            </w:r>
            <w:r>
              <w:rPr>
                <w:rFonts w:ascii="Arial" w:hAnsi="Arial" w:cs="Arial"/>
              </w:rPr>
              <w:t>88.2</w:t>
            </w:r>
            <w:r w:rsidRPr="00DE6D82">
              <w:rPr>
                <w:rFonts w:ascii="Arial" w:hAnsi="Arial" w:cs="Arial"/>
              </w:rPr>
              <w:t>% (N=</w:t>
            </w:r>
            <w:r>
              <w:rPr>
                <w:rFonts w:ascii="Arial" w:hAnsi="Arial" w:cs="Arial"/>
              </w:rPr>
              <w:t>15</w:t>
            </w:r>
            <w:r w:rsidRPr="00DE6D82">
              <w:rPr>
                <w:rFonts w:ascii="Arial" w:hAnsi="Arial" w:cs="Arial"/>
              </w:rPr>
              <w:t xml:space="preserve">) excluded these payments and </w:t>
            </w:r>
            <w:r>
              <w:rPr>
                <w:rFonts w:ascii="Arial" w:hAnsi="Arial" w:cs="Arial"/>
              </w:rPr>
              <w:t>11.8</w:t>
            </w:r>
            <w:r w:rsidRPr="00DE6D82">
              <w:rPr>
                <w:rFonts w:ascii="Arial" w:hAnsi="Arial" w:cs="Arial"/>
              </w:rPr>
              <w:t>% (N=</w:t>
            </w:r>
            <w:r>
              <w:rPr>
                <w:rFonts w:ascii="Arial" w:hAnsi="Arial" w:cs="Arial"/>
              </w:rPr>
              <w:t>2</w:t>
            </w:r>
            <w:r w:rsidRPr="00DE6D82">
              <w:rPr>
                <w:rFonts w:ascii="Arial" w:hAnsi="Arial" w:cs="Arial"/>
              </w:rPr>
              <w:t xml:space="preserve">) included the payments but reported them in aggregate to ensure recipients remained anonymous. </w:t>
            </w:r>
          </w:p>
          <w:p w14:paraId="35B47054" w14:textId="77777777" w:rsidR="00783854" w:rsidRPr="00DE6D82" w:rsidRDefault="00783854" w:rsidP="00783854">
            <w:pPr>
              <w:spacing w:line="360" w:lineRule="auto"/>
              <w:rPr>
                <w:rFonts w:ascii="Arial" w:hAnsi="Arial" w:cs="Arial"/>
              </w:rPr>
            </w:pPr>
            <w:r>
              <w:rPr>
                <w:rFonts w:ascii="Arial" w:hAnsi="Arial" w:cs="Arial"/>
              </w:rPr>
              <w:t>Of the 16</w:t>
            </w:r>
            <w:r w:rsidRPr="00DE6D82">
              <w:rPr>
                <w:rFonts w:ascii="Arial" w:hAnsi="Arial" w:cs="Arial"/>
              </w:rPr>
              <w:t xml:space="preserve"> </w:t>
            </w:r>
            <w:r>
              <w:rPr>
                <w:rFonts w:ascii="Arial" w:hAnsi="Arial" w:cs="Arial"/>
              </w:rPr>
              <w:t>companies</w:t>
            </w:r>
            <w:r w:rsidRPr="00DE6D82">
              <w:rPr>
                <w:rFonts w:ascii="Arial" w:hAnsi="Arial" w:cs="Arial"/>
              </w:rPr>
              <w:t xml:space="preserve"> that provided information on how they managed</w:t>
            </w:r>
            <w:r>
              <w:rPr>
                <w:rFonts w:ascii="Arial" w:hAnsi="Arial" w:cs="Arial"/>
              </w:rPr>
              <w:t xml:space="preserve"> HCPs attendance at</w:t>
            </w:r>
            <w:r w:rsidRPr="00DE6D82">
              <w:rPr>
                <w:rFonts w:ascii="Arial" w:hAnsi="Arial" w:cs="Arial"/>
              </w:rPr>
              <w:t xml:space="preserve"> </w:t>
            </w:r>
            <w:r w:rsidRPr="003C0E37">
              <w:rPr>
                <w:rFonts w:ascii="Arial" w:hAnsi="Arial" w:cs="Arial"/>
                <w:b/>
                <w:bCs/>
              </w:rPr>
              <w:t>internal events</w:t>
            </w:r>
            <w:r>
              <w:rPr>
                <w:rFonts w:ascii="Arial" w:hAnsi="Arial" w:cs="Arial"/>
                <w:b/>
                <w:bCs/>
              </w:rPr>
              <w:t>,</w:t>
            </w:r>
            <w:r w:rsidRPr="00DE6D82">
              <w:rPr>
                <w:rFonts w:ascii="Arial" w:hAnsi="Arial" w:cs="Arial"/>
              </w:rPr>
              <w:t xml:space="preserve"> </w:t>
            </w:r>
            <w:r>
              <w:rPr>
                <w:rFonts w:ascii="Arial" w:hAnsi="Arial" w:cs="Arial"/>
              </w:rPr>
              <w:t xml:space="preserve">for </w:t>
            </w:r>
            <w:r w:rsidRPr="00DE6D82">
              <w:rPr>
                <w:rFonts w:ascii="Arial" w:hAnsi="Arial" w:cs="Arial"/>
              </w:rPr>
              <w:t>100</w:t>
            </w:r>
            <w:r>
              <w:rPr>
                <w:rFonts w:ascii="Arial" w:hAnsi="Arial" w:cs="Arial"/>
              </w:rPr>
              <w:t>.0</w:t>
            </w:r>
            <w:r w:rsidRPr="00DE6D82">
              <w:rPr>
                <w:rFonts w:ascii="Arial" w:hAnsi="Arial" w:cs="Arial"/>
              </w:rPr>
              <w:t>% (N=</w:t>
            </w:r>
            <w:r>
              <w:rPr>
                <w:rFonts w:ascii="Arial" w:hAnsi="Arial" w:cs="Arial"/>
              </w:rPr>
              <w:t>1</w:t>
            </w:r>
            <w:r w:rsidRPr="00DE6D82">
              <w:rPr>
                <w:rFonts w:ascii="Arial" w:hAnsi="Arial" w:cs="Arial"/>
              </w:rPr>
              <w:t xml:space="preserve">6) </w:t>
            </w:r>
            <w:r>
              <w:rPr>
                <w:rFonts w:ascii="Arial" w:hAnsi="Arial" w:cs="Arial"/>
              </w:rPr>
              <w:t xml:space="preserve">of companies, no proportion of </w:t>
            </w:r>
            <w:r w:rsidRPr="00DE6D82">
              <w:rPr>
                <w:rFonts w:ascii="Arial" w:hAnsi="Arial" w:cs="Arial"/>
              </w:rPr>
              <w:t xml:space="preserve">the internal costs associated with these events </w:t>
            </w:r>
            <w:r>
              <w:rPr>
                <w:rFonts w:ascii="Arial" w:hAnsi="Arial" w:cs="Arial"/>
              </w:rPr>
              <w:t>were</w:t>
            </w:r>
            <w:r w:rsidRPr="00DE6D82">
              <w:rPr>
                <w:rFonts w:ascii="Arial" w:hAnsi="Arial" w:cs="Arial"/>
              </w:rPr>
              <w:t xml:space="preserve"> disclosed as indirect payments to HCPs</w:t>
            </w:r>
            <w:r>
              <w:rPr>
                <w:rFonts w:ascii="Arial" w:hAnsi="Arial" w:cs="Arial"/>
              </w:rPr>
              <w:t>.</w:t>
            </w:r>
          </w:p>
          <w:p w14:paraId="72009957" w14:textId="52D144BE" w:rsidR="00783854" w:rsidRDefault="00783854">
            <w:pPr>
              <w:rPr>
                <w:rFonts w:ascii="Calibri" w:hAnsi="Calibri" w:cs="Calibri"/>
                <w:noProof/>
                <w:lang w:val="en-US"/>
              </w:rPr>
            </w:pPr>
          </w:p>
        </w:tc>
      </w:tr>
    </w:tbl>
    <w:p w14:paraId="17BDFA6B" w14:textId="362B01D2" w:rsidR="00783854" w:rsidRDefault="00783854">
      <w:pPr>
        <w:rPr>
          <w:rFonts w:ascii="Calibri" w:hAnsi="Calibri" w:cs="Calibri"/>
          <w:noProof/>
          <w:lang w:val="en-US"/>
        </w:rPr>
      </w:pPr>
    </w:p>
    <w:p w14:paraId="23D5F428" w14:textId="77777777" w:rsidR="00001B9B" w:rsidRDefault="00001B9B">
      <w:r>
        <w:br w:type="page"/>
      </w:r>
    </w:p>
    <w:p w14:paraId="28388646" w14:textId="594F807B" w:rsidR="00001B9B" w:rsidRPr="00A266CE" w:rsidRDefault="00001B9B" w:rsidP="00001B9B">
      <w:pPr>
        <w:rPr>
          <w:vertAlign w:val="superscript"/>
        </w:rPr>
      </w:pPr>
      <w:r>
        <w:rPr>
          <w:rFonts w:ascii="Calibri" w:hAnsi="Calibri" w:cs="Calibri"/>
          <w:noProof/>
          <w:lang w:val="en-US"/>
        </w:rPr>
        <w:lastRenderedPageBreak/>
        <w:t>eBox 3. EFPIA methodological note template</w:t>
      </w:r>
      <w:r w:rsidR="00A266CE">
        <w:rPr>
          <w:rFonts w:ascii="Calibri" w:hAnsi="Calibri" w:cs="Calibri"/>
          <w:noProof/>
          <w:vertAlign w:val="superscript"/>
          <w:lang w:val="en-US"/>
        </w:rPr>
        <w:t>1</w:t>
      </w:r>
    </w:p>
    <w:tbl>
      <w:tblPr>
        <w:tblStyle w:val="TableGrid"/>
        <w:tblW w:w="0" w:type="auto"/>
        <w:tblLook w:val="04A0" w:firstRow="1" w:lastRow="0" w:firstColumn="1" w:lastColumn="0" w:noHBand="0" w:noVBand="1"/>
      </w:tblPr>
      <w:tblGrid>
        <w:gridCol w:w="9016"/>
      </w:tblGrid>
      <w:tr w:rsidR="00001B9B" w14:paraId="786A571B" w14:textId="77777777" w:rsidTr="00A265C7">
        <w:tc>
          <w:tcPr>
            <w:tcW w:w="9016" w:type="dxa"/>
          </w:tcPr>
          <w:p w14:paraId="1B8400A0" w14:textId="77777777" w:rsidR="00001B9B" w:rsidRDefault="00001B9B" w:rsidP="00A265C7"/>
          <w:p w14:paraId="4DCBEAD0" w14:textId="77777777" w:rsidR="00001B9B" w:rsidRPr="00001B9B" w:rsidRDefault="00001B9B" w:rsidP="00001B9B">
            <w:pPr>
              <w:jc w:val="center"/>
              <w:rPr>
                <w:rFonts w:ascii="Calibri" w:eastAsia="MS Mincho" w:hAnsi="Calibri" w:cs="Times New Roman"/>
                <w:b/>
                <w:kern w:val="0"/>
                <w:sz w:val="28"/>
                <w:szCs w:val="28"/>
                <w:lang w:val="en-US"/>
                <w14:ligatures w14:val="none"/>
              </w:rPr>
            </w:pPr>
            <w:r w:rsidRPr="00001B9B">
              <w:rPr>
                <w:rFonts w:ascii="Calibri" w:eastAsia="MS Mincho" w:hAnsi="Calibri" w:cs="Times New Roman"/>
                <w:b/>
                <w:kern w:val="0"/>
                <w:sz w:val="28"/>
                <w:szCs w:val="28"/>
                <w:lang w:val="en-US"/>
                <w14:ligatures w14:val="none"/>
              </w:rPr>
              <w:t>HCP/HCO Disclosure</w:t>
            </w:r>
          </w:p>
          <w:p w14:paraId="22FC1D0F" w14:textId="77777777" w:rsidR="00001B9B" w:rsidRPr="00001B9B" w:rsidRDefault="00001B9B" w:rsidP="00001B9B">
            <w:pPr>
              <w:jc w:val="center"/>
              <w:rPr>
                <w:rFonts w:ascii="Calibri" w:eastAsia="MS Mincho" w:hAnsi="Calibri" w:cs="Times New Roman"/>
                <w:b/>
                <w:kern w:val="0"/>
                <w:sz w:val="28"/>
                <w:szCs w:val="28"/>
                <w:lang w:val="en-US"/>
                <w14:ligatures w14:val="none"/>
              </w:rPr>
            </w:pPr>
            <w:r w:rsidRPr="00001B9B">
              <w:rPr>
                <w:rFonts w:ascii="Calibri" w:eastAsia="MS Mincho" w:hAnsi="Calibri" w:cs="Times New Roman"/>
                <w:b/>
                <w:kern w:val="0"/>
                <w:sz w:val="28"/>
                <w:szCs w:val="28"/>
                <w:lang w:val="en-US"/>
                <w14:ligatures w14:val="none"/>
              </w:rPr>
              <w:t>Methodological note structure’s template</w:t>
            </w:r>
          </w:p>
          <w:p w14:paraId="3CF386B7" w14:textId="77777777" w:rsidR="00001B9B" w:rsidRPr="00001B9B" w:rsidRDefault="00001B9B" w:rsidP="00001B9B">
            <w:pPr>
              <w:rPr>
                <w:rFonts w:ascii="Calibri" w:eastAsia="MS Mincho" w:hAnsi="Calibri" w:cs="Times New Roman"/>
                <w:kern w:val="0"/>
                <w:sz w:val="24"/>
                <w:szCs w:val="24"/>
                <w:lang w:val="en-US"/>
                <w14:ligatures w14:val="none"/>
              </w:rPr>
            </w:pPr>
          </w:p>
          <w:p w14:paraId="6583F225" w14:textId="77777777" w:rsidR="00001B9B" w:rsidRPr="00001B9B" w:rsidRDefault="00001B9B" w:rsidP="00001B9B">
            <w:pPr>
              <w:rPr>
                <w:rFonts w:ascii="Calibri" w:eastAsia="MS Mincho" w:hAnsi="Calibri" w:cs="Times New Roman"/>
                <w:kern w:val="0"/>
                <w:sz w:val="24"/>
                <w:szCs w:val="24"/>
                <w:lang w:val="en-US"/>
                <w14:ligatures w14:val="none"/>
              </w:rPr>
            </w:pPr>
          </w:p>
          <w:p w14:paraId="11ED6337"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Introduction</w:t>
            </w:r>
          </w:p>
          <w:p w14:paraId="5B03EC6D" w14:textId="77777777" w:rsidR="00001B9B" w:rsidRPr="00001B9B" w:rsidRDefault="00001B9B" w:rsidP="00001B9B">
            <w:pPr>
              <w:rPr>
                <w:rFonts w:ascii="Calibri" w:eastAsia="MS Mincho" w:hAnsi="Calibri" w:cs="Times New Roman"/>
                <w:b/>
                <w:bCs/>
                <w:kern w:val="0"/>
                <w:sz w:val="24"/>
                <w:szCs w:val="24"/>
                <w:lang w:val="en-US"/>
                <w14:ligatures w14:val="none"/>
              </w:rPr>
            </w:pPr>
          </w:p>
          <w:p w14:paraId="4091FB52" w14:textId="77777777" w:rsidR="00001B9B" w:rsidRPr="00001B9B" w:rsidRDefault="00001B9B" w:rsidP="00001B9B">
            <w:pPr>
              <w:jc w:val="both"/>
              <w:rPr>
                <w:rFonts w:ascii="Calibri" w:eastAsia="Calibri" w:hAnsi="Calibri" w:cs="Calibri"/>
                <w:color w:val="000000"/>
                <w:kern w:val="0"/>
                <w:sz w:val="24"/>
                <w:szCs w:val="24"/>
                <w:lang w:val="en-US"/>
                <w14:ligatures w14:val="none"/>
              </w:rPr>
            </w:pPr>
            <w:r w:rsidRPr="00001B9B">
              <w:rPr>
                <w:rFonts w:ascii="Calibri" w:eastAsia="Calibri" w:hAnsi="Calibri" w:cs="Calibri"/>
                <w:color w:val="000000"/>
                <w:kern w:val="0"/>
                <w:sz w:val="24"/>
                <w:szCs w:val="24"/>
                <w:lang w:val="en-US"/>
                <w14:ligatures w14:val="none"/>
              </w:rPr>
              <w:t xml:space="preserve">In 2014, by introducing the disclosure requirements, EFPIA and its members have demonstrated their commitments to self-regulation but also the legitimacy of the interactions with HCPs, and HCOs. </w:t>
            </w:r>
          </w:p>
          <w:p w14:paraId="3B635DF1" w14:textId="77777777" w:rsidR="00001B9B" w:rsidRPr="00001B9B" w:rsidRDefault="00001B9B" w:rsidP="00001B9B">
            <w:pPr>
              <w:jc w:val="both"/>
              <w:rPr>
                <w:rFonts w:ascii="Calibri" w:eastAsia="Calibri" w:hAnsi="Calibri" w:cs="Calibri"/>
                <w:color w:val="000000"/>
                <w:kern w:val="0"/>
                <w:sz w:val="24"/>
                <w:szCs w:val="24"/>
                <w:lang w:val="en-US"/>
                <w14:ligatures w14:val="none"/>
              </w:rPr>
            </w:pPr>
            <w:r w:rsidRPr="00001B9B">
              <w:rPr>
                <w:rFonts w:ascii="Calibri" w:eastAsia="Calibri" w:hAnsi="Calibri" w:cs="Calibri"/>
                <w:color w:val="000000"/>
                <w:kern w:val="0"/>
                <w:sz w:val="24"/>
                <w:szCs w:val="24"/>
                <w:lang w:val="en-US"/>
                <w14:ligatures w14:val="none"/>
              </w:rPr>
              <w:t>Member Companies and companies that are members of Member Associations are required to disclose transfers of value</w:t>
            </w:r>
            <w:r w:rsidRPr="00001B9B">
              <w:rPr>
                <w:rFonts w:ascii="Calibri" w:eastAsia="Calibri" w:hAnsi="Calibri" w:cs="Calibri"/>
                <w:color w:val="000000"/>
                <w:kern w:val="0"/>
                <w:sz w:val="24"/>
                <w:szCs w:val="24"/>
                <w:vertAlign w:val="superscript"/>
                <w:lang w:val="en-US"/>
                <w14:ligatures w14:val="none"/>
              </w:rPr>
              <w:footnoteReference w:id="1"/>
            </w:r>
            <w:r w:rsidRPr="00001B9B">
              <w:rPr>
                <w:rFonts w:ascii="Calibri" w:eastAsia="Calibri" w:hAnsi="Calibri" w:cs="Calibri"/>
                <w:color w:val="000000"/>
                <w:kern w:val="0"/>
                <w:sz w:val="24"/>
                <w:szCs w:val="24"/>
                <w:lang w:val="en-US"/>
                <w14:ligatures w14:val="none"/>
              </w:rPr>
              <w:t xml:space="preserve"> made to HCPs and HCOs. This disclosure includes, by HCP or HCO, the total amounts of value transferred, by type of activity.</w:t>
            </w:r>
          </w:p>
          <w:p w14:paraId="6E17C8A1" w14:textId="77777777" w:rsidR="00001B9B" w:rsidRPr="00001B9B" w:rsidRDefault="00001B9B" w:rsidP="00001B9B">
            <w:pPr>
              <w:rPr>
                <w:rFonts w:ascii="Calibri" w:eastAsia="MS Mincho" w:hAnsi="Calibri" w:cs="Times New Roman"/>
                <w:kern w:val="0"/>
                <w:sz w:val="24"/>
                <w:szCs w:val="24"/>
                <w:lang w:val="en-US"/>
                <w14:ligatures w14:val="none"/>
              </w:rPr>
            </w:pPr>
          </w:p>
          <w:p w14:paraId="2178BFC7" w14:textId="77777777" w:rsidR="00001B9B" w:rsidRPr="00001B9B" w:rsidRDefault="00001B9B" w:rsidP="00001B9B">
            <w:pPr>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The disclosure must be aligned with local laws and regulations. The methodological note is required for disclosure based on the EFPIA Code requirements as transposed in national codes provisions.</w:t>
            </w:r>
          </w:p>
          <w:p w14:paraId="3061EF5D" w14:textId="77777777" w:rsidR="00001B9B" w:rsidRPr="00001B9B" w:rsidRDefault="00001B9B" w:rsidP="00001B9B">
            <w:pPr>
              <w:shd w:val="clear" w:color="auto" w:fill="FFFFFF"/>
              <w:rPr>
                <w:rFonts w:ascii="Calibri" w:eastAsia="Times New Roman" w:hAnsi="Calibri" w:cs="Calibri"/>
                <w:color w:val="000000"/>
                <w:kern w:val="0"/>
                <w:sz w:val="24"/>
                <w:szCs w:val="24"/>
                <w:lang w:val="en-GB" w:eastAsia="en-GB"/>
                <w14:ligatures w14:val="none"/>
              </w:rPr>
            </w:pPr>
            <w:r w:rsidRPr="00001B9B">
              <w:rPr>
                <w:rFonts w:ascii="Calibri" w:eastAsia="MS Mincho" w:hAnsi="Calibri" w:cs="Times New Roman"/>
                <w:kern w:val="0"/>
                <w:sz w:val="24"/>
                <w:szCs w:val="24"/>
                <w:lang w:val="en-US"/>
                <w14:ligatures w14:val="none"/>
              </w:rPr>
              <w:t xml:space="preserve">The methodological note is usually made for a specific country; if this is the case, please specify the country concerned. </w:t>
            </w:r>
          </w:p>
          <w:p w14:paraId="382893DC" w14:textId="77777777" w:rsidR="00001B9B" w:rsidRPr="00001B9B" w:rsidRDefault="00001B9B" w:rsidP="00001B9B">
            <w:pPr>
              <w:shd w:val="clear" w:color="auto" w:fill="FFFFFF"/>
              <w:rPr>
                <w:rFonts w:ascii="Calibri" w:eastAsia="Times New Roman" w:hAnsi="Calibri" w:cs="Calibri"/>
                <w:color w:val="000000"/>
                <w:kern w:val="0"/>
                <w:sz w:val="24"/>
                <w:szCs w:val="24"/>
                <w:lang w:val="en-GB" w:eastAsia="en-GB"/>
                <w14:ligatures w14:val="none"/>
              </w:rPr>
            </w:pPr>
            <w:r w:rsidRPr="00001B9B">
              <w:rPr>
                <w:rFonts w:ascii="Calibri" w:eastAsia="Times New Roman" w:hAnsi="Calibri" w:cs="Calibri"/>
                <w:color w:val="000000"/>
                <w:kern w:val="0"/>
                <w:sz w:val="24"/>
                <w:szCs w:val="24"/>
                <w:lang w:val="en-GB" w:eastAsia="en-GB"/>
                <w14:ligatures w14:val="none"/>
              </w:rPr>
              <w:t>In addition to the methodological note in the local language, it is recommended to have an English version.</w:t>
            </w:r>
          </w:p>
          <w:p w14:paraId="07BD26EF" w14:textId="77777777" w:rsidR="00001B9B" w:rsidRPr="00001B9B" w:rsidRDefault="00001B9B" w:rsidP="00001B9B">
            <w:pPr>
              <w:shd w:val="clear" w:color="auto" w:fill="FFFFFF"/>
              <w:rPr>
                <w:rFonts w:ascii="Calibri" w:eastAsia="Times New Roman" w:hAnsi="Calibri" w:cs="Calibri"/>
                <w:color w:val="000000"/>
                <w:kern w:val="0"/>
                <w:sz w:val="24"/>
                <w:szCs w:val="24"/>
                <w:lang w:eastAsia="en-GB"/>
                <w14:ligatures w14:val="none"/>
              </w:rPr>
            </w:pPr>
          </w:p>
          <w:p w14:paraId="7E8B414A" w14:textId="77777777" w:rsidR="00001B9B" w:rsidRPr="00001B9B" w:rsidRDefault="00001B9B" w:rsidP="00001B9B">
            <w:pPr>
              <w:rPr>
                <w:rFonts w:ascii="Calibri" w:eastAsia="MS Mincho" w:hAnsi="Calibri" w:cs="Times New Roman"/>
                <w:kern w:val="0"/>
                <w:sz w:val="24"/>
                <w:szCs w:val="24"/>
                <w:lang w:val="en-US"/>
                <w14:ligatures w14:val="none"/>
              </w:rPr>
            </w:pPr>
          </w:p>
          <w:p w14:paraId="3F54A300"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Definitions</w:t>
            </w:r>
          </w:p>
          <w:p w14:paraId="2CFE1F3A" w14:textId="77777777" w:rsidR="00001B9B" w:rsidRPr="00001B9B" w:rsidRDefault="00001B9B" w:rsidP="00001B9B">
            <w:pPr>
              <w:numPr>
                <w:ilvl w:val="0"/>
                <w:numId w:val="4"/>
              </w:numPr>
              <w:shd w:val="clear" w:color="auto" w:fill="FFFFFF"/>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Recipients (Type of recipients included – If needed, include the definition of Healthcare Professional at national level – </w:t>
            </w:r>
            <w:r w:rsidRPr="00001B9B">
              <w:rPr>
                <w:rFonts w:ascii="Calibri" w:eastAsia="Times New Roman" w:hAnsi="Calibri" w:cs="Calibri"/>
                <w:color w:val="000000"/>
                <w:kern w:val="0"/>
                <w:sz w:val="24"/>
                <w:szCs w:val="24"/>
                <w:lang w:val="en-GB" w:eastAsia="en-GB"/>
                <w14:ligatures w14:val="none"/>
              </w:rPr>
              <w:t>Treatment of retired and deceased HCPs</w:t>
            </w:r>
            <w:r w:rsidRPr="00001B9B">
              <w:rPr>
                <w:rFonts w:ascii="Calibri" w:eastAsia="MS Mincho" w:hAnsi="Calibri" w:cs="Times New Roman"/>
                <w:kern w:val="0"/>
                <w:sz w:val="24"/>
                <w:szCs w:val="24"/>
                <w:lang w:val="en-US"/>
                <w14:ligatures w14:val="none"/>
              </w:rPr>
              <w:t>)</w:t>
            </w:r>
          </w:p>
          <w:p w14:paraId="2C00C0F3"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Kind of </w:t>
            </w:r>
            <w:proofErr w:type="spellStart"/>
            <w:r w:rsidRPr="00001B9B">
              <w:rPr>
                <w:rFonts w:ascii="Calibri" w:eastAsia="MS Mincho" w:hAnsi="Calibri" w:cs="Times New Roman"/>
                <w:kern w:val="0"/>
                <w:sz w:val="24"/>
                <w:szCs w:val="24"/>
                <w:lang w:val="en-US"/>
                <w14:ligatures w14:val="none"/>
              </w:rPr>
              <w:t>ToVs</w:t>
            </w:r>
            <w:proofErr w:type="spellEnd"/>
            <w:r w:rsidRPr="00001B9B">
              <w:rPr>
                <w:rFonts w:ascii="Calibri" w:eastAsia="MS Mincho" w:hAnsi="Calibri" w:cs="Times New Roman"/>
                <w:kern w:val="0"/>
                <w:sz w:val="24"/>
                <w:szCs w:val="24"/>
                <w:lang w:val="en-US"/>
                <w14:ligatures w14:val="none"/>
              </w:rPr>
              <w:t xml:space="preserve"> (donations and grants – contribution to costs of events – fees for services and consultancy – R&amp;D</w:t>
            </w:r>
            <w:r w:rsidRPr="00001B9B">
              <w:rPr>
                <w:rFonts w:ascii="Calibri" w:eastAsia="MS Mincho" w:hAnsi="Calibri" w:cs="Times New Roman"/>
                <w:kern w:val="0"/>
                <w:sz w:val="24"/>
                <w:szCs w:val="24"/>
                <w:vertAlign w:val="superscript"/>
                <w:lang w:val="en-US"/>
                <w14:ligatures w14:val="none"/>
              </w:rPr>
              <w:footnoteReference w:id="2"/>
            </w:r>
            <w:r w:rsidRPr="00001B9B">
              <w:rPr>
                <w:rFonts w:ascii="Calibri" w:eastAsia="MS Mincho" w:hAnsi="Calibri" w:cs="Times New Roman"/>
                <w:kern w:val="0"/>
                <w:sz w:val="24"/>
                <w:szCs w:val="24"/>
                <w:lang w:val="en-US"/>
                <w14:ligatures w14:val="none"/>
              </w:rPr>
              <w:t xml:space="preserve"> – others)</w:t>
            </w:r>
          </w:p>
          <w:p w14:paraId="33F6EBB1" w14:textId="77777777" w:rsidR="00001B9B" w:rsidRPr="00001B9B" w:rsidRDefault="00001B9B" w:rsidP="00001B9B">
            <w:pPr>
              <w:rPr>
                <w:rFonts w:ascii="Calibri" w:eastAsia="MS Mincho" w:hAnsi="Calibri" w:cs="Times New Roman"/>
                <w:kern w:val="0"/>
                <w:sz w:val="24"/>
                <w:szCs w:val="24"/>
                <w:lang w:val="en-US"/>
                <w14:ligatures w14:val="none"/>
              </w:rPr>
            </w:pPr>
          </w:p>
          <w:p w14:paraId="22BCAEBC"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Disclosure’s scope</w:t>
            </w:r>
          </w:p>
          <w:p w14:paraId="3B881613"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Products concerned (Products included in the disclosure report: POM, others)</w:t>
            </w:r>
          </w:p>
          <w:p w14:paraId="6EC39E15"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Company concerned (affiliate – merger – company rebrand)</w:t>
            </w:r>
          </w:p>
          <w:p w14:paraId="61947AE5"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Excluded </w:t>
            </w:r>
            <w:proofErr w:type="spellStart"/>
            <w:r w:rsidRPr="00001B9B">
              <w:rPr>
                <w:rFonts w:ascii="Calibri" w:eastAsia="MS Mincho" w:hAnsi="Calibri" w:cs="Times New Roman"/>
                <w:kern w:val="0"/>
                <w:sz w:val="24"/>
                <w:szCs w:val="24"/>
                <w:lang w:val="en-US"/>
                <w14:ligatures w14:val="none"/>
              </w:rPr>
              <w:t>ToVs</w:t>
            </w:r>
            <w:proofErr w:type="spellEnd"/>
          </w:p>
          <w:p w14:paraId="183B995B"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proofErr w:type="spellStart"/>
            <w:r w:rsidRPr="00001B9B">
              <w:rPr>
                <w:rFonts w:ascii="Calibri" w:eastAsia="MS Mincho" w:hAnsi="Calibri" w:cs="Times New Roman"/>
                <w:kern w:val="0"/>
                <w:sz w:val="24"/>
                <w:szCs w:val="24"/>
                <w:lang w:val="en-US"/>
                <w14:ligatures w14:val="none"/>
              </w:rPr>
              <w:t>ToVs</w:t>
            </w:r>
            <w:proofErr w:type="spellEnd"/>
            <w:r w:rsidRPr="00001B9B">
              <w:rPr>
                <w:rFonts w:ascii="Calibri" w:eastAsia="MS Mincho" w:hAnsi="Calibri" w:cs="Times New Roman"/>
                <w:kern w:val="0"/>
                <w:sz w:val="24"/>
                <w:szCs w:val="24"/>
                <w:lang w:val="en-US"/>
                <w14:ligatures w14:val="none"/>
              </w:rPr>
              <w:t xml:space="preserve"> date</w:t>
            </w:r>
          </w:p>
          <w:p w14:paraId="4176FCB1"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Direct </w:t>
            </w:r>
            <w:proofErr w:type="spellStart"/>
            <w:r w:rsidRPr="00001B9B">
              <w:rPr>
                <w:rFonts w:ascii="Calibri" w:eastAsia="MS Mincho" w:hAnsi="Calibri" w:cs="Times New Roman"/>
                <w:kern w:val="0"/>
                <w:sz w:val="24"/>
                <w:szCs w:val="24"/>
                <w:lang w:val="en-US"/>
                <w14:ligatures w14:val="none"/>
              </w:rPr>
              <w:t>ToVs</w:t>
            </w:r>
            <w:proofErr w:type="spellEnd"/>
          </w:p>
          <w:p w14:paraId="0CC8FAD4"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Indirect </w:t>
            </w:r>
            <w:proofErr w:type="spellStart"/>
            <w:r w:rsidRPr="00001B9B">
              <w:rPr>
                <w:rFonts w:ascii="Calibri" w:eastAsia="MS Mincho" w:hAnsi="Calibri" w:cs="Times New Roman"/>
                <w:kern w:val="0"/>
                <w:sz w:val="24"/>
                <w:szCs w:val="24"/>
                <w:lang w:val="en-US"/>
                <w14:ligatures w14:val="none"/>
              </w:rPr>
              <w:t>ToVs</w:t>
            </w:r>
            <w:proofErr w:type="spellEnd"/>
          </w:p>
          <w:p w14:paraId="154B5968"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Non-monetary </w:t>
            </w:r>
            <w:proofErr w:type="spellStart"/>
            <w:r w:rsidRPr="00001B9B">
              <w:rPr>
                <w:rFonts w:ascii="Calibri" w:eastAsia="MS Mincho" w:hAnsi="Calibri" w:cs="Times New Roman"/>
                <w:kern w:val="0"/>
                <w:sz w:val="24"/>
                <w:szCs w:val="24"/>
                <w:lang w:val="en-US"/>
                <w14:ligatures w14:val="none"/>
              </w:rPr>
              <w:t>ToVs</w:t>
            </w:r>
            <w:proofErr w:type="spellEnd"/>
          </w:p>
          <w:p w14:paraId="06B19BB7"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proofErr w:type="spellStart"/>
            <w:r w:rsidRPr="00001B9B">
              <w:rPr>
                <w:rFonts w:ascii="Calibri" w:eastAsia="MS Mincho" w:hAnsi="Calibri" w:cs="Times New Roman"/>
                <w:kern w:val="0"/>
                <w:sz w:val="24"/>
                <w:szCs w:val="24"/>
                <w:lang w:val="en-US"/>
                <w14:ligatures w14:val="none"/>
              </w:rPr>
              <w:t>ToVs</w:t>
            </w:r>
            <w:proofErr w:type="spellEnd"/>
            <w:r w:rsidRPr="00001B9B">
              <w:rPr>
                <w:rFonts w:ascii="Calibri" w:eastAsia="MS Mincho" w:hAnsi="Calibri" w:cs="Times New Roman"/>
                <w:kern w:val="0"/>
                <w:sz w:val="24"/>
                <w:szCs w:val="24"/>
                <w:lang w:val="en-US"/>
                <w14:ligatures w14:val="none"/>
              </w:rPr>
              <w:t xml:space="preserve"> in case of partial attendances or cancellation and refund</w:t>
            </w:r>
          </w:p>
          <w:p w14:paraId="66AF600B"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Cross-border activities</w:t>
            </w:r>
          </w:p>
          <w:p w14:paraId="71047869"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R&amp;D</w:t>
            </w:r>
          </w:p>
          <w:p w14:paraId="538C3BFF"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lastRenderedPageBreak/>
              <w:t>Voluntary disclosure (anything discloses beyond the national Code)</w:t>
            </w:r>
          </w:p>
          <w:p w14:paraId="45E6762F" w14:textId="77777777" w:rsidR="00001B9B" w:rsidRPr="00001B9B" w:rsidRDefault="00001B9B" w:rsidP="00001B9B">
            <w:pPr>
              <w:rPr>
                <w:rFonts w:ascii="Calibri" w:eastAsia="MS Mincho" w:hAnsi="Calibri" w:cs="Times New Roman"/>
                <w:kern w:val="0"/>
                <w:sz w:val="24"/>
                <w:szCs w:val="24"/>
                <w:lang w:val="en-US"/>
                <w14:ligatures w14:val="none"/>
              </w:rPr>
            </w:pPr>
          </w:p>
          <w:p w14:paraId="3550CD08"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Specific considerations</w:t>
            </w:r>
          </w:p>
          <w:p w14:paraId="77D66B38"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Country unique identifier (if needed, specify which identifier is used and for which purpose)</w:t>
            </w:r>
          </w:p>
          <w:p w14:paraId="77DC2FD6"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Self-incorporated HCP (depending on the local legislation, qualified as individual or company)</w:t>
            </w:r>
          </w:p>
          <w:p w14:paraId="5524258B" w14:textId="77777777" w:rsidR="00001B9B" w:rsidRPr="00001B9B" w:rsidRDefault="00001B9B" w:rsidP="00001B9B">
            <w:pPr>
              <w:numPr>
                <w:ilvl w:val="0"/>
                <w:numId w:val="4"/>
              </w:numPr>
              <w:tabs>
                <w:tab w:val="left" w:pos="4981"/>
              </w:tabs>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Multi-year agreements</w:t>
            </w:r>
          </w:p>
          <w:p w14:paraId="66C128A0" w14:textId="77777777" w:rsidR="00001B9B" w:rsidRPr="00001B9B" w:rsidRDefault="00001B9B" w:rsidP="00001B9B">
            <w:pPr>
              <w:numPr>
                <w:ilvl w:val="0"/>
                <w:numId w:val="4"/>
              </w:numPr>
              <w:tabs>
                <w:tab w:val="left" w:pos="4981"/>
              </w:tabs>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Country specificities</w:t>
            </w:r>
          </w:p>
          <w:p w14:paraId="1B4067E1" w14:textId="77777777" w:rsidR="00001B9B" w:rsidRPr="00001B9B" w:rsidRDefault="00001B9B" w:rsidP="00001B9B">
            <w:pPr>
              <w:numPr>
                <w:ilvl w:val="0"/>
                <w:numId w:val="4"/>
              </w:numPr>
              <w:tabs>
                <w:tab w:val="left" w:pos="4981"/>
              </w:tabs>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Quality Checks (optional for pre-disclosure)</w:t>
            </w:r>
          </w:p>
          <w:p w14:paraId="10DDEFD8" w14:textId="77777777" w:rsidR="00001B9B" w:rsidRPr="00001B9B" w:rsidRDefault="00001B9B" w:rsidP="00001B9B">
            <w:pPr>
              <w:rPr>
                <w:rFonts w:ascii="Calibri" w:eastAsia="MS Mincho" w:hAnsi="Calibri" w:cs="Times New Roman"/>
                <w:kern w:val="0"/>
                <w:sz w:val="24"/>
                <w:szCs w:val="24"/>
                <w:lang w:val="en-US"/>
                <w14:ligatures w14:val="none"/>
              </w:rPr>
            </w:pPr>
          </w:p>
          <w:p w14:paraId="2D46E16D"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Data protection legal basis</w:t>
            </w:r>
          </w:p>
          <w:p w14:paraId="1342CFAB"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Consent collection (</w:t>
            </w:r>
            <w:proofErr w:type="spellStart"/>
            <w:r w:rsidRPr="00001B9B">
              <w:rPr>
                <w:rFonts w:ascii="Calibri" w:eastAsia="MS Mincho" w:hAnsi="Calibri" w:cs="Times New Roman"/>
                <w:kern w:val="0"/>
                <w:sz w:val="24"/>
                <w:szCs w:val="24"/>
                <w:lang w:val="en-US"/>
                <w14:ligatures w14:val="none"/>
              </w:rPr>
              <w:t>inc.</w:t>
            </w:r>
            <w:proofErr w:type="spellEnd"/>
            <w:r w:rsidRPr="00001B9B">
              <w:rPr>
                <w:rFonts w:ascii="Calibri" w:eastAsia="MS Mincho" w:hAnsi="Calibri" w:cs="Times New Roman"/>
                <w:kern w:val="0"/>
                <w:sz w:val="24"/>
                <w:szCs w:val="24"/>
                <w:lang w:val="en-US"/>
                <w14:ligatures w14:val="none"/>
              </w:rPr>
              <w:t xml:space="preserve"> consent withdrawal)</w:t>
            </w:r>
          </w:p>
          <w:p w14:paraId="05258806" w14:textId="77777777" w:rsidR="00001B9B" w:rsidRPr="00001B9B" w:rsidRDefault="00001B9B" w:rsidP="00001B9B">
            <w:pPr>
              <w:numPr>
                <w:ilvl w:val="1"/>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Partial consent</w:t>
            </w:r>
          </w:p>
          <w:p w14:paraId="0BE00ACD"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Legitimate interest (</w:t>
            </w:r>
            <w:proofErr w:type="spellStart"/>
            <w:r w:rsidRPr="00001B9B">
              <w:rPr>
                <w:rFonts w:ascii="Calibri" w:eastAsia="MS Mincho" w:hAnsi="Calibri" w:cs="Times New Roman"/>
                <w:kern w:val="0"/>
                <w:sz w:val="24"/>
                <w:szCs w:val="24"/>
                <w:lang w:val="en-US"/>
                <w14:ligatures w14:val="none"/>
              </w:rPr>
              <w:t>inc.</w:t>
            </w:r>
            <w:proofErr w:type="spellEnd"/>
            <w:r w:rsidRPr="00001B9B">
              <w:rPr>
                <w:rFonts w:ascii="Calibri" w:eastAsia="MS Mincho" w:hAnsi="Calibri" w:cs="Times New Roman"/>
                <w:kern w:val="0"/>
                <w:sz w:val="24"/>
                <w:szCs w:val="24"/>
                <w:lang w:val="en-US"/>
                <w14:ligatures w14:val="none"/>
              </w:rPr>
              <w:t xml:space="preserve"> balancing test, right to object)</w:t>
            </w:r>
          </w:p>
          <w:p w14:paraId="2D0B0BED" w14:textId="77777777" w:rsidR="00001B9B" w:rsidRPr="00001B9B" w:rsidRDefault="00001B9B" w:rsidP="00001B9B">
            <w:pPr>
              <w:rPr>
                <w:rFonts w:ascii="Calibri" w:eastAsia="MS Mincho" w:hAnsi="Calibri" w:cs="Times New Roman"/>
                <w:kern w:val="0"/>
                <w:sz w:val="24"/>
                <w:szCs w:val="24"/>
                <w:lang w:val="en-US"/>
                <w14:ligatures w14:val="none"/>
              </w:rPr>
            </w:pPr>
          </w:p>
          <w:p w14:paraId="1BD55872"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Form of Disclosure</w:t>
            </w:r>
          </w:p>
          <w:p w14:paraId="62AEBC9E"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Date of publication</w:t>
            </w:r>
          </w:p>
          <w:p w14:paraId="6486E3DF"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Disclosure platform</w:t>
            </w:r>
          </w:p>
          <w:p w14:paraId="25E0C020"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Disclosure language</w:t>
            </w:r>
          </w:p>
          <w:p w14:paraId="3A37447F" w14:textId="77777777" w:rsidR="00001B9B" w:rsidRPr="00001B9B" w:rsidRDefault="00001B9B" w:rsidP="00001B9B">
            <w:pPr>
              <w:ind w:firstLine="720"/>
              <w:rPr>
                <w:rFonts w:ascii="Calibri" w:eastAsia="MS Mincho" w:hAnsi="Calibri" w:cs="Times New Roman"/>
                <w:kern w:val="0"/>
                <w:sz w:val="24"/>
                <w:szCs w:val="24"/>
                <w:lang w:val="en-US"/>
                <w14:ligatures w14:val="none"/>
              </w:rPr>
            </w:pPr>
          </w:p>
          <w:p w14:paraId="754B90CE"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Disclosure financial data</w:t>
            </w:r>
          </w:p>
          <w:p w14:paraId="6EFF126A"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Currency (local or if not, specify the exchange rate)</w:t>
            </w:r>
          </w:p>
          <w:p w14:paraId="4A7255C8"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VAT included or excluded</w:t>
            </w:r>
          </w:p>
          <w:p w14:paraId="1F51BB71" w14:textId="77777777" w:rsidR="00001B9B" w:rsidRPr="00001B9B" w:rsidRDefault="00001B9B" w:rsidP="00001B9B">
            <w:pPr>
              <w:numPr>
                <w:ilvl w:val="0"/>
                <w:numId w:val="4"/>
              </w:numPr>
              <w:contextualSpacing/>
              <w:rPr>
                <w:rFonts w:ascii="Calibri" w:eastAsia="MS Mincho" w:hAnsi="Calibri" w:cs="Times New Roman"/>
                <w:kern w:val="0"/>
                <w:sz w:val="24"/>
                <w:szCs w:val="24"/>
                <w:lang w:val="en-US"/>
                <w14:ligatures w14:val="none"/>
              </w:rPr>
            </w:pPr>
            <w:r w:rsidRPr="00001B9B">
              <w:rPr>
                <w:rFonts w:ascii="Calibri" w:eastAsia="MS Mincho" w:hAnsi="Calibri" w:cs="Times New Roman"/>
                <w:kern w:val="0"/>
                <w:sz w:val="24"/>
                <w:szCs w:val="24"/>
                <w:lang w:val="en-US"/>
                <w14:ligatures w14:val="none"/>
              </w:rPr>
              <w:t xml:space="preserve">Calculation rules (e.g., in-kind </w:t>
            </w:r>
            <w:proofErr w:type="spellStart"/>
            <w:r w:rsidRPr="00001B9B">
              <w:rPr>
                <w:rFonts w:ascii="Calibri" w:eastAsia="MS Mincho" w:hAnsi="Calibri" w:cs="Times New Roman"/>
                <w:kern w:val="0"/>
                <w:sz w:val="24"/>
                <w:szCs w:val="24"/>
                <w:lang w:val="en-US"/>
                <w14:ligatures w14:val="none"/>
              </w:rPr>
              <w:t>ToVs</w:t>
            </w:r>
            <w:proofErr w:type="spellEnd"/>
            <w:r w:rsidRPr="00001B9B">
              <w:rPr>
                <w:rFonts w:ascii="Calibri" w:eastAsia="MS Mincho" w:hAnsi="Calibri" w:cs="Times New Roman"/>
                <w:kern w:val="0"/>
                <w:sz w:val="24"/>
                <w:szCs w:val="24"/>
                <w:lang w:val="en-US"/>
                <w14:ligatures w14:val="none"/>
              </w:rPr>
              <w:t>)</w:t>
            </w:r>
          </w:p>
          <w:p w14:paraId="1D90931A" w14:textId="77777777" w:rsidR="00001B9B" w:rsidRPr="00001B9B" w:rsidRDefault="00001B9B" w:rsidP="00001B9B">
            <w:pPr>
              <w:rPr>
                <w:rFonts w:ascii="Calibri" w:eastAsia="MS Mincho" w:hAnsi="Calibri" w:cs="Times New Roman"/>
                <w:kern w:val="0"/>
                <w:sz w:val="24"/>
                <w:szCs w:val="24"/>
                <w:lang w:val="en-US"/>
                <w14:ligatures w14:val="none"/>
              </w:rPr>
            </w:pPr>
          </w:p>
          <w:p w14:paraId="4E681700" w14:textId="77777777" w:rsidR="00001B9B" w:rsidRPr="00001B9B" w:rsidRDefault="00001B9B" w:rsidP="00001B9B">
            <w:pPr>
              <w:rPr>
                <w:rFonts w:ascii="Calibri" w:eastAsia="MS Mincho" w:hAnsi="Calibri" w:cs="Times New Roman"/>
                <w:b/>
                <w:bCs/>
                <w:kern w:val="0"/>
                <w:sz w:val="24"/>
                <w:szCs w:val="24"/>
                <w:lang w:val="en-US"/>
                <w14:ligatures w14:val="none"/>
              </w:rPr>
            </w:pPr>
            <w:r w:rsidRPr="00001B9B">
              <w:rPr>
                <w:rFonts w:ascii="Calibri" w:eastAsia="MS Mincho" w:hAnsi="Calibri" w:cs="Times New Roman"/>
                <w:b/>
                <w:bCs/>
                <w:kern w:val="0"/>
                <w:sz w:val="24"/>
                <w:szCs w:val="24"/>
                <w:lang w:val="en-US"/>
                <w14:ligatures w14:val="none"/>
              </w:rPr>
              <w:t>Additional information</w:t>
            </w:r>
          </w:p>
          <w:p w14:paraId="6EF2EC91" w14:textId="77777777" w:rsidR="00001B9B" w:rsidRDefault="00001B9B" w:rsidP="00A265C7">
            <w:pPr>
              <w:rPr>
                <w:rFonts w:ascii="Calibri" w:hAnsi="Calibri" w:cs="Calibri"/>
                <w:noProof/>
                <w:lang w:val="en-US"/>
              </w:rPr>
            </w:pPr>
          </w:p>
        </w:tc>
      </w:tr>
    </w:tbl>
    <w:p w14:paraId="77767853" w14:textId="77777777" w:rsidR="00832631" w:rsidRDefault="00832631"/>
    <w:p w14:paraId="03A8A76A" w14:textId="77777777" w:rsidR="00832631" w:rsidRDefault="00832631">
      <w:r>
        <w:br w:type="page"/>
      </w:r>
    </w:p>
    <w:p w14:paraId="1861B385" w14:textId="640DB817" w:rsidR="00967A3A" w:rsidRPr="00967A3A" w:rsidRDefault="00967A3A" w:rsidP="00967A3A">
      <w:pPr>
        <w:pStyle w:val="EndNoteBibliographyTitle"/>
      </w:pPr>
      <w:r>
        <w:lastRenderedPageBreak/>
        <w:fldChar w:fldCharType="begin"/>
      </w:r>
      <w:r>
        <w:instrText xml:space="preserve"> ADDIN EN.REFLIST </w:instrText>
      </w:r>
      <w:r>
        <w:fldChar w:fldCharType="separate"/>
      </w:r>
      <w:r w:rsidRPr="00967A3A">
        <w:t>References</w:t>
      </w:r>
    </w:p>
    <w:p w14:paraId="22F5EC55" w14:textId="77777777" w:rsidR="00967A3A" w:rsidRPr="00967A3A" w:rsidRDefault="00967A3A" w:rsidP="00967A3A">
      <w:pPr>
        <w:pStyle w:val="EndNoteBibliographyTitle"/>
      </w:pPr>
    </w:p>
    <w:p w14:paraId="2C0958DF" w14:textId="771F876C" w:rsidR="00967A3A" w:rsidRPr="00967A3A" w:rsidRDefault="00967A3A" w:rsidP="00967A3A">
      <w:pPr>
        <w:pStyle w:val="EndNoteBibliography"/>
      </w:pPr>
      <w:r w:rsidRPr="00967A3A">
        <w:t>1.</w:t>
      </w:r>
      <w:r w:rsidRPr="00967A3A">
        <w:tab/>
        <w:t xml:space="preserve">The Association of the British Pharmaceutical Industry. Code of Practice for the Pharmaceutical Industry 2021. Accessed 16 August, 2023. </w:t>
      </w:r>
      <w:hyperlink r:id="rId10" w:history="1">
        <w:r w:rsidRPr="00967A3A">
          <w:rPr>
            <w:rStyle w:val="Hyperlink"/>
          </w:rPr>
          <w:t>https://www.abpi.org.uk/publications/code-of-practice-for-the-pharmaceutical-industry-2021/</w:t>
        </w:r>
      </w:hyperlink>
    </w:p>
    <w:p w14:paraId="5CB56C10" w14:textId="6F65B623" w:rsidR="0071580C" w:rsidRDefault="00967A3A">
      <w:r>
        <w:fldChar w:fldCharType="end"/>
      </w:r>
    </w:p>
    <w:sectPr w:rsidR="0071580C">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8768D9" w16cex:dateUtc="2023-08-16T14:25:00Z"/>
  <w16cex:commentExtensible w16cex:durableId="44A045F8" w16cex:dateUtc="2024-03-10T12:01:11.637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14357" w14:textId="77777777" w:rsidR="001D2C27" w:rsidRDefault="001D2C27" w:rsidP="00F312EB">
      <w:pPr>
        <w:spacing w:after="0" w:line="240" w:lineRule="auto"/>
      </w:pPr>
      <w:r>
        <w:separator/>
      </w:r>
    </w:p>
  </w:endnote>
  <w:endnote w:type="continuationSeparator" w:id="0">
    <w:p w14:paraId="59B76C57" w14:textId="77777777" w:rsidR="001D2C27" w:rsidRDefault="001D2C27" w:rsidP="00F31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9436D" w14:textId="77777777" w:rsidR="001D2C27" w:rsidRDefault="001D2C27" w:rsidP="00F312EB">
      <w:pPr>
        <w:spacing w:after="0" w:line="240" w:lineRule="auto"/>
      </w:pPr>
      <w:r>
        <w:separator/>
      </w:r>
    </w:p>
  </w:footnote>
  <w:footnote w:type="continuationSeparator" w:id="0">
    <w:p w14:paraId="2912D52E" w14:textId="77777777" w:rsidR="001D2C27" w:rsidRDefault="001D2C27" w:rsidP="00F312EB">
      <w:pPr>
        <w:spacing w:after="0" w:line="240" w:lineRule="auto"/>
      </w:pPr>
      <w:r>
        <w:continuationSeparator/>
      </w:r>
    </w:p>
  </w:footnote>
  <w:footnote w:id="1">
    <w:p w14:paraId="0A472A94" w14:textId="77777777" w:rsidR="00001B9B" w:rsidRPr="00001B9B" w:rsidRDefault="00001B9B" w:rsidP="00001B9B">
      <w:pPr>
        <w:jc w:val="both"/>
        <w:rPr>
          <w:rFonts w:ascii="Calibri" w:hAnsi="Calibri" w:cs="Calibri"/>
          <w:sz w:val="20"/>
          <w:szCs w:val="20"/>
        </w:rPr>
      </w:pPr>
      <w:r w:rsidRPr="00001B9B">
        <w:rPr>
          <w:rStyle w:val="FootnoteReference"/>
          <w:rFonts w:ascii="Calibri" w:hAnsi="Calibri" w:cs="Calibri"/>
          <w:sz w:val="20"/>
          <w:szCs w:val="20"/>
        </w:rPr>
        <w:footnoteRef/>
      </w:r>
      <w:r w:rsidRPr="00001B9B">
        <w:rPr>
          <w:rFonts w:ascii="Calibri" w:hAnsi="Calibri" w:cs="Calibri"/>
          <w:sz w:val="20"/>
          <w:szCs w:val="20"/>
        </w:rPr>
        <w:t xml:space="preserve"> Transfers of Value are direct and indirect payment, whether in cash, in kind or otherwise or reimbursement provided to HCPs and HCOs.</w:t>
      </w:r>
    </w:p>
  </w:footnote>
  <w:footnote w:id="2">
    <w:p w14:paraId="67391F7E" w14:textId="77777777" w:rsidR="00001B9B" w:rsidRPr="00001B9B" w:rsidRDefault="00001B9B" w:rsidP="00001B9B">
      <w:pPr>
        <w:pStyle w:val="FootnoteText"/>
        <w:rPr>
          <w:rFonts w:ascii="Calibri" w:hAnsi="Calibri" w:cs="Calibri"/>
          <w:lang w:val="nl-NL"/>
        </w:rPr>
      </w:pPr>
      <w:r w:rsidRPr="00001B9B">
        <w:rPr>
          <w:rStyle w:val="FootnoteReference"/>
          <w:rFonts w:ascii="Calibri" w:hAnsi="Calibri" w:cs="Calibri"/>
        </w:rPr>
        <w:footnoteRef/>
      </w:r>
      <w:r w:rsidRPr="00001B9B">
        <w:rPr>
          <w:rFonts w:ascii="Calibri" w:hAnsi="Calibri" w:cs="Calibri"/>
        </w:rPr>
        <w:t xml:space="preserve"> Cf. </w:t>
      </w:r>
      <w:r w:rsidRPr="00001B9B">
        <w:rPr>
          <w:rFonts w:ascii="Calibri" w:hAnsi="Calibri" w:cs="Calibri"/>
          <w:color w:val="222222"/>
          <w:shd w:val="clear" w:color="auto" w:fill="FFFFFF"/>
        </w:rPr>
        <w:t xml:space="preserve">EFPIA’s R&amp;D best practice guidance: </w:t>
      </w:r>
      <w:bookmarkStart w:id="10" w:name="_Hlk155357015"/>
      <w:r w:rsidRPr="00001B9B">
        <w:fldChar w:fldCharType="begin"/>
      </w:r>
      <w:r>
        <w:instrText xml:space="preserve"> HYPERLINK "https://efpia.box.com/s/nms7cod07bbkwwjenr3kcyerdk17k4xw" </w:instrText>
      </w:r>
      <w:r w:rsidRPr="00001B9B">
        <w:fldChar w:fldCharType="separate"/>
      </w:r>
      <w:r w:rsidRPr="00001B9B">
        <w:rPr>
          <w:rStyle w:val="Hyperlink"/>
          <w:rFonts w:ascii="Calibri" w:hAnsi="Calibri" w:cs="Calibri"/>
        </w:rPr>
        <w:t>https://efpia.box.com/s/nms7cod07bbkwwjenr3kcyerdk17k4xw</w:t>
      </w:r>
      <w:r w:rsidRPr="00001B9B">
        <w:rPr>
          <w:rStyle w:val="Hyperlink"/>
          <w:rFonts w:ascii="Calibri" w:hAnsi="Calibri" w:cs="Calibri"/>
        </w:rPr>
        <w:fldChar w:fldCharType="end"/>
      </w:r>
      <w:bookmarkEnd w:id="1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38AB"/>
    <w:multiLevelType w:val="hybridMultilevel"/>
    <w:tmpl w:val="2CC4C6B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E016E8"/>
    <w:multiLevelType w:val="hybridMultilevel"/>
    <w:tmpl w:val="42ECBA72"/>
    <w:lvl w:ilvl="0" w:tplc="470C2560">
      <w:start w:val="3"/>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C5E24"/>
    <w:multiLevelType w:val="hybridMultilevel"/>
    <w:tmpl w:val="9140AB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B4B23C5"/>
    <w:multiLevelType w:val="hybridMultilevel"/>
    <w:tmpl w:val="DC72A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AMA&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x09ae2tetvs2e9spfxxarlpff0wvx0dspf&quot;&gt;Meth note study references&lt;record-ids&gt;&lt;item&gt;12&lt;/item&gt;&lt;/record-ids&gt;&lt;/item&gt;&lt;/Libraries&gt;"/>
  </w:docVars>
  <w:rsids>
    <w:rsidRoot w:val="00B90CAE"/>
    <w:rsid w:val="00001B9B"/>
    <w:rsid w:val="00013B85"/>
    <w:rsid w:val="000D32EB"/>
    <w:rsid w:val="000F6720"/>
    <w:rsid w:val="00135676"/>
    <w:rsid w:val="00144F9B"/>
    <w:rsid w:val="001524C7"/>
    <w:rsid w:val="001739A4"/>
    <w:rsid w:val="001C432A"/>
    <w:rsid w:val="001D2C27"/>
    <w:rsid w:val="001D7B9E"/>
    <w:rsid w:val="001E42B3"/>
    <w:rsid w:val="002514AE"/>
    <w:rsid w:val="002D354A"/>
    <w:rsid w:val="002E1C56"/>
    <w:rsid w:val="00386D79"/>
    <w:rsid w:val="003B55F0"/>
    <w:rsid w:val="003B67EA"/>
    <w:rsid w:val="00471213"/>
    <w:rsid w:val="005B2B52"/>
    <w:rsid w:val="005E2419"/>
    <w:rsid w:val="005F7FEB"/>
    <w:rsid w:val="0060353B"/>
    <w:rsid w:val="00613E1F"/>
    <w:rsid w:val="00624CEE"/>
    <w:rsid w:val="0062630A"/>
    <w:rsid w:val="0066755B"/>
    <w:rsid w:val="00702580"/>
    <w:rsid w:val="0071580C"/>
    <w:rsid w:val="007313E9"/>
    <w:rsid w:val="00783854"/>
    <w:rsid w:val="007B169E"/>
    <w:rsid w:val="00815777"/>
    <w:rsid w:val="00832631"/>
    <w:rsid w:val="009123E0"/>
    <w:rsid w:val="0091311C"/>
    <w:rsid w:val="00967A3A"/>
    <w:rsid w:val="00977C37"/>
    <w:rsid w:val="00A019AF"/>
    <w:rsid w:val="00A05E04"/>
    <w:rsid w:val="00A266CE"/>
    <w:rsid w:val="00A42BBA"/>
    <w:rsid w:val="00A6206A"/>
    <w:rsid w:val="00A64103"/>
    <w:rsid w:val="00AA41EF"/>
    <w:rsid w:val="00B54EF8"/>
    <w:rsid w:val="00B90CAE"/>
    <w:rsid w:val="00BF29B1"/>
    <w:rsid w:val="00C773FE"/>
    <w:rsid w:val="00D04A77"/>
    <w:rsid w:val="00D13442"/>
    <w:rsid w:val="00D27047"/>
    <w:rsid w:val="00D73655"/>
    <w:rsid w:val="00DF5495"/>
    <w:rsid w:val="00E26DF0"/>
    <w:rsid w:val="00E81444"/>
    <w:rsid w:val="00E96C98"/>
    <w:rsid w:val="00EB1881"/>
    <w:rsid w:val="00EE3F6C"/>
    <w:rsid w:val="00F23EE7"/>
    <w:rsid w:val="00F312EB"/>
    <w:rsid w:val="0CA5D4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479AEB"/>
  <w15:chartTrackingRefBased/>
  <w15:docId w15:val="{05CD479C-522B-4BF8-94B1-1D9AC07B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3E0"/>
    <w:pPr>
      <w:keepNext/>
      <w:keepLines/>
      <w:spacing w:before="240" w:after="0" w:line="256" w:lineRule="auto"/>
      <w:outlineLvl w:val="0"/>
    </w:pPr>
    <w:rPr>
      <w:rFonts w:eastAsiaTheme="majorEastAsia"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66755B"/>
    <w:pPr>
      <w:keepNext/>
      <w:keepLines/>
      <w:spacing w:before="40" w:after="0" w:line="256" w:lineRule="auto"/>
      <w:outlineLvl w:val="1"/>
    </w:pPr>
    <w:rPr>
      <w:rFonts w:ascii="Arial" w:eastAsiaTheme="majorEastAsia" w:hAnsi="Arial" w:cstheme="majorBidi"/>
      <w:b/>
      <w:kern w:val="0"/>
      <w:sz w:val="26"/>
      <w:szCs w:val="26"/>
      <w14:ligatures w14:val="none"/>
    </w:rPr>
  </w:style>
  <w:style w:type="paragraph" w:styleId="Heading3">
    <w:name w:val="heading 3"/>
    <w:basedOn w:val="Normal"/>
    <w:next w:val="Normal"/>
    <w:link w:val="Heading3Char"/>
    <w:uiPriority w:val="9"/>
    <w:unhideWhenUsed/>
    <w:qFormat/>
    <w:rsid w:val="0066755B"/>
    <w:pPr>
      <w:keepNext/>
      <w:keepLines/>
      <w:spacing w:before="40" w:after="0" w:line="276" w:lineRule="auto"/>
      <w:outlineLvl w:val="2"/>
    </w:pPr>
    <w:rPr>
      <w:rFonts w:ascii="Arial" w:eastAsiaTheme="majorEastAsia" w:hAnsi="Arial"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755B"/>
    <w:rPr>
      <w:rFonts w:ascii="Arial" w:eastAsiaTheme="majorEastAsia" w:hAnsi="Arial" w:cstheme="majorBidi"/>
      <w:b/>
      <w:szCs w:val="24"/>
    </w:rPr>
  </w:style>
  <w:style w:type="character" w:customStyle="1" w:styleId="Heading2Char">
    <w:name w:val="Heading 2 Char"/>
    <w:basedOn w:val="DefaultParagraphFont"/>
    <w:link w:val="Heading2"/>
    <w:uiPriority w:val="9"/>
    <w:semiHidden/>
    <w:rsid w:val="0066755B"/>
    <w:rPr>
      <w:rFonts w:ascii="Arial" w:eastAsiaTheme="majorEastAsia" w:hAnsi="Arial" w:cstheme="majorBidi"/>
      <w:b/>
      <w:kern w:val="0"/>
      <w:sz w:val="26"/>
      <w:szCs w:val="26"/>
      <w14:ligatures w14:val="none"/>
    </w:rPr>
  </w:style>
  <w:style w:type="character" w:customStyle="1" w:styleId="Heading1Char">
    <w:name w:val="Heading 1 Char"/>
    <w:basedOn w:val="DefaultParagraphFont"/>
    <w:link w:val="Heading1"/>
    <w:uiPriority w:val="9"/>
    <w:rsid w:val="009123E0"/>
    <w:rPr>
      <w:rFonts w:eastAsiaTheme="majorEastAsia" w:cstheme="majorBidi"/>
      <w:b/>
      <w:kern w:val="0"/>
      <w:sz w:val="32"/>
      <w:szCs w:val="32"/>
      <w14:ligatures w14:val="none"/>
    </w:rPr>
  </w:style>
  <w:style w:type="paragraph" w:styleId="ListParagraph">
    <w:name w:val="List Paragraph"/>
    <w:basedOn w:val="Normal"/>
    <w:uiPriority w:val="34"/>
    <w:qFormat/>
    <w:rsid w:val="000D32EB"/>
    <w:pPr>
      <w:ind w:left="720"/>
      <w:contextualSpacing/>
    </w:pPr>
  </w:style>
  <w:style w:type="character" w:styleId="CommentReference">
    <w:name w:val="annotation reference"/>
    <w:basedOn w:val="DefaultParagraphFont"/>
    <w:uiPriority w:val="99"/>
    <w:semiHidden/>
    <w:unhideWhenUsed/>
    <w:rsid w:val="001524C7"/>
    <w:rPr>
      <w:sz w:val="16"/>
      <w:szCs w:val="16"/>
    </w:rPr>
  </w:style>
  <w:style w:type="paragraph" w:styleId="CommentText">
    <w:name w:val="annotation text"/>
    <w:basedOn w:val="Normal"/>
    <w:link w:val="CommentTextChar"/>
    <w:uiPriority w:val="99"/>
    <w:unhideWhenUsed/>
    <w:rsid w:val="001524C7"/>
    <w:pPr>
      <w:spacing w:line="240" w:lineRule="auto"/>
    </w:pPr>
    <w:rPr>
      <w:sz w:val="20"/>
      <w:szCs w:val="20"/>
    </w:rPr>
  </w:style>
  <w:style w:type="character" w:customStyle="1" w:styleId="CommentTextChar">
    <w:name w:val="Comment Text Char"/>
    <w:basedOn w:val="DefaultParagraphFont"/>
    <w:link w:val="CommentText"/>
    <w:uiPriority w:val="99"/>
    <w:rsid w:val="001524C7"/>
    <w:rPr>
      <w:sz w:val="20"/>
      <w:szCs w:val="20"/>
    </w:rPr>
  </w:style>
  <w:style w:type="paragraph" w:styleId="CommentSubject">
    <w:name w:val="annotation subject"/>
    <w:basedOn w:val="CommentText"/>
    <w:next w:val="CommentText"/>
    <w:link w:val="CommentSubjectChar"/>
    <w:uiPriority w:val="99"/>
    <w:semiHidden/>
    <w:unhideWhenUsed/>
    <w:rsid w:val="001524C7"/>
    <w:rPr>
      <w:b/>
      <w:bCs/>
    </w:rPr>
  </w:style>
  <w:style w:type="character" w:customStyle="1" w:styleId="CommentSubjectChar">
    <w:name w:val="Comment Subject Char"/>
    <w:basedOn w:val="CommentTextChar"/>
    <w:link w:val="CommentSubject"/>
    <w:uiPriority w:val="99"/>
    <w:semiHidden/>
    <w:rsid w:val="001524C7"/>
    <w:rPr>
      <w:b/>
      <w:bCs/>
      <w:sz w:val="20"/>
      <w:szCs w:val="20"/>
    </w:rPr>
  </w:style>
  <w:style w:type="paragraph" w:styleId="BalloonText">
    <w:name w:val="Balloon Text"/>
    <w:basedOn w:val="Normal"/>
    <w:link w:val="BalloonTextChar"/>
    <w:uiPriority w:val="99"/>
    <w:semiHidden/>
    <w:unhideWhenUsed/>
    <w:rsid w:val="00F312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2EB"/>
    <w:rPr>
      <w:rFonts w:ascii="Segoe UI" w:hAnsi="Segoe UI" w:cs="Segoe UI"/>
      <w:sz w:val="18"/>
      <w:szCs w:val="18"/>
    </w:rPr>
  </w:style>
  <w:style w:type="character" w:customStyle="1" w:styleId="normaltextrun">
    <w:name w:val="normaltextrun"/>
    <w:basedOn w:val="DefaultParagraphFont"/>
    <w:rsid w:val="0062630A"/>
  </w:style>
  <w:style w:type="table" w:styleId="TableGrid">
    <w:name w:val="Table Grid"/>
    <w:basedOn w:val="TableNormal"/>
    <w:uiPriority w:val="39"/>
    <w:rsid w:val="00D04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67A3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67A3A"/>
    <w:rPr>
      <w:rFonts w:ascii="Calibri" w:hAnsi="Calibri" w:cs="Calibri"/>
      <w:noProof/>
      <w:lang w:val="en-US"/>
    </w:rPr>
  </w:style>
  <w:style w:type="paragraph" w:customStyle="1" w:styleId="EndNoteBibliography">
    <w:name w:val="EndNote Bibliography"/>
    <w:basedOn w:val="Normal"/>
    <w:link w:val="EndNoteBibliographyChar"/>
    <w:rsid w:val="00967A3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67A3A"/>
    <w:rPr>
      <w:rFonts w:ascii="Calibri" w:hAnsi="Calibri" w:cs="Calibri"/>
      <w:noProof/>
      <w:lang w:val="en-US"/>
    </w:rPr>
  </w:style>
  <w:style w:type="character" w:styleId="Hyperlink">
    <w:name w:val="Hyperlink"/>
    <w:basedOn w:val="DefaultParagraphFont"/>
    <w:uiPriority w:val="99"/>
    <w:unhideWhenUsed/>
    <w:rsid w:val="00967A3A"/>
    <w:rPr>
      <w:color w:val="0563C1" w:themeColor="hyperlink"/>
      <w:u w:val="single"/>
    </w:rPr>
  </w:style>
  <w:style w:type="character" w:styleId="UnresolvedMention">
    <w:name w:val="Unresolved Mention"/>
    <w:basedOn w:val="DefaultParagraphFont"/>
    <w:uiPriority w:val="99"/>
    <w:semiHidden/>
    <w:unhideWhenUsed/>
    <w:rsid w:val="00967A3A"/>
    <w:rPr>
      <w:color w:val="605E5C"/>
      <w:shd w:val="clear" w:color="auto" w:fill="E1DFDD"/>
    </w:rPr>
  </w:style>
  <w:style w:type="character" w:styleId="FootnoteReference">
    <w:name w:val="footnote reference"/>
    <w:basedOn w:val="DefaultParagraphFont"/>
    <w:uiPriority w:val="99"/>
    <w:unhideWhenUsed/>
    <w:rsid w:val="00001B9B"/>
    <w:rPr>
      <w:vertAlign w:val="superscript"/>
    </w:rPr>
  </w:style>
  <w:style w:type="paragraph" w:styleId="FootnoteText">
    <w:name w:val="footnote text"/>
    <w:basedOn w:val="Normal"/>
    <w:link w:val="FootnoteTextChar"/>
    <w:uiPriority w:val="99"/>
    <w:semiHidden/>
    <w:unhideWhenUsed/>
    <w:rsid w:val="00001B9B"/>
    <w:pPr>
      <w:spacing w:after="0" w:line="240" w:lineRule="auto"/>
    </w:pPr>
    <w:rPr>
      <w:rFonts w:eastAsia="MS Mincho"/>
      <w:kern w:val="0"/>
      <w:sz w:val="20"/>
      <w:szCs w:val="20"/>
      <w:lang w:val="en-US"/>
      <w14:ligatures w14:val="none"/>
    </w:rPr>
  </w:style>
  <w:style w:type="character" w:customStyle="1" w:styleId="FootnoteTextChar">
    <w:name w:val="Footnote Text Char"/>
    <w:basedOn w:val="DefaultParagraphFont"/>
    <w:link w:val="FootnoteText"/>
    <w:uiPriority w:val="99"/>
    <w:semiHidden/>
    <w:rsid w:val="00001B9B"/>
    <w:rPr>
      <w:rFonts w:eastAsia="MS Mincho"/>
      <w:kern w:val="0"/>
      <w:sz w:val="20"/>
      <w:szCs w:val="20"/>
      <w:lang w:val="en-US"/>
      <w14:ligatures w14:val="none"/>
    </w:rPr>
  </w:style>
  <w:style w:type="character" w:styleId="FollowedHyperlink">
    <w:name w:val="FollowedHyperlink"/>
    <w:basedOn w:val="DefaultParagraphFont"/>
    <w:uiPriority w:val="99"/>
    <w:semiHidden/>
    <w:unhideWhenUsed/>
    <w:rsid w:val="00001B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8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bpi.org.uk/publications/code-of-practice-for-the-pharmaceutical-industry-2021/"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6F364BD7548C4599846254D661E6E3" ma:contentTypeVersion="15" ma:contentTypeDescription="Create a new document." ma:contentTypeScope="" ma:versionID="2a4bbadfb0543e68a4ee0a06920ab918">
  <xsd:schema xmlns:xsd="http://www.w3.org/2001/XMLSchema" xmlns:xs="http://www.w3.org/2001/XMLSchema" xmlns:p="http://schemas.microsoft.com/office/2006/metadata/properties" xmlns:ns3="136e23db-fd9e-4714-8a5b-ba147651e2ab" xmlns:ns4="79070a21-c97d-4077-99f8-4c999b9fa0cd" targetNamespace="http://schemas.microsoft.com/office/2006/metadata/properties" ma:root="true" ma:fieldsID="0820b6377bb500855f2b8495df77fd3c" ns3:_="" ns4:_="">
    <xsd:import namespace="136e23db-fd9e-4714-8a5b-ba147651e2ab"/>
    <xsd:import namespace="79070a21-c97d-4077-99f8-4c999b9fa0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e23db-fd9e-4714-8a5b-ba147651e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070a21-c97d-4077-99f8-4c999b9fa0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36e23db-fd9e-4714-8a5b-ba147651e2ab" xsi:nil="true"/>
  </documentManagement>
</p:properties>
</file>

<file path=customXml/itemProps1.xml><?xml version="1.0" encoding="utf-8"?>
<ds:datastoreItem xmlns:ds="http://schemas.openxmlformats.org/officeDocument/2006/customXml" ds:itemID="{DA674218-80FE-44E4-A33D-E8253ADD8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e23db-fd9e-4714-8a5b-ba147651e2ab"/>
    <ds:schemaRef ds:uri="79070a21-c97d-4077-99f8-4c999b9fa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0B371-E575-4760-86F1-EFA357DF7223}">
  <ds:schemaRefs>
    <ds:schemaRef ds:uri="http://schemas.microsoft.com/sharepoint/v3/contenttype/forms"/>
  </ds:schemaRefs>
</ds:datastoreItem>
</file>

<file path=customXml/itemProps3.xml><?xml version="1.0" encoding="utf-8"?>
<ds:datastoreItem xmlns:ds="http://schemas.openxmlformats.org/officeDocument/2006/customXml" ds:itemID="{4D350192-2E3C-4D85-BFDA-6B8B5DF1E00E}">
  <ds:schemaRefs>
    <ds:schemaRef ds:uri="http://purl.org/dc/dcmitype/"/>
    <ds:schemaRef ds:uri="http://purl.org/dc/elements/1.1/"/>
    <ds:schemaRef ds:uri="http://purl.org/dc/terms/"/>
    <ds:schemaRef ds:uri="79070a21-c97d-4077-99f8-4c999b9fa0cd"/>
    <ds:schemaRef ds:uri="136e23db-fd9e-4714-8a5b-ba147651e2ab"/>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2946</Words>
  <Characters>16795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19702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Larkin</dc:creator>
  <cp:keywords/>
  <dc:description/>
  <cp:lastModifiedBy>James Larkin</cp:lastModifiedBy>
  <cp:revision>22</cp:revision>
  <dcterms:created xsi:type="dcterms:W3CDTF">2023-12-16T21:40:00Z</dcterms:created>
  <dcterms:modified xsi:type="dcterms:W3CDTF">2024-03-28T13:11:00Z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0x010100C86F364BD7548C4599846254D661E6E3</vt:lpwstr>
  </property>
</Properties>
</file>