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361A7" w14:textId="65228D11" w:rsidR="00C079AE" w:rsidRPr="00E81F51" w:rsidRDefault="003046E6" w:rsidP="003046E6">
      <w:pPr>
        <w:pStyle w:val="Title"/>
        <w:rPr>
          <w:rFonts w:ascii="Times New Roman" w:hAnsi="Times New Roman" w:cs="Times New Roman"/>
          <w:b/>
          <w:bCs/>
          <w:sz w:val="24"/>
          <w:szCs w:val="24"/>
        </w:rPr>
      </w:pPr>
      <w:r w:rsidRPr="00E81F51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  <w:r w:rsidR="00E81F51" w:rsidRPr="00E81F51">
        <w:rPr>
          <w:rFonts w:ascii="Times New Roman" w:hAnsi="Times New Roman" w:cs="Times New Roman"/>
          <w:b/>
          <w:bCs/>
          <w:sz w:val="24"/>
          <w:szCs w:val="24"/>
        </w:rPr>
        <w:t xml:space="preserve"> for:</w:t>
      </w:r>
      <w:r w:rsidRPr="00E81F51">
        <w:rPr>
          <w:rFonts w:ascii="Times New Roman" w:hAnsi="Times New Roman" w:cs="Times New Roman"/>
          <w:b/>
          <w:bCs/>
          <w:sz w:val="24"/>
          <w:szCs w:val="24"/>
        </w:rPr>
        <w:t xml:space="preserve"> The Impact of Influenza Vaccination on Antibiotic Prescribing in Older Adults</w:t>
      </w:r>
    </w:p>
    <w:p w14:paraId="1EC6947E" w14:textId="77777777" w:rsidR="00E81F51" w:rsidRPr="00E81F51" w:rsidRDefault="00E81F51" w:rsidP="00E81F51">
      <w:pPr>
        <w:rPr>
          <w:rFonts w:ascii="Times New Roman" w:hAnsi="Times New Roman" w:cs="Times New Roman"/>
          <w:sz w:val="24"/>
          <w:szCs w:val="24"/>
        </w:rPr>
      </w:pPr>
      <w:r w:rsidRPr="00E81F51">
        <w:rPr>
          <w:rFonts w:ascii="Times New Roman" w:hAnsi="Times New Roman" w:cs="Times New Roman"/>
          <w:sz w:val="24"/>
          <w:szCs w:val="24"/>
          <w:lang w:val="en-US"/>
        </w:rPr>
        <w:t>Thomas Spain, MSc</w:t>
      </w:r>
      <w:r w:rsidRPr="00E81F5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E81F51">
        <w:rPr>
          <w:rFonts w:ascii="Times New Roman" w:hAnsi="Times New Roman" w:cs="Times New Roman"/>
          <w:sz w:val="24"/>
          <w:szCs w:val="24"/>
          <w:lang w:val="en-US"/>
        </w:rPr>
        <w:t>, Marc Y Henrion, PhD</w:t>
      </w:r>
      <w:r w:rsidRPr="00E81F5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2,3</w:t>
      </w:r>
      <w:r w:rsidRPr="00E81F51">
        <w:rPr>
          <w:rFonts w:ascii="Times New Roman" w:hAnsi="Times New Roman" w:cs="Times New Roman"/>
          <w:sz w:val="24"/>
          <w:szCs w:val="24"/>
          <w:lang w:val="en-US"/>
        </w:rPr>
        <w:t>, David Singleton, PhD</w:t>
      </w:r>
      <w:r w:rsidRPr="00E81F5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E81F51">
        <w:rPr>
          <w:rFonts w:ascii="Times New Roman" w:hAnsi="Times New Roman" w:cs="Times New Roman"/>
          <w:sz w:val="24"/>
          <w:szCs w:val="24"/>
          <w:lang w:val="en-US"/>
        </w:rPr>
        <w:t>, Roberto Vivancos, MD</w:t>
      </w:r>
      <w:r w:rsidRPr="00E81F5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5,6,7,8</w:t>
      </w:r>
      <w:r w:rsidRPr="00E81F51">
        <w:rPr>
          <w:rFonts w:ascii="Times New Roman" w:hAnsi="Times New Roman" w:cs="Times New Roman"/>
          <w:sz w:val="24"/>
          <w:szCs w:val="24"/>
          <w:lang w:val="en-US"/>
        </w:rPr>
        <w:t>, Valerie Decraene, PhD</w:t>
      </w:r>
      <w:r w:rsidRPr="00E81F5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E81F51">
        <w:rPr>
          <w:rFonts w:ascii="Times New Roman" w:hAnsi="Times New Roman" w:cs="Times New Roman"/>
          <w:sz w:val="24"/>
          <w:szCs w:val="24"/>
          <w:lang w:val="en-US"/>
        </w:rPr>
        <w:t>, Daniel Hungerford, PhD</w:t>
      </w:r>
      <w:r w:rsidRPr="00E81F5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4,5</w:t>
      </w:r>
      <w:r w:rsidRPr="00E81F51">
        <w:rPr>
          <w:rFonts w:ascii="Times New Roman" w:hAnsi="Times New Roman" w:cs="Times New Roman"/>
          <w:sz w:val="24"/>
          <w:szCs w:val="24"/>
          <w:lang w:val="en-US"/>
        </w:rPr>
        <w:t>*, Neil French, PhD</w:t>
      </w:r>
      <w:r w:rsidRPr="00E81F5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4,6</w:t>
      </w:r>
      <w:r w:rsidRPr="00E81F51">
        <w:rPr>
          <w:rFonts w:ascii="Times New Roman" w:hAnsi="Times New Roman" w:cs="Times New Roman"/>
          <w:sz w:val="24"/>
          <w:szCs w:val="24"/>
          <w:lang w:val="en-US"/>
        </w:rPr>
        <w:t xml:space="preserve">* </w:t>
      </w:r>
    </w:p>
    <w:p w14:paraId="433B629E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sz w:val="20"/>
          <w:szCs w:val="20"/>
        </w:rPr>
        <w:t xml:space="preserve">1. Department of Health Data Science, Institute of Population Health, University of Liverpool, Liverpool, UK </w:t>
      </w:r>
    </w:p>
    <w:p w14:paraId="58430DC1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sz w:val="20"/>
          <w:szCs w:val="20"/>
        </w:rPr>
        <w:t xml:space="preserve">2. Malawi Liverpool Wellcome Research Programme, Blantyre, Malawi, </w:t>
      </w:r>
    </w:p>
    <w:p w14:paraId="1F739476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sz w:val="20"/>
          <w:szCs w:val="20"/>
        </w:rPr>
        <w:t xml:space="preserve">3. Department of Clinical Sciences, Liverpool School of Tropical Medicine, Liverpool, United Kingdom </w:t>
      </w:r>
    </w:p>
    <w:p w14:paraId="30132332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sz w:val="20"/>
          <w:szCs w:val="20"/>
        </w:rPr>
        <w:t xml:space="preserve">4 Department of Clinical Infection, Microbiology and Immunology, Institute of Infection, Veterinary and Ecological Sciences, University of Liverpool, Liverpool, UK </w:t>
      </w:r>
    </w:p>
    <w:p w14:paraId="693A1512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sz w:val="20"/>
          <w:szCs w:val="20"/>
        </w:rPr>
        <w:t xml:space="preserve">5. National Institute for Health and Care Research Health Protection Research Unit in Gastrointestinal Infections, University of Liverpool, Liverpool, UK </w:t>
      </w:r>
    </w:p>
    <w:p w14:paraId="7447408F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sz w:val="20"/>
          <w:szCs w:val="20"/>
        </w:rPr>
        <w:t>6. National Institute for Health and Care Research Health Protection Research Unit in Emerging and Zoonotic Infections, University of Liverpool, Liverpool, UK</w:t>
      </w:r>
    </w:p>
    <w:p w14:paraId="6C8492CD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sz w:val="20"/>
          <w:szCs w:val="20"/>
        </w:rPr>
        <w:t>7 Field Services, UK Health Security Agency, Liverpool, UK</w:t>
      </w:r>
    </w:p>
    <w:p w14:paraId="3500AF32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sz w:val="20"/>
          <w:szCs w:val="20"/>
        </w:rPr>
        <w:t>8 Warwick Medical School, University of Warwick, Coventry, UK</w:t>
      </w:r>
    </w:p>
    <w:p w14:paraId="764DDA37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sz w:val="20"/>
          <w:szCs w:val="20"/>
        </w:rPr>
        <w:t>* Joint senior authors</w:t>
      </w:r>
    </w:p>
    <w:p w14:paraId="3E57D86E" w14:textId="23B97402" w:rsidR="00B33038" w:rsidRDefault="00E81F51" w:rsidP="00E81F51">
      <w:pPr>
        <w:rPr>
          <w:rFonts w:ascii="Times New Roman" w:hAnsi="Times New Roman" w:cs="Times New Roman"/>
          <w:sz w:val="20"/>
          <w:szCs w:val="20"/>
        </w:rPr>
      </w:pPr>
      <w:r w:rsidRPr="00E81F51">
        <w:rPr>
          <w:rFonts w:ascii="Times New Roman" w:hAnsi="Times New Roman" w:cs="Times New Roman"/>
          <w:b/>
          <w:bCs/>
          <w:sz w:val="20"/>
          <w:szCs w:val="20"/>
        </w:rPr>
        <w:t>Correspondence to</w:t>
      </w:r>
      <w:r w:rsidRPr="00E81F51">
        <w:rPr>
          <w:rFonts w:ascii="Times New Roman" w:hAnsi="Times New Roman" w:cs="Times New Roman"/>
          <w:sz w:val="20"/>
          <w:szCs w:val="20"/>
        </w:rPr>
        <w:t xml:space="preserve">: N French </w:t>
      </w:r>
      <w:hyperlink r:id="rId7" w:history="1">
        <w:r w:rsidRPr="00E81F51">
          <w:rPr>
            <w:rStyle w:val="Hyperlink"/>
            <w:rFonts w:ascii="Times New Roman" w:hAnsi="Times New Roman" w:cs="Times New Roman"/>
            <w:sz w:val="20"/>
            <w:szCs w:val="20"/>
          </w:rPr>
          <w:t>french@liverpool.ac.uk</w:t>
        </w:r>
      </w:hyperlink>
      <w:r w:rsidRPr="00E81F51">
        <w:rPr>
          <w:rFonts w:ascii="Times New Roman" w:hAnsi="Times New Roman" w:cs="Times New Roman"/>
          <w:sz w:val="20"/>
          <w:szCs w:val="20"/>
        </w:rPr>
        <w:t xml:space="preserve"> or D Hungerford </w:t>
      </w:r>
      <w:hyperlink r:id="rId8" w:history="1">
        <w:r w:rsidRPr="00E81F51">
          <w:rPr>
            <w:rStyle w:val="Hyperlink"/>
            <w:rFonts w:ascii="Times New Roman" w:hAnsi="Times New Roman" w:cs="Times New Roman"/>
            <w:sz w:val="20"/>
            <w:szCs w:val="20"/>
          </w:rPr>
          <w:t>d.hungerford@liverpool.ac.uk</w:t>
        </w:r>
      </w:hyperlink>
      <w:r w:rsidRPr="00E81F51">
        <w:rPr>
          <w:rFonts w:ascii="Times New Roman" w:hAnsi="Times New Roman" w:cs="Times New Roman"/>
          <w:sz w:val="20"/>
          <w:szCs w:val="20"/>
        </w:rPr>
        <w:t xml:space="preserve"> (+44151 795 1455)</w:t>
      </w:r>
    </w:p>
    <w:p w14:paraId="1956AA54" w14:textId="77777777" w:rsidR="00E81F51" w:rsidRPr="00E81F51" w:rsidRDefault="00E81F51" w:rsidP="00E81F51">
      <w:pPr>
        <w:rPr>
          <w:rFonts w:ascii="Times New Roman" w:hAnsi="Times New Roman" w:cs="Times New Roman"/>
          <w:sz w:val="20"/>
          <w:szCs w:val="20"/>
        </w:rPr>
      </w:pPr>
    </w:p>
    <w:sdt>
      <w:sdtPr>
        <w:rPr>
          <w:rFonts w:ascii="Times New Roman" w:eastAsiaTheme="minorHAnsi" w:hAnsi="Times New Roman" w:cs="Times New Roman"/>
          <w:color w:val="auto"/>
          <w:kern w:val="2"/>
          <w:sz w:val="20"/>
          <w:szCs w:val="20"/>
          <w:lang w:val="en-GB"/>
          <w14:ligatures w14:val="standardContextual"/>
        </w:rPr>
        <w:id w:val="112897141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6F4F022" w14:textId="4A3E27B4" w:rsidR="00B33038" w:rsidRPr="00E81F51" w:rsidRDefault="00B33038">
          <w:pPr>
            <w:pStyle w:val="TOCHeading"/>
            <w:rPr>
              <w:rFonts w:ascii="Times New Roman" w:hAnsi="Times New Roman" w:cs="Times New Roman"/>
              <w:sz w:val="24"/>
              <w:szCs w:val="24"/>
            </w:rPr>
          </w:pPr>
          <w:r w:rsidRPr="00E81F51">
            <w:rPr>
              <w:rFonts w:ascii="Times New Roman" w:hAnsi="Times New Roman" w:cs="Times New Roman"/>
              <w:sz w:val="24"/>
              <w:szCs w:val="24"/>
            </w:rPr>
            <w:t>Table of Contents</w:t>
          </w:r>
        </w:p>
        <w:p w14:paraId="1DAD0949" w14:textId="58FA2BD9" w:rsidR="00E81F51" w:rsidRPr="00E81F51" w:rsidRDefault="00B3303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GB"/>
            </w:rPr>
          </w:pPr>
          <w:r w:rsidRPr="00E81F5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E81F51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E81F5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23710751" w:history="1">
            <w:r w:rsidR="00E81F51" w:rsidRPr="00E81F51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Additional cohort descriptives</w:t>
            </w:r>
            <w:r w:rsidR="00E81F51"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81F51"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81F51"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_Toc223710751 \h </w:instrText>
            </w:r>
            <w:r w:rsidR="00E81F51"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81F51"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81F51"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E81F51"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49E4BA" w14:textId="5B363058" w:rsidR="00E81F51" w:rsidRPr="00E81F51" w:rsidRDefault="00E81F51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GB"/>
            </w:rPr>
          </w:pPr>
          <w:hyperlink w:anchor="_Toc223710752" w:history="1">
            <w:r w:rsidRPr="00E81F51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Sensitivity analysis: removing herpes zoster vaccination variable</w:t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_Toc223710752 \h </w:instrText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D877AE" w14:textId="40154A52" w:rsidR="00E81F51" w:rsidRPr="00E81F51" w:rsidRDefault="00E81F51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GB"/>
            </w:rPr>
          </w:pPr>
          <w:hyperlink w:anchor="_Toc223710753" w:history="1">
            <w:r w:rsidRPr="00E81F51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Unadjusted analysis: including only influenza vaccination as an exposure</w:t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_Toc223710753 \h </w:instrText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E81F5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AD2902" w14:textId="06742C53" w:rsidR="00B33038" w:rsidRPr="00B33038" w:rsidRDefault="00B33038">
          <w:pPr>
            <w:rPr>
              <w:rFonts w:ascii="Times New Roman" w:hAnsi="Times New Roman" w:cs="Times New Roman"/>
              <w:sz w:val="20"/>
              <w:szCs w:val="20"/>
            </w:rPr>
          </w:pPr>
          <w:r w:rsidRPr="00E81F51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44A5A5DC" w14:textId="77777777" w:rsidR="00B33038" w:rsidRPr="00B33038" w:rsidRDefault="00B33038" w:rsidP="00B33038">
      <w:pPr>
        <w:rPr>
          <w:rFonts w:ascii="Times New Roman" w:hAnsi="Times New Roman" w:cs="Times New Roman"/>
          <w:sz w:val="20"/>
          <w:szCs w:val="20"/>
        </w:rPr>
      </w:pPr>
    </w:p>
    <w:p w14:paraId="694D4210" w14:textId="39887564" w:rsidR="003046E6" w:rsidRPr="00B33038" w:rsidRDefault="00B33038" w:rsidP="00B33038">
      <w:pPr>
        <w:pStyle w:val="Heading2"/>
      </w:pPr>
      <w:bookmarkStart w:id="0" w:name="_Toc223710751"/>
      <w:r w:rsidRPr="00B33038">
        <w:lastRenderedPageBreak/>
        <w:t xml:space="preserve">Additional </w:t>
      </w:r>
      <w:r w:rsidR="005E7E8F">
        <w:t>cohort descriptives</w:t>
      </w:r>
      <w:bookmarkEnd w:id="0"/>
    </w:p>
    <w:p w14:paraId="13E2418F" w14:textId="77777777" w:rsidR="00C079AE" w:rsidRDefault="00E529DB" w:rsidP="00C079AE">
      <w:pPr>
        <w:keepNext/>
      </w:pPr>
      <w:r>
        <w:rPr>
          <w:noProof/>
        </w:rPr>
        <w:drawing>
          <wp:inline distT="0" distB="0" distL="0" distR="0" wp14:anchorId="646FE253" wp14:editId="6D428DF3">
            <wp:extent cx="5731510" cy="3439160"/>
            <wp:effectExtent l="0" t="0" r="2540" b="8890"/>
            <wp:docPr id="18103711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71106" name="Picture 181037110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E1EF5" w14:textId="1B8CA58A" w:rsidR="00AB4869" w:rsidRDefault="00C079AE" w:rsidP="00C079AE">
      <w:pPr>
        <w:pStyle w:val="Caption"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  <w:r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Figure</w:t>
      </w:r>
      <w:r w:rsidR="0094138D"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 xml:space="preserve"> S1</w:t>
      </w:r>
      <w:r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: Number of individuals available and median age by influenza season (2011</w:t>
      </w:r>
      <w:r w:rsidR="003046E6"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/12</w:t>
      </w:r>
      <w:r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-201</w:t>
      </w:r>
      <w:r w:rsidR="003046E6"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8/19</w:t>
      </w:r>
      <w:r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). Bars (left axis) show the count of individuals contributing to each season; the dark red line (right axis) shows median age in season.</w:t>
      </w:r>
    </w:p>
    <w:p w14:paraId="7DB752E8" w14:textId="77777777" w:rsidR="00AB4869" w:rsidRDefault="00AB4869">
      <w:pPr>
        <w:spacing w:line="278" w:lineRule="auto"/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br w:type="page"/>
      </w:r>
    </w:p>
    <w:p w14:paraId="6D41ACC4" w14:textId="0A76919D" w:rsidR="00E529DB" w:rsidRDefault="00B33038" w:rsidP="00B33038">
      <w:pPr>
        <w:pStyle w:val="Heading2"/>
      </w:pPr>
      <w:bookmarkStart w:id="1" w:name="_Toc223710752"/>
      <w:r>
        <w:lastRenderedPageBreak/>
        <w:t>Sensitivity analysis: removing herpes zoster vaccination variable</w:t>
      </w:r>
      <w:bookmarkEnd w:id="1"/>
    </w:p>
    <w:p w14:paraId="5A508298" w14:textId="296EB8DB" w:rsidR="0094138D" w:rsidRPr="00B33038" w:rsidRDefault="0094138D" w:rsidP="0094138D">
      <w:pPr>
        <w:pStyle w:val="Caption"/>
        <w:keepNext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B33038">
        <w:rPr>
          <w:rFonts w:ascii="Times New Roman" w:hAnsi="Times New Roman" w:cs="Times New Roman"/>
          <w:i w:val="0"/>
          <w:iCs w:val="0"/>
          <w:sz w:val="20"/>
          <w:szCs w:val="20"/>
        </w:rPr>
        <w:t>Table S1: Multivariable self-controlled case series conditional Poisson regression analysis for predictors of number of days prescribed antibiotics, excluding herpes zoster vaccine covariate (September–April time window).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345"/>
        <w:gridCol w:w="1905"/>
        <w:gridCol w:w="1905"/>
        <w:gridCol w:w="1861"/>
      </w:tblGrid>
      <w:tr w:rsidR="00F02866" w:rsidRPr="00B33038" w14:paraId="0AAEE32B" w14:textId="77777777" w:rsidTr="00362611">
        <w:trPr>
          <w:trHeight w:val="300"/>
        </w:trPr>
        <w:tc>
          <w:tcPr>
            <w:tcW w:w="3345" w:type="dxa"/>
          </w:tcPr>
          <w:p w14:paraId="1DEFF5CB" w14:textId="79E4DA78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905" w:type="dxa"/>
          </w:tcPr>
          <w:p w14:paraId="19B5374D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Incidence Rate Ratio for all antibiotic prescriptions (95% CI)</w:t>
            </w:r>
          </w:p>
        </w:tc>
        <w:tc>
          <w:tcPr>
            <w:tcW w:w="1905" w:type="dxa"/>
          </w:tcPr>
          <w:p w14:paraId="5817548C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Incidence Rate Ratio for RTI-related antibiotic prescriptions (95% CI)</w:t>
            </w:r>
          </w:p>
        </w:tc>
        <w:tc>
          <w:tcPr>
            <w:tcW w:w="1861" w:type="dxa"/>
          </w:tcPr>
          <w:p w14:paraId="121354F5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Incidence Rate Ratio for UTI-related antibiotic prescriptions (95% CI)</w:t>
            </w:r>
          </w:p>
        </w:tc>
      </w:tr>
      <w:tr w:rsidR="00232FB8" w:rsidRPr="00B33038" w14:paraId="33466DC9" w14:textId="77777777" w:rsidTr="00362611">
        <w:trPr>
          <w:trHeight w:val="300"/>
        </w:trPr>
        <w:tc>
          <w:tcPr>
            <w:tcW w:w="3345" w:type="dxa"/>
          </w:tcPr>
          <w:p w14:paraId="724DA9E2" w14:textId="77777777" w:rsidR="00232FB8" w:rsidRPr="00B33038" w:rsidRDefault="00232FB8" w:rsidP="00232FB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Influenza vaccine</w:t>
            </w:r>
          </w:p>
        </w:tc>
        <w:tc>
          <w:tcPr>
            <w:tcW w:w="1905" w:type="dxa"/>
          </w:tcPr>
          <w:p w14:paraId="287B24F6" w14:textId="1883EC23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1.03 (1.02–1.03)</w:t>
            </w:r>
          </w:p>
        </w:tc>
        <w:tc>
          <w:tcPr>
            <w:tcW w:w="1905" w:type="dxa"/>
          </w:tcPr>
          <w:p w14:paraId="1745AD8A" w14:textId="5491913F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0.96 (0.95–0.98)</w:t>
            </w:r>
          </w:p>
        </w:tc>
        <w:tc>
          <w:tcPr>
            <w:tcW w:w="1861" w:type="dxa"/>
          </w:tcPr>
          <w:p w14:paraId="671F3523" w14:textId="4F9260DC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1.14 (1.11–1.17)</w:t>
            </w:r>
          </w:p>
        </w:tc>
      </w:tr>
      <w:tr w:rsidR="00F02866" w:rsidRPr="00B33038" w14:paraId="47A575F2" w14:textId="77777777" w:rsidTr="00362611">
        <w:trPr>
          <w:trHeight w:val="300"/>
        </w:trPr>
        <w:tc>
          <w:tcPr>
            <w:tcW w:w="3345" w:type="dxa"/>
          </w:tcPr>
          <w:p w14:paraId="2FEE8B57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Influenza season</w:t>
            </w:r>
          </w:p>
        </w:tc>
        <w:tc>
          <w:tcPr>
            <w:tcW w:w="1905" w:type="dxa"/>
          </w:tcPr>
          <w:p w14:paraId="6D6461D8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14:paraId="3F0A821F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1" w:type="dxa"/>
          </w:tcPr>
          <w:p w14:paraId="112EB369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2866" w:rsidRPr="00B33038" w14:paraId="28240FEB" w14:textId="77777777" w:rsidTr="00362611">
        <w:trPr>
          <w:trHeight w:val="300"/>
        </w:trPr>
        <w:tc>
          <w:tcPr>
            <w:tcW w:w="3345" w:type="dxa"/>
          </w:tcPr>
          <w:p w14:paraId="31AAA499" w14:textId="77777777" w:rsidR="00F02866" w:rsidRPr="00B33038" w:rsidRDefault="00F02866" w:rsidP="00362611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2011/12</w:t>
            </w:r>
          </w:p>
        </w:tc>
        <w:tc>
          <w:tcPr>
            <w:tcW w:w="1905" w:type="dxa"/>
          </w:tcPr>
          <w:p w14:paraId="7A7959B2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05" w:type="dxa"/>
          </w:tcPr>
          <w:p w14:paraId="1C72F2E2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61" w:type="dxa"/>
          </w:tcPr>
          <w:p w14:paraId="00DC8D44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232FB8" w:rsidRPr="00B33038" w14:paraId="3B0EE515" w14:textId="77777777" w:rsidTr="00362611">
        <w:trPr>
          <w:trHeight w:val="300"/>
        </w:trPr>
        <w:tc>
          <w:tcPr>
            <w:tcW w:w="3345" w:type="dxa"/>
          </w:tcPr>
          <w:p w14:paraId="0A837647" w14:textId="77777777" w:rsidR="00232FB8" w:rsidRPr="00B33038" w:rsidRDefault="00232FB8" w:rsidP="00232FB8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2012/13</w:t>
            </w:r>
          </w:p>
        </w:tc>
        <w:tc>
          <w:tcPr>
            <w:tcW w:w="1905" w:type="dxa"/>
          </w:tcPr>
          <w:p w14:paraId="705D40D8" w14:textId="7D003BDB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1.04 (1.04–1.05)</w:t>
            </w:r>
          </w:p>
        </w:tc>
        <w:tc>
          <w:tcPr>
            <w:tcW w:w="1905" w:type="dxa"/>
          </w:tcPr>
          <w:p w14:paraId="448D85C2" w14:textId="1A818DF8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1.06 (1.05–1.07)</w:t>
            </w:r>
          </w:p>
        </w:tc>
        <w:tc>
          <w:tcPr>
            <w:tcW w:w="1861" w:type="dxa"/>
          </w:tcPr>
          <w:p w14:paraId="04513946" w14:textId="0EC423D7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1.05 (1.03–1.07)</w:t>
            </w:r>
          </w:p>
        </w:tc>
      </w:tr>
      <w:tr w:rsidR="00232FB8" w:rsidRPr="00B33038" w14:paraId="0A484CD2" w14:textId="77777777" w:rsidTr="00362611">
        <w:trPr>
          <w:trHeight w:val="300"/>
        </w:trPr>
        <w:tc>
          <w:tcPr>
            <w:tcW w:w="3345" w:type="dxa"/>
          </w:tcPr>
          <w:p w14:paraId="45772860" w14:textId="77777777" w:rsidR="00232FB8" w:rsidRPr="00B33038" w:rsidRDefault="00232FB8" w:rsidP="00232FB8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2013/14</w:t>
            </w:r>
          </w:p>
        </w:tc>
        <w:tc>
          <w:tcPr>
            <w:tcW w:w="1905" w:type="dxa"/>
          </w:tcPr>
          <w:p w14:paraId="0754CB3D" w14:textId="01AD8E89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1.07 (1.07–1.08)</w:t>
            </w:r>
          </w:p>
        </w:tc>
        <w:tc>
          <w:tcPr>
            <w:tcW w:w="1905" w:type="dxa"/>
          </w:tcPr>
          <w:p w14:paraId="5B0586E6" w14:textId="4A1C2E87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0.99 (0.97–1.00)</w:t>
            </w:r>
          </w:p>
        </w:tc>
        <w:tc>
          <w:tcPr>
            <w:tcW w:w="1861" w:type="dxa"/>
          </w:tcPr>
          <w:p w14:paraId="7E15180B" w14:textId="2DB4639F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1.06 (1.04–1.08)</w:t>
            </w:r>
          </w:p>
        </w:tc>
      </w:tr>
      <w:tr w:rsidR="00232FB8" w:rsidRPr="00B33038" w14:paraId="6B26D34B" w14:textId="77777777" w:rsidTr="00362611">
        <w:trPr>
          <w:trHeight w:val="300"/>
        </w:trPr>
        <w:tc>
          <w:tcPr>
            <w:tcW w:w="3345" w:type="dxa"/>
          </w:tcPr>
          <w:p w14:paraId="12B7BA48" w14:textId="77777777" w:rsidR="00232FB8" w:rsidRPr="00B33038" w:rsidRDefault="00232FB8" w:rsidP="00232FB8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2014/15</w:t>
            </w:r>
          </w:p>
        </w:tc>
        <w:tc>
          <w:tcPr>
            <w:tcW w:w="1905" w:type="dxa"/>
          </w:tcPr>
          <w:p w14:paraId="2D721328" w14:textId="40CD5744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1.14 (1.13–1.14)</w:t>
            </w:r>
          </w:p>
        </w:tc>
        <w:tc>
          <w:tcPr>
            <w:tcW w:w="1905" w:type="dxa"/>
          </w:tcPr>
          <w:p w14:paraId="0C55A573" w14:textId="30904BBD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1.11 (1.10–1.13)</w:t>
            </w:r>
          </w:p>
        </w:tc>
        <w:tc>
          <w:tcPr>
            <w:tcW w:w="1861" w:type="dxa"/>
          </w:tcPr>
          <w:p w14:paraId="4CB8DDEE" w14:textId="3401B6C4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1.13 (1.11–1.16)</w:t>
            </w:r>
          </w:p>
        </w:tc>
      </w:tr>
      <w:tr w:rsidR="00232FB8" w:rsidRPr="00B33038" w14:paraId="4CF01A36" w14:textId="77777777" w:rsidTr="00362611">
        <w:trPr>
          <w:trHeight w:val="300"/>
        </w:trPr>
        <w:tc>
          <w:tcPr>
            <w:tcW w:w="3345" w:type="dxa"/>
          </w:tcPr>
          <w:p w14:paraId="4B84CA4C" w14:textId="77777777" w:rsidR="00232FB8" w:rsidRPr="00B33038" w:rsidRDefault="00232FB8" w:rsidP="00232FB8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2015/16</w:t>
            </w:r>
          </w:p>
        </w:tc>
        <w:tc>
          <w:tcPr>
            <w:tcW w:w="1905" w:type="dxa"/>
          </w:tcPr>
          <w:p w14:paraId="4051AEBC" w14:textId="24A28612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1.19 (1.18–1.19)</w:t>
            </w:r>
          </w:p>
        </w:tc>
        <w:tc>
          <w:tcPr>
            <w:tcW w:w="1905" w:type="dxa"/>
          </w:tcPr>
          <w:p w14:paraId="18A93612" w14:textId="73838CEC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1.05 (1.03–1.06)</w:t>
            </w:r>
          </w:p>
        </w:tc>
        <w:tc>
          <w:tcPr>
            <w:tcW w:w="1861" w:type="dxa"/>
          </w:tcPr>
          <w:p w14:paraId="2E8C06DD" w14:textId="6F241346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1.35 (1.33–1.38)</w:t>
            </w:r>
          </w:p>
        </w:tc>
      </w:tr>
      <w:tr w:rsidR="00232FB8" w:rsidRPr="00B33038" w14:paraId="05EB3282" w14:textId="77777777" w:rsidTr="00362611">
        <w:trPr>
          <w:trHeight w:val="300"/>
        </w:trPr>
        <w:tc>
          <w:tcPr>
            <w:tcW w:w="3345" w:type="dxa"/>
          </w:tcPr>
          <w:p w14:paraId="322A5FDC" w14:textId="77777777" w:rsidR="00232FB8" w:rsidRPr="00B33038" w:rsidRDefault="00232FB8" w:rsidP="00232FB8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2016/17</w:t>
            </w:r>
          </w:p>
        </w:tc>
        <w:tc>
          <w:tcPr>
            <w:tcW w:w="1905" w:type="dxa"/>
          </w:tcPr>
          <w:p w14:paraId="1EAC5763" w14:textId="73A3EE95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1.20 (1.19–1.21)</w:t>
            </w:r>
          </w:p>
        </w:tc>
        <w:tc>
          <w:tcPr>
            <w:tcW w:w="1905" w:type="dxa"/>
          </w:tcPr>
          <w:p w14:paraId="54A129FC" w14:textId="1809F381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1.13 (1.11–1.15)</w:t>
            </w:r>
          </w:p>
        </w:tc>
        <w:tc>
          <w:tcPr>
            <w:tcW w:w="1861" w:type="dxa"/>
          </w:tcPr>
          <w:p w14:paraId="45D48B27" w14:textId="3BD311E6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1.52 (1.49–1.55)</w:t>
            </w:r>
          </w:p>
        </w:tc>
      </w:tr>
      <w:tr w:rsidR="00232FB8" w:rsidRPr="00B33038" w14:paraId="096F0610" w14:textId="77777777" w:rsidTr="00362611">
        <w:trPr>
          <w:trHeight w:val="300"/>
        </w:trPr>
        <w:tc>
          <w:tcPr>
            <w:tcW w:w="3345" w:type="dxa"/>
          </w:tcPr>
          <w:p w14:paraId="2AFD68D0" w14:textId="77777777" w:rsidR="00232FB8" w:rsidRPr="00B33038" w:rsidRDefault="00232FB8" w:rsidP="00232FB8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2017/18</w:t>
            </w:r>
          </w:p>
        </w:tc>
        <w:tc>
          <w:tcPr>
            <w:tcW w:w="1905" w:type="dxa"/>
          </w:tcPr>
          <w:p w14:paraId="56AAC742" w14:textId="4EC169EA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1.22 (1.21–1.23)</w:t>
            </w:r>
          </w:p>
        </w:tc>
        <w:tc>
          <w:tcPr>
            <w:tcW w:w="1905" w:type="dxa"/>
          </w:tcPr>
          <w:p w14:paraId="70AB04B1" w14:textId="12E7E485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1.17 (1.15–1.19)</w:t>
            </w:r>
          </w:p>
        </w:tc>
        <w:tc>
          <w:tcPr>
            <w:tcW w:w="1861" w:type="dxa"/>
          </w:tcPr>
          <w:p w14:paraId="6BDFF2B5" w14:textId="76D8ACD4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1.53 (1.49–1.56)</w:t>
            </w:r>
          </w:p>
        </w:tc>
      </w:tr>
      <w:tr w:rsidR="00232FB8" w:rsidRPr="00B33038" w14:paraId="734B7556" w14:textId="77777777" w:rsidTr="00362611">
        <w:trPr>
          <w:trHeight w:val="300"/>
        </w:trPr>
        <w:tc>
          <w:tcPr>
            <w:tcW w:w="3345" w:type="dxa"/>
          </w:tcPr>
          <w:p w14:paraId="0348547B" w14:textId="77777777" w:rsidR="00232FB8" w:rsidRPr="00B33038" w:rsidRDefault="00232FB8" w:rsidP="00232FB8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2018/19</w:t>
            </w:r>
          </w:p>
        </w:tc>
        <w:tc>
          <w:tcPr>
            <w:tcW w:w="1905" w:type="dxa"/>
          </w:tcPr>
          <w:p w14:paraId="08DD9CCC" w14:textId="43793EE5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1.15 (1.14–1.15)</w:t>
            </w:r>
          </w:p>
        </w:tc>
        <w:tc>
          <w:tcPr>
            <w:tcW w:w="1905" w:type="dxa"/>
          </w:tcPr>
          <w:p w14:paraId="38D4F4BC" w14:textId="37EC8FB6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0.92 (0.91–0.94)</w:t>
            </w:r>
          </w:p>
        </w:tc>
        <w:tc>
          <w:tcPr>
            <w:tcW w:w="1861" w:type="dxa"/>
          </w:tcPr>
          <w:p w14:paraId="5CBDAAB9" w14:textId="2CC7F183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1.56 (1.52–1.60)</w:t>
            </w:r>
          </w:p>
        </w:tc>
      </w:tr>
      <w:tr w:rsidR="00232FB8" w:rsidRPr="00B33038" w14:paraId="6074FEF1" w14:textId="77777777" w:rsidTr="00362611">
        <w:trPr>
          <w:trHeight w:val="300"/>
        </w:trPr>
        <w:tc>
          <w:tcPr>
            <w:tcW w:w="3345" w:type="dxa"/>
          </w:tcPr>
          <w:p w14:paraId="21147082" w14:textId="77777777" w:rsidR="00232FB8" w:rsidRPr="00B33038" w:rsidRDefault="00232FB8" w:rsidP="00232FB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Pneumococcal vaccine</w:t>
            </w:r>
          </w:p>
        </w:tc>
        <w:tc>
          <w:tcPr>
            <w:tcW w:w="1905" w:type="dxa"/>
          </w:tcPr>
          <w:p w14:paraId="282CFFE6" w14:textId="2E61BFA8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1.00 (0.99–1.01)</w:t>
            </w:r>
          </w:p>
        </w:tc>
        <w:tc>
          <w:tcPr>
            <w:tcW w:w="1905" w:type="dxa"/>
          </w:tcPr>
          <w:p w14:paraId="6161D7C5" w14:textId="3042FD1A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0.89 (0.87–0.91)</w:t>
            </w:r>
          </w:p>
        </w:tc>
        <w:tc>
          <w:tcPr>
            <w:tcW w:w="1861" w:type="dxa"/>
          </w:tcPr>
          <w:p w14:paraId="019F89C5" w14:textId="078FD9B7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1.02 (0.99–1.06)</w:t>
            </w:r>
          </w:p>
        </w:tc>
      </w:tr>
      <w:tr w:rsidR="00232FB8" w:rsidRPr="00B33038" w14:paraId="681C4B16" w14:textId="77777777" w:rsidTr="00362611">
        <w:trPr>
          <w:trHeight w:val="300"/>
        </w:trPr>
        <w:tc>
          <w:tcPr>
            <w:tcW w:w="3345" w:type="dxa"/>
          </w:tcPr>
          <w:p w14:paraId="03653C1F" w14:textId="77777777" w:rsidR="00232FB8" w:rsidRPr="00B33038" w:rsidRDefault="00232FB8" w:rsidP="00232FB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Patient-clinical staff Interaction count</w:t>
            </w:r>
          </w:p>
        </w:tc>
        <w:tc>
          <w:tcPr>
            <w:tcW w:w="1905" w:type="dxa"/>
          </w:tcPr>
          <w:p w14:paraId="5DC024A9" w14:textId="5915FA5A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1.02 (1.02–1.02)</w:t>
            </w:r>
          </w:p>
        </w:tc>
        <w:tc>
          <w:tcPr>
            <w:tcW w:w="1905" w:type="dxa"/>
          </w:tcPr>
          <w:p w14:paraId="2F4B5876" w14:textId="1291102C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1.03 (1.03–1.03)</w:t>
            </w:r>
          </w:p>
        </w:tc>
        <w:tc>
          <w:tcPr>
            <w:tcW w:w="1861" w:type="dxa"/>
          </w:tcPr>
          <w:p w14:paraId="788D8460" w14:textId="6B516B87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1.04 (1.04–1.04)</w:t>
            </w:r>
          </w:p>
        </w:tc>
      </w:tr>
      <w:tr w:rsidR="00232FB8" w:rsidRPr="00B33038" w14:paraId="19DD28BB" w14:textId="77777777" w:rsidTr="00362611">
        <w:trPr>
          <w:trHeight w:val="300"/>
        </w:trPr>
        <w:tc>
          <w:tcPr>
            <w:tcW w:w="3345" w:type="dxa"/>
          </w:tcPr>
          <w:p w14:paraId="207980B5" w14:textId="77777777" w:rsidR="00232FB8" w:rsidRPr="00B33038" w:rsidRDefault="00232FB8" w:rsidP="00232FB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Combined sum comorbidity score</w:t>
            </w:r>
          </w:p>
        </w:tc>
        <w:tc>
          <w:tcPr>
            <w:tcW w:w="1905" w:type="dxa"/>
          </w:tcPr>
          <w:p w14:paraId="704B60F0" w14:textId="2E63BED7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1.04 (1.04–1.04)</w:t>
            </w:r>
          </w:p>
        </w:tc>
        <w:tc>
          <w:tcPr>
            <w:tcW w:w="1905" w:type="dxa"/>
          </w:tcPr>
          <w:p w14:paraId="16D2D871" w14:textId="799BB3E4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1.03 (1.03–1.04)</w:t>
            </w:r>
          </w:p>
        </w:tc>
        <w:tc>
          <w:tcPr>
            <w:tcW w:w="1861" w:type="dxa"/>
          </w:tcPr>
          <w:p w14:paraId="31C62744" w14:textId="73083BF8" w:rsidR="00232FB8" w:rsidRPr="00B33038" w:rsidRDefault="00232FB8" w:rsidP="00232F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1.05 (1.05–1.06)</w:t>
            </w:r>
          </w:p>
        </w:tc>
      </w:tr>
      <w:tr w:rsidR="00D00E2F" w:rsidRPr="00B33038" w14:paraId="15A6C98F" w14:textId="77777777" w:rsidTr="00362611">
        <w:trPr>
          <w:trHeight w:val="300"/>
        </w:trPr>
        <w:tc>
          <w:tcPr>
            <w:tcW w:w="3345" w:type="dxa"/>
          </w:tcPr>
          <w:p w14:paraId="54705D48" w14:textId="77777777" w:rsidR="00D00E2F" w:rsidRPr="00B33038" w:rsidRDefault="00D00E2F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Out-of-season prescribing</w:t>
            </w:r>
          </w:p>
        </w:tc>
        <w:tc>
          <w:tcPr>
            <w:tcW w:w="1905" w:type="dxa"/>
          </w:tcPr>
          <w:p w14:paraId="75B77AB4" w14:textId="4862BDE8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1.01 (1.01–1.01)</w:t>
            </w:r>
          </w:p>
        </w:tc>
        <w:tc>
          <w:tcPr>
            <w:tcW w:w="1905" w:type="dxa"/>
          </w:tcPr>
          <w:p w14:paraId="1AEB4CA5" w14:textId="4D766430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1.01 (1.01–1.01)</w:t>
            </w:r>
          </w:p>
        </w:tc>
        <w:tc>
          <w:tcPr>
            <w:tcW w:w="1861" w:type="dxa"/>
          </w:tcPr>
          <w:p w14:paraId="4FE81628" w14:textId="4267E5D8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1.01 (1.00–1.01)</w:t>
            </w:r>
          </w:p>
        </w:tc>
      </w:tr>
      <w:tr w:rsidR="00D00E2F" w:rsidRPr="00B33038" w14:paraId="65817DF3" w14:textId="77777777" w:rsidTr="00362611">
        <w:trPr>
          <w:trHeight w:val="300"/>
        </w:trPr>
        <w:tc>
          <w:tcPr>
            <w:tcW w:w="3345" w:type="dxa"/>
          </w:tcPr>
          <w:p w14:paraId="3A8F424D" w14:textId="77777777" w:rsidR="00D00E2F" w:rsidRPr="00B33038" w:rsidRDefault="00D00E2F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Centred age*influenza vaccine</w:t>
            </w:r>
          </w:p>
        </w:tc>
        <w:tc>
          <w:tcPr>
            <w:tcW w:w="1905" w:type="dxa"/>
          </w:tcPr>
          <w:p w14:paraId="24EF452A" w14:textId="5E3B955B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1.00 (1.00–1.00)</w:t>
            </w:r>
          </w:p>
        </w:tc>
        <w:tc>
          <w:tcPr>
            <w:tcW w:w="1905" w:type="dxa"/>
          </w:tcPr>
          <w:p w14:paraId="0A3D10C9" w14:textId="0A664B0B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1.00 (1.00–1.01)</w:t>
            </w:r>
          </w:p>
        </w:tc>
        <w:tc>
          <w:tcPr>
            <w:tcW w:w="1861" w:type="dxa"/>
          </w:tcPr>
          <w:p w14:paraId="63B9AF28" w14:textId="37C1EE88" w:rsidR="00D00E2F" w:rsidRPr="00B33038" w:rsidRDefault="00D00E2F" w:rsidP="00D00E2F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1.00 (0.99–1.00)</w:t>
            </w:r>
          </w:p>
        </w:tc>
      </w:tr>
    </w:tbl>
    <w:p w14:paraId="12687F67" w14:textId="77777777" w:rsidR="002A2155" w:rsidRDefault="002A2155"/>
    <w:p w14:paraId="48C4C222" w14:textId="275BAA77" w:rsidR="0094138D" w:rsidRPr="00B33038" w:rsidRDefault="0094138D" w:rsidP="0094138D">
      <w:pPr>
        <w:pStyle w:val="Caption"/>
        <w:keepNext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B33038">
        <w:rPr>
          <w:rFonts w:ascii="Times New Roman" w:hAnsi="Times New Roman" w:cs="Times New Roman"/>
          <w:i w:val="0"/>
          <w:iCs w:val="0"/>
          <w:sz w:val="20"/>
          <w:szCs w:val="20"/>
        </w:rPr>
        <w:t>Table S2: Multivariable self-controlled case series conditional Poisson regression analysis for predictors of number of days prescribed antibiotics, excluding herpes zoster vaccine covariate (January–April time window).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345"/>
        <w:gridCol w:w="1905"/>
        <w:gridCol w:w="1905"/>
        <w:gridCol w:w="1861"/>
      </w:tblGrid>
      <w:tr w:rsidR="00F02866" w:rsidRPr="00B33038" w14:paraId="20C5C29D" w14:textId="77777777" w:rsidTr="00362611">
        <w:trPr>
          <w:trHeight w:val="300"/>
        </w:trPr>
        <w:tc>
          <w:tcPr>
            <w:tcW w:w="3345" w:type="dxa"/>
          </w:tcPr>
          <w:p w14:paraId="3B5FE084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905" w:type="dxa"/>
          </w:tcPr>
          <w:p w14:paraId="6834F833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Incidence Rate Ratio for all antibiotic prescriptions (95% CI)</w:t>
            </w:r>
          </w:p>
        </w:tc>
        <w:tc>
          <w:tcPr>
            <w:tcW w:w="1905" w:type="dxa"/>
          </w:tcPr>
          <w:p w14:paraId="5322AAF9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Incidence Rate Ratio for RTI-related antibiotic prescriptions (95% CI)</w:t>
            </w:r>
          </w:p>
        </w:tc>
        <w:tc>
          <w:tcPr>
            <w:tcW w:w="1861" w:type="dxa"/>
          </w:tcPr>
          <w:p w14:paraId="7405E241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Incidence Rate Ratio for UTI-related antibiotic prescriptions (95% CI)</w:t>
            </w:r>
          </w:p>
        </w:tc>
      </w:tr>
      <w:tr w:rsidR="00D00E2F" w:rsidRPr="00B33038" w14:paraId="370446F9" w14:textId="77777777" w:rsidTr="00362611">
        <w:trPr>
          <w:trHeight w:val="300"/>
        </w:trPr>
        <w:tc>
          <w:tcPr>
            <w:tcW w:w="3345" w:type="dxa"/>
          </w:tcPr>
          <w:p w14:paraId="5DC7C332" w14:textId="77777777" w:rsidR="00D00E2F" w:rsidRPr="00B33038" w:rsidRDefault="00D00E2F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Influenza vaccine</w:t>
            </w:r>
          </w:p>
        </w:tc>
        <w:tc>
          <w:tcPr>
            <w:tcW w:w="1905" w:type="dxa"/>
          </w:tcPr>
          <w:p w14:paraId="53983DEA" w14:textId="657615C1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1.01 (1.01–1.02)</w:t>
            </w:r>
          </w:p>
        </w:tc>
        <w:tc>
          <w:tcPr>
            <w:tcW w:w="1905" w:type="dxa"/>
          </w:tcPr>
          <w:p w14:paraId="128C114D" w14:textId="33E995BB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0.90 (0.88–0.93)</w:t>
            </w:r>
          </w:p>
        </w:tc>
        <w:tc>
          <w:tcPr>
            <w:tcW w:w="1861" w:type="dxa"/>
          </w:tcPr>
          <w:p w14:paraId="228081E7" w14:textId="66A7AA16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1.14 (1.10–1.18)</w:t>
            </w:r>
          </w:p>
        </w:tc>
      </w:tr>
      <w:tr w:rsidR="00F02866" w:rsidRPr="00B33038" w14:paraId="4EF8CDD2" w14:textId="77777777" w:rsidTr="00362611">
        <w:trPr>
          <w:trHeight w:val="300"/>
        </w:trPr>
        <w:tc>
          <w:tcPr>
            <w:tcW w:w="3345" w:type="dxa"/>
          </w:tcPr>
          <w:p w14:paraId="3A237FF2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Influenza season</w:t>
            </w:r>
          </w:p>
        </w:tc>
        <w:tc>
          <w:tcPr>
            <w:tcW w:w="1905" w:type="dxa"/>
          </w:tcPr>
          <w:p w14:paraId="7EF0374F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14:paraId="6086CE14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1" w:type="dxa"/>
          </w:tcPr>
          <w:p w14:paraId="2E9CC330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02866" w:rsidRPr="00B33038" w14:paraId="5E263B46" w14:textId="77777777" w:rsidTr="00362611">
        <w:trPr>
          <w:trHeight w:val="300"/>
        </w:trPr>
        <w:tc>
          <w:tcPr>
            <w:tcW w:w="3345" w:type="dxa"/>
          </w:tcPr>
          <w:p w14:paraId="39FCD2C5" w14:textId="77777777" w:rsidR="00F02866" w:rsidRPr="00B33038" w:rsidRDefault="00F02866" w:rsidP="00362611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2011/12</w:t>
            </w:r>
          </w:p>
        </w:tc>
        <w:tc>
          <w:tcPr>
            <w:tcW w:w="1905" w:type="dxa"/>
          </w:tcPr>
          <w:p w14:paraId="332EB578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05" w:type="dxa"/>
          </w:tcPr>
          <w:p w14:paraId="21F497A2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61" w:type="dxa"/>
          </w:tcPr>
          <w:p w14:paraId="3F69EFED" w14:textId="77777777" w:rsidR="00F02866" w:rsidRPr="00B33038" w:rsidRDefault="00F02866" w:rsidP="003626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D00E2F" w:rsidRPr="00B33038" w14:paraId="3B2DFE2C" w14:textId="77777777" w:rsidTr="00362611">
        <w:trPr>
          <w:trHeight w:val="300"/>
        </w:trPr>
        <w:tc>
          <w:tcPr>
            <w:tcW w:w="3345" w:type="dxa"/>
          </w:tcPr>
          <w:p w14:paraId="7BBCE702" w14:textId="77777777" w:rsidR="00D00E2F" w:rsidRPr="00B33038" w:rsidRDefault="00D00E2F" w:rsidP="00D00E2F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2012/13</w:t>
            </w:r>
          </w:p>
        </w:tc>
        <w:tc>
          <w:tcPr>
            <w:tcW w:w="1905" w:type="dxa"/>
          </w:tcPr>
          <w:p w14:paraId="18F73E3A" w14:textId="77C6B034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1.02 (1.02–1.02)</w:t>
            </w:r>
          </w:p>
        </w:tc>
        <w:tc>
          <w:tcPr>
            <w:tcW w:w="1905" w:type="dxa"/>
          </w:tcPr>
          <w:p w14:paraId="601AEC58" w14:textId="1137CA56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1.07 (1.05–1.08)</w:t>
            </w:r>
          </w:p>
        </w:tc>
        <w:tc>
          <w:tcPr>
            <w:tcW w:w="1861" w:type="dxa"/>
          </w:tcPr>
          <w:p w14:paraId="03E9CB6E" w14:textId="2B009882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1.04 (1.01–1.07)</w:t>
            </w:r>
          </w:p>
        </w:tc>
      </w:tr>
      <w:tr w:rsidR="00D00E2F" w:rsidRPr="00B33038" w14:paraId="34453EF0" w14:textId="77777777" w:rsidTr="00362611">
        <w:trPr>
          <w:trHeight w:val="300"/>
        </w:trPr>
        <w:tc>
          <w:tcPr>
            <w:tcW w:w="3345" w:type="dxa"/>
          </w:tcPr>
          <w:p w14:paraId="6E7CB533" w14:textId="77777777" w:rsidR="00D00E2F" w:rsidRPr="00B33038" w:rsidRDefault="00D00E2F" w:rsidP="00D00E2F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2013/14</w:t>
            </w:r>
          </w:p>
        </w:tc>
        <w:tc>
          <w:tcPr>
            <w:tcW w:w="1905" w:type="dxa"/>
          </w:tcPr>
          <w:p w14:paraId="41404FDA" w14:textId="68383E86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1.06 (1.06–1.06)</w:t>
            </w:r>
          </w:p>
        </w:tc>
        <w:tc>
          <w:tcPr>
            <w:tcW w:w="1905" w:type="dxa"/>
          </w:tcPr>
          <w:p w14:paraId="5B442E71" w14:textId="759C0103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0.93 (0.91–0.95)</w:t>
            </w:r>
          </w:p>
        </w:tc>
        <w:tc>
          <w:tcPr>
            <w:tcW w:w="1861" w:type="dxa"/>
          </w:tcPr>
          <w:p w14:paraId="61B6937E" w14:textId="2E809EDD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1.01 (0.98–1.04)</w:t>
            </w:r>
          </w:p>
        </w:tc>
      </w:tr>
      <w:tr w:rsidR="00D00E2F" w:rsidRPr="00B33038" w14:paraId="517D16FC" w14:textId="77777777" w:rsidTr="00362611">
        <w:trPr>
          <w:trHeight w:val="300"/>
        </w:trPr>
        <w:tc>
          <w:tcPr>
            <w:tcW w:w="3345" w:type="dxa"/>
          </w:tcPr>
          <w:p w14:paraId="5F8C41D2" w14:textId="77777777" w:rsidR="00D00E2F" w:rsidRPr="00B33038" w:rsidRDefault="00D00E2F" w:rsidP="00D00E2F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2014/15</w:t>
            </w:r>
          </w:p>
        </w:tc>
        <w:tc>
          <w:tcPr>
            <w:tcW w:w="1905" w:type="dxa"/>
          </w:tcPr>
          <w:p w14:paraId="22C5FDD1" w14:textId="48550E96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1.11 (1.11–1.12)</w:t>
            </w:r>
          </w:p>
        </w:tc>
        <w:tc>
          <w:tcPr>
            <w:tcW w:w="1905" w:type="dxa"/>
          </w:tcPr>
          <w:p w14:paraId="20A6FD51" w14:textId="3B23ABF8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1.09 (1.07–1.11)</w:t>
            </w:r>
          </w:p>
        </w:tc>
        <w:tc>
          <w:tcPr>
            <w:tcW w:w="1861" w:type="dxa"/>
          </w:tcPr>
          <w:p w14:paraId="4150BD5B" w14:textId="40AF6347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1.16 (1.12–1.19)</w:t>
            </w:r>
          </w:p>
        </w:tc>
      </w:tr>
      <w:tr w:rsidR="00D00E2F" w:rsidRPr="00B33038" w14:paraId="16E2F08E" w14:textId="77777777" w:rsidTr="00362611">
        <w:trPr>
          <w:trHeight w:val="300"/>
        </w:trPr>
        <w:tc>
          <w:tcPr>
            <w:tcW w:w="3345" w:type="dxa"/>
          </w:tcPr>
          <w:p w14:paraId="46E7B3F6" w14:textId="77777777" w:rsidR="00D00E2F" w:rsidRPr="00B33038" w:rsidRDefault="00D00E2F" w:rsidP="00D00E2F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2015/16</w:t>
            </w:r>
          </w:p>
        </w:tc>
        <w:tc>
          <w:tcPr>
            <w:tcW w:w="1905" w:type="dxa"/>
          </w:tcPr>
          <w:p w14:paraId="41EFCC38" w14:textId="6AE9D220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1.19 (1.18–1.19)</w:t>
            </w:r>
          </w:p>
        </w:tc>
        <w:tc>
          <w:tcPr>
            <w:tcW w:w="1905" w:type="dxa"/>
          </w:tcPr>
          <w:p w14:paraId="277A50BE" w14:textId="5331A586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1.07 (1.05–1.09)</w:t>
            </w:r>
          </w:p>
        </w:tc>
        <w:tc>
          <w:tcPr>
            <w:tcW w:w="1861" w:type="dxa"/>
          </w:tcPr>
          <w:p w14:paraId="1A785F0B" w14:textId="6FFCC30B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1.37 (1.33–1.41)</w:t>
            </w:r>
          </w:p>
        </w:tc>
      </w:tr>
      <w:tr w:rsidR="00D00E2F" w:rsidRPr="00B33038" w14:paraId="0596F7F4" w14:textId="77777777" w:rsidTr="00362611">
        <w:trPr>
          <w:trHeight w:val="300"/>
        </w:trPr>
        <w:tc>
          <w:tcPr>
            <w:tcW w:w="3345" w:type="dxa"/>
          </w:tcPr>
          <w:p w14:paraId="1B333CF9" w14:textId="77777777" w:rsidR="00D00E2F" w:rsidRPr="00B33038" w:rsidRDefault="00D00E2F" w:rsidP="00D00E2F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2016/17</w:t>
            </w:r>
          </w:p>
        </w:tc>
        <w:tc>
          <w:tcPr>
            <w:tcW w:w="1905" w:type="dxa"/>
          </w:tcPr>
          <w:p w14:paraId="17B6D794" w14:textId="7CF3E71B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1.20 (1.20–1.21)</w:t>
            </w:r>
          </w:p>
        </w:tc>
        <w:tc>
          <w:tcPr>
            <w:tcW w:w="1905" w:type="dxa"/>
          </w:tcPr>
          <w:p w14:paraId="5C79084E" w14:textId="7B37E0AF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1.12 (1.10–1.14)</w:t>
            </w:r>
          </w:p>
        </w:tc>
        <w:tc>
          <w:tcPr>
            <w:tcW w:w="1861" w:type="dxa"/>
          </w:tcPr>
          <w:p w14:paraId="2A407360" w14:textId="66FD3D0B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1.53 (1.48–1.57)</w:t>
            </w:r>
          </w:p>
        </w:tc>
      </w:tr>
      <w:tr w:rsidR="00D00E2F" w:rsidRPr="00B33038" w14:paraId="0792A0FC" w14:textId="77777777" w:rsidTr="00362611">
        <w:trPr>
          <w:trHeight w:val="300"/>
        </w:trPr>
        <w:tc>
          <w:tcPr>
            <w:tcW w:w="3345" w:type="dxa"/>
          </w:tcPr>
          <w:p w14:paraId="0BB30976" w14:textId="77777777" w:rsidR="00D00E2F" w:rsidRPr="00B33038" w:rsidRDefault="00D00E2F" w:rsidP="00D00E2F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2017/18</w:t>
            </w:r>
          </w:p>
        </w:tc>
        <w:tc>
          <w:tcPr>
            <w:tcW w:w="1905" w:type="dxa"/>
          </w:tcPr>
          <w:p w14:paraId="6E7EA1B9" w14:textId="5A00F895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1.22 (1.21–1.23)</w:t>
            </w:r>
          </w:p>
        </w:tc>
        <w:tc>
          <w:tcPr>
            <w:tcW w:w="1905" w:type="dxa"/>
          </w:tcPr>
          <w:p w14:paraId="0B0F1658" w14:textId="1BAFB3AE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1.20 (1.17–1.22)</w:t>
            </w:r>
          </w:p>
        </w:tc>
        <w:tc>
          <w:tcPr>
            <w:tcW w:w="1861" w:type="dxa"/>
          </w:tcPr>
          <w:p w14:paraId="5CD8E33E" w14:textId="3B9620C8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1.55 (1.50–1.60)</w:t>
            </w:r>
          </w:p>
        </w:tc>
      </w:tr>
      <w:tr w:rsidR="00D00E2F" w:rsidRPr="00B33038" w14:paraId="7659B015" w14:textId="77777777" w:rsidTr="00362611">
        <w:trPr>
          <w:trHeight w:val="300"/>
        </w:trPr>
        <w:tc>
          <w:tcPr>
            <w:tcW w:w="3345" w:type="dxa"/>
          </w:tcPr>
          <w:p w14:paraId="1F36A6C3" w14:textId="77777777" w:rsidR="00D00E2F" w:rsidRPr="00B33038" w:rsidRDefault="00D00E2F" w:rsidP="00D00E2F">
            <w:pPr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2018/19</w:t>
            </w:r>
          </w:p>
        </w:tc>
        <w:tc>
          <w:tcPr>
            <w:tcW w:w="1905" w:type="dxa"/>
          </w:tcPr>
          <w:p w14:paraId="0EA837B2" w14:textId="7CFCC155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1.18 (1.17–1.18)</w:t>
            </w:r>
          </w:p>
        </w:tc>
        <w:tc>
          <w:tcPr>
            <w:tcW w:w="1905" w:type="dxa"/>
          </w:tcPr>
          <w:p w14:paraId="666D6B9F" w14:textId="0142CB23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0.90 (0.88–0.93)</w:t>
            </w:r>
          </w:p>
        </w:tc>
        <w:tc>
          <w:tcPr>
            <w:tcW w:w="1861" w:type="dxa"/>
          </w:tcPr>
          <w:p w14:paraId="0EC6A94D" w14:textId="5B62A728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1.57 (1.52–1.62)</w:t>
            </w:r>
          </w:p>
        </w:tc>
      </w:tr>
      <w:tr w:rsidR="00D00E2F" w:rsidRPr="00B33038" w14:paraId="04635C20" w14:textId="77777777" w:rsidTr="00362611">
        <w:trPr>
          <w:trHeight w:val="300"/>
        </w:trPr>
        <w:tc>
          <w:tcPr>
            <w:tcW w:w="3345" w:type="dxa"/>
          </w:tcPr>
          <w:p w14:paraId="1910F197" w14:textId="77777777" w:rsidR="00D00E2F" w:rsidRPr="00B33038" w:rsidRDefault="00D00E2F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Pneumococcal vaccine</w:t>
            </w:r>
          </w:p>
        </w:tc>
        <w:tc>
          <w:tcPr>
            <w:tcW w:w="1905" w:type="dxa"/>
          </w:tcPr>
          <w:p w14:paraId="3A10EDD8" w14:textId="589C00A5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0.99 (0.98–1.00)</w:t>
            </w:r>
          </w:p>
        </w:tc>
        <w:tc>
          <w:tcPr>
            <w:tcW w:w="1905" w:type="dxa"/>
          </w:tcPr>
          <w:p w14:paraId="368155F4" w14:textId="4E693FED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0.82 (0.80–0.85)</w:t>
            </w:r>
          </w:p>
        </w:tc>
        <w:tc>
          <w:tcPr>
            <w:tcW w:w="1861" w:type="dxa"/>
          </w:tcPr>
          <w:p w14:paraId="1ACB4D5B" w14:textId="6E710BF6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1.00 (0.96–1.05)</w:t>
            </w:r>
          </w:p>
        </w:tc>
      </w:tr>
      <w:tr w:rsidR="00D00E2F" w:rsidRPr="00B33038" w14:paraId="253864E2" w14:textId="77777777" w:rsidTr="00362611">
        <w:trPr>
          <w:trHeight w:val="300"/>
        </w:trPr>
        <w:tc>
          <w:tcPr>
            <w:tcW w:w="3345" w:type="dxa"/>
          </w:tcPr>
          <w:p w14:paraId="72D1F6B6" w14:textId="77777777" w:rsidR="00D00E2F" w:rsidRPr="00B33038" w:rsidRDefault="00D00E2F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Patient-clinical staff Interaction count</w:t>
            </w:r>
          </w:p>
        </w:tc>
        <w:tc>
          <w:tcPr>
            <w:tcW w:w="1905" w:type="dxa"/>
          </w:tcPr>
          <w:p w14:paraId="7BF2A211" w14:textId="27C64F0E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1.02 (1.02–1.02)</w:t>
            </w:r>
          </w:p>
        </w:tc>
        <w:tc>
          <w:tcPr>
            <w:tcW w:w="1905" w:type="dxa"/>
          </w:tcPr>
          <w:p w14:paraId="2640736B" w14:textId="3B6BE874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1.03 (1.03–1.03)</w:t>
            </w:r>
          </w:p>
        </w:tc>
        <w:tc>
          <w:tcPr>
            <w:tcW w:w="1861" w:type="dxa"/>
          </w:tcPr>
          <w:p w14:paraId="1198927C" w14:textId="586A6E76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1.04 (1.04–1.04)</w:t>
            </w:r>
          </w:p>
        </w:tc>
      </w:tr>
      <w:tr w:rsidR="00D00E2F" w:rsidRPr="00B33038" w14:paraId="72999EEA" w14:textId="77777777" w:rsidTr="00362611">
        <w:trPr>
          <w:trHeight w:val="300"/>
        </w:trPr>
        <w:tc>
          <w:tcPr>
            <w:tcW w:w="3345" w:type="dxa"/>
          </w:tcPr>
          <w:p w14:paraId="7F82F0AA" w14:textId="77777777" w:rsidR="00D00E2F" w:rsidRPr="00B33038" w:rsidRDefault="00D00E2F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Combined sum comorbidity score</w:t>
            </w:r>
          </w:p>
        </w:tc>
        <w:tc>
          <w:tcPr>
            <w:tcW w:w="1905" w:type="dxa"/>
          </w:tcPr>
          <w:p w14:paraId="5D579D4C" w14:textId="2EAEA35C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1.04 (1.03–1.04)</w:t>
            </w:r>
          </w:p>
        </w:tc>
        <w:tc>
          <w:tcPr>
            <w:tcW w:w="1905" w:type="dxa"/>
          </w:tcPr>
          <w:p w14:paraId="053A4A0D" w14:textId="17EA0ADB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1.03 (1.02–1.03)</w:t>
            </w:r>
          </w:p>
        </w:tc>
        <w:tc>
          <w:tcPr>
            <w:tcW w:w="1861" w:type="dxa"/>
          </w:tcPr>
          <w:p w14:paraId="2837753E" w14:textId="4228D990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1.05 (1.04–1.06)</w:t>
            </w:r>
          </w:p>
        </w:tc>
      </w:tr>
      <w:tr w:rsidR="00D00E2F" w:rsidRPr="00B33038" w14:paraId="7AE5DE25" w14:textId="77777777" w:rsidTr="00362611">
        <w:trPr>
          <w:trHeight w:val="300"/>
        </w:trPr>
        <w:tc>
          <w:tcPr>
            <w:tcW w:w="3345" w:type="dxa"/>
          </w:tcPr>
          <w:p w14:paraId="0A727D95" w14:textId="77777777" w:rsidR="00D00E2F" w:rsidRPr="00B33038" w:rsidRDefault="00D00E2F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Out-of-season prescribing</w:t>
            </w:r>
          </w:p>
        </w:tc>
        <w:tc>
          <w:tcPr>
            <w:tcW w:w="1905" w:type="dxa"/>
          </w:tcPr>
          <w:p w14:paraId="6548794B" w14:textId="6411BE9B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1.01 (1.01–1.01)</w:t>
            </w:r>
          </w:p>
        </w:tc>
        <w:tc>
          <w:tcPr>
            <w:tcW w:w="1905" w:type="dxa"/>
          </w:tcPr>
          <w:p w14:paraId="28622CFB" w14:textId="4222D567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1.01 (1.01–1.01)</w:t>
            </w:r>
          </w:p>
        </w:tc>
        <w:tc>
          <w:tcPr>
            <w:tcW w:w="1861" w:type="dxa"/>
          </w:tcPr>
          <w:p w14:paraId="596460E4" w14:textId="38CD20A1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1.00 (1.00–1.00)</w:t>
            </w:r>
          </w:p>
        </w:tc>
      </w:tr>
      <w:tr w:rsidR="00D00E2F" w:rsidRPr="00B33038" w14:paraId="37E3CEA8" w14:textId="77777777" w:rsidTr="00362611">
        <w:trPr>
          <w:trHeight w:val="300"/>
        </w:trPr>
        <w:tc>
          <w:tcPr>
            <w:tcW w:w="3345" w:type="dxa"/>
          </w:tcPr>
          <w:p w14:paraId="5F88310B" w14:textId="77777777" w:rsidR="00D00E2F" w:rsidRPr="00B33038" w:rsidRDefault="00D00E2F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Centred age*influenza vaccine</w:t>
            </w:r>
          </w:p>
        </w:tc>
        <w:tc>
          <w:tcPr>
            <w:tcW w:w="1905" w:type="dxa"/>
          </w:tcPr>
          <w:p w14:paraId="06CE59BA" w14:textId="7C6E42FB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1.00 (1.00–1.00)</w:t>
            </w:r>
          </w:p>
        </w:tc>
        <w:tc>
          <w:tcPr>
            <w:tcW w:w="1905" w:type="dxa"/>
          </w:tcPr>
          <w:p w14:paraId="3554E92C" w14:textId="56BF66A5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1.01 (1.01–1.01)</w:t>
            </w:r>
          </w:p>
        </w:tc>
        <w:tc>
          <w:tcPr>
            <w:tcW w:w="1861" w:type="dxa"/>
          </w:tcPr>
          <w:p w14:paraId="15820418" w14:textId="120CD240" w:rsidR="00D00E2F" w:rsidRPr="00B33038" w:rsidRDefault="00D00E2F" w:rsidP="00D00E2F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0.99 (0.99–1.00)</w:t>
            </w:r>
          </w:p>
        </w:tc>
      </w:tr>
    </w:tbl>
    <w:p w14:paraId="4F20A0BC" w14:textId="77777777" w:rsidR="0094138D" w:rsidRDefault="000D6971" w:rsidP="0094138D">
      <w:pPr>
        <w:keepNext/>
      </w:pPr>
      <w:r>
        <w:rPr>
          <w:noProof/>
        </w:rPr>
        <w:lastRenderedPageBreak/>
        <w:drawing>
          <wp:inline distT="0" distB="0" distL="0" distR="0" wp14:anchorId="19F88348" wp14:editId="56A29B4F">
            <wp:extent cx="5731510" cy="4776470"/>
            <wp:effectExtent l="0" t="0" r="2540" b="5080"/>
            <wp:docPr id="1727250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50043" name="Picture 172725004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8DAD4" w14:textId="5EA40E6E" w:rsidR="00AB4869" w:rsidRDefault="0094138D" w:rsidP="0094138D">
      <w:pPr>
        <w:pStyle w:val="Caption"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  <w:r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Figure S2: Incidence Rate Ratio (IRR) for the effect of influenza vaccination on antibiotic prescribing days by prescribing type (All, RTI-related, and UTI-related) across different seasonal timeframes: main analysis (with herpes zoster vaccine covariate) versus sensitivity analysis (without herpes-zoster vaccine covariate). Points show IRR estimates; error bars indicate</w:t>
      </w:r>
      <w:r w:rsidR="003046E6"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 xml:space="preserve"> Wald</w:t>
      </w:r>
      <w:r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 xml:space="preserve"> 95% confidence intervals.</w:t>
      </w:r>
    </w:p>
    <w:p w14:paraId="56CA7A2F" w14:textId="77777777" w:rsidR="00AB4869" w:rsidRDefault="00AB4869">
      <w:pPr>
        <w:spacing w:line="278" w:lineRule="auto"/>
        <w:rPr>
          <w:rFonts w:ascii="Times New Roman" w:hAnsi="Times New Roman" w:cs="Times New Roman"/>
          <w:b/>
          <w:bCs/>
          <w:color w:val="0E2841" w:themeColor="text2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br w:type="page"/>
      </w:r>
    </w:p>
    <w:p w14:paraId="51DFEC57" w14:textId="6A01B20F" w:rsidR="0094138D" w:rsidRPr="00B33038" w:rsidRDefault="00AB4869" w:rsidP="00B33038">
      <w:pPr>
        <w:pStyle w:val="Heading2"/>
      </w:pPr>
      <w:bookmarkStart w:id="2" w:name="_Toc223710753"/>
      <w:r>
        <w:lastRenderedPageBreak/>
        <w:t>Unadjusted</w:t>
      </w:r>
      <w:r w:rsidR="00B33038">
        <w:t xml:space="preserve"> analysis</w:t>
      </w:r>
      <w:r>
        <w:t>:</w:t>
      </w:r>
      <w:r w:rsidR="00B33038">
        <w:t xml:space="preserve"> including only influenza vaccination as an exposure</w:t>
      </w:r>
      <w:bookmarkEnd w:id="2"/>
    </w:p>
    <w:p w14:paraId="65305BA5" w14:textId="325F6247" w:rsidR="00243BCB" w:rsidRPr="00B33038" w:rsidRDefault="00243BCB" w:rsidP="00243BCB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  <w:r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Table S3: Univariable self-controlled case series conditional Poisson regression analysis estimating the association between seasonal influenza vaccination and number of days prescribed antibiotics (unadjusted models).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345"/>
        <w:gridCol w:w="1905"/>
        <w:gridCol w:w="1905"/>
        <w:gridCol w:w="1861"/>
      </w:tblGrid>
      <w:tr w:rsidR="00F02866" w:rsidRPr="00B33038" w14:paraId="44CC04D8" w14:textId="77777777" w:rsidTr="00362611">
        <w:trPr>
          <w:trHeight w:val="300"/>
        </w:trPr>
        <w:tc>
          <w:tcPr>
            <w:tcW w:w="3345" w:type="dxa"/>
          </w:tcPr>
          <w:p w14:paraId="456E0C3D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905" w:type="dxa"/>
          </w:tcPr>
          <w:p w14:paraId="29D84AF1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Incidence Rate Ratio for all antibiotic prescriptions (95% CI)</w:t>
            </w:r>
          </w:p>
        </w:tc>
        <w:tc>
          <w:tcPr>
            <w:tcW w:w="1905" w:type="dxa"/>
          </w:tcPr>
          <w:p w14:paraId="69BFBDAA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Incidence Rate Ratio for RTI-related antibiotic prescriptions (95% CI)</w:t>
            </w:r>
          </w:p>
        </w:tc>
        <w:tc>
          <w:tcPr>
            <w:tcW w:w="1861" w:type="dxa"/>
          </w:tcPr>
          <w:p w14:paraId="7BDC12D9" w14:textId="77777777" w:rsidR="00F02866" w:rsidRPr="00B33038" w:rsidRDefault="00F02866" w:rsidP="0036261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Incidence Rate Ratio for UTI-related antibiotic prescriptions (95% CI)</w:t>
            </w:r>
          </w:p>
        </w:tc>
      </w:tr>
      <w:tr w:rsidR="00D00E2F" w:rsidRPr="00B33038" w14:paraId="7ABBC86D" w14:textId="77777777" w:rsidTr="00362611">
        <w:trPr>
          <w:trHeight w:val="300"/>
        </w:trPr>
        <w:tc>
          <w:tcPr>
            <w:tcW w:w="3345" w:type="dxa"/>
          </w:tcPr>
          <w:p w14:paraId="61E2AF9A" w14:textId="25559976" w:rsidR="000D6971" w:rsidRPr="00B33038" w:rsidRDefault="000D6971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September-April</w:t>
            </w:r>
          </w:p>
        </w:tc>
        <w:tc>
          <w:tcPr>
            <w:tcW w:w="1905" w:type="dxa"/>
          </w:tcPr>
          <w:p w14:paraId="50779EAE" w14:textId="3B7E6716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1.08 (1.08–1.09)</w:t>
            </w:r>
          </w:p>
        </w:tc>
        <w:tc>
          <w:tcPr>
            <w:tcW w:w="1905" w:type="dxa"/>
          </w:tcPr>
          <w:p w14:paraId="180F5D18" w14:textId="36E90C04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1.07 (1.06–1.08)</w:t>
            </w:r>
          </w:p>
        </w:tc>
        <w:tc>
          <w:tcPr>
            <w:tcW w:w="1861" w:type="dxa"/>
          </w:tcPr>
          <w:p w14:paraId="20731A11" w14:textId="0DA6B921" w:rsidR="00D00E2F" w:rsidRPr="00B33038" w:rsidRDefault="00D00E2F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1.11 (1.10–1.12)</w:t>
            </w:r>
          </w:p>
        </w:tc>
      </w:tr>
      <w:tr w:rsidR="000D6971" w:rsidRPr="00B33038" w14:paraId="548B420B" w14:textId="77777777" w:rsidTr="00362611">
        <w:trPr>
          <w:trHeight w:val="300"/>
        </w:trPr>
        <w:tc>
          <w:tcPr>
            <w:tcW w:w="3345" w:type="dxa"/>
          </w:tcPr>
          <w:p w14:paraId="6B3CB058" w14:textId="5FF27174" w:rsidR="000D6971" w:rsidRPr="00B33038" w:rsidRDefault="000D6971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October-April</w:t>
            </w:r>
          </w:p>
        </w:tc>
        <w:tc>
          <w:tcPr>
            <w:tcW w:w="1905" w:type="dxa"/>
          </w:tcPr>
          <w:p w14:paraId="124604AD" w14:textId="4D30E69A" w:rsidR="000D6971" w:rsidRPr="00B33038" w:rsidRDefault="000D6971" w:rsidP="000D6971">
            <w:pPr>
              <w:tabs>
                <w:tab w:val="left" w:pos="1373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1.08 (1.08–1.08)</w:t>
            </w:r>
          </w:p>
        </w:tc>
        <w:tc>
          <w:tcPr>
            <w:tcW w:w="1905" w:type="dxa"/>
          </w:tcPr>
          <w:p w14:paraId="232E191F" w14:textId="6FF9C052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1.07 (1.06–1.08)</w:t>
            </w:r>
          </w:p>
        </w:tc>
        <w:tc>
          <w:tcPr>
            <w:tcW w:w="1861" w:type="dxa"/>
          </w:tcPr>
          <w:p w14:paraId="3A867D8C" w14:textId="4C236497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1.10 (1.09–1.12)</w:t>
            </w:r>
          </w:p>
        </w:tc>
      </w:tr>
      <w:tr w:rsidR="000D6971" w:rsidRPr="00B33038" w14:paraId="058FD0CF" w14:textId="77777777" w:rsidTr="00362611">
        <w:trPr>
          <w:trHeight w:val="300"/>
        </w:trPr>
        <w:tc>
          <w:tcPr>
            <w:tcW w:w="3345" w:type="dxa"/>
          </w:tcPr>
          <w:p w14:paraId="1BAF1A30" w14:textId="30C8133B" w:rsidR="000D6971" w:rsidRPr="00B33038" w:rsidRDefault="000D6971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November-April</w:t>
            </w:r>
          </w:p>
        </w:tc>
        <w:tc>
          <w:tcPr>
            <w:tcW w:w="1905" w:type="dxa"/>
          </w:tcPr>
          <w:p w14:paraId="278C57E4" w14:textId="3E0F75A8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1.07 (1.07–1.08)</w:t>
            </w:r>
          </w:p>
        </w:tc>
        <w:tc>
          <w:tcPr>
            <w:tcW w:w="1905" w:type="dxa"/>
          </w:tcPr>
          <w:p w14:paraId="4E147EFF" w14:textId="789BDD56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1.07 (1.06–1.08)</w:t>
            </w:r>
          </w:p>
        </w:tc>
        <w:tc>
          <w:tcPr>
            <w:tcW w:w="1861" w:type="dxa"/>
          </w:tcPr>
          <w:p w14:paraId="0358ED2F" w14:textId="195F6C5A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1.10 (1.08–1.11)</w:t>
            </w:r>
          </w:p>
        </w:tc>
      </w:tr>
      <w:tr w:rsidR="000D6971" w:rsidRPr="00B33038" w14:paraId="68C2AC68" w14:textId="77777777" w:rsidTr="00362611">
        <w:trPr>
          <w:trHeight w:val="300"/>
        </w:trPr>
        <w:tc>
          <w:tcPr>
            <w:tcW w:w="3345" w:type="dxa"/>
          </w:tcPr>
          <w:p w14:paraId="6EFAF300" w14:textId="3002FC52" w:rsidR="000D6971" w:rsidRPr="00B33038" w:rsidRDefault="000D6971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December-April</w:t>
            </w:r>
          </w:p>
        </w:tc>
        <w:tc>
          <w:tcPr>
            <w:tcW w:w="1905" w:type="dxa"/>
          </w:tcPr>
          <w:p w14:paraId="2C49270F" w14:textId="5A059FAF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1.06 (1.05–1.06)</w:t>
            </w:r>
          </w:p>
        </w:tc>
        <w:tc>
          <w:tcPr>
            <w:tcW w:w="1905" w:type="dxa"/>
          </w:tcPr>
          <w:p w14:paraId="0D6C3F32" w14:textId="759A1105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1.06 (1.05–1.07)</w:t>
            </w:r>
          </w:p>
        </w:tc>
        <w:tc>
          <w:tcPr>
            <w:tcW w:w="1861" w:type="dxa"/>
          </w:tcPr>
          <w:p w14:paraId="0CC1255A" w14:textId="64AE7E2C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1.10 (1.08–1.11)</w:t>
            </w:r>
          </w:p>
        </w:tc>
      </w:tr>
      <w:tr w:rsidR="000D6971" w:rsidRPr="00B33038" w14:paraId="77AA8DCC" w14:textId="77777777" w:rsidTr="00362611">
        <w:trPr>
          <w:trHeight w:val="300"/>
        </w:trPr>
        <w:tc>
          <w:tcPr>
            <w:tcW w:w="3345" w:type="dxa"/>
          </w:tcPr>
          <w:p w14:paraId="6BBABA2B" w14:textId="68F1244C" w:rsidR="000D6971" w:rsidRPr="00B33038" w:rsidRDefault="000D6971" w:rsidP="00D00E2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January-April</w:t>
            </w:r>
          </w:p>
        </w:tc>
        <w:tc>
          <w:tcPr>
            <w:tcW w:w="1905" w:type="dxa"/>
          </w:tcPr>
          <w:p w14:paraId="7584E8EC" w14:textId="411B5031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1.07 (1.06–1.07)</w:t>
            </w:r>
          </w:p>
        </w:tc>
        <w:tc>
          <w:tcPr>
            <w:tcW w:w="1905" w:type="dxa"/>
          </w:tcPr>
          <w:p w14:paraId="06E895C2" w14:textId="474D75C0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1.03 (1.02–1.07)</w:t>
            </w:r>
          </w:p>
        </w:tc>
        <w:tc>
          <w:tcPr>
            <w:tcW w:w="1861" w:type="dxa"/>
          </w:tcPr>
          <w:p w14:paraId="23C5D5DF" w14:textId="7266ECBA" w:rsidR="000D6971" w:rsidRPr="00B33038" w:rsidRDefault="000D6971" w:rsidP="00D00E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038">
              <w:rPr>
                <w:rFonts w:ascii="Times New Roman" w:hAnsi="Times New Roman" w:cs="Times New Roman"/>
                <w:sz w:val="16"/>
                <w:szCs w:val="16"/>
              </w:rPr>
              <w:t>1.08 (1.06–1.10)</w:t>
            </w:r>
          </w:p>
        </w:tc>
      </w:tr>
    </w:tbl>
    <w:p w14:paraId="33B614A0" w14:textId="77777777" w:rsidR="00F02866" w:rsidRDefault="00F02866"/>
    <w:p w14:paraId="4B3BD883" w14:textId="77777777" w:rsidR="0094138D" w:rsidRDefault="000D6971" w:rsidP="0094138D">
      <w:pPr>
        <w:keepNext/>
      </w:pPr>
      <w:r>
        <w:rPr>
          <w:noProof/>
        </w:rPr>
        <w:drawing>
          <wp:inline distT="0" distB="0" distL="0" distR="0" wp14:anchorId="549D6824" wp14:editId="587D368D">
            <wp:extent cx="5731510" cy="4776470"/>
            <wp:effectExtent l="0" t="0" r="2540" b="5080"/>
            <wp:docPr id="5979345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934515" name="Picture 5979345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C2036" w14:textId="65E4FE16" w:rsidR="0094138D" w:rsidRPr="00B33038" w:rsidRDefault="0094138D" w:rsidP="003046E6">
      <w:pPr>
        <w:pStyle w:val="Caption"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  <w:r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 xml:space="preserve">Figure S3: Incidence Rate Ratio (IRR) for the effect of influenza vaccination on antibiotic prescribing days by prescribing type (All, RTI-related, and UTI-related) across different seasonal timeframes: fully adjusted main analysis versus unadjusted model (influenza vaccine indicator only). Points show IRR estimates; error bars indicate </w:t>
      </w:r>
      <w:r w:rsidR="003046E6"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 xml:space="preserve">Wald </w:t>
      </w:r>
      <w:r w:rsidRPr="00B33038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95% confidence intervals.</w:t>
      </w:r>
    </w:p>
    <w:sectPr w:rsidR="0094138D" w:rsidRPr="00B33038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9508A" w14:textId="77777777" w:rsidR="00EB68AF" w:rsidRDefault="00EB68AF" w:rsidP="00B33038">
      <w:pPr>
        <w:spacing w:after="0" w:line="240" w:lineRule="auto"/>
      </w:pPr>
      <w:r>
        <w:separator/>
      </w:r>
    </w:p>
  </w:endnote>
  <w:endnote w:type="continuationSeparator" w:id="0">
    <w:p w14:paraId="60F0DCE3" w14:textId="77777777" w:rsidR="00EB68AF" w:rsidRDefault="00EB68AF" w:rsidP="00B33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89749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4D2C5" w14:textId="7B50ECA3" w:rsidR="00B33038" w:rsidRDefault="00B330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EF5AD3" w14:textId="77777777" w:rsidR="00B33038" w:rsidRDefault="00B33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3624F" w14:textId="77777777" w:rsidR="00EB68AF" w:rsidRDefault="00EB68AF" w:rsidP="00B33038">
      <w:pPr>
        <w:spacing w:after="0" w:line="240" w:lineRule="auto"/>
      </w:pPr>
      <w:r>
        <w:separator/>
      </w:r>
    </w:p>
  </w:footnote>
  <w:footnote w:type="continuationSeparator" w:id="0">
    <w:p w14:paraId="38D46D3E" w14:textId="77777777" w:rsidR="00EB68AF" w:rsidRDefault="00EB68AF" w:rsidP="00B330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66"/>
    <w:rsid w:val="000C242D"/>
    <w:rsid w:val="000D6971"/>
    <w:rsid w:val="00232FB8"/>
    <w:rsid w:val="00243BCB"/>
    <w:rsid w:val="002A2155"/>
    <w:rsid w:val="003046E6"/>
    <w:rsid w:val="003A1BCF"/>
    <w:rsid w:val="005E7E8F"/>
    <w:rsid w:val="007C42F3"/>
    <w:rsid w:val="0094138D"/>
    <w:rsid w:val="00AB4869"/>
    <w:rsid w:val="00B33038"/>
    <w:rsid w:val="00C079AE"/>
    <w:rsid w:val="00D00E2F"/>
    <w:rsid w:val="00E529DB"/>
    <w:rsid w:val="00E705B5"/>
    <w:rsid w:val="00E81F51"/>
    <w:rsid w:val="00EB68AF"/>
    <w:rsid w:val="00F02866"/>
    <w:rsid w:val="00F6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03431"/>
  <w15:chartTrackingRefBased/>
  <w15:docId w15:val="{5D634EBA-90D1-49DF-AEB0-8727A1DC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86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8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3038"/>
    <w:pPr>
      <w:keepNext/>
      <w:keepLines/>
      <w:spacing w:before="160" w:after="80" w:line="278" w:lineRule="auto"/>
      <w:outlineLvl w:val="1"/>
    </w:pPr>
    <w:rPr>
      <w:rFonts w:ascii="Times New Roman" w:eastAsiaTheme="majorEastAsia" w:hAnsi="Times New Roman" w:cstheme="majorBidi"/>
      <w:b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86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86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86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86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86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86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86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33038"/>
    <w:rPr>
      <w:rFonts w:ascii="Times New Roman" w:eastAsiaTheme="majorEastAsia" w:hAnsi="Times New Roman" w:cstheme="majorBidi"/>
      <w:b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038"/>
    <w:pPr>
      <w:numPr>
        <w:ilvl w:val="1"/>
      </w:numPr>
      <w:spacing w:line="278" w:lineRule="auto"/>
    </w:pPr>
    <w:rPr>
      <w:rFonts w:ascii="Times New Roman" w:eastAsiaTheme="majorEastAsia" w:hAnsi="Times New Roman" w:cstheme="majorBidi"/>
      <w:b/>
      <w:color w:val="595959" w:themeColor="text1" w:themeTint="A6"/>
      <w:spacing w:val="15"/>
      <w:sz w:val="2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038"/>
    <w:rPr>
      <w:rFonts w:ascii="Times New Roman" w:eastAsiaTheme="majorEastAsia" w:hAnsi="Times New Roman" w:cstheme="majorBidi"/>
      <w:b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86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02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86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02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8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286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079A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B33038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3303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3303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3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03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33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03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hungerford@liverpool.ac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rench@liverpool.ac.u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4868E-075B-4E1F-AA74-A66D3676ED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255131-b129-4010-86e1-474bfd7e8076}" enabled="0" method="" siteId="{53255131-b129-4010-86e1-474bfd7e80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Spain, Thomas</dc:creator>
  <cp:keywords/>
  <dc:description/>
  <cp:lastModifiedBy>Hungerford, Dan</cp:lastModifiedBy>
  <cp:revision>4</cp:revision>
  <dcterms:created xsi:type="dcterms:W3CDTF">2026-03-05T20:25:00Z</dcterms:created>
  <dcterms:modified xsi:type="dcterms:W3CDTF">2026-03-06T17:32:00Z</dcterms:modified>
</cp:coreProperties>
</file>