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6E320" w14:textId="20BDA892" w:rsidR="000B1E4B" w:rsidRPr="00836F13" w:rsidRDefault="00DF0038" w:rsidP="00DF0038">
      <w:pPr>
        <w:pStyle w:val="Lgende"/>
        <w:rPr>
          <w:b/>
          <w:bCs/>
          <w:i w:val="0"/>
          <w:iCs w:val="0"/>
          <w:color w:val="auto"/>
          <w:sz w:val="24"/>
          <w:szCs w:val="24"/>
        </w:rPr>
      </w:pPr>
      <w:r w:rsidRPr="00836F13">
        <w:rPr>
          <w:b/>
          <w:bCs/>
          <w:i w:val="0"/>
          <w:iCs w:val="0"/>
          <w:color w:val="auto"/>
          <w:sz w:val="24"/>
          <w:szCs w:val="24"/>
        </w:rPr>
        <w:t xml:space="preserve">Supplementary Table </w:t>
      </w:r>
      <w:r w:rsidRPr="00836F13">
        <w:rPr>
          <w:b/>
          <w:bCs/>
          <w:i w:val="0"/>
          <w:iCs w:val="0"/>
          <w:color w:val="auto"/>
          <w:sz w:val="24"/>
          <w:szCs w:val="24"/>
        </w:rPr>
        <w:fldChar w:fldCharType="begin"/>
      </w:r>
      <w:r w:rsidRPr="00836F13">
        <w:rPr>
          <w:b/>
          <w:bCs/>
          <w:i w:val="0"/>
          <w:iCs w:val="0"/>
          <w:color w:val="auto"/>
          <w:sz w:val="24"/>
          <w:szCs w:val="24"/>
        </w:rPr>
        <w:instrText xml:space="preserve"> SEQ Supplementary_Table \* ARABIC </w:instrText>
      </w:r>
      <w:r w:rsidRPr="00836F13">
        <w:rPr>
          <w:b/>
          <w:bCs/>
          <w:i w:val="0"/>
          <w:iCs w:val="0"/>
          <w:color w:val="auto"/>
          <w:sz w:val="24"/>
          <w:szCs w:val="24"/>
        </w:rPr>
        <w:fldChar w:fldCharType="separate"/>
      </w:r>
      <w:r w:rsidR="00F4798F">
        <w:rPr>
          <w:b/>
          <w:bCs/>
          <w:i w:val="0"/>
          <w:iCs w:val="0"/>
          <w:noProof/>
          <w:color w:val="auto"/>
          <w:sz w:val="24"/>
          <w:szCs w:val="24"/>
        </w:rPr>
        <w:t>1</w:t>
      </w:r>
      <w:r w:rsidRPr="00836F13">
        <w:rPr>
          <w:b/>
          <w:bCs/>
          <w:i w:val="0"/>
          <w:iCs w:val="0"/>
          <w:color w:val="auto"/>
          <w:sz w:val="24"/>
          <w:szCs w:val="24"/>
        </w:rPr>
        <w:fldChar w:fldCharType="end"/>
      </w:r>
      <w:r w:rsidRPr="00836F13">
        <w:rPr>
          <w:b/>
          <w:bCs/>
          <w:i w:val="0"/>
          <w:iCs w:val="0"/>
          <w:color w:val="auto"/>
          <w:sz w:val="24"/>
          <w:szCs w:val="24"/>
        </w:rPr>
        <w:t xml:space="preserve"> </w:t>
      </w:r>
      <w:r w:rsidRPr="00836F13">
        <w:rPr>
          <w:i w:val="0"/>
          <w:iCs w:val="0"/>
          <w:color w:val="auto"/>
          <w:sz w:val="24"/>
          <w:szCs w:val="24"/>
        </w:rPr>
        <w:t>Characteristics of studies assessing vaccination acceptance and uptake in Africa, 1970-2024</w:t>
      </w:r>
      <w:r w:rsidR="00C02A09" w:rsidRPr="00836F13">
        <w:rPr>
          <w:i w:val="0"/>
          <w:iCs w:val="0"/>
          <w:color w:val="auto"/>
          <w:sz w:val="24"/>
          <w:szCs w:val="24"/>
        </w:rPr>
        <w:t xml:space="preserve"> </w:t>
      </w:r>
    </w:p>
    <w:tbl>
      <w:tblPr>
        <w:tblW w:w="13336" w:type="dxa"/>
        <w:tblCellMar>
          <w:left w:w="70" w:type="dxa"/>
          <w:right w:w="70" w:type="dxa"/>
        </w:tblCellMar>
        <w:tblLook w:val="04A0" w:firstRow="1" w:lastRow="0" w:firstColumn="1" w:lastColumn="0" w:noHBand="0" w:noVBand="1"/>
      </w:tblPr>
      <w:tblGrid>
        <w:gridCol w:w="1843"/>
        <w:gridCol w:w="988"/>
        <w:gridCol w:w="714"/>
        <w:gridCol w:w="2126"/>
        <w:gridCol w:w="1270"/>
        <w:gridCol w:w="2602"/>
        <w:gridCol w:w="1797"/>
        <w:gridCol w:w="1111"/>
        <w:gridCol w:w="885"/>
      </w:tblGrid>
      <w:tr w:rsidR="005B1C33" w:rsidRPr="00836F13" w14:paraId="79A2FBE9" w14:textId="77777777" w:rsidTr="00BA2E10">
        <w:trPr>
          <w:trHeight w:val="290"/>
        </w:trPr>
        <w:tc>
          <w:tcPr>
            <w:tcW w:w="1843" w:type="dxa"/>
            <w:tcBorders>
              <w:top w:val="single" w:sz="12" w:space="0" w:color="auto"/>
              <w:left w:val="nil"/>
              <w:bottom w:val="single" w:sz="12" w:space="0" w:color="auto"/>
              <w:right w:val="nil"/>
            </w:tcBorders>
            <w:noWrap/>
            <w:hideMark/>
          </w:tcPr>
          <w:p w14:paraId="596580E5" w14:textId="5EC2CF3F" w:rsidR="005B1C33" w:rsidRPr="00836F13" w:rsidRDefault="005B1C33" w:rsidP="00604886">
            <w:pPr>
              <w:spacing w:after="0" w:line="240" w:lineRule="auto"/>
              <w:rPr>
                <w:rFonts w:eastAsia="Times New Roman" w:cs="Calibri"/>
                <w:b/>
                <w:bCs/>
                <w:color w:val="000000"/>
                <w:kern w:val="0"/>
                <w:sz w:val="20"/>
                <w:szCs w:val="20"/>
                <w:lang w:eastAsia="fr-FR"/>
                <w14:ligatures w14:val="none"/>
              </w:rPr>
            </w:pPr>
            <w:r w:rsidRPr="00836F13">
              <w:rPr>
                <w:rFonts w:eastAsia="Times New Roman" w:cs="Calibri"/>
                <w:b/>
                <w:bCs/>
                <w:color w:val="000000"/>
                <w:kern w:val="0"/>
                <w:sz w:val="20"/>
                <w:szCs w:val="20"/>
                <w:lang w:eastAsia="fr-FR"/>
                <w14:ligatures w14:val="none"/>
              </w:rPr>
              <w:t>Author</w:t>
            </w:r>
          </w:p>
        </w:tc>
        <w:tc>
          <w:tcPr>
            <w:tcW w:w="988" w:type="dxa"/>
            <w:tcBorders>
              <w:top w:val="single" w:sz="12" w:space="0" w:color="auto"/>
              <w:left w:val="nil"/>
              <w:bottom w:val="single" w:sz="12" w:space="0" w:color="auto"/>
              <w:right w:val="nil"/>
            </w:tcBorders>
          </w:tcPr>
          <w:p w14:paraId="64A0D591" w14:textId="391E5FD0" w:rsidR="005B1C33" w:rsidRPr="00836F13" w:rsidRDefault="005B1C33" w:rsidP="00604886">
            <w:pPr>
              <w:spacing w:after="0" w:line="240" w:lineRule="auto"/>
              <w:rPr>
                <w:rFonts w:eastAsia="Times New Roman" w:cs="Calibri"/>
                <w:b/>
                <w:bCs/>
                <w:color w:val="000000"/>
                <w:kern w:val="0"/>
                <w:sz w:val="20"/>
                <w:szCs w:val="20"/>
                <w:lang w:eastAsia="fr-FR"/>
                <w14:ligatures w14:val="none"/>
              </w:rPr>
            </w:pPr>
            <w:r w:rsidRPr="00836F13">
              <w:rPr>
                <w:rFonts w:eastAsia="Times New Roman" w:cs="Calibri"/>
                <w:b/>
                <w:bCs/>
                <w:color w:val="000000"/>
                <w:kern w:val="0"/>
                <w:sz w:val="20"/>
                <w:szCs w:val="20"/>
                <w:lang w:eastAsia="fr-FR"/>
                <w14:ligatures w14:val="none"/>
              </w:rPr>
              <w:t>Reference</w:t>
            </w:r>
          </w:p>
        </w:tc>
        <w:tc>
          <w:tcPr>
            <w:tcW w:w="714" w:type="dxa"/>
            <w:tcBorders>
              <w:top w:val="single" w:sz="12" w:space="0" w:color="auto"/>
              <w:left w:val="nil"/>
              <w:bottom w:val="single" w:sz="12" w:space="0" w:color="auto"/>
              <w:right w:val="nil"/>
            </w:tcBorders>
            <w:noWrap/>
            <w:hideMark/>
          </w:tcPr>
          <w:p w14:paraId="260EBBD1" w14:textId="16AF7825" w:rsidR="005B1C33" w:rsidRPr="00836F13" w:rsidRDefault="005B1C33" w:rsidP="00604886">
            <w:pPr>
              <w:spacing w:after="0" w:line="240" w:lineRule="auto"/>
              <w:rPr>
                <w:rFonts w:eastAsia="Times New Roman" w:cs="Calibri"/>
                <w:b/>
                <w:bCs/>
                <w:color w:val="000000"/>
                <w:kern w:val="0"/>
                <w:sz w:val="20"/>
                <w:szCs w:val="20"/>
                <w:lang w:eastAsia="fr-FR"/>
                <w14:ligatures w14:val="none"/>
              </w:rPr>
            </w:pPr>
            <w:r w:rsidRPr="00836F13">
              <w:rPr>
                <w:rFonts w:eastAsia="Times New Roman" w:cs="Calibri"/>
                <w:b/>
                <w:bCs/>
                <w:color w:val="000000"/>
                <w:kern w:val="0"/>
                <w:sz w:val="20"/>
                <w:szCs w:val="20"/>
                <w:lang w:eastAsia="fr-FR"/>
                <w14:ligatures w14:val="none"/>
              </w:rPr>
              <w:t>Study year</w:t>
            </w:r>
          </w:p>
        </w:tc>
        <w:tc>
          <w:tcPr>
            <w:tcW w:w="2126" w:type="dxa"/>
            <w:tcBorders>
              <w:top w:val="single" w:sz="12" w:space="0" w:color="auto"/>
              <w:left w:val="nil"/>
              <w:bottom w:val="single" w:sz="12" w:space="0" w:color="auto"/>
              <w:right w:val="nil"/>
            </w:tcBorders>
            <w:noWrap/>
            <w:hideMark/>
          </w:tcPr>
          <w:p w14:paraId="1E48069D" w14:textId="2C239BBB" w:rsidR="005B1C33" w:rsidRPr="00836F13" w:rsidRDefault="005B1C33" w:rsidP="00604886">
            <w:pPr>
              <w:spacing w:after="0" w:line="240" w:lineRule="auto"/>
              <w:rPr>
                <w:rFonts w:eastAsia="Times New Roman" w:cs="Calibri"/>
                <w:b/>
                <w:bCs/>
                <w:color w:val="000000"/>
                <w:kern w:val="0"/>
                <w:sz w:val="20"/>
                <w:szCs w:val="20"/>
                <w:lang w:eastAsia="fr-FR"/>
                <w14:ligatures w14:val="none"/>
              </w:rPr>
            </w:pPr>
            <w:r w:rsidRPr="00836F13">
              <w:rPr>
                <w:rFonts w:eastAsia="Times New Roman" w:cs="Calibri"/>
                <w:b/>
                <w:bCs/>
                <w:color w:val="000000"/>
                <w:kern w:val="0"/>
                <w:sz w:val="20"/>
                <w:szCs w:val="20"/>
                <w:lang w:eastAsia="fr-FR"/>
                <w14:ligatures w14:val="none"/>
              </w:rPr>
              <w:t>Country</w:t>
            </w:r>
          </w:p>
        </w:tc>
        <w:tc>
          <w:tcPr>
            <w:tcW w:w="1270" w:type="dxa"/>
            <w:tcBorders>
              <w:top w:val="single" w:sz="12" w:space="0" w:color="auto"/>
              <w:left w:val="nil"/>
              <w:bottom w:val="single" w:sz="12" w:space="0" w:color="auto"/>
              <w:right w:val="nil"/>
            </w:tcBorders>
            <w:noWrap/>
            <w:hideMark/>
          </w:tcPr>
          <w:p w14:paraId="4473002D" w14:textId="3AA180BC" w:rsidR="005B1C33" w:rsidRPr="00836F13" w:rsidRDefault="005B1C33" w:rsidP="00604886">
            <w:pPr>
              <w:spacing w:after="0" w:line="240" w:lineRule="auto"/>
              <w:rPr>
                <w:rFonts w:eastAsia="Times New Roman" w:cs="Calibri"/>
                <w:b/>
                <w:bCs/>
                <w:color w:val="000000"/>
                <w:kern w:val="0"/>
                <w:sz w:val="20"/>
                <w:szCs w:val="20"/>
                <w:lang w:eastAsia="fr-FR"/>
                <w14:ligatures w14:val="none"/>
              </w:rPr>
            </w:pPr>
            <w:r w:rsidRPr="00836F13">
              <w:rPr>
                <w:rFonts w:eastAsia="Times New Roman" w:cs="Calibri"/>
                <w:b/>
                <w:bCs/>
                <w:color w:val="000000"/>
                <w:kern w:val="0"/>
                <w:sz w:val="20"/>
                <w:szCs w:val="20"/>
                <w:lang w:eastAsia="fr-FR"/>
                <w14:ligatures w14:val="none"/>
              </w:rPr>
              <w:t>Setting</w:t>
            </w:r>
          </w:p>
        </w:tc>
        <w:tc>
          <w:tcPr>
            <w:tcW w:w="2602" w:type="dxa"/>
            <w:tcBorders>
              <w:top w:val="single" w:sz="12" w:space="0" w:color="auto"/>
              <w:left w:val="nil"/>
              <w:bottom w:val="single" w:sz="12" w:space="0" w:color="auto"/>
              <w:right w:val="nil"/>
            </w:tcBorders>
            <w:noWrap/>
            <w:hideMark/>
          </w:tcPr>
          <w:p w14:paraId="0ADA9AE3" w14:textId="54C8EE47" w:rsidR="005B1C33" w:rsidRPr="00836F13" w:rsidRDefault="005B1C33" w:rsidP="00604886">
            <w:pPr>
              <w:spacing w:after="0" w:line="240" w:lineRule="auto"/>
              <w:rPr>
                <w:rFonts w:eastAsia="Times New Roman" w:cs="Calibri"/>
                <w:b/>
                <w:bCs/>
                <w:color w:val="000000"/>
                <w:kern w:val="0"/>
                <w:sz w:val="20"/>
                <w:szCs w:val="20"/>
                <w:lang w:eastAsia="fr-FR"/>
                <w14:ligatures w14:val="none"/>
              </w:rPr>
            </w:pPr>
            <w:r w:rsidRPr="00836F13">
              <w:rPr>
                <w:rFonts w:eastAsia="Times New Roman" w:cs="Calibri"/>
                <w:b/>
                <w:bCs/>
                <w:color w:val="000000"/>
                <w:kern w:val="0"/>
                <w:sz w:val="20"/>
                <w:szCs w:val="20"/>
                <w:lang w:eastAsia="fr-FR"/>
                <w14:ligatures w14:val="none"/>
              </w:rPr>
              <w:t>Participant</w:t>
            </w:r>
          </w:p>
        </w:tc>
        <w:tc>
          <w:tcPr>
            <w:tcW w:w="1797" w:type="dxa"/>
            <w:tcBorders>
              <w:top w:val="single" w:sz="12" w:space="0" w:color="auto"/>
              <w:left w:val="nil"/>
              <w:bottom w:val="single" w:sz="12" w:space="0" w:color="auto"/>
              <w:right w:val="nil"/>
            </w:tcBorders>
          </w:tcPr>
          <w:p w14:paraId="415E63EC" w14:textId="30C72650" w:rsidR="005B1C33" w:rsidRPr="00836F13" w:rsidRDefault="005B1C33" w:rsidP="00604886">
            <w:pPr>
              <w:spacing w:after="0" w:line="240" w:lineRule="auto"/>
              <w:rPr>
                <w:rFonts w:eastAsia="Times New Roman" w:cs="Calibri"/>
                <w:b/>
                <w:bCs/>
                <w:color w:val="000000"/>
                <w:kern w:val="0"/>
                <w:sz w:val="20"/>
                <w:szCs w:val="20"/>
                <w:lang w:eastAsia="fr-FR"/>
                <w14:ligatures w14:val="none"/>
              </w:rPr>
            </w:pPr>
            <w:r w:rsidRPr="00836F13">
              <w:rPr>
                <w:rFonts w:eastAsia="Times New Roman" w:cs="Calibri"/>
                <w:b/>
                <w:bCs/>
                <w:color w:val="000000"/>
                <w:kern w:val="0"/>
                <w:sz w:val="20"/>
                <w:szCs w:val="20"/>
                <w:lang w:eastAsia="fr-FR"/>
                <w14:ligatures w14:val="none"/>
              </w:rPr>
              <w:t>Sampling</w:t>
            </w:r>
          </w:p>
        </w:tc>
        <w:tc>
          <w:tcPr>
            <w:tcW w:w="1111" w:type="dxa"/>
            <w:tcBorders>
              <w:top w:val="single" w:sz="12" w:space="0" w:color="auto"/>
              <w:left w:val="nil"/>
              <w:bottom w:val="single" w:sz="12" w:space="0" w:color="auto"/>
              <w:right w:val="nil"/>
            </w:tcBorders>
          </w:tcPr>
          <w:p w14:paraId="5B831E6E" w14:textId="3FB991B1" w:rsidR="005B1C33" w:rsidRPr="00836F13" w:rsidRDefault="005B1C33" w:rsidP="00604886">
            <w:pPr>
              <w:spacing w:after="0" w:line="240" w:lineRule="auto"/>
              <w:rPr>
                <w:rFonts w:eastAsia="Times New Roman" w:cs="Calibri"/>
                <w:b/>
                <w:bCs/>
                <w:color w:val="000000"/>
                <w:kern w:val="0"/>
                <w:sz w:val="20"/>
                <w:szCs w:val="20"/>
                <w:lang w:eastAsia="fr-FR"/>
                <w14:ligatures w14:val="none"/>
              </w:rPr>
            </w:pPr>
            <w:r w:rsidRPr="00836F13">
              <w:rPr>
                <w:rFonts w:eastAsia="Times New Roman" w:cs="Calibri"/>
                <w:b/>
                <w:bCs/>
                <w:color w:val="000000"/>
                <w:kern w:val="0"/>
                <w:sz w:val="20"/>
                <w:szCs w:val="20"/>
                <w:lang w:eastAsia="fr-FR"/>
                <w14:ligatures w14:val="none"/>
              </w:rPr>
              <w:t>Outcome assessed</w:t>
            </w:r>
          </w:p>
        </w:tc>
        <w:tc>
          <w:tcPr>
            <w:tcW w:w="885" w:type="dxa"/>
            <w:tcBorders>
              <w:top w:val="single" w:sz="12" w:space="0" w:color="auto"/>
              <w:left w:val="nil"/>
              <w:bottom w:val="single" w:sz="12" w:space="0" w:color="auto"/>
              <w:right w:val="nil"/>
            </w:tcBorders>
            <w:noWrap/>
            <w:hideMark/>
          </w:tcPr>
          <w:p w14:paraId="3B885EA0" w14:textId="39EA1DD9" w:rsidR="005B1C33" w:rsidRPr="00836F13" w:rsidRDefault="005B1C33" w:rsidP="00604886">
            <w:pPr>
              <w:spacing w:after="0" w:line="240" w:lineRule="auto"/>
              <w:rPr>
                <w:rFonts w:eastAsia="Times New Roman" w:cs="Calibri"/>
                <w:b/>
                <w:bCs/>
                <w:color w:val="000000"/>
                <w:kern w:val="0"/>
                <w:sz w:val="20"/>
                <w:szCs w:val="20"/>
                <w:lang w:eastAsia="fr-FR"/>
                <w14:ligatures w14:val="none"/>
              </w:rPr>
            </w:pPr>
            <w:r w:rsidRPr="00836F13">
              <w:rPr>
                <w:rFonts w:eastAsia="Times New Roman" w:cs="Calibri"/>
                <w:b/>
                <w:bCs/>
                <w:color w:val="000000"/>
                <w:kern w:val="0"/>
                <w:sz w:val="20"/>
                <w:szCs w:val="20"/>
                <w:lang w:eastAsia="fr-FR"/>
                <w14:ligatures w14:val="none"/>
              </w:rPr>
              <w:t>Risk bias</w:t>
            </w:r>
          </w:p>
        </w:tc>
      </w:tr>
      <w:tr w:rsidR="005B1C33" w:rsidRPr="00836F13" w14:paraId="3D2D50D9" w14:textId="77777777" w:rsidTr="00BA2E10">
        <w:trPr>
          <w:trHeight w:val="290"/>
        </w:trPr>
        <w:tc>
          <w:tcPr>
            <w:tcW w:w="1843" w:type="dxa"/>
            <w:tcBorders>
              <w:top w:val="nil"/>
              <w:left w:val="nil"/>
              <w:bottom w:val="nil"/>
              <w:right w:val="nil"/>
            </w:tcBorders>
            <w:noWrap/>
          </w:tcPr>
          <w:p w14:paraId="467C830A" w14:textId="3B21A70B" w:rsidR="005B1C33" w:rsidRPr="00836F13" w:rsidRDefault="005B1C33" w:rsidP="0067400C">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Ladnyj,1970</w:t>
            </w:r>
          </w:p>
        </w:tc>
        <w:tc>
          <w:tcPr>
            <w:tcW w:w="988" w:type="dxa"/>
            <w:tcBorders>
              <w:top w:val="nil"/>
              <w:left w:val="nil"/>
              <w:bottom w:val="nil"/>
              <w:right w:val="nil"/>
            </w:tcBorders>
          </w:tcPr>
          <w:p w14:paraId="61AD2CE9" w14:textId="7F4D10BB" w:rsidR="005B1C33" w:rsidRPr="00836F13" w:rsidRDefault="005B1C33" w:rsidP="0067400C">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fldChar w:fldCharType="begin"/>
            </w:r>
            <w:r w:rsidRPr="00836F13">
              <w:rPr>
                <w:rFonts w:eastAsia="Times New Roman" w:cs="Calibri"/>
                <w:color w:val="000000"/>
                <w:kern w:val="0"/>
                <w:sz w:val="20"/>
                <w:szCs w:val="20"/>
                <w:lang w:eastAsia="fr-FR"/>
                <w14:ligatures w14:val="none"/>
              </w:rPr>
              <w:instrText xml:space="preserve"> ADDIN ZOTERO_ITEM CSL_CITATION {"citationID":"0tsX0tnN","properties":{"formattedCitation":"[1]","plainCitation":"[1]","noteIndex":0},"citationItems":[{"id":3552,"uris":["http://zotero.org/users/1791235/items/PRUAVHV9"],"itemData":{"id":3552,"type":"article-journal","abstract":"This paper presents clinical and epidemiological information on a patient with smallpox-like disease, from whom a monkeypox-like virus was isolated. The patient was the first recognized human monkeypox case in medical history.","container-title":"Bulletin of the World Health Organization","ISSN":"0042-9686","issue":"5","journalAbbreviation":"Bull World Health Organ","note":"PMID: 4340218\nPMCID: PMC2480792","page":"593-7","source":"PubMed Central","title":"A human infection caused by monkeypox virus in Basankusu Territory, Democratic Republic of the Congo","volume":"46","author":[{"family":"Ladnyj","given":"I. D."},{"family":"Ziegler","given":"P."},{"family":"Kima","given":"E."}],"issued":{"date-parts":[["1972"]]}}}],"schema":"https://github.com/citation-style-language/schema/raw/master/csl-citation.json"} </w:instrText>
            </w:r>
            <w:r w:rsidRPr="00836F13">
              <w:rPr>
                <w:rFonts w:eastAsia="Times New Roman" w:cs="Calibri"/>
                <w:color w:val="000000"/>
                <w:kern w:val="0"/>
                <w:sz w:val="20"/>
                <w:szCs w:val="20"/>
                <w:lang w:eastAsia="fr-FR"/>
                <w14:ligatures w14:val="none"/>
              </w:rPr>
              <w:fldChar w:fldCharType="separate"/>
            </w:r>
            <w:r w:rsidRPr="00836F13">
              <w:rPr>
                <w:sz w:val="20"/>
              </w:rPr>
              <w:t>[1]</w:t>
            </w:r>
            <w:r w:rsidRPr="00836F13">
              <w:rPr>
                <w:rFonts w:eastAsia="Times New Roman" w:cs="Calibri"/>
                <w:color w:val="000000"/>
                <w:kern w:val="0"/>
                <w:sz w:val="20"/>
                <w:szCs w:val="20"/>
                <w:lang w:eastAsia="fr-FR"/>
                <w14:ligatures w14:val="none"/>
              </w:rPr>
              <w:fldChar w:fldCharType="end"/>
            </w:r>
          </w:p>
        </w:tc>
        <w:tc>
          <w:tcPr>
            <w:tcW w:w="714" w:type="dxa"/>
            <w:tcBorders>
              <w:top w:val="nil"/>
              <w:left w:val="nil"/>
              <w:bottom w:val="nil"/>
              <w:right w:val="nil"/>
            </w:tcBorders>
            <w:noWrap/>
          </w:tcPr>
          <w:p w14:paraId="31BC0168" w14:textId="15122E96" w:rsidR="005B1C33" w:rsidRPr="00836F13" w:rsidRDefault="005B1C33" w:rsidP="0067400C">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1970</w:t>
            </w:r>
          </w:p>
        </w:tc>
        <w:tc>
          <w:tcPr>
            <w:tcW w:w="2126" w:type="dxa"/>
            <w:tcBorders>
              <w:top w:val="nil"/>
              <w:left w:val="nil"/>
              <w:bottom w:val="nil"/>
              <w:right w:val="nil"/>
            </w:tcBorders>
            <w:noWrap/>
          </w:tcPr>
          <w:p w14:paraId="148EC667" w14:textId="7591DEF2" w:rsidR="005B1C33" w:rsidRPr="00836F13" w:rsidRDefault="005B1C33" w:rsidP="0067400C">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DRC</w:t>
            </w:r>
          </w:p>
        </w:tc>
        <w:tc>
          <w:tcPr>
            <w:tcW w:w="1270" w:type="dxa"/>
            <w:tcBorders>
              <w:top w:val="nil"/>
              <w:left w:val="nil"/>
              <w:bottom w:val="nil"/>
              <w:right w:val="nil"/>
            </w:tcBorders>
            <w:noWrap/>
          </w:tcPr>
          <w:p w14:paraId="6BD143C9" w14:textId="6C48EBFE" w:rsidR="005B1C33" w:rsidRPr="00836F13" w:rsidRDefault="005B1C33" w:rsidP="0067400C">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Community</w:t>
            </w:r>
          </w:p>
        </w:tc>
        <w:tc>
          <w:tcPr>
            <w:tcW w:w="2602" w:type="dxa"/>
            <w:tcBorders>
              <w:top w:val="nil"/>
              <w:left w:val="nil"/>
              <w:bottom w:val="nil"/>
              <w:right w:val="nil"/>
            </w:tcBorders>
            <w:noWrap/>
          </w:tcPr>
          <w:p w14:paraId="562271E0" w14:textId="449251CE" w:rsidR="005B1C33" w:rsidRPr="00836F13" w:rsidRDefault="005B1C33" w:rsidP="0067400C">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General population</w:t>
            </w:r>
          </w:p>
        </w:tc>
        <w:tc>
          <w:tcPr>
            <w:tcW w:w="1797" w:type="dxa"/>
            <w:tcBorders>
              <w:top w:val="nil"/>
              <w:left w:val="nil"/>
              <w:bottom w:val="nil"/>
              <w:right w:val="nil"/>
            </w:tcBorders>
          </w:tcPr>
          <w:p w14:paraId="0220794C" w14:textId="63159683" w:rsidR="005B1C33" w:rsidRPr="00836F13" w:rsidRDefault="005B1C33" w:rsidP="0067400C">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Non-probabilistic</w:t>
            </w:r>
          </w:p>
        </w:tc>
        <w:tc>
          <w:tcPr>
            <w:tcW w:w="1111" w:type="dxa"/>
            <w:tcBorders>
              <w:top w:val="nil"/>
              <w:left w:val="nil"/>
              <w:bottom w:val="nil"/>
              <w:right w:val="nil"/>
            </w:tcBorders>
          </w:tcPr>
          <w:p w14:paraId="5B9AC14D" w14:textId="5205D974" w:rsidR="005B1C33" w:rsidRPr="00836F13" w:rsidRDefault="005B1C33" w:rsidP="0067400C">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VU</w:t>
            </w:r>
          </w:p>
        </w:tc>
        <w:tc>
          <w:tcPr>
            <w:tcW w:w="885" w:type="dxa"/>
            <w:tcBorders>
              <w:top w:val="nil"/>
              <w:left w:val="nil"/>
              <w:bottom w:val="nil"/>
              <w:right w:val="nil"/>
            </w:tcBorders>
            <w:noWrap/>
          </w:tcPr>
          <w:p w14:paraId="3DC156D7" w14:textId="7832032E" w:rsidR="005B1C33" w:rsidRPr="00836F13" w:rsidRDefault="005B1C33" w:rsidP="0067400C">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L</w:t>
            </w:r>
            <w:r w:rsidR="00C556B1">
              <w:rPr>
                <w:rFonts w:eastAsia="Times New Roman" w:cs="Calibri"/>
                <w:color w:val="000000"/>
                <w:kern w:val="0"/>
                <w:sz w:val="20"/>
                <w:szCs w:val="20"/>
                <w:lang w:eastAsia="fr-FR"/>
                <w14:ligatures w14:val="none"/>
              </w:rPr>
              <w:t>ow</w:t>
            </w:r>
          </w:p>
        </w:tc>
      </w:tr>
      <w:tr w:rsidR="00C556B1" w:rsidRPr="00836F13" w14:paraId="7D90879C" w14:textId="77777777" w:rsidTr="00BA2E10">
        <w:trPr>
          <w:trHeight w:val="290"/>
        </w:trPr>
        <w:tc>
          <w:tcPr>
            <w:tcW w:w="1843" w:type="dxa"/>
            <w:tcBorders>
              <w:top w:val="nil"/>
              <w:left w:val="nil"/>
              <w:bottom w:val="nil"/>
              <w:right w:val="nil"/>
            </w:tcBorders>
            <w:noWrap/>
          </w:tcPr>
          <w:p w14:paraId="788DCE2F" w14:textId="61DF6DD3"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Henderson,1973</w:t>
            </w:r>
          </w:p>
        </w:tc>
        <w:tc>
          <w:tcPr>
            <w:tcW w:w="988" w:type="dxa"/>
            <w:tcBorders>
              <w:top w:val="nil"/>
              <w:left w:val="nil"/>
              <w:bottom w:val="nil"/>
              <w:right w:val="nil"/>
            </w:tcBorders>
          </w:tcPr>
          <w:p w14:paraId="732BE58B" w14:textId="504CA0A5"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fldChar w:fldCharType="begin"/>
            </w:r>
            <w:r w:rsidRPr="00836F13">
              <w:rPr>
                <w:rFonts w:eastAsia="Times New Roman" w:cs="Calibri"/>
                <w:color w:val="000000"/>
                <w:kern w:val="0"/>
                <w:sz w:val="20"/>
                <w:szCs w:val="20"/>
                <w:lang w:eastAsia="fr-FR"/>
                <w14:ligatures w14:val="none"/>
              </w:rPr>
              <w:instrText xml:space="preserve"> ADDIN ZOTERO_ITEM CSL_CITATION {"citationID":"bdZgtalH","properties":{"formattedCitation":"[2]","plainCitation":"[2]","noteIndex":0},"citationItems":[{"id":4489,"uris":["http://zotero.org/users/1791235/items/C84BLRWA"],"itemData":{"id":4489,"type":"article-journal","container-title":"Bulletin of the World Health Organization","issue":"2","page":"183","source":"Google Scholar","title":"Assessment of vaccination coverage, vaccination scar rates, and smallpox scarring in five areas of West Africa","volume":"48","author":[{"family":"Henderson","given":"Ralph H."},{"family":"Davis","given":"Hillard"},{"family":"Eddins","given":"Donald L."},{"family":"Foege","given":"William H."}],"issued":{"date-parts":[["1973"]]}}}],"schema":"https://github.com/citation-style-language/schema/raw/master/csl-citation.json"} </w:instrText>
            </w:r>
            <w:r w:rsidRPr="00836F13">
              <w:rPr>
                <w:rFonts w:eastAsia="Times New Roman" w:cs="Calibri"/>
                <w:color w:val="000000"/>
                <w:kern w:val="0"/>
                <w:sz w:val="20"/>
                <w:szCs w:val="20"/>
                <w:lang w:eastAsia="fr-FR"/>
                <w14:ligatures w14:val="none"/>
              </w:rPr>
              <w:fldChar w:fldCharType="separate"/>
            </w:r>
            <w:r w:rsidRPr="00836F13">
              <w:rPr>
                <w:sz w:val="20"/>
              </w:rPr>
              <w:t>[2]</w:t>
            </w:r>
            <w:r w:rsidRPr="00836F13">
              <w:rPr>
                <w:rFonts w:eastAsia="Times New Roman" w:cs="Calibri"/>
                <w:color w:val="000000"/>
                <w:kern w:val="0"/>
                <w:sz w:val="20"/>
                <w:szCs w:val="20"/>
                <w:lang w:eastAsia="fr-FR"/>
                <w14:ligatures w14:val="none"/>
              </w:rPr>
              <w:fldChar w:fldCharType="end"/>
            </w:r>
          </w:p>
        </w:tc>
        <w:tc>
          <w:tcPr>
            <w:tcW w:w="714" w:type="dxa"/>
            <w:tcBorders>
              <w:top w:val="nil"/>
              <w:left w:val="nil"/>
              <w:bottom w:val="nil"/>
              <w:right w:val="nil"/>
            </w:tcBorders>
            <w:noWrap/>
          </w:tcPr>
          <w:p w14:paraId="76120B17" w14:textId="53852246"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1973</w:t>
            </w:r>
          </w:p>
        </w:tc>
        <w:tc>
          <w:tcPr>
            <w:tcW w:w="2126" w:type="dxa"/>
            <w:tcBorders>
              <w:top w:val="nil"/>
              <w:left w:val="nil"/>
              <w:bottom w:val="nil"/>
              <w:right w:val="nil"/>
            </w:tcBorders>
            <w:noWrap/>
          </w:tcPr>
          <w:p w14:paraId="2D406C77" w14:textId="5B281612"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Multi-country</w:t>
            </w:r>
          </w:p>
        </w:tc>
        <w:tc>
          <w:tcPr>
            <w:tcW w:w="1270" w:type="dxa"/>
            <w:tcBorders>
              <w:top w:val="nil"/>
              <w:left w:val="nil"/>
              <w:bottom w:val="nil"/>
              <w:right w:val="nil"/>
            </w:tcBorders>
            <w:noWrap/>
          </w:tcPr>
          <w:p w14:paraId="2B440875" w14:textId="2311307C"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Community</w:t>
            </w:r>
          </w:p>
        </w:tc>
        <w:tc>
          <w:tcPr>
            <w:tcW w:w="2602" w:type="dxa"/>
            <w:tcBorders>
              <w:top w:val="nil"/>
              <w:left w:val="nil"/>
              <w:bottom w:val="nil"/>
              <w:right w:val="nil"/>
            </w:tcBorders>
            <w:noWrap/>
          </w:tcPr>
          <w:p w14:paraId="6C05477E" w14:textId="657DBB38"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General population</w:t>
            </w:r>
          </w:p>
        </w:tc>
        <w:tc>
          <w:tcPr>
            <w:tcW w:w="1797" w:type="dxa"/>
            <w:tcBorders>
              <w:top w:val="nil"/>
              <w:left w:val="nil"/>
              <w:bottom w:val="nil"/>
              <w:right w:val="nil"/>
            </w:tcBorders>
          </w:tcPr>
          <w:p w14:paraId="6F093C74" w14:textId="4E3C1C6B"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Probabilistic</w:t>
            </w:r>
          </w:p>
        </w:tc>
        <w:tc>
          <w:tcPr>
            <w:tcW w:w="1111" w:type="dxa"/>
            <w:tcBorders>
              <w:top w:val="nil"/>
              <w:left w:val="nil"/>
              <w:bottom w:val="nil"/>
              <w:right w:val="nil"/>
            </w:tcBorders>
          </w:tcPr>
          <w:p w14:paraId="40535F3B" w14:textId="4824426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VU</w:t>
            </w:r>
          </w:p>
        </w:tc>
        <w:tc>
          <w:tcPr>
            <w:tcW w:w="885" w:type="dxa"/>
            <w:tcBorders>
              <w:top w:val="nil"/>
              <w:left w:val="nil"/>
              <w:bottom w:val="nil"/>
              <w:right w:val="nil"/>
            </w:tcBorders>
            <w:noWrap/>
          </w:tcPr>
          <w:p w14:paraId="5F132C1F" w14:textId="005FDE0D"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1669F0">
              <w:rPr>
                <w:rFonts w:eastAsia="Times New Roman" w:cs="Calibri"/>
                <w:color w:val="000000"/>
                <w:kern w:val="0"/>
                <w:sz w:val="20"/>
                <w:szCs w:val="20"/>
                <w:lang w:eastAsia="fr-FR"/>
                <w14:ligatures w14:val="none"/>
              </w:rPr>
              <w:t>Low</w:t>
            </w:r>
          </w:p>
        </w:tc>
      </w:tr>
      <w:tr w:rsidR="00C556B1" w:rsidRPr="00836F13" w14:paraId="2154175A" w14:textId="77777777" w:rsidTr="00BA2E10">
        <w:trPr>
          <w:trHeight w:val="290"/>
        </w:trPr>
        <w:tc>
          <w:tcPr>
            <w:tcW w:w="1843" w:type="dxa"/>
            <w:tcBorders>
              <w:top w:val="nil"/>
              <w:left w:val="nil"/>
              <w:bottom w:val="nil"/>
              <w:right w:val="nil"/>
            </w:tcBorders>
            <w:noWrap/>
            <w:hideMark/>
          </w:tcPr>
          <w:p w14:paraId="0E835E0A"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Breman,1979</w:t>
            </w:r>
          </w:p>
        </w:tc>
        <w:tc>
          <w:tcPr>
            <w:tcW w:w="988" w:type="dxa"/>
            <w:tcBorders>
              <w:top w:val="nil"/>
              <w:left w:val="nil"/>
              <w:bottom w:val="nil"/>
              <w:right w:val="nil"/>
            </w:tcBorders>
          </w:tcPr>
          <w:p w14:paraId="72C87269" w14:textId="0ADD7036"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fldChar w:fldCharType="begin"/>
            </w:r>
            <w:r w:rsidRPr="00836F13">
              <w:rPr>
                <w:rFonts w:eastAsia="Times New Roman" w:cs="Calibri"/>
                <w:color w:val="000000"/>
                <w:kern w:val="0"/>
                <w:sz w:val="20"/>
                <w:szCs w:val="20"/>
                <w:lang w:eastAsia="fr-FR"/>
                <w14:ligatures w14:val="none"/>
              </w:rPr>
              <w:instrText xml:space="preserve"> ADDIN ZOTERO_ITEM CSL_CITATION {"citationID":"KF7o98p6","properties":{"formattedCitation":"[3]","plainCitation":"[3]","noteIndex":0},"citationItems":[{"id":3843,"uris":["http://zotero.org/users/1791235/items/WJLXLDJ4"],"itemData":{"id":3843,"type":"article-journal","abstract":"Increasing attention has been given to human monkeypox since the achievement of global smallpox eradication. Monkeypox, which was first described in Central Africa in 1970, resembles smallpox clinically but differs from it epidemiologically. Forty-seven cases of human monkeypox have occurred since 1970 in 5 Central and West African countries; 38 of these cases have been reported from Zaire. The evolution of the illness and the sequelae of monkeypox and smallpox are the same; monkeypox has a case-fatality rate of about 17%. Children below 10 years of age comprise 83% of the cases. All cases have occurred in tropical rainforest areas and clustering of cases has been observed in certain zones within countries and within families. Person-to-person spread may have occurred in 4 cases; the secondary attack rate among susceptible, very close family members was 7.5% (3 cases/40 contacts) and among all susceptible contacts was 3.3% (4 cases/123 contacts)-much lower than the 25-40% secondary attack rate that occurs with smallpox. Although the low transmission rate and the low frequency of disease indicate that monkeypox is not a public health problem, more data are needed.Whilst many animals near human monkeypox cases have been demonstrated to have orthopoxvirus antibodies, the natural reservoir(s) and the vector(s) of monkeypox virus are unknown. Studies are in progress to identify the natural cycle of monkeypox virus and to define better the clinical and epidemiological features of this disease.","container-title":"Bulletin of the World Health Organization","ISSN":"0042-9686","issue":"2","journalAbbreviation":"Bull World Health Organ","language":"eng","note":"PMID: 6249508\nPMCID: PMC2395797","page":"165-82","source":"PubMed","title":"Human monkeypox, 1970-79","volume":"58","author":[{"family":"Breman","given":"J. G."},{"family":"Kalisa-Ruti","given":""},{"family":"Steniowski","given":"M. V."},{"family":"Zanotto","given":"E."},{"family":"Gromyko","given":"A. I."},{"family":"Arita","given":"I."}],"issued":{"date-parts":[["1980"]]}}}],"schema":"https://github.com/citation-style-language/schema/raw/master/csl-citation.json"} </w:instrText>
            </w:r>
            <w:r w:rsidRPr="00836F13">
              <w:rPr>
                <w:rFonts w:eastAsia="Times New Roman" w:cs="Calibri"/>
                <w:color w:val="000000"/>
                <w:kern w:val="0"/>
                <w:sz w:val="20"/>
                <w:szCs w:val="20"/>
                <w:lang w:eastAsia="fr-FR"/>
                <w14:ligatures w14:val="none"/>
              </w:rPr>
              <w:fldChar w:fldCharType="separate"/>
            </w:r>
            <w:r w:rsidRPr="00836F13">
              <w:rPr>
                <w:sz w:val="20"/>
              </w:rPr>
              <w:t>[3]</w:t>
            </w:r>
            <w:r w:rsidRPr="00836F13">
              <w:rPr>
                <w:rFonts w:eastAsia="Times New Roman" w:cs="Calibri"/>
                <w:color w:val="000000"/>
                <w:kern w:val="0"/>
                <w:sz w:val="20"/>
                <w:szCs w:val="20"/>
                <w:lang w:eastAsia="fr-FR"/>
                <w14:ligatures w14:val="none"/>
              </w:rPr>
              <w:fldChar w:fldCharType="end"/>
            </w:r>
          </w:p>
        </w:tc>
        <w:tc>
          <w:tcPr>
            <w:tcW w:w="714" w:type="dxa"/>
            <w:tcBorders>
              <w:top w:val="nil"/>
              <w:left w:val="nil"/>
              <w:bottom w:val="nil"/>
              <w:right w:val="nil"/>
            </w:tcBorders>
            <w:noWrap/>
            <w:hideMark/>
          </w:tcPr>
          <w:p w14:paraId="60BB6ADD" w14:textId="4BA0CC3F"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1979</w:t>
            </w:r>
          </w:p>
        </w:tc>
        <w:tc>
          <w:tcPr>
            <w:tcW w:w="2126" w:type="dxa"/>
            <w:tcBorders>
              <w:top w:val="nil"/>
              <w:left w:val="nil"/>
              <w:bottom w:val="nil"/>
              <w:right w:val="nil"/>
            </w:tcBorders>
            <w:noWrap/>
            <w:hideMark/>
          </w:tcPr>
          <w:p w14:paraId="10FF9A32" w14:textId="2BE3A7E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Multi-country</w:t>
            </w:r>
          </w:p>
        </w:tc>
        <w:tc>
          <w:tcPr>
            <w:tcW w:w="1270" w:type="dxa"/>
            <w:tcBorders>
              <w:top w:val="nil"/>
              <w:left w:val="nil"/>
              <w:bottom w:val="nil"/>
              <w:right w:val="nil"/>
            </w:tcBorders>
            <w:noWrap/>
            <w:hideMark/>
          </w:tcPr>
          <w:p w14:paraId="672E1933"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Community</w:t>
            </w:r>
          </w:p>
        </w:tc>
        <w:tc>
          <w:tcPr>
            <w:tcW w:w="2602" w:type="dxa"/>
            <w:tcBorders>
              <w:top w:val="nil"/>
              <w:left w:val="nil"/>
              <w:bottom w:val="nil"/>
              <w:right w:val="nil"/>
            </w:tcBorders>
            <w:noWrap/>
            <w:hideMark/>
          </w:tcPr>
          <w:p w14:paraId="6E89B502"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General population</w:t>
            </w:r>
          </w:p>
        </w:tc>
        <w:tc>
          <w:tcPr>
            <w:tcW w:w="1797" w:type="dxa"/>
            <w:tcBorders>
              <w:top w:val="nil"/>
              <w:left w:val="nil"/>
              <w:bottom w:val="nil"/>
              <w:right w:val="nil"/>
            </w:tcBorders>
          </w:tcPr>
          <w:p w14:paraId="3844D9DC" w14:textId="731B263C"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Non-probabilistic</w:t>
            </w:r>
          </w:p>
        </w:tc>
        <w:tc>
          <w:tcPr>
            <w:tcW w:w="1111" w:type="dxa"/>
            <w:tcBorders>
              <w:top w:val="nil"/>
              <w:left w:val="nil"/>
              <w:bottom w:val="nil"/>
              <w:right w:val="nil"/>
            </w:tcBorders>
          </w:tcPr>
          <w:p w14:paraId="1A38EEB5" w14:textId="32143984"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VU</w:t>
            </w:r>
          </w:p>
        </w:tc>
        <w:tc>
          <w:tcPr>
            <w:tcW w:w="885" w:type="dxa"/>
            <w:tcBorders>
              <w:top w:val="nil"/>
              <w:left w:val="nil"/>
              <w:bottom w:val="nil"/>
              <w:right w:val="nil"/>
            </w:tcBorders>
            <w:noWrap/>
            <w:hideMark/>
          </w:tcPr>
          <w:p w14:paraId="644760A9" w14:textId="51D11FB5"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1669F0">
              <w:rPr>
                <w:rFonts w:eastAsia="Times New Roman" w:cs="Calibri"/>
                <w:color w:val="000000"/>
                <w:kern w:val="0"/>
                <w:sz w:val="20"/>
                <w:szCs w:val="20"/>
                <w:lang w:eastAsia="fr-FR"/>
                <w14:ligatures w14:val="none"/>
              </w:rPr>
              <w:t>Low</w:t>
            </w:r>
          </w:p>
        </w:tc>
      </w:tr>
      <w:tr w:rsidR="00C556B1" w:rsidRPr="00836F13" w14:paraId="71C61FB2" w14:textId="77777777" w:rsidTr="00BA2E10">
        <w:trPr>
          <w:trHeight w:val="290"/>
        </w:trPr>
        <w:tc>
          <w:tcPr>
            <w:tcW w:w="1843" w:type="dxa"/>
            <w:tcBorders>
              <w:top w:val="nil"/>
              <w:left w:val="nil"/>
              <w:bottom w:val="nil"/>
              <w:right w:val="nil"/>
            </w:tcBorders>
            <w:noWrap/>
            <w:hideMark/>
          </w:tcPr>
          <w:p w14:paraId="329EC0C5"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Mutombo,1982</w:t>
            </w:r>
          </w:p>
        </w:tc>
        <w:tc>
          <w:tcPr>
            <w:tcW w:w="988" w:type="dxa"/>
            <w:tcBorders>
              <w:top w:val="nil"/>
              <w:left w:val="nil"/>
              <w:bottom w:val="nil"/>
              <w:right w:val="nil"/>
            </w:tcBorders>
          </w:tcPr>
          <w:p w14:paraId="021513E6" w14:textId="3A2DA8C1"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fldChar w:fldCharType="begin"/>
            </w:r>
            <w:r w:rsidRPr="00836F13">
              <w:rPr>
                <w:rFonts w:eastAsia="Times New Roman" w:cs="Calibri"/>
                <w:color w:val="000000"/>
                <w:kern w:val="0"/>
                <w:sz w:val="20"/>
                <w:szCs w:val="20"/>
                <w:lang w:eastAsia="fr-FR"/>
                <w14:ligatures w14:val="none"/>
              </w:rPr>
              <w:instrText xml:space="preserve"> ADDIN ZOTERO_ITEM CSL_CITATION {"citationID":"bhHihCdd","properties":{"formattedCitation":"[4]","plainCitation":"[4]","noteIndex":0},"citationItems":[{"id":3555,"uris":["http://zotero.org/users/1791235/items/68HSQ6JD"],"itemData":{"id":3555,"type":"article-journal","abstract":"A case of monkeypox infection in a six- month-old baby girl who had been bitten by a wild chimpanzee in Kivu, Zaire, was investigated. The child had not been exposed to any monkeypox-like disease and no cases of such disease had occurred in the surrounding area during previous months. The time of onset of rash was consistent with the virus having been transmitted from the chimpanzee. However, it is still not known whether chimpanzees and other primates or lower mammals are the primary reservoir of monkeypox infection.","container-title":"Lancet (London, England)","DOI":"10.1016/S0140-6736(83)92027-5","ISSN":"0140-6736","issue":"8327","journalAbbreviation":"Lancet","note":"PMID: 6132084\nPMCID: PMC9534202","page":"735-7","source":"PubMed Central","title":"HUMAN MONKEYPOX TRANSMITTED BY A CHIMPANZEE IN A TROPICAL RAIN-FOREST AREA OF ZAIRE","volume":"321","author":[{"family":"Mutombo","given":"MutomboWa"},{"family":"Jezek","given":"Z."},{"family":"Arita","given":"I."},{"family":"Jezek","given":"Z."}],"issued":{"date-parts":[["1983"]]}}}],"schema":"https://github.com/citation-style-language/schema/raw/master/csl-citation.json"} </w:instrText>
            </w:r>
            <w:r w:rsidRPr="00836F13">
              <w:rPr>
                <w:rFonts w:eastAsia="Times New Roman" w:cs="Calibri"/>
                <w:color w:val="000000"/>
                <w:kern w:val="0"/>
                <w:sz w:val="20"/>
                <w:szCs w:val="20"/>
                <w:lang w:eastAsia="fr-FR"/>
                <w14:ligatures w14:val="none"/>
              </w:rPr>
              <w:fldChar w:fldCharType="separate"/>
            </w:r>
            <w:r w:rsidRPr="00836F13">
              <w:rPr>
                <w:sz w:val="20"/>
              </w:rPr>
              <w:t>[4]</w:t>
            </w:r>
            <w:r w:rsidRPr="00836F13">
              <w:rPr>
                <w:rFonts w:eastAsia="Times New Roman" w:cs="Calibri"/>
                <w:color w:val="000000"/>
                <w:kern w:val="0"/>
                <w:sz w:val="20"/>
                <w:szCs w:val="20"/>
                <w:lang w:eastAsia="fr-FR"/>
                <w14:ligatures w14:val="none"/>
              </w:rPr>
              <w:fldChar w:fldCharType="end"/>
            </w:r>
          </w:p>
        </w:tc>
        <w:tc>
          <w:tcPr>
            <w:tcW w:w="714" w:type="dxa"/>
            <w:tcBorders>
              <w:top w:val="nil"/>
              <w:left w:val="nil"/>
              <w:bottom w:val="nil"/>
              <w:right w:val="nil"/>
            </w:tcBorders>
            <w:noWrap/>
            <w:hideMark/>
          </w:tcPr>
          <w:p w14:paraId="0F560842" w14:textId="0A2D2C9C"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1982</w:t>
            </w:r>
          </w:p>
        </w:tc>
        <w:tc>
          <w:tcPr>
            <w:tcW w:w="2126" w:type="dxa"/>
            <w:tcBorders>
              <w:top w:val="nil"/>
              <w:left w:val="nil"/>
              <w:bottom w:val="nil"/>
              <w:right w:val="nil"/>
            </w:tcBorders>
            <w:noWrap/>
            <w:hideMark/>
          </w:tcPr>
          <w:p w14:paraId="72877269"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DRC</w:t>
            </w:r>
          </w:p>
        </w:tc>
        <w:tc>
          <w:tcPr>
            <w:tcW w:w="1270" w:type="dxa"/>
            <w:tcBorders>
              <w:top w:val="nil"/>
              <w:left w:val="nil"/>
              <w:bottom w:val="nil"/>
              <w:right w:val="nil"/>
            </w:tcBorders>
            <w:noWrap/>
            <w:hideMark/>
          </w:tcPr>
          <w:p w14:paraId="330049FA"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Community</w:t>
            </w:r>
          </w:p>
        </w:tc>
        <w:tc>
          <w:tcPr>
            <w:tcW w:w="2602" w:type="dxa"/>
            <w:tcBorders>
              <w:top w:val="nil"/>
              <w:left w:val="nil"/>
              <w:bottom w:val="nil"/>
              <w:right w:val="nil"/>
            </w:tcBorders>
            <w:noWrap/>
            <w:hideMark/>
          </w:tcPr>
          <w:p w14:paraId="2D22D596"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General population</w:t>
            </w:r>
          </w:p>
        </w:tc>
        <w:tc>
          <w:tcPr>
            <w:tcW w:w="1797" w:type="dxa"/>
            <w:tcBorders>
              <w:top w:val="nil"/>
              <w:left w:val="nil"/>
              <w:bottom w:val="nil"/>
              <w:right w:val="nil"/>
            </w:tcBorders>
          </w:tcPr>
          <w:p w14:paraId="2E6397AE" w14:textId="7396C52E"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Non-probabilistic</w:t>
            </w:r>
          </w:p>
        </w:tc>
        <w:tc>
          <w:tcPr>
            <w:tcW w:w="1111" w:type="dxa"/>
            <w:tcBorders>
              <w:top w:val="nil"/>
              <w:left w:val="nil"/>
              <w:bottom w:val="nil"/>
              <w:right w:val="nil"/>
            </w:tcBorders>
          </w:tcPr>
          <w:p w14:paraId="143697DD" w14:textId="4CEF5D76"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VU</w:t>
            </w:r>
          </w:p>
        </w:tc>
        <w:tc>
          <w:tcPr>
            <w:tcW w:w="885" w:type="dxa"/>
            <w:tcBorders>
              <w:top w:val="nil"/>
              <w:left w:val="nil"/>
              <w:bottom w:val="nil"/>
              <w:right w:val="nil"/>
            </w:tcBorders>
            <w:noWrap/>
            <w:hideMark/>
          </w:tcPr>
          <w:p w14:paraId="45BCA9AD" w14:textId="29B924A2"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1669F0">
              <w:rPr>
                <w:rFonts w:eastAsia="Times New Roman" w:cs="Calibri"/>
                <w:color w:val="000000"/>
                <w:kern w:val="0"/>
                <w:sz w:val="20"/>
                <w:szCs w:val="20"/>
                <w:lang w:eastAsia="fr-FR"/>
                <w14:ligatures w14:val="none"/>
              </w:rPr>
              <w:t>Low</w:t>
            </w:r>
          </w:p>
        </w:tc>
      </w:tr>
      <w:tr w:rsidR="00C556B1" w:rsidRPr="00836F13" w14:paraId="6721B764" w14:textId="77777777" w:rsidTr="00BA2E10">
        <w:trPr>
          <w:trHeight w:val="290"/>
        </w:trPr>
        <w:tc>
          <w:tcPr>
            <w:tcW w:w="1843" w:type="dxa"/>
            <w:tcBorders>
              <w:top w:val="nil"/>
              <w:left w:val="nil"/>
              <w:bottom w:val="nil"/>
              <w:right w:val="nil"/>
            </w:tcBorders>
            <w:noWrap/>
            <w:hideMark/>
          </w:tcPr>
          <w:p w14:paraId="58BAE54D"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Arita,1983</w:t>
            </w:r>
          </w:p>
        </w:tc>
        <w:tc>
          <w:tcPr>
            <w:tcW w:w="988" w:type="dxa"/>
            <w:tcBorders>
              <w:top w:val="nil"/>
              <w:left w:val="nil"/>
              <w:bottom w:val="nil"/>
              <w:right w:val="nil"/>
            </w:tcBorders>
          </w:tcPr>
          <w:p w14:paraId="5964F73E" w14:textId="5CF3710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fldChar w:fldCharType="begin"/>
            </w:r>
            <w:r w:rsidRPr="00836F13">
              <w:rPr>
                <w:rFonts w:eastAsia="Times New Roman" w:cs="Calibri"/>
                <w:color w:val="000000"/>
                <w:kern w:val="0"/>
                <w:sz w:val="20"/>
                <w:szCs w:val="20"/>
                <w:lang w:eastAsia="fr-FR"/>
                <w14:ligatures w14:val="none"/>
              </w:rPr>
              <w:instrText xml:space="preserve"> ADDIN ZOTERO_ITEM CSL_CITATION {"citationID":"YTxz9nEG","properties":{"formattedCitation":"[5]","plainCitation":"[5]","noteIndex":0},"citationItems":[{"id":4490,"uris":["http://zotero.org/users/1791235/items/XFE6XBUB"],"itemData":{"id":4490,"type":"article-journal","container-title":"The American journal of tropical medicine and hygiene","issue":"4","page":"781–789","source":"Google Scholar","title":"Human monkeypox: a newly emerged orthopoxvirus zoonosis in the tropical rain forests of Africa.","title-short":"Human monkeypox","volume":"34","author":[{"family":"Arita","given":"I."},{"family":"Jezek","given":"Z."},{"family":"Khodakevich","given":"L."},{"family":"Ruti","given":"Kalisa"}],"issued":{"date-parts":[["1985"]]}}}],"schema":"https://github.com/citation-style-language/schema/raw/master/csl-citation.json"} </w:instrText>
            </w:r>
            <w:r w:rsidRPr="00836F13">
              <w:rPr>
                <w:rFonts w:eastAsia="Times New Roman" w:cs="Calibri"/>
                <w:color w:val="000000"/>
                <w:kern w:val="0"/>
                <w:sz w:val="20"/>
                <w:szCs w:val="20"/>
                <w:lang w:eastAsia="fr-FR"/>
                <w14:ligatures w14:val="none"/>
              </w:rPr>
              <w:fldChar w:fldCharType="separate"/>
            </w:r>
            <w:r w:rsidRPr="00836F13">
              <w:rPr>
                <w:sz w:val="20"/>
              </w:rPr>
              <w:t>[5]</w:t>
            </w:r>
            <w:r w:rsidRPr="00836F13">
              <w:rPr>
                <w:rFonts w:eastAsia="Times New Roman" w:cs="Calibri"/>
                <w:color w:val="000000"/>
                <w:kern w:val="0"/>
                <w:sz w:val="20"/>
                <w:szCs w:val="20"/>
                <w:lang w:eastAsia="fr-FR"/>
                <w14:ligatures w14:val="none"/>
              </w:rPr>
              <w:fldChar w:fldCharType="end"/>
            </w:r>
          </w:p>
        </w:tc>
        <w:tc>
          <w:tcPr>
            <w:tcW w:w="714" w:type="dxa"/>
            <w:tcBorders>
              <w:top w:val="nil"/>
              <w:left w:val="nil"/>
              <w:bottom w:val="nil"/>
              <w:right w:val="nil"/>
            </w:tcBorders>
            <w:noWrap/>
            <w:hideMark/>
          </w:tcPr>
          <w:p w14:paraId="14FB9BB5" w14:textId="7DA90D02"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1983</w:t>
            </w:r>
          </w:p>
        </w:tc>
        <w:tc>
          <w:tcPr>
            <w:tcW w:w="2126" w:type="dxa"/>
            <w:tcBorders>
              <w:top w:val="nil"/>
              <w:left w:val="nil"/>
              <w:bottom w:val="nil"/>
              <w:right w:val="nil"/>
            </w:tcBorders>
            <w:noWrap/>
            <w:hideMark/>
          </w:tcPr>
          <w:p w14:paraId="13913557" w14:textId="57AD09F4"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Multi-country</w:t>
            </w:r>
          </w:p>
        </w:tc>
        <w:tc>
          <w:tcPr>
            <w:tcW w:w="1270" w:type="dxa"/>
            <w:tcBorders>
              <w:top w:val="nil"/>
              <w:left w:val="nil"/>
              <w:bottom w:val="nil"/>
              <w:right w:val="nil"/>
            </w:tcBorders>
            <w:noWrap/>
            <w:hideMark/>
          </w:tcPr>
          <w:p w14:paraId="62367651"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Community</w:t>
            </w:r>
          </w:p>
        </w:tc>
        <w:tc>
          <w:tcPr>
            <w:tcW w:w="2602" w:type="dxa"/>
            <w:tcBorders>
              <w:top w:val="nil"/>
              <w:left w:val="nil"/>
              <w:bottom w:val="nil"/>
              <w:right w:val="nil"/>
            </w:tcBorders>
            <w:noWrap/>
            <w:hideMark/>
          </w:tcPr>
          <w:p w14:paraId="5E65E275"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General population</w:t>
            </w:r>
          </w:p>
        </w:tc>
        <w:tc>
          <w:tcPr>
            <w:tcW w:w="1797" w:type="dxa"/>
            <w:tcBorders>
              <w:top w:val="nil"/>
              <w:left w:val="nil"/>
              <w:bottom w:val="nil"/>
              <w:right w:val="nil"/>
            </w:tcBorders>
          </w:tcPr>
          <w:p w14:paraId="5A58548A" w14:textId="7A175970"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Non-probabilistic</w:t>
            </w:r>
          </w:p>
        </w:tc>
        <w:tc>
          <w:tcPr>
            <w:tcW w:w="1111" w:type="dxa"/>
            <w:tcBorders>
              <w:top w:val="nil"/>
              <w:left w:val="nil"/>
              <w:bottom w:val="nil"/>
              <w:right w:val="nil"/>
            </w:tcBorders>
          </w:tcPr>
          <w:p w14:paraId="201DA4A1" w14:textId="15E14FE9"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VU</w:t>
            </w:r>
          </w:p>
        </w:tc>
        <w:tc>
          <w:tcPr>
            <w:tcW w:w="885" w:type="dxa"/>
            <w:tcBorders>
              <w:top w:val="nil"/>
              <w:left w:val="nil"/>
              <w:bottom w:val="nil"/>
              <w:right w:val="nil"/>
            </w:tcBorders>
            <w:noWrap/>
            <w:hideMark/>
          </w:tcPr>
          <w:p w14:paraId="6CD29EC4" w14:textId="4707CAF9"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1669F0">
              <w:rPr>
                <w:rFonts w:eastAsia="Times New Roman" w:cs="Calibri"/>
                <w:color w:val="000000"/>
                <w:kern w:val="0"/>
                <w:sz w:val="20"/>
                <w:szCs w:val="20"/>
                <w:lang w:eastAsia="fr-FR"/>
                <w14:ligatures w14:val="none"/>
              </w:rPr>
              <w:t>Low</w:t>
            </w:r>
          </w:p>
        </w:tc>
      </w:tr>
      <w:tr w:rsidR="00C556B1" w:rsidRPr="00836F13" w14:paraId="0CDBD304" w14:textId="77777777" w:rsidTr="00BA2E10">
        <w:trPr>
          <w:trHeight w:val="290"/>
        </w:trPr>
        <w:tc>
          <w:tcPr>
            <w:tcW w:w="1843" w:type="dxa"/>
            <w:tcBorders>
              <w:top w:val="nil"/>
              <w:left w:val="nil"/>
              <w:bottom w:val="nil"/>
              <w:right w:val="nil"/>
            </w:tcBorders>
            <w:noWrap/>
            <w:hideMark/>
          </w:tcPr>
          <w:p w14:paraId="138570A4"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Jezek,1985</w:t>
            </w:r>
          </w:p>
        </w:tc>
        <w:tc>
          <w:tcPr>
            <w:tcW w:w="988" w:type="dxa"/>
            <w:tcBorders>
              <w:top w:val="nil"/>
              <w:left w:val="nil"/>
              <w:bottom w:val="nil"/>
              <w:right w:val="nil"/>
            </w:tcBorders>
          </w:tcPr>
          <w:p w14:paraId="43A25078" w14:textId="45EB59A0"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fldChar w:fldCharType="begin"/>
            </w:r>
            <w:r w:rsidRPr="00836F13">
              <w:rPr>
                <w:rFonts w:eastAsia="Times New Roman" w:cs="Calibri"/>
                <w:color w:val="000000"/>
                <w:kern w:val="0"/>
                <w:sz w:val="20"/>
                <w:szCs w:val="20"/>
                <w:lang w:eastAsia="fr-FR"/>
                <w14:ligatures w14:val="none"/>
              </w:rPr>
              <w:instrText xml:space="preserve"> ADDIN ZOTERO_ITEM CSL_CITATION {"citationID":"QygfuJNI","properties":{"formattedCitation":"[6]","plainCitation":"[6]","noteIndex":0},"citationItems":[{"id":3582,"uris":["http://zotero.org/users/1791235/items/WMFH8GLN"],"itemData":{"id":3582,"type":"article-journal","container-title":"Journal of Infectious Diseases","DOI":"10.1093/infdis/156.2.293","ISSN":"0022-1899, 1537-6613","issue":"2","journalAbbreviation":"Journal of Infectious Diseases","language":"en","page":"293-8","source":"DOI.org (Crossref)","title":"Human Monkeypox: Clinical Features of 282 Patients","title-short":"Human Monkeypox","volume":"156","author":[{"family":"Jezek","given":"Z."},{"family":"Szczeniowski","given":"M."},{"family":"Paluku","given":"K. M."},{"family":"Mutombo","given":"M."}],"issued":{"date-parts":[["1987"]]}}}],"schema":"https://github.com/citation-style-language/schema/raw/master/csl-citation.json"} </w:instrText>
            </w:r>
            <w:r w:rsidRPr="00836F13">
              <w:rPr>
                <w:rFonts w:eastAsia="Times New Roman" w:cs="Calibri"/>
                <w:color w:val="000000"/>
                <w:kern w:val="0"/>
                <w:sz w:val="20"/>
                <w:szCs w:val="20"/>
                <w:lang w:eastAsia="fr-FR"/>
                <w14:ligatures w14:val="none"/>
              </w:rPr>
              <w:fldChar w:fldCharType="separate"/>
            </w:r>
            <w:r w:rsidRPr="00836F13">
              <w:rPr>
                <w:sz w:val="20"/>
              </w:rPr>
              <w:t>[6]</w:t>
            </w:r>
            <w:r w:rsidRPr="00836F13">
              <w:rPr>
                <w:rFonts w:eastAsia="Times New Roman" w:cs="Calibri"/>
                <w:color w:val="000000"/>
                <w:kern w:val="0"/>
                <w:sz w:val="20"/>
                <w:szCs w:val="20"/>
                <w:lang w:eastAsia="fr-FR"/>
                <w14:ligatures w14:val="none"/>
              </w:rPr>
              <w:fldChar w:fldCharType="end"/>
            </w:r>
          </w:p>
        </w:tc>
        <w:tc>
          <w:tcPr>
            <w:tcW w:w="714" w:type="dxa"/>
            <w:tcBorders>
              <w:top w:val="nil"/>
              <w:left w:val="nil"/>
              <w:bottom w:val="nil"/>
              <w:right w:val="nil"/>
            </w:tcBorders>
            <w:noWrap/>
            <w:hideMark/>
          </w:tcPr>
          <w:p w14:paraId="013EF9FB" w14:textId="116DFD7D"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1985</w:t>
            </w:r>
          </w:p>
        </w:tc>
        <w:tc>
          <w:tcPr>
            <w:tcW w:w="2126" w:type="dxa"/>
            <w:tcBorders>
              <w:top w:val="nil"/>
              <w:left w:val="nil"/>
              <w:bottom w:val="nil"/>
              <w:right w:val="nil"/>
            </w:tcBorders>
            <w:noWrap/>
            <w:hideMark/>
          </w:tcPr>
          <w:p w14:paraId="6808C0B6"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DRC</w:t>
            </w:r>
          </w:p>
        </w:tc>
        <w:tc>
          <w:tcPr>
            <w:tcW w:w="1270" w:type="dxa"/>
            <w:tcBorders>
              <w:top w:val="nil"/>
              <w:left w:val="nil"/>
              <w:bottom w:val="nil"/>
              <w:right w:val="nil"/>
            </w:tcBorders>
            <w:noWrap/>
            <w:hideMark/>
          </w:tcPr>
          <w:p w14:paraId="5695423F"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Community</w:t>
            </w:r>
          </w:p>
        </w:tc>
        <w:tc>
          <w:tcPr>
            <w:tcW w:w="2602" w:type="dxa"/>
            <w:tcBorders>
              <w:top w:val="nil"/>
              <w:left w:val="nil"/>
              <w:bottom w:val="nil"/>
              <w:right w:val="nil"/>
            </w:tcBorders>
            <w:noWrap/>
            <w:hideMark/>
          </w:tcPr>
          <w:p w14:paraId="371B3EBB"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General population</w:t>
            </w:r>
          </w:p>
        </w:tc>
        <w:tc>
          <w:tcPr>
            <w:tcW w:w="1797" w:type="dxa"/>
            <w:tcBorders>
              <w:top w:val="nil"/>
              <w:left w:val="nil"/>
              <w:bottom w:val="nil"/>
              <w:right w:val="nil"/>
            </w:tcBorders>
          </w:tcPr>
          <w:p w14:paraId="46208F14" w14:textId="6CCF14E5"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Non-probabilistic</w:t>
            </w:r>
          </w:p>
        </w:tc>
        <w:tc>
          <w:tcPr>
            <w:tcW w:w="1111" w:type="dxa"/>
            <w:tcBorders>
              <w:top w:val="nil"/>
              <w:left w:val="nil"/>
              <w:bottom w:val="nil"/>
              <w:right w:val="nil"/>
            </w:tcBorders>
          </w:tcPr>
          <w:p w14:paraId="69180888" w14:textId="3B5408DB"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VU</w:t>
            </w:r>
          </w:p>
        </w:tc>
        <w:tc>
          <w:tcPr>
            <w:tcW w:w="885" w:type="dxa"/>
            <w:tcBorders>
              <w:top w:val="nil"/>
              <w:left w:val="nil"/>
              <w:bottom w:val="nil"/>
              <w:right w:val="nil"/>
            </w:tcBorders>
            <w:noWrap/>
            <w:hideMark/>
          </w:tcPr>
          <w:p w14:paraId="2EBFBDA9" w14:textId="2C62338A"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1669F0">
              <w:rPr>
                <w:rFonts w:eastAsia="Times New Roman" w:cs="Calibri"/>
                <w:color w:val="000000"/>
                <w:kern w:val="0"/>
                <w:sz w:val="20"/>
                <w:szCs w:val="20"/>
                <w:lang w:eastAsia="fr-FR"/>
                <w14:ligatures w14:val="none"/>
              </w:rPr>
              <w:t>Low</w:t>
            </w:r>
          </w:p>
        </w:tc>
      </w:tr>
      <w:tr w:rsidR="00C556B1" w:rsidRPr="00836F13" w14:paraId="37A4477A" w14:textId="77777777" w:rsidTr="00BA2E10">
        <w:trPr>
          <w:trHeight w:val="290"/>
        </w:trPr>
        <w:tc>
          <w:tcPr>
            <w:tcW w:w="1843" w:type="dxa"/>
            <w:tcBorders>
              <w:top w:val="nil"/>
              <w:left w:val="nil"/>
              <w:bottom w:val="nil"/>
              <w:right w:val="nil"/>
            </w:tcBorders>
            <w:noWrap/>
            <w:hideMark/>
          </w:tcPr>
          <w:p w14:paraId="683AF307"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Jezek,1984</w:t>
            </w:r>
          </w:p>
        </w:tc>
        <w:tc>
          <w:tcPr>
            <w:tcW w:w="988" w:type="dxa"/>
            <w:tcBorders>
              <w:top w:val="nil"/>
              <w:left w:val="nil"/>
              <w:bottom w:val="nil"/>
              <w:right w:val="nil"/>
            </w:tcBorders>
          </w:tcPr>
          <w:p w14:paraId="275031EE" w14:textId="059A964B"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fldChar w:fldCharType="begin"/>
            </w:r>
            <w:r w:rsidRPr="00836F13">
              <w:rPr>
                <w:rFonts w:eastAsia="Times New Roman" w:cs="Calibri"/>
                <w:color w:val="000000"/>
                <w:kern w:val="0"/>
                <w:sz w:val="20"/>
                <w:szCs w:val="20"/>
                <w:lang w:eastAsia="fr-FR"/>
                <w14:ligatures w14:val="none"/>
              </w:rPr>
              <w:instrText xml:space="preserve"> ADDIN ZOTERO_ITEM CSL_CITATION {"citationID":"lOGGgp2U","properties":{"formattedCitation":"[7]","plainCitation":"[7]","noteIndex":0},"citationItems":[{"id":3584,"uris":["http://zotero.org/users/1791235/items/S59Z6XAW"],"itemData":{"id":3584,"type":"article-journal","container-title":"Journal of Infectious Diseases","DOI":"10.1093/infdis/154.4.551","ISSN":"0022-1899, 1537-6613","issue":"4","journalAbbreviation":"Journal of Infectious Diseases","language":"en","page":"551-5","source":"DOI.org (Crossref)","title":"Human Monkeypox: A Study of 2,510 Contacts of 214 Patients","title-short":"Human Monkeypox","volume":"154","author":[{"family":"Jezek","given":"Z."},{"family":"Marennikova","given":"S. S."},{"family":"Mutumbo","given":"M."},{"family":"Nakano","given":"J. H."},{"family":"Paluku","given":"K. M."},{"family":"Szczeniowski","given":"M."}],"issued":{"date-parts":[["1986"]]}}}],"schema":"https://github.com/citation-style-language/schema/raw/master/csl-citation.json"} </w:instrText>
            </w:r>
            <w:r w:rsidRPr="00836F13">
              <w:rPr>
                <w:rFonts w:eastAsia="Times New Roman" w:cs="Calibri"/>
                <w:color w:val="000000"/>
                <w:kern w:val="0"/>
                <w:sz w:val="20"/>
                <w:szCs w:val="20"/>
                <w:lang w:eastAsia="fr-FR"/>
                <w14:ligatures w14:val="none"/>
              </w:rPr>
              <w:fldChar w:fldCharType="separate"/>
            </w:r>
            <w:r w:rsidRPr="00836F13">
              <w:rPr>
                <w:sz w:val="20"/>
              </w:rPr>
              <w:t>[7]</w:t>
            </w:r>
            <w:r w:rsidRPr="00836F13">
              <w:rPr>
                <w:rFonts w:eastAsia="Times New Roman" w:cs="Calibri"/>
                <w:color w:val="000000"/>
                <w:kern w:val="0"/>
                <w:sz w:val="20"/>
                <w:szCs w:val="20"/>
                <w:lang w:eastAsia="fr-FR"/>
                <w14:ligatures w14:val="none"/>
              </w:rPr>
              <w:fldChar w:fldCharType="end"/>
            </w:r>
          </w:p>
        </w:tc>
        <w:tc>
          <w:tcPr>
            <w:tcW w:w="714" w:type="dxa"/>
            <w:tcBorders>
              <w:top w:val="nil"/>
              <w:left w:val="nil"/>
              <w:bottom w:val="nil"/>
              <w:right w:val="nil"/>
            </w:tcBorders>
            <w:noWrap/>
            <w:hideMark/>
          </w:tcPr>
          <w:p w14:paraId="388A44AF" w14:textId="44F5DDF1"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1986</w:t>
            </w:r>
          </w:p>
        </w:tc>
        <w:tc>
          <w:tcPr>
            <w:tcW w:w="2126" w:type="dxa"/>
            <w:tcBorders>
              <w:top w:val="nil"/>
              <w:left w:val="nil"/>
              <w:bottom w:val="nil"/>
              <w:right w:val="nil"/>
            </w:tcBorders>
            <w:noWrap/>
            <w:hideMark/>
          </w:tcPr>
          <w:p w14:paraId="2B79D20E"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DRC</w:t>
            </w:r>
          </w:p>
        </w:tc>
        <w:tc>
          <w:tcPr>
            <w:tcW w:w="1270" w:type="dxa"/>
            <w:tcBorders>
              <w:top w:val="nil"/>
              <w:left w:val="nil"/>
              <w:bottom w:val="nil"/>
              <w:right w:val="nil"/>
            </w:tcBorders>
            <w:noWrap/>
            <w:hideMark/>
          </w:tcPr>
          <w:p w14:paraId="65D01D93"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Community</w:t>
            </w:r>
          </w:p>
        </w:tc>
        <w:tc>
          <w:tcPr>
            <w:tcW w:w="2602" w:type="dxa"/>
            <w:tcBorders>
              <w:top w:val="nil"/>
              <w:left w:val="nil"/>
              <w:bottom w:val="nil"/>
              <w:right w:val="nil"/>
            </w:tcBorders>
            <w:noWrap/>
            <w:hideMark/>
          </w:tcPr>
          <w:p w14:paraId="7C0B6D89"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General population</w:t>
            </w:r>
          </w:p>
        </w:tc>
        <w:tc>
          <w:tcPr>
            <w:tcW w:w="1797" w:type="dxa"/>
            <w:tcBorders>
              <w:top w:val="nil"/>
              <w:left w:val="nil"/>
              <w:bottom w:val="nil"/>
              <w:right w:val="nil"/>
            </w:tcBorders>
          </w:tcPr>
          <w:p w14:paraId="16903DF0" w14:textId="5F619518"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Non-probabilistic</w:t>
            </w:r>
          </w:p>
        </w:tc>
        <w:tc>
          <w:tcPr>
            <w:tcW w:w="1111" w:type="dxa"/>
            <w:tcBorders>
              <w:top w:val="nil"/>
              <w:left w:val="nil"/>
              <w:bottom w:val="nil"/>
              <w:right w:val="nil"/>
            </w:tcBorders>
          </w:tcPr>
          <w:p w14:paraId="22099306" w14:textId="21E47FFE"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VU</w:t>
            </w:r>
          </w:p>
        </w:tc>
        <w:tc>
          <w:tcPr>
            <w:tcW w:w="885" w:type="dxa"/>
            <w:tcBorders>
              <w:top w:val="nil"/>
              <w:left w:val="nil"/>
              <w:bottom w:val="nil"/>
              <w:right w:val="nil"/>
            </w:tcBorders>
            <w:noWrap/>
            <w:hideMark/>
          </w:tcPr>
          <w:p w14:paraId="1696F0E5" w14:textId="520967B8"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1669F0">
              <w:rPr>
                <w:rFonts w:eastAsia="Times New Roman" w:cs="Calibri"/>
                <w:color w:val="000000"/>
                <w:kern w:val="0"/>
                <w:sz w:val="20"/>
                <w:szCs w:val="20"/>
                <w:lang w:eastAsia="fr-FR"/>
                <w14:ligatures w14:val="none"/>
              </w:rPr>
              <w:t>Low</w:t>
            </w:r>
          </w:p>
        </w:tc>
      </w:tr>
      <w:tr w:rsidR="00C556B1" w:rsidRPr="00836F13" w14:paraId="4A8E55C8" w14:textId="77777777" w:rsidTr="00BA2E10">
        <w:trPr>
          <w:trHeight w:val="290"/>
        </w:trPr>
        <w:tc>
          <w:tcPr>
            <w:tcW w:w="1843" w:type="dxa"/>
            <w:tcBorders>
              <w:top w:val="nil"/>
              <w:left w:val="nil"/>
              <w:bottom w:val="nil"/>
              <w:right w:val="nil"/>
            </w:tcBorders>
            <w:noWrap/>
            <w:hideMark/>
          </w:tcPr>
          <w:p w14:paraId="3456D555"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Mwamba,1997</w:t>
            </w:r>
          </w:p>
        </w:tc>
        <w:tc>
          <w:tcPr>
            <w:tcW w:w="988" w:type="dxa"/>
            <w:tcBorders>
              <w:top w:val="nil"/>
              <w:left w:val="nil"/>
              <w:bottom w:val="nil"/>
              <w:right w:val="nil"/>
            </w:tcBorders>
          </w:tcPr>
          <w:p w14:paraId="4EE71A7E" w14:textId="6DFAFF7C"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fldChar w:fldCharType="begin"/>
            </w:r>
            <w:r w:rsidRPr="00836F13">
              <w:rPr>
                <w:rFonts w:eastAsia="Times New Roman" w:cs="Calibri"/>
                <w:color w:val="000000"/>
                <w:kern w:val="0"/>
                <w:sz w:val="20"/>
                <w:szCs w:val="20"/>
                <w:lang w:eastAsia="fr-FR"/>
                <w14:ligatures w14:val="none"/>
              </w:rPr>
              <w:instrText xml:space="preserve"> ADDIN ZOTERO_ITEM CSL_CITATION {"citationID":"8VFIKBqy","properties":{"formattedCitation":"[8]","plainCitation":"[8]","noteIndex":0},"citationItems":[{"id":3538,"uris":["http://zotero.org/users/1791235/items/UX998NTP"],"itemData":{"id":3538,"type":"article-journal","abstract":"Monkeypox is an orthopoxvirus with enzootic circulation in the rainforests of central and western Africa; the virus can be transmitted to humans and cause a syndrome clinically similar to smallpox (e.g., pustular rash, fever, respiratory symptoms, and in","container-title":"Eurosurveillance","DOI":"10.2807/esm.02.05.00161-en","ISSN":"1560-7917","issue":"5","language":"en","note":"publisher: European Centre for Disease Prevention and Control","page":"33-5","source":"www.eurosurveillance.org","title":"Human monkeypox in Kasaï Oriental, Zaire (1996-1997)","volume":"2","author":[{"family":"Mwanba","given":"P. T."},{"family":"Tshioko","given":"K. F."},{"family":"Moudi","given":"A."},{"family":"Mukinda","given":"V."},{"family":"Mwema","given":"G. N."},{"family":"Messinger","given":"D."},{"family":"Okito","given":"L."},{"family":"Barakymfyte","given":"D."},{"family":"Malfait","given":"P."},{"family":"Pebody","given":"R."},{"family":"Szczeniowski","given":"M."},{"family":"Esteves","given":"K."},{"family":"Heymann","given":"D."},{"family":"Hutin","given":"Y."},{"family":"Williams","given":"R. J."},{"family":"Khan","given":"A. S."},{"family":"Esposito","given":"J. J."}],"issued":{"date-parts":[["1997"]]}}}],"schema":"https://github.com/citation-style-language/schema/raw/master/csl-citation.json"} </w:instrText>
            </w:r>
            <w:r w:rsidRPr="00836F13">
              <w:rPr>
                <w:rFonts w:eastAsia="Times New Roman" w:cs="Calibri"/>
                <w:color w:val="000000"/>
                <w:kern w:val="0"/>
                <w:sz w:val="20"/>
                <w:szCs w:val="20"/>
                <w:lang w:eastAsia="fr-FR"/>
                <w14:ligatures w14:val="none"/>
              </w:rPr>
              <w:fldChar w:fldCharType="separate"/>
            </w:r>
            <w:r w:rsidRPr="00836F13">
              <w:rPr>
                <w:sz w:val="20"/>
              </w:rPr>
              <w:t>[8]</w:t>
            </w:r>
            <w:r w:rsidRPr="00836F13">
              <w:rPr>
                <w:rFonts w:eastAsia="Times New Roman" w:cs="Calibri"/>
                <w:color w:val="000000"/>
                <w:kern w:val="0"/>
                <w:sz w:val="20"/>
                <w:szCs w:val="20"/>
                <w:lang w:eastAsia="fr-FR"/>
                <w14:ligatures w14:val="none"/>
              </w:rPr>
              <w:fldChar w:fldCharType="end"/>
            </w:r>
          </w:p>
        </w:tc>
        <w:tc>
          <w:tcPr>
            <w:tcW w:w="714" w:type="dxa"/>
            <w:tcBorders>
              <w:top w:val="nil"/>
              <w:left w:val="nil"/>
              <w:bottom w:val="nil"/>
              <w:right w:val="nil"/>
            </w:tcBorders>
            <w:noWrap/>
            <w:hideMark/>
          </w:tcPr>
          <w:p w14:paraId="0242F8B2" w14:textId="4A9846F6"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1997</w:t>
            </w:r>
          </w:p>
        </w:tc>
        <w:tc>
          <w:tcPr>
            <w:tcW w:w="2126" w:type="dxa"/>
            <w:tcBorders>
              <w:top w:val="nil"/>
              <w:left w:val="nil"/>
              <w:bottom w:val="nil"/>
              <w:right w:val="nil"/>
            </w:tcBorders>
            <w:noWrap/>
            <w:hideMark/>
          </w:tcPr>
          <w:p w14:paraId="5E4B7DD5"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DRC</w:t>
            </w:r>
          </w:p>
        </w:tc>
        <w:tc>
          <w:tcPr>
            <w:tcW w:w="1270" w:type="dxa"/>
            <w:tcBorders>
              <w:top w:val="nil"/>
              <w:left w:val="nil"/>
              <w:bottom w:val="nil"/>
              <w:right w:val="nil"/>
            </w:tcBorders>
            <w:noWrap/>
            <w:hideMark/>
          </w:tcPr>
          <w:p w14:paraId="2A8BFBD6"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Community</w:t>
            </w:r>
          </w:p>
        </w:tc>
        <w:tc>
          <w:tcPr>
            <w:tcW w:w="2602" w:type="dxa"/>
            <w:tcBorders>
              <w:top w:val="nil"/>
              <w:left w:val="nil"/>
              <w:bottom w:val="nil"/>
              <w:right w:val="nil"/>
            </w:tcBorders>
            <w:noWrap/>
            <w:hideMark/>
          </w:tcPr>
          <w:p w14:paraId="5748FC02"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General population</w:t>
            </w:r>
          </w:p>
        </w:tc>
        <w:tc>
          <w:tcPr>
            <w:tcW w:w="1797" w:type="dxa"/>
            <w:tcBorders>
              <w:top w:val="nil"/>
              <w:left w:val="nil"/>
              <w:bottom w:val="nil"/>
              <w:right w:val="nil"/>
            </w:tcBorders>
          </w:tcPr>
          <w:p w14:paraId="6CF70B50" w14:textId="3DA195F5"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Non-probabilistic</w:t>
            </w:r>
          </w:p>
        </w:tc>
        <w:tc>
          <w:tcPr>
            <w:tcW w:w="1111" w:type="dxa"/>
            <w:tcBorders>
              <w:top w:val="nil"/>
              <w:left w:val="nil"/>
              <w:bottom w:val="nil"/>
              <w:right w:val="nil"/>
            </w:tcBorders>
          </w:tcPr>
          <w:p w14:paraId="6BB58041" w14:textId="560F0339"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VU</w:t>
            </w:r>
          </w:p>
        </w:tc>
        <w:tc>
          <w:tcPr>
            <w:tcW w:w="885" w:type="dxa"/>
            <w:tcBorders>
              <w:top w:val="nil"/>
              <w:left w:val="nil"/>
              <w:bottom w:val="nil"/>
              <w:right w:val="nil"/>
            </w:tcBorders>
            <w:noWrap/>
            <w:hideMark/>
          </w:tcPr>
          <w:p w14:paraId="54CCA978" w14:textId="2F47C3D9"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1669F0">
              <w:rPr>
                <w:rFonts w:eastAsia="Times New Roman" w:cs="Calibri"/>
                <w:color w:val="000000"/>
                <w:kern w:val="0"/>
                <w:sz w:val="20"/>
                <w:szCs w:val="20"/>
                <w:lang w:eastAsia="fr-FR"/>
                <w14:ligatures w14:val="none"/>
              </w:rPr>
              <w:t>Low</w:t>
            </w:r>
          </w:p>
        </w:tc>
      </w:tr>
      <w:tr w:rsidR="00C556B1" w:rsidRPr="00836F13" w14:paraId="1237222F" w14:textId="77777777" w:rsidTr="00BA2E10">
        <w:trPr>
          <w:trHeight w:val="290"/>
        </w:trPr>
        <w:tc>
          <w:tcPr>
            <w:tcW w:w="1843" w:type="dxa"/>
            <w:tcBorders>
              <w:top w:val="nil"/>
              <w:left w:val="nil"/>
              <w:bottom w:val="nil"/>
              <w:right w:val="nil"/>
            </w:tcBorders>
            <w:noWrap/>
            <w:hideMark/>
          </w:tcPr>
          <w:p w14:paraId="517DB6CB"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Hutin,1997</w:t>
            </w:r>
          </w:p>
        </w:tc>
        <w:tc>
          <w:tcPr>
            <w:tcW w:w="988" w:type="dxa"/>
            <w:tcBorders>
              <w:top w:val="nil"/>
              <w:left w:val="nil"/>
              <w:bottom w:val="nil"/>
              <w:right w:val="nil"/>
            </w:tcBorders>
          </w:tcPr>
          <w:p w14:paraId="21FEBE20" w14:textId="65308EAF"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fldChar w:fldCharType="begin"/>
            </w:r>
            <w:r w:rsidRPr="00836F13">
              <w:rPr>
                <w:rFonts w:eastAsia="Times New Roman" w:cs="Calibri"/>
                <w:color w:val="000000"/>
                <w:kern w:val="0"/>
                <w:sz w:val="20"/>
                <w:szCs w:val="20"/>
                <w:lang w:eastAsia="fr-FR"/>
                <w14:ligatures w14:val="none"/>
              </w:rPr>
              <w:instrText xml:space="preserve"> ADDIN ZOTERO_ITEM CSL_CITATION {"citationID":"fsxMqSN4","properties":{"formattedCitation":"[9]","plainCitation":"[9]","noteIndex":0},"citationItems":[{"id":3586,"uris":["http://zotero.org/users/1791235/items/2434MRXM"],"itemData":{"id":3586,"type":"article-journal","container-title":"Emerging Infectious Diseases","DOI":"10.3201/eid0703.010311","ISSN":"1080-6040, 1080-6059","issue":"3","journalAbbreviation":"Emerg. Infect. Dis.","page":"434-8","source":"DOI.org (Crossref)","title":"Outbreak of Human Monkeypox, Democratic Republic of Congo, 1996 to 1997","volume":"7","author":[{"family":"Hutin","given":"Yvan J.F."},{"family":"Williams","given":"R. Joel"},{"family":"Malfait","given":"Philippe"},{"family":"Pebody","given":"Richard"},{"family":"Loparev","given":"Vladamir N."},{"family":"Ropp","given":"Susan L."},{"family":"Rodriguez","given":"Mariangelli"},{"family":"Knight","given":"Janice C"},{"family":"Tshioko","given":"Florimont K."},{"family":"Khan","given":"Ali S"},{"family":"Szczeniowski","given":"Mark V."},{"family":"Esposito","given":"Joseph J."}],"issued":{"date-parts":[["2001"]]}}}],"schema":"https://github.com/citation-style-language/schema/raw/master/csl-citation.json"} </w:instrText>
            </w:r>
            <w:r w:rsidRPr="00836F13">
              <w:rPr>
                <w:rFonts w:eastAsia="Times New Roman" w:cs="Calibri"/>
                <w:color w:val="000000"/>
                <w:kern w:val="0"/>
                <w:sz w:val="20"/>
                <w:szCs w:val="20"/>
                <w:lang w:eastAsia="fr-FR"/>
                <w14:ligatures w14:val="none"/>
              </w:rPr>
              <w:fldChar w:fldCharType="separate"/>
            </w:r>
            <w:r w:rsidRPr="00836F13">
              <w:rPr>
                <w:sz w:val="20"/>
              </w:rPr>
              <w:t>[9]</w:t>
            </w:r>
            <w:r w:rsidRPr="00836F13">
              <w:rPr>
                <w:rFonts w:eastAsia="Times New Roman" w:cs="Calibri"/>
                <w:color w:val="000000"/>
                <w:kern w:val="0"/>
                <w:sz w:val="20"/>
                <w:szCs w:val="20"/>
                <w:lang w:eastAsia="fr-FR"/>
                <w14:ligatures w14:val="none"/>
              </w:rPr>
              <w:fldChar w:fldCharType="end"/>
            </w:r>
          </w:p>
        </w:tc>
        <w:tc>
          <w:tcPr>
            <w:tcW w:w="714" w:type="dxa"/>
            <w:tcBorders>
              <w:top w:val="nil"/>
              <w:left w:val="nil"/>
              <w:bottom w:val="nil"/>
              <w:right w:val="nil"/>
            </w:tcBorders>
            <w:noWrap/>
            <w:hideMark/>
          </w:tcPr>
          <w:p w14:paraId="5EDA5B1E" w14:textId="12F0266C"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1997</w:t>
            </w:r>
          </w:p>
        </w:tc>
        <w:tc>
          <w:tcPr>
            <w:tcW w:w="2126" w:type="dxa"/>
            <w:tcBorders>
              <w:top w:val="nil"/>
              <w:left w:val="nil"/>
              <w:bottom w:val="nil"/>
              <w:right w:val="nil"/>
            </w:tcBorders>
            <w:noWrap/>
            <w:hideMark/>
          </w:tcPr>
          <w:p w14:paraId="79E671C6"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DRC</w:t>
            </w:r>
          </w:p>
        </w:tc>
        <w:tc>
          <w:tcPr>
            <w:tcW w:w="1270" w:type="dxa"/>
            <w:tcBorders>
              <w:top w:val="nil"/>
              <w:left w:val="nil"/>
              <w:bottom w:val="nil"/>
              <w:right w:val="nil"/>
            </w:tcBorders>
            <w:noWrap/>
            <w:hideMark/>
          </w:tcPr>
          <w:p w14:paraId="7630F69D"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Community</w:t>
            </w:r>
          </w:p>
        </w:tc>
        <w:tc>
          <w:tcPr>
            <w:tcW w:w="2602" w:type="dxa"/>
            <w:tcBorders>
              <w:top w:val="nil"/>
              <w:left w:val="nil"/>
              <w:bottom w:val="nil"/>
              <w:right w:val="nil"/>
            </w:tcBorders>
            <w:noWrap/>
            <w:hideMark/>
          </w:tcPr>
          <w:p w14:paraId="4F71E576"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General population</w:t>
            </w:r>
          </w:p>
        </w:tc>
        <w:tc>
          <w:tcPr>
            <w:tcW w:w="1797" w:type="dxa"/>
            <w:tcBorders>
              <w:top w:val="nil"/>
              <w:left w:val="nil"/>
              <w:bottom w:val="nil"/>
              <w:right w:val="nil"/>
            </w:tcBorders>
          </w:tcPr>
          <w:p w14:paraId="4F456912" w14:textId="7B02A27B"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Non-probabilistic</w:t>
            </w:r>
          </w:p>
        </w:tc>
        <w:tc>
          <w:tcPr>
            <w:tcW w:w="1111" w:type="dxa"/>
            <w:tcBorders>
              <w:top w:val="nil"/>
              <w:left w:val="nil"/>
              <w:bottom w:val="nil"/>
              <w:right w:val="nil"/>
            </w:tcBorders>
          </w:tcPr>
          <w:p w14:paraId="5F56BC86" w14:textId="18FB7448"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VU</w:t>
            </w:r>
          </w:p>
        </w:tc>
        <w:tc>
          <w:tcPr>
            <w:tcW w:w="885" w:type="dxa"/>
            <w:tcBorders>
              <w:top w:val="nil"/>
              <w:left w:val="nil"/>
              <w:bottom w:val="nil"/>
              <w:right w:val="nil"/>
            </w:tcBorders>
            <w:noWrap/>
            <w:hideMark/>
          </w:tcPr>
          <w:p w14:paraId="50DB902E" w14:textId="4A867FF4"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1669F0">
              <w:rPr>
                <w:rFonts w:eastAsia="Times New Roman" w:cs="Calibri"/>
                <w:color w:val="000000"/>
                <w:kern w:val="0"/>
                <w:sz w:val="20"/>
                <w:szCs w:val="20"/>
                <w:lang w:eastAsia="fr-FR"/>
                <w14:ligatures w14:val="none"/>
              </w:rPr>
              <w:t>Low</w:t>
            </w:r>
          </w:p>
        </w:tc>
      </w:tr>
      <w:tr w:rsidR="00C556B1" w:rsidRPr="00836F13" w14:paraId="53ACD5F9" w14:textId="77777777" w:rsidTr="00BA2E10">
        <w:trPr>
          <w:trHeight w:val="290"/>
        </w:trPr>
        <w:tc>
          <w:tcPr>
            <w:tcW w:w="1843" w:type="dxa"/>
            <w:tcBorders>
              <w:top w:val="nil"/>
              <w:left w:val="nil"/>
              <w:bottom w:val="nil"/>
              <w:right w:val="nil"/>
            </w:tcBorders>
            <w:noWrap/>
            <w:hideMark/>
          </w:tcPr>
          <w:p w14:paraId="68272702"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Aplogan,1997</w:t>
            </w:r>
          </w:p>
        </w:tc>
        <w:tc>
          <w:tcPr>
            <w:tcW w:w="988" w:type="dxa"/>
            <w:tcBorders>
              <w:top w:val="nil"/>
              <w:left w:val="nil"/>
              <w:bottom w:val="nil"/>
              <w:right w:val="nil"/>
            </w:tcBorders>
          </w:tcPr>
          <w:p w14:paraId="1049B434" w14:textId="34A271B3"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fldChar w:fldCharType="begin"/>
            </w:r>
            <w:r w:rsidRPr="00836F13">
              <w:rPr>
                <w:rFonts w:eastAsia="Times New Roman" w:cs="Calibri"/>
                <w:color w:val="000000"/>
                <w:kern w:val="0"/>
                <w:sz w:val="20"/>
                <w:szCs w:val="20"/>
                <w:lang w:eastAsia="fr-FR"/>
                <w14:ligatures w14:val="none"/>
              </w:rPr>
              <w:instrText xml:space="preserve"> ADDIN ZOTERO_ITEM CSL_CITATION {"citationID":"i9KPGJvn","properties":{"formattedCitation":"[10]","plainCitation":"[10]","noteIndex":0},"citationItems":[{"id":3609,"uris":["http://zotero.org/users/1791235/items/A36M75BK"],"itemData":{"id":3609,"type":"article-journal","abstract":"Human monkeypox is a severe smallpox-like illness caused by monkeypox virus (MPV); monkeypox occurs in sporadic outbreaks, and infection is enzootic among squirrels and monkeys in the rainforests of western and central Africa. In 1996, cases of monkeypox were reported from villages in the Katako-Kombe Health Zone, Kasai Oriental, Zaire (i.e., Democratic Republic of Congo). The World Health Organization (WHO), in collaboration with CDC, investigated this outbreak and identified 92 suspected cases with onset during February 1996-February 1997, and isolated MPV from lesions of active cases. Cases continued to be reported, and a new investigation was initiated by WHO and CDC in October 1997. This report summarizes the results of the field investigation, which indicate that this is the largest human monkeypox outbreak ever recorded.","container-title":"MMWR. Morbidity and mortality weekly report","ISSN":"0149-2195","issue":"49","journalAbbreviation":"MMWR Morb Mortal Wkly Rep","language":"eng","note":"PMID: 9408046","page":"1168-71","source":"PubMed","title":"Human monkeypox -- Kasai Oriental, Democratic Republic of Congo, February 1996-October 1997","volume":"46","author":[{"family":"Aplogan","given":"A"},{"family":"Mangindula","given":"V"},{"family":"Muamba","given":"PT"},{"family":"Mwema","given":"GN"},{"family":"Okito","given":"L"},{"family":"Pebody","given":"RG"},{"family":"Roth","given":"CE"}],"issued":{"date-parts":[["1997"]]}}}],"schema":"https://github.com/citation-style-language/schema/raw/master/csl-citation.json"} </w:instrText>
            </w:r>
            <w:r w:rsidRPr="00836F13">
              <w:rPr>
                <w:rFonts w:eastAsia="Times New Roman" w:cs="Calibri"/>
                <w:color w:val="000000"/>
                <w:kern w:val="0"/>
                <w:sz w:val="20"/>
                <w:szCs w:val="20"/>
                <w:lang w:eastAsia="fr-FR"/>
                <w14:ligatures w14:val="none"/>
              </w:rPr>
              <w:fldChar w:fldCharType="separate"/>
            </w:r>
            <w:r w:rsidRPr="00836F13">
              <w:rPr>
                <w:sz w:val="20"/>
              </w:rPr>
              <w:t>[10]</w:t>
            </w:r>
            <w:r w:rsidRPr="00836F13">
              <w:rPr>
                <w:rFonts w:eastAsia="Times New Roman" w:cs="Calibri"/>
                <w:color w:val="000000"/>
                <w:kern w:val="0"/>
                <w:sz w:val="20"/>
                <w:szCs w:val="20"/>
                <w:lang w:eastAsia="fr-FR"/>
                <w14:ligatures w14:val="none"/>
              </w:rPr>
              <w:fldChar w:fldCharType="end"/>
            </w:r>
          </w:p>
        </w:tc>
        <w:tc>
          <w:tcPr>
            <w:tcW w:w="714" w:type="dxa"/>
            <w:tcBorders>
              <w:top w:val="nil"/>
              <w:left w:val="nil"/>
              <w:bottom w:val="nil"/>
              <w:right w:val="nil"/>
            </w:tcBorders>
            <w:noWrap/>
            <w:hideMark/>
          </w:tcPr>
          <w:p w14:paraId="411071EF" w14:textId="44D090A4"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1997</w:t>
            </w:r>
          </w:p>
        </w:tc>
        <w:tc>
          <w:tcPr>
            <w:tcW w:w="2126" w:type="dxa"/>
            <w:tcBorders>
              <w:top w:val="nil"/>
              <w:left w:val="nil"/>
              <w:bottom w:val="nil"/>
              <w:right w:val="nil"/>
            </w:tcBorders>
            <w:noWrap/>
            <w:hideMark/>
          </w:tcPr>
          <w:p w14:paraId="2EEFC17B"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DRC</w:t>
            </w:r>
          </w:p>
        </w:tc>
        <w:tc>
          <w:tcPr>
            <w:tcW w:w="1270" w:type="dxa"/>
            <w:tcBorders>
              <w:top w:val="nil"/>
              <w:left w:val="nil"/>
              <w:bottom w:val="nil"/>
              <w:right w:val="nil"/>
            </w:tcBorders>
            <w:noWrap/>
            <w:hideMark/>
          </w:tcPr>
          <w:p w14:paraId="72827306"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Community</w:t>
            </w:r>
          </w:p>
        </w:tc>
        <w:tc>
          <w:tcPr>
            <w:tcW w:w="2602" w:type="dxa"/>
            <w:tcBorders>
              <w:top w:val="nil"/>
              <w:left w:val="nil"/>
              <w:bottom w:val="nil"/>
              <w:right w:val="nil"/>
            </w:tcBorders>
            <w:noWrap/>
            <w:hideMark/>
          </w:tcPr>
          <w:p w14:paraId="1183AC7C"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General population</w:t>
            </w:r>
          </w:p>
        </w:tc>
        <w:tc>
          <w:tcPr>
            <w:tcW w:w="1797" w:type="dxa"/>
            <w:tcBorders>
              <w:top w:val="nil"/>
              <w:left w:val="nil"/>
              <w:bottom w:val="nil"/>
              <w:right w:val="nil"/>
            </w:tcBorders>
          </w:tcPr>
          <w:p w14:paraId="14E9213F" w14:textId="2F2037A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Non-probabilistic</w:t>
            </w:r>
          </w:p>
        </w:tc>
        <w:tc>
          <w:tcPr>
            <w:tcW w:w="1111" w:type="dxa"/>
            <w:tcBorders>
              <w:top w:val="nil"/>
              <w:left w:val="nil"/>
              <w:bottom w:val="nil"/>
              <w:right w:val="nil"/>
            </w:tcBorders>
          </w:tcPr>
          <w:p w14:paraId="00D5378E" w14:textId="01A8A814"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VU</w:t>
            </w:r>
          </w:p>
        </w:tc>
        <w:tc>
          <w:tcPr>
            <w:tcW w:w="885" w:type="dxa"/>
            <w:tcBorders>
              <w:top w:val="nil"/>
              <w:left w:val="nil"/>
              <w:bottom w:val="nil"/>
              <w:right w:val="nil"/>
            </w:tcBorders>
            <w:noWrap/>
            <w:hideMark/>
          </w:tcPr>
          <w:p w14:paraId="680CF200" w14:textId="636D6ADE"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1669F0">
              <w:rPr>
                <w:rFonts w:eastAsia="Times New Roman" w:cs="Calibri"/>
                <w:color w:val="000000"/>
                <w:kern w:val="0"/>
                <w:sz w:val="20"/>
                <w:szCs w:val="20"/>
                <w:lang w:eastAsia="fr-FR"/>
                <w14:ligatures w14:val="none"/>
              </w:rPr>
              <w:t>Low</w:t>
            </w:r>
          </w:p>
        </w:tc>
      </w:tr>
      <w:tr w:rsidR="00C556B1" w:rsidRPr="00836F13" w14:paraId="2E05E7B5" w14:textId="77777777" w:rsidTr="00BA2E10">
        <w:trPr>
          <w:trHeight w:val="290"/>
        </w:trPr>
        <w:tc>
          <w:tcPr>
            <w:tcW w:w="1843" w:type="dxa"/>
            <w:tcBorders>
              <w:top w:val="nil"/>
              <w:left w:val="nil"/>
              <w:bottom w:val="nil"/>
              <w:right w:val="nil"/>
            </w:tcBorders>
            <w:noWrap/>
            <w:hideMark/>
          </w:tcPr>
          <w:p w14:paraId="2899817B"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Rimoin,2007</w:t>
            </w:r>
          </w:p>
        </w:tc>
        <w:tc>
          <w:tcPr>
            <w:tcW w:w="988" w:type="dxa"/>
            <w:tcBorders>
              <w:top w:val="nil"/>
              <w:left w:val="nil"/>
              <w:bottom w:val="nil"/>
              <w:right w:val="nil"/>
            </w:tcBorders>
          </w:tcPr>
          <w:p w14:paraId="7E926455" w14:textId="5DF0EED3"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fldChar w:fldCharType="begin"/>
            </w:r>
            <w:r w:rsidRPr="00836F13">
              <w:rPr>
                <w:rFonts w:eastAsia="Times New Roman" w:cs="Calibri"/>
                <w:color w:val="000000"/>
                <w:kern w:val="0"/>
                <w:sz w:val="20"/>
                <w:szCs w:val="20"/>
                <w:lang w:eastAsia="fr-FR"/>
                <w14:ligatures w14:val="none"/>
              </w:rPr>
              <w:instrText xml:space="preserve"> ADDIN ZOTERO_ITEM CSL_CITATION {"citationID":"og0d4AJY","properties":{"formattedCitation":"[11]","plainCitation":"[11]","noteIndex":0},"citationItems":[{"id":3620,"uris":["http://zotero.org/users/1791235/items/MXCYLAZV"],"itemData":{"id":3620,"type":"article-journal","abstract":"Studies on the burden of human monkeypox in the Democratic Republic of the Congo (DRC) were last conducted from 1981 to 1986. Since then, the population that is immunologically naïve to orthopoxviruses has increased significantly due to cessation of mass smallpox vaccination campaigns. To assess the current risk of infection, we analyzed human monkeypox incidence trends in a monkeypox-enzootic region. Active, population-based surveillance was conducted in nine health zones in central DRC. Epidemiologic data and biological samples were obtained from suspected cases. Cumulative incidence (per 10,000 population) and major determinants of infection were compared with data from active surveillance in similar regions from 1981 to 1986. Between November 2005 and November 2007, 760 laboratory-confirmed human monkeypox cases were identified in participating health zones. The average annual cumulative incidence across zones was 5.53 per 10,000 (2.18–14.42). Factors associated with increased risk of infection included: living in forested areas, male gender, age &lt; 15, and no prior smallpox vaccination. Vaccinated persons had a 5.2-fold lower risk of monkeypox than unvaccinated persons (0.78 vs. 4.05 per 10,000). Comparison of active surveillance data in the same health zone from the 1980s (0.72 per 10,000) and 2006–07 (14.42 per 10,000) suggests a 20-fold increase in human monkeypox incidence. Thirty years after mass smallpox vaccination campaigns ceased, human monkeypox incidence has dramatically increased in rural DRC. Improved surveillance and epidemiological analysis is needed to better assess the public health burden and develop strategies for reducing the risk of wider spread of infection.","container-title":"Proceedings of the National Academy of Sciences","DOI":"10.1073/pnas.1005769107","ISSN":"0027-8424, 1091-6490","issue":"37","journalAbbreviation":"Proc. Natl. Acad. Sci. U.S.A.","language":"en","page":"16262-7","source":"DOI.org (Crossref)","title":"Major increase in human monkeypox incidence 30 years after smallpox vaccination campaigns cease in the Democratic Republic of Congo","volume":"107","author":[{"family":"Rimoin","given":"Anne W."},{"family":"Mulembakani","given":"Prime M."},{"family":"Johnston","given":"Sara C."},{"family":"Lloyd Smith","given":"James O."},{"family":"Kisalu","given":"Neville K."},{"family":"Kinkela","given":"Timothee L."},{"family":"Blumberg","given":"Seth"},{"family":"Thomassen","given":"Henri A."},{"family":"Pike","given":"Brian L."},{"family":"Fair","given":"Joseph N."},{"family":"Wolfe","given":"Nathan D."},{"family":"Shongo","given":"Robert L."},{"family":"Graham","given":"Barney S."},{"family":"Formenty","given":"Pierre"},{"family":"Okitolonda","given":"Emile"},{"family":"Hensley","given":"Lisa E."},{"family":"Meyer","given":"Hermann"},{"family":"Wright","given":"Linda L."},{"family":"Muyembe","given":"Jean-Jacques"}],"issued":{"date-parts":[["2010"]]}}}],"schema":"https://github.com/citation-style-language/schema/raw/master/csl-citation.json"} </w:instrText>
            </w:r>
            <w:r w:rsidRPr="00836F13">
              <w:rPr>
                <w:rFonts w:eastAsia="Times New Roman" w:cs="Calibri"/>
                <w:color w:val="000000"/>
                <w:kern w:val="0"/>
                <w:sz w:val="20"/>
                <w:szCs w:val="20"/>
                <w:lang w:eastAsia="fr-FR"/>
                <w14:ligatures w14:val="none"/>
              </w:rPr>
              <w:fldChar w:fldCharType="separate"/>
            </w:r>
            <w:r w:rsidRPr="00836F13">
              <w:rPr>
                <w:sz w:val="20"/>
              </w:rPr>
              <w:t>[11]</w:t>
            </w:r>
            <w:r w:rsidRPr="00836F13">
              <w:rPr>
                <w:rFonts w:eastAsia="Times New Roman" w:cs="Calibri"/>
                <w:color w:val="000000"/>
                <w:kern w:val="0"/>
                <w:sz w:val="20"/>
                <w:szCs w:val="20"/>
                <w:lang w:eastAsia="fr-FR"/>
                <w14:ligatures w14:val="none"/>
              </w:rPr>
              <w:fldChar w:fldCharType="end"/>
            </w:r>
          </w:p>
        </w:tc>
        <w:tc>
          <w:tcPr>
            <w:tcW w:w="714" w:type="dxa"/>
            <w:tcBorders>
              <w:top w:val="nil"/>
              <w:left w:val="nil"/>
              <w:bottom w:val="nil"/>
              <w:right w:val="nil"/>
            </w:tcBorders>
            <w:noWrap/>
            <w:hideMark/>
          </w:tcPr>
          <w:p w14:paraId="2409253A" w14:textId="7692F372"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2007</w:t>
            </w:r>
          </w:p>
        </w:tc>
        <w:tc>
          <w:tcPr>
            <w:tcW w:w="2126" w:type="dxa"/>
            <w:tcBorders>
              <w:top w:val="nil"/>
              <w:left w:val="nil"/>
              <w:bottom w:val="nil"/>
              <w:right w:val="nil"/>
            </w:tcBorders>
            <w:noWrap/>
            <w:hideMark/>
          </w:tcPr>
          <w:p w14:paraId="0DE5D7DF"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DRC</w:t>
            </w:r>
          </w:p>
        </w:tc>
        <w:tc>
          <w:tcPr>
            <w:tcW w:w="1270" w:type="dxa"/>
            <w:tcBorders>
              <w:top w:val="nil"/>
              <w:left w:val="nil"/>
              <w:bottom w:val="nil"/>
              <w:right w:val="nil"/>
            </w:tcBorders>
            <w:noWrap/>
            <w:hideMark/>
          </w:tcPr>
          <w:p w14:paraId="57EC6668"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Community</w:t>
            </w:r>
          </w:p>
        </w:tc>
        <w:tc>
          <w:tcPr>
            <w:tcW w:w="2602" w:type="dxa"/>
            <w:tcBorders>
              <w:top w:val="nil"/>
              <w:left w:val="nil"/>
              <w:bottom w:val="nil"/>
              <w:right w:val="nil"/>
            </w:tcBorders>
            <w:noWrap/>
            <w:hideMark/>
          </w:tcPr>
          <w:p w14:paraId="23217D9F"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General population</w:t>
            </w:r>
          </w:p>
        </w:tc>
        <w:tc>
          <w:tcPr>
            <w:tcW w:w="1797" w:type="dxa"/>
            <w:tcBorders>
              <w:top w:val="nil"/>
              <w:left w:val="nil"/>
              <w:bottom w:val="nil"/>
              <w:right w:val="nil"/>
            </w:tcBorders>
          </w:tcPr>
          <w:p w14:paraId="6225271F" w14:textId="0F3E773F"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Non-probabilistic</w:t>
            </w:r>
          </w:p>
        </w:tc>
        <w:tc>
          <w:tcPr>
            <w:tcW w:w="1111" w:type="dxa"/>
            <w:tcBorders>
              <w:top w:val="nil"/>
              <w:left w:val="nil"/>
              <w:bottom w:val="nil"/>
              <w:right w:val="nil"/>
            </w:tcBorders>
          </w:tcPr>
          <w:p w14:paraId="196ACF7C" w14:textId="3E44CA6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VU</w:t>
            </w:r>
          </w:p>
        </w:tc>
        <w:tc>
          <w:tcPr>
            <w:tcW w:w="885" w:type="dxa"/>
            <w:tcBorders>
              <w:top w:val="nil"/>
              <w:left w:val="nil"/>
              <w:bottom w:val="nil"/>
              <w:right w:val="nil"/>
            </w:tcBorders>
            <w:noWrap/>
            <w:hideMark/>
          </w:tcPr>
          <w:p w14:paraId="797F91B6" w14:textId="46FF2DB6"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1669F0">
              <w:rPr>
                <w:rFonts w:eastAsia="Times New Roman" w:cs="Calibri"/>
                <w:color w:val="000000"/>
                <w:kern w:val="0"/>
                <w:sz w:val="20"/>
                <w:szCs w:val="20"/>
                <w:lang w:eastAsia="fr-FR"/>
                <w14:ligatures w14:val="none"/>
              </w:rPr>
              <w:t>Low</w:t>
            </w:r>
          </w:p>
        </w:tc>
      </w:tr>
      <w:tr w:rsidR="00C556B1" w:rsidRPr="00836F13" w14:paraId="2D700607" w14:textId="77777777" w:rsidTr="00BA2E10">
        <w:trPr>
          <w:trHeight w:val="290"/>
        </w:trPr>
        <w:tc>
          <w:tcPr>
            <w:tcW w:w="1843" w:type="dxa"/>
            <w:tcBorders>
              <w:top w:val="nil"/>
              <w:left w:val="nil"/>
              <w:bottom w:val="nil"/>
              <w:right w:val="nil"/>
            </w:tcBorders>
            <w:noWrap/>
            <w:hideMark/>
          </w:tcPr>
          <w:p w14:paraId="3396D682"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Nolen,2013</w:t>
            </w:r>
          </w:p>
        </w:tc>
        <w:tc>
          <w:tcPr>
            <w:tcW w:w="988" w:type="dxa"/>
            <w:tcBorders>
              <w:top w:val="nil"/>
              <w:left w:val="nil"/>
              <w:bottom w:val="nil"/>
              <w:right w:val="nil"/>
            </w:tcBorders>
          </w:tcPr>
          <w:p w14:paraId="535C457B" w14:textId="2241B4F6"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fldChar w:fldCharType="begin"/>
            </w:r>
            <w:r w:rsidRPr="00836F13">
              <w:rPr>
                <w:rFonts w:eastAsia="Times New Roman" w:cs="Calibri"/>
                <w:color w:val="000000"/>
                <w:kern w:val="0"/>
                <w:sz w:val="20"/>
                <w:szCs w:val="20"/>
                <w:lang w:eastAsia="fr-FR"/>
                <w14:ligatures w14:val="none"/>
              </w:rPr>
              <w:instrText xml:space="preserve"> ADDIN ZOTERO_ITEM CSL_CITATION {"citationID":"mCG53xLt","properties":{"formattedCitation":"[12]","plainCitation":"[12]","noteIndex":0},"citationItems":[{"id":3565,"uris":["http://zotero.org/users/1791235/items/2HG96LRD"],"itemData":{"id":3565,"type":"article-journal","abstract":"During the outbreak, 50% of household members living with an infected person developed symptom of monkeypox infection., A 600-fold increase in monkeypox cases occurred in the Bokungu Health Zone of the Democratic Republic of the Congo during the second half of 2013; this increase prompted an outbreak investigation. A total of 104 possible cases were reported from this health zone; among 60 suspected cases that were tested, 50 (48.1%) cases were confirmed by laboratory testing, and 10 (9.6%) tested negative for monkeypox virus (MPXV) infection. The household attack rate (i.e., rate of persons living with an infected person that develop symptoms of MPXV infection) was 50%. Nine families showed &gt;1 transmission event, and &gt;6 transmission events occurred within this health zone. Mean incubation period was 8 days (range 4–14 days). The high attack rate and transmission observed in this study reinforce the importance of surveillance and rapid identification of monkeypox cases. Community education and training are needed to prevent transmission of MPXV infection during outbreaks.","container-title":"Emerging Infectious Diseases","DOI":"10.3201/eid2206.150579","ISSN":"1080-6040","issue":"6","journalAbbreviation":"Emerg Infect Dis","note":"PMID: 27191380\nPMCID: PMC4880088","page":"1014-21","source":"PubMed Central","title":"Extended Human-to-Human Transmission during a Monkeypox Outbreak in the Democratic Republic of the Congo","volume":"22","author":[{"family":"Nolen","given":"Leisha Diane"},{"family":"Osadebe","given":"Lynda"},{"family":"Katomba","given":"Jacques"},{"family":"Likofata","given":"Jacques"},{"family":"Mukadi","given":"Daniel"},{"family":"Monroe","given":"Benjamin"},{"family":"Doty","given":"Jeffrey"},{"family":"Hughes","given":"Christine Marie"},{"family":"Kabamba","given":"Joelle"},{"family":"Malekani","given":"Jean"},{"family":"Bomponda","given":"Pierre Lokwa"},{"family":"Lokota","given":"Jules Inonga"},{"family":"Balilo","given":"Marcel Pie"},{"family":"Likafi","given":"Toutou"},{"family":"Lushima","given":"Robert Shongo"},{"family":"Ilunga","given":"Benoit Kebela"},{"family":"Nkawa","given":"Frida"},{"family":"Pukuta","given":"Elisabeth"},{"family":"Karhemere","given":"Stomy"},{"family":"Tamfum","given":"Jean-Jacques Muyembe"},{"family":"Nguete","given":"Beatrice"},{"family":"Wemakoy","given":"Emile Okitolonda"},{"family":"McCollum","given":"Andrea M."},{"family":"Reynolds","given":"Mary G."}],"issued":{"date-parts":[["2016"]]}}}],"schema":"https://github.com/citation-style-language/schema/raw/master/csl-citation.json"} </w:instrText>
            </w:r>
            <w:r w:rsidRPr="00836F13">
              <w:rPr>
                <w:rFonts w:eastAsia="Times New Roman" w:cs="Calibri"/>
                <w:color w:val="000000"/>
                <w:kern w:val="0"/>
                <w:sz w:val="20"/>
                <w:szCs w:val="20"/>
                <w:lang w:eastAsia="fr-FR"/>
                <w14:ligatures w14:val="none"/>
              </w:rPr>
              <w:fldChar w:fldCharType="separate"/>
            </w:r>
            <w:r w:rsidRPr="00836F13">
              <w:rPr>
                <w:sz w:val="20"/>
              </w:rPr>
              <w:t>[12]</w:t>
            </w:r>
            <w:r w:rsidRPr="00836F13">
              <w:rPr>
                <w:rFonts w:eastAsia="Times New Roman" w:cs="Calibri"/>
                <w:color w:val="000000"/>
                <w:kern w:val="0"/>
                <w:sz w:val="20"/>
                <w:szCs w:val="20"/>
                <w:lang w:eastAsia="fr-FR"/>
                <w14:ligatures w14:val="none"/>
              </w:rPr>
              <w:fldChar w:fldCharType="end"/>
            </w:r>
          </w:p>
        </w:tc>
        <w:tc>
          <w:tcPr>
            <w:tcW w:w="714" w:type="dxa"/>
            <w:tcBorders>
              <w:top w:val="nil"/>
              <w:left w:val="nil"/>
              <w:bottom w:val="nil"/>
              <w:right w:val="nil"/>
            </w:tcBorders>
            <w:noWrap/>
            <w:hideMark/>
          </w:tcPr>
          <w:p w14:paraId="3CB00534" w14:textId="511FFDE6"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2013</w:t>
            </w:r>
          </w:p>
        </w:tc>
        <w:tc>
          <w:tcPr>
            <w:tcW w:w="2126" w:type="dxa"/>
            <w:tcBorders>
              <w:top w:val="nil"/>
              <w:left w:val="nil"/>
              <w:bottom w:val="nil"/>
              <w:right w:val="nil"/>
            </w:tcBorders>
            <w:noWrap/>
            <w:hideMark/>
          </w:tcPr>
          <w:p w14:paraId="47C47CC6"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DRC</w:t>
            </w:r>
          </w:p>
        </w:tc>
        <w:tc>
          <w:tcPr>
            <w:tcW w:w="1270" w:type="dxa"/>
            <w:tcBorders>
              <w:top w:val="nil"/>
              <w:left w:val="nil"/>
              <w:bottom w:val="nil"/>
              <w:right w:val="nil"/>
            </w:tcBorders>
            <w:noWrap/>
            <w:hideMark/>
          </w:tcPr>
          <w:p w14:paraId="355FED6C"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Community</w:t>
            </w:r>
          </w:p>
        </w:tc>
        <w:tc>
          <w:tcPr>
            <w:tcW w:w="2602" w:type="dxa"/>
            <w:tcBorders>
              <w:top w:val="nil"/>
              <w:left w:val="nil"/>
              <w:bottom w:val="nil"/>
              <w:right w:val="nil"/>
            </w:tcBorders>
            <w:noWrap/>
            <w:hideMark/>
          </w:tcPr>
          <w:p w14:paraId="3C241350"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General population and HCWs</w:t>
            </w:r>
          </w:p>
        </w:tc>
        <w:tc>
          <w:tcPr>
            <w:tcW w:w="1797" w:type="dxa"/>
            <w:tcBorders>
              <w:top w:val="nil"/>
              <w:left w:val="nil"/>
              <w:bottom w:val="nil"/>
              <w:right w:val="nil"/>
            </w:tcBorders>
          </w:tcPr>
          <w:p w14:paraId="204D8CD5" w14:textId="691A1B1F"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Non-probabilistic</w:t>
            </w:r>
          </w:p>
        </w:tc>
        <w:tc>
          <w:tcPr>
            <w:tcW w:w="1111" w:type="dxa"/>
            <w:tcBorders>
              <w:top w:val="nil"/>
              <w:left w:val="nil"/>
              <w:bottom w:val="nil"/>
              <w:right w:val="nil"/>
            </w:tcBorders>
          </w:tcPr>
          <w:p w14:paraId="5A2CCD4E" w14:textId="0BC201D9"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VA and VU</w:t>
            </w:r>
          </w:p>
        </w:tc>
        <w:tc>
          <w:tcPr>
            <w:tcW w:w="885" w:type="dxa"/>
            <w:tcBorders>
              <w:top w:val="nil"/>
              <w:left w:val="nil"/>
              <w:bottom w:val="nil"/>
              <w:right w:val="nil"/>
            </w:tcBorders>
            <w:noWrap/>
            <w:hideMark/>
          </w:tcPr>
          <w:p w14:paraId="2A58D855" w14:textId="24F78966"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1669F0">
              <w:rPr>
                <w:rFonts w:eastAsia="Times New Roman" w:cs="Calibri"/>
                <w:color w:val="000000"/>
                <w:kern w:val="0"/>
                <w:sz w:val="20"/>
                <w:szCs w:val="20"/>
                <w:lang w:eastAsia="fr-FR"/>
                <w14:ligatures w14:val="none"/>
              </w:rPr>
              <w:t>Low</w:t>
            </w:r>
          </w:p>
        </w:tc>
      </w:tr>
      <w:tr w:rsidR="00C556B1" w:rsidRPr="00836F13" w14:paraId="4AE21D72" w14:textId="77777777" w:rsidTr="00BA2E10">
        <w:trPr>
          <w:trHeight w:val="290"/>
        </w:trPr>
        <w:tc>
          <w:tcPr>
            <w:tcW w:w="1843" w:type="dxa"/>
            <w:tcBorders>
              <w:top w:val="nil"/>
              <w:left w:val="nil"/>
              <w:bottom w:val="nil"/>
              <w:right w:val="nil"/>
            </w:tcBorders>
            <w:noWrap/>
            <w:hideMark/>
          </w:tcPr>
          <w:p w14:paraId="3DA40985"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Petersen,2014</w:t>
            </w:r>
          </w:p>
        </w:tc>
        <w:tc>
          <w:tcPr>
            <w:tcW w:w="988" w:type="dxa"/>
            <w:tcBorders>
              <w:top w:val="nil"/>
              <w:left w:val="nil"/>
              <w:bottom w:val="nil"/>
              <w:right w:val="nil"/>
            </w:tcBorders>
          </w:tcPr>
          <w:p w14:paraId="2B6B2EFF" w14:textId="038BC86B"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fldChar w:fldCharType="begin"/>
            </w:r>
            <w:r w:rsidRPr="00836F13">
              <w:rPr>
                <w:rFonts w:eastAsia="Times New Roman" w:cs="Calibri"/>
                <w:color w:val="000000"/>
                <w:kern w:val="0"/>
                <w:sz w:val="20"/>
                <w:szCs w:val="20"/>
                <w:lang w:eastAsia="fr-FR"/>
                <w14:ligatures w14:val="none"/>
              </w:rPr>
              <w:instrText xml:space="preserve"> ADDIN ZOTERO_ITEM CSL_CITATION {"citationID":"sAkilKWc","properties":{"formattedCitation":"[13]","plainCitation":"[13]","noteIndex":0},"citationItems":[{"id":3678,"uris":["http://zotero.org/users/1791235/items/ZA93MTEV"],"itemData":{"id":3678,"type":"article-journal","container-title":"Antiviral Research","DOI":"10.1016/j.antiviral.2018.11.004","ISSN":"01663542","journalAbbreviation":"Antiviral Research","language":"en","page":"171-7","source":"DOI.org (Crossref)","title":"Vaccinating against monkeypox in the Democratic Republic of the Congo","volume":"162","author":[{"family":"Petersen","given":"Brett W."},{"family":"Kabamba","given":"Joelle"},{"family":"McCollum","given":"Andrea M."},{"family":"Lushima","given":"Robert Shongo"},{"family":"Wemakoy","given":"Emile Okitolonda"},{"family":"Muyembe Tamfum","given":"Jean-Jacques"},{"family":"Nguete","given":"Beatrice"},{"family":"Hughes","given":"Christine M."},{"family":"Monroe","given":"Benjamin P."},{"family":"Reynolds","given":"Mary G."}],"issued":{"date-parts":[["2019"]]}}}],"schema":"https://github.com/citation-style-language/schema/raw/master/csl-citation.json"} </w:instrText>
            </w:r>
            <w:r w:rsidRPr="00836F13">
              <w:rPr>
                <w:rFonts w:eastAsia="Times New Roman" w:cs="Calibri"/>
                <w:color w:val="000000"/>
                <w:kern w:val="0"/>
                <w:sz w:val="20"/>
                <w:szCs w:val="20"/>
                <w:lang w:eastAsia="fr-FR"/>
                <w14:ligatures w14:val="none"/>
              </w:rPr>
              <w:fldChar w:fldCharType="separate"/>
            </w:r>
            <w:r w:rsidRPr="00836F13">
              <w:rPr>
                <w:sz w:val="20"/>
              </w:rPr>
              <w:t>[13]</w:t>
            </w:r>
            <w:r w:rsidRPr="00836F13">
              <w:rPr>
                <w:rFonts w:eastAsia="Times New Roman" w:cs="Calibri"/>
                <w:color w:val="000000"/>
                <w:kern w:val="0"/>
                <w:sz w:val="20"/>
                <w:szCs w:val="20"/>
                <w:lang w:eastAsia="fr-FR"/>
                <w14:ligatures w14:val="none"/>
              </w:rPr>
              <w:fldChar w:fldCharType="end"/>
            </w:r>
          </w:p>
        </w:tc>
        <w:tc>
          <w:tcPr>
            <w:tcW w:w="714" w:type="dxa"/>
            <w:tcBorders>
              <w:top w:val="nil"/>
              <w:left w:val="nil"/>
              <w:bottom w:val="nil"/>
              <w:right w:val="nil"/>
            </w:tcBorders>
            <w:noWrap/>
            <w:hideMark/>
          </w:tcPr>
          <w:p w14:paraId="590DF806" w14:textId="15E2733A"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2014</w:t>
            </w:r>
          </w:p>
        </w:tc>
        <w:tc>
          <w:tcPr>
            <w:tcW w:w="2126" w:type="dxa"/>
            <w:tcBorders>
              <w:top w:val="nil"/>
              <w:left w:val="nil"/>
              <w:bottom w:val="nil"/>
              <w:right w:val="nil"/>
            </w:tcBorders>
            <w:noWrap/>
            <w:hideMark/>
          </w:tcPr>
          <w:p w14:paraId="07F0EDAD"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DRC</w:t>
            </w:r>
          </w:p>
        </w:tc>
        <w:tc>
          <w:tcPr>
            <w:tcW w:w="1270" w:type="dxa"/>
            <w:tcBorders>
              <w:top w:val="nil"/>
              <w:left w:val="nil"/>
              <w:bottom w:val="nil"/>
              <w:right w:val="nil"/>
            </w:tcBorders>
            <w:noWrap/>
            <w:hideMark/>
          </w:tcPr>
          <w:p w14:paraId="23A26434"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Community</w:t>
            </w:r>
          </w:p>
        </w:tc>
        <w:tc>
          <w:tcPr>
            <w:tcW w:w="2602" w:type="dxa"/>
            <w:tcBorders>
              <w:top w:val="nil"/>
              <w:left w:val="nil"/>
              <w:bottom w:val="nil"/>
              <w:right w:val="nil"/>
            </w:tcBorders>
            <w:noWrap/>
            <w:hideMark/>
          </w:tcPr>
          <w:p w14:paraId="27EAE64D"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HCWs</w:t>
            </w:r>
          </w:p>
        </w:tc>
        <w:tc>
          <w:tcPr>
            <w:tcW w:w="1797" w:type="dxa"/>
            <w:tcBorders>
              <w:top w:val="nil"/>
              <w:left w:val="nil"/>
              <w:bottom w:val="nil"/>
              <w:right w:val="nil"/>
            </w:tcBorders>
          </w:tcPr>
          <w:p w14:paraId="2F96A15F" w14:textId="298F5B4B"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Non-probabilistic</w:t>
            </w:r>
          </w:p>
        </w:tc>
        <w:tc>
          <w:tcPr>
            <w:tcW w:w="1111" w:type="dxa"/>
            <w:tcBorders>
              <w:top w:val="nil"/>
              <w:left w:val="nil"/>
              <w:bottom w:val="nil"/>
              <w:right w:val="nil"/>
            </w:tcBorders>
          </w:tcPr>
          <w:p w14:paraId="6B8B10B5" w14:textId="3581BE43"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VA and VU</w:t>
            </w:r>
          </w:p>
        </w:tc>
        <w:tc>
          <w:tcPr>
            <w:tcW w:w="885" w:type="dxa"/>
            <w:tcBorders>
              <w:top w:val="nil"/>
              <w:left w:val="nil"/>
              <w:bottom w:val="nil"/>
              <w:right w:val="nil"/>
            </w:tcBorders>
            <w:noWrap/>
            <w:hideMark/>
          </w:tcPr>
          <w:p w14:paraId="69CF2598" w14:textId="1CF364E3"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1669F0">
              <w:rPr>
                <w:rFonts w:eastAsia="Times New Roman" w:cs="Calibri"/>
                <w:color w:val="000000"/>
                <w:kern w:val="0"/>
                <w:sz w:val="20"/>
                <w:szCs w:val="20"/>
                <w:lang w:eastAsia="fr-FR"/>
                <w14:ligatures w14:val="none"/>
              </w:rPr>
              <w:t>Low</w:t>
            </w:r>
          </w:p>
        </w:tc>
      </w:tr>
      <w:tr w:rsidR="00C556B1" w:rsidRPr="00836F13" w14:paraId="73414DA1" w14:textId="77777777" w:rsidTr="00BA2E10">
        <w:trPr>
          <w:trHeight w:val="290"/>
        </w:trPr>
        <w:tc>
          <w:tcPr>
            <w:tcW w:w="1843" w:type="dxa"/>
            <w:tcBorders>
              <w:top w:val="nil"/>
              <w:left w:val="nil"/>
              <w:bottom w:val="nil"/>
              <w:right w:val="nil"/>
            </w:tcBorders>
            <w:noWrap/>
            <w:hideMark/>
          </w:tcPr>
          <w:p w14:paraId="5F908776"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McCollum,2014</w:t>
            </w:r>
          </w:p>
        </w:tc>
        <w:tc>
          <w:tcPr>
            <w:tcW w:w="988" w:type="dxa"/>
            <w:tcBorders>
              <w:top w:val="nil"/>
              <w:left w:val="nil"/>
              <w:bottom w:val="nil"/>
              <w:right w:val="nil"/>
            </w:tcBorders>
          </w:tcPr>
          <w:p w14:paraId="163B20C5" w14:textId="4BFFFA9E"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fldChar w:fldCharType="begin"/>
            </w:r>
            <w:r w:rsidRPr="00836F13">
              <w:rPr>
                <w:rFonts w:eastAsia="Times New Roman" w:cs="Calibri"/>
                <w:color w:val="000000"/>
                <w:kern w:val="0"/>
                <w:sz w:val="20"/>
                <w:szCs w:val="20"/>
                <w:lang w:eastAsia="fr-FR"/>
                <w14:ligatures w14:val="none"/>
              </w:rPr>
              <w:instrText xml:space="preserve"> ADDIN ZOTERO_ITEM CSL_CITATION {"citationID":"b8KVhqII","properties":{"formattedCitation":"[14]","plainCitation":"[14]","noteIndex":0},"citationItems":[{"id":3690,"uris":["http://zotero.org/users/1791235/items/NB4Y2QYZ"],"itemData":{"id":3690,"type":"article-journal","abstract":"Monkeypox (MPX) is a zoonotic Orthopoxvirus infection endemic in central and western Africa. Human MPX cases occur in the central and northern regions of the Democratic Republic of the Congo (DRC), and this is the first report of confirmed MPX cases in the forested areas of North and South Kivu Provinces, with a detailed epidemiological investigation for one case. The location of each case is within areas predicted to be suitable for MPX virus transmission based on an ecological niche model. Phylogenetic analysis places these viruses in the Congo Basin clade.","container-title":"The American Society of Tropical Medicine and Hygiene","DOI":"10.4269/ajtmh.15-0095","ISSN":"0002-9637, 1476-1645","issue":"4","language":"en","page":"718-1","source":"DOI.org (Crossref)","title":"Human Monkeypox in the Kivus, a Conflict Region of the Democratic Republic of the Congo","volume":"93","author":[{"family":"McCollum","given":"Andrea M."},{"family":"Nakazawa","given":"Yoshinori"},{"family":"Ndongala","given":"Guy Mutombo"},{"family":"Pukuta","given":"Elisabeth"},{"family":"Karhemere","given":"Stomy"},{"family":"Lushima","given":"Robert Shongo"},{"family":"Ilunga","given":"Benoit Kebela"},{"family":"Kabamba","given":"Joelle"},{"family":"Wilkins","given":"Kimberly"},{"family":"Gao","given":"Jinxin"},{"family":"Li","given":"Yu"},{"family":"Emerson","given":"Ginny"},{"family":"Damon","given":"Inger K."},{"family":"Carroll","given":"Darin S."},{"family":"Reynolds","given":"Mary G."},{"family":"Malekani","given":"Jean"},{"family":"Tamfum","given":"Jean-Jacques Muyembe"}],"issued":{"date-parts":[["2015"]]}}}],"schema":"https://github.com/citation-style-language/schema/raw/master/csl-citation.json"} </w:instrText>
            </w:r>
            <w:r w:rsidRPr="00836F13">
              <w:rPr>
                <w:rFonts w:eastAsia="Times New Roman" w:cs="Calibri"/>
                <w:color w:val="000000"/>
                <w:kern w:val="0"/>
                <w:sz w:val="20"/>
                <w:szCs w:val="20"/>
                <w:lang w:eastAsia="fr-FR"/>
                <w14:ligatures w14:val="none"/>
              </w:rPr>
              <w:fldChar w:fldCharType="separate"/>
            </w:r>
            <w:r w:rsidRPr="00836F13">
              <w:rPr>
                <w:sz w:val="20"/>
              </w:rPr>
              <w:t>[14]</w:t>
            </w:r>
            <w:r w:rsidRPr="00836F13">
              <w:rPr>
                <w:rFonts w:eastAsia="Times New Roman" w:cs="Calibri"/>
                <w:color w:val="000000"/>
                <w:kern w:val="0"/>
                <w:sz w:val="20"/>
                <w:szCs w:val="20"/>
                <w:lang w:eastAsia="fr-FR"/>
                <w14:ligatures w14:val="none"/>
              </w:rPr>
              <w:fldChar w:fldCharType="end"/>
            </w:r>
          </w:p>
        </w:tc>
        <w:tc>
          <w:tcPr>
            <w:tcW w:w="714" w:type="dxa"/>
            <w:tcBorders>
              <w:top w:val="nil"/>
              <w:left w:val="nil"/>
              <w:bottom w:val="nil"/>
              <w:right w:val="nil"/>
            </w:tcBorders>
            <w:noWrap/>
            <w:hideMark/>
          </w:tcPr>
          <w:p w14:paraId="46A9AD08" w14:textId="49F6A595"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2014</w:t>
            </w:r>
          </w:p>
        </w:tc>
        <w:tc>
          <w:tcPr>
            <w:tcW w:w="2126" w:type="dxa"/>
            <w:tcBorders>
              <w:top w:val="nil"/>
              <w:left w:val="nil"/>
              <w:bottom w:val="nil"/>
              <w:right w:val="nil"/>
            </w:tcBorders>
            <w:noWrap/>
            <w:hideMark/>
          </w:tcPr>
          <w:p w14:paraId="765FECB6"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DRC</w:t>
            </w:r>
          </w:p>
        </w:tc>
        <w:tc>
          <w:tcPr>
            <w:tcW w:w="1270" w:type="dxa"/>
            <w:tcBorders>
              <w:top w:val="nil"/>
              <w:left w:val="nil"/>
              <w:bottom w:val="nil"/>
              <w:right w:val="nil"/>
            </w:tcBorders>
            <w:noWrap/>
            <w:hideMark/>
          </w:tcPr>
          <w:p w14:paraId="47D36ABF"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Community</w:t>
            </w:r>
          </w:p>
        </w:tc>
        <w:tc>
          <w:tcPr>
            <w:tcW w:w="2602" w:type="dxa"/>
            <w:tcBorders>
              <w:top w:val="nil"/>
              <w:left w:val="nil"/>
              <w:bottom w:val="nil"/>
              <w:right w:val="nil"/>
            </w:tcBorders>
            <w:noWrap/>
            <w:hideMark/>
          </w:tcPr>
          <w:p w14:paraId="14B2F310"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General population</w:t>
            </w:r>
          </w:p>
        </w:tc>
        <w:tc>
          <w:tcPr>
            <w:tcW w:w="1797" w:type="dxa"/>
            <w:tcBorders>
              <w:top w:val="nil"/>
              <w:left w:val="nil"/>
              <w:bottom w:val="nil"/>
              <w:right w:val="nil"/>
            </w:tcBorders>
          </w:tcPr>
          <w:p w14:paraId="29D55B30" w14:textId="7BAE0D5B"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Non-probabilistic</w:t>
            </w:r>
          </w:p>
        </w:tc>
        <w:tc>
          <w:tcPr>
            <w:tcW w:w="1111" w:type="dxa"/>
            <w:tcBorders>
              <w:top w:val="nil"/>
              <w:left w:val="nil"/>
              <w:bottom w:val="nil"/>
              <w:right w:val="nil"/>
            </w:tcBorders>
          </w:tcPr>
          <w:p w14:paraId="76927071" w14:textId="7015A1AA"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VU</w:t>
            </w:r>
          </w:p>
        </w:tc>
        <w:tc>
          <w:tcPr>
            <w:tcW w:w="885" w:type="dxa"/>
            <w:tcBorders>
              <w:top w:val="nil"/>
              <w:left w:val="nil"/>
              <w:bottom w:val="nil"/>
              <w:right w:val="nil"/>
            </w:tcBorders>
            <w:noWrap/>
            <w:hideMark/>
          </w:tcPr>
          <w:p w14:paraId="58208954" w14:textId="72E1E6FA"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1669F0">
              <w:rPr>
                <w:rFonts w:eastAsia="Times New Roman" w:cs="Calibri"/>
                <w:color w:val="000000"/>
                <w:kern w:val="0"/>
                <w:sz w:val="20"/>
                <w:szCs w:val="20"/>
                <w:lang w:eastAsia="fr-FR"/>
                <w14:ligatures w14:val="none"/>
              </w:rPr>
              <w:t>Low</w:t>
            </w:r>
          </w:p>
        </w:tc>
      </w:tr>
      <w:tr w:rsidR="00C556B1" w:rsidRPr="00836F13" w14:paraId="3DBE453B" w14:textId="77777777" w:rsidTr="00BA2E10">
        <w:trPr>
          <w:trHeight w:val="290"/>
        </w:trPr>
        <w:tc>
          <w:tcPr>
            <w:tcW w:w="1843" w:type="dxa"/>
            <w:tcBorders>
              <w:top w:val="nil"/>
              <w:left w:val="nil"/>
              <w:bottom w:val="nil"/>
              <w:right w:val="nil"/>
            </w:tcBorders>
            <w:noWrap/>
            <w:hideMark/>
          </w:tcPr>
          <w:p w14:paraId="2B4C0BD5"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Whitehouse,2015</w:t>
            </w:r>
          </w:p>
        </w:tc>
        <w:tc>
          <w:tcPr>
            <w:tcW w:w="988" w:type="dxa"/>
            <w:tcBorders>
              <w:top w:val="nil"/>
              <w:left w:val="nil"/>
              <w:bottom w:val="nil"/>
              <w:right w:val="nil"/>
            </w:tcBorders>
          </w:tcPr>
          <w:p w14:paraId="39BEE2F8" w14:textId="1FBBCE18"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fldChar w:fldCharType="begin"/>
            </w:r>
            <w:r w:rsidRPr="00836F13">
              <w:rPr>
                <w:rFonts w:eastAsia="Times New Roman" w:cs="Calibri"/>
                <w:color w:val="000000"/>
                <w:kern w:val="0"/>
                <w:sz w:val="20"/>
                <w:szCs w:val="20"/>
                <w:lang w:eastAsia="fr-FR"/>
                <w14:ligatures w14:val="none"/>
              </w:rPr>
              <w:instrText xml:space="preserve"> ADDIN ZOTERO_ITEM CSL_CITATION {"citationID":"vBtBEnmZ","properties":{"formattedCitation":"[15]","plainCitation":"[15]","noteIndex":0},"citationItems":[{"id":3688,"uris":["http://zotero.org/users/1791235/items/CDVGA7VY"],"itemData":{"id":3688,"type":"article-journal","abstract":"Background.  Monkeypox is a poorly described emerging zoonosis endemic to Central and Western Africa.\nMethods.  Using surveillance data from Tshuapa Province, Democratic Republic of the Congo during 2011–2015, we evaluated differences in incidence, exposures, and clinical presentation of polymerase chain reaction–confirmed cases by sex and age.\nResults.  We report 1057 confirmed cases. The average annual incidence was 14.1 per 100</w:instrText>
            </w:r>
            <w:r w:rsidRPr="00836F13">
              <w:rPr>
                <w:rFonts w:ascii="Times New Roman" w:eastAsia="Times New Roman" w:hAnsi="Times New Roman" w:cs="Times New Roman"/>
                <w:color w:val="000000"/>
                <w:kern w:val="0"/>
                <w:sz w:val="20"/>
                <w:szCs w:val="20"/>
                <w:lang w:eastAsia="fr-FR"/>
                <w14:ligatures w14:val="none"/>
              </w:rPr>
              <w:instrText> </w:instrText>
            </w:r>
            <w:r w:rsidRPr="00836F13">
              <w:rPr>
                <w:rFonts w:eastAsia="Times New Roman" w:cs="Calibri"/>
                <w:color w:val="000000"/>
                <w:kern w:val="0"/>
                <w:sz w:val="20"/>
                <w:szCs w:val="20"/>
                <w:lang w:eastAsia="fr-FR"/>
                <w14:ligatures w14:val="none"/>
              </w:rPr>
              <w:instrText>000 (95% confidence interval, 13.3</w:instrText>
            </w:r>
            <w:r w:rsidRPr="00836F13">
              <w:rPr>
                <w:rFonts w:eastAsia="Times New Roman" w:cs="Garamond"/>
                <w:color w:val="000000"/>
                <w:kern w:val="0"/>
                <w:sz w:val="20"/>
                <w:szCs w:val="20"/>
                <w:lang w:eastAsia="fr-FR"/>
                <w14:ligatures w14:val="none"/>
              </w:rPr>
              <w:instrText>–</w:instrText>
            </w:r>
            <w:r w:rsidRPr="00836F13">
              <w:rPr>
                <w:rFonts w:eastAsia="Times New Roman" w:cs="Calibri"/>
                <w:color w:val="000000"/>
                <w:kern w:val="0"/>
                <w:sz w:val="20"/>
                <w:szCs w:val="20"/>
                <w:lang w:eastAsia="fr-FR"/>
                <w14:ligatures w14:val="none"/>
              </w:rPr>
              <w:instrText xml:space="preserve">15.0). The incidence was higher in male patients (incidence rate ratio comparing males to females, 1.21; 95% confidence interval, 1.07–1.37), except among those 20–29 years old (0.70; .51–.95). Females aged 20–29 years also reported a high frequency of exposures (26.2%) to people with monkeypox-like symptoms.The highest incidence was among 10–19-year-old males, the cohort reporting the highest proportion of animal exposures (37.5%). The incidence was lower among those presumed to have received smallpox vaccination than among those presumed unvaccinated. No differences were observed by age group in lesion count or lesion severity score.\nConclusions.  Monkeypox incidence was twice that reported during 1980–1985, an increase possibly linked to declining immunity provided by smallpox vaccination. The high proportion of cases attributed to human exposures suggests changing exposure patterns. Cases were distributed across age and sex, suggesting frequent exposures that follow sociocultural norms.","container-title":"The Journal of Infectious Diseases","DOI":"10.1093/infdis/jiab133","ISSN":"0022-1899, 1537-6613","issue":"11","language":"en","page":"1870-8","source":"DOI.org (Crossref)","title":"Clinical and Epidemiological Findings from Enhanced Monkeypox Surveillance in Tshuapa Province, Democratic Republic of the Congo During 2011–2015","volume":"223","author":[{"family":"Whitehouse","given":"Erin R"},{"family":"Bonwitt","given":"Jesse"},{"family":"Hughes","given":"Christine M"},{"family":"Lushima","given":"Robert Shongo"},{"family":"Likafi","given":"Toutou"},{"family":"Nguete","given":"Beatrice"},{"family":"Kabamba","given":"Joelle"},{"family":"Monroe","given":"Benjamin"},{"family":"Doty","given":"Jeffrey B"},{"family":"Nakazawa","given":"Yoshinori"},{"family":"Damon","given":"Inger"},{"family":"Malekani","given":"Jean"},{"family":"Davidson","given":"Whitni"},{"family":"Wilkins","given":"Kimberly"},{"family":"Li","given":"Yu"},{"family":"Radford","given":"Kay W"},{"family":"Schmid","given":"D Scott"},{"family":"Pukuta","given":"Elisabeth"},{"family":"Muyamuna","given":"Elisabeth"},{"family":"Karhemere","given":"Stomy"},{"family":"Tamfum","given":"Jean-Jacques Muyembe"},{"family":"Okitolonda","given":"Emile Wemakoy"},{"family":"McCollum","given":"Andrea M"},{"family":"Reynolds","given":"Mary G"}],"issued":{"date-parts":[["2021"]]}}}],"schema":"https://github.com/citation-style-language/schema/raw/master/csl-citation.json"} </w:instrText>
            </w:r>
            <w:r w:rsidRPr="00836F13">
              <w:rPr>
                <w:rFonts w:eastAsia="Times New Roman" w:cs="Calibri"/>
                <w:color w:val="000000"/>
                <w:kern w:val="0"/>
                <w:sz w:val="20"/>
                <w:szCs w:val="20"/>
                <w:lang w:eastAsia="fr-FR"/>
                <w14:ligatures w14:val="none"/>
              </w:rPr>
              <w:fldChar w:fldCharType="separate"/>
            </w:r>
            <w:r w:rsidRPr="00836F13">
              <w:rPr>
                <w:sz w:val="20"/>
              </w:rPr>
              <w:t>[15]</w:t>
            </w:r>
            <w:r w:rsidRPr="00836F13">
              <w:rPr>
                <w:rFonts w:eastAsia="Times New Roman" w:cs="Calibri"/>
                <w:color w:val="000000"/>
                <w:kern w:val="0"/>
                <w:sz w:val="20"/>
                <w:szCs w:val="20"/>
                <w:lang w:eastAsia="fr-FR"/>
                <w14:ligatures w14:val="none"/>
              </w:rPr>
              <w:fldChar w:fldCharType="end"/>
            </w:r>
          </w:p>
        </w:tc>
        <w:tc>
          <w:tcPr>
            <w:tcW w:w="714" w:type="dxa"/>
            <w:tcBorders>
              <w:top w:val="nil"/>
              <w:left w:val="nil"/>
              <w:bottom w:val="nil"/>
              <w:right w:val="nil"/>
            </w:tcBorders>
            <w:noWrap/>
            <w:hideMark/>
          </w:tcPr>
          <w:p w14:paraId="1F6EA50D" w14:textId="7564DEA9"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2015</w:t>
            </w:r>
          </w:p>
        </w:tc>
        <w:tc>
          <w:tcPr>
            <w:tcW w:w="2126" w:type="dxa"/>
            <w:tcBorders>
              <w:top w:val="nil"/>
              <w:left w:val="nil"/>
              <w:bottom w:val="nil"/>
              <w:right w:val="nil"/>
            </w:tcBorders>
            <w:noWrap/>
            <w:hideMark/>
          </w:tcPr>
          <w:p w14:paraId="72BE9FD0"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DRC</w:t>
            </w:r>
          </w:p>
        </w:tc>
        <w:tc>
          <w:tcPr>
            <w:tcW w:w="1270" w:type="dxa"/>
            <w:tcBorders>
              <w:top w:val="nil"/>
              <w:left w:val="nil"/>
              <w:bottom w:val="nil"/>
              <w:right w:val="nil"/>
            </w:tcBorders>
            <w:noWrap/>
            <w:hideMark/>
          </w:tcPr>
          <w:p w14:paraId="7AC87C6A"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Community</w:t>
            </w:r>
          </w:p>
        </w:tc>
        <w:tc>
          <w:tcPr>
            <w:tcW w:w="2602" w:type="dxa"/>
            <w:tcBorders>
              <w:top w:val="nil"/>
              <w:left w:val="nil"/>
              <w:bottom w:val="nil"/>
              <w:right w:val="nil"/>
            </w:tcBorders>
            <w:noWrap/>
            <w:hideMark/>
          </w:tcPr>
          <w:p w14:paraId="7859EEC8"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General population</w:t>
            </w:r>
          </w:p>
        </w:tc>
        <w:tc>
          <w:tcPr>
            <w:tcW w:w="1797" w:type="dxa"/>
            <w:tcBorders>
              <w:top w:val="nil"/>
              <w:left w:val="nil"/>
              <w:bottom w:val="nil"/>
              <w:right w:val="nil"/>
            </w:tcBorders>
          </w:tcPr>
          <w:p w14:paraId="2BAF533C" w14:textId="5F43565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Non-probabilistic</w:t>
            </w:r>
          </w:p>
        </w:tc>
        <w:tc>
          <w:tcPr>
            <w:tcW w:w="1111" w:type="dxa"/>
            <w:tcBorders>
              <w:top w:val="nil"/>
              <w:left w:val="nil"/>
              <w:bottom w:val="nil"/>
              <w:right w:val="nil"/>
            </w:tcBorders>
          </w:tcPr>
          <w:p w14:paraId="28689CFC" w14:textId="1FEF4B54"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VU</w:t>
            </w:r>
          </w:p>
        </w:tc>
        <w:tc>
          <w:tcPr>
            <w:tcW w:w="885" w:type="dxa"/>
            <w:tcBorders>
              <w:top w:val="nil"/>
              <w:left w:val="nil"/>
              <w:bottom w:val="nil"/>
              <w:right w:val="nil"/>
            </w:tcBorders>
            <w:noWrap/>
            <w:hideMark/>
          </w:tcPr>
          <w:p w14:paraId="4FBDC1BD" w14:textId="0E104ABE"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1669F0">
              <w:rPr>
                <w:rFonts w:eastAsia="Times New Roman" w:cs="Calibri"/>
                <w:color w:val="000000"/>
                <w:kern w:val="0"/>
                <w:sz w:val="20"/>
                <w:szCs w:val="20"/>
                <w:lang w:eastAsia="fr-FR"/>
                <w14:ligatures w14:val="none"/>
              </w:rPr>
              <w:t>Low</w:t>
            </w:r>
          </w:p>
        </w:tc>
      </w:tr>
      <w:tr w:rsidR="00C556B1" w:rsidRPr="00836F13" w14:paraId="1C3BB114" w14:textId="77777777" w:rsidTr="00BA2E10">
        <w:trPr>
          <w:trHeight w:val="290"/>
        </w:trPr>
        <w:tc>
          <w:tcPr>
            <w:tcW w:w="1843" w:type="dxa"/>
            <w:tcBorders>
              <w:top w:val="nil"/>
              <w:left w:val="nil"/>
              <w:bottom w:val="nil"/>
              <w:right w:val="nil"/>
            </w:tcBorders>
            <w:noWrap/>
            <w:hideMark/>
          </w:tcPr>
          <w:p w14:paraId="4772AC8B"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Kalthan,2016</w:t>
            </w:r>
          </w:p>
        </w:tc>
        <w:tc>
          <w:tcPr>
            <w:tcW w:w="988" w:type="dxa"/>
            <w:tcBorders>
              <w:top w:val="nil"/>
              <w:left w:val="nil"/>
              <w:bottom w:val="nil"/>
              <w:right w:val="nil"/>
            </w:tcBorders>
          </w:tcPr>
          <w:p w14:paraId="4A256FE5" w14:textId="78C88F39"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fldChar w:fldCharType="begin"/>
            </w:r>
            <w:r w:rsidRPr="00836F13">
              <w:rPr>
                <w:rFonts w:eastAsia="Times New Roman" w:cs="Calibri"/>
                <w:color w:val="000000"/>
                <w:kern w:val="0"/>
                <w:sz w:val="20"/>
                <w:szCs w:val="20"/>
                <w:lang w:eastAsia="fr-FR"/>
                <w14:ligatures w14:val="none"/>
              </w:rPr>
              <w:instrText xml:space="preserve"> ADDIN ZOTERO_ITEM CSL_CITATION {"citationID":"TvDa1ITM","properties":{"formattedCitation":"[16]","plainCitation":"[16]","noteIndex":0},"citationItems":[{"id":3514,"uris":["http://zotero.org/users/1791235/items/SNFPH456"],"itemData":{"id":3514,"type":"article-journal","abstract":"Une épidémie de maladie à virus monkeypox ou « variole du singe » a sévi fin 2015 dans le district de Bangassou. Une enquête a été réalisée dont l’objectif était de décrire l’épidémie selon les temps, les lieux et les personnes, et de déterminer son incidence et sa létalité. La collecte des données a été faite par interview. L’entretien a été réalisé avec les malades ou les parents des enfants malades. Des prélèvements ont été faits pour confirmation au laboratoire de l’Institut Pasteur de Bangui. Nos données ont été analysées avec Epi info7. Au total, 12 malades ont été enregistrés, dont 9 cas secondaires. Les tranches d’âge de 31 à 40 ans et de moins de 10 ans étaient les plus atteintes. La maladie a touché davantage les adultes. La moyenne d’âge était de 25 ans, allant de 15 mois à 41 ans. Le taux d’attaque et la létalité étaient respectivement de 0,2 pour 1 000 habitants et de 25 %. Plus de la moitié de la létalité frappait les enfants de moins de 10 ans. La fièvre et l’éruption cutanée étaient les symptômes dominants. Les adénopathies cervicales étaient présentes chez plus de la moitié des patients. Dix malades sur 12 ont dû être hospitalisés. La durée moyenne d’hospitalisation était de 13 jours. La maladie à virus monkeypox reste, comme la variole, une maladie grave, parfois mortelle. Une identification précise des souches virales s’avère indispensable. Lors d’une épidémie, une bonne communication et l’isolement des malades permettent de diminuer la transmission. D’autres mesures visant à limiter le contact avec la faune forestière pouvant être un réservoir de virus sont à encourager.","container-title":"Bulletin de la Société de pathologie exotique","DOI":"10.1007/s13149-016-0516-z","ISSN":"1961-9049","issue":"5","journalAbbreviation":"Bull. Soc. Pathol. Exot.","language":"fr","page":"358-63","source":"Springer Link","title":"Epidémie de 12 cas de maladie à virus monkeypox dans le district de Bangassou en République Centrafricaine en décembre 2015","volume":"109","author":[{"family":"Kalthan","given":"E."},{"family":"Dondo-Fongbia","given":"J. P."},{"family":"Yambele","given":"S."},{"family":"Dieu-Creer","given":"L. R."},{"family":"Zepio","given":"R."},{"family":"Pamatika","given":"C. M."}],"issued":{"date-parts":[["2016"]]}}}],"schema":"https://github.com/citation-style-language/schema/raw/master/csl-citation.json"} </w:instrText>
            </w:r>
            <w:r w:rsidRPr="00836F13">
              <w:rPr>
                <w:rFonts w:eastAsia="Times New Roman" w:cs="Calibri"/>
                <w:color w:val="000000"/>
                <w:kern w:val="0"/>
                <w:sz w:val="20"/>
                <w:szCs w:val="20"/>
                <w:lang w:eastAsia="fr-FR"/>
                <w14:ligatures w14:val="none"/>
              </w:rPr>
              <w:fldChar w:fldCharType="separate"/>
            </w:r>
            <w:r w:rsidRPr="00836F13">
              <w:rPr>
                <w:sz w:val="20"/>
              </w:rPr>
              <w:t>[16]</w:t>
            </w:r>
            <w:r w:rsidRPr="00836F13">
              <w:rPr>
                <w:rFonts w:eastAsia="Times New Roman" w:cs="Calibri"/>
                <w:color w:val="000000"/>
                <w:kern w:val="0"/>
                <w:sz w:val="20"/>
                <w:szCs w:val="20"/>
                <w:lang w:eastAsia="fr-FR"/>
                <w14:ligatures w14:val="none"/>
              </w:rPr>
              <w:fldChar w:fldCharType="end"/>
            </w:r>
          </w:p>
        </w:tc>
        <w:tc>
          <w:tcPr>
            <w:tcW w:w="714" w:type="dxa"/>
            <w:tcBorders>
              <w:top w:val="nil"/>
              <w:left w:val="nil"/>
              <w:bottom w:val="nil"/>
              <w:right w:val="nil"/>
            </w:tcBorders>
            <w:noWrap/>
            <w:hideMark/>
          </w:tcPr>
          <w:p w14:paraId="15522E9C" w14:textId="6B161B62"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2016</w:t>
            </w:r>
          </w:p>
        </w:tc>
        <w:tc>
          <w:tcPr>
            <w:tcW w:w="2126" w:type="dxa"/>
            <w:tcBorders>
              <w:top w:val="nil"/>
              <w:left w:val="nil"/>
              <w:bottom w:val="nil"/>
              <w:right w:val="nil"/>
            </w:tcBorders>
            <w:noWrap/>
            <w:hideMark/>
          </w:tcPr>
          <w:p w14:paraId="0CD2CF8C"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Central African Republic</w:t>
            </w:r>
          </w:p>
        </w:tc>
        <w:tc>
          <w:tcPr>
            <w:tcW w:w="1270" w:type="dxa"/>
            <w:tcBorders>
              <w:top w:val="nil"/>
              <w:left w:val="nil"/>
              <w:bottom w:val="nil"/>
              <w:right w:val="nil"/>
            </w:tcBorders>
            <w:noWrap/>
            <w:hideMark/>
          </w:tcPr>
          <w:p w14:paraId="1ABB1AD7"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Community</w:t>
            </w:r>
          </w:p>
        </w:tc>
        <w:tc>
          <w:tcPr>
            <w:tcW w:w="2602" w:type="dxa"/>
            <w:tcBorders>
              <w:top w:val="nil"/>
              <w:left w:val="nil"/>
              <w:bottom w:val="nil"/>
              <w:right w:val="nil"/>
            </w:tcBorders>
            <w:noWrap/>
            <w:hideMark/>
          </w:tcPr>
          <w:p w14:paraId="17016CF2"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General population</w:t>
            </w:r>
          </w:p>
        </w:tc>
        <w:tc>
          <w:tcPr>
            <w:tcW w:w="1797" w:type="dxa"/>
            <w:tcBorders>
              <w:top w:val="nil"/>
              <w:left w:val="nil"/>
              <w:bottom w:val="nil"/>
              <w:right w:val="nil"/>
            </w:tcBorders>
          </w:tcPr>
          <w:p w14:paraId="58949468" w14:textId="3554323B"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Non-probabilistic</w:t>
            </w:r>
          </w:p>
        </w:tc>
        <w:tc>
          <w:tcPr>
            <w:tcW w:w="1111" w:type="dxa"/>
            <w:tcBorders>
              <w:top w:val="nil"/>
              <w:left w:val="nil"/>
              <w:bottom w:val="nil"/>
              <w:right w:val="nil"/>
            </w:tcBorders>
          </w:tcPr>
          <w:p w14:paraId="575AC0CF" w14:textId="3A29A3E4"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VU</w:t>
            </w:r>
          </w:p>
        </w:tc>
        <w:tc>
          <w:tcPr>
            <w:tcW w:w="885" w:type="dxa"/>
            <w:tcBorders>
              <w:top w:val="nil"/>
              <w:left w:val="nil"/>
              <w:bottom w:val="nil"/>
              <w:right w:val="nil"/>
            </w:tcBorders>
            <w:noWrap/>
            <w:hideMark/>
          </w:tcPr>
          <w:p w14:paraId="718BD372" w14:textId="5B290BC5"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1669F0">
              <w:rPr>
                <w:rFonts w:eastAsia="Times New Roman" w:cs="Calibri"/>
                <w:color w:val="000000"/>
                <w:kern w:val="0"/>
                <w:sz w:val="20"/>
                <w:szCs w:val="20"/>
                <w:lang w:eastAsia="fr-FR"/>
                <w14:ligatures w14:val="none"/>
              </w:rPr>
              <w:t>Low</w:t>
            </w:r>
          </w:p>
        </w:tc>
      </w:tr>
      <w:tr w:rsidR="005B1C33" w:rsidRPr="00836F13" w14:paraId="3801729D" w14:textId="77777777" w:rsidTr="00BA2E10">
        <w:trPr>
          <w:trHeight w:val="290"/>
        </w:trPr>
        <w:tc>
          <w:tcPr>
            <w:tcW w:w="1843" w:type="dxa"/>
            <w:tcBorders>
              <w:top w:val="nil"/>
              <w:left w:val="nil"/>
              <w:bottom w:val="nil"/>
              <w:right w:val="nil"/>
            </w:tcBorders>
            <w:noWrap/>
            <w:hideMark/>
          </w:tcPr>
          <w:p w14:paraId="39051F10" w14:textId="77777777" w:rsidR="005B1C33" w:rsidRPr="00836F13" w:rsidRDefault="005B1C33" w:rsidP="0002731A">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Besombes,2018</w:t>
            </w:r>
          </w:p>
        </w:tc>
        <w:tc>
          <w:tcPr>
            <w:tcW w:w="988" w:type="dxa"/>
            <w:tcBorders>
              <w:top w:val="nil"/>
              <w:left w:val="nil"/>
              <w:bottom w:val="nil"/>
              <w:right w:val="nil"/>
            </w:tcBorders>
          </w:tcPr>
          <w:p w14:paraId="24D8E260" w14:textId="6BE0A731" w:rsidR="005B1C33" w:rsidRPr="00836F13" w:rsidRDefault="005B1C33" w:rsidP="0002731A">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fldChar w:fldCharType="begin"/>
            </w:r>
            <w:r w:rsidRPr="00836F13">
              <w:rPr>
                <w:rFonts w:eastAsia="Times New Roman" w:cs="Calibri"/>
                <w:color w:val="000000"/>
                <w:kern w:val="0"/>
                <w:sz w:val="20"/>
                <w:szCs w:val="20"/>
                <w:lang w:eastAsia="fr-FR"/>
                <w14:ligatures w14:val="none"/>
              </w:rPr>
              <w:instrText xml:space="preserve"> ADDIN ZOTERO_ITEM CSL_CITATION {"citationID":"4RKHjefo","properties":{"formattedCitation":"[17]","plainCitation":"[17]","noteIndex":0},"citationItems":[{"id":4442,"uris":["http://zotero.org/users/1791235/items/9558YNSP"],"itemData":{"id":4442,"type":"article-journal","container-title":"Emerging Infectious Diseases","DOI":"10.3201/eid2508.190112","ISSN":"1080-6040, 1080-6059","issue":"8","journalAbbreviation":"Emerg. Infect. Dis.","page":"1602-1604","source":"DOI.org (Crossref)","title":"Intrafamily Transmission of Monkeypox Virus, Central African Republic, 2018","volume":"25","author":[{"family":"Besombes","given":"Camille"},{"family":"Gonofio","given":"Ella"},{"family":"Konamna","given":"Xavier"},{"family":"Selekon","given":"Benjamin"},{"family":"Gessain","given":"Antoine"},{"family":"Berthet","given":"Nicolas"},{"family":"Manuguerra","given":"Jean-Claude"},{"family":"Fontanet","given":"Arnaud"},{"family":"Nakouné","given":"Emmanuel"}],"issued":{"date-parts":[["2019"]]}}}],"schema":"https://github.com/citation-style-language/schema/raw/master/csl-citation.json"} </w:instrText>
            </w:r>
            <w:r w:rsidRPr="00836F13">
              <w:rPr>
                <w:rFonts w:eastAsia="Times New Roman" w:cs="Calibri"/>
                <w:color w:val="000000"/>
                <w:kern w:val="0"/>
                <w:sz w:val="20"/>
                <w:szCs w:val="20"/>
                <w:lang w:eastAsia="fr-FR"/>
                <w14:ligatures w14:val="none"/>
              </w:rPr>
              <w:fldChar w:fldCharType="separate"/>
            </w:r>
            <w:r w:rsidRPr="00836F13">
              <w:rPr>
                <w:sz w:val="20"/>
              </w:rPr>
              <w:t>[17]</w:t>
            </w:r>
            <w:r w:rsidRPr="00836F13">
              <w:rPr>
                <w:rFonts w:eastAsia="Times New Roman" w:cs="Calibri"/>
                <w:color w:val="000000"/>
                <w:kern w:val="0"/>
                <w:sz w:val="20"/>
                <w:szCs w:val="20"/>
                <w:lang w:eastAsia="fr-FR"/>
                <w14:ligatures w14:val="none"/>
              </w:rPr>
              <w:fldChar w:fldCharType="end"/>
            </w:r>
          </w:p>
        </w:tc>
        <w:tc>
          <w:tcPr>
            <w:tcW w:w="714" w:type="dxa"/>
            <w:tcBorders>
              <w:top w:val="nil"/>
              <w:left w:val="nil"/>
              <w:bottom w:val="nil"/>
              <w:right w:val="nil"/>
            </w:tcBorders>
            <w:noWrap/>
            <w:hideMark/>
          </w:tcPr>
          <w:p w14:paraId="148577A4" w14:textId="1942703F" w:rsidR="005B1C33" w:rsidRPr="00836F13" w:rsidRDefault="005B1C33" w:rsidP="0002731A">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2018</w:t>
            </w:r>
          </w:p>
        </w:tc>
        <w:tc>
          <w:tcPr>
            <w:tcW w:w="2126" w:type="dxa"/>
            <w:tcBorders>
              <w:top w:val="nil"/>
              <w:left w:val="nil"/>
              <w:bottom w:val="nil"/>
              <w:right w:val="nil"/>
            </w:tcBorders>
            <w:noWrap/>
            <w:hideMark/>
          </w:tcPr>
          <w:p w14:paraId="5F4B8559" w14:textId="77777777" w:rsidR="005B1C33" w:rsidRPr="00836F13" w:rsidRDefault="005B1C33" w:rsidP="0002731A">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Central African Republic</w:t>
            </w:r>
          </w:p>
        </w:tc>
        <w:tc>
          <w:tcPr>
            <w:tcW w:w="1270" w:type="dxa"/>
            <w:tcBorders>
              <w:top w:val="nil"/>
              <w:left w:val="nil"/>
              <w:bottom w:val="nil"/>
              <w:right w:val="nil"/>
            </w:tcBorders>
            <w:noWrap/>
            <w:hideMark/>
          </w:tcPr>
          <w:p w14:paraId="29AE330F" w14:textId="77777777" w:rsidR="005B1C33" w:rsidRPr="00836F13" w:rsidRDefault="005B1C33" w:rsidP="0002731A">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Community</w:t>
            </w:r>
          </w:p>
        </w:tc>
        <w:tc>
          <w:tcPr>
            <w:tcW w:w="2602" w:type="dxa"/>
            <w:tcBorders>
              <w:top w:val="nil"/>
              <w:left w:val="nil"/>
              <w:bottom w:val="nil"/>
              <w:right w:val="nil"/>
            </w:tcBorders>
            <w:noWrap/>
            <w:hideMark/>
          </w:tcPr>
          <w:p w14:paraId="1AE97EDF" w14:textId="77777777" w:rsidR="005B1C33" w:rsidRPr="00836F13" w:rsidRDefault="005B1C33" w:rsidP="0002731A">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General population and HCWs</w:t>
            </w:r>
          </w:p>
        </w:tc>
        <w:tc>
          <w:tcPr>
            <w:tcW w:w="1797" w:type="dxa"/>
            <w:tcBorders>
              <w:top w:val="nil"/>
              <w:left w:val="nil"/>
              <w:bottom w:val="nil"/>
              <w:right w:val="nil"/>
            </w:tcBorders>
          </w:tcPr>
          <w:p w14:paraId="562D0216" w14:textId="7A17C71D" w:rsidR="005B1C33" w:rsidRPr="00836F13" w:rsidRDefault="005B1C33" w:rsidP="0002731A">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Non-probabilistic</w:t>
            </w:r>
          </w:p>
        </w:tc>
        <w:tc>
          <w:tcPr>
            <w:tcW w:w="1111" w:type="dxa"/>
            <w:tcBorders>
              <w:top w:val="nil"/>
              <w:left w:val="nil"/>
              <w:bottom w:val="nil"/>
              <w:right w:val="nil"/>
            </w:tcBorders>
          </w:tcPr>
          <w:p w14:paraId="576322E7" w14:textId="6A813B84" w:rsidR="005B1C33" w:rsidRPr="00836F13" w:rsidRDefault="005B1C33" w:rsidP="0002731A">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VU</w:t>
            </w:r>
          </w:p>
        </w:tc>
        <w:tc>
          <w:tcPr>
            <w:tcW w:w="885" w:type="dxa"/>
            <w:tcBorders>
              <w:top w:val="nil"/>
              <w:left w:val="nil"/>
              <w:bottom w:val="nil"/>
              <w:right w:val="nil"/>
            </w:tcBorders>
            <w:noWrap/>
            <w:hideMark/>
          </w:tcPr>
          <w:p w14:paraId="5D238DBD" w14:textId="13089F48" w:rsidR="005B1C33" w:rsidRPr="00836F13" w:rsidRDefault="00BA2E10" w:rsidP="0002731A">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M</w:t>
            </w:r>
            <w:r>
              <w:rPr>
                <w:rFonts w:eastAsia="Times New Roman" w:cs="Calibri"/>
                <w:color w:val="000000"/>
                <w:kern w:val="0"/>
                <w:sz w:val="20"/>
                <w:szCs w:val="20"/>
                <w:lang w:eastAsia="fr-FR"/>
                <w14:ligatures w14:val="none"/>
              </w:rPr>
              <w:t>oderate</w:t>
            </w:r>
          </w:p>
        </w:tc>
      </w:tr>
      <w:tr w:rsidR="005B1C33" w:rsidRPr="00836F13" w14:paraId="29D8C5A6" w14:textId="77777777" w:rsidTr="00BA2E10">
        <w:trPr>
          <w:trHeight w:val="290"/>
        </w:trPr>
        <w:tc>
          <w:tcPr>
            <w:tcW w:w="1843" w:type="dxa"/>
            <w:tcBorders>
              <w:top w:val="nil"/>
              <w:left w:val="nil"/>
              <w:bottom w:val="nil"/>
              <w:right w:val="nil"/>
            </w:tcBorders>
            <w:noWrap/>
            <w:hideMark/>
          </w:tcPr>
          <w:p w14:paraId="2A96BA8B" w14:textId="77777777" w:rsidR="005B1C33" w:rsidRPr="00836F13" w:rsidRDefault="005B1C33" w:rsidP="0002731A">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Mande,2019</w:t>
            </w:r>
          </w:p>
        </w:tc>
        <w:tc>
          <w:tcPr>
            <w:tcW w:w="988" w:type="dxa"/>
            <w:tcBorders>
              <w:top w:val="nil"/>
              <w:left w:val="nil"/>
              <w:bottom w:val="nil"/>
              <w:right w:val="nil"/>
            </w:tcBorders>
          </w:tcPr>
          <w:p w14:paraId="28AE4C73" w14:textId="752A08A0" w:rsidR="005B1C33" w:rsidRPr="00836F13" w:rsidRDefault="005B1C33" w:rsidP="0002731A">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fldChar w:fldCharType="begin"/>
            </w:r>
            <w:r w:rsidRPr="00836F13">
              <w:rPr>
                <w:rFonts w:eastAsia="Times New Roman" w:cs="Calibri"/>
                <w:color w:val="000000"/>
                <w:kern w:val="0"/>
                <w:sz w:val="20"/>
                <w:szCs w:val="20"/>
                <w:lang w:eastAsia="fr-FR"/>
                <w14:ligatures w14:val="none"/>
              </w:rPr>
              <w:instrText xml:space="preserve"> ADDIN ZOTERO_ITEM CSL_CITATION {"citationID":"fS4bDKWG","properties":{"formattedCitation":"[18]","plainCitation":"[18]","noteIndex":0},"citationItems":[{"id":3568,"uris":["http://zotero.org/users/1791235/items/X8ZT9GHX"],"itemData":{"id":3568,"type":"article-journal","container-title":"International Journal of Infectious Diseases","DOI":"10.1016/j.ijid.2022.06.060","ISSN":"1201-9712","journalAbbreviation":"International Journal of Infectious Diseases","language":"English","note":"publisher: Elsevier\nPMID: 35809857","page":"647-55","source":"www.ijidonline.com","title":"Enhanced surveillance of monkeypox in Bas-Uélé, Democratic Republic of Congo: the limitations of symptom-based case definitions","title-short":"Enhanced surveillance of monkeypox in Bas-Uélé, Democratic Republic of Congo","volume":"122","author":[{"family":"Mande","given":"Gaspard"},{"family":"Akonda","given":"Innocent"},{"family":"Weggheleire","given":"Anja De"},{"family":"Brosius","given":"Isabel"},{"family":"Liesenborghs","given":"Laurens"},{"family":"Bottieau","given":"Emmanuel"},{"family":"Ross","given":"Noam"},{"family":"Gembu","given":"Guy-Crispin"},{"family":"Colebunders","given":"Robert"},{"family":"Verheyen","given":"Erik"},{"family":"Ngonda","given":"Dauly"},{"family":"Leirs","given":"Herwig"},{"family":"Laudisoit","given":"Anne"}],"issued":{"date-parts":[["2022"]]}}}],"schema":"https://github.com/citation-style-language/schema/raw/master/csl-citation.json"} </w:instrText>
            </w:r>
            <w:r w:rsidRPr="00836F13">
              <w:rPr>
                <w:rFonts w:eastAsia="Times New Roman" w:cs="Calibri"/>
                <w:color w:val="000000"/>
                <w:kern w:val="0"/>
                <w:sz w:val="20"/>
                <w:szCs w:val="20"/>
                <w:lang w:eastAsia="fr-FR"/>
                <w14:ligatures w14:val="none"/>
              </w:rPr>
              <w:fldChar w:fldCharType="separate"/>
            </w:r>
            <w:r w:rsidRPr="00836F13">
              <w:rPr>
                <w:sz w:val="20"/>
              </w:rPr>
              <w:t>[18]</w:t>
            </w:r>
            <w:r w:rsidRPr="00836F13">
              <w:rPr>
                <w:rFonts w:eastAsia="Times New Roman" w:cs="Calibri"/>
                <w:color w:val="000000"/>
                <w:kern w:val="0"/>
                <w:sz w:val="20"/>
                <w:szCs w:val="20"/>
                <w:lang w:eastAsia="fr-FR"/>
                <w14:ligatures w14:val="none"/>
              </w:rPr>
              <w:fldChar w:fldCharType="end"/>
            </w:r>
          </w:p>
        </w:tc>
        <w:tc>
          <w:tcPr>
            <w:tcW w:w="714" w:type="dxa"/>
            <w:tcBorders>
              <w:top w:val="nil"/>
              <w:left w:val="nil"/>
              <w:bottom w:val="nil"/>
              <w:right w:val="nil"/>
            </w:tcBorders>
            <w:noWrap/>
            <w:hideMark/>
          </w:tcPr>
          <w:p w14:paraId="737F213D" w14:textId="2F714D46" w:rsidR="005B1C33" w:rsidRPr="00836F13" w:rsidRDefault="005B1C33" w:rsidP="0002731A">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2019</w:t>
            </w:r>
          </w:p>
        </w:tc>
        <w:tc>
          <w:tcPr>
            <w:tcW w:w="2126" w:type="dxa"/>
            <w:tcBorders>
              <w:top w:val="nil"/>
              <w:left w:val="nil"/>
              <w:bottom w:val="nil"/>
              <w:right w:val="nil"/>
            </w:tcBorders>
            <w:noWrap/>
            <w:hideMark/>
          </w:tcPr>
          <w:p w14:paraId="6F2B0A95" w14:textId="77777777" w:rsidR="005B1C33" w:rsidRPr="00836F13" w:rsidRDefault="005B1C33" w:rsidP="0002731A">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DRC</w:t>
            </w:r>
          </w:p>
        </w:tc>
        <w:tc>
          <w:tcPr>
            <w:tcW w:w="1270" w:type="dxa"/>
            <w:tcBorders>
              <w:top w:val="nil"/>
              <w:left w:val="nil"/>
              <w:bottom w:val="nil"/>
              <w:right w:val="nil"/>
            </w:tcBorders>
            <w:noWrap/>
            <w:hideMark/>
          </w:tcPr>
          <w:p w14:paraId="381B8914" w14:textId="77777777" w:rsidR="005B1C33" w:rsidRPr="00836F13" w:rsidRDefault="005B1C33" w:rsidP="0002731A">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Community</w:t>
            </w:r>
          </w:p>
        </w:tc>
        <w:tc>
          <w:tcPr>
            <w:tcW w:w="2602" w:type="dxa"/>
            <w:tcBorders>
              <w:top w:val="nil"/>
              <w:left w:val="nil"/>
              <w:bottom w:val="nil"/>
              <w:right w:val="nil"/>
            </w:tcBorders>
            <w:noWrap/>
            <w:hideMark/>
          </w:tcPr>
          <w:p w14:paraId="1366968A" w14:textId="77777777" w:rsidR="005B1C33" w:rsidRPr="00836F13" w:rsidRDefault="005B1C33" w:rsidP="0002731A">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General population</w:t>
            </w:r>
          </w:p>
        </w:tc>
        <w:tc>
          <w:tcPr>
            <w:tcW w:w="1797" w:type="dxa"/>
            <w:tcBorders>
              <w:top w:val="nil"/>
              <w:left w:val="nil"/>
              <w:bottom w:val="nil"/>
              <w:right w:val="nil"/>
            </w:tcBorders>
          </w:tcPr>
          <w:p w14:paraId="3B69513C" w14:textId="7D3EA0E3" w:rsidR="005B1C33" w:rsidRPr="00836F13" w:rsidRDefault="005B1C33" w:rsidP="0002731A">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Non-probabilistic</w:t>
            </w:r>
          </w:p>
        </w:tc>
        <w:tc>
          <w:tcPr>
            <w:tcW w:w="1111" w:type="dxa"/>
            <w:tcBorders>
              <w:top w:val="nil"/>
              <w:left w:val="nil"/>
              <w:bottom w:val="nil"/>
              <w:right w:val="nil"/>
            </w:tcBorders>
          </w:tcPr>
          <w:p w14:paraId="31BCD441" w14:textId="7AD5210C" w:rsidR="005B1C33" w:rsidRPr="00836F13" w:rsidRDefault="005B1C33" w:rsidP="0002731A">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VU</w:t>
            </w:r>
          </w:p>
        </w:tc>
        <w:tc>
          <w:tcPr>
            <w:tcW w:w="885" w:type="dxa"/>
            <w:tcBorders>
              <w:top w:val="nil"/>
              <w:left w:val="nil"/>
              <w:bottom w:val="nil"/>
              <w:right w:val="nil"/>
            </w:tcBorders>
            <w:noWrap/>
            <w:hideMark/>
          </w:tcPr>
          <w:p w14:paraId="4F7DD81E" w14:textId="5889323D" w:rsidR="005B1C33" w:rsidRPr="00836F13" w:rsidRDefault="00C556B1" w:rsidP="0002731A">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L</w:t>
            </w:r>
            <w:r>
              <w:rPr>
                <w:rFonts w:eastAsia="Times New Roman" w:cs="Calibri"/>
                <w:color w:val="000000"/>
                <w:kern w:val="0"/>
                <w:sz w:val="20"/>
                <w:szCs w:val="20"/>
                <w:lang w:eastAsia="fr-FR"/>
                <w14:ligatures w14:val="none"/>
              </w:rPr>
              <w:t>ow</w:t>
            </w:r>
          </w:p>
        </w:tc>
      </w:tr>
      <w:tr w:rsidR="005B1C33" w:rsidRPr="00836F13" w14:paraId="59A24B8A" w14:textId="77777777" w:rsidTr="00BA2E10">
        <w:trPr>
          <w:trHeight w:val="290"/>
        </w:trPr>
        <w:tc>
          <w:tcPr>
            <w:tcW w:w="1843" w:type="dxa"/>
            <w:tcBorders>
              <w:top w:val="nil"/>
              <w:left w:val="nil"/>
              <w:bottom w:val="nil"/>
              <w:right w:val="nil"/>
            </w:tcBorders>
            <w:noWrap/>
            <w:hideMark/>
          </w:tcPr>
          <w:p w14:paraId="4D1C55DD" w14:textId="77777777" w:rsidR="005B1C33" w:rsidRPr="00836F13" w:rsidRDefault="005B1C33" w:rsidP="0002731A">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Lounis,2022</w:t>
            </w:r>
          </w:p>
        </w:tc>
        <w:tc>
          <w:tcPr>
            <w:tcW w:w="988" w:type="dxa"/>
            <w:tcBorders>
              <w:top w:val="nil"/>
              <w:left w:val="nil"/>
              <w:bottom w:val="nil"/>
              <w:right w:val="nil"/>
            </w:tcBorders>
          </w:tcPr>
          <w:p w14:paraId="7FE0B033" w14:textId="49072A07" w:rsidR="005B1C33" w:rsidRPr="00836F13" w:rsidRDefault="005B1C33" w:rsidP="003315A0">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fldChar w:fldCharType="begin"/>
            </w:r>
            <w:r w:rsidR="003315A0">
              <w:rPr>
                <w:rFonts w:eastAsia="Times New Roman" w:cs="Calibri"/>
                <w:color w:val="000000"/>
                <w:kern w:val="0"/>
                <w:sz w:val="20"/>
                <w:szCs w:val="20"/>
                <w:lang w:eastAsia="fr-FR"/>
                <w14:ligatures w14:val="none"/>
              </w:rPr>
              <w:instrText xml:space="preserve"> ADDIN ZOTERO_ITEM CSL_CITATION {"citationID":"2ZohTjHp","properties":{"formattedCitation":"[19]","plainCitation":"[19]","noteIndex":0},"citationItems":[{"id":4502,"uris":["http://zotero.org/users/1791235/items/LZHSGYWD"],"itemData":{"id":4502,"type":"article-journal","container-title":"Vacunas","DOI":"10.1016/j.vacun.2022.11.003","ISSN":"15769887","issue":"2","journalAbbreviation":"Vacunas","language":"en","page":"122-127","source":"DOI.org (Crossref)","title":"Knowledge and awareness of Algerian healthcare workers about human monkeypox and their attitude toward its vaccination: An online cross-sectional survey","title-short":"Knowledge and awareness of Algerian healthcare workers about human monkeypox and their attitude toward its vaccination","volume":"24","author":[{"family":"Lounis","given":"Mohamed"},{"family":"Bencherit","given":"Djihad"},{"family":"Abdelhadi","given":"Samir"}],"issued":{"date-parts":[["2023"]]}}}],"schema":"https://github.com/citation-style-language/schema/raw/master/csl-citation.json"} </w:instrText>
            </w:r>
            <w:r w:rsidRPr="00836F13">
              <w:rPr>
                <w:rFonts w:eastAsia="Times New Roman" w:cs="Calibri"/>
                <w:color w:val="000000"/>
                <w:kern w:val="0"/>
                <w:sz w:val="20"/>
                <w:szCs w:val="20"/>
                <w:lang w:eastAsia="fr-FR"/>
                <w14:ligatures w14:val="none"/>
              </w:rPr>
              <w:fldChar w:fldCharType="separate"/>
            </w:r>
            <w:r w:rsidR="003315A0" w:rsidRPr="003315A0">
              <w:rPr>
                <w:sz w:val="20"/>
              </w:rPr>
              <w:t>[19]</w:t>
            </w:r>
            <w:r w:rsidRPr="00836F13">
              <w:rPr>
                <w:rFonts w:eastAsia="Times New Roman" w:cs="Calibri"/>
                <w:color w:val="000000"/>
                <w:kern w:val="0"/>
                <w:sz w:val="20"/>
                <w:szCs w:val="20"/>
                <w:lang w:eastAsia="fr-FR"/>
                <w14:ligatures w14:val="none"/>
              </w:rPr>
              <w:fldChar w:fldCharType="end"/>
            </w:r>
          </w:p>
        </w:tc>
        <w:tc>
          <w:tcPr>
            <w:tcW w:w="714" w:type="dxa"/>
            <w:tcBorders>
              <w:top w:val="nil"/>
              <w:left w:val="nil"/>
              <w:bottom w:val="nil"/>
              <w:right w:val="nil"/>
            </w:tcBorders>
            <w:noWrap/>
            <w:hideMark/>
          </w:tcPr>
          <w:p w14:paraId="5316D66D" w14:textId="36629AFD" w:rsidR="005B1C33" w:rsidRPr="00836F13" w:rsidRDefault="005B1C33" w:rsidP="0002731A">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2022</w:t>
            </w:r>
          </w:p>
        </w:tc>
        <w:tc>
          <w:tcPr>
            <w:tcW w:w="2126" w:type="dxa"/>
            <w:tcBorders>
              <w:top w:val="nil"/>
              <w:left w:val="nil"/>
              <w:bottom w:val="nil"/>
              <w:right w:val="nil"/>
            </w:tcBorders>
            <w:noWrap/>
            <w:hideMark/>
          </w:tcPr>
          <w:p w14:paraId="2E2CF6F4" w14:textId="77777777" w:rsidR="005B1C33" w:rsidRPr="00836F13" w:rsidRDefault="005B1C33" w:rsidP="0002731A">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Algeria</w:t>
            </w:r>
          </w:p>
        </w:tc>
        <w:tc>
          <w:tcPr>
            <w:tcW w:w="1270" w:type="dxa"/>
            <w:tcBorders>
              <w:top w:val="nil"/>
              <w:left w:val="nil"/>
              <w:bottom w:val="nil"/>
              <w:right w:val="nil"/>
            </w:tcBorders>
            <w:noWrap/>
            <w:hideMark/>
          </w:tcPr>
          <w:p w14:paraId="4DE531ED" w14:textId="77777777" w:rsidR="005B1C33" w:rsidRPr="00836F13" w:rsidRDefault="005B1C33" w:rsidP="0002731A">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Online</w:t>
            </w:r>
          </w:p>
        </w:tc>
        <w:tc>
          <w:tcPr>
            <w:tcW w:w="2602" w:type="dxa"/>
            <w:tcBorders>
              <w:top w:val="nil"/>
              <w:left w:val="nil"/>
              <w:bottom w:val="nil"/>
              <w:right w:val="nil"/>
            </w:tcBorders>
            <w:noWrap/>
            <w:hideMark/>
          </w:tcPr>
          <w:p w14:paraId="6CB92889" w14:textId="77777777" w:rsidR="005B1C33" w:rsidRPr="00836F13" w:rsidRDefault="005B1C33" w:rsidP="0002731A">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HCWs</w:t>
            </w:r>
          </w:p>
        </w:tc>
        <w:tc>
          <w:tcPr>
            <w:tcW w:w="1797" w:type="dxa"/>
            <w:tcBorders>
              <w:top w:val="nil"/>
              <w:left w:val="nil"/>
              <w:bottom w:val="nil"/>
              <w:right w:val="nil"/>
            </w:tcBorders>
          </w:tcPr>
          <w:p w14:paraId="4CCFA5AB" w14:textId="182BC913" w:rsidR="005B1C33" w:rsidRPr="00836F13" w:rsidRDefault="005B1C33" w:rsidP="0002731A">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Non-probabilistic</w:t>
            </w:r>
          </w:p>
        </w:tc>
        <w:tc>
          <w:tcPr>
            <w:tcW w:w="1111" w:type="dxa"/>
            <w:tcBorders>
              <w:top w:val="nil"/>
              <w:left w:val="nil"/>
              <w:bottom w:val="nil"/>
              <w:right w:val="nil"/>
            </w:tcBorders>
          </w:tcPr>
          <w:p w14:paraId="18EF2865" w14:textId="047A82C3" w:rsidR="005B1C33" w:rsidRPr="00836F13" w:rsidRDefault="005B1C33" w:rsidP="0002731A">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VA</w:t>
            </w:r>
          </w:p>
        </w:tc>
        <w:tc>
          <w:tcPr>
            <w:tcW w:w="885" w:type="dxa"/>
            <w:tcBorders>
              <w:top w:val="nil"/>
              <w:left w:val="nil"/>
              <w:bottom w:val="nil"/>
              <w:right w:val="nil"/>
            </w:tcBorders>
            <w:noWrap/>
            <w:hideMark/>
          </w:tcPr>
          <w:p w14:paraId="582D36F5" w14:textId="0C41359A" w:rsidR="005B1C33" w:rsidRPr="00836F13" w:rsidRDefault="00BA2E10" w:rsidP="0002731A">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M</w:t>
            </w:r>
            <w:r>
              <w:rPr>
                <w:rFonts w:eastAsia="Times New Roman" w:cs="Calibri"/>
                <w:color w:val="000000"/>
                <w:kern w:val="0"/>
                <w:sz w:val="20"/>
                <w:szCs w:val="20"/>
                <w:lang w:eastAsia="fr-FR"/>
                <w14:ligatures w14:val="none"/>
              </w:rPr>
              <w:t>oderate</w:t>
            </w:r>
          </w:p>
        </w:tc>
      </w:tr>
      <w:tr w:rsidR="00C556B1" w:rsidRPr="00836F13" w14:paraId="634F77F8" w14:textId="77777777" w:rsidTr="00BA2E10">
        <w:trPr>
          <w:trHeight w:val="290"/>
        </w:trPr>
        <w:tc>
          <w:tcPr>
            <w:tcW w:w="1843" w:type="dxa"/>
            <w:tcBorders>
              <w:top w:val="nil"/>
              <w:left w:val="nil"/>
              <w:bottom w:val="nil"/>
              <w:right w:val="nil"/>
            </w:tcBorders>
            <w:noWrap/>
            <w:hideMark/>
          </w:tcPr>
          <w:p w14:paraId="4238D49C"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Nganmegni,2022</w:t>
            </w:r>
          </w:p>
        </w:tc>
        <w:tc>
          <w:tcPr>
            <w:tcW w:w="988" w:type="dxa"/>
            <w:tcBorders>
              <w:top w:val="nil"/>
              <w:left w:val="nil"/>
              <w:bottom w:val="nil"/>
              <w:right w:val="nil"/>
            </w:tcBorders>
          </w:tcPr>
          <w:p w14:paraId="1D5764B8" w14:textId="154D76EE"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fldChar w:fldCharType="begin"/>
            </w:r>
            <w:r>
              <w:rPr>
                <w:rFonts w:eastAsia="Times New Roman" w:cs="Calibri"/>
                <w:color w:val="000000"/>
                <w:kern w:val="0"/>
                <w:sz w:val="20"/>
                <w:szCs w:val="20"/>
                <w:lang w:eastAsia="fr-FR"/>
                <w14:ligatures w14:val="none"/>
              </w:rPr>
              <w:instrText xml:space="preserve"> ADDIN ZOTERO_ITEM CSL_CITATION {"citationID":"0xUjSmrE","properties":{"formattedCitation":"[20]","plainCitation":"[20]","noteIndex":0},"citationItems":[{"id":4505,"uris":["http://zotero.org/users/1791235/items/CSRXWSPK"],"itemData":{"id":4505,"type":"article-journal","abstract":"Introduction: M-pox is a re-emerging pathogen that is spreading rapidly in developing countries, presenting a serious health risk. Data are scarce on M-pox and its determinants in endemic countries such as Cameroon. This study aimed to assess the epidemiological burden and factors linked to the resurgence of M-pox in high-risk communities in Cameroon.\nMethodology: A community-based surveillance was conducted from April to October 2022, among 88 individuals at the Ayos Health District (AHD). Participants were interviewed, and cases of M-pox were defined based on World Health Organization (WHO) clinical criteria. Data were analyzed using CSPro v.6.0 and SPSS v.20.0, with p &lt; 0.05 as the statistical significance level.\nResults: The overall suspected M-pox cases rate was 25% (22/88). Following logistic regression, history of chickenpox (OR 0.14, p = 0.05); history of smallpox (OR 9.14, p &lt; 0.001), vaccination against poxviruses (p &lt; 0.001), skin infection (OR 210, p &lt; 0.001), upper respiratory infection (p &lt; 0.001), atypical dermatitis (OR 144, p &lt; 0.001), skin allergy (OR 68.57, p &lt; 0.001), contact with an individual suffering from M-pox in the last 14 days before symptoms onset (OR 9.14, p &lt; 0.001), contact with animals in the last 14 days before symptom onset (OR 12.68, p </w:instrText>
            </w:r>
            <w:r>
              <w:rPr>
                <w:rFonts w:eastAsia="Times New Roman" w:cs="Calibri"/>
                <w:color w:val="000000"/>
                <w:kern w:val="0"/>
                <w:sz w:val="20"/>
                <w:szCs w:val="20"/>
                <w:lang w:eastAsia="fr-FR"/>
                <w14:ligatures w14:val="none"/>
              </w:rPr>
              <w:instrText xml:space="preserve"> 0.001), regular meal consumption (OR 0.35, p = 0.04), meal-sharing, and handling of bushmeat (p = 0.01) were significantly associated with M-pox infection.\nConclusions: The clinical features of M-pox were common in rural Cameroonian setting, suggesting the need for active surveillance in these high-risk communities.","container-title":"The Journal of Infection in Developing Countries","DOI":"10.3855/jidc.18397","ISSN":"1972-2680","issue":"11","journalAbbreviation":"J Infect Dev Ctries","license":"https://creativecommons.org/licenses/by/4.0","page":"1756-1763","source":"DOI.org (Crossref)","title":"Burden and predictors of M-pox suspected cases in a rural setting of Cameroon: implications for developing countries","title-short":"Burden and predictors of M-pox suspected cases in a rural setting of Cameroon","volume":"18","author":[{"family":"Nganmegni","given":"Flaure Rasana P"},{"family":"Ngo","given":"Julienne Louise L"},{"family":"Essomba","given":"René G"},{"family":"Nguwoh","given":"Philippe S"},{"family":"Metomb","given":"Franck S"},{"family":"Epee","given":"Emilienne"},{"family":"Mandeng","given":"Nadia"},{"family":"Mballa","given":"Georges-Alain E"},{"family":"Boum Ii","given":"Yap"},{"family":"Okomo","given":"Marie Claire A"},{"family":"Taheu","given":"Christian N"},{"family":"Fokam","given":"Joseph"}],"issued":{"date-parts":[["2024"]]}}}],"schema":"https://github.com/citation-style-language/schema/raw/master/csl-citation.json"} </w:instrText>
            </w:r>
            <w:r w:rsidRPr="00836F13">
              <w:rPr>
                <w:rFonts w:eastAsia="Times New Roman" w:cs="Calibri"/>
                <w:color w:val="000000"/>
                <w:kern w:val="0"/>
                <w:sz w:val="20"/>
                <w:szCs w:val="20"/>
                <w:lang w:eastAsia="fr-FR"/>
                <w14:ligatures w14:val="none"/>
              </w:rPr>
              <w:fldChar w:fldCharType="separate"/>
            </w:r>
            <w:r w:rsidRPr="003315A0">
              <w:rPr>
                <w:sz w:val="20"/>
              </w:rPr>
              <w:t>[20]</w:t>
            </w:r>
            <w:r w:rsidRPr="00836F13">
              <w:rPr>
                <w:rFonts w:eastAsia="Times New Roman" w:cs="Calibri"/>
                <w:color w:val="000000"/>
                <w:kern w:val="0"/>
                <w:sz w:val="20"/>
                <w:szCs w:val="20"/>
                <w:lang w:eastAsia="fr-FR"/>
                <w14:ligatures w14:val="none"/>
              </w:rPr>
              <w:fldChar w:fldCharType="end"/>
            </w:r>
          </w:p>
        </w:tc>
        <w:tc>
          <w:tcPr>
            <w:tcW w:w="714" w:type="dxa"/>
            <w:tcBorders>
              <w:top w:val="nil"/>
              <w:left w:val="nil"/>
              <w:bottom w:val="nil"/>
              <w:right w:val="nil"/>
            </w:tcBorders>
            <w:noWrap/>
            <w:hideMark/>
          </w:tcPr>
          <w:p w14:paraId="19413898" w14:textId="69D4A1FD"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2022</w:t>
            </w:r>
          </w:p>
        </w:tc>
        <w:tc>
          <w:tcPr>
            <w:tcW w:w="2126" w:type="dxa"/>
            <w:tcBorders>
              <w:top w:val="nil"/>
              <w:left w:val="nil"/>
              <w:bottom w:val="nil"/>
              <w:right w:val="nil"/>
            </w:tcBorders>
            <w:noWrap/>
            <w:hideMark/>
          </w:tcPr>
          <w:p w14:paraId="7624E37A"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Cameroon</w:t>
            </w:r>
          </w:p>
        </w:tc>
        <w:tc>
          <w:tcPr>
            <w:tcW w:w="1270" w:type="dxa"/>
            <w:tcBorders>
              <w:top w:val="nil"/>
              <w:left w:val="nil"/>
              <w:bottom w:val="nil"/>
              <w:right w:val="nil"/>
            </w:tcBorders>
            <w:noWrap/>
            <w:hideMark/>
          </w:tcPr>
          <w:p w14:paraId="72B60C4A"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Community</w:t>
            </w:r>
          </w:p>
        </w:tc>
        <w:tc>
          <w:tcPr>
            <w:tcW w:w="2602" w:type="dxa"/>
            <w:tcBorders>
              <w:top w:val="nil"/>
              <w:left w:val="nil"/>
              <w:bottom w:val="nil"/>
              <w:right w:val="nil"/>
            </w:tcBorders>
            <w:noWrap/>
            <w:hideMark/>
          </w:tcPr>
          <w:p w14:paraId="4D02563D"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General population</w:t>
            </w:r>
          </w:p>
        </w:tc>
        <w:tc>
          <w:tcPr>
            <w:tcW w:w="1797" w:type="dxa"/>
            <w:tcBorders>
              <w:top w:val="nil"/>
              <w:left w:val="nil"/>
              <w:bottom w:val="nil"/>
              <w:right w:val="nil"/>
            </w:tcBorders>
          </w:tcPr>
          <w:p w14:paraId="666E005B" w14:textId="62CD902D"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Non-probabilistic</w:t>
            </w:r>
          </w:p>
        </w:tc>
        <w:tc>
          <w:tcPr>
            <w:tcW w:w="1111" w:type="dxa"/>
            <w:tcBorders>
              <w:top w:val="nil"/>
              <w:left w:val="nil"/>
              <w:bottom w:val="nil"/>
              <w:right w:val="nil"/>
            </w:tcBorders>
          </w:tcPr>
          <w:p w14:paraId="12B5641F" w14:textId="3585AA64"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VU</w:t>
            </w:r>
          </w:p>
        </w:tc>
        <w:tc>
          <w:tcPr>
            <w:tcW w:w="885" w:type="dxa"/>
            <w:tcBorders>
              <w:top w:val="nil"/>
              <w:left w:val="nil"/>
              <w:bottom w:val="nil"/>
              <w:right w:val="nil"/>
            </w:tcBorders>
            <w:noWrap/>
            <w:hideMark/>
          </w:tcPr>
          <w:p w14:paraId="1164CE6A" w14:textId="7042F48A"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7D1C6E">
              <w:rPr>
                <w:rFonts w:eastAsia="Times New Roman" w:cs="Calibri"/>
                <w:color w:val="000000"/>
                <w:kern w:val="0"/>
                <w:sz w:val="20"/>
                <w:szCs w:val="20"/>
                <w:lang w:eastAsia="fr-FR"/>
                <w14:ligatures w14:val="none"/>
              </w:rPr>
              <w:t>Low</w:t>
            </w:r>
          </w:p>
        </w:tc>
      </w:tr>
      <w:tr w:rsidR="00C556B1" w:rsidRPr="00836F13" w14:paraId="754C3AF1" w14:textId="77777777" w:rsidTr="00BA2E10">
        <w:trPr>
          <w:trHeight w:val="290"/>
        </w:trPr>
        <w:tc>
          <w:tcPr>
            <w:tcW w:w="1843" w:type="dxa"/>
            <w:tcBorders>
              <w:top w:val="nil"/>
              <w:left w:val="nil"/>
              <w:bottom w:val="nil"/>
              <w:right w:val="nil"/>
            </w:tcBorders>
            <w:noWrap/>
            <w:hideMark/>
          </w:tcPr>
          <w:p w14:paraId="7ABA5F86"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Amer,2022</w:t>
            </w:r>
          </w:p>
        </w:tc>
        <w:tc>
          <w:tcPr>
            <w:tcW w:w="988" w:type="dxa"/>
            <w:tcBorders>
              <w:top w:val="nil"/>
              <w:left w:val="nil"/>
              <w:bottom w:val="nil"/>
              <w:right w:val="nil"/>
            </w:tcBorders>
          </w:tcPr>
          <w:p w14:paraId="1D6AAF25" w14:textId="7C34AF18"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fldChar w:fldCharType="begin"/>
            </w:r>
            <w:r>
              <w:rPr>
                <w:rFonts w:eastAsia="Times New Roman" w:cs="Calibri"/>
                <w:color w:val="000000"/>
                <w:kern w:val="0"/>
                <w:sz w:val="20"/>
                <w:szCs w:val="20"/>
                <w:lang w:eastAsia="fr-FR"/>
                <w14:ligatures w14:val="none"/>
              </w:rPr>
              <w:instrText xml:space="preserve"> ADDIN ZOTERO_ITEM CSL_CITATION {"citationID":"ldE7aiuo","properties":{"formattedCitation":"[21]","plainCitation":"[21]","noteIndex":0},"citationItems":[{"id":4507,"uris":["http://zotero.org/users/1791235/items/JY5MKNZS"],"itemData":{"id":4507,"type":"article-journal","abstract":"Background\n              Monkeypox (Mpox) is a re-emerging infectious disease representing a new global challenge. It poses a substantial threat to countries, particularly those with a low number of cases. Due to its popularity as a tourist destination and its proximity to many African refugees, Egypt is potentially at risk of Mpox importation. Therefore, effective disease management necessitates healthcare workers (HCWs) to possess adept knowledge, along with a positive attitude and behavior. The study aimed to assess the knowledge, attitude, and perception of Egyptian HCWs and medical students towards human Mpox.\n            \n            \n              Methods\n              The present cross-sectional study data was collected from participants between October and December 2022 via a questionnaire. The questionnaire comprised 31 questions in the knowledge section, 11 questions in the attitude section, and 14 in the perception section.\n            \n            \n              Results\n              \n                The present study involved a total of 1,034 HCWs and medical students. It was found that 55.3% of the participants demonstrated adequate knowledge about Mpox, whereas 44.5% and 39.8% of the respondents exhibited favorable attitudes and perceptions towards the disease, respectively. Binary logistic regression analysis revealed that adequate knowledge was significantly observed in ages older than 40 years (\n                p\n                &amp;lt; 0.001), married participants (\n                p\n                &amp;lt; 0.001), and doctors (\n                p\n                &amp;lt; 0.001). The positive attitude was significantly observed among the male sex (\n                p\n                = 0.045), urban residents (\n                p\n                = 0.002), and nurses (\n                p\n                = 0.002). Conversely, married participants (p = 0.013), doctors (\n                p\n                &amp;lt; 0.001), and individuals employed in pharmacy and laboratory departments (\n                p\n                &amp;lt; 0.001) experienced an increase in positive perception.\n              \n            \n            \n              Conclusion\n              Knowledge, attitude, and perception towards Mpox among Egyptian HCWs and medical students exhibit suboptimal levels. Addressing these gaps is crucial to controlling and effectively preventing disease transmission.","container-title":"Frontiers in Cellular and Infection Microbiology","DOI":"10.3389/fcimb.2024.1339352","ISSN":"2235-2988","journalAbbreviation":"Front. Cell. Infect. Microbiol.","page":"1339352","source":"DOI.org (Crossref)","title":"Grasping knowledge, attitude, and perception towards monkeypox among healthcare workers and medical students: an Egyptian cross-sectional study","title-short":"Grasping knowledge, attitude, and perception towards monkeypox among healthcare workers and medical students","volume":"14","author":[{"family":"Amer","given":"Fatma A."},{"family":"Nofal","given":"Hanaa A."},{"family":"Gebriel","given":"Manar G."},{"family":"Bedawy","given":"Aya M."},{"family":"Allam","given":"Ayman A."},{"family":"Khalil","given":"Hend E. S."},{"family":"Elahmady","given":"Mohammed"},{"family":"Nofal","given":"Hagar"},{"family":"Saeed","given":"Maysaa A."},{"family":"Shaltout","given":"Shaker Wagih"},{"family":"Behiry","given":"Ahmed"},{"family":"Attia","given":"Osama"},{"family":"Bahgat","given":"Shereen Mohamed"},{"family":"Ali","given":"Ahmed A."},{"family":"Ahmed","given":"Fatma Mohammed"},{"family":"Abdelrahman","given":"Ahmed Mohammed"},{"family":"Hammad","given":"Noha M."}],"issued":{"date-parts":[["2024"]]}}}],"schema":"https://github.com/citation-style-language/schema/raw/master/csl-citation.json"} </w:instrText>
            </w:r>
            <w:r w:rsidRPr="00836F13">
              <w:rPr>
                <w:rFonts w:eastAsia="Times New Roman" w:cs="Calibri"/>
                <w:color w:val="000000"/>
                <w:kern w:val="0"/>
                <w:sz w:val="20"/>
                <w:szCs w:val="20"/>
                <w:lang w:eastAsia="fr-FR"/>
                <w14:ligatures w14:val="none"/>
              </w:rPr>
              <w:fldChar w:fldCharType="separate"/>
            </w:r>
            <w:r w:rsidRPr="003315A0">
              <w:rPr>
                <w:sz w:val="20"/>
              </w:rPr>
              <w:t>[21]</w:t>
            </w:r>
            <w:r w:rsidRPr="00836F13">
              <w:rPr>
                <w:rFonts w:eastAsia="Times New Roman" w:cs="Calibri"/>
                <w:color w:val="000000"/>
                <w:kern w:val="0"/>
                <w:sz w:val="20"/>
                <w:szCs w:val="20"/>
                <w:lang w:eastAsia="fr-FR"/>
                <w14:ligatures w14:val="none"/>
              </w:rPr>
              <w:fldChar w:fldCharType="end"/>
            </w:r>
          </w:p>
        </w:tc>
        <w:tc>
          <w:tcPr>
            <w:tcW w:w="714" w:type="dxa"/>
            <w:tcBorders>
              <w:top w:val="nil"/>
              <w:left w:val="nil"/>
              <w:bottom w:val="nil"/>
              <w:right w:val="nil"/>
            </w:tcBorders>
            <w:noWrap/>
            <w:hideMark/>
          </w:tcPr>
          <w:p w14:paraId="5AEF903D" w14:textId="3CBF9959"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2022</w:t>
            </w:r>
          </w:p>
        </w:tc>
        <w:tc>
          <w:tcPr>
            <w:tcW w:w="2126" w:type="dxa"/>
            <w:tcBorders>
              <w:top w:val="nil"/>
              <w:left w:val="nil"/>
              <w:bottom w:val="nil"/>
              <w:right w:val="nil"/>
            </w:tcBorders>
            <w:noWrap/>
            <w:hideMark/>
          </w:tcPr>
          <w:p w14:paraId="337D580A"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Egypt</w:t>
            </w:r>
          </w:p>
        </w:tc>
        <w:tc>
          <w:tcPr>
            <w:tcW w:w="1270" w:type="dxa"/>
            <w:tcBorders>
              <w:top w:val="nil"/>
              <w:left w:val="nil"/>
              <w:bottom w:val="nil"/>
              <w:right w:val="nil"/>
            </w:tcBorders>
            <w:noWrap/>
            <w:hideMark/>
          </w:tcPr>
          <w:p w14:paraId="30A83839"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Hospital</w:t>
            </w:r>
          </w:p>
        </w:tc>
        <w:tc>
          <w:tcPr>
            <w:tcW w:w="2602" w:type="dxa"/>
            <w:tcBorders>
              <w:top w:val="nil"/>
              <w:left w:val="nil"/>
              <w:bottom w:val="nil"/>
              <w:right w:val="nil"/>
            </w:tcBorders>
            <w:noWrap/>
            <w:hideMark/>
          </w:tcPr>
          <w:p w14:paraId="4081BCC5"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HCWs</w:t>
            </w:r>
          </w:p>
        </w:tc>
        <w:tc>
          <w:tcPr>
            <w:tcW w:w="1797" w:type="dxa"/>
            <w:tcBorders>
              <w:top w:val="nil"/>
              <w:left w:val="nil"/>
              <w:bottom w:val="nil"/>
              <w:right w:val="nil"/>
            </w:tcBorders>
          </w:tcPr>
          <w:p w14:paraId="0554EC91" w14:textId="032109FC"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Non-probabilistic</w:t>
            </w:r>
          </w:p>
        </w:tc>
        <w:tc>
          <w:tcPr>
            <w:tcW w:w="1111" w:type="dxa"/>
            <w:tcBorders>
              <w:top w:val="nil"/>
              <w:left w:val="nil"/>
              <w:bottom w:val="nil"/>
              <w:right w:val="nil"/>
            </w:tcBorders>
          </w:tcPr>
          <w:p w14:paraId="3EBF328D" w14:textId="5E0F0A5D"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VA</w:t>
            </w:r>
          </w:p>
        </w:tc>
        <w:tc>
          <w:tcPr>
            <w:tcW w:w="885" w:type="dxa"/>
            <w:tcBorders>
              <w:top w:val="nil"/>
              <w:left w:val="nil"/>
              <w:bottom w:val="nil"/>
              <w:right w:val="nil"/>
            </w:tcBorders>
            <w:noWrap/>
            <w:hideMark/>
          </w:tcPr>
          <w:p w14:paraId="772C3077" w14:textId="12055FD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7D1C6E">
              <w:rPr>
                <w:rFonts w:eastAsia="Times New Roman" w:cs="Calibri"/>
                <w:color w:val="000000"/>
                <w:kern w:val="0"/>
                <w:sz w:val="20"/>
                <w:szCs w:val="20"/>
                <w:lang w:eastAsia="fr-FR"/>
                <w14:ligatures w14:val="none"/>
              </w:rPr>
              <w:t>Low</w:t>
            </w:r>
          </w:p>
        </w:tc>
      </w:tr>
      <w:tr w:rsidR="00C556B1" w:rsidRPr="00836F13" w14:paraId="4AD3E40A" w14:textId="77777777" w:rsidTr="00BA2E10">
        <w:trPr>
          <w:trHeight w:val="290"/>
        </w:trPr>
        <w:tc>
          <w:tcPr>
            <w:tcW w:w="1843" w:type="dxa"/>
            <w:tcBorders>
              <w:top w:val="nil"/>
              <w:left w:val="nil"/>
              <w:bottom w:val="nil"/>
              <w:right w:val="nil"/>
            </w:tcBorders>
            <w:noWrap/>
            <w:hideMark/>
          </w:tcPr>
          <w:p w14:paraId="087E172E"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Hussein,2022</w:t>
            </w:r>
          </w:p>
        </w:tc>
        <w:tc>
          <w:tcPr>
            <w:tcW w:w="988" w:type="dxa"/>
            <w:tcBorders>
              <w:top w:val="nil"/>
              <w:left w:val="nil"/>
              <w:bottom w:val="nil"/>
              <w:right w:val="nil"/>
            </w:tcBorders>
          </w:tcPr>
          <w:p w14:paraId="15313C92" w14:textId="052B813B"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fldChar w:fldCharType="begin"/>
            </w:r>
            <w:r>
              <w:rPr>
                <w:rFonts w:eastAsia="Times New Roman" w:cs="Calibri"/>
                <w:color w:val="000000"/>
                <w:kern w:val="0"/>
                <w:sz w:val="20"/>
                <w:szCs w:val="20"/>
                <w:lang w:eastAsia="fr-FR"/>
                <w14:ligatures w14:val="none"/>
              </w:rPr>
              <w:instrText xml:space="preserve"> ADDIN ZOTERO_ITEM CSL_CITATION {"citationID":"fN5xMUIg","properties":{"formattedCitation":"[22]","plainCitation":"[22]","noteIndex":0},"citationItems":[{"id":4509,"uris":["http://zotero.org/users/1791235/items/XSUT44NH"],"itemData":{"id":4509,"type":"article-journal","abstract":"Abstract\n            \n              Background:\n              Medical students hold significant importance, as they represent the future of healthcare provision. This study aimed to explore psychological antecedents towards the monkeypox (mpox) vaccines among postgraduate and undergraduate medical students across countries.\n            \n            \n              Methods:\n              A cross-sectional survey was conducted among medical students aged 18 years old and above in 7 countries; Egypt, Romania, Malaysia, and Yemen, Iraq, India, and Nigeria. We used social media platforms between September 27 and November 4, 2022. An anonymous online survey using the 5C scale was conducted using snowball and convenience Sampling methods to assess the 5 psychological antecedents of vaccination (i.e., confidence, constraints, complacency, and calculation, as well as collective responsibility).\n            \n            \n              Results:\n              \n                A total of 2780 participants were recruited. Participants’ median age was 22 years and 52.1% of them were males. The 5C psychological antecedents of vaccination were as follows: 55% were confident about vaccination, 10% were complacent, 12% experienced constraints, and 41% calculated the risk and benefit. Lastly, 32% were willing to be vaccinated for the prevention of infection transmission to others. The Country was a significant predictor of confidence, complacency, having constraints, and calculation domains (\n                P\n                &lt; 0.001). Having any idea about the mpox vaccine was linked to 1.6 times higher odds of being more confident [OR = 1.58 (95% CI, 1.26–1.98),\n                P\n                &lt; 0.001] Additionally, living in a rural area significantly increased complacency [OR = 1.42 (95% CI, 1.05–1.95),\n                P\n                = 0.024] as well as having anyone die from mpox [OR = 3.3 (95% CI, 1.64–6.68),\n                P\n                &lt; 0.001]. Education level was associated with increased calculation [OR = 2.74 (95% CI, 1.62–4.64),\n                P\n                &lt; 0.001]. Moreover, being single and having no chronic diseases significantly increased the calculation domain [OR = 1.40 (95% CI, 1.06–1.98),\n                P\n                = 0.02] and [OR = 1.54 (95% CI, 1.10–2.16),\n                P\n                = 0.012] respectively. Predictors of collective responsibility were age 31–45 years [OR = 2.89 (95% CI, 1.29–6.48),\n                P\n                = 0.01], being single [OR = 2.76 (95% CI, 1.94 -3.92),\n                P\n                &lt; 0.001], being a graduate [OR = 1.59 (95% CI (1.32–1.92),\n                P\n                &lt; 0.001], having no chronic disease [OR = 2.14 (95% CI, 1.56–2.93), P &lt; 0.001], and not knowing anyone who died from mpox [OR = 2.54 (95% CI, 1.39–4.64),\n                P\n                &lt; 0.001), as well as living in a middle-income country [OR = 0.623, (95% CI, 0.51–0.73),\n                P\n                &lt; 0.001].\n              \n            \n            \n              Conclusions:\n              This study underscores the multifaceted nature of psychological antecedents of vaccination, emphasizing the impact of socio-demographic factors, geographic location, and awareness, as well as previous experiences on individual attitudes and collective responsibility towards vaccination.","container-title":"Disaster Medicine and Public Health Preparedness","DOI":"10.1017/dmp.2024.50","ISSN":"1935-7893, 1938-744X","journalAbbreviation":"Disaster med. public health prep.","language":"en","license":"https://www.cambridge.org/core/terms","page":"e82","source":"DOI.org (Crossref)","title":"Cross-Country Discrepancies in Monkeypox Vaccine Hesitancy Among Postgraduate and Undergraduate Medical Students","volume":"18","author":[{"family":"Hussein","given":"Mai"},{"family":"Siddiq","given":"Abdelmonem"},{"family":"Ismail","given":"Horeya M."},{"family":"Mansy","given":"Norhan"},{"family":"Ellakwa","given":"Doha El-Sayed"},{"family":"Nassif","given":"Mohammed"},{"family":"Hussein","given":"Areej A."},{"family":"Abdullah Alzedaar","given":"Jubran K."},{"family":"Iloanusi","given":"Chukwuagoziem A."},{"family":"Omran","given":"Murad O."},{"family":"Rourou","given":"Khalil M."},{"family":"Suvvari","given":"Tarun K."},{"family":"Yazbek","given":"Saja"},{"family":"Ghazy","given":"Ramy M."}],"issued":{"date-parts":[["2024"]]}}}],"schema":"https://github.com/citation-style-language/schema/raw/master/csl-citation.json"} </w:instrText>
            </w:r>
            <w:r w:rsidRPr="00836F13">
              <w:rPr>
                <w:rFonts w:eastAsia="Times New Roman" w:cs="Calibri"/>
                <w:color w:val="000000"/>
                <w:kern w:val="0"/>
                <w:sz w:val="20"/>
                <w:szCs w:val="20"/>
                <w:lang w:eastAsia="fr-FR"/>
                <w14:ligatures w14:val="none"/>
              </w:rPr>
              <w:fldChar w:fldCharType="separate"/>
            </w:r>
            <w:r w:rsidRPr="003315A0">
              <w:rPr>
                <w:sz w:val="20"/>
              </w:rPr>
              <w:t>[22]</w:t>
            </w:r>
            <w:r w:rsidRPr="00836F13">
              <w:rPr>
                <w:rFonts w:eastAsia="Times New Roman" w:cs="Calibri"/>
                <w:color w:val="000000"/>
                <w:kern w:val="0"/>
                <w:sz w:val="20"/>
                <w:szCs w:val="20"/>
                <w:lang w:eastAsia="fr-FR"/>
                <w14:ligatures w14:val="none"/>
              </w:rPr>
              <w:fldChar w:fldCharType="end"/>
            </w:r>
          </w:p>
        </w:tc>
        <w:tc>
          <w:tcPr>
            <w:tcW w:w="714" w:type="dxa"/>
            <w:tcBorders>
              <w:top w:val="nil"/>
              <w:left w:val="nil"/>
              <w:bottom w:val="nil"/>
              <w:right w:val="nil"/>
            </w:tcBorders>
            <w:noWrap/>
            <w:hideMark/>
          </w:tcPr>
          <w:p w14:paraId="684BFB47" w14:textId="20CDE0AE"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2022</w:t>
            </w:r>
          </w:p>
        </w:tc>
        <w:tc>
          <w:tcPr>
            <w:tcW w:w="2126" w:type="dxa"/>
            <w:tcBorders>
              <w:top w:val="nil"/>
              <w:left w:val="nil"/>
              <w:bottom w:val="nil"/>
              <w:right w:val="nil"/>
            </w:tcBorders>
            <w:noWrap/>
            <w:hideMark/>
          </w:tcPr>
          <w:p w14:paraId="45F3BC24" w14:textId="2463C8F5"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Multi-country</w:t>
            </w:r>
          </w:p>
        </w:tc>
        <w:tc>
          <w:tcPr>
            <w:tcW w:w="1270" w:type="dxa"/>
            <w:tcBorders>
              <w:top w:val="nil"/>
              <w:left w:val="nil"/>
              <w:bottom w:val="nil"/>
              <w:right w:val="nil"/>
            </w:tcBorders>
            <w:noWrap/>
            <w:hideMark/>
          </w:tcPr>
          <w:p w14:paraId="4A685170"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Online</w:t>
            </w:r>
          </w:p>
        </w:tc>
        <w:tc>
          <w:tcPr>
            <w:tcW w:w="2602" w:type="dxa"/>
            <w:tcBorders>
              <w:top w:val="nil"/>
              <w:left w:val="nil"/>
              <w:bottom w:val="nil"/>
              <w:right w:val="nil"/>
            </w:tcBorders>
            <w:noWrap/>
            <w:hideMark/>
          </w:tcPr>
          <w:p w14:paraId="1F0904BD"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Medical students</w:t>
            </w:r>
          </w:p>
        </w:tc>
        <w:tc>
          <w:tcPr>
            <w:tcW w:w="1797" w:type="dxa"/>
            <w:tcBorders>
              <w:top w:val="nil"/>
              <w:left w:val="nil"/>
              <w:bottom w:val="nil"/>
              <w:right w:val="nil"/>
            </w:tcBorders>
          </w:tcPr>
          <w:p w14:paraId="079E59AE" w14:textId="2588B0C9"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Non-probabilistic</w:t>
            </w:r>
          </w:p>
        </w:tc>
        <w:tc>
          <w:tcPr>
            <w:tcW w:w="1111" w:type="dxa"/>
            <w:tcBorders>
              <w:top w:val="nil"/>
              <w:left w:val="nil"/>
              <w:bottom w:val="nil"/>
              <w:right w:val="nil"/>
            </w:tcBorders>
          </w:tcPr>
          <w:p w14:paraId="3B782B12" w14:textId="2A9DEA19"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VA</w:t>
            </w:r>
          </w:p>
        </w:tc>
        <w:tc>
          <w:tcPr>
            <w:tcW w:w="885" w:type="dxa"/>
            <w:tcBorders>
              <w:top w:val="nil"/>
              <w:left w:val="nil"/>
              <w:bottom w:val="nil"/>
              <w:right w:val="nil"/>
            </w:tcBorders>
            <w:noWrap/>
            <w:hideMark/>
          </w:tcPr>
          <w:p w14:paraId="1585D89E" w14:textId="264EDDAB"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7D1C6E">
              <w:rPr>
                <w:rFonts w:eastAsia="Times New Roman" w:cs="Calibri"/>
                <w:color w:val="000000"/>
                <w:kern w:val="0"/>
                <w:sz w:val="20"/>
                <w:szCs w:val="20"/>
                <w:lang w:eastAsia="fr-FR"/>
                <w14:ligatures w14:val="none"/>
              </w:rPr>
              <w:t>Low</w:t>
            </w:r>
          </w:p>
        </w:tc>
      </w:tr>
      <w:tr w:rsidR="00C556B1" w:rsidRPr="00836F13" w14:paraId="38E23CE3" w14:textId="77777777" w:rsidTr="00BA2E10">
        <w:trPr>
          <w:trHeight w:val="290"/>
        </w:trPr>
        <w:tc>
          <w:tcPr>
            <w:tcW w:w="1843" w:type="dxa"/>
            <w:tcBorders>
              <w:top w:val="nil"/>
              <w:left w:val="nil"/>
              <w:bottom w:val="nil"/>
              <w:right w:val="nil"/>
            </w:tcBorders>
            <w:noWrap/>
            <w:hideMark/>
          </w:tcPr>
          <w:p w14:paraId="3DE027C7"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Aynalem,2022</w:t>
            </w:r>
          </w:p>
        </w:tc>
        <w:tc>
          <w:tcPr>
            <w:tcW w:w="988" w:type="dxa"/>
            <w:tcBorders>
              <w:top w:val="nil"/>
              <w:left w:val="nil"/>
              <w:bottom w:val="nil"/>
              <w:right w:val="nil"/>
            </w:tcBorders>
          </w:tcPr>
          <w:p w14:paraId="589CA522" w14:textId="6CB3EDD9"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fldChar w:fldCharType="begin"/>
            </w:r>
            <w:r>
              <w:rPr>
                <w:rFonts w:eastAsia="Times New Roman" w:cs="Calibri"/>
                <w:color w:val="000000"/>
                <w:kern w:val="0"/>
                <w:sz w:val="20"/>
                <w:szCs w:val="20"/>
                <w:lang w:eastAsia="fr-FR"/>
                <w14:ligatures w14:val="none"/>
              </w:rPr>
              <w:instrText xml:space="preserve"> ADDIN ZOTERO_ITEM CSL_CITATION {"citationID":"gWHWQJtk","properties":{"formattedCitation":"[23]","plainCitation":"[23]","noteIndex":0},"citationItems":[{"id":4510,"uris":["http://zotero.org/users/1791235/items/2J32YP82"],"itemData":{"id":4510,"type":"article-journal","container-title":"Journal of Multidisciplinary Healthcare","DOI":"10.2147/JMDH.S454828","ISSN":"1178-2390","journalAbbreviation":"JMDH","language":"en","license":"https://creativecommons.org/licenses/by-nc/3.0/","page":"1159-1173","source":"DOI.org (Crossref)","title":"Knowledge, Attitude and Associated Factors of Monkeypox Infection Among Healthcare Workers in Injibara General Hospital, Northwest Ethiopia","volume":"17","author":[{"family":"Aynalem","given":"Zewdu"},{"family":"Abate","given":"Melsew"},{"family":"Meseret","given":"Fentahun"},{"family":"Muhamed","given":"Ahmed"},{"family":"Abebe","given":"Gebremeskel"},{"family":"Adal","given":"Abebaw"},{"family":"Wondmieneh","given":"Adam"},{"family":"Andualem","given":"Atsedemariam"},{"family":"Ademe","given":"Sewunet"},{"family":"Workye","given":"Haile"},{"family":"Bewket","given":"Bekalu"},{"family":"Beyene","given":"Getachew"},{"family":"Alene","given":"Tamiru"},{"family":"Tsega","given":"Tilahun Degu"}],"issued":{"date-parts":[["2024"]]}}}],"schema":"https://github.com/citation-style-language/schema/raw/master/csl-citation.json"} </w:instrText>
            </w:r>
            <w:r w:rsidRPr="00836F13">
              <w:rPr>
                <w:rFonts w:eastAsia="Times New Roman" w:cs="Calibri"/>
                <w:color w:val="000000"/>
                <w:kern w:val="0"/>
                <w:sz w:val="20"/>
                <w:szCs w:val="20"/>
                <w:lang w:eastAsia="fr-FR"/>
                <w14:ligatures w14:val="none"/>
              </w:rPr>
              <w:fldChar w:fldCharType="separate"/>
            </w:r>
            <w:r w:rsidRPr="003315A0">
              <w:rPr>
                <w:sz w:val="20"/>
              </w:rPr>
              <w:t>[23]</w:t>
            </w:r>
            <w:r w:rsidRPr="00836F13">
              <w:rPr>
                <w:rFonts w:eastAsia="Times New Roman" w:cs="Calibri"/>
                <w:color w:val="000000"/>
                <w:kern w:val="0"/>
                <w:sz w:val="20"/>
                <w:szCs w:val="20"/>
                <w:lang w:eastAsia="fr-FR"/>
                <w14:ligatures w14:val="none"/>
              </w:rPr>
              <w:fldChar w:fldCharType="end"/>
            </w:r>
          </w:p>
        </w:tc>
        <w:tc>
          <w:tcPr>
            <w:tcW w:w="714" w:type="dxa"/>
            <w:tcBorders>
              <w:top w:val="nil"/>
              <w:left w:val="nil"/>
              <w:bottom w:val="nil"/>
              <w:right w:val="nil"/>
            </w:tcBorders>
            <w:noWrap/>
            <w:hideMark/>
          </w:tcPr>
          <w:p w14:paraId="5B62D675" w14:textId="1CED59D9"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2022</w:t>
            </w:r>
          </w:p>
        </w:tc>
        <w:tc>
          <w:tcPr>
            <w:tcW w:w="2126" w:type="dxa"/>
            <w:tcBorders>
              <w:top w:val="nil"/>
              <w:left w:val="nil"/>
              <w:bottom w:val="nil"/>
              <w:right w:val="nil"/>
            </w:tcBorders>
            <w:noWrap/>
            <w:hideMark/>
          </w:tcPr>
          <w:p w14:paraId="79CA262F"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Ethiopia</w:t>
            </w:r>
          </w:p>
        </w:tc>
        <w:tc>
          <w:tcPr>
            <w:tcW w:w="1270" w:type="dxa"/>
            <w:tcBorders>
              <w:top w:val="nil"/>
              <w:left w:val="nil"/>
              <w:bottom w:val="nil"/>
              <w:right w:val="nil"/>
            </w:tcBorders>
            <w:noWrap/>
            <w:hideMark/>
          </w:tcPr>
          <w:p w14:paraId="22852D71"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Hospital</w:t>
            </w:r>
          </w:p>
        </w:tc>
        <w:tc>
          <w:tcPr>
            <w:tcW w:w="2602" w:type="dxa"/>
            <w:tcBorders>
              <w:top w:val="nil"/>
              <w:left w:val="nil"/>
              <w:bottom w:val="nil"/>
              <w:right w:val="nil"/>
            </w:tcBorders>
            <w:noWrap/>
            <w:hideMark/>
          </w:tcPr>
          <w:p w14:paraId="6A2D0D22"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HCWs</w:t>
            </w:r>
          </w:p>
        </w:tc>
        <w:tc>
          <w:tcPr>
            <w:tcW w:w="1797" w:type="dxa"/>
            <w:tcBorders>
              <w:top w:val="nil"/>
              <w:left w:val="nil"/>
              <w:bottom w:val="nil"/>
              <w:right w:val="nil"/>
            </w:tcBorders>
          </w:tcPr>
          <w:p w14:paraId="067000AB" w14:textId="07F2D742"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Probabilistic</w:t>
            </w:r>
          </w:p>
        </w:tc>
        <w:tc>
          <w:tcPr>
            <w:tcW w:w="1111" w:type="dxa"/>
            <w:tcBorders>
              <w:top w:val="nil"/>
              <w:left w:val="nil"/>
              <w:bottom w:val="nil"/>
              <w:right w:val="nil"/>
            </w:tcBorders>
          </w:tcPr>
          <w:p w14:paraId="3D6B30DC" w14:textId="046A10BE"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VA</w:t>
            </w:r>
          </w:p>
        </w:tc>
        <w:tc>
          <w:tcPr>
            <w:tcW w:w="885" w:type="dxa"/>
            <w:tcBorders>
              <w:top w:val="nil"/>
              <w:left w:val="nil"/>
              <w:bottom w:val="nil"/>
              <w:right w:val="nil"/>
            </w:tcBorders>
            <w:noWrap/>
            <w:hideMark/>
          </w:tcPr>
          <w:p w14:paraId="7034E92C" w14:textId="5DFCABA0"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7D1C6E">
              <w:rPr>
                <w:rFonts w:eastAsia="Times New Roman" w:cs="Calibri"/>
                <w:color w:val="000000"/>
                <w:kern w:val="0"/>
                <w:sz w:val="20"/>
                <w:szCs w:val="20"/>
                <w:lang w:eastAsia="fr-FR"/>
                <w14:ligatures w14:val="none"/>
              </w:rPr>
              <w:t>Low</w:t>
            </w:r>
          </w:p>
        </w:tc>
      </w:tr>
      <w:tr w:rsidR="00C556B1" w:rsidRPr="00836F13" w14:paraId="06EB48F5" w14:textId="77777777" w:rsidTr="00BA2E10">
        <w:trPr>
          <w:trHeight w:val="290"/>
        </w:trPr>
        <w:tc>
          <w:tcPr>
            <w:tcW w:w="1843" w:type="dxa"/>
            <w:tcBorders>
              <w:top w:val="nil"/>
              <w:left w:val="nil"/>
              <w:bottom w:val="nil"/>
              <w:right w:val="nil"/>
            </w:tcBorders>
            <w:noWrap/>
            <w:hideMark/>
          </w:tcPr>
          <w:p w14:paraId="5A46ACB3" w14:textId="6784D6E6"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Ghazy,2022</w:t>
            </w:r>
          </w:p>
        </w:tc>
        <w:tc>
          <w:tcPr>
            <w:tcW w:w="988" w:type="dxa"/>
            <w:tcBorders>
              <w:top w:val="nil"/>
              <w:left w:val="nil"/>
              <w:bottom w:val="nil"/>
              <w:right w:val="nil"/>
            </w:tcBorders>
          </w:tcPr>
          <w:p w14:paraId="717B5C21" w14:textId="39AFAAAE"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fldChar w:fldCharType="begin"/>
            </w:r>
            <w:r>
              <w:rPr>
                <w:rFonts w:eastAsia="Times New Roman" w:cs="Calibri"/>
                <w:color w:val="000000"/>
                <w:kern w:val="0"/>
                <w:sz w:val="20"/>
                <w:szCs w:val="20"/>
                <w:lang w:eastAsia="fr-FR"/>
                <w14:ligatures w14:val="none"/>
              </w:rPr>
              <w:instrText xml:space="preserve"> ADDIN ZOTERO_ITEM CSL_CITATION {"citationID":"4lCQVEK2","properties":{"formattedCitation":"[24]","plainCitation":"[24]","noteIndex":0},"citationItems":[{"id":4512,"uris":["http://zotero.org/users/1791235/items/IXFDKNKR"],"itemData":{"id":4512,"type":"article-journal","abstract":"Abstract\n            \n              Background\n              In light of the ongoing monkeypox (MPOX) epidemic, healthcare workers (HCWs) have been in contact with various diseases. Therefore, they should take appropriate preventive and control measures to maintain their health. This study assessed Egyptian HCWs’ intentions to take MPOX vaccines.\n            \n            \n              Methods\n              A cross-sectional survey was conducted using social media platforms between September 27 and November 4, 2022. An anonymous online survey using the 5C scale was conducted using convenience and snowball sampling methods to assess the five psychological antecedents of vaccination (i.e., confidence, constraints, complacency, calculation, and collective responsibility).\n            \n            \n              Results\n              \n                A total of 399 HCWs with a mean age of 32.6</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Garamond"/>
                <w:color w:val="000000"/>
                <w:kern w:val="0"/>
                <w:sz w:val="20"/>
                <w:szCs w:val="20"/>
                <w:lang w:eastAsia="fr-FR"/>
                <w14:ligatures w14:val="none"/>
              </w:rPr>
              <w:instrText>±</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5.7 participated in this study. Of them, 89.7% were female. The five C psychological antecedents of vaccination were as follows: 55.9% were confident about vaccination, 50.6% were complacent, 56.6% experienced constraints, 60.7% calculated the risk and benefit, and 58.4% had collective responsibility. Multivariate analysis showed that high income level and having information about MPOX were significant predictors of confidence in the MPOX vaccines (adjusted odds ratio ((AOR)</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4.19, 95% CI (1.12</w:instrText>
            </w:r>
            <w:r>
              <w:rPr>
                <w:rFonts w:eastAsia="Times New Roman" w:cs="Garamond"/>
                <w:color w:val="000000"/>
                <w:kern w:val="0"/>
                <w:sz w:val="20"/>
                <w:szCs w:val="20"/>
                <w:lang w:eastAsia="fr-FR"/>
                <w14:ligatures w14:val="none"/>
              </w:rPr>
              <w:instrText>–</w:instrText>
            </w:r>
            <w:r>
              <w:rPr>
                <w:rFonts w:eastAsia="Times New Roman" w:cs="Calibri"/>
                <w:color w:val="000000"/>
                <w:kern w:val="0"/>
                <w:sz w:val="20"/>
                <w:szCs w:val="20"/>
                <w:lang w:eastAsia="fr-FR"/>
                <w14:ligatures w14:val="none"/>
              </w:rPr>
              <w:instrText xml:space="preserve"> 15.59),\n                P\n                </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0.032). Participants aged 31</w:instrText>
            </w:r>
            <w:r>
              <w:rPr>
                <w:rFonts w:eastAsia="Times New Roman" w:cs="Garamond"/>
                <w:color w:val="000000"/>
                <w:kern w:val="0"/>
                <w:sz w:val="20"/>
                <w:szCs w:val="20"/>
                <w:lang w:eastAsia="fr-FR"/>
                <w14:ligatures w14:val="none"/>
              </w:rPr>
              <w:instrText>–</w:instrText>
            </w:r>
            <w:r>
              <w:rPr>
                <w:rFonts w:eastAsia="Times New Roman" w:cs="Calibri"/>
                <w:color w:val="000000"/>
                <w:kern w:val="0"/>
                <w:sz w:val="20"/>
                <w:szCs w:val="20"/>
                <w:lang w:eastAsia="fr-FR"/>
                <w14:ligatures w14:val="none"/>
              </w:rPr>
              <w:instrText>45 years and 19</w:instrText>
            </w:r>
            <w:r>
              <w:rPr>
                <w:rFonts w:eastAsia="Times New Roman" w:cs="Garamond"/>
                <w:color w:val="000000"/>
                <w:kern w:val="0"/>
                <w:sz w:val="20"/>
                <w:szCs w:val="20"/>
                <w:lang w:eastAsia="fr-FR"/>
                <w14:ligatures w14:val="none"/>
              </w:rPr>
              <w:instrText>–</w:instrText>
            </w:r>
            <w:r>
              <w:rPr>
                <w:rFonts w:eastAsia="Times New Roman" w:cs="Calibri"/>
                <w:color w:val="000000"/>
                <w:kern w:val="0"/>
                <w:sz w:val="20"/>
                <w:szCs w:val="20"/>
                <w:lang w:eastAsia="fr-FR"/>
                <w14:ligatures w14:val="none"/>
              </w:rPr>
              <w:instrText>30 years showed</w:instrText>
            </w:r>
            <w:r>
              <w:rPr>
                <w:rFonts w:eastAsia="Times New Roman" w:cs="Garamond"/>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significant association (AOR</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2.46, 95% CI (0.85</w:instrText>
            </w:r>
            <w:r>
              <w:rPr>
                <w:rFonts w:eastAsia="Times New Roman" w:cs="Garamond"/>
                <w:color w:val="000000"/>
                <w:kern w:val="0"/>
                <w:sz w:val="20"/>
                <w:szCs w:val="20"/>
                <w:lang w:eastAsia="fr-FR"/>
                <w14:ligatures w14:val="none"/>
              </w:rPr>
              <w:instrText>–</w:instrText>
            </w:r>
            <w:r>
              <w:rPr>
                <w:rFonts w:eastAsia="Times New Roman" w:cs="Calibri"/>
                <w:color w:val="000000"/>
                <w:kern w:val="0"/>
                <w:sz w:val="20"/>
                <w:szCs w:val="20"/>
                <w:lang w:eastAsia="fr-FR"/>
                <w14:ligatures w14:val="none"/>
              </w:rPr>
              <w:instrText xml:space="preserve">7.15),\n                P\n                </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0.096) and (AOR</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4.19, 95% CI (1.39</w:instrText>
            </w:r>
            <w:r>
              <w:rPr>
                <w:rFonts w:eastAsia="Times New Roman" w:cs="Garamond"/>
                <w:color w:val="000000"/>
                <w:kern w:val="0"/>
                <w:sz w:val="20"/>
                <w:szCs w:val="20"/>
                <w:lang w:eastAsia="fr-FR"/>
                <w14:ligatures w14:val="none"/>
              </w:rPr>
              <w:instrText>–</w:instrText>
            </w:r>
            <w:r>
              <w:rPr>
                <w:rFonts w:eastAsia="Times New Roman" w:cs="Calibri"/>
                <w:color w:val="000000"/>
                <w:kern w:val="0"/>
                <w:sz w:val="20"/>
                <w:szCs w:val="20"/>
                <w:lang w:eastAsia="fr-FR"/>
                <w14:ligatures w14:val="none"/>
              </w:rPr>
              <w:instrText xml:space="preserve">12.64),\n                P\n                </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0.011), respectively. Having an idea about the MPOX vaccines significantly predicted the complacency domain (AOR</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3.77, 95%CI (1.47</w:instrText>
            </w:r>
            <w:r>
              <w:rPr>
                <w:rFonts w:eastAsia="Times New Roman" w:cs="Garamond"/>
                <w:color w:val="000000"/>
                <w:kern w:val="0"/>
                <w:sz w:val="20"/>
                <w:szCs w:val="20"/>
                <w:lang w:eastAsia="fr-FR"/>
                <w14:ligatures w14:val="none"/>
              </w:rPr>
              <w:instrText>–</w:instrText>
            </w:r>
            <w:r>
              <w:rPr>
                <w:rFonts w:eastAsia="Times New Roman" w:cs="Calibri"/>
                <w:color w:val="000000"/>
                <w:kern w:val="0"/>
                <w:sz w:val="20"/>
                <w:szCs w:val="20"/>
                <w:lang w:eastAsia="fr-FR"/>
                <w14:ligatures w14:val="none"/>
              </w:rPr>
              <w:instrText xml:space="preserve">9.65,\n                P\n                </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0.006). Moreover, precollege/undergraduate education and having an idea about MPOX vaccination were significant predictors of the constraint domain (AOR</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1.81.95% CI (1.09</w:instrText>
            </w:r>
            <w:r>
              <w:rPr>
                <w:rFonts w:eastAsia="Times New Roman" w:cs="Garamond"/>
                <w:color w:val="000000"/>
                <w:kern w:val="0"/>
                <w:sz w:val="20"/>
                <w:szCs w:val="20"/>
                <w:lang w:eastAsia="fr-FR"/>
                <w14:ligatures w14:val="none"/>
              </w:rPr>
              <w:instrText>–</w:instrText>
            </w:r>
            <w:r>
              <w:rPr>
                <w:rFonts w:eastAsia="Times New Roman" w:cs="Calibri"/>
                <w:color w:val="000000"/>
                <w:kern w:val="0"/>
                <w:sz w:val="20"/>
                <w:szCs w:val="20"/>
                <w:lang w:eastAsia="fr-FR"/>
                <w14:ligatures w14:val="none"/>
              </w:rPr>
              <w:instrText xml:space="preserve">2.99,\n                P\n                </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0.020), (AOR</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2.70, 95% CI (1.05</w:instrText>
            </w:r>
            <w:r>
              <w:rPr>
                <w:rFonts w:eastAsia="Times New Roman" w:cs="Garamond"/>
                <w:color w:val="000000"/>
                <w:kern w:val="0"/>
                <w:sz w:val="20"/>
                <w:szCs w:val="20"/>
                <w:lang w:eastAsia="fr-FR"/>
                <w14:ligatures w14:val="none"/>
              </w:rPr>
              <w:instrText>–</w:instrText>
            </w:r>
            <w:r>
              <w:rPr>
                <w:rFonts w:eastAsia="Times New Roman" w:cs="Calibri"/>
                <w:color w:val="000000"/>
                <w:kern w:val="0"/>
                <w:sz w:val="20"/>
                <w:szCs w:val="20"/>
                <w:lang w:eastAsia="fr-FR"/>
                <w14:ligatures w14:val="none"/>
              </w:rPr>
              <w:instrText xml:space="preserve">6.95,\n                P\n                </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0.038), respectively). Female sex, having a diploma, postgraduate studies, and having an idea about MPOX vaccine significantly predicted calculation domain (AOR</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2.06,</w:instrText>
            </w:r>
            <w:r>
              <w:rPr>
                <w:rFonts w:eastAsia="Times New Roman" w:cs="Garamond"/>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95% CI (1.05</w:instrText>
            </w:r>
            <w:r>
              <w:rPr>
                <w:rFonts w:eastAsia="Times New Roman" w:cs="Garamond"/>
                <w:color w:val="000000"/>
                <w:kern w:val="0"/>
                <w:sz w:val="20"/>
                <w:szCs w:val="20"/>
                <w:lang w:eastAsia="fr-FR"/>
                <w14:ligatures w14:val="none"/>
              </w:rPr>
              <w:instrText>–</w:instrText>
            </w:r>
            <w:r>
              <w:rPr>
                <w:rFonts w:eastAsia="Times New Roman" w:cs="Calibri"/>
                <w:color w:val="000000"/>
                <w:kern w:val="0"/>
                <w:sz w:val="20"/>
                <w:szCs w:val="20"/>
                <w:lang w:eastAsia="fr-FR"/>
                <w14:ligatures w14:val="none"/>
              </w:rPr>
              <w:instrText xml:space="preserve">4.04,\n                P\n                </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0.035), (AOR</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3.98,95% CI (1.33</w:instrText>
            </w:r>
            <w:r>
              <w:rPr>
                <w:rFonts w:eastAsia="Times New Roman" w:cs="Garamond"/>
                <w:color w:val="000000"/>
                <w:kern w:val="0"/>
                <w:sz w:val="20"/>
                <w:szCs w:val="20"/>
                <w:lang w:eastAsia="fr-FR"/>
                <w14:ligatures w14:val="none"/>
              </w:rPr>
              <w:instrText>–</w:instrText>
            </w:r>
            <w:r>
              <w:rPr>
                <w:rFonts w:eastAsia="Times New Roman" w:cs="Calibri"/>
                <w:color w:val="000000"/>
                <w:kern w:val="0"/>
                <w:sz w:val="20"/>
                <w:szCs w:val="20"/>
                <w:lang w:eastAsia="fr-FR"/>
                <w14:ligatures w14:val="none"/>
              </w:rPr>
              <w:instrText xml:space="preserve">11.87,\n                P\n                </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0.013), (AOR</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2.02, 95% CI (1.25</w:instrText>
            </w:r>
            <w:r>
              <w:rPr>
                <w:rFonts w:eastAsia="Times New Roman" w:cs="Garamond"/>
                <w:color w:val="000000"/>
                <w:kern w:val="0"/>
                <w:sz w:val="20"/>
                <w:szCs w:val="20"/>
                <w:lang w:eastAsia="fr-FR"/>
                <w14:ligatures w14:val="none"/>
              </w:rPr>
              <w:instrText>–</w:instrText>
            </w:r>
            <w:r>
              <w:rPr>
                <w:rFonts w:eastAsia="Times New Roman" w:cs="Calibri"/>
                <w:color w:val="000000"/>
                <w:kern w:val="0"/>
                <w:sz w:val="20"/>
                <w:szCs w:val="20"/>
                <w:lang w:eastAsia="fr-FR"/>
                <w14:ligatures w14:val="none"/>
              </w:rPr>
              <w:instrText xml:space="preserve">3.26,\n                P\n                </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0.004) &amp; (AOR</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2.75. 95% CI (1.05</w:instrText>
            </w:r>
            <w:r>
              <w:rPr>
                <w:rFonts w:eastAsia="Times New Roman" w:cs="Garamond"/>
                <w:color w:val="000000"/>
                <w:kern w:val="0"/>
                <w:sz w:val="20"/>
                <w:szCs w:val="20"/>
                <w:lang w:eastAsia="fr-FR"/>
                <w14:ligatures w14:val="none"/>
              </w:rPr>
              <w:instrText>–</w:instrText>
            </w:r>
            <w:r>
              <w:rPr>
                <w:rFonts w:eastAsia="Times New Roman" w:cs="Calibri"/>
                <w:color w:val="000000"/>
                <w:kern w:val="0"/>
                <w:sz w:val="20"/>
                <w:szCs w:val="20"/>
                <w:lang w:eastAsia="fr-FR"/>
                <w14:ligatures w14:val="none"/>
              </w:rPr>
              <w:instrText xml:space="preserve">7.18,\n                P\n                </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0.039), respectively. The only significant predictor of collective responsibility was having a diploma and postgraduate studies (AOR</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 xml:space="preserve">3.44, 95% CI (1.21–9.78,\n                P\n                </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0.020), (AOR</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1.90,95% CI (1.17</w:instrText>
            </w:r>
            <w:r>
              <w:rPr>
                <w:rFonts w:eastAsia="Times New Roman" w:cs="Garamond"/>
                <w:color w:val="000000"/>
                <w:kern w:val="0"/>
                <w:sz w:val="20"/>
                <w:szCs w:val="20"/>
                <w:lang w:eastAsia="fr-FR"/>
                <w14:ligatures w14:val="none"/>
              </w:rPr>
              <w:instrText>–</w:instrText>
            </w:r>
            <w:r>
              <w:rPr>
                <w:rFonts w:eastAsia="Times New Roman" w:cs="Calibri"/>
                <w:color w:val="000000"/>
                <w:kern w:val="0"/>
                <w:sz w:val="20"/>
                <w:szCs w:val="20"/>
                <w:lang w:eastAsia="fr-FR"/>
                <w14:ligatures w14:val="none"/>
              </w:rPr>
              <w:instrText xml:space="preserve">3.09,\n                P\n                </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 xml:space="preserve">0.009).\n              \n            \n            \n              Conclusions\n              Efforts to control MPOX should focus on promoting protective measures such as the vaccination of HCWs as well as raising their awareness about the updated information regarding the virus and the approved vaccines.","container-title":"BMC Health Services Research","DOI":"10.1186/s12913-024-11147-0","ISSN":"1472-6963","issue":"1","journalAbbreviation":"BMC Health Serv Res","language":"en","page":"1204","source":"DOI.org (Crossref)","title":"The intention of Egyptian healthcare workers to take the monkeypox vaccine: is urgent action required?","title-short":"The intention of Egyptian healthcare workers to take the monkeypox vaccine","volume":"24","author":[{"family":"Ghazy","given":"Ramy Mohamed"},{"family":"Hussein","given":"Mai"},{"family":"Abdu","given":"Shymaa Mamdouh Mohamed"},{"family":"El-sayed Ellakwa","given":"Doha"},{"family":"Tolba","given":"Mahmoud M."},{"family":"Youssef","given":"Naglaa"},{"family":"Mahboob","given":"Amira Saad"},{"family":"Abd ElHafeez","given":"Samar"}],"issued":{"date-parts":[["2024"]]}}}],"schema":"https://github.com/citation-style-language/schema/raw/master/csl-citation.json"} </w:instrText>
            </w:r>
            <w:r w:rsidRPr="00836F13">
              <w:rPr>
                <w:rFonts w:eastAsia="Times New Roman" w:cs="Calibri"/>
                <w:color w:val="000000"/>
                <w:kern w:val="0"/>
                <w:sz w:val="20"/>
                <w:szCs w:val="20"/>
                <w:lang w:eastAsia="fr-FR"/>
                <w14:ligatures w14:val="none"/>
              </w:rPr>
              <w:fldChar w:fldCharType="separate"/>
            </w:r>
            <w:r w:rsidRPr="003315A0">
              <w:rPr>
                <w:sz w:val="20"/>
              </w:rPr>
              <w:t>[24]</w:t>
            </w:r>
            <w:r w:rsidRPr="00836F13">
              <w:rPr>
                <w:rFonts w:eastAsia="Times New Roman" w:cs="Calibri"/>
                <w:color w:val="000000"/>
                <w:kern w:val="0"/>
                <w:sz w:val="20"/>
                <w:szCs w:val="20"/>
                <w:lang w:eastAsia="fr-FR"/>
                <w14:ligatures w14:val="none"/>
              </w:rPr>
              <w:fldChar w:fldCharType="end"/>
            </w:r>
          </w:p>
        </w:tc>
        <w:tc>
          <w:tcPr>
            <w:tcW w:w="714" w:type="dxa"/>
            <w:tcBorders>
              <w:top w:val="nil"/>
              <w:left w:val="nil"/>
              <w:bottom w:val="nil"/>
              <w:right w:val="nil"/>
            </w:tcBorders>
            <w:noWrap/>
            <w:hideMark/>
          </w:tcPr>
          <w:p w14:paraId="645C3FDE" w14:textId="0C77F840"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2022</w:t>
            </w:r>
          </w:p>
        </w:tc>
        <w:tc>
          <w:tcPr>
            <w:tcW w:w="2126" w:type="dxa"/>
            <w:tcBorders>
              <w:top w:val="nil"/>
              <w:left w:val="nil"/>
              <w:bottom w:val="nil"/>
              <w:right w:val="nil"/>
            </w:tcBorders>
            <w:noWrap/>
            <w:hideMark/>
          </w:tcPr>
          <w:p w14:paraId="420B169E"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Ghana</w:t>
            </w:r>
          </w:p>
        </w:tc>
        <w:tc>
          <w:tcPr>
            <w:tcW w:w="1270" w:type="dxa"/>
            <w:tcBorders>
              <w:top w:val="nil"/>
              <w:left w:val="nil"/>
              <w:bottom w:val="nil"/>
              <w:right w:val="nil"/>
            </w:tcBorders>
            <w:noWrap/>
            <w:hideMark/>
          </w:tcPr>
          <w:p w14:paraId="5765A62F"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Online</w:t>
            </w:r>
          </w:p>
        </w:tc>
        <w:tc>
          <w:tcPr>
            <w:tcW w:w="2602" w:type="dxa"/>
            <w:tcBorders>
              <w:top w:val="nil"/>
              <w:left w:val="nil"/>
              <w:bottom w:val="nil"/>
              <w:right w:val="nil"/>
            </w:tcBorders>
            <w:noWrap/>
            <w:hideMark/>
          </w:tcPr>
          <w:p w14:paraId="71A54438" w14:textId="28E4AFEB"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HCWs</w:t>
            </w:r>
          </w:p>
        </w:tc>
        <w:tc>
          <w:tcPr>
            <w:tcW w:w="1797" w:type="dxa"/>
            <w:tcBorders>
              <w:top w:val="nil"/>
              <w:left w:val="nil"/>
              <w:bottom w:val="nil"/>
              <w:right w:val="nil"/>
            </w:tcBorders>
          </w:tcPr>
          <w:p w14:paraId="68EFA81E" w14:textId="0A38A6FE"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Non-probabilistic</w:t>
            </w:r>
          </w:p>
        </w:tc>
        <w:tc>
          <w:tcPr>
            <w:tcW w:w="1111" w:type="dxa"/>
            <w:tcBorders>
              <w:top w:val="nil"/>
              <w:left w:val="nil"/>
              <w:bottom w:val="nil"/>
              <w:right w:val="nil"/>
            </w:tcBorders>
          </w:tcPr>
          <w:p w14:paraId="705FCAB0" w14:textId="2C1BFB5C"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VA</w:t>
            </w:r>
          </w:p>
        </w:tc>
        <w:tc>
          <w:tcPr>
            <w:tcW w:w="885" w:type="dxa"/>
            <w:tcBorders>
              <w:top w:val="nil"/>
              <w:left w:val="nil"/>
              <w:bottom w:val="nil"/>
              <w:right w:val="nil"/>
            </w:tcBorders>
            <w:noWrap/>
            <w:hideMark/>
          </w:tcPr>
          <w:p w14:paraId="173FD56C" w14:textId="5A4EF659"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7D1C6E">
              <w:rPr>
                <w:rFonts w:eastAsia="Times New Roman" w:cs="Calibri"/>
                <w:color w:val="000000"/>
                <w:kern w:val="0"/>
                <w:sz w:val="20"/>
                <w:szCs w:val="20"/>
                <w:lang w:eastAsia="fr-FR"/>
                <w14:ligatures w14:val="none"/>
              </w:rPr>
              <w:t>Low</w:t>
            </w:r>
          </w:p>
        </w:tc>
      </w:tr>
      <w:tr w:rsidR="00C556B1" w:rsidRPr="00836F13" w14:paraId="4451E6EC" w14:textId="77777777" w:rsidTr="00BA2E10">
        <w:trPr>
          <w:trHeight w:val="290"/>
        </w:trPr>
        <w:tc>
          <w:tcPr>
            <w:tcW w:w="1843" w:type="dxa"/>
            <w:tcBorders>
              <w:top w:val="nil"/>
              <w:left w:val="nil"/>
              <w:bottom w:val="nil"/>
              <w:right w:val="nil"/>
            </w:tcBorders>
            <w:noWrap/>
            <w:hideMark/>
          </w:tcPr>
          <w:p w14:paraId="0A8228EB"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Braimah,2023</w:t>
            </w:r>
          </w:p>
        </w:tc>
        <w:tc>
          <w:tcPr>
            <w:tcW w:w="988" w:type="dxa"/>
            <w:tcBorders>
              <w:top w:val="nil"/>
              <w:left w:val="nil"/>
              <w:bottom w:val="nil"/>
              <w:right w:val="nil"/>
            </w:tcBorders>
          </w:tcPr>
          <w:p w14:paraId="244B89DC" w14:textId="36E3F53A"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fldChar w:fldCharType="begin"/>
            </w:r>
            <w:r>
              <w:rPr>
                <w:rFonts w:eastAsia="Times New Roman" w:cs="Calibri"/>
                <w:color w:val="000000"/>
                <w:kern w:val="0"/>
                <w:sz w:val="20"/>
                <w:szCs w:val="20"/>
                <w:lang w:eastAsia="fr-FR"/>
                <w14:ligatures w14:val="none"/>
              </w:rPr>
              <w:instrText xml:space="preserve"> ADDIN ZOTERO_ITEM CSL_CITATION {"citationID":"eqJe7BAR","properties":{"formattedCitation":"[25]","plainCitation":"[25]","noteIndex":0},"citationItems":[{"id":4514,"uris":["http://zotero.org/users/1791235/items/87NVWT8Z"],"itemData":{"id":4514,"type":"article-journal","abstract":"Monkeypox (MPOX) was declared a global public health emergency of international concern in July 2022. Vaccinations may be an essential strategy to prevent MPOX infections and reduce their impact on populations, especially among at-risk populations. However, less is known about the factors associated with people’s willingness to accept the MPOX vaccine in resource-constrained settings. In this study, we examine the associations between self-rated health, previous vaccine uptake, and people’s willingness to accept the MPOX vaccine using cross-sectional data from four major cities in Ghana. The data were analyzed using descriptive and logistic regression techniques. We found that the acceptance of the MPOX vaccine is generally low (approximately 32%) in Ghana. The regression analysis reveals that individuals who did not receive vaccines in the past are much less likely to get the MPOX vaccine (AOR:.28; 95% CI:.62–2.37). The association between self-rated health and vaccine acceptance (AOR: 1.22; 95% CI:.62–2.37) disappeared after we accounted for covariates. Based on these findings, we conclude that vaccine uptake history may be critical to people’s uptake of the MPOX vaccine.","container-title":"PLOS Global Public Health","DOI":"10.1371/journal.pgph.0003564","ISSN":"2767-3375","issue":"8","journalAbbreviation":"PLOS Glob Public Health","language":"en","page":"e0003564","source":"DOI.org (Crossref)","title":"Do self-rated health and previous vaccine uptake influence the willingness to accept MPOX vaccine during a public health emergency of concern? A cross-sectional study","title-short":"Do self-rated health and previous vaccine uptake influence the willingness to accept MPOX vaccine during a public health emergency of concern?","volume":"4","author":[{"family":"Braimah","given":"Joseph Asumah"},{"family":"Achore","given":"Meshack"},{"family":"Dery","given":"Florence"},{"family":"Ayanore","given":"Martin A."},{"family":"Bisung","given":"Elijah"},{"family":"Kuuire","given":"Vincent"}],"editor":[{"family":"Robinson","given":"Julia"}],"issued":{"date-parts":[["2024"]]}}}],"schema":"https://github.com/citation-style-language/schema/raw/master/csl-citation.json"} </w:instrText>
            </w:r>
            <w:r w:rsidRPr="00836F13">
              <w:rPr>
                <w:rFonts w:eastAsia="Times New Roman" w:cs="Calibri"/>
                <w:color w:val="000000"/>
                <w:kern w:val="0"/>
                <w:sz w:val="20"/>
                <w:szCs w:val="20"/>
                <w:lang w:eastAsia="fr-FR"/>
                <w14:ligatures w14:val="none"/>
              </w:rPr>
              <w:fldChar w:fldCharType="separate"/>
            </w:r>
            <w:r w:rsidRPr="003315A0">
              <w:rPr>
                <w:sz w:val="20"/>
              </w:rPr>
              <w:t>[25]</w:t>
            </w:r>
            <w:r w:rsidRPr="00836F13">
              <w:rPr>
                <w:rFonts w:eastAsia="Times New Roman" w:cs="Calibri"/>
                <w:color w:val="000000"/>
                <w:kern w:val="0"/>
                <w:sz w:val="20"/>
                <w:szCs w:val="20"/>
                <w:lang w:eastAsia="fr-FR"/>
                <w14:ligatures w14:val="none"/>
              </w:rPr>
              <w:fldChar w:fldCharType="end"/>
            </w:r>
          </w:p>
        </w:tc>
        <w:tc>
          <w:tcPr>
            <w:tcW w:w="714" w:type="dxa"/>
            <w:tcBorders>
              <w:top w:val="nil"/>
              <w:left w:val="nil"/>
              <w:bottom w:val="nil"/>
              <w:right w:val="nil"/>
            </w:tcBorders>
            <w:noWrap/>
            <w:hideMark/>
          </w:tcPr>
          <w:p w14:paraId="3E687ADD" w14:textId="67CFA721"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2023</w:t>
            </w:r>
          </w:p>
        </w:tc>
        <w:tc>
          <w:tcPr>
            <w:tcW w:w="2126" w:type="dxa"/>
            <w:tcBorders>
              <w:top w:val="nil"/>
              <w:left w:val="nil"/>
              <w:bottom w:val="nil"/>
              <w:right w:val="nil"/>
            </w:tcBorders>
            <w:noWrap/>
            <w:hideMark/>
          </w:tcPr>
          <w:p w14:paraId="493E52AA"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Ghana</w:t>
            </w:r>
          </w:p>
        </w:tc>
        <w:tc>
          <w:tcPr>
            <w:tcW w:w="1270" w:type="dxa"/>
            <w:tcBorders>
              <w:top w:val="nil"/>
              <w:left w:val="nil"/>
              <w:bottom w:val="nil"/>
              <w:right w:val="nil"/>
            </w:tcBorders>
            <w:noWrap/>
            <w:hideMark/>
          </w:tcPr>
          <w:p w14:paraId="5DB18788"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Community</w:t>
            </w:r>
          </w:p>
        </w:tc>
        <w:tc>
          <w:tcPr>
            <w:tcW w:w="2602" w:type="dxa"/>
            <w:tcBorders>
              <w:top w:val="nil"/>
              <w:left w:val="nil"/>
              <w:bottom w:val="nil"/>
              <w:right w:val="nil"/>
            </w:tcBorders>
            <w:noWrap/>
            <w:hideMark/>
          </w:tcPr>
          <w:p w14:paraId="7EA96569"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General population</w:t>
            </w:r>
          </w:p>
        </w:tc>
        <w:tc>
          <w:tcPr>
            <w:tcW w:w="1797" w:type="dxa"/>
            <w:tcBorders>
              <w:top w:val="nil"/>
              <w:left w:val="nil"/>
              <w:bottom w:val="nil"/>
              <w:right w:val="nil"/>
            </w:tcBorders>
          </w:tcPr>
          <w:p w14:paraId="343C64D6" w14:textId="3A6B119A"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Probabilistic</w:t>
            </w:r>
          </w:p>
        </w:tc>
        <w:tc>
          <w:tcPr>
            <w:tcW w:w="1111" w:type="dxa"/>
            <w:tcBorders>
              <w:top w:val="nil"/>
              <w:left w:val="nil"/>
              <w:bottom w:val="nil"/>
              <w:right w:val="nil"/>
            </w:tcBorders>
          </w:tcPr>
          <w:p w14:paraId="7568A554" w14:textId="3B3D7EE6"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VA and VU</w:t>
            </w:r>
          </w:p>
        </w:tc>
        <w:tc>
          <w:tcPr>
            <w:tcW w:w="885" w:type="dxa"/>
            <w:tcBorders>
              <w:top w:val="nil"/>
              <w:left w:val="nil"/>
              <w:bottom w:val="nil"/>
              <w:right w:val="nil"/>
            </w:tcBorders>
            <w:noWrap/>
            <w:hideMark/>
          </w:tcPr>
          <w:p w14:paraId="18064A02" w14:textId="1705E09F"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7D1C6E">
              <w:rPr>
                <w:rFonts w:eastAsia="Times New Roman" w:cs="Calibri"/>
                <w:color w:val="000000"/>
                <w:kern w:val="0"/>
                <w:sz w:val="20"/>
                <w:szCs w:val="20"/>
                <w:lang w:eastAsia="fr-FR"/>
                <w14:ligatures w14:val="none"/>
              </w:rPr>
              <w:t>Low</w:t>
            </w:r>
          </w:p>
        </w:tc>
      </w:tr>
      <w:tr w:rsidR="005B1C33" w:rsidRPr="00836F13" w14:paraId="6EBBFA04" w14:textId="77777777" w:rsidTr="00BA2E10">
        <w:trPr>
          <w:trHeight w:val="290"/>
        </w:trPr>
        <w:tc>
          <w:tcPr>
            <w:tcW w:w="1843" w:type="dxa"/>
            <w:tcBorders>
              <w:top w:val="nil"/>
              <w:left w:val="nil"/>
              <w:bottom w:val="nil"/>
              <w:right w:val="nil"/>
            </w:tcBorders>
            <w:noWrap/>
            <w:hideMark/>
          </w:tcPr>
          <w:p w14:paraId="1514CE6B" w14:textId="77777777" w:rsidR="005B1C33" w:rsidRPr="00836F13" w:rsidRDefault="005B1C33" w:rsidP="0002731A">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Lounis,2023</w:t>
            </w:r>
          </w:p>
        </w:tc>
        <w:tc>
          <w:tcPr>
            <w:tcW w:w="988" w:type="dxa"/>
            <w:tcBorders>
              <w:top w:val="nil"/>
              <w:left w:val="nil"/>
              <w:bottom w:val="nil"/>
              <w:right w:val="nil"/>
            </w:tcBorders>
          </w:tcPr>
          <w:p w14:paraId="41D86D8E" w14:textId="571C0195" w:rsidR="005B1C33" w:rsidRPr="00836F13" w:rsidRDefault="005B1C33" w:rsidP="003315A0">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fldChar w:fldCharType="begin"/>
            </w:r>
            <w:r w:rsidR="003315A0">
              <w:rPr>
                <w:rFonts w:eastAsia="Times New Roman" w:cs="Calibri"/>
                <w:color w:val="000000"/>
                <w:kern w:val="0"/>
                <w:sz w:val="20"/>
                <w:szCs w:val="20"/>
                <w:lang w:eastAsia="fr-FR"/>
                <w14:ligatures w14:val="none"/>
              </w:rPr>
              <w:instrText xml:space="preserve"> ADDIN ZOTERO_ITEM CSL_CITATION {"citationID":"6dfrajPN","properties":{"formattedCitation":"[26]","plainCitation":"[26]","noteIndex":0},"citationItems":[{"id":4503,"uris":["http://zotero.org/users/1791235/items/H64Y6BA5"],"itemData":{"id":4503,"type":"article-journal","abstract":"Monkeypox (MPOX) is a viral zoonotic disease affecting endemically the Central and Western regions of Africa. The ongoing outbreak in non-endemic countries has made this disease a global concern. While no cases have been reported in Algeria, it is important to raise awareness about the disease to prepare for a potential outbreak, especially in light of the cases reported in neighboring Middle East and North African (MENA) countries. This study aimed to evaluate the knowledge and attitude of Algerian Health and Life Sciences students toward MPOX and its vaccine through an anonymous online survey. A total of 196 students participated in this study. Students of medicine (64.3%), females (85.7%), and those under 20 years of age (55.1%) were the most represented. The results revealed a low level of knowledge represented by a score of only 42.8% for correct answers with multiple gaps in epidemiology, etiology, and clinical manifestations of MPOX. Students of veterinary sciences showed the highest levels of knowledge (OR: 6.71; CI95%: 1.23–36.77), while those aged between 20 and 30 years old (OR: 0.11; CI95%: 0.02–0.79) and those vaccinated against seasonal flu (OR: 0.42; CI95%: 0.21–0.85) were associated with low levels of knowledge. Regarding MPOX vaccination, the study found a moderate level of acceptance (48.5%) among the surveyed students with Natural and Life Sciences students and those having a high vaccine conspiracy belief score (VCBS) showing the lowest level of acceptance. These findings highlight the need for educational programs and intensified public awareness campaigns to improve knowledge about MPOX and emphasize the importance of vaccination in preventing outbreaks and overcoming vaccine reluctance.","container-title":"Infectious Disease Reports","DOI":"10.3390/idr16020013","ISSN":"2036-7449","issue":"2","journalAbbreviation":"Infectious Disease Reports","language":"en","license":"https://creativecommons.org/licenses/by/4.0/","page":"170-180","source":"DOI.org (Crossref)","title":"Assessment of Monkeypox (MPOX) Knowledge and Vaccination Intention among Health and Life Sciences Students in Algeria: A Cross-Sectional Study","title-short":"Assessment of Monkeypox (MPOX) Knowledge and Vaccination Intention among Health and Life Sciences Students in Algeria","volume":"16","author":[{"family":"Lounis","given":"Mohamed"},{"family":"Hamimes","given":"Ahmed"},{"family":"Dahmani","given":"Ali"}],"issued":{"date-parts":[["2024"]]}}}],"schema":"https://github.com/citation-style-language/schema/raw/master/csl-citation.json"} </w:instrText>
            </w:r>
            <w:r w:rsidRPr="00836F13">
              <w:rPr>
                <w:rFonts w:eastAsia="Times New Roman" w:cs="Calibri"/>
                <w:color w:val="000000"/>
                <w:kern w:val="0"/>
                <w:sz w:val="20"/>
                <w:szCs w:val="20"/>
                <w:lang w:eastAsia="fr-FR"/>
                <w14:ligatures w14:val="none"/>
              </w:rPr>
              <w:fldChar w:fldCharType="separate"/>
            </w:r>
            <w:r w:rsidR="003315A0" w:rsidRPr="003315A0">
              <w:rPr>
                <w:sz w:val="20"/>
              </w:rPr>
              <w:t>[26]</w:t>
            </w:r>
            <w:r w:rsidRPr="00836F13">
              <w:rPr>
                <w:rFonts w:eastAsia="Times New Roman" w:cs="Calibri"/>
                <w:color w:val="000000"/>
                <w:kern w:val="0"/>
                <w:sz w:val="20"/>
                <w:szCs w:val="20"/>
                <w:lang w:eastAsia="fr-FR"/>
                <w14:ligatures w14:val="none"/>
              </w:rPr>
              <w:fldChar w:fldCharType="end"/>
            </w:r>
          </w:p>
        </w:tc>
        <w:tc>
          <w:tcPr>
            <w:tcW w:w="714" w:type="dxa"/>
            <w:tcBorders>
              <w:top w:val="nil"/>
              <w:left w:val="nil"/>
              <w:bottom w:val="nil"/>
              <w:right w:val="nil"/>
            </w:tcBorders>
            <w:noWrap/>
            <w:hideMark/>
          </w:tcPr>
          <w:p w14:paraId="5A3F9AD0" w14:textId="00F493D8" w:rsidR="005B1C33" w:rsidRPr="00836F13" w:rsidRDefault="005B1C33" w:rsidP="0002731A">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2023</w:t>
            </w:r>
          </w:p>
        </w:tc>
        <w:tc>
          <w:tcPr>
            <w:tcW w:w="2126" w:type="dxa"/>
            <w:tcBorders>
              <w:top w:val="nil"/>
              <w:left w:val="nil"/>
              <w:bottom w:val="nil"/>
              <w:right w:val="nil"/>
            </w:tcBorders>
            <w:noWrap/>
            <w:hideMark/>
          </w:tcPr>
          <w:p w14:paraId="55230364" w14:textId="77777777" w:rsidR="005B1C33" w:rsidRPr="00836F13" w:rsidRDefault="005B1C33" w:rsidP="0002731A">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Algeria</w:t>
            </w:r>
          </w:p>
        </w:tc>
        <w:tc>
          <w:tcPr>
            <w:tcW w:w="1270" w:type="dxa"/>
            <w:tcBorders>
              <w:top w:val="nil"/>
              <w:left w:val="nil"/>
              <w:bottom w:val="nil"/>
              <w:right w:val="nil"/>
            </w:tcBorders>
            <w:noWrap/>
            <w:hideMark/>
          </w:tcPr>
          <w:p w14:paraId="03CB0641" w14:textId="77777777" w:rsidR="005B1C33" w:rsidRPr="00836F13" w:rsidRDefault="005B1C33" w:rsidP="0002731A">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Online</w:t>
            </w:r>
          </w:p>
        </w:tc>
        <w:tc>
          <w:tcPr>
            <w:tcW w:w="2602" w:type="dxa"/>
            <w:tcBorders>
              <w:top w:val="nil"/>
              <w:left w:val="nil"/>
              <w:bottom w:val="nil"/>
              <w:right w:val="nil"/>
            </w:tcBorders>
            <w:noWrap/>
            <w:hideMark/>
          </w:tcPr>
          <w:p w14:paraId="1EBBA90F" w14:textId="77777777" w:rsidR="005B1C33" w:rsidRPr="00836F13" w:rsidRDefault="005B1C33" w:rsidP="0002731A">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Medical students</w:t>
            </w:r>
          </w:p>
        </w:tc>
        <w:tc>
          <w:tcPr>
            <w:tcW w:w="1797" w:type="dxa"/>
            <w:tcBorders>
              <w:top w:val="nil"/>
              <w:left w:val="nil"/>
              <w:bottom w:val="nil"/>
              <w:right w:val="nil"/>
            </w:tcBorders>
          </w:tcPr>
          <w:p w14:paraId="563C9AD9" w14:textId="388F04AE" w:rsidR="005B1C33" w:rsidRPr="00836F13" w:rsidRDefault="005B1C33" w:rsidP="0002731A">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Non-probabilistic</w:t>
            </w:r>
          </w:p>
        </w:tc>
        <w:tc>
          <w:tcPr>
            <w:tcW w:w="1111" w:type="dxa"/>
            <w:tcBorders>
              <w:top w:val="nil"/>
              <w:left w:val="nil"/>
              <w:bottom w:val="nil"/>
              <w:right w:val="nil"/>
            </w:tcBorders>
          </w:tcPr>
          <w:p w14:paraId="4A735DDF" w14:textId="246CFEDF" w:rsidR="005B1C33" w:rsidRPr="00836F13" w:rsidRDefault="005B1C33" w:rsidP="0002731A">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VA</w:t>
            </w:r>
          </w:p>
        </w:tc>
        <w:tc>
          <w:tcPr>
            <w:tcW w:w="885" w:type="dxa"/>
            <w:tcBorders>
              <w:top w:val="nil"/>
              <w:left w:val="nil"/>
              <w:bottom w:val="nil"/>
              <w:right w:val="nil"/>
            </w:tcBorders>
            <w:noWrap/>
            <w:hideMark/>
          </w:tcPr>
          <w:p w14:paraId="6B567463" w14:textId="301E13F4" w:rsidR="005B1C33" w:rsidRPr="00836F13" w:rsidRDefault="005B1C33" w:rsidP="0002731A">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M</w:t>
            </w:r>
            <w:r w:rsidR="00BA2E10">
              <w:rPr>
                <w:rFonts w:eastAsia="Times New Roman" w:cs="Calibri"/>
                <w:color w:val="000000"/>
                <w:kern w:val="0"/>
                <w:sz w:val="20"/>
                <w:szCs w:val="20"/>
                <w:lang w:eastAsia="fr-FR"/>
                <w14:ligatures w14:val="none"/>
              </w:rPr>
              <w:t>oderate</w:t>
            </w:r>
          </w:p>
        </w:tc>
      </w:tr>
      <w:tr w:rsidR="00BA2E10" w:rsidRPr="00836F13" w14:paraId="752C2503" w14:textId="77777777" w:rsidTr="00BA2E10">
        <w:trPr>
          <w:trHeight w:val="290"/>
        </w:trPr>
        <w:tc>
          <w:tcPr>
            <w:tcW w:w="1843" w:type="dxa"/>
            <w:tcBorders>
              <w:top w:val="nil"/>
              <w:left w:val="nil"/>
              <w:bottom w:val="nil"/>
              <w:right w:val="nil"/>
            </w:tcBorders>
            <w:noWrap/>
            <w:hideMark/>
          </w:tcPr>
          <w:p w14:paraId="3C7355A1" w14:textId="77777777" w:rsidR="00BA2E10" w:rsidRPr="00836F13" w:rsidRDefault="00BA2E10" w:rsidP="00BA2E10">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Brosius,2024</w:t>
            </w:r>
          </w:p>
        </w:tc>
        <w:tc>
          <w:tcPr>
            <w:tcW w:w="988" w:type="dxa"/>
            <w:tcBorders>
              <w:top w:val="nil"/>
              <w:left w:val="nil"/>
              <w:bottom w:val="nil"/>
              <w:right w:val="nil"/>
            </w:tcBorders>
          </w:tcPr>
          <w:p w14:paraId="56D558F7" w14:textId="49A99075" w:rsidR="00BA2E10" w:rsidRPr="00836F13" w:rsidRDefault="00BA2E10" w:rsidP="00BA2E10">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fldChar w:fldCharType="begin"/>
            </w:r>
            <w:r>
              <w:rPr>
                <w:rFonts w:eastAsia="Times New Roman" w:cs="Calibri"/>
                <w:color w:val="000000"/>
                <w:kern w:val="0"/>
                <w:sz w:val="20"/>
                <w:szCs w:val="20"/>
                <w:lang w:eastAsia="fr-FR"/>
                <w14:ligatures w14:val="none"/>
              </w:rPr>
              <w:instrText xml:space="preserve"> ADDIN ZOTERO_ITEM CSL_CITATION {"citationID":"ML7A8ct6","properties":{"formattedCitation":"[27]","plainCitation":"[27]","noteIndex":0},"citationItems":[{"id":3575,"uris":["http://zotero.org/users/1791235/items/JJVH2HZE"],"itemData":{"id":3575,"type":"article-journal","container-title":"The Lancet","DOI":"10.1016/S0140-6736(25)00047-9","ISSN":"0140-6736, 1474-547X","issue":"10478","journalAbbreviation":"The Lancet","language":"English","note":"publisher: Elsevier\nPMID: 39892407","page":"547-59","source":"www.thelancet.com","title":"Epidemiological and clinical features of mpox during the clade Ib outbreak in South Kivu, Democratic Republic of the Congo: a prospective cohort study","title-short":"Epidemiological and clinical features of mpox during the clade Ib outbreak in South Kivu, Democratic Republic of the Congo","volume":"405","author":[{"family":"Brosius","given":"Isabel"},{"family":"Vakaniaki","given":"Emmanuel Hasivirwe"},{"family":"Mukari","given":"Guy"},{"family":"Munganga","given":"Papy"},{"family":"Tshomba","given":"Jean Claude"},{"family":"Vos","given":"Elise De"},{"family":"Bangwen","given":"Eugene"},{"family":"Mujula","given":"Yves"},{"family":"Tsoumanis","given":"Achilleas"},{"family":"Dijck","given":"Christophe Van"},{"family":"Alengo","given":"Aimé"},{"family":"Mutimbwa-Mambo","given":"Léandre"},{"family":"Kumbana","given":"Franklin Mweshi"},{"family":"Munga","given":"Jenestin Babingwa"},{"family":"Mambo","given":"Divin Mazambi"},{"family":"Zangilwa","given":"James Wakilongo"},{"family":"Kitwanda","given":"Steeven Bilembo"},{"family":"Houben","given":"Sarah"},{"family":"Hoff","given":"Nicole A."},{"family":"Makangara-Cigolo","given":"Jean-Claude"},{"family":"Kinganda-Lusamaki","given":"Eddy"},{"family":"Peeters","given":"Martine"},{"family":"Rimoin","given":"Anne W."},{"family":"Kindrachuk","given":"Jason"},{"family":"Low","given":"Nicola"},{"family":"Katoto","given":"Patrick D. M. C."},{"family":"Malembaka","given":"Espoir Bwenge"},{"family":"Amuasi","given":"John H."},{"family":"Tshiani-Mbaya","given":"Olivier"},{"family":"Kambaji","given":"Dally Muamba"},{"family":"Kojan","given":"Richard"},{"family":"Kacita","given":"Cris"},{"family":"Mukadi-Bamuleka","given":"Daniel"},{"family":"Ahuka-Mundeke","given":"Steve"},{"family":"Vercauteren","given":"Koen"},{"family":"Wawina-Bokalanga","given":"Tony"},{"family":"Muyembe-Tamfum","given":"Jean-Jacques"},{"family":"Nundu","given":"Sabin Sabiti"},{"family":"Liesenborghs","given":"Laurens"},{"family":"Mbala-Kingebeni","given":"Placide"}],"issued":{"date-parts":[["2025"]]}}}],"schema":"https://github.com/citation-style-language/schema/raw/master/csl-citation.json"} </w:instrText>
            </w:r>
            <w:r w:rsidRPr="00836F13">
              <w:rPr>
                <w:rFonts w:eastAsia="Times New Roman" w:cs="Calibri"/>
                <w:color w:val="000000"/>
                <w:kern w:val="0"/>
                <w:sz w:val="20"/>
                <w:szCs w:val="20"/>
                <w:lang w:eastAsia="fr-FR"/>
                <w14:ligatures w14:val="none"/>
              </w:rPr>
              <w:fldChar w:fldCharType="separate"/>
            </w:r>
            <w:r w:rsidRPr="003315A0">
              <w:rPr>
                <w:sz w:val="20"/>
              </w:rPr>
              <w:t>[27]</w:t>
            </w:r>
            <w:r w:rsidRPr="00836F13">
              <w:rPr>
                <w:rFonts w:eastAsia="Times New Roman" w:cs="Calibri"/>
                <w:color w:val="000000"/>
                <w:kern w:val="0"/>
                <w:sz w:val="20"/>
                <w:szCs w:val="20"/>
                <w:lang w:eastAsia="fr-FR"/>
                <w14:ligatures w14:val="none"/>
              </w:rPr>
              <w:fldChar w:fldCharType="end"/>
            </w:r>
          </w:p>
        </w:tc>
        <w:tc>
          <w:tcPr>
            <w:tcW w:w="714" w:type="dxa"/>
            <w:tcBorders>
              <w:top w:val="nil"/>
              <w:left w:val="nil"/>
              <w:bottom w:val="nil"/>
              <w:right w:val="nil"/>
            </w:tcBorders>
            <w:noWrap/>
            <w:hideMark/>
          </w:tcPr>
          <w:p w14:paraId="2FA8C3CD" w14:textId="26EFC13F" w:rsidR="00BA2E10" w:rsidRPr="00836F13" w:rsidRDefault="00BA2E10" w:rsidP="00BA2E10">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2024</w:t>
            </w:r>
          </w:p>
        </w:tc>
        <w:tc>
          <w:tcPr>
            <w:tcW w:w="2126" w:type="dxa"/>
            <w:tcBorders>
              <w:top w:val="nil"/>
              <w:left w:val="nil"/>
              <w:bottom w:val="nil"/>
              <w:right w:val="nil"/>
            </w:tcBorders>
            <w:noWrap/>
            <w:hideMark/>
          </w:tcPr>
          <w:p w14:paraId="786C5FCB" w14:textId="77777777" w:rsidR="00BA2E10" w:rsidRPr="00836F13" w:rsidRDefault="00BA2E10" w:rsidP="00BA2E10">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DRC</w:t>
            </w:r>
          </w:p>
        </w:tc>
        <w:tc>
          <w:tcPr>
            <w:tcW w:w="1270" w:type="dxa"/>
            <w:tcBorders>
              <w:top w:val="nil"/>
              <w:left w:val="nil"/>
              <w:bottom w:val="nil"/>
              <w:right w:val="nil"/>
            </w:tcBorders>
            <w:noWrap/>
            <w:hideMark/>
          </w:tcPr>
          <w:p w14:paraId="5A74C4A5" w14:textId="77777777" w:rsidR="00BA2E10" w:rsidRPr="00836F13" w:rsidRDefault="00BA2E10" w:rsidP="00BA2E10">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Hospital</w:t>
            </w:r>
          </w:p>
        </w:tc>
        <w:tc>
          <w:tcPr>
            <w:tcW w:w="2602" w:type="dxa"/>
            <w:tcBorders>
              <w:top w:val="nil"/>
              <w:left w:val="nil"/>
              <w:bottom w:val="nil"/>
              <w:right w:val="nil"/>
            </w:tcBorders>
            <w:noWrap/>
            <w:hideMark/>
          </w:tcPr>
          <w:p w14:paraId="4CA8E05B" w14:textId="77777777" w:rsidR="00BA2E10" w:rsidRPr="00836F13" w:rsidRDefault="00BA2E10" w:rsidP="00BA2E10">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General population</w:t>
            </w:r>
          </w:p>
        </w:tc>
        <w:tc>
          <w:tcPr>
            <w:tcW w:w="1797" w:type="dxa"/>
            <w:tcBorders>
              <w:top w:val="nil"/>
              <w:left w:val="nil"/>
              <w:bottom w:val="nil"/>
              <w:right w:val="nil"/>
            </w:tcBorders>
          </w:tcPr>
          <w:p w14:paraId="1315A30B" w14:textId="61B368D7" w:rsidR="00BA2E10" w:rsidRPr="00836F13" w:rsidRDefault="00BA2E10" w:rsidP="00BA2E10">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Non-probabilistic</w:t>
            </w:r>
          </w:p>
        </w:tc>
        <w:tc>
          <w:tcPr>
            <w:tcW w:w="1111" w:type="dxa"/>
            <w:tcBorders>
              <w:top w:val="nil"/>
              <w:left w:val="nil"/>
              <w:bottom w:val="nil"/>
              <w:right w:val="nil"/>
            </w:tcBorders>
          </w:tcPr>
          <w:p w14:paraId="5BCFDBAF" w14:textId="285458BB" w:rsidR="00BA2E10" w:rsidRPr="00836F13" w:rsidRDefault="00BA2E10" w:rsidP="00BA2E10">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VU</w:t>
            </w:r>
          </w:p>
        </w:tc>
        <w:tc>
          <w:tcPr>
            <w:tcW w:w="885" w:type="dxa"/>
            <w:tcBorders>
              <w:top w:val="nil"/>
              <w:left w:val="nil"/>
              <w:bottom w:val="nil"/>
              <w:right w:val="nil"/>
            </w:tcBorders>
            <w:noWrap/>
            <w:hideMark/>
          </w:tcPr>
          <w:p w14:paraId="6247BD0A" w14:textId="4E1F0BED" w:rsidR="00BA2E10" w:rsidRPr="00836F13" w:rsidRDefault="00BA2E10" w:rsidP="00BA2E10">
            <w:pPr>
              <w:spacing w:after="0" w:line="240" w:lineRule="auto"/>
              <w:rPr>
                <w:rFonts w:eastAsia="Times New Roman" w:cs="Calibri"/>
                <w:color w:val="000000"/>
                <w:kern w:val="0"/>
                <w:sz w:val="20"/>
                <w:szCs w:val="20"/>
                <w:lang w:eastAsia="fr-FR"/>
                <w14:ligatures w14:val="none"/>
              </w:rPr>
            </w:pPr>
            <w:r w:rsidRPr="00E21F9E">
              <w:rPr>
                <w:rFonts w:eastAsia="Times New Roman" w:cs="Calibri"/>
                <w:color w:val="000000"/>
                <w:kern w:val="0"/>
                <w:sz w:val="20"/>
                <w:szCs w:val="20"/>
                <w:lang w:eastAsia="fr-FR"/>
                <w14:ligatures w14:val="none"/>
              </w:rPr>
              <w:t>Moderate</w:t>
            </w:r>
          </w:p>
        </w:tc>
      </w:tr>
      <w:tr w:rsidR="00BA2E10" w:rsidRPr="00836F13" w14:paraId="392BAFBD" w14:textId="77777777" w:rsidTr="00BA2E10">
        <w:trPr>
          <w:trHeight w:val="290"/>
        </w:trPr>
        <w:tc>
          <w:tcPr>
            <w:tcW w:w="1843" w:type="dxa"/>
            <w:tcBorders>
              <w:top w:val="nil"/>
              <w:left w:val="nil"/>
              <w:bottom w:val="nil"/>
              <w:right w:val="nil"/>
            </w:tcBorders>
            <w:noWrap/>
            <w:hideMark/>
          </w:tcPr>
          <w:p w14:paraId="3994D203" w14:textId="77777777" w:rsidR="00BA2E10" w:rsidRPr="00836F13" w:rsidRDefault="00BA2E10" w:rsidP="00BA2E10">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Petrichko,2024</w:t>
            </w:r>
          </w:p>
        </w:tc>
        <w:tc>
          <w:tcPr>
            <w:tcW w:w="988" w:type="dxa"/>
            <w:tcBorders>
              <w:top w:val="nil"/>
              <w:left w:val="nil"/>
              <w:bottom w:val="nil"/>
              <w:right w:val="nil"/>
            </w:tcBorders>
          </w:tcPr>
          <w:p w14:paraId="3A8DD374" w14:textId="4EA222AD" w:rsidR="00BA2E10" w:rsidRPr="00836F13" w:rsidRDefault="00BA2E10" w:rsidP="00BA2E10">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fldChar w:fldCharType="begin"/>
            </w:r>
            <w:r>
              <w:rPr>
                <w:rFonts w:eastAsia="Times New Roman" w:cs="Calibri"/>
                <w:color w:val="000000"/>
                <w:kern w:val="0"/>
                <w:sz w:val="20"/>
                <w:szCs w:val="20"/>
                <w:lang w:eastAsia="fr-FR"/>
                <w14:ligatures w14:val="none"/>
              </w:rPr>
              <w:instrText xml:space="preserve"> ADDIN ZOTERO_ITEM CSL_CITATION {"citationID":"cECaE4z4","properties":{"formattedCitation":"[28]","plainCitation":"[28]","noteIndex":0},"citationItems":[{"id":3578,"uris":["http://zotero.org/users/1791235/items/WKHM7LYC"],"itemData":{"id":3578,"type":"article-journal","container-title":"Emerging Infectious Diseases","DOI":"10.3201/eid3012.241226","ISSN":"1080-6040, 1080-6059","issue":"12","journalAbbreviation":"Emerg. Infect. Dis.","page":"2614-19","source":"DOI.org (Crossref)","title":"Mpox Vaccine Acceptance, Democratic Republic of the Congo","volume":"30","author":[{"family":"Petrichko","given":"Skylar"},{"family":"Kindrachuk","given":"Jason"},{"family":"Nkamba","given":"Dalau"},{"family":"Halbrook","given":"Megan"},{"family":"Merritt","given":"Sydney"},{"family":"Kalengi","given":"Handdy"},{"family":"Kamba","given":"Leonard"},{"family":"Beya","given":"Michael"},{"family":"Hoff","given":"Nicole A."},{"family":"Luhata","given":"Christophe"},{"family":"Kaba","given":"Didine K."},{"family":"Rimoin","given":"Anne W."}],"issued":{"date-parts":[["2024"]]}}}],"schema":"https://github.com/citation-style-language/schema/raw/master/csl-citation.json"} </w:instrText>
            </w:r>
            <w:r w:rsidRPr="00836F13">
              <w:rPr>
                <w:rFonts w:eastAsia="Times New Roman" w:cs="Calibri"/>
                <w:color w:val="000000"/>
                <w:kern w:val="0"/>
                <w:sz w:val="20"/>
                <w:szCs w:val="20"/>
                <w:lang w:eastAsia="fr-FR"/>
                <w14:ligatures w14:val="none"/>
              </w:rPr>
              <w:fldChar w:fldCharType="separate"/>
            </w:r>
            <w:r w:rsidRPr="003315A0">
              <w:rPr>
                <w:sz w:val="20"/>
              </w:rPr>
              <w:t>[28]</w:t>
            </w:r>
            <w:r w:rsidRPr="00836F13">
              <w:rPr>
                <w:rFonts w:eastAsia="Times New Roman" w:cs="Calibri"/>
                <w:color w:val="000000"/>
                <w:kern w:val="0"/>
                <w:sz w:val="20"/>
                <w:szCs w:val="20"/>
                <w:lang w:eastAsia="fr-FR"/>
                <w14:ligatures w14:val="none"/>
              </w:rPr>
              <w:fldChar w:fldCharType="end"/>
            </w:r>
          </w:p>
        </w:tc>
        <w:tc>
          <w:tcPr>
            <w:tcW w:w="714" w:type="dxa"/>
            <w:tcBorders>
              <w:top w:val="nil"/>
              <w:left w:val="nil"/>
              <w:bottom w:val="nil"/>
              <w:right w:val="nil"/>
            </w:tcBorders>
            <w:noWrap/>
            <w:hideMark/>
          </w:tcPr>
          <w:p w14:paraId="1D49828D" w14:textId="51C2D5B8" w:rsidR="00BA2E10" w:rsidRPr="00836F13" w:rsidRDefault="00BA2E10" w:rsidP="00BA2E10">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2024</w:t>
            </w:r>
          </w:p>
        </w:tc>
        <w:tc>
          <w:tcPr>
            <w:tcW w:w="2126" w:type="dxa"/>
            <w:tcBorders>
              <w:top w:val="nil"/>
              <w:left w:val="nil"/>
              <w:bottom w:val="nil"/>
              <w:right w:val="nil"/>
            </w:tcBorders>
            <w:noWrap/>
            <w:hideMark/>
          </w:tcPr>
          <w:p w14:paraId="28221D50" w14:textId="77777777" w:rsidR="00BA2E10" w:rsidRPr="00836F13" w:rsidRDefault="00BA2E10" w:rsidP="00BA2E10">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DRC</w:t>
            </w:r>
          </w:p>
        </w:tc>
        <w:tc>
          <w:tcPr>
            <w:tcW w:w="1270" w:type="dxa"/>
            <w:tcBorders>
              <w:top w:val="nil"/>
              <w:left w:val="nil"/>
              <w:bottom w:val="nil"/>
              <w:right w:val="nil"/>
            </w:tcBorders>
            <w:noWrap/>
            <w:hideMark/>
          </w:tcPr>
          <w:p w14:paraId="739BE718" w14:textId="77777777" w:rsidR="00BA2E10" w:rsidRPr="00836F13" w:rsidRDefault="00BA2E10" w:rsidP="00BA2E10">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Community</w:t>
            </w:r>
          </w:p>
        </w:tc>
        <w:tc>
          <w:tcPr>
            <w:tcW w:w="2602" w:type="dxa"/>
            <w:tcBorders>
              <w:top w:val="nil"/>
              <w:left w:val="nil"/>
              <w:bottom w:val="nil"/>
              <w:right w:val="nil"/>
            </w:tcBorders>
            <w:noWrap/>
            <w:hideMark/>
          </w:tcPr>
          <w:p w14:paraId="3EFD74A3" w14:textId="77777777" w:rsidR="00BA2E10" w:rsidRPr="00836F13" w:rsidRDefault="00BA2E10" w:rsidP="00BA2E10">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General population</w:t>
            </w:r>
          </w:p>
        </w:tc>
        <w:tc>
          <w:tcPr>
            <w:tcW w:w="1797" w:type="dxa"/>
            <w:tcBorders>
              <w:top w:val="nil"/>
              <w:left w:val="nil"/>
              <w:bottom w:val="nil"/>
              <w:right w:val="nil"/>
            </w:tcBorders>
          </w:tcPr>
          <w:p w14:paraId="23CAF907" w14:textId="3AC9F3F2" w:rsidR="00BA2E10" w:rsidRPr="00836F13" w:rsidRDefault="00BA2E10" w:rsidP="00BA2E10">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Non-probabilistic</w:t>
            </w:r>
          </w:p>
        </w:tc>
        <w:tc>
          <w:tcPr>
            <w:tcW w:w="1111" w:type="dxa"/>
            <w:tcBorders>
              <w:top w:val="nil"/>
              <w:left w:val="nil"/>
              <w:bottom w:val="nil"/>
              <w:right w:val="nil"/>
            </w:tcBorders>
          </w:tcPr>
          <w:p w14:paraId="39BCB7BC" w14:textId="45CB03EB" w:rsidR="00BA2E10" w:rsidRPr="00836F13" w:rsidRDefault="00BA2E10" w:rsidP="00BA2E10">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VA</w:t>
            </w:r>
          </w:p>
        </w:tc>
        <w:tc>
          <w:tcPr>
            <w:tcW w:w="885" w:type="dxa"/>
            <w:tcBorders>
              <w:top w:val="nil"/>
              <w:left w:val="nil"/>
              <w:bottom w:val="nil"/>
              <w:right w:val="nil"/>
            </w:tcBorders>
            <w:noWrap/>
            <w:hideMark/>
          </w:tcPr>
          <w:p w14:paraId="1E40DB59" w14:textId="1FB05921" w:rsidR="00BA2E10" w:rsidRPr="00836F13" w:rsidRDefault="00BA2E10" w:rsidP="00BA2E10">
            <w:pPr>
              <w:spacing w:after="0" w:line="240" w:lineRule="auto"/>
              <w:rPr>
                <w:rFonts w:eastAsia="Times New Roman" w:cs="Calibri"/>
                <w:color w:val="000000"/>
                <w:kern w:val="0"/>
                <w:sz w:val="20"/>
                <w:szCs w:val="20"/>
                <w:lang w:eastAsia="fr-FR"/>
                <w14:ligatures w14:val="none"/>
              </w:rPr>
            </w:pPr>
            <w:r w:rsidRPr="00E21F9E">
              <w:rPr>
                <w:rFonts w:eastAsia="Times New Roman" w:cs="Calibri"/>
                <w:color w:val="000000"/>
                <w:kern w:val="0"/>
                <w:sz w:val="20"/>
                <w:szCs w:val="20"/>
                <w:lang w:eastAsia="fr-FR"/>
                <w14:ligatures w14:val="none"/>
              </w:rPr>
              <w:t>Moderate</w:t>
            </w:r>
          </w:p>
        </w:tc>
      </w:tr>
      <w:tr w:rsidR="00C556B1" w:rsidRPr="00836F13" w14:paraId="1B02433A" w14:textId="77777777" w:rsidTr="00BA2E10">
        <w:trPr>
          <w:trHeight w:val="290"/>
        </w:trPr>
        <w:tc>
          <w:tcPr>
            <w:tcW w:w="1843" w:type="dxa"/>
            <w:tcBorders>
              <w:top w:val="nil"/>
              <w:left w:val="nil"/>
              <w:bottom w:val="nil"/>
              <w:right w:val="nil"/>
            </w:tcBorders>
            <w:noWrap/>
            <w:hideMark/>
          </w:tcPr>
          <w:p w14:paraId="5C01A74C"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Du,2024</w:t>
            </w:r>
          </w:p>
        </w:tc>
        <w:tc>
          <w:tcPr>
            <w:tcW w:w="988" w:type="dxa"/>
            <w:tcBorders>
              <w:top w:val="nil"/>
              <w:left w:val="nil"/>
              <w:bottom w:val="nil"/>
              <w:right w:val="nil"/>
            </w:tcBorders>
          </w:tcPr>
          <w:p w14:paraId="0BC417DC" w14:textId="76181BD9"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fldChar w:fldCharType="begin"/>
            </w:r>
            <w:r>
              <w:rPr>
                <w:rFonts w:eastAsia="Times New Roman" w:cs="Calibri"/>
                <w:color w:val="000000"/>
                <w:kern w:val="0"/>
                <w:sz w:val="20"/>
                <w:szCs w:val="20"/>
                <w:lang w:eastAsia="fr-FR"/>
                <w14:ligatures w14:val="none"/>
              </w:rPr>
              <w:instrText xml:space="preserve"> ADDIN ZOTERO_ITEM CSL_CITATION {"citationID":"icUKLvdn","properties":{"formattedCitation":"[29]","plainCitation":"[29]","noteIndex":0},"citationItems":[{"id":3506,"uris":["http://zotero.org/users/1791235/items/ZIVK4MRX"],"itemData":{"id":3506,"type":"article-journal","container-title":"eClinicalMedicine","DOI":"10.1016/j.eclinm.2024.103047","ISSN":"25895370","journalAbbreviation":"eClinicalMedicine","language":"en","page":"103047","source":"DOI.org (Crossref)","title":"Mpox vaccination hesitancy, previous immunisation coverage, and vaccination readiness in the African region: a multinational survey","title-short":"Mpox vaccination hesitancy, previous immunisation coverage, and vaccination readiness in the African region","volume":"80","author":[{"family":"Du","given":"Min"},{"family":"Deng","given":"Jie"},{"family":"Yan","given":"Wenxin"},{"family":"Liu","given":"Min"},{"family":"Liang","given":"Wannian"},{"family":"Niu","given":"Ben"},{"family":"Liu","given":"Jue"}],"issued":{"date-parts":[["2025"]]}}}],"schema":"https://github.com/citation-style-language/schema/raw/master/csl-citation.json"} </w:instrText>
            </w:r>
            <w:r w:rsidRPr="00836F13">
              <w:rPr>
                <w:rFonts w:eastAsia="Times New Roman" w:cs="Calibri"/>
                <w:color w:val="000000"/>
                <w:kern w:val="0"/>
                <w:sz w:val="20"/>
                <w:szCs w:val="20"/>
                <w:lang w:eastAsia="fr-FR"/>
                <w14:ligatures w14:val="none"/>
              </w:rPr>
              <w:fldChar w:fldCharType="separate"/>
            </w:r>
            <w:r w:rsidRPr="003315A0">
              <w:rPr>
                <w:sz w:val="20"/>
              </w:rPr>
              <w:t>[29]</w:t>
            </w:r>
            <w:r w:rsidRPr="00836F13">
              <w:rPr>
                <w:rFonts w:eastAsia="Times New Roman" w:cs="Calibri"/>
                <w:color w:val="000000"/>
                <w:kern w:val="0"/>
                <w:sz w:val="20"/>
                <w:szCs w:val="20"/>
                <w:lang w:eastAsia="fr-FR"/>
                <w14:ligatures w14:val="none"/>
              </w:rPr>
              <w:fldChar w:fldCharType="end"/>
            </w:r>
          </w:p>
        </w:tc>
        <w:tc>
          <w:tcPr>
            <w:tcW w:w="714" w:type="dxa"/>
            <w:tcBorders>
              <w:top w:val="nil"/>
              <w:left w:val="nil"/>
              <w:bottom w:val="nil"/>
              <w:right w:val="nil"/>
            </w:tcBorders>
            <w:noWrap/>
            <w:hideMark/>
          </w:tcPr>
          <w:p w14:paraId="467BECF2" w14:textId="6DF5DA49"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2024</w:t>
            </w:r>
          </w:p>
        </w:tc>
        <w:tc>
          <w:tcPr>
            <w:tcW w:w="2126" w:type="dxa"/>
            <w:tcBorders>
              <w:top w:val="nil"/>
              <w:left w:val="nil"/>
              <w:bottom w:val="nil"/>
              <w:right w:val="nil"/>
            </w:tcBorders>
            <w:noWrap/>
            <w:hideMark/>
          </w:tcPr>
          <w:p w14:paraId="1B3DCDB1" w14:textId="23212763"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Multi-country</w:t>
            </w:r>
          </w:p>
        </w:tc>
        <w:tc>
          <w:tcPr>
            <w:tcW w:w="1270" w:type="dxa"/>
            <w:tcBorders>
              <w:top w:val="nil"/>
              <w:left w:val="nil"/>
              <w:bottom w:val="nil"/>
              <w:right w:val="nil"/>
            </w:tcBorders>
            <w:noWrap/>
            <w:hideMark/>
          </w:tcPr>
          <w:p w14:paraId="44DE6A03"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Online</w:t>
            </w:r>
          </w:p>
        </w:tc>
        <w:tc>
          <w:tcPr>
            <w:tcW w:w="2602" w:type="dxa"/>
            <w:tcBorders>
              <w:top w:val="nil"/>
              <w:left w:val="nil"/>
              <w:bottom w:val="nil"/>
              <w:right w:val="nil"/>
            </w:tcBorders>
            <w:noWrap/>
            <w:hideMark/>
          </w:tcPr>
          <w:p w14:paraId="2395D3BA"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General population</w:t>
            </w:r>
          </w:p>
        </w:tc>
        <w:tc>
          <w:tcPr>
            <w:tcW w:w="1797" w:type="dxa"/>
            <w:tcBorders>
              <w:top w:val="nil"/>
              <w:left w:val="nil"/>
              <w:bottom w:val="nil"/>
              <w:right w:val="nil"/>
            </w:tcBorders>
          </w:tcPr>
          <w:p w14:paraId="35C74697" w14:textId="70A05DB5"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Non-probabilistic</w:t>
            </w:r>
          </w:p>
        </w:tc>
        <w:tc>
          <w:tcPr>
            <w:tcW w:w="1111" w:type="dxa"/>
            <w:tcBorders>
              <w:top w:val="nil"/>
              <w:left w:val="nil"/>
              <w:bottom w:val="nil"/>
              <w:right w:val="nil"/>
            </w:tcBorders>
          </w:tcPr>
          <w:p w14:paraId="3FC81D09" w14:textId="0E543802"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VA and VU</w:t>
            </w:r>
          </w:p>
        </w:tc>
        <w:tc>
          <w:tcPr>
            <w:tcW w:w="885" w:type="dxa"/>
            <w:tcBorders>
              <w:top w:val="nil"/>
              <w:left w:val="nil"/>
              <w:bottom w:val="nil"/>
              <w:right w:val="nil"/>
            </w:tcBorders>
            <w:noWrap/>
            <w:hideMark/>
          </w:tcPr>
          <w:p w14:paraId="7B6634BD" w14:textId="3160DC39"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7527FB">
              <w:rPr>
                <w:rFonts w:eastAsia="Times New Roman" w:cs="Calibri"/>
                <w:color w:val="000000"/>
                <w:kern w:val="0"/>
                <w:sz w:val="20"/>
                <w:szCs w:val="20"/>
                <w:lang w:eastAsia="fr-FR"/>
                <w14:ligatures w14:val="none"/>
              </w:rPr>
              <w:t>Low</w:t>
            </w:r>
          </w:p>
        </w:tc>
      </w:tr>
      <w:tr w:rsidR="00C556B1" w:rsidRPr="00836F13" w14:paraId="7A51A7DF" w14:textId="77777777" w:rsidTr="00BA2E10">
        <w:trPr>
          <w:trHeight w:val="290"/>
        </w:trPr>
        <w:tc>
          <w:tcPr>
            <w:tcW w:w="1843" w:type="dxa"/>
            <w:tcBorders>
              <w:top w:val="nil"/>
              <w:left w:val="nil"/>
              <w:bottom w:val="nil"/>
              <w:right w:val="nil"/>
            </w:tcBorders>
            <w:noWrap/>
            <w:hideMark/>
          </w:tcPr>
          <w:p w14:paraId="40D9D89E"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lastRenderedPageBreak/>
              <w:t>Fetensa,2024</w:t>
            </w:r>
          </w:p>
        </w:tc>
        <w:tc>
          <w:tcPr>
            <w:tcW w:w="988" w:type="dxa"/>
            <w:tcBorders>
              <w:top w:val="nil"/>
              <w:left w:val="nil"/>
              <w:bottom w:val="nil"/>
              <w:right w:val="nil"/>
            </w:tcBorders>
          </w:tcPr>
          <w:p w14:paraId="6FA12AB8" w14:textId="6BA6CAE8"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fldChar w:fldCharType="begin"/>
            </w:r>
            <w:r>
              <w:rPr>
                <w:rFonts w:eastAsia="Times New Roman" w:cs="Calibri"/>
                <w:color w:val="000000"/>
                <w:kern w:val="0"/>
                <w:sz w:val="20"/>
                <w:szCs w:val="20"/>
                <w:lang w:eastAsia="fr-FR"/>
                <w14:ligatures w14:val="none"/>
              </w:rPr>
              <w:instrText xml:space="preserve"> ADDIN ZOTERO_ITEM CSL_CITATION {"citationID":"wL40tgid","properties":{"formattedCitation":"[30]","plainCitation":"[30]","noteIndex":0},"citationItems":[{"id":3501,"uris":["http://zotero.org/users/1791235/items/E5TTTAEY"],"itemData":{"id":3501,"type":"article-journal","abstract":"Background\nMonkeypox (Mpox) is vaccine preventable a viral infection declared as a public health emergency of international concern by the World Health Organization in 2022. As a response to the epidemic, vaccines against the virus are being implemented in different countries, complementing other public health interventions. However, little is known about the willingness to accept the Mpox vaccine among health professionals in Africa, notably in Ethiopia. Therefore, this study aimed to identify willingness to take the Mpox vaccine and associated factors among health professionals in Ethiopia.\nMethods\nA national online cross-sectional study design was employed between August 31, 2024, and September 6, 2024, among health professionals in Ethiopia. The data were collected from purposively selected healthcare professionals utilizing snowball sampling to achieve a high response rate using a semi-structured online survey tool. The tool was pretested, every survey item was drafted as a must-fill, and only data with correct characters were included after removing responses with miss response for the intended questionnaire. Variables with a p-value&lt;0.25 in the bivariable logistic regression analysis were taken as candidates for multivariable analysis. An adjusted odds ratios (AORs) with 95 % confidence interval (CI) were computed and p-value &lt;0.05 were used to set statistically significant variables within final model. Finally, text, tables, and figures were used to present the data.\nResults\nThe study involved 749 health professionals. Of the participants, 637 (85 %) were males, 674 (90 %) were currently employed in urban areas, and 543 (72.5 %) had received the COVID-19 vaccine. Among all participants, 423 (56.5 %) demonstrated a good knowledge of Mpox, whereas 211 (28.2 %) expressed a willingness to get vaccinated against Mpox. Besides, recent travel to countries experiencing the Mpox outbreak (AOR = 3.21, 95 %CI:1.65–6.29), positive attitude towards the Mpox vaccine uptake (AOR = 3.08, 95 %CI:2.11–4.49), lack of access to Mpox infection information (AOR = 1.93, 95 %CI:1.05–3.55), the belief that avoiding treatment of Mpox cases would prevent self-contamination (AOR = 4.05, 95 %CI: 2.83–5.80), and prior contact with individuals diagnosed with COVID-19 (AOR = 1.57 95 %CI (1.07–2.32)were factors significantly associated with willingness to get vaccinated against Mpox.\nConclusions\nDespite the ongoing outbreak within the continent, only a low proportion of surveyed health professionals expressed willingness to receive the Mpox vaccine. In addressing the outbreak, it is crucial to consider various factors such as recent travel to Mpox-affected countries, attitude towards Mpox, knowledge about the disease, and prior exposure to confirmed COVID-19 cases when developing and distributing information about Mpox vaccine. Consequently, substantial efforts must be directed towards educating and empowering health professionals in Ethiopia to effectively contribute to prevention and control measures.","container-title":"Vaccine","DOI":"10.1016/j.vaccine.2025.126822","ISSN":"0264-410X","journalAbbreviation":"Vaccine","page":"126822","source":"ScienceDirect","title":"Willingness to take Mpox vaccine and associated factors among health professionals in Ethiopia: A cross-sectional study","title-short":"Willingness to take Mpox vaccine and associated factors among health professionals in Ethiopia","volume":"49","author":[{"family":"Fetensa","given":"Getahun"},{"family":"Tolossa","given":"Tadesse"},{"family":"Besho","given":"Marga"},{"family":"Yadesa","given":"Girma"},{"family":"Gugsa","given":"Jilcha"},{"family":"Tufa","given":"Derara Girma"},{"family":"Bati","given":"Feyiso"},{"family":"Duftu","given":"Kitesa Biresa"},{"family":"Wakuma","given":"Bizuneh"}],"issued":{"date-parts":[["2025"]]}}}],"schema":"https://github.com/citation-style-language/schema/raw/master/csl-citation.json"} </w:instrText>
            </w:r>
            <w:r w:rsidRPr="00836F13">
              <w:rPr>
                <w:rFonts w:eastAsia="Times New Roman" w:cs="Calibri"/>
                <w:color w:val="000000"/>
                <w:kern w:val="0"/>
                <w:sz w:val="20"/>
                <w:szCs w:val="20"/>
                <w:lang w:eastAsia="fr-FR"/>
                <w14:ligatures w14:val="none"/>
              </w:rPr>
              <w:fldChar w:fldCharType="separate"/>
            </w:r>
            <w:r w:rsidRPr="003315A0">
              <w:rPr>
                <w:sz w:val="20"/>
              </w:rPr>
              <w:t>[30]</w:t>
            </w:r>
            <w:r w:rsidRPr="00836F13">
              <w:rPr>
                <w:rFonts w:eastAsia="Times New Roman" w:cs="Calibri"/>
                <w:color w:val="000000"/>
                <w:kern w:val="0"/>
                <w:sz w:val="20"/>
                <w:szCs w:val="20"/>
                <w:lang w:eastAsia="fr-FR"/>
                <w14:ligatures w14:val="none"/>
              </w:rPr>
              <w:fldChar w:fldCharType="end"/>
            </w:r>
          </w:p>
        </w:tc>
        <w:tc>
          <w:tcPr>
            <w:tcW w:w="714" w:type="dxa"/>
            <w:tcBorders>
              <w:top w:val="nil"/>
              <w:left w:val="nil"/>
              <w:bottom w:val="nil"/>
              <w:right w:val="nil"/>
            </w:tcBorders>
            <w:noWrap/>
            <w:hideMark/>
          </w:tcPr>
          <w:p w14:paraId="0058095B" w14:textId="7CD417C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2024</w:t>
            </w:r>
          </w:p>
        </w:tc>
        <w:tc>
          <w:tcPr>
            <w:tcW w:w="2126" w:type="dxa"/>
            <w:tcBorders>
              <w:top w:val="nil"/>
              <w:left w:val="nil"/>
              <w:bottom w:val="nil"/>
              <w:right w:val="nil"/>
            </w:tcBorders>
            <w:noWrap/>
            <w:hideMark/>
          </w:tcPr>
          <w:p w14:paraId="4C6BA75F"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Ethiopia</w:t>
            </w:r>
          </w:p>
        </w:tc>
        <w:tc>
          <w:tcPr>
            <w:tcW w:w="1270" w:type="dxa"/>
            <w:tcBorders>
              <w:top w:val="nil"/>
              <w:left w:val="nil"/>
              <w:bottom w:val="nil"/>
              <w:right w:val="nil"/>
            </w:tcBorders>
            <w:noWrap/>
            <w:hideMark/>
          </w:tcPr>
          <w:p w14:paraId="0FD2398E"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Online</w:t>
            </w:r>
          </w:p>
        </w:tc>
        <w:tc>
          <w:tcPr>
            <w:tcW w:w="2602" w:type="dxa"/>
            <w:tcBorders>
              <w:top w:val="nil"/>
              <w:left w:val="nil"/>
              <w:bottom w:val="nil"/>
              <w:right w:val="nil"/>
            </w:tcBorders>
            <w:noWrap/>
            <w:hideMark/>
          </w:tcPr>
          <w:p w14:paraId="0EF6B47C"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HCWs</w:t>
            </w:r>
          </w:p>
        </w:tc>
        <w:tc>
          <w:tcPr>
            <w:tcW w:w="1797" w:type="dxa"/>
            <w:tcBorders>
              <w:top w:val="nil"/>
              <w:left w:val="nil"/>
              <w:bottom w:val="nil"/>
              <w:right w:val="nil"/>
            </w:tcBorders>
          </w:tcPr>
          <w:p w14:paraId="4DE5FF5A" w14:textId="5337DDF1"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Probabilistic</w:t>
            </w:r>
          </w:p>
        </w:tc>
        <w:tc>
          <w:tcPr>
            <w:tcW w:w="1111" w:type="dxa"/>
            <w:tcBorders>
              <w:top w:val="nil"/>
              <w:left w:val="nil"/>
              <w:bottom w:val="nil"/>
              <w:right w:val="nil"/>
            </w:tcBorders>
          </w:tcPr>
          <w:p w14:paraId="7F3F30BF" w14:textId="4B933F96"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VA</w:t>
            </w:r>
          </w:p>
        </w:tc>
        <w:tc>
          <w:tcPr>
            <w:tcW w:w="885" w:type="dxa"/>
            <w:tcBorders>
              <w:top w:val="nil"/>
              <w:left w:val="nil"/>
              <w:bottom w:val="nil"/>
              <w:right w:val="nil"/>
            </w:tcBorders>
            <w:noWrap/>
            <w:hideMark/>
          </w:tcPr>
          <w:p w14:paraId="4BAB00FC" w14:textId="08C22D59"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7527FB">
              <w:rPr>
                <w:rFonts w:eastAsia="Times New Roman" w:cs="Calibri"/>
                <w:color w:val="000000"/>
                <w:kern w:val="0"/>
                <w:sz w:val="20"/>
                <w:szCs w:val="20"/>
                <w:lang w:eastAsia="fr-FR"/>
                <w14:ligatures w14:val="none"/>
              </w:rPr>
              <w:t>Low</w:t>
            </w:r>
          </w:p>
        </w:tc>
      </w:tr>
      <w:tr w:rsidR="00C556B1" w:rsidRPr="00836F13" w14:paraId="6844E229" w14:textId="77777777" w:rsidTr="00BA2E10">
        <w:trPr>
          <w:trHeight w:val="290"/>
        </w:trPr>
        <w:tc>
          <w:tcPr>
            <w:tcW w:w="1843" w:type="dxa"/>
            <w:tcBorders>
              <w:top w:val="nil"/>
              <w:left w:val="nil"/>
              <w:bottom w:val="nil"/>
              <w:right w:val="nil"/>
            </w:tcBorders>
            <w:noWrap/>
            <w:hideMark/>
          </w:tcPr>
          <w:p w14:paraId="29A21E88"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Kiros,2024</w:t>
            </w:r>
          </w:p>
        </w:tc>
        <w:tc>
          <w:tcPr>
            <w:tcW w:w="988" w:type="dxa"/>
            <w:tcBorders>
              <w:top w:val="nil"/>
              <w:left w:val="nil"/>
              <w:bottom w:val="nil"/>
              <w:right w:val="nil"/>
            </w:tcBorders>
          </w:tcPr>
          <w:p w14:paraId="76917A73" w14:textId="2A430FAA"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fldChar w:fldCharType="begin"/>
            </w:r>
            <w:r>
              <w:rPr>
                <w:rFonts w:eastAsia="Times New Roman" w:cs="Calibri"/>
                <w:color w:val="000000"/>
                <w:kern w:val="0"/>
                <w:sz w:val="20"/>
                <w:szCs w:val="20"/>
                <w:lang w:eastAsia="fr-FR"/>
                <w14:ligatures w14:val="none"/>
              </w:rPr>
              <w:instrText xml:space="preserve"> ADDIN ZOTERO_ITEM CSL_CITATION {"citationID":"qfuV7jZx","properties":{"formattedCitation":"[31]","plainCitation":"[31]","noteIndex":0},"citationItems":[{"id":4516,"uris":["http://zotero.org/users/1791235/items/IZRGRXTW"],"itemData":{"id":4516,"type":"article-journal","abstract":"ABSTRACT\n            \n              Background\n              Mpox is a zoonotic disease that has become a significant public health concern, especially in regions beyond its usual endemic areas in Africa. The rising global incidence and its classification as a Public Health Emergency of International Concern by the World Health Organization highlight the importance of healthcare professionals (HCPs) being knowledgeable and well</w:instrText>
            </w:r>
            <w:r>
              <w:rPr>
                <w:rFonts w:ascii="Cambria Math" w:eastAsia="Times New Roman" w:hAnsi="Cambria Math" w:cs="Cambria Math"/>
                <w:color w:val="000000"/>
                <w:kern w:val="0"/>
                <w:sz w:val="20"/>
                <w:szCs w:val="20"/>
                <w:lang w:eastAsia="fr-FR"/>
                <w14:ligatures w14:val="none"/>
              </w:rPr>
              <w:instrText>‐</w:instrText>
            </w:r>
            <w:r>
              <w:rPr>
                <w:rFonts w:eastAsia="Times New Roman" w:cs="Calibri"/>
                <w:color w:val="000000"/>
                <w:kern w:val="0"/>
                <w:sz w:val="20"/>
                <w:szCs w:val="20"/>
                <w:lang w:eastAsia="fr-FR"/>
                <w14:ligatures w14:val="none"/>
              </w:rPr>
              <w:instrText>prepared to effectively manage the virus. This study aims to assess the knowledge, attitudes, and factors associated with HCPs regarding Mpox infections at Debre Tabor Comprehensive Specialized Hospital in Northwest Ethiopia.\n            \n            \n              Methods\n              \n                Between June 13th and September 3rd, 2024, a cross</w:instrText>
            </w:r>
            <w:r>
              <w:rPr>
                <w:rFonts w:ascii="Cambria Math" w:eastAsia="Times New Roman" w:hAnsi="Cambria Math" w:cs="Cambria Math"/>
                <w:color w:val="000000"/>
                <w:kern w:val="0"/>
                <w:sz w:val="20"/>
                <w:szCs w:val="20"/>
                <w:lang w:eastAsia="fr-FR"/>
                <w14:ligatures w14:val="none"/>
              </w:rPr>
              <w:instrText>‐</w:instrText>
            </w:r>
            <w:r>
              <w:rPr>
                <w:rFonts w:eastAsia="Times New Roman" w:cs="Calibri"/>
                <w:color w:val="000000"/>
                <w:kern w:val="0"/>
                <w:sz w:val="20"/>
                <w:szCs w:val="20"/>
                <w:lang w:eastAsia="fr-FR"/>
                <w14:ligatures w14:val="none"/>
              </w:rPr>
              <w:instrText>sectional study was conducted, among 384 HCPs selected through convenience sampling. A pretested, and well</w:instrText>
            </w:r>
            <w:r>
              <w:rPr>
                <w:rFonts w:ascii="Cambria Math" w:eastAsia="Times New Roman" w:hAnsi="Cambria Math" w:cs="Cambria Math"/>
                <w:color w:val="000000"/>
                <w:kern w:val="0"/>
                <w:sz w:val="20"/>
                <w:szCs w:val="20"/>
                <w:lang w:eastAsia="fr-FR"/>
                <w14:ligatures w14:val="none"/>
              </w:rPr>
              <w:instrText>‐</w:instrText>
            </w:r>
            <w:r>
              <w:rPr>
                <w:rFonts w:eastAsia="Times New Roman" w:cs="Calibri"/>
                <w:color w:val="000000"/>
                <w:kern w:val="0"/>
                <w:sz w:val="20"/>
                <w:szCs w:val="20"/>
                <w:lang w:eastAsia="fr-FR"/>
                <w14:ligatures w14:val="none"/>
              </w:rPr>
              <w:instrText xml:space="preserve">structured, questionnaire was used to assess the sociodemographic characteristics, knowledge, and attitudes of HCPs. The collected data were analyzed using descriptive statistics and logistic regression. A\n                p\n                </w:instrText>
            </w:r>
            <w:r>
              <w:rPr>
                <w:rFonts w:ascii="Cambria Math" w:eastAsia="Times New Roman" w:hAnsi="Cambria Math" w:cs="Cambria Math"/>
                <w:color w:val="000000"/>
                <w:kern w:val="0"/>
                <w:sz w:val="20"/>
                <w:szCs w:val="20"/>
                <w:lang w:eastAsia="fr-FR"/>
                <w14:ligatures w14:val="none"/>
              </w:rPr>
              <w:instrText>‐</w:instrText>
            </w:r>
            <w:r>
              <w:rPr>
                <w:rFonts w:eastAsia="Times New Roman" w:cs="Calibri"/>
                <w:color w:val="000000"/>
                <w:kern w:val="0"/>
                <w:sz w:val="20"/>
                <w:szCs w:val="20"/>
                <w:lang w:eastAsia="fr-FR"/>
                <w14:ligatures w14:val="none"/>
              </w:rPr>
              <w:instrText xml:space="preserve">value of </w:instrText>
            </w:r>
            <w:r>
              <w:rPr>
                <w:rFonts w:eastAsia="Times New Roman" w:cs="Garamond"/>
                <w:color w:val="000000"/>
                <w:kern w:val="0"/>
                <w:sz w:val="20"/>
                <w:szCs w:val="20"/>
                <w:lang w:eastAsia="fr-FR"/>
                <w14:ligatures w14:val="none"/>
              </w:rPr>
              <w:instrText>≤</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0.05 was considered a statistically significant association.\n              \n            \n            \n              Results\n              \n                Out of the 384 participants, the majority were male (55.47%) and aged 31–39 years (33.85%). Nurses made up the largest professional group at 31.25%. Only 28.13% and 37.76% of HCPs demonstrated good knowledge and favorable attitudes toward the Mpox, respectively. Interestingly, HCPs with prior information sources about Mpox were likely to possess good knowledge (AOR</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 xml:space="preserve">1.45,\n                p\n                </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0.002).\n              \n            \n            \n              Conclusions\n              The findings emphasize important gaps in the knowledge and attitude of HCPs. It is imperative to implement targeted educational initiatives such as information dissemination, training, and continuous professional development to improve the capacity of HCPs to effectively respond to Mpox and other emerging infectious diseases.","container-title":"Health Science Reports","DOI":"10.1002/hsr2.70371","ISSN":"2398-8835, 2398-8835","issue":"1","journalAbbreviation":"Health Science Reports","language":"en","page":"e70371","source":"DOI.org (Crossref)","title":"Assessment of Knowledge, Attitude, and Associated Factors of Mpox Among Healthcare Professionals at Debre Tabor Comprehensive Specialized Hospital, Northwest Ethiopia, 2024: A Cross</w:instrText>
            </w:r>
            <w:r>
              <w:rPr>
                <w:rFonts w:ascii="Cambria Math" w:eastAsia="Times New Roman" w:hAnsi="Cambria Math" w:cs="Cambria Math"/>
                <w:color w:val="000000"/>
                <w:kern w:val="0"/>
                <w:sz w:val="20"/>
                <w:szCs w:val="20"/>
                <w:lang w:eastAsia="fr-FR"/>
                <w14:ligatures w14:val="none"/>
              </w:rPr>
              <w:instrText>‐</w:instrText>
            </w:r>
            <w:r>
              <w:rPr>
                <w:rFonts w:eastAsia="Times New Roman" w:cs="Calibri"/>
                <w:color w:val="000000"/>
                <w:kern w:val="0"/>
                <w:sz w:val="20"/>
                <w:szCs w:val="20"/>
                <w:lang w:eastAsia="fr-FR"/>
                <w14:ligatures w14:val="none"/>
              </w:rPr>
              <w:instrText xml:space="preserve">Sectional Study","title-short":"Assessment of Knowledge, Attitude, and Associated Factors of Mpox Among Healthcare Professionals at Debre Tabor Comprehensive Specialized Hospital, Northwest Ethiopia, 2024","volume":"8","author":[{"family":"Kiros","given":"Teklehaimanot"},{"family":"Erkihun","given":"Mulat"},{"family":"Wondmagegn","given":"Mitikie"},{"family":"Almaw","given":"Andargachew"},{"family":"Assefa","given":"Ayenew"},{"family":"Berhan","given":"Ayenew"},{"family":"Tegegne","given":"Dessie"},{"family":"Fentie","given":"Alemie"},{"family":"Tiruneh","given":"Tegenaw"},{"family":"Malkamu","given":"Birhanemaskal"},{"family":"Shimelis","given":"Mahider"},{"family":"Dejen","given":"Eninur"},{"family":"Getie","given":"Birhanu"},{"family":"Damtie","given":"Shewaneh"},{"family":"Solomon","given":"Yenealem"},{"family":"Sharew","given":"Bekele"}],"issued":{"date-parts":[["2025"]]}}}],"schema":"https://github.com/citation-style-language/schema/raw/master/csl-citation.json"} </w:instrText>
            </w:r>
            <w:r w:rsidRPr="00836F13">
              <w:rPr>
                <w:rFonts w:eastAsia="Times New Roman" w:cs="Calibri"/>
                <w:color w:val="000000"/>
                <w:kern w:val="0"/>
                <w:sz w:val="20"/>
                <w:szCs w:val="20"/>
                <w:lang w:eastAsia="fr-FR"/>
                <w14:ligatures w14:val="none"/>
              </w:rPr>
              <w:fldChar w:fldCharType="separate"/>
            </w:r>
            <w:r w:rsidRPr="003315A0">
              <w:rPr>
                <w:sz w:val="20"/>
              </w:rPr>
              <w:t>[31]</w:t>
            </w:r>
            <w:r w:rsidRPr="00836F13">
              <w:rPr>
                <w:rFonts w:eastAsia="Times New Roman" w:cs="Calibri"/>
                <w:color w:val="000000"/>
                <w:kern w:val="0"/>
                <w:sz w:val="20"/>
                <w:szCs w:val="20"/>
                <w:lang w:eastAsia="fr-FR"/>
                <w14:ligatures w14:val="none"/>
              </w:rPr>
              <w:fldChar w:fldCharType="end"/>
            </w:r>
          </w:p>
        </w:tc>
        <w:tc>
          <w:tcPr>
            <w:tcW w:w="714" w:type="dxa"/>
            <w:tcBorders>
              <w:top w:val="nil"/>
              <w:left w:val="nil"/>
              <w:bottom w:val="nil"/>
              <w:right w:val="nil"/>
            </w:tcBorders>
            <w:noWrap/>
            <w:hideMark/>
          </w:tcPr>
          <w:p w14:paraId="4B7A1F72" w14:textId="14F0D7BF"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2024</w:t>
            </w:r>
          </w:p>
        </w:tc>
        <w:tc>
          <w:tcPr>
            <w:tcW w:w="2126" w:type="dxa"/>
            <w:tcBorders>
              <w:top w:val="nil"/>
              <w:left w:val="nil"/>
              <w:bottom w:val="nil"/>
              <w:right w:val="nil"/>
            </w:tcBorders>
            <w:noWrap/>
            <w:hideMark/>
          </w:tcPr>
          <w:p w14:paraId="271542AA"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Ethiopia</w:t>
            </w:r>
          </w:p>
        </w:tc>
        <w:tc>
          <w:tcPr>
            <w:tcW w:w="1270" w:type="dxa"/>
            <w:tcBorders>
              <w:top w:val="nil"/>
              <w:left w:val="nil"/>
              <w:bottom w:val="nil"/>
              <w:right w:val="nil"/>
            </w:tcBorders>
            <w:noWrap/>
            <w:hideMark/>
          </w:tcPr>
          <w:p w14:paraId="454E94F7"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Hospital</w:t>
            </w:r>
          </w:p>
        </w:tc>
        <w:tc>
          <w:tcPr>
            <w:tcW w:w="2602" w:type="dxa"/>
            <w:tcBorders>
              <w:top w:val="nil"/>
              <w:left w:val="nil"/>
              <w:bottom w:val="nil"/>
              <w:right w:val="nil"/>
            </w:tcBorders>
            <w:noWrap/>
            <w:hideMark/>
          </w:tcPr>
          <w:p w14:paraId="72B59B46"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HCWs</w:t>
            </w:r>
          </w:p>
        </w:tc>
        <w:tc>
          <w:tcPr>
            <w:tcW w:w="1797" w:type="dxa"/>
            <w:tcBorders>
              <w:top w:val="nil"/>
              <w:left w:val="nil"/>
              <w:bottom w:val="nil"/>
              <w:right w:val="nil"/>
            </w:tcBorders>
          </w:tcPr>
          <w:p w14:paraId="1562C207" w14:textId="214A43B0"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Probabilistic</w:t>
            </w:r>
          </w:p>
        </w:tc>
        <w:tc>
          <w:tcPr>
            <w:tcW w:w="1111" w:type="dxa"/>
            <w:tcBorders>
              <w:top w:val="nil"/>
              <w:left w:val="nil"/>
              <w:bottom w:val="nil"/>
              <w:right w:val="nil"/>
            </w:tcBorders>
          </w:tcPr>
          <w:p w14:paraId="046D76AD" w14:textId="7865BE48"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VA and VU</w:t>
            </w:r>
          </w:p>
        </w:tc>
        <w:tc>
          <w:tcPr>
            <w:tcW w:w="885" w:type="dxa"/>
            <w:tcBorders>
              <w:top w:val="nil"/>
              <w:left w:val="nil"/>
              <w:bottom w:val="nil"/>
              <w:right w:val="nil"/>
            </w:tcBorders>
            <w:noWrap/>
            <w:hideMark/>
          </w:tcPr>
          <w:p w14:paraId="358C73D7" w14:textId="1F6073FA"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7527FB">
              <w:rPr>
                <w:rFonts w:eastAsia="Times New Roman" w:cs="Calibri"/>
                <w:color w:val="000000"/>
                <w:kern w:val="0"/>
                <w:sz w:val="20"/>
                <w:szCs w:val="20"/>
                <w:lang w:eastAsia="fr-FR"/>
                <w14:ligatures w14:val="none"/>
              </w:rPr>
              <w:t>Low</w:t>
            </w:r>
          </w:p>
        </w:tc>
      </w:tr>
      <w:tr w:rsidR="00C556B1" w:rsidRPr="00836F13" w14:paraId="4DD7592E" w14:textId="77777777" w:rsidTr="00BA2E10">
        <w:trPr>
          <w:trHeight w:val="290"/>
        </w:trPr>
        <w:tc>
          <w:tcPr>
            <w:tcW w:w="1843" w:type="dxa"/>
            <w:tcBorders>
              <w:top w:val="nil"/>
              <w:left w:val="nil"/>
              <w:bottom w:val="nil"/>
              <w:right w:val="nil"/>
            </w:tcBorders>
            <w:noWrap/>
            <w:hideMark/>
          </w:tcPr>
          <w:p w14:paraId="0C73099D"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Mutua,2024</w:t>
            </w:r>
          </w:p>
        </w:tc>
        <w:tc>
          <w:tcPr>
            <w:tcW w:w="988" w:type="dxa"/>
            <w:tcBorders>
              <w:top w:val="nil"/>
              <w:left w:val="nil"/>
              <w:bottom w:val="nil"/>
              <w:right w:val="nil"/>
            </w:tcBorders>
          </w:tcPr>
          <w:p w14:paraId="087D150D" w14:textId="3FA44058"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fldChar w:fldCharType="begin"/>
            </w:r>
            <w:r>
              <w:rPr>
                <w:rFonts w:eastAsia="Times New Roman" w:cs="Calibri"/>
                <w:color w:val="000000"/>
                <w:kern w:val="0"/>
                <w:sz w:val="20"/>
                <w:szCs w:val="20"/>
                <w:lang w:eastAsia="fr-FR"/>
                <w14:ligatures w14:val="none"/>
              </w:rPr>
              <w:instrText xml:space="preserve"> ADDIN ZOTERO_ITEM CSL_CITATION {"citationID":"PAdW62X6","properties":{"formattedCitation":"[32]","plainCitation":"[32]","noteIndex":0},"citationItems":[{"id":4517,"uris":["http://zotero.org/users/1791235/items/ETH82RJS"],"itemData":{"id":4517,"type":"article","abstract":"Abstract\n          \n            Background\n            : Sixteen African countries, including Kenya, reported mpox cases in July and August, prompting the Africa Centers for Disease Control to declare the outbreak a Public Health Emergency of Continental Security on 13\n            th\n            August 2024. The World Health Organization issued an advisory for mpox-related prevention in schools whereby teachers are expected to support mpox-infected students. There is a dearth of information of mpox knowledge and attitudes toward mpox vaccination among teachers in Kenya.\n            Method\n            : An online survey involving 1139 teachers was conducted from 21\n            st\n            August to 3\n            rd\n            October, 2024 to determine the level of mpox knowledge and attitudes toward mpox vaccine and hesitancy factors.\n            Results\n            : The teachers’ mean mpox knowledge score was 8.2 out of 12 whereas the mean mpox attitude score was 3.7 out of 6. At the time of the survey, more than 34 % of the respondents were not aware of mpox cases in the country. The hesitancy rate for vaccination was 49.78 %. More than 62 % of participants cited concerns about vaccine side effects as the main reason for hesitancy. However, participants with certificate and diploma were more likely to accept to be vaccinated against mpox. Only 1.23 % of the participants received mpox information from the Teachers Service Commission. This study identifies gaps in mpox knowledge and attitudes toward mpox vaccination. It suggests that collaboration between the Teachers Service Commission and healthcare providers can ensure effective school community-based prevention strategies by improving mpox knowledge and attitudes toward mpox vaccination among teachers in Kenya.","DOI":"10.21203/rs.3.rs-5458486/v1","license":"https://creativecommons.org/licenses/by/4.0/","publisher":"In Review","source":"DOI.org (Crossref)","title":"A cross-sectional study of Mpox Knowledge, Attitudes toward Mpox Vaccination and Mpox Vaccine Hesitancy Among Teachers in Kenya","URL":"https://www.researchsquare.com/article/rs-5458486/v1","author":[{"family":"Mutua","given":"Patrick M."},{"family":"Gicheru","given":"Micahel M."},{"family":"Mutiso","given":"Joshua"},{"family":"Serem","given":"Erick"}],"accessed":{"date-parts":[["2025",7,6]]},"issued":{"date-parts":[["2024"]]}}}],"schema":"https://github.com/citation-style-language/schema/raw/master/csl-citation.json"} </w:instrText>
            </w:r>
            <w:r w:rsidRPr="00836F13">
              <w:rPr>
                <w:rFonts w:eastAsia="Times New Roman" w:cs="Calibri"/>
                <w:color w:val="000000"/>
                <w:kern w:val="0"/>
                <w:sz w:val="20"/>
                <w:szCs w:val="20"/>
                <w:lang w:eastAsia="fr-FR"/>
                <w14:ligatures w14:val="none"/>
              </w:rPr>
              <w:fldChar w:fldCharType="separate"/>
            </w:r>
            <w:r w:rsidRPr="003315A0">
              <w:rPr>
                <w:sz w:val="20"/>
              </w:rPr>
              <w:t>[32]</w:t>
            </w:r>
            <w:r w:rsidRPr="00836F13">
              <w:rPr>
                <w:rFonts w:eastAsia="Times New Roman" w:cs="Calibri"/>
                <w:color w:val="000000"/>
                <w:kern w:val="0"/>
                <w:sz w:val="20"/>
                <w:szCs w:val="20"/>
                <w:lang w:eastAsia="fr-FR"/>
                <w14:ligatures w14:val="none"/>
              </w:rPr>
              <w:fldChar w:fldCharType="end"/>
            </w:r>
          </w:p>
        </w:tc>
        <w:tc>
          <w:tcPr>
            <w:tcW w:w="714" w:type="dxa"/>
            <w:tcBorders>
              <w:top w:val="nil"/>
              <w:left w:val="nil"/>
              <w:bottom w:val="nil"/>
              <w:right w:val="nil"/>
            </w:tcBorders>
            <w:noWrap/>
            <w:hideMark/>
          </w:tcPr>
          <w:p w14:paraId="34449072" w14:textId="581A6AB9"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2024</w:t>
            </w:r>
          </w:p>
        </w:tc>
        <w:tc>
          <w:tcPr>
            <w:tcW w:w="2126" w:type="dxa"/>
            <w:tcBorders>
              <w:top w:val="nil"/>
              <w:left w:val="nil"/>
              <w:bottom w:val="nil"/>
              <w:right w:val="nil"/>
            </w:tcBorders>
            <w:noWrap/>
            <w:hideMark/>
          </w:tcPr>
          <w:p w14:paraId="45663909"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Kenya</w:t>
            </w:r>
          </w:p>
        </w:tc>
        <w:tc>
          <w:tcPr>
            <w:tcW w:w="1270" w:type="dxa"/>
            <w:tcBorders>
              <w:top w:val="nil"/>
              <w:left w:val="nil"/>
              <w:bottom w:val="nil"/>
              <w:right w:val="nil"/>
            </w:tcBorders>
            <w:noWrap/>
            <w:hideMark/>
          </w:tcPr>
          <w:p w14:paraId="0579DEFD"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Online</w:t>
            </w:r>
          </w:p>
        </w:tc>
        <w:tc>
          <w:tcPr>
            <w:tcW w:w="2602" w:type="dxa"/>
            <w:tcBorders>
              <w:top w:val="nil"/>
              <w:left w:val="nil"/>
              <w:bottom w:val="nil"/>
              <w:right w:val="nil"/>
            </w:tcBorders>
            <w:noWrap/>
            <w:hideMark/>
          </w:tcPr>
          <w:p w14:paraId="2F6C3F31"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Teachers</w:t>
            </w:r>
          </w:p>
        </w:tc>
        <w:tc>
          <w:tcPr>
            <w:tcW w:w="1797" w:type="dxa"/>
            <w:tcBorders>
              <w:top w:val="nil"/>
              <w:left w:val="nil"/>
              <w:bottom w:val="nil"/>
              <w:right w:val="nil"/>
            </w:tcBorders>
          </w:tcPr>
          <w:p w14:paraId="6F3336BD" w14:textId="3913884F"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Non-probabilistic</w:t>
            </w:r>
          </w:p>
        </w:tc>
        <w:tc>
          <w:tcPr>
            <w:tcW w:w="1111" w:type="dxa"/>
            <w:tcBorders>
              <w:top w:val="nil"/>
              <w:left w:val="nil"/>
              <w:bottom w:val="nil"/>
              <w:right w:val="nil"/>
            </w:tcBorders>
          </w:tcPr>
          <w:p w14:paraId="09F390AE" w14:textId="0720C324"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VA</w:t>
            </w:r>
          </w:p>
        </w:tc>
        <w:tc>
          <w:tcPr>
            <w:tcW w:w="885" w:type="dxa"/>
            <w:tcBorders>
              <w:top w:val="nil"/>
              <w:left w:val="nil"/>
              <w:bottom w:val="nil"/>
              <w:right w:val="nil"/>
            </w:tcBorders>
            <w:noWrap/>
            <w:hideMark/>
          </w:tcPr>
          <w:p w14:paraId="160B62BB" w14:textId="16705CC8"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7527FB">
              <w:rPr>
                <w:rFonts w:eastAsia="Times New Roman" w:cs="Calibri"/>
                <w:color w:val="000000"/>
                <w:kern w:val="0"/>
                <w:sz w:val="20"/>
                <w:szCs w:val="20"/>
                <w:lang w:eastAsia="fr-FR"/>
                <w14:ligatures w14:val="none"/>
              </w:rPr>
              <w:t>Low</w:t>
            </w:r>
          </w:p>
        </w:tc>
      </w:tr>
      <w:tr w:rsidR="00C556B1" w:rsidRPr="00836F13" w14:paraId="5036CDEC" w14:textId="77777777" w:rsidTr="00BA2E10">
        <w:trPr>
          <w:trHeight w:val="290"/>
        </w:trPr>
        <w:tc>
          <w:tcPr>
            <w:tcW w:w="1843" w:type="dxa"/>
            <w:tcBorders>
              <w:top w:val="nil"/>
              <w:left w:val="nil"/>
              <w:bottom w:val="nil"/>
              <w:right w:val="nil"/>
            </w:tcBorders>
            <w:noWrap/>
            <w:hideMark/>
          </w:tcPr>
          <w:p w14:paraId="42E75010"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Lawrence,2024</w:t>
            </w:r>
          </w:p>
        </w:tc>
        <w:tc>
          <w:tcPr>
            <w:tcW w:w="988" w:type="dxa"/>
            <w:tcBorders>
              <w:top w:val="nil"/>
              <w:left w:val="nil"/>
              <w:bottom w:val="nil"/>
              <w:right w:val="nil"/>
            </w:tcBorders>
          </w:tcPr>
          <w:p w14:paraId="13A600D8" w14:textId="365267F5"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fldChar w:fldCharType="begin"/>
            </w:r>
            <w:r>
              <w:rPr>
                <w:rFonts w:eastAsia="Times New Roman" w:cs="Calibri"/>
                <w:color w:val="000000"/>
                <w:kern w:val="0"/>
                <w:sz w:val="20"/>
                <w:szCs w:val="20"/>
                <w:lang w:eastAsia="fr-FR"/>
                <w14:ligatures w14:val="none"/>
              </w:rPr>
              <w:instrText xml:space="preserve"> ADDIN ZOTERO_ITEM CSL_CITATION {"citationID":"eyqiePDT","properties":{"formattedCitation":"[33]","plainCitation":"[33]","noteIndex":0},"citationItems":[{"id":4519,"uris":["http://zotero.org/users/1791235/items/K3UUZSDT"],"itemData":{"id":4519,"type":"article-journal","container-title":"Cureus","DOI":"10.7759/cureus.71828","ISSN":"2168-8184","issue":"10","language":"en","page":"e71828","source":"DOI.org (Crossref)","title":"Socio-Demographic Factors Influencing Monkeypox Vaccination Intentions Among Healthcare Workers and the General Population of Makurdi, Nigeria: A Cross-Sectional Study","title-short":"Socio-Demographic Factors Influencing Monkeypox Vaccination Intentions Among Healthcare Workers and the General Population of Makurdi, Nigeria","volume":"16","author":[{"family":"Lawrence","given":"Adewale"}],"issued":{"date-parts":[["2024",10,19]]}}}],"schema":"https://github.com/citation-style-language/schema/raw/master/csl-citation.json"} </w:instrText>
            </w:r>
            <w:r w:rsidRPr="00836F13">
              <w:rPr>
                <w:rFonts w:eastAsia="Times New Roman" w:cs="Calibri"/>
                <w:color w:val="000000"/>
                <w:kern w:val="0"/>
                <w:sz w:val="20"/>
                <w:szCs w:val="20"/>
                <w:lang w:eastAsia="fr-FR"/>
                <w14:ligatures w14:val="none"/>
              </w:rPr>
              <w:fldChar w:fldCharType="separate"/>
            </w:r>
            <w:r w:rsidRPr="003315A0">
              <w:rPr>
                <w:sz w:val="20"/>
              </w:rPr>
              <w:t>[33]</w:t>
            </w:r>
            <w:r w:rsidRPr="00836F13">
              <w:rPr>
                <w:rFonts w:eastAsia="Times New Roman" w:cs="Calibri"/>
                <w:color w:val="000000"/>
                <w:kern w:val="0"/>
                <w:sz w:val="20"/>
                <w:szCs w:val="20"/>
                <w:lang w:eastAsia="fr-FR"/>
                <w14:ligatures w14:val="none"/>
              </w:rPr>
              <w:fldChar w:fldCharType="end"/>
            </w:r>
          </w:p>
        </w:tc>
        <w:tc>
          <w:tcPr>
            <w:tcW w:w="714" w:type="dxa"/>
            <w:tcBorders>
              <w:top w:val="nil"/>
              <w:left w:val="nil"/>
              <w:bottom w:val="nil"/>
              <w:right w:val="nil"/>
            </w:tcBorders>
            <w:noWrap/>
            <w:hideMark/>
          </w:tcPr>
          <w:p w14:paraId="3EF7568C" w14:textId="17B19B78"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2024</w:t>
            </w:r>
          </w:p>
        </w:tc>
        <w:tc>
          <w:tcPr>
            <w:tcW w:w="2126" w:type="dxa"/>
            <w:tcBorders>
              <w:top w:val="nil"/>
              <w:left w:val="nil"/>
              <w:bottom w:val="nil"/>
              <w:right w:val="nil"/>
            </w:tcBorders>
            <w:noWrap/>
            <w:hideMark/>
          </w:tcPr>
          <w:p w14:paraId="31BFFF71"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Nigeria</w:t>
            </w:r>
          </w:p>
        </w:tc>
        <w:tc>
          <w:tcPr>
            <w:tcW w:w="1270" w:type="dxa"/>
            <w:tcBorders>
              <w:top w:val="nil"/>
              <w:left w:val="nil"/>
              <w:bottom w:val="nil"/>
              <w:right w:val="nil"/>
            </w:tcBorders>
            <w:noWrap/>
            <w:hideMark/>
          </w:tcPr>
          <w:p w14:paraId="714E1484"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Hospital</w:t>
            </w:r>
          </w:p>
        </w:tc>
        <w:tc>
          <w:tcPr>
            <w:tcW w:w="2602" w:type="dxa"/>
            <w:tcBorders>
              <w:top w:val="nil"/>
              <w:left w:val="nil"/>
              <w:bottom w:val="nil"/>
              <w:right w:val="nil"/>
            </w:tcBorders>
            <w:noWrap/>
            <w:hideMark/>
          </w:tcPr>
          <w:p w14:paraId="5B75ECFC"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HCWs</w:t>
            </w:r>
          </w:p>
        </w:tc>
        <w:tc>
          <w:tcPr>
            <w:tcW w:w="1797" w:type="dxa"/>
            <w:tcBorders>
              <w:top w:val="nil"/>
              <w:left w:val="nil"/>
              <w:bottom w:val="nil"/>
              <w:right w:val="nil"/>
            </w:tcBorders>
          </w:tcPr>
          <w:p w14:paraId="0267ABEF" w14:textId="3D612294"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Probabilistic</w:t>
            </w:r>
          </w:p>
        </w:tc>
        <w:tc>
          <w:tcPr>
            <w:tcW w:w="1111" w:type="dxa"/>
            <w:tcBorders>
              <w:top w:val="nil"/>
              <w:left w:val="nil"/>
              <w:bottom w:val="nil"/>
              <w:right w:val="nil"/>
            </w:tcBorders>
          </w:tcPr>
          <w:p w14:paraId="49CE7F63" w14:textId="6008E12C"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VA and VU</w:t>
            </w:r>
          </w:p>
        </w:tc>
        <w:tc>
          <w:tcPr>
            <w:tcW w:w="885" w:type="dxa"/>
            <w:tcBorders>
              <w:top w:val="nil"/>
              <w:left w:val="nil"/>
              <w:bottom w:val="nil"/>
              <w:right w:val="nil"/>
            </w:tcBorders>
            <w:noWrap/>
            <w:hideMark/>
          </w:tcPr>
          <w:p w14:paraId="73EC6DA2" w14:textId="044D2CE4"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7527FB">
              <w:rPr>
                <w:rFonts w:eastAsia="Times New Roman" w:cs="Calibri"/>
                <w:color w:val="000000"/>
                <w:kern w:val="0"/>
                <w:sz w:val="20"/>
                <w:szCs w:val="20"/>
                <w:lang w:eastAsia="fr-FR"/>
                <w14:ligatures w14:val="none"/>
              </w:rPr>
              <w:t>Low</w:t>
            </w:r>
          </w:p>
        </w:tc>
      </w:tr>
      <w:tr w:rsidR="00C556B1" w:rsidRPr="00836F13" w14:paraId="3DF80087" w14:textId="77777777" w:rsidTr="00BA2E10">
        <w:trPr>
          <w:trHeight w:val="290"/>
        </w:trPr>
        <w:tc>
          <w:tcPr>
            <w:tcW w:w="1843" w:type="dxa"/>
            <w:tcBorders>
              <w:top w:val="nil"/>
              <w:left w:val="nil"/>
              <w:right w:val="nil"/>
            </w:tcBorders>
            <w:noWrap/>
            <w:hideMark/>
          </w:tcPr>
          <w:p w14:paraId="051C601F"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Kombozi,2024</w:t>
            </w:r>
          </w:p>
        </w:tc>
        <w:tc>
          <w:tcPr>
            <w:tcW w:w="988" w:type="dxa"/>
            <w:tcBorders>
              <w:top w:val="nil"/>
              <w:left w:val="nil"/>
              <w:right w:val="nil"/>
            </w:tcBorders>
          </w:tcPr>
          <w:p w14:paraId="16D13DB9" w14:textId="11DEB1FA"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fldChar w:fldCharType="begin"/>
            </w:r>
            <w:r>
              <w:rPr>
                <w:rFonts w:eastAsia="Times New Roman" w:cs="Calibri"/>
                <w:color w:val="000000"/>
                <w:kern w:val="0"/>
                <w:sz w:val="20"/>
                <w:szCs w:val="20"/>
                <w:lang w:eastAsia="fr-FR"/>
                <w14:ligatures w14:val="none"/>
              </w:rPr>
              <w:instrText xml:space="preserve"> ADDIN ZOTERO_ITEM CSL_CITATION {"citationID":"fSXfLJl1","properties":{"formattedCitation":"[34]","plainCitation":"[34]","noteIndex":0},"citationItems":[{"id":3613,"uris":["http://zotero.org/users/1791235/items/8VIEHH6P"],"itemData":{"id":3613,"type":"article-journal","abstract":"Introduction: The Mpox epidemic in non-endemic regions is now attracting global attention. The DRC alone reports nearly 85% of known human cases. In the Tshopo province, the Isangi Territory has experienced outbreaks of this disease in recent years. The objective of this study was to assess the link between the disease and various associated factors. Methods: An analytical cross-sectional study was conducted in three health zones of the Isangi territory (Yakusu, Yahisuli, and Yabaondo health zone) from January 2023 to January 2024. It included 460 subjects, and data was collected using investigation forms and guided interviews with a survey questionnaire. A bivariate analysis was conducted to determine the factors associated with Mpox infection. With a significance level of 5%, odds ratios were calculated with their corresponding confidence intervals. Results: Factors associated with Mpox infection were hunting, fishing, agriculture, Wildlife Trade, poverty, contact with an infected animal, interaction with a sick person, and sharing a bed with a sick person. Conclusion: Mpox epidemics are recurrent in Isangi due to various identified factors. Community sensitization, case investigation, and notification are essential for the prevention and control of this disease in Isangi.","container-title":"International Journal of Applied Science and Engineering Review","DOI":"10.52267/IJASER.2024.5503","ISSN":"25826271","issue":"5","journalAbbreviation":"IJASER","page":"27-43","source":"DOI.org (Crossref)","title":"MPOX: EPIDEMIOLOGICAL PROFILE AND FACTORS ASSOCIATED WITH ITS EMERGENCE IN THE ISANGI TERRITORY, DEMOCRATIC REPUBLIC OF CONGO","title-short":"MPOX","volume":"5","author":[{"family":"Dieu-Merci.","given":"Kombozi Yaya"},{"family":"Singa Valentin.","given":"Bolekaleka"},{"family":"Ley.","given":"Befeno Liande"},{"family":"Antoine.","given":"Ependja Towaka"},{"family":"Guild.","given":"Amosi Kikwata"},{"family":"Lwanga.","given":"Kakule"},{"family":"Venance.","given":"Feruzi Kikuni"},{"family":"Théopiste.","given":"Maloko Lotomba"},{"family":"Franck","given":"Mebwa Mohala"},{"family":"Longembe Eugène.","given":"Basandja"},{"family":"Tungipame Alliance.","given":"Tagoto"},{"family":"Kitronza","given":"Panda Lukongo"},{"family":"Joris.","given":"Losimba Likwela"}],"issued":{"date-parts":[["2024"]]}}}],"schema":"https://github.com/citation-style-language/schema/raw/master/csl-citation.json"} </w:instrText>
            </w:r>
            <w:r w:rsidRPr="00836F13">
              <w:rPr>
                <w:rFonts w:eastAsia="Times New Roman" w:cs="Calibri"/>
                <w:color w:val="000000"/>
                <w:kern w:val="0"/>
                <w:sz w:val="20"/>
                <w:szCs w:val="20"/>
                <w:lang w:eastAsia="fr-FR"/>
                <w14:ligatures w14:val="none"/>
              </w:rPr>
              <w:fldChar w:fldCharType="separate"/>
            </w:r>
            <w:r w:rsidRPr="003315A0">
              <w:rPr>
                <w:sz w:val="20"/>
              </w:rPr>
              <w:t>[34]</w:t>
            </w:r>
            <w:r w:rsidRPr="00836F13">
              <w:rPr>
                <w:rFonts w:eastAsia="Times New Roman" w:cs="Calibri"/>
                <w:color w:val="000000"/>
                <w:kern w:val="0"/>
                <w:sz w:val="20"/>
                <w:szCs w:val="20"/>
                <w:lang w:eastAsia="fr-FR"/>
                <w14:ligatures w14:val="none"/>
              </w:rPr>
              <w:fldChar w:fldCharType="end"/>
            </w:r>
          </w:p>
        </w:tc>
        <w:tc>
          <w:tcPr>
            <w:tcW w:w="714" w:type="dxa"/>
            <w:tcBorders>
              <w:top w:val="nil"/>
              <w:left w:val="nil"/>
              <w:right w:val="nil"/>
            </w:tcBorders>
            <w:noWrap/>
            <w:hideMark/>
          </w:tcPr>
          <w:p w14:paraId="2CA03FEF" w14:textId="2DA10F35"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2024</w:t>
            </w:r>
          </w:p>
        </w:tc>
        <w:tc>
          <w:tcPr>
            <w:tcW w:w="2126" w:type="dxa"/>
            <w:tcBorders>
              <w:top w:val="nil"/>
              <w:left w:val="nil"/>
              <w:right w:val="nil"/>
            </w:tcBorders>
            <w:noWrap/>
            <w:hideMark/>
          </w:tcPr>
          <w:p w14:paraId="1AC16FEB"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DRC</w:t>
            </w:r>
          </w:p>
        </w:tc>
        <w:tc>
          <w:tcPr>
            <w:tcW w:w="1270" w:type="dxa"/>
            <w:tcBorders>
              <w:top w:val="nil"/>
              <w:left w:val="nil"/>
              <w:right w:val="nil"/>
            </w:tcBorders>
            <w:noWrap/>
            <w:hideMark/>
          </w:tcPr>
          <w:p w14:paraId="3E0712C2"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Community</w:t>
            </w:r>
          </w:p>
        </w:tc>
        <w:tc>
          <w:tcPr>
            <w:tcW w:w="2602" w:type="dxa"/>
            <w:tcBorders>
              <w:top w:val="nil"/>
              <w:left w:val="nil"/>
              <w:right w:val="nil"/>
            </w:tcBorders>
            <w:noWrap/>
            <w:hideMark/>
          </w:tcPr>
          <w:p w14:paraId="30676F6C"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General population</w:t>
            </w:r>
          </w:p>
        </w:tc>
        <w:tc>
          <w:tcPr>
            <w:tcW w:w="1797" w:type="dxa"/>
            <w:tcBorders>
              <w:top w:val="nil"/>
              <w:left w:val="nil"/>
              <w:right w:val="nil"/>
            </w:tcBorders>
          </w:tcPr>
          <w:p w14:paraId="31422F28" w14:textId="52786679"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Probabilistic</w:t>
            </w:r>
          </w:p>
        </w:tc>
        <w:tc>
          <w:tcPr>
            <w:tcW w:w="1111" w:type="dxa"/>
            <w:tcBorders>
              <w:top w:val="nil"/>
              <w:left w:val="nil"/>
              <w:right w:val="nil"/>
            </w:tcBorders>
          </w:tcPr>
          <w:p w14:paraId="38A2F44D" w14:textId="263AF025"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VU</w:t>
            </w:r>
          </w:p>
        </w:tc>
        <w:tc>
          <w:tcPr>
            <w:tcW w:w="885" w:type="dxa"/>
            <w:tcBorders>
              <w:top w:val="nil"/>
              <w:left w:val="nil"/>
              <w:right w:val="nil"/>
            </w:tcBorders>
            <w:noWrap/>
            <w:hideMark/>
          </w:tcPr>
          <w:p w14:paraId="738B3187" w14:textId="1E3DB2FA"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7527FB">
              <w:rPr>
                <w:rFonts w:eastAsia="Times New Roman" w:cs="Calibri"/>
                <w:color w:val="000000"/>
                <w:kern w:val="0"/>
                <w:sz w:val="20"/>
                <w:szCs w:val="20"/>
                <w:lang w:eastAsia="fr-FR"/>
                <w14:ligatures w14:val="none"/>
              </w:rPr>
              <w:t>Low</w:t>
            </w:r>
          </w:p>
        </w:tc>
      </w:tr>
      <w:tr w:rsidR="00C556B1" w:rsidRPr="00836F13" w14:paraId="4ECEFEC7" w14:textId="77777777" w:rsidTr="00BA2E10">
        <w:trPr>
          <w:trHeight w:val="290"/>
        </w:trPr>
        <w:tc>
          <w:tcPr>
            <w:tcW w:w="1843" w:type="dxa"/>
            <w:tcBorders>
              <w:top w:val="nil"/>
              <w:left w:val="nil"/>
              <w:bottom w:val="single" w:sz="4" w:space="0" w:color="auto"/>
              <w:right w:val="nil"/>
            </w:tcBorders>
            <w:noWrap/>
            <w:hideMark/>
          </w:tcPr>
          <w:p w14:paraId="6E3917E0"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Vakaniaki,2024</w:t>
            </w:r>
          </w:p>
        </w:tc>
        <w:tc>
          <w:tcPr>
            <w:tcW w:w="988" w:type="dxa"/>
            <w:tcBorders>
              <w:top w:val="nil"/>
              <w:left w:val="nil"/>
              <w:bottom w:val="single" w:sz="4" w:space="0" w:color="auto"/>
              <w:right w:val="nil"/>
            </w:tcBorders>
          </w:tcPr>
          <w:p w14:paraId="5F7DF443" w14:textId="5A6C92F3"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fldChar w:fldCharType="begin"/>
            </w:r>
            <w:r>
              <w:rPr>
                <w:rFonts w:eastAsia="Times New Roman" w:cs="Calibri"/>
                <w:color w:val="000000"/>
                <w:kern w:val="0"/>
                <w:sz w:val="20"/>
                <w:szCs w:val="20"/>
                <w:lang w:eastAsia="fr-FR"/>
                <w14:ligatures w14:val="none"/>
              </w:rPr>
              <w:instrText xml:space="preserve"> ADDIN ZOTERO_ITEM CSL_CITATION {"citationID":"2gHzAoxa","properties":{"formattedCitation":"[35]","plainCitation":"[35]","noteIndex":0},"citationItems":[{"id":3614,"uris":["http://zotero.org/users/1791235/items/7JLY89V2"],"itemData":{"id":3614,"type":"article-journal","abstract":"Abstract\n            Outbreaks of monkeypox (mpox) have historically resulted from zoonotic spillover of clade I monkeypox virus (MPXV) in Central Africa and clade II MPXV in West Africa. In 2022, subclade IIb caused a global epidemic linked to transmission through sexual contact. Here we describe the epidemiological and genomic features of an mpox outbreak in a mining region in eastern Democratic Republic of the Congo, caused by clade I MPXV. Surveillance data collected between September 2023 and January 2024 identified 241 suspected cases. Genomic analysis demonstrates a distinct clade I lineage divergent from previously circulating strains in the Democratic Republic of the Congo. Of the 108 polymerase chain reaction-confirmed mpox cases, the median age of individuals was 22</w:instrText>
            </w:r>
            <w:r>
              <w:rPr>
                <w:rFonts w:ascii="Times New Roman" w:eastAsia="Times New Roman" w:hAnsi="Times New Roman" w:cs="Times New Roman"/>
                <w:color w:val="000000"/>
                <w:kern w:val="0"/>
                <w:sz w:val="20"/>
                <w:szCs w:val="20"/>
                <w:lang w:eastAsia="fr-FR"/>
                <w14:ligatures w14:val="none"/>
              </w:rPr>
              <w:instrText> </w:instrText>
            </w:r>
            <w:r>
              <w:rPr>
                <w:rFonts w:eastAsia="Times New Roman" w:cs="Calibri"/>
                <w:color w:val="000000"/>
                <w:kern w:val="0"/>
                <w:sz w:val="20"/>
                <w:szCs w:val="20"/>
                <w:lang w:eastAsia="fr-FR"/>
                <w14:ligatures w14:val="none"/>
              </w:rPr>
              <w:instrText xml:space="preserve">years, 51.9% were female and 29% were sex workers, suggesting a potential role for sexual transmission. The predominance of APOBEC3-type mutations and the estimated emergence time around mid-September 2023 imply recent sustained human-to-human transmission.","container-title":"Nature Medicine","DOI":"10.1038/s41591-024-03130-3","ISSN":"1078-8956, 1546-170X","issue":"10","journalAbbreviation":"Nat Med","language":"en","page":"2791-5","source":"DOI.org (Crossref)","title":"Sustained human outbreak of a new MPXV clade I lineage in eastern Democratic Republic of the Congo","volume":"30","author":[{"family":"Vakaniaki","given":"Emmanuel Hasivirwe"},{"family":"Kacita","given":"Cris"},{"family":"Kinganda-Lusamaki","given":"Eddy"},{"family":"O’Toole","given":"Áine"},{"family":"Wawina-Bokalanga","given":"Tony"},{"family":"Mukadi-Bamuleka","given":"Daniel"},{"family":"Amuri-Aziza","given":"Adrienne"},{"family":"Malyamungu-Bubala","given":"Nadine"},{"family":"Mweshi-Kumbana","given":"Franklin"},{"family":"Mutimbwa-Mambo","given":"Léandre"},{"family":"Belesi-Siangoli","given":"Freddy"},{"family":"Mujula","given":"Yves"},{"family":"Parker","given":"Edyth"},{"family":"Muswamba-Kayembe","given":"Pauline-Chloé"},{"family":"Nundu","given":"Sabin S."},{"family":"Lushima","given":"Robert S."},{"family":"Makangara-Cigolo","given":"Jean-Claude"},{"family":"Mulopo-Mukanya","given":"Noella"},{"family":"Pukuta-Simbu","given":"Elisabeth"},{"family":"Akil-Bandali","given":"Prince"},{"family":"Kavunga","given":"Hugo"},{"family":"Abdramane","given":"Ombotimbe"},{"family":"Brosius","given":"Isabel"},{"family":"Bangwen","given":"Eugene"},{"family":"Vercauteren","given":"Koen"},{"family":"Sam-Agudu","given":"Nadia A."},{"family":"Mills","given":"Edward J."},{"family":"Tshiani-Mbaya","given":"Olivier"},{"family":"Hoff","given":"Nicole A."},{"family":"Rimoin","given":"Anne W."},{"family":"Hensley","given":"Lisa E."},{"family":"Kindrachuk","given":"Jason"},{"family":"Baxter","given":"Cheryl"},{"family":"De Oliveira","given":"Tulio"},{"family":"Ayouba","given":"Ahidjo"},{"family":"Peeters","given":"Martine"},{"family":"Delaporte","given":"Eric"},{"family":"Ahuka-Mundeke","given":"Steve"},{"family":"Mohr","given":"Emma L."},{"family":"Sullivan","given":"Nancy J."},{"family":"Muyembe-Tamfum","given":"Jean-Jacques"},{"family":"Nachega","given":"Jean B."},{"family":"Rambaut","given":"Andrew"},{"family":"Liesenborghs","given":"Laurens"},{"family":"Mbala-Kingebeni","given":"Placide"}],"issued":{"date-parts":[["2024"]]}}}],"schema":"https://github.com/citation-style-language/schema/raw/master/csl-citation.json"} </w:instrText>
            </w:r>
            <w:r w:rsidRPr="00836F13">
              <w:rPr>
                <w:rFonts w:eastAsia="Times New Roman" w:cs="Calibri"/>
                <w:color w:val="000000"/>
                <w:kern w:val="0"/>
                <w:sz w:val="20"/>
                <w:szCs w:val="20"/>
                <w:lang w:eastAsia="fr-FR"/>
                <w14:ligatures w14:val="none"/>
              </w:rPr>
              <w:fldChar w:fldCharType="separate"/>
            </w:r>
            <w:r w:rsidRPr="003315A0">
              <w:rPr>
                <w:sz w:val="20"/>
              </w:rPr>
              <w:t>[35]</w:t>
            </w:r>
            <w:r w:rsidRPr="00836F13">
              <w:rPr>
                <w:rFonts w:eastAsia="Times New Roman" w:cs="Calibri"/>
                <w:color w:val="000000"/>
                <w:kern w:val="0"/>
                <w:sz w:val="20"/>
                <w:szCs w:val="20"/>
                <w:lang w:eastAsia="fr-FR"/>
                <w14:ligatures w14:val="none"/>
              </w:rPr>
              <w:fldChar w:fldCharType="end"/>
            </w:r>
          </w:p>
        </w:tc>
        <w:tc>
          <w:tcPr>
            <w:tcW w:w="714" w:type="dxa"/>
            <w:tcBorders>
              <w:top w:val="nil"/>
              <w:left w:val="nil"/>
              <w:bottom w:val="single" w:sz="4" w:space="0" w:color="auto"/>
              <w:right w:val="nil"/>
            </w:tcBorders>
            <w:noWrap/>
            <w:hideMark/>
          </w:tcPr>
          <w:p w14:paraId="1F55EE9A" w14:textId="74399109"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2024</w:t>
            </w:r>
          </w:p>
        </w:tc>
        <w:tc>
          <w:tcPr>
            <w:tcW w:w="2126" w:type="dxa"/>
            <w:tcBorders>
              <w:top w:val="nil"/>
              <w:left w:val="nil"/>
              <w:bottom w:val="single" w:sz="4" w:space="0" w:color="auto"/>
              <w:right w:val="nil"/>
            </w:tcBorders>
            <w:noWrap/>
            <w:hideMark/>
          </w:tcPr>
          <w:p w14:paraId="3EAF5819"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DRC</w:t>
            </w:r>
          </w:p>
        </w:tc>
        <w:tc>
          <w:tcPr>
            <w:tcW w:w="1270" w:type="dxa"/>
            <w:tcBorders>
              <w:top w:val="nil"/>
              <w:left w:val="nil"/>
              <w:bottom w:val="single" w:sz="4" w:space="0" w:color="auto"/>
              <w:right w:val="nil"/>
            </w:tcBorders>
            <w:noWrap/>
            <w:hideMark/>
          </w:tcPr>
          <w:p w14:paraId="3743C3BF"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Community</w:t>
            </w:r>
          </w:p>
        </w:tc>
        <w:tc>
          <w:tcPr>
            <w:tcW w:w="2602" w:type="dxa"/>
            <w:tcBorders>
              <w:top w:val="nil"/>
              <w:left w:val="nil"/>
              <w:bottom w:val="single" w:sz="4" w:space="0" w:color="auto"/>
              <w:right w:val="nil"/>
            </w:tcBorders>
            <w:noWrap/>
            <w:hideMark/>
          </w:tcPr>
          <w:p w14:paraId="3DB956E5" w14:textId="77777777"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General population</w:t>
            </w:r>
          </w:p>
        </w:tc>
        <w:tc>
          <w:tcPr>
            <w:tcW w:w="1797" w:type="dxa"/>
            <w:tcBorders>
              <w:top w:val="nil"/>
              <w:left w:val="nil"/>
              <w:bottom w:val="single" w:sz="4" w:space="0" w:color="auto"/>
              <w:right w:val="nil"/>
            </w:tcBorders>
          </w:tcPr>
          <w:p w14:paraId="55E181E0" w14:textId="70002092"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Non-probabilistic</w:t>
            </w:r>
          </w:p>
        </w:tc>
        <w:tc>
          <w:tcPr>
            <w:tcW w:w="1111" w:type="dxa"/>
            <w:tcBorders>
              <w:top w:val="nil"/>
              <w:left w:val="nil"/>
              <w:bottom w:val="single" w:sz="4" w:space="0" w:color="auto"/>
              <w:right w:val="nil"/>
            </w:tcBorders>
          </w:tcPr>
          <w:p w14:paraId="62D8535B" w14:textId="3E1B91AF"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20"/>
                <w:szCs w:val="20"/>
                <w:lang w:eastAsia="fr-FR"/>
                <w14:ligatures w14:val="none"/>
              </w:rPr>
              <w:t>VU</w:t>
            </w:r>
          </w:p>
        </w:tc>
        <w:tc>
          <w:tcPr>
            <w:tcW w:w="885" w:type="dxa"/>
            <w:tcBorders>
              <w:top w:val="nil"/>
              <w:left w:val="nil"/>
              <w:bottom w:val="single" w:sz="4" w:space="0" w:color="auto"/>
              <w:right w:val="nil"/>
            </w:tcBorders>
            <w:noWrap/>
            <w:hideMark/>
          </w:tcPr>
          <w:p w14:paraId="70502CAE" w14:textId="0825F0C0" w:rsidR="00C556B1" w:rsidRPr="00836F13" w:rsidRDefault="00C556B1" w:rsidP="00C556B1">
            <w:pPr>
              <w:spacing w:after="0" w:line="240" w:lineRule="auto"/>
              <w:rPr>
                <w:rFonts w:eastAsia="Times New Roman" w:cs="Calibri"/>
                <w:color w:val="000000"/>
                <w:kern w:val="0"/>
                <w:sz w:val="20"/>
                <w:szCs w:val="20"/>
                <w:lang w:eastAsia="fr-FR"/>
                <w14:ligatures w14:val="none"/>
              </w:rPr>
            </w:pPr>
            <w:r w:rsidRPr="007527FB">
              <w:rPr>
                <w:rFonts w:eastAsia="Times New Roman" w:cs="Calibri"/>
                <w:color w:val="000000"/>
                <w:kern w:val="0"/>
                <w:sz w:val="20"/>
                <w:szCs w:val="20"/>
                <w:lang w:eastAsia="fr-FR"/>
                <w14:ligatures w14:val="none"/>
              </w:rPr>
              <w:t>Low</w:t>
            </w:r>
          </w:p>
        </w:tc>
      </w:tr>
      <w:tr w:rsidR="005B1C33" w:rsidRPr="00836F13" w14:paraId="2F49EC24" w14:textId="77777777" w:rsidTr="00BA2E10">
        <w:trPr>
          <w:trHeight w:val="290"/>
        </w:trPr>
        <w:tc>
          <w:tcPr>
            <w:tcW w:w="13336" w:type="dxa"/>
            <w:gridSpan w:val="9"/>
            <w:tcBorders>
              <w:top w:val="single" w:sz="4" w:space="0" w:color="auto"/>
              <w:left w:val="nil"/>
              <w:right w:val="nil"/>
            </w:tcBorders>
            <w:noWrap/>
          </w:tcPr>
          <w:p w14:paraId="3D3B8429" w14:textId="30DF30A3" w:rsidR="005B1C33" w:rsidRPr="00836F13" w:rsidRDefault="005B1C33" w:rsidP="0002731A">
            <w:pPr>
              <w:spacing w:after="0" w:line="240" w:lineRule="auto"/>
              <w:rPr>
                <w:rFonts w:eastAsia="Times New Roman" w:cs="Calibri"/>
                <w:color w:val="000000"/>
                <w:kern w:val="0"/>
                <w:sz w:val="20"/>
                <w:szCs w:val="20"/>
                <w:lang w:eastAsia="fr-FR"/>
                <w14:ligatures w14:val="none"/>
              </w:rPr>
            </w:pPr>
            <w:r w:rsidRPr="00836F13">
              <w:rPr>
                <w:rFonts w:eastAsia="Times New Roman" w:cs="Calibri"/>
                <w:color w:val="000000"/>
                <w:kern w:val="0"/>
                <w:sz w:val="18"/>
                <w:szCs w:val="18"/>
                <w:lang w:eastAsia="fr-FR"/>
                <w14:ligatures w14:val="none"/>
              </w:rPr>
              <w:t>DRC: Democratic Republic of Congo; CS: Cross-sectional study; HCW: Healthcare worker; VU: Vaccine uptake; VA: Vaccine acceptance</w:t>
            </w:r>
          </w:p>
        </w:tc>
      </w:tr>
    </w:tbl>
    <w:p w14:paraId="4DEB5D42" w14:textId="77777777" w:rsidR="00DF0038" w:rsidRDefault="00DF0038"/>
    <w:p w14:paraId="640DBB36" w14:textId="1F4166B4" w:rsidR="00F4798F" w:rsidRPr="00F4798F" w:rsidRDefault="00F4798F" w:rsidP="00F4798F">
      <w:pPr>
        <w:pStyle w:val="Lgende"/>
        <w:rPr>
          <w:b/>
          <w:bCs/>
          <w:i w:val="0"/>
          <w:iCs w:val="0"/>
          <w:color w:val="auto"/>
          <w:sz w:val="24"/>
          <w:szCs w:val="24"/>
        </w:rPr>
      </w:pPr>
      <w:r w:rsidRPr="00F4798F">
        <w:rPr>
          <w:b/>
          <w:bCs/>
          <w:i w:val="0"/>
          <w:iCs w:val="0"/>
          <w:color w:val="auto"/>
          <w:sz w:val="24"/>
          <w:szCs w:val="24"/>
        </w:rPr>
        <w:t xml:space="preserve">Supplementary Table </w:t>
      </w:r>
      <w:r w:rsidRPr="00F4798F">
        <w:rPr>
          <w:b/>
          <w:bCs/>
          <w:i w:val="0"/>
          <w:iCs w:val="0"/>
          <w:color w:val="auto"/>
          <w:sz w:val="24"/>
          <w:szCs w:val="24"/>
        </w:rPr>
        <w:fldChar w:fldCharType="begin"/>
      </w:r>
      <w:r w:rsidRPr="00F4798F">
        <w:rPr>
          <w:b/>
          <w:bCs/>
          <w:i w:val="0"/>
          <w:iCs w:val="0"/>
          <w:color w:val="auto"/>
          <w:sz w:val="24"/>
          <w:szCs w:val="24"/>
        </w:rPr>
        <w:instrText xml:space="preserve"> SEQ Supplementary_Table \* ARABIC </w:instrText>
      </w:r>
      <w:r w:rsidRPr="00F4798F">
        <w:rPr>
          <w:b/>
          <w:bCs/>
          <w:i w:val="0"/>
          <w:iCs w:val="0"/>
          <w:color w:val="auto"/>
          <w:sz w:val="24"/>
          <w:szCs w:val="24"/>
        </w:rPr>
        <w:fldChar w:fldCharType="separate"/>
      </w:r>
      <w:r w:rsidRPr="00F4798F">
        <w:rPr>
          <w:b/>
          <w:bCs/>
          <w:i w:val="0"/>
          <w:iCs w:val="0"/>
          <w:color w:val="auto"/>
          <w:sz w:val="24"/>
          <w:szCs w:val="24"/>
        </w:rPr>
        <w:t>2</w:t>
      </w:r>
      <w:r w:rsidRPr="00F4798F">
        <w:rPr>
          <w:b/>
          <w:bCs/>
          <w:i w:val="0"/>
          <w:iCs w:val="0"/>
          <w:color w:val="auto"/>
          <w:sz w:val="24"/>
          <w:szCs w:val="24"/>
        </w:rPr>
        <w:fldChar w:fldCharType="end"/>
      </w:r>
      <w:r>
        <w:rPr>
          <w:b/>
          <w:bCs/>
          <w:i w:val="0"/>
          <w:iCs w:val="0"/>
          <w:color w:val="auto"/>
          <w:sz w:val="24"/>
          <w:szCs w:val="24"/>
        </w:rPr>
        <w:t xml:space="preserve"> </w:t>
      </w:r>
      <w:r w:rsidRPr="00F4798F">
        <w:rPr>
          <w:i w:val="0"/>
          <w:iCs w:val="0"/>
          <w:color w:val="auto"/>
          <w:sz w:val="24"/>
          <w:szCs w:val="24"/>
        </w:rPr>
        <w:t>Searching strategy</w:t>
      </w:r>
      <w:r w:rsidR="003315A0">
        <w:rPr>
          <w:i w:val="0"/>
          <w:iCs w:val="0"/>
          <w:color w:val="auto"/>
          <w:sz w:val="24"/>
          <w:szCs w:val="24"/>
        </w:rPr>
        <w:t xml:space="preserve"> and results</w:t>
      </w:r>
      <w:r w:rsidRPr="00F4798F">
        <w:rPr>
          <w:i w:val="0"/>
          <w:iCs w:val="0"/>
          <w:color w:val="auto"/>
          <w:sz w:val="24"/>
          <w:szCs w:val="24"/>
        </w:rPr>
        <w:t xml:space="preserve"> by data</w:t>
      </w:r>
      <w:r w:rsidR="003315A0">
        <w:rPr>
          <w:i w:val="0"/>
          <w:iCs w:val="0"/>
          <w:color w:val="auto"/>
          <w:sz w:val="24"/>
          <w:szCs w:val="24"/>
        </w:rPr>
        <w:t>base</w:t>
      </w:r>
    </w:p>
    <w:tbl>
      <w:tblPr>
        <w:tblStyle w:val="Grilledutableau"/>
        <w:tblW w:w="6379"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977"/>
        <w:gridCol w:w="992"/>
      </w:tblGrid>
      <w:tr w:rsidR="00E24D12" w:rsidRPr="00F4798F" w14:paraId="11AA9BC4" w14:textId="77777777" w:rsidTr="00E24D12">
        <w:trPr>
          <w:trHeight w:val="47"/>
        </w:trPr>
        <w:tc>
          <w:tcPr>
            <w:tcW w:w="2410" w:type="dxa"/>
            <w:tcBorders>
              <w:top w:val="single" w:sz="12" w:space="0" w:color="auto"/>
              <w:bottom w:val="single" w:sz="6" w:space="0" w:color="auto"/>
            </w:tcBorders>
          </w:tcPr>
          <w:p w14:paraId="13994F4A" w14:textId="4C3D5356" w:rsidR="00E24D12" w:rsidRPr="00F4798F" w:rsidRDefault="00E24D12" w:rsidP="00F4798F">
            <w:pPr>
              <w:widowControl w:val="0"/>
              <w:jc w:val="both"/>
              <w:rPr>
                <w:sz w:val="20"/>
                <w:szCs w:val="20"/>
                <w:lang w:val="en-AU"/>
              </w:rPr>
            </w:pPr>
            <w:r w:rsidRPr="00F4798F">
              <w:rPr>
                <w:sz w:val="20"/>
                <w:szCs w:val="20"/>
                <w:lang w:val="en-AU"/>
              </w:rPr>
              <w:t>Search Term</w:t>
            </w:r>
          </w:p>
        </w:tc>
        <w:tc>
          <w:tcPr>
            <w:tcW w:w="2977" w:type="dxa"/>
            <w:tcBorders>
              <w:top w:val="single" w:sz="12" w:space="0" w:color="auto"/>
              <w:bottom w:val="single" w:sz="6" w:space="0" w:color="auto"/>
            </w:tcBorders>
          </w:tcPr>
          <w:p w14:paraId="218B09F9" w14:textId="43E5CA55" w:rsidR="00E24D12" w:rsidRPr="00F4798F" w:rsidRDefault="00E24D12" w:rsidP="00F4798F">
            <w:pPr>
              <w:widowControl w:val="0"/>
              <w:jc w:val="both"/>
              <w:rPr>
                <w:sz w:val="20"/>
                <w:szCs w:val="20"/>
                <w:lang w:val="en-AU"/>
              </w:rPr>
            </w:pPr>
            <w:r w:rsidRPr="00F4798F">
              <w:rPr>
                <w:sz w:val="20"/>
                <w:szCs w:val="20"/>
                <w:lang w:val="en-AU"/>
              </w:rPr>
              <w:t>Database</w:t>
            </w:r>
          </w:p>
        </w:tc>
        <w:tc>
          <w:tcPr>
            <w:tcW w:w="992" w:type="dxa"/>
            <w:tcBorders>
              <w:top w:val="single" w:sz="12" w:space="0" w:color="auto"/>
              <w:bottom w:val="single" w:sz="6" w:space="0" w:color="auto"/>
            </w:tcBorders>
          </w:tcPr>
          <w:p w14:paraId="7F80F7AD" w14:textId="77777777" w:rsidR="00E24D12" w:rsidRPr="00F4798F" w:rsidRDefault="00E24D12" w:rsidP="00F4798F">
            <w:pPr>
              <w:widowControl w:val="0"/>
              <w:jc w:val="both"/>
              <w:rPr>
                <w:sz w:val="20"/>
                <w:szCs w:val="20"/>
                <w:lang w:val="en-AU"/>
              </w:rPr>
            </w:pPr>
            <w:r w:rsidRPr="00F4798F">
              <w:rPr>
                <w:sz w:val="20"/>
                <w:szCs w:val="20"/>
                <w:lang w:val="en-AU"/>
              </w:rPr>
              <w:t>Results</w:t>
            </w:r>
          </w:p>
        </w:tc>
      </w:tr>
      <w:tr w:rsidR="00E24D12" w:rsidRPr="00F4798F" w14:paraId="36B70FC1" w14:textId="77777777" w:rsidTr="00E24D12">
        <w:tc>
          <w:tcPr>
            <w:tcW w:w="2410" w:type="dxa"/>
            <w:vMerge w:val="restart"/>
            <w:tcBorders>
              <w:top w:val="single" w:sz="6" w:space="0" w:color="auto"/>
            </w:tcBorders>
          </w:tcPr>
          <w:p w14:paraId="592661AD" w14:textId="60852FB4" w:rsidR="00E24D12" w:rsidRPr="00F4798F" w:rsidRDefault="00E24D12" w:rsidP="006729BB">
            <w:pPr>
              <w:widowControl w:val="0"/>
              <w:jc w:val="both"/>
              <w:rPr>
                <w:sz w:val="20"/>
                <w:szCs w:val="20"/>
                <w:lang w:val="en-AU"/>
              </w:rPr>
            </w:pPr>
            <w:r w:rsidRPr="00F4798F">
              <w:rPr>
                <w:sz w:val="20"/>
                <w:szCs w:val="20"/>
                <w:lang w:val="en-AU"/>
              </w:rPr>
              <w:t>(Mpox) OR (mpox)</w:t>
            </w:r>
            <w:r w:rsidRPr="00F4798F">
              <w:rPr>
                <w:lang w:val="en-GB"/>
              </w:rPr>
              <w:t xml:space="preserve"> OR (Monkeypox) AND</w:t>
            </w:r>
            <w:r w:rsidRPr="00F4798F">
              <w:rPr>
                <w:sz w:val="20"/>
                <w:szCs w:val="20"/>
                <w:lang w:val="en-AU"/>
              </w:rPr>
              <w:t xml:space="preserve"> (vaccine) OR (vaccination) OR (acceptance) AND (</w:t>
            </w:r>
            <w:r w:rsidR="002123CE">
              <w:rPr>
                <w:sz w:val="20"/>
                <w:szCs w:val="20"/>
                <w:lang w:val="en-AU"/>
              </w:rPr>
              <w:t xml:space="preserve">African </w:t>
            </w:r>
            <w:r>
              <w:rPr>
                <w:sz w:val="20"/>
                <w:szCs w:val="20"/>
                <w:lang w:val="en-AU"/>
              </w:rPr>
              <w:t>countries)</w:t>
            </w:r>
          </w:p>
        </w:tc>
        <w:tc>
          <w:tcPr>
            <w:tcW w:w="2977" w:type="dxa"/>
            <w:tcBorders>
              <w:top w:val="single" w:sz="6" w:space="0" w:color="auto"/>
              <w:bottom w:val="dotted" w:sz="4" w:space="0" w:color="auto"/>
            </w:tcBorders>
          </w:tcPr>
          <w:p w14:paraId="1DF37B5E" w14:textId="4FA1A55F" w:rsidR="00E24D12" w:rsidRPr="00F4798F" w:rsidRDefault="00E24D12" w:rsidP="006729BB">
            <w:pPr>
              <w:widowControl w:val="0"/>
              <w:jc w:val="both"/>
              <w:rPr>
                <w:sz w:val="20"/>
                <w:szCs w:val="20"/>
                <w:lang w:val="en-AU"/>
              </w:rPr>
            </w:pPr>
            <w:r w:rsidRPr="00F4798F">
              <w:rPr>
                <w:sz w:val="20"/>
                <w:szCs w:val="20"/>
                <w:lang w:val="en-AU"/>
              </w:rPr>
              <w:t>PubMed</w:t>
            </w:r>
          </w:p>
        </w:tc>
        <w:tc>
          <w:tcPr>
            <w:tcW w:w="992" w:type="dxa"/>
            <w:tcBorders>
              <w:top w:val="single" w:sz="6" w:space="0" w:color="auto"/>
              <w:bottom w:val="dotted" w:sz="4" w:space="0" w:color="auto"/>
            </w:tcBorders>
          </w:tcPr>
          <w:p w14:paraId="3AA71400" w14:textId="702DC28C" w:rsidR="00E24D12" w:rsidRPr="00F4798F" w:rsidRDefault="00B263EC" w:rsidP="006729BB">
            <w:pPr>
              <w:widowControl w:val="0"/>
              <w:jc w:val="both"/>
              <w:rPr>
                <w:sz w:val="20"/>
                <w:szCs w:val="20"/>
              </w:rPr>
            </w:pPr>
            <w:r>
              <w:rPr>
                <w:sz w:val="20"/>
                <w:szCs w:val="20"/>
              </w:rPr>
              <w:t>2</w:t>
            </w:r>
            <w:r w:rsidR="00C556B1">
              <w:rPr>
                <w:sz w:val="20"/>
                <w:szCs w:val="20"/>
              </w:rPr>
              <w:t>,</w:t>
            </w:r>
            <w:r>
              <w:rPr>
                <w:sz w:val="20"/>
                <w:szCs w:val="20"/>
              </w:rPr>
              <w:t>2</w:t>
            </w:r>
            <w:r w:rsidR="00E24D12" w:rsidRPr="00F4798F">
              <w:rPr>
                <w:sz w:val="20"/>
                <w:szCs w:val="20"/>
              </w:rPr>
              <w:t>45</w:t>
            </w:r>
          </w:p>
        </w:tc>
      </w:tr>
      <w:tr w:rsidR="00E24D12" w:rsidRPr="003315A0" w14:paraId="691702DA" w14:textId="77777777" w:rsidTr="00E24D12">
        <w:tc>
          <w:tcPr>
            <w:tcW w:w="2410" w:type="dxa"/>
            <w:vMerge/>
          </w:tcPr>
          <w:p w14:paraId="27E42B18" w14:textId="35711D40" w:rsidR="00E24D12" w:rsidRPr="00F4798F" w:rsidRDefault="00E24D12" w:rsidP="006729BB">
            <w:pPr>
              <w:widowControl w:val="0"/>
              <w:jc w:val="both"/>
              <w:rPr>
                <w:sz w:val="20"/>
                <w:szCs w:val="20"/>
                <w:lang w:val="en-AU"/>
              </w:rPr>
            </w:pPr>
          </w:p>
        </w:tc>
        <w:tc>
          <w:tcPr>
            <w:tcW w:w="2977" w:type="dxa"/>
            <w:tcBorders>
              <w:top w:val="single" w:sz="6" w:space="0" w:color="auto"/>
              <w:bottom w:val="dotted" w:sz="4" w:space="0" w:color="auto"/>
            </w:tcBorders>
          </w:tcPr>
          <w:p w14:paraId="7B6244C1" w14:textId="07520C13" w:rsidR="00E24D12" w:rsidRPr="00F4798F" w:rsidRDefault="00E24D12" w:rsidP="006729BB">
            <w:pPr>
              <w:widowControl w:val="0"/>
              <w:jc w:val="both"/>
              <w:rPr>
                <w:sz w:val="20"/>
                <w:szCs w:val="20"/>
                <w:lang w:val="en-AU"/>
              </w:rPr>
            </w:pPr>
            <w:r w:rsidRPr="00F4798F">
              <w:rPr>
                <w:sz w:val="20"/>
                <w:szCs w:val="20"/>
                <w:lang w:val="en-AU"/>
              </w:rPr>
              <w:t>Web of Science</w:t>
            </w:r>
          </w:p>
        </w:tc>
        <w:tc>
          <w:tcPr>
            <w:tcW w:w="992" w:type="dxa"/>
            <w:tcBorders>
              <w:top w:val="single" w:sz="6" w:space="0" w:color="auto"/>
              <w:bottom w:val="dotted" w:sz="4" w:space="0" w:color="auto"/>
            </w:tcBorders>
          </w:tcPr>
          <w:p w14:paraId="373AE2AE" w14:textId="268D707F" w:rsidR="00E24D12" w:rsidRPr="00F4798F" w:rsidRDefault="00B263EC" w:rsidP="006729BB">
            <w:pPr>
              <w:widowControl w:val="0"/>
              <w:jc w:val="both"/>
              <w:rPr>
                <w:sz w:val="20"/>
                <w:szCs w:val="20"/>
                <w:lang w:val="en-AU"/>
              </w:rPr>
            </w:pPr>
            <w:r>
              <w:rPr>
                <w:sz w:val="20"/>
                <w:szCs w:val="20"/>
                <w:lang w:val="en-AU"/>
              </w:rPr>
              <w:t>1</w:t>
            </w:r>
            <w:r w:rsidR="00C556B1">
              <w:rPr>
                <w:sz w:val="20"/>
                <w:szCs w:val="20"/>
                <w:lang w:val="en-AU"/>
              </w:rPr>
              <w:t>,</w:t>
            </w:r>
            <w:r w:rsidR="00E24D12" w:rsidRPr="00F4798F">
              <w:rPr>
                <w:sz w:val="20"/>
                <w:szCs w:val="20"/>
                <w:lang w:val="en-AU"/>
              </w:rPr>
              <w:t>128</w:t>
            </w:r>
          </w:p>
        </w:tc>
      </w:tr>
      <w:tr w:rsidR="00E24D12" w:rsidRPr="00F4798F" w14:paraId="5CE82EA5" w14:textId="77777777" w:rsidTr="00E24D12">
        <w:tc>
          <w:tcPr>
            <w:tcW w:w="2410" w:type="dxa"/>
            <w:vMerge/>
          </w:tcPr>
          <w:p w14:paraId="32D556A3" w14:textId="4F7BE688" w:rsidR="00E24D12" w:rsidRPr="00F4798F" w:rsidRDefault="00E24D12" w:rsidP="006729BB">
            <w:pPr>
              <w:widowControl w:val="0"/>
              <w:jc w:val="both"/>
              <w:rPr>
                <w:sz w:val="20"/>
                <w:szCs w:val="20"/>
                <w:lang w:val="en-AU"/>
              </w:rPr>
            </w:pPr>
          </w:p>
        </w:tc>
        <w:tc>
          <w:tcPr>
            <w:tcW w:w="2977" w:type="dxa"/>
            <w:tcBorders>
              <w:top w:val="single" w:sz="6" w:space="0" w:color="auto"/>
              <w:bottom w:val="dotted" w:sz="4" w:space="0" w:color="auto"/>
            </w:tcBorders>
          </w:tcPr>
          <w:p w14:paraId="5BE7C776" w14:textId="71A5F138" w:rsidR="00E24D12" w:rsidRPr="00F4798F" w:rsidRDefault="00E24D12" w:rsidP="006729BB">
            <w:pPr>
              <w:widowControl w:val="0"/>
              <w:jc w:val="both"/>
              <w:rPr>
                <w:rFonts w:ascii="Times New Roman" w:eastAsia="Times New Roman" w:hAnsi="Times New Roman"/>
                <w:lang w:val="en-GB"/>
              </w:rPr>
            </w:pPr>
            <w:r w:rsidRPr="00F4798F">
              <w:rPr>
                <w:sz w:val="20"/>
                <w:szCs w:val="20"/>
                <w:lang w:val="en-AU"/>
              </w:rPr>
              <w:t xml:space="preserve">Scopus </w:t>
            </w:r>
          </w:p>
        </w:tc>
        <w:tc>
          <w:tcPr>
            <w:tcW w:w="992" w:type="dxa"/>
            <w:tcBorders>
              <w:top w:val="single" w:sz="6" w:space="0" w:color="auto"/>
              <w:bottom w:val="dotted" w:sz="4" w:space="0" w:color="auto"/>
            </w:tcBorders>
          </w:tcPr>
          <w:p w14:paraId="1427FB81" w14:textId="1B217774" w:rsidR="00E24D12" w:rsidRPr="00F4798F" w:rsidRDefault="002123CE" w:rsidP="006729BB">
            <w:pPr>
              <w:widowControl w:val="0"/>
              <w:jc w:val="both"/>
              <w:rPr>
                <w:sz w:val="20"/>
                <w:szCs w:val="20"/>
                <w:lang w:val="en-AU"/>
              </w:rPr>
            </w:pPr>
            <w:r>
              <w:rPr>
                <w:sz w:val="20"/>
                <w:szCs w:val="20"/>
                <w:lang w:val="en-AU"/>
              </w:rPr>
              <w:t>3</w:t>
            </w:r>
            <w:r w:rsidR="00C556B1">
              <w:rPr>
                <w:sz w:val="20"/>
                <w:szCs w:val="20"/>
                <w:lang w:val="en-AU"/>
              </w:rPr>
              <w:t>,</w:t>
            </w:r>
            <w:r w:rsidR="00E24D12" w:rsidRPr="00F4798F">
              <w:rPr>
                <w:sz w:val="20"/>
                <w:szCs w:val="20"/>
                <w:lang w:val="en-AU"/>
              </w:rPr>
              <w:t>174</w:t>
            </w:r>
          </w:p>
        </w:tc>
      </w:tr>
      <w:tr w:rsidR="00E24D12" w:rsidRPr="00F4798F" w14:paraId="25ABE6EC" w14:textId="77777777" w:rsidTr="00E24D12">
        <w:tc>
          <w:tcPr>
            <w:tcW w:w="2410" w:type="dxa"/>
            <w:vMerge/>
          </w:tcPr>
          <w:p w14:paraId="52526547" w14:textId="5F47D7C8" w:rsidR="00E24D12" w:rsidRPr="00F4798F" w:rsidRDefault="00E24D12" w:rsidP="006729BB">
            <w:pPr>
              <w:widowControl w:val="0"/>
              <w:jc w:val="both"/>
              <w:rPr>
                <w:sz w:val="20"/>
                <w:szCs w:val="20"/>
                <w:lang w:val="en-AU"/>
              </w:rPr>
            </w:pPr>
          </w:p>
        </w:tc>
        <w:tc>
          <w:tcPr>
            <w:tcW w:w="2977" w:type="dxa"/>
            <w:tcBorders>
              <w:top w:val="single" w:sz="6" w:space="0" w:color="auto"/>
              <w:bottom w:val="single" w:sz="6" w:space="0" w:color="auto"/>
            </w:tcBorders>
          </w:tcPr>
          <w:p w14:paraId="41D64491" w14:textId="0623D3A7" w:rsidR="00E24D12" w:rsidRPr="00F4798F" w:rsidRDefault="00E24D12" w:rsidP="006729BB">
            <w:pPr>
              <w:widowControl w:val="0"/>
              <w:jc w:val="both"/>
              <w:rPr>
                <w:sz w:val="20"/>
                <w:szCs w:val="20"/>
                <w:lang w:val="en-AU"/>
              </w:rPr>
            </w:pPr>
            <w:r w:rsidRPr="00F4798F">
              <w:rPr>
                <w:sz w:val="20"/>
                <w:szCs w:val="20"/>
                <w:lang w:val="en-AU"/>
              </w:rPr>
              <w:t>CINAHL</w:t>
            </w:r>
          </w:p>
        </w:tc>
        <w:tc>
          <w:tcPr>
            <w:tcW w:w="992" w:type="dxa"/>
            <w:tcBorders>
              <w:top w:val="single" w:sz="6" w:space="0" w:color="auto"/>
              <w:bottom w:val="single" w:sz="6" w:space="0" w:color="auto"/>
            </w:tcBorders>
          </w:tcPr>
          <w:p w14:paraId="4412F0C7" w14:textId="6DF06345" w:rsidR="00E24D12" w:rsidRPr="00F4798F" w:rsidRDefault="002123CE" w:rsidP="006729BB">
            <w:pPr>
              <w:widowControl w:val="0"/>
              <w:jc w:val="both"/>
              <w:rPr>
                <w:sz w:val="20"/>
                <w:szCs w:val="20"/>
                <w:lang w:val="en-AU"/>
              </w:rPr>
            </w:pPr>
            <w:r>
              <w:rPr>
                <w:sz w:val="20"/>
                <w:szCs w:val="20"/>
                <w:lang w:val="en-AU"/>
              </w:rPr>
              <w:t>5</w:t>
            </w:r>
            <w:r w:rsidR="00C556B1">
              <w:rPr>
                <w:sz w:val="20"/>
                <w:szCs w:val="20"/>
                <w:lang w:val="en-AU"/>
              </w:rPr>
              <w:t>,</w:t>
            </w:r>
            <w:r w:rsidR="00E24D12" w:rsidRPr="00F4798F">
              <w:rPr>
                <w:sz w:val="20"/>
                <w:szCs w:val="20"/>
                <w:lang w:val="en-AU"/>
              </w:rPr>
              <w:t>17</w:t>
            </w:r>
          </w:p>
        </w:tc>
      </w:tr>
      <w:tr w:rsidR="00E24D12" w:rsidRPr="00F4798F" w14:paraId="06EDD998" w14:textId="77777777" w:rsidTr="00E24D12">
        <w:tc>
          <w:tcPr>
            <w:tcW w:w="2410" w:type="dxa"/>
            <w:vMerge/>
          </w:tcPr>
          <w:p w14:paraId="4EC6C366" w14:textId="622DEE78" w:rsidR="00E24D12" w:rsidRPr="00F4798F" w:rsidRDefault="00E24D12" w:rsidP="006729BB">
            <w:pPr>
              <w:widowControl w:val="0"/>
              <w:jc w:val="both"/>
              <w:rPr>
                <w:sz w:val="20"/>
                <w:szCs w:val="20"/>
                <w:lang w:val="en-AU"/>
              </w:rPr>
            </w:pPr>
          </w:p>
        </w:tc>
        <w:tc>
          <w:tcPr>
            <w:tcW w:w="2977" w:type="dxa"/>
            <w:tcBorders>
              <w:top w:val="single" w:sz="6" w:space="0" w:color="auto"/>
              <w:bottom w:val="single" w:sz="4" w:space="0" w:color="auto"/>
            </w:tcBorders>
          </w:tcPr>
          <w:p w14:paraId="35966772" w14:textId="277B6D22" w:rsidR="00E24D12" w:rsidRPr="00F4798F" w:rsidRDefault="00E24D12" w:rsidP="006729BB">
            <w:pPr>
              <w:widowControl w:val="0"/>
              <w:jc w:val="both"/>
              <w:rPr>
                <w:sz w:val="20"/>
                <w:szCs w:val="20"/>
                <w:lang w:val="en-AU"/>
              </w:rPr>
            </w:pPr>
            <w:r w:rsidRPr="00F4798F">
              <w:rPr>
                <w:sz w:val="20"/>
                <w:szCs w:val="20"/>
                <w:lang w:val="en-AU"/>
              </w:rPr>
              <w:t>Embase</w:t>
            </w:r>
          </w:p>
        </w:tc>
        <w:tc>
          <w:tcPr>
            <w:tcW w:w="992" w:type="dxa"/>
            <w:tcBorders>
              <w:top w:val="single" w:sz="6" w:space="0" w:color="auto"/>
              <w:bottom w:val="single" w:sz="4" w:space="0" w:color="auto"/>
            </w:tcBorders>
          </w:tcPr>
          <w:p w14:paraId="39763577" w14:textId="3A1D4EDE" w:rsidR="00E24D12" w:rsidRPr="00F4798F" w:rsidRDefault="002123CE" w:rsidP="006729BB">
            <w:pPr>
              <w:widowControl w:val="0"/>
              <w:jc w:val="both"/>
              <w:rPr>
                <w:sz w:val="20"/>
                <w:szCs w:val="20"/>
                <w:lang w:val="en-AU"/>
              </w:rPr>
            </w:pPr>
            <w:r>
              <w:rPr>
                <w:sz w:val="20"/>
                <w:szCs w:val="20"/>
                <w:lang w:val="en-AU"/>
              </w:rPr>
              <w:t>1</w:t>
            </w:r>
            <w:r w:rsidR="00C556B1">
              <w:rPr>
                <w:sz w:val="20"/>
                <w:szCs w:val="20"/>
                <w:lang w:val="en-AU"/>
              </w:rPr>
              <w:t>,</w:t>
            </w:r>
            <w:r w:rsidR="00E24D12" w:rsidRPr="00F4798F">
              <w:rPr>
                <w:sz w:val="20"/>
                <w:szCs w:val="20"/>
                <w:lang w:val="en-AU"/>
              </w:rPr>
              <w:t>224</w:t>
            </w:r>
          </w:p>
        </w:tc>
      </w:tr>
      <w:tr w:rsidR="00E24D12" w:rsidRPr="00F4798F" w14:paraId="589C6FA0" w14:textId="77777777" w:rsidTr="00E24D12">
        <w:tc>
          <w:tcPr>
            <w:tcW w:w="2410" w:type="dxa"/>
            <w:vMerge/>
          </w:tcPr>
          <w:p w14:paraId="6DC15B02" w14:textId="17225121" w:rsidR="00E24D12" w:rsidRPr="00F4798F" w:rsidRDefault="00E24D12" w:rsidP="006729BB">
            <w:pPr>
              <w:widowControl w:val="0"/>
              <w:jc w:val="both"/>
              <w:rPr>
                <w:sz w:val="20"/>
                <w:szCs w:val="20"/>
                <w:lang w:val="en-AU"/>
              </w:rPr>
            </w:pPr>
          </w:p>
        </w:tc>
        <w:tc>
          <w:tcPr>
            <w:tcW w:w="2977" w:type="dxa"/>
            <w:tcBorders>
              <w:top w:val="single" w:sz="4" w:space="0" w:color="auto"/>
              <w:bottom w:val="single" w:sz="4" w:space="0" w:color="auto"/>
            </w:tcBorders>
          </w:tcPr>
          <w:p w14:paraId="5B8CAD0D" w14:textId="4516856C" w:rsidR="00E24D12" w:rsidRPr="00F4798F" w:rsidRDefault="00E24D12" w:rsidP="006729BB">
            <w:pPr>
              <w:widowControl w:val="0"/>
              <w:jc w:val="both"/>
              <w:rPr>
                <w:sz w:val="20"/>
                <w:szCs w:val="20"/>
                <w:lang w:val="en-AU"/>
              </w:rPr>
            </w:pPr>
            <w:r w:rsidRPr="00F4798F">
              <w:rPr>
                <w:sz w:val="20"/>
                <w:szCs w:val="20"/>
                <w:lang w:val="en-AU"/>
              </w:rPr>
              <w:t>ScienceDirect</w:t>
            </w:r>
          </w:p>
        </w:tc>
        <w:tc>
          <w:tcPr>
            <w:tcW w:w="992" w:type="dxa"/>
            <w:tcBorders>
              <w:top w:val="single" w:sz="4" w:space="0" w:color="auto"/>
              <w:bottom w:val="single" w:sz="4" w:space="0" w:color="auto"/>
            </w:tcBorders>
          </w:tcPr>
          <w:p w14:paraId="7AF30890" w14:textId="20CE11B6" w:rsidR="00E24D12" w:rsidRPr="00F4798F" w:rsidRDefault="00E24D12" w:rsidP="00E24D12">
            <w:pPr>
              <w:widowControl w:val="0"/>
              <w:jc w:val="both"/>
              <w:rPr>
                <w:sz w:val="20"/>
                <w:szCs w:val="20"/>
              </w:rPr>
            </w:pPr>
            <w:r w:rsidRPr="00F4798F">
              <w:rPr>
                <w:sz w:val="20"/>
                <w:szCs w:val="20"/>
              </w:rPr>
              <w:t>1,</w:t>
            </w:r>
            <w:r w:rsidR="002123CE">
              <w:rPr>
                <w:sz w:val="20"/>
                <w:szCs w:val="20"/>
              </w:rPr>
              <w:t>207</w:t>
            </w:r>
          </w:p>
        </w:tc>
      </w:tr>
      <w:tr w:rsidR="00E24D12" w:rsidRPr="00F4798F" w14:paraId="2FEAAF33" w14:textId="77777777" w:rsidTr="00E24D12">
        <w:tc>
          <w:tcPr>
            <w:tcW w:w="2410" w:type="dxa"/>
            <w:vMerge/>
          </w:tcPr>
          <w:p w14:paraId="04733BF3" w14:textId="1A8F292B" w:rsidR="00E24D12" w:rsidRPr="00F4798F" w:rsidRDefault="00E24D12" w:rsidP="006729BB">
            <w:pPr>
              <w:widowControl w:val="0"/>
              <w:jc w:val="both"/>
              <w:rPr>
                <w:sz w:val="20"/>
                <w:szCs w:val="20"/>
                <w:lang w:val="en-AU"/>
              </w:rPr>
            </w:pPr>
          </w:p>
        </w:tc>
        <w:tc>
          <w:tcPr>
            <w:tcW w:w="2977" w:type="dxa"/>
            <w:tcBorders>
              <w:top w:val="single" w:sz="4" w:space="0" w:color="auto"/>
            </w:tcBorders>
          </w:tcPr>
          <w:p w14:paraId="765B446A" w14:textId="0C09526F" w:rsidR="00E24D12" w:rsidRPr="00F4798F" w:rsidRDefault="00E24D12" w:rsidP="006729BB">
            <w:pPr>
              <w:widowControl w:val="0"/>
              <w:jc w:val="both"/>
              <w:rPr>
                <w:sz w:val="20"/>
                <w:szCs w:val="20"/>
                <w:lang w:val="en-AU"/>
              </w:rPr>
            </w:pPr>
            <w:r w:rsidRPr="00F4798F">
              <w:rPr>
                <w:sz w:val="20"/>
                <w:szCs w:val="20"/>
                <w:lang w:val="en-GB"/>
              </w:rPr>
              <w:t>African Journals Online</w:t>
            </w:r>
            <w:r w:rsidRPr="00F4798F">
              <w:rPr>
                <w:b/>
                <w:bCs/>
                <w:sz w:val="20"/>
                <w:szCs w:val="20"/>
                <w:lang w:val="en-GB"/>
              </w:rPr>
              <w:t xml:space="preserve"> </w:t>
            </w:r>
            <w:r w:rsidRPr="00F4798F">
              <w:rPr>
                <w:sz w:val="20"/>
                <w:szCs w:val="20"/>
                <w:lang w:val="en-AU"/>
              </w:rPr>
              <w:t>(AJOL)</w:t>
            </w:r>
          </w:p>
        </w:tc>
        <w:tc>
          <w:tcPr>
            <w:tcW w:w="992" w:type="dxa"/>
            <w:tcBorders>
              <w:top w:val="single" w:sz="4" w:space="0" w:color="auto"/>
            </w:tcBorders>
          </w:tcPr>
          <w:p w14:paraId="5A4F5131" w14:textId="269D7031" w:rsidR="00E24D12" w:rsidRPr="00F4798F" w:rsidRDefault="00E24D12" w:rsidP="006729BB">
            <w:pPr>
              <w:widowControl w:val="0"/>
              <w:jc w:val="both"/>
              <w:rPr>
                <w:sz w:val="20"/>
                <w:szCs w:val="20"/>
              </w:rPr>
            </w:pPr>
            <w:r>
              <w:rPr>
                <w:sz w:val="20"/>
                <w:szCs w:val="20"/>
              </w:rPr>
              <w:t>108</w:t>
            </w:r>
          </w:p>
        </w:tc>
      </w:tr>
    </w:tbl>
    <w:p w14:paraId="52498CB7" w14:textId="77777777" w:rsidR="00616857" w:rsidRPr="00836F13" w:rsidRDefault="00616857" w:rsidP="00616857"/>
    <w:p w14:paraId="51F6D5E8" w14:textId="6F39285E" w:rsidR="00616857" w:rsidRPr="00836F13" w:rsidRDefault="00616857" w:rsidP="00616857">
      <w:pPr>
        <w:rPr>
          <w:rFonts w:ascii="Gill Sans MT" w:hAnsi="Gill Sans MT"/>
          <w:b/>
          <w:bCs/>
          <w:sz w:val="24"/>
          <w:szCs w:val="24"/>
        </w:rPr>
      </w:pPr>
      <w:r w:rsidRPr="00836F13">
        <w:rPr>
          <w:rFonts w:ascii="Gill Sans MT" w:hAnsi="Gill Sans MT"/>
          <w:b/>
          <w:bCs/>
          <w:sz w:val="24"/>
          <w:szCs w:val="24"/>
        </w:rPr>
        <w:t>Reference</w:t>
      </w:r>
    </w:p>
    <w:p w14:paraId="256A3D8B" w14:textId="77777777" w:rsidR="003315A0" w:rsidRPr="003315A0" w:rsidRDefault="00616857" w:rsidP="003315A0">
      <w:pPr>
        <w:pStyle w:val="Bibliographie"/>
      </w:pPr>
      <w:r w:rsidRPr="00836F13">
        <w:fldChar w:fldCharType="begin"/>
      </w:r>
      <w:r w:rsidR="003315A0">
        <w:instrText xml:space="preserve"> ADDIN ZOTERO_BIBL {"uncited":[],"omitted":[],"custom":[]} CSL_BIBLIOGRAPHY </w:instrText>
      </w:r>
      <w:r w:rsidRPr="00836F13">
        <w:fldChar w:fldCharType="separate"/>
      </w:r>
      <w:r w:rsidR="003315A0" w:rsidRPr="003315A0">
        <w:t xml:space="preserve">1. </w:t>
      </w:r>
      <w:r w:rsidR="003315A0" w:rsidRPr="003315A0">
        <w:tab/>
        <w:t xml:space="preserve">Ladnyj ID, Ziegler P, Kima E. A human infection caused by monkeypox virus in Basankusu Territory, Democratic Republic of the Congo. </w:t>
      </w:r>
      <w:r w:rsidR="003315A0" w:rsidRPr="0085580D">
        <w:rPr>
          <w:i/>
          <w:iCs/>
        </w:rPr>
        <w:t>Bull World Health Organ</w:t>
      </w:r>
      <w:r w:rsidR="003315A0" w:rsidRPr="003315A0">
        <w:t xml:space="preserve">. 1972;46(5):593–7. </w:t>
      </w:r>
    </w:p>
    <w:p w14:paraId="77C7BD42" w14:textId="77777777" w:rsidR="003315A0" w:rsidRPr="003315A0" w:rsidRDefault="003315A0" w:rsidP="003315A0">
      <w:pPr>
        <w:pStyle w:val="Bibliographie"/>
      </w:pPr>
      <w:r w:rsidRPr="003315A0">
        <w:t xml:space="preserve">2. </w:t>
      </w:r>
      <w:r w:rsidRPr="003315A0">
        <w:tab/>
        <w:t xml:space="preserve">Henderson RH, Davis H, Eddins DL, Foege WH. Assessment of vaccination coverage, vaccination scar rates, and smallpox scarring in five areas of West Africa. </w:t>
      </w:r>
      <w:r w:rsidRPr="0085580D">
        <w:rPr>
          <w:i/>
          <w:iCs/>
        </w:rPr>
        <w:t>Bull World Health Organ</w:t>
      </w:r>
      <w:r w:rsidRPr="003315A0">
        <w:t xml:space="preserve">. 1973;48(2):183. </w:t>
      </w:r>
    </w:p>
    <w:p w14:paraId="44B47CEB" w14:textId="77777777" w:rsidR="003315A0" w:rsidRPr="003315A0" w:rsidRDefault="003315A0" w:rsidP="003315A0">
      <w:pPr>
        <w:pStyle w:val="Bibliographie"/>
      </w:pPr>
      <w:r w:rsidRPr="003315A0">
        <w:t xml:space="preserve">3. </w:t>
      </w:r>
      <w:r w:rsidRPr="003315A0">
        <w:tab/>
        <w:t xml:space="preserve">Breman JG, Kalisa-Ruti, Steniowski MV, Zanotto E, Gromyko AI, Arita I. Human monkeypox, 1970-79. </w:t>
      </w:r>
      <w:r w:rsidRPr="0085580D">
        <w:rPr>
          <w:i/>
          <w:iCs/>
        </w:rPr>
        <w:t xml:space="preserve">Bull World Health Organ. </w:t>
      </w:r>
      <w:r w:rsidRPr="003315A0">
        <w:t xml:space="preserve">1980;58(2):165–82. </w:t>
      </w:r>
    </w:p>
    <w:p w14:paraId="5B292B98" w14:textId="0B68DB3A" w:rsidR="003315A0" w:rsidRPr="003315A0" w:rsidRDefault="003315A0" w:rsidP="003315A0">
      <w:pPr>
        <w:pStyle w:val="Bibliographie"/>
      </w:pPr>
      <w:r w:rsidRPr="003315A0">
        <w:t xml:space="preserve">4. </w:t>
      </w:r>
      <w:r w:rsidRPr="003315A0">
        <w:tab/>
        <w:t>Mutombo M, Jezek Z, Arita I, Jezek Z. H</w:t>
      </w:r>
      <w:r w:rsidR="00AD7969" w:rsidRPr="003315A0">
        <w:t>uman monkeypox transmitted by a chimpanzee in a tropical rain-forest area of</w:t>
      </w:r>
      <w:r w:rsidRPr="003315A0">
        <w:t xml:space="preserve"> Z</w:t>
      </w:r>
      <w:r w:rsidR="00AD7969" w:rsidRPr="003315A0">
        <w:t>aire</w:t>
      </w:r>
      <w:r w:rsidRPr="003315A0">
        <w:t xml:space="preserve">. </w:t>
      </w:r>
      <w:r w:rsidRPr="0085580D">
        <w:rPr>
          <w:i/>
          <w:iCs/>
        </w:rPr>
        <w:t xml:space="preserve">Lancet Lond Engl. </w:t>
      </w:r>
      <w:r w:rsidRPr="003315A0">
        <w:t xml:space="preserve">1983;321(8327):735–7. </w:t>
      </w:r>
    </w:p>
    <w:p w14:paraId="557A5975" w14:textId="77777777" w:rsidR="003315A0" w:rsidRPr="003315A0" w:rsidRDefault="003315A0" w:rsidP="003315A0">
      <w:pPr>
        <w:pStyle w:val="Bibliographie"/>
      </w:pPr>
      <w:r w:rsidRPr="003315A0">
        <w:t xml:space="preserve">5. </w:t>
      </w:r>
      <w:r w:rsidRPr="003315A0">
        <w:tab/>
        <w:t xml:space="preserve">Arita I, Jezek Z, Khodakevich L, Ruti K. Human monkeypox: a newly emerged orthopoxvirus zoonosis in the tropical rain forests of Africa. Am J Trop Med Hyg. 1985;34(4):781–9. </w:t>
      </w:r>
    </w:p>
    <w:p w14:paraId="51C6C547" w14:textId="77777777" w:rsidR="003315A0" w:rsidRPr="003315A0" w:rsidRDefault="003315A0" w:rsidP="003315A0">
      <w:pPr>
        <w:pStyle w:val="Bibliographie"/>
      </w:pPr>
      <w:r w:rsidRPr="003315A0">
        <w:lastRenderedPageBreak/>
        <w:t xml:space="preserve">6. </w:t>
      </w:r>
      <w:r w:rsidRPr="003315A0">
        <w:tab/>
        <w:t xml:space="preserve">Jezek Z, Szczeniowski M, Paluku KM, Mutombo M. Human Monkeypox: Clinical Features of 282 Patients. </w:t>
      </w:r>
      <w:r w:rsidRPr="0085580D">
        <w:rPr>
          <w:i/>
          <w:iCs/>
        </w:rPr>
        <w:t>J Infect Dis.</w:t>
      </w:r>
      <w:r w:rsidRPr="003315A0">
        <w:t xml:space="preserve"> 1987;156(2):293–8. </w:t>
      </w:r>
    </w:p>
    <w:p w14:paraId="518B2496" w14:textId="77777777" w:rsidR="003315A0" w:rsidRPr="003315A0" w:rsidRDefault="003315A0" w:rsidP="003315A0">
      <w:pPr>
        <w:pStyle w:val="Bibliographie"/>
      </w:pPr>
      <w:r w:rsidRPr="003315A0">
        <w:t xml:space="preserve">7. </w:t>
      </w:r>
      <w:r w:rsidRPr="003315A0">
        <w:tab/>
        <w:t xml:space="preserve">Jezek Z, Marennikova SS, Mutumbo M, Nakano JH, Paluku KM, Szczeniowski M. Human Monkeypox: A Study of 2,510 Contacts of 214 Patients. </w:t>
      </w:r>
      <w:r w:rsidRPr="0085580D">
        <w:rPr>
          <w:i/>
          <w:iCs/>
        </w:rPr>
        <w:t xml:space="preserve">J Infect Dis. </w:t>
      </w:r>
      <w:r w:rsidRPr="003315A0">
        <w:t xml:space="preserve">1986;154(4):551–5. </w:t>
      </w:r>
    </w:p>
    <w:p w14:paraId="620768A1" w14:textId="77777777" w:rsidR="003315A0" w:rsidRPr="003315A0" w:rsidRDefault="003315A0" w:rsidP="003315A0">
      <w:pPr>
        <w:pStyle w:val="Bibliographie"/>
      </w:pPr>
      <w:r w:rsidRPr="003315A0">
        <w:t xml:space="preserve">8. </w:t>
      </w:r>
      <w:r w:rsidRPr="003315A0">
        <w:tab/>
        <w:t xml:space="preserve">Mwanba PT, Tshioko KF, Moudi A, Mukinda V, Mwema GN, Messinger D, et al. Human monkeypox in Kasaï Oriental, Zaire (1996-1997). </w:t>
      </w:r>
      <w:r w:rsidRPr="0085580D">
        <w:rPr>
          <w:i/>
          <w:iCs/>
        </w:rPr>
        <w:t>Eurosurveillance</w:t>
      </w:r>
      <w:r w:rsidRPr="003315A0">
        <w:t xml:space="preserve">. 1997;2(5):33–5. </w:t>
      </w:r>
    </w:p>
    <w:p w14:paraId="5145D608" w14:textId="77777777" w:rsidR="003315A0" w:rsidRPr="003315A0" w:rsidRDefault="003315A0" w:rsidP="003315A0">
      <w:pPr>
        <w:pStyle w:val="Bibliographie"/>
      </w:pPr>
      <w:r w:rsidRPr="003315A0">
        <w:t xml:space="preserve">9. </w:t>
      </w:r>
      <w:r w:rsidRPr="003315A0">
        <w:tab/>
        <w:t xml:space="preserve">Hutin YJF, Williams RJ, Malfait P, Pebody R, Loparev VN, Ropp SL, et al. Outbreak of Human Monkeypox, Democratic Republic of Congo, 1996 to 1997. </w:t>
      </w:r>
      <w:r w:rsidRPr="0085580D">
        <w:rPr>
          <w:i/>
          <w:iCs/>
        </w:rPr>
        <w:t>Emerg Infect Dis</w:t>
      </w:r>
      <w:r w:rsidRPr="003315A0">
        <w:t xml:space="preserve">. 2001;7(3):434–8. </w:t>
      </w:r>
    </w:p>
    <w:p w14:paraId="7F30E02C" w14:textId="77777777" w:rsidR="003315A0" w:rsidRPr="003315A0" w:rsidRDefault="003315A0" w:rsidP="003315A0">
      <w:pPr>
        <w:pStyle w:val="Bibliographie"/>
      </w:pPr>
      <w:r w:rsidRPr="003315A0">
        <w:t xml:space="preserve">10. </w:t>
      </w:r>
      <w:r w:rsidRPr="003315A0">
        <w:tab/>
        <w:t xml:space="preserve">Aplogan A, Mangindula V, Muamba P, Mwema G, Okito L, Pebody R, et al. Human monkeypox -- Kasai Oriental, Democratic Republic of Congo, February 1996-October 1997. </w:t>
      </w:r>
      <w:r w:rsidRPr="0085580D">
        <w:rPr>
          <w:i/>
          <w:iCs/>
        </w:rPr>
        <w:t>MMWR Morb Mortal Wkly Rep.</w:t>
      </w:r>
      <w:r w:rsidRPr="003315A0">
        <w:t xml:space="preserve"> 1997;46(49):1168–71. </w:t>
      </w:r>
    </w:p>
    <w:p w14:paraId="1114EE13" w14:textId="77777777" w:rsidR="003315A0" w:rsidRPr="003315A0" w:rsidRDefault="003315A0" w:rsidP="003315A0">
      <w:pPr>
        <w:pStyle w:val="Bibliographie"/>
      </w:pPr>
      <w:r w:rsidRPr="003315A0">
        <w:t xml:space="preserve">11. </w:t>
      </w:r>
      <w:r w:rsidRPr="003315A0">
        <w:tab/>
        <w:t>Rimoin AW, Mulembakani PM, Johnston SC, Lloyd Smith JO, Kisalu NK, Kinkela TL, et al. Major increase in human monkeypox incidence 30 years after smallpox vaccination campaigns cease in the Democratic Republic of Congo.</w:t>
      </w:r>
      <w:r w:rsidRPr="0085580D">
        <w:rPr>
          <w:i/>
          <w:iCs/>
        </w:rPr>
        <w:t xml:space="preserve"> Proc Natl Acad Sci</w:t>
      </w:r>
      <w:r w:rsidRPr="003315A0">
        <w:t xml:space="preserve">. 2010;107(37):16262–7. </w:t>
      </w:r>
    </w:p>
    <w:p w14:paraId="6AFE0C91" w14:textId="77777777" w:rsidR="003315A0" w:rsidRPr="003315A0" w:rsidRDefault="003315A0" w:rsidP="003315A0">
      <w:pPr>
        <w:pStyle w:val="Bibliographie"/>
      </w:pPr>
      <w:r w:rsidRPr="003315A0">
        <w:t xml:space="preserve">12. </w:t>
      </w:r>
      <w:r w:rsidRPr="003315A0">
        <w:tab/>
        <w:t xml:space="preserve">Nolen LD, Osadebe L, Katomba J, Likofata J, Mukadi D, Monroe B, et al. Extended Human-to-Human Transmission during a Monkeypox Outbreak in the Democratic Republic of the Congo. </w:t>
      </w:r>
      <w:r w:rsidRPr="0085580D">
        <w:rPr>
          <w:i/>
          <w:iCs/>
        </w:rPr>
        <w:t>Emerg Infect Dis</w:t>
      </w:r>
      <w:r w:rsidRPr="003315A0">
        <w:t xml:space="preserve">. 2016;22(6):1014–21. </w:t>
      </w:r>
    </w:p>
    <w:p w14:paraId="2F350353" w14:textId="69A7EDD1" w:rsidR="003315A0" w:rsidRPr="003315A0" w:rsidRDefault="003315A0" w:rsidP="003315A0">
      <w:pPr>
        <w:pStyle w:val="Bibliographie"/>
      </w:pPr>
      <w:r w:rsidRPr="003315A0">
        <w:t xml:space="preserve">13. </w:t>
      </w:r>
      <w:r w:rsidRPr="003315A0">
        <w:tab/>
        <w:t xml:space="preserve">Petersen BW, Kabamba J, McCollum AM, Lushima RS, Wemakoy EO, Muyembe Tamfum JJ, et al. Vaccinating against monkeypox in the Democratic Republic of the Congo. </w:t>
      </w:r>
      <w:r w:rsidRPr="0085580D">
        <w:rPr>
          <w:i/>
          <w:iCs/>
        </w:rPr>
        <w:t xml:space="preserve">Antiviral Res. </w:t>
      </w:r>
      <w:r w:rsidR="0085580D" w:rsidRPr="003315A0">
        <w:t>2019; 162:171</w:t>
      </w:r>
      <w:r w:rsidRPr="003315A0">
        <w:t xml:space="preserve">–7. </w:t>
      </w:r>
    </w:p>
    <w:p w14:paraId="1FCD4951" w14:textId="77777777" w:rsidR="003315A0" w:rsidRPr="003315A0" w:rsidRDefault="003315A0" w:rsidP="003315A0">
      <w:pPr>
        <w:pStyle w:val="Bibliographie"/>
      </w:pPr>
      <w:r w:rsidRPr="003315A0">
        <w:t xml:space="preserve">14. </w:t>
      </w:r>
      <w:r w:rsidRPr="003315A0">
        <w:tab/>
        <w:t xml:space="preserve">McCollum AM, Nakazawa Y, Ndongala GM, Pukuta E, Karhemere S, Lushima RS, et al. Human Monkeypox in the Kivus, a Conflict Region of the Democratic Republic of the Congo. </w:t>
      </w:r>
      <w:r w:rsidRPr="0085580D">
        <w:rPr>
          <w:i/>
          <w:iCs/>
        </w:rPr>
        <w:t xml:space="preserve">Am Soc Trop Med Hyg. </w:t>
      </w:r>
      <w:r w:rsidRPr="003315A0">
        <w:t xml:space="preserve">2015;93(4):718–1. </w:t>
      </w:r>
    </w:p>
    <w:p w14:paraId="21826AD0" w14:textId="77777777" w:rsidR="003315A0" w:rsidRPr="003315A0" w:rsidRDefault="003315A0" w:rsidP="003315A0">
      <w:pPr>
        <w:pStyle w:val="Bibliographie"/>
      </w:pPr>
      <w:r w:rsidRPr="003315A0">
        <w:t xml:space="preserve">15. </w:t>
      </w:r>
      <w:r w:rsidRPr="003315A0">
        <w:tab/>
        <w:t xml:space="preserve">Whitehouse ER, Bonwitt J, Hughes CM, Lushima RS, Likafi T, Nguete B, et al. Clinical and Epidemiological Findings from Enhanced Monkeypox Surveillance in Tshuapa Province, Democratic Republic of the Congo During 2011–2015. </w:t>
      </w:r>
      <w:r w:rsidRPr="00161488">
        <w:rPr>
          <w:i/>
          <w:iCs/>
        </w:rPr>
        <w:t>J Infect Dis.</w:t>
      </w:r>
      <w:r w:rsidRPr="003315A0">
        <w:t xml:space="preserve"> 2021;223(11):1870–8. </w:t>
      </w:r>
    </w:p>
    <w:p w14:paraId="234884DB" w14:textId="77777777" w:rsidR="003315A0" w:rsidRPr="003315A0" w:rsidRDefault="003315A0" w:rsidP="003315A0">
      <w:pPr>
        <w:pStyle w:val="Bibliographie"/>
        <w:rPr>
          <w:lang w:val="fr-FR"/>
        </w:rPr>
      </w:pPr>
      <w:r w:rsidRPr="003315A0">
        <w:t xml:space="preserve">16. </w:t>
      </w:r>
      <w:r w:rsidRPr="003315A0">
        <w:tab/>
        <w:t xml:space="preserve">Kalthan E, Dondo-Fongbia JP, Yambele S, Dieu-Creer LR, Zepio R, Pamatika CM. </w:t>
      </w:r>
      <w:r w:rsidRPr="003315A0">
        <w:rPr>
          <w:lang w:val="fr-FR"/>
        </w:rPr>
        <w:t>Epidémie de 12 cas de maladie à virus monkeypox dans le district de Bangassou en République Centrafricaine en décembre 2015.</w:t>
      </w:r>
      <w:r w:rsidRPr="00161488">
        <w:rPr>
          <w:i/>
          <w:iCs/>
          <w:lang w:val="fr-FR"/>
        </w:rPr>
        <w:t xml:space="preserve"> Bull Société Pathol Exot.</w:t>
      </w:r>
      <w:r w:rsidRPr="003315A0">
        <w:rPr>
          <w:lang w:val="fr-FR"/>
        </w:rPr>
        <w:t xml:space="preserve"> 2016;109(5):358–63. </w:t>
      </w:r>
    </w:p>
    <w:p w14:paraId="301D907D" w14:textId="77777777" w:rsidR="003315A0" w:rsidRPr="003315A0" w:rsidRDefault="003315A0" w:rsidP="003315A0">
      <w:pPr>
        <w:pStyle w:val="Bibliographie"/>
      </w:pPr>
      <w:r w:rsidRPr="003315A0">
        <w:rPr>
          <w:lang w:val="fr-FR"/>
        </w:rPr>
        <w:t xml:space="preserve">17. </w:t>
      </w:r>
      <w:r w:rsidRPr="003315A0">
        <w:rPr>
          <w:lang w:val="fr-FR"/>
        </w:rPr>
        <w:tab/>
        <w:t xml:space="preserve">Besombes C, Gonofio E, Konamna X, Selekon B, Gessain A, Berthet N, et al. </w:t>
      </w:r>
      <w:r w:rsidRPr="003315A0">
        <w:t xml:space="preserve">Intrafamily Transmission of Monkeypox Virus, Central African Republic, 2018. </w:t>
      </w:r>
      <w:r w:rsidRPr="00161488">
        <w:rPr>
          <w:i/>
          <w:iCs/>
        </w:rPr>
        <w:t>Emerg Infect Dis</w:t>
      </w:r>
      <w:r w:rsidRPr="003315A0">
        <w:t xml:space="preserve">. 2019;25(8):1602–4. </w:t>
      </w:r>
    </w:p>
    <w:p w14:paraId="793CD776" w14:textId="64188000" w:rsidR="003315A0" w:rsidRPr="003315A0" w:rsidRDefault="003315A0" w:rsidP="003315A0">
      <w:pPr>
        <w:pStyle w:val="Bibliographie"/>
      </w:pPr>
      <w:r w:rsidRPr="003315A0">
        <w:t xml:space="preserve">18. </w:t>
      </w:r>
      <w:r w:rsidRPr="003315A0">
        <w:tab/>
        <w:t xml:space="preserve">Mande G, Akonda I, Weggheleire AD, Brosius I, Liesenborghs L, Bottieau E, et al. Enhanced surveillance of monkeypox in Bas-Uélé, Democratic Republic of Congo: the limitations of symptom-based case definitions. </w:t>
      </w:r>
      <w:r w:rsidRPr="00161488">
        <w:rPr>
          <w:i/>
          <w:iCs/>
        </w:rPr>
        <w:t>Int J Infect Dis</w:t>
      </w:r>
      <w:r w:rsidRPr="003315A0">
        <w:t xml:space="preserve">. </w:t>
      </w:r>
      <w:r w:rsidR="00161488" w:rsidRPr="003315A0">
        <w:t>2022; 122:647</w:t>
      </w:r>
      <w:r w:rsidRPr="003315A0">
        <w:t xml:space="preserve">–55. </w:t>
      </w:r>
    </w:p>
    <w:p w14:paraId="2E22B1B8" w14:textId="77777777" w:rsidR="003315A0" w:rsidRPr="003315A0" w:rsidRDefault="003315A0" w:rsidP="003315A0">
      <w:pPr>
        <w:pStyle w:val="Bibliographie"/>
      </w:pPr>
      <w:r w:rsidRPr="003315A0">
        <w:lastRenderedPageBreak/>
        <w:t xml:space="preserve">19. </w:t>
      </w:r>
      <w:r w:rsidRPr="003315A0">
        <w:tab/>
        <w:t xml:space="preserve">Lounis M, Bencherit D, Abdelhadi S. Knowledge and awareness of Algerian healthcare workers about human monkeypox and their attitude toward its vaccination: An online cross-sectional survey. </w:t>
      </w:r>
      <w:r w:rsidRPr="00161488">
        <w:rPr>
          <w:i/>
          <w:iCs/>
        </w:rPr>
        <w:t>Vacunas</w:t>
      </w:r>
      <w:r w:rsidRPr="003315A0">
        <w:t xml:space="preserve">. 2023;24(2):122–7. </w:t>
      </w:r>
    </w:p>
    <w:p w14:paraId="0408B065" w14:textId="77777777" w:rsidR="003315A0" w:rsidRPr="003315A0" w:rsidRDefault="003315A0" w:rsidP="003315A0">
      <w:pPr>
        <w:pStyle w:val="Bibliographie"/>
      </w:pPr>
      <w:r w:rsidRPr="003315A0">
        <w:t xml:space="preserve">20. </w:t>
      </w:r>
      <w:r w:rsidRPr="003315A0">
        <w:tab/>
        <w:t xml:space="preserve">Nganmegni FRP, Ngo JLL, Essomba RG, Nguwoh PS, Metomb FS, Epee E, et al. Burden and predictors of M-pox suspected cases in a rural setting of Cameroon: implications for developing countries. </w:t>
      </w:r>
      <w:r w:rsidRPr="00161488">
        <w:rPr>
          <w:i/>
          <w:iCs/>
        </w:rPr>
        <w:t>J Infect Dev Ctries</w:t>
      </w:r>
      <w:r w:rsidRPr="003315A0">
        <w:t xml:space="preserve">. 2024;18(11):1756–63. </w:t>
      </w:r>
    </w:p>
    <w:p w14:paraId="5C63D048" w14:textId="00223EBF" w:rsidR="003315A0" w:rsidRPr="003315A0" w:rsidRDefault="003315A0" w:rsidP="003315A0">
      <w:pPr>
        <w:pStyle w:val="Bibliographie"/>
        <w:rPr>
          <w:lang w:val="fr-FR"/>
        </w:rPr>
      </w:pPr>
      <w:r w:rsidRPr="003315A0">
        <w:t xml:space="preserve">21. </w:t>
      </w:r>
      <w:r w:rsidRPr="003315A0">
        <w:tab/>
        <w:t xml:space="preserve">Amer FA, Nofal HA, Gebriel MG, Bedawy AM, Allam AA, Khalil HES, et al. Grasping knowledge, attitude, and perception towards monkeypox among healthcare workers and medical students: an Egyptian cross-sectional study. </w:t>
      </w:r>
      <w:r w:rsidRPr="00161488">
        <w:rPr>
          <w:i/>
          <w:iCs/>
          <w:lang w:val="fr-FR"/>
        </w:rPr>
        <w:t>Front Cell Infect Microbiol.</w:t>
      </w:r>
      <w:r w:rsidRPr="003315A0">
        <w:rPr>
          <w:lang w:val="fr-FR"/>
        </w:rPr>
        <w:t xml:space="preserve"> </w:t>
      </w:r>
      <w:r w:rsidR="00161488" w:rsidRPr="003315A0">
        <w:rPr>
          <w:lang w:val="fr-FR"/>
        </w:rPr>
        <w:t>2024 ;14 :</w:t>
      </w:r>
      <w:r w:rsidRPr="003315A0">
        <w:rPr>
          <w:lang w:val="fr-FR"/>
        </w:rPr>
        <w:t xml:space="preserve">1339352. </w:t>
      </w:r>
    </w:p>
    <w:p w14:paraId="7C3A3FD5" w14:textId="77777777" w:rsidR="003315A0" w:rsidRPr="003315A0" w:rsidRDefault="003315A0" w:rsidP="003315A0">
      <w:pPr>
        <w:pStyle w:val="Bibliographie"/>
      </w:pPr>
      <w:r w:rsidRPr="003315A0">
        <w:rPr>
          <w:lang w:val="fr-FR"/>
        </w:rPr>
        <w:t xml:space="preserve">22. </w:t>
      </w:r>
      <w:r w:rsidRPr="003315A0">
        <w:rPr>
          <w:lang w:val="fr-FR"/>
        </w:rPr>
        <w:tab/>
        <w:t xml:space="preserve">Hussein M, Siddiq A, Ismail HM, Mansy N, Ellakwa DES, Nassif M, et al. </w:t>
      </w:r>
      <w:r w:rsidRPr="003315A0">
        <w:t xml:space="preserve">Cross-Country Discrepancies in Monkeypox Vaccine Hesitancy Among Postgraduate and Undergraduate Medical Students. </w:t>
      </w:r>
      <w:r w:rsidRPr="00161488">
        <w:rPr>
          <w:i/>
          <w:iCs/>
        </w:rPr>
        <w:t>Disaster Med Public Health Prep</w:t>
      </w:r>
      <w:r w:rsidRPr="003315A0">
        <w:t>. 2024;</w:t>
      </w:r>
      <w:proofErr w:type="gramStart"/>
      <w:r w:rsidRPr="003315A0">
        <w:t>18:e</w:t>
      </w:r>
      <w:proofErr w:type="gramEnd"/>
      <w:r w:rsidRPr="003315A0">
        <w:t xml:space="preserve">82. </w:t>
      </w:r>
    </w:p>
    <w:p w14:paraId="61AFBAE0" w14:textId="77777777" w:rsidR="003315A0" w:rsidRPr="003315A0" w:rsidRDefault="003315A0" w:rsidP="003315A0">
      <w:pPr>
        <w:pStyle w:val="Bibliographie"/>
      </w:pPr>
      <w:r w:rsidRPr="003315A0">
        <w:t xml:space="preserve">23. </w:t>
      </w:r>
      <w:r w:rsidRPr="003315A0">
        <w:tab/>
        <w:t>Aynalem Z, Abate M, Meseret F, Muhamed A, Abebe G, Adal A, et al. Knowledge, Attitude and Associated Factors of Monkeypox Infection Among Healthcare Workers in Injibara General Hospital, Northwest Ethiopia.</w:t>
      </w:r>
      <w:r w:rsidRPr="00161488">
        <w:rPr>
          <w:i/>
          <w:iCs/>
        </w:rPr>
        <w:t xml:space="preserve"> J Multidiscip Healthc.</w:t>
      </w:r>
      <w:r w:rsidRPr="003315A0">
        <w:t xml:space="preserve"> 2024;17:1159–73. </w:t>
      </w:r>
    </w:p>
    <w:p w14:paraId="2DA0FDD1" w14:textId="77777777" w:rsidR="003315A0" w:rsidRPr="003315A0" w:rsidRDefault="003315A0" w:rsidP="003315A0">
      <w:pPr>
        <w:pStyle w:val="Bibliographie"/>
      </w:pPr>
      <w:r w:rsidRPr="003315A0">
        <w:t xml:space="preserve">24. </w:t>
      </w:r>
      <w:r w:rsidRPr="003315A0">
        <w:tab/>
        <w:t xml:space="preserve">Ghazy RM, Hussein M, Abdu SMM, El-sayed Ellakwa D, Tolba MM, Youssef N, et al. The intention of Egyptian healthcare workers to take the monkeypox vaccine: is urgent action required? </w:t>
      </w:r>
      <w:r w:rsidRPr="00161488">
        <w:rPr>
          <w:i/>
          <w:iCs/>
        </w:rPr>
        <w:t>BMC Health Serv Res</w:t>
      </w:r>
      <w:r w:rsidRPr="003315A0">
        <w:t xml:space="preserve">. 2024;24(1):1204. </w:t>
      </w:r>
    </w:p>
    <w:p w14:paraId="1435F79F" w14:textId="77777777" w:rsidR="003315A0" w:rsidRPr="003315A0" w:rsidRDefault="003315A0" w:rsidP="003315A0">
      <w:pPr>
        <w:pStyle w:val="Bibliographie"/>
      </w:pPr>
      <w:r w:rsidRPr="003315A0">
        <w:t xml:space="preserve">25. </w:t>
      </w:r>
      <w:r w:rsidRPr="003315A0">
        <w:tab/>
        <w:t xml:space="preserve">Braimah JA, Achore M, Dery F, Ayanore MA, Bisung E, Kuuire V. Do self-rated health and previous vaccine uptake influence the willingness to accept MPOX vaccine during a public health emergency of concern? A cross-sectional study. Robinson J, editor. </w:t>
      </w:r>
      <w:r w:rsidRPr="00161488">
        <w:rPr>
          <w:i/>
          <w:iCs/>
        </w:rPr>
        <w:t xml:space="preserve">PLOS Glob Public Health. </w:t>
      </w:r>
      <w:r w:rsidRPr="003315A0">
        <w:t xml:space="preserve">2024;4(8):e0003564. </w:t>
      </w:r>
    </w:p>
    <w:p w14:paraId="7569472E" w14:textId="77777777" w:rsidR="003315A0" w:rsidRPr="003315A0" w:rsidRDefault="003315A0" w:rsidP="003315A0">
      <w:pPr>
        <w:pStyle w:val="Bibliographie"/>
      </w:pPr>
      <w:r w:rsidRPr="003315A0">
        <w:t xml:space="preserve">26. </w:t>
      </w:r>
      <w:r w:rsidRPr="003315A0">
        <w:tab/>
        <w:t xml:space="preserve">Lounis M, Hamimes A, Dahmani A. Assessment of Monkeypox (MPOX) Knowledge and Vaccination Intention among Health and Life Sciences Students in Algeria: A Cross-Sectional Study. </w:t>
      </w:r>
      <w:r w:rsidRPr="00161488">
        <w:rPr>
          <w:i/>
          <w:iCs/>
        </w:rPr>
        <w:t>Infect Dis Rep</w:t>
      </w:r>
      <w:r w:rsidRPr="003315A0">
        <w:t xml:space="preserve">. 2024;16(2):170–80. </w:t>
      </w:r>
    </w:p>
    <w:p w14:paraId="62DCA74B" w14:textId="77777777" w:rsidR="003315A0" w:rsidRPr="003315A0" w:rsidRDefault="003315A0" w:rsidP="003315A0">
      <w:pPr>
        <w:pStyle w:val="Bibliographie"/>
      </w:pPr>
      <w:r w:rsidRPr="003315A0">
        <w:t xml:space="preserve">27. </w:t>
      </w:r>
      <w:r w:rsidRPr="003315A0">
        <w:tab/>
        <w:t xml:space="preserve">Brosius I, Vakaniaki EH, Mukari G, Munganga P, Tshomba JC, Vos ED, et al. Epidemiological and clinical features of mpox during the clade Ib outbreak in South Kivu, Democratic Republic of the Congo: a prospective cohort study. </w:t>
      </w:r>
      <w:r w:rsidRPr="00161488">
        <w:rPr>
          <w:i/>
          <w:iCs/>
        </w:rPr>
        <w:t>The Lancet.</w:t>
      </w:r>
      <w:r w:rsidRPr="003315A0">
        <w:t xml:space="preserve"> 2025;405(10478):547–59. </w:t>
      </w:r>
    </w:p>
    <w:p w14:paraId="460AE48D" w14:textId="77777777" w:rsidR="003315A0" w:rsidRPr="003315A0" w:rsidRDefault="003315A0" w:rsidP="003315A0">
      <w:pPr>
        <w:pStyle w:val="Bibliographie"/>
      </w:pPr>
      <w:r w:rsidRPr="003315A0">
        <w:t xml:space="preserve">28. </w:t>
      </w:r>
      <w:r w:rsidRPr="003315A0">
        <w:tab/>
        <w:t xml:space="preserve">Petrichko S, Kindrachuk J, Nkamba D, Halbrook M, Merritt S, Kalengi H, et al. Mpox Vaccine Acceptance, Democratic Republic of the Congo. </w:t>
      </w:r>
      <w:r w:rsidRPr="00141B41">
        <w:rPr>
          <w:i/>
          <w:iCs/>
        </w:rPr>
        <w:t>Emerg Infect Dis</w:t>
      </w:r>
      <w:r w:rsidRPr="003315A0">
        <w:t xml:space="preserve">. 2024;30(12):2614–9. </w:t>
      </w:r>
    </w:p>
    <w:p w14:paraId="2AEEDC2D" w14:textId="77777777" w:rsidR="003315A0" w:rsidRPr="003315A0" w:rsidRDefault="003315A0" w:rsidP="003315A0">
      <w:pPr>
        <w:pStyle w:val="Bibliographie"/>
      </w:pPr>
      <w:r w:rsidRPr="003315A0">
        <w:rPr>
          <w:lang w:val="fr-FR"/>
        </w:rPr>
        <w:t xml:space="preserve">29. </w:t>
      </w:r>
      <w:r w:rsidRPr="003315A0">
        <w:rPr>
          <w:lang w:val="fr-FR"/>
        </w:rPr>
        <w:tab/>
        <w:t xml:space="preserve">Du M, Deng J, Yan W, Liu M, Liang W, Niu B, et al. </w:t>
      </w:r>
      <w:r w:rsidRPr="003315A0">
        <w:t xml:space="preserve">Mpox vaccination hesitancy, previous immunisation coverage, and vaccination readiness in the African region: a multinational survey. </w:t>
      </w:r>
      <w:r w:rsidRPr="00141B41">
        <w:rPr>
          <w:i/>
          <w:iCs/>
        </w:rPr>
        <w:t>eClinicalMedicine</w:t>
      </w:r>
      <w:r w:rsidRPr="003315A0">
        <w:t xml:space="preserve">. 2025;80:103047. </w:t>
      </w:r>
    </w:p>
    <w:p w14:paraId="288173DB" w14:textId="77777777" w:rsidR="003315A0" w:rsidRPr="003315A0" w:rsidRDefault="003315A0" w:rsidP="003315A0">
      <w:pPr>
        <w:pStyle w:val="Bibliographie"/>
      </w:pPr>
      <w:r w:rsidRPr="003315A0">
        <w:t xml:space="preserve">30. </w:t>
      </w:r>
      <w:r w:rsidRPr="003315A0">
        <w:tab/>
        <w:t xml:space="preserve">Fetensa G, Tolossa T, Besho M, Yadesa G, Gugsa J, Tufa DG, et al. Willingness to take Mpox vaccine and associated factors among health professionals in Ethiopia: A cross-sectional study. </w:t>
      </w:r>
      <w:r w:rsidRPr="00141B41">
        <w:rPr>
          <w:i/>
          <w:iCs/>
        </w:rPr>
        <w:t>Vaccine</w:t>
      </w:r>
      <w:r w:rsidRPr="003315A0">
        <w:t xml:space="preserve">. 2025;49:126822. </w:t>
      </w:r>
    </w:p>
    <w:p w14:paraId="0946534E" w14:textId="77777777" w:rsidR="003315A0" w:rsidRPr="003315A0" w:rsidRDefault="003315A0" w:rsidP="003315A0">
      <w:pPr>
        <w:pStyle w:val="Bibliographie"/>
      </w:pPr>
      <w:r w:rsidRPr="003315A0">
        <w:lastRenderedPageBreak/>
        <w:t xml:space="preserve">31. </w:t>
      </w:r>
      <w:r w:rsidRPr="003315A0">
        <w:tab/>
        <w:t>Kiros T, Erkihun M, Wondmagegn M, Almaw A, Assefa A, Berhan A, et al. Assessment of Knowledge, Attitude, and Associated Factors of Mpox Among Healthcare Professionals at Debre Tabor Comprehensive Specialized Hospital, Northwest Ethiopia, 2024: A Cross</w:t>
      </w:r>
      <w:r w:rsidRPr="003315A0">
        <w:rPr>
          <w:rFonts w:ascii="Cambria Math" w:hAnsi="Cambria Math" w:cs="Cambria Math"/>
        </w:rPr>
        <w:t>‐</w:t>
      </w:r>
      <w:r w:rsidRPr="003315A0">
        <w:t xml:space="preserve">Sectional Study. </w:t>
      </w:r>
      <w:r w:rsidRPr="00141B41">
        <w:rPr>
          <w:i/>
          <w:iCs/>
        </w:rPr>
        <w:t>Health Sci Rep.</w:t>
      </w:r>
      <w:r w:rsidRPr="003315A0">
        <w:t xml:space="preserve"> 2025;8(1</w:t>
      </w:r>
      <w:proofErr w:type="gramStart"/>
      <w:r w:rsidRPr="003315A0">
        <w:t>):e</w:t>
      </w:r>
      <w:proofErr w:type="gramEnd"/>
      <w:r w:rsidRPr="003315A0">
        <w:t xml:space="preserve">70371. </w:t>
      </w:r>
    </w:p>
    <w:p w14:paraId="69F69A65" w14:textId="3410F80E" w:rsidR="003315A0" w:rsidRPr="003315A0" w:rsidRDefault="003315A0" w:rsidP="003315A0">
      <w:pPr>
        <w:pStyle w:val="Bibliographie"/>
      </w:pPr>
      <w:r w:rsidRPr="003315A0">
        <w:t xml:space="preserve">32. </w:t>
      </w:r>
      <w:r w:rsidRPr="003315A0">
        <w:tab/>
        <w:t xml:space="preserve">Mutua PM, Gicheru MM, Mutiso J, Serem E. A cross-sectional study of Mpox Knowledge, Attitudes toward Mpox Vaccination and Mpox Vaccine Hesitancy Among Teachers in Kenya. </w:t>
      </w:r>
      <w:r w:rsidRPr="005E16A4">
        <w:rPr>
          <w:i/>
          <w:iCs/>
        </w:rPr>
        <w:t>In Review;</w:t>
      </w:r>
      <w:r w:rsidRPr="003315A0">
        <w:t xml:space="preserve"> 2024</w:t>
      </w:r>
      <w:r w:rsidR="000F0B11">
        <w:t>. doi:</w:t>
      </w:r>
      <w:r w:rsidR="000F0B11" w:rsidRPr="000F0B11">
        <w:t xml:space="preserve"> </w:t>
      </w:r>
      <w:r w:rsidR="000F0B11" w:rsidRPr="000F0B11">
        <w:t>10.21203/rs.3.rs-5458486/v1</w:t>
      </w:r>
      <w:r w:rsidR="000F0B11">
        <w:t>.</w:t>
      </w:r>
    </w:p>
    <w:p w14:paraId="348E0456" w14:textId="77777777" w:rsidR="003315A0" w:rsidRPr="003315A0" w:rsidRDefault="003315A0" w:rsidP="003315A0">
      <w:pPr>
        <w:pStyle w:val="Bibliographie"/>
        <w:rPr>
          <w:lang w:val="fr-FR"/>
        </w:rPr>
      </w:pPr>
      <w:r w:rsidRPr="003315A0">
        <w:t xml:space="preserve">33. </w:t>
      </w:r>
      <w:r w:rsidRPr="003315A0">
        <w:tab/>
        <w:t xml:space="preserve">Lawrence A. Socio-Demographic Factors Influencing Monkeypox Vaccination Intentions Among Healthcare Workers and the General Population of Makurdi, Nigeria: A Cross-Sectional Study. </w:t>
      </w:r>
      <w:r w:rsidRPr="005E16A4">
        <w:rPr>
          <w:i/>
          <w:iCs/>
          <w:lang w:val="fr-FR"/>
        </w:rPr>
        <w:t>Cureus</w:t>
      </w:r>
      <w:r w:rsidRPr="003315A0">
        <w:rPr>
          <w:lang w:val="fr-FR"/>
        </w:rPr>
        <w:t xml:space="preserve">. 2024 Oct 19;16(10):e71828. </w:t>
      </w:r>
    </w:p>
    <w:p w14:paraId="47492372" w14:textId="70271438" w:rsidR="003315A0" w:rsidRPr="003315A0" w:rsidRDefault="003315A0" w:rsidP="003315A0">
      <w:pPr>
        <w:pStyle w:val="Bibliographie"/>
      </w:pPr>
      <w:r w:rsidRPr="003315A0">
        <w:rPr>
          <w:lang w:val="fr-FR"/>
        </w:rPr>
        <w:t xml:space="preserve">34. </w:t>
      </w:r>
      <w:r w:rsidRPr="003315A0">
        <w:rPr>
          <w:lang w:val="fr-FR"/>
        </w:rPr>
        <w:tab/>
        <w:t xml:space="preserve">Dieu-Merci. KY, Singa Valentin. B, Ley. BL, Antoine. ET, Guild. AK, Lwanga. </w:t>
      </w:r>
      <w:r w:rsidRPr="003315A0">
        <w:t>K, et al. M</w:t>
      </w:r>
      <w:r w:rsidR="00AD7969" w:rsidRPr="003315A0">
        <w:t xml:space="preserve">pox: epidemiological profile and factors associated with its emergence in the </w:t>
      </w:r>
      <w:proofErr w:type="spellStart"/>
      <w:r w:rsidR="0085580D">
        <w:t>I</w:t>
      </w:r>
      <w:r w:rsidR="00AD7969" w:rsidRPr="003315A0">
        <w:t>sangi</w:t>
      </w:r>
      <w:proofErr w:type="spellEnd"/>
      <w:r w:rsidR="00AD7969" w:rsidRPr="003315A0">
        <w:t xml:space="preserve"> territory, </w:t>
      </w:r>
      <w:r w:rsidRPr="003315A0">
        <w:t>D</w:t>
      </w:r>
      <w:r w:rsidR="0085580D" w:rsidRPr="003315A0">
        <w:t>emocratic</w:t>
      </w:r>
      <w:r w:rsidRPr="003315A0">
        <w:t xml:space="preserve"> R</w:t>
      </w:r>
      <w:r w:rsidR="0085580D" w:rsidRPr="003315A0">
        <w:t>epublic</w:t>
      </w:r>
      <w:r w:rsidRPr="003315A0">
        <w:t xml:space="preserve"> OF C</w:t>
      </w:r>
      <w:r w:rsidR="0085580D" w:rsidRPr="003315A0">
        <w:t>ongo</w:t>
      </w:r>
      <w:r w:rsidRPr="003315A0">
        <w:t xml:space="preserve">. </w:t>
      </w:r>
      <w:r w:rsidRPr="005E16A4">
        <w:rPr>
          <w:i/>
          <w:iCs/>
        </w:rPr>
        <w:t>Int J Appl Sci Eng Rev.</w:t>
      </w:r>
      <w:r w:rsidRPr="003315A0">
        <w:t xml:space="preserve"> 2024;5(5):27–43. </w:t>
      </w:r>
    </w:p>
    <w:p w14:paraId="5BE19BD6" w14:textId="77777777" w:rsidR="003315A0" w:rsidRPr="003315A0" w:rsidRDefault="003315A0" w:rsidP="003315A0">
      <w:pPr>
        <w:pStyle w:val="Bibliographie"/>
      </w:pPr>
      <w:r w:rsidRPr="003315A0">
        <w:t xml:space="preserve">35. </w:t>
      </w:r>
      <w:r w:rsidRPr="003315A0">
        <w:tab/>
        <w:t xml:space="preserve">Vakaniaki EH, Kacita C, Kinganda-Lusamaki E, O’Toole Á, Wawina-Bokalanga T, Mukadi-Bamuleka D, et al. Sustained human outbreak of a new MPXV clade I lineage in eastern Democratic Republic of the Congo. </w:t>
      </w:r>
      <w:r w:rsidRPr="005E16A4">
        <w:rPr>
          <w:i/>
          <w:iCs/>
        </w:rPr>
        <w:t>Nat Med.</w:t>
      </w:r>
      <w:r w:rsidRPr="003315A0">
        <w:t xml:space="preserve"> 2024;30(10):2791–5. </w:t>
      </w:r>
    </w:p>
    <w:p w14:paraId="5746086C" w14:textId="0101941C" w:rsidR="00616857" w:rsidRPr="00013F21" w:rsidRDefault="00616857" w:rsidP="00616857">
      <w:r w:rsidRPr="00836F13">
        <w:fldChar w:fldCharType="end"/>
      </w:r>
    </w:p>
    <w:sectPr w:rsidR="00616857" w:rsidRPr="00013F21" w:rsidSect="008D68D7">
      <w:pgSz w:w="15840" w:h="12240"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0D2"/>
    <w:rsid w:val="00013F21"/>
    <w:rsid w:val="0002731A"/>
    <w:rsid w:val="000B1E4B"/>
    <w:rsid w:val="000F0B11"/>
    <w:rsid w:val="000F530B"/>
    <w:rsid w:val="0010640F"/>
    <w:rsid w:val="00106CE8"/>
    <w:rsid w:val="00141B41"/>
    <w:rsid w:val="00153522"/>
    <w:rsid w:val="00153A9D"/>
    <w:rsid w:val="00161488"/>
    <w:rsid w:val="00174FC3"/>
    <w:rsid w:val="00193733"/>
    <w:rsid w:val="001A6C3D"/>
    <w:rsid w:val="001B6089"/>
    <w:rsid w:val="001F7227"/>
    <w:rsid w:val="00201645"/>
    <w:rsid w:val="00210610"/>
    <w:rsid w:val="00211459"/>
    <w:rsid w:val="002114D6"/>
    <w:rsid w:val="002123CE"/>
    <w:rsid w:val="00217236"/>
    <w:rsid w:val="00260ACF"/>
    <w:rsid w:val="00260C46"/>
    <w:rsid w:val="00284C02"/>
    <w:rsid w:val="00287CAC"/>
    <w:rsid w:val="00297AD8"/>
    <w:rsid w:val="002A0D84"/>
    <w:rsid w:val="002C299C"/>
    <w:rsid w:val="002E3111"/>
    <w:rsid w:val="002E5385"/>
    <w:rsid w:val="002F01FE"/>
    <w:rsid w:val="00311A6E"/>
    <w:rsid w:val="0032131F"/>
    <w:rsid w:val="003250B9"/>
    <w:rsid w:val="003315A0"/>
    <w:rsid w:val="00390ED5"/>
    <w:rsid w:val="0039699B"/>
    <w:rsid w:val="003C5C0E"/>
    <w:rsid w:val="003F1E90"/>
    <w:rsid w:val="003F3673"/>
    <w:rsid w:val="004144CF"/>
    <w:rsid w:val="0042189E"/>
    <w:rsid w:val="00421EE4"/>
    <w:rsid w:val="004361EB"/>
    <w:rsid w:val="00462509"/>
    <w:rsid w:val="00475C1F"/>
    <w:rsid w:val="00475D1B"/>
    <w:rsid w:val="004911CE"/>
    <w:rsid w:val="004B7C63"/>
    <w:rsid w:val="004D02D9"/>
    <w:rsid w:val="004D5BA6"/>
    <w:rsid w:val="005032EA"/>
    <w:rsid w:val="00542A5F"/>
    <w:rsid w:val="005618B1"/>
    <w:rsid w:val="005B1C33"/>
    <w:rsid w:val="005B5BC9"/>
    <w:rsid w:val="005E16A4"/>
    <w:rsid w:val="00604886"/>
    <w:rsid w:val="00605FEE"/>
    <w:rsid w:val="00616857"/>
    <w:rsid w:val="0062299B"/>
    <w:rsid w:val="00627D24"/>
    <w:rsid w:val="00632EDC"/>
    <w:rsid w:val="0066340B"/>
    <w:rsid w:val="006729BB"/>
    <w:rsid w:val="0067400C"/>
    <w:rsid w:val="00690692"/>
    <w:rsid w:val="006F5A4B"/>
    <w:rsid w:val="00754ED2"/>
    <w:rsid w:val="007815AA"/>
    <w:rsid w:val="007F414F"/>
    <w:rsid w:val="0081448F"/>
    <w:rsid w:val="00836F13"/>
    <w:rsid w:val="0085580D"/>
    <w:rsid w:val="008640B2"/>
    <w:rsid w:val="00880FC7"/>
    <w:rsid w:val="00894EF7"/>
    <w:rsid w:val="008A640E"/>
    <w:rsid w:val="008D68D7"/>
    <w:rsid w:val="008F441B"/>
    <w:rsid w:val="00903BE9"/>
    <w:rsid w:val="0092627F"/>
    <w:rsid w:val="00937187"/>
    <w:rsid w:val="009728A9"/>
    <w:rsid w:val="00976314"/>
    <w:rsid w:val="00994D8C"/>
    <w:rsid w:val="009A69B5"/>
    <w:rsid w:val="009C0B26"/>
    <w:rsid w:val="009C16D3"/>
    <w:rsid w:val="009C3071"/>
    <w:rsid w:val="009C4E97"/>
    <w:rsid w:val="009D37D7"/>
    <w:rsid w:val="009E651B"/>
    <w:rsid w:val="009F2A9E"/>
    <w:rsid w:val="00A14E77"/>
    <w:rsid w:val="00A41E17"/>
    <w:rsid w:val="00A53C2E"/>
    <w:rsid w:val="00A547D9"/>
    <w:rsid w:val="00AB175F"/>
    <w:rsid w:val="00AD0CC2"/>
    <w:rsid w:val="00AD7969"/>
    <w:rsid w:val="00B0498F"/>
    <w:rsid w:val="00B10A7E"/>
    <w:rsid w:val="00B263EC"/>
    <w:rsid w:val="00B31AB6"/>
    <w:rsid w:val="00B7108C"/>
    <w:rsid w:val="00B90207"/>
    <w:rsid w:val="00B93F39"/>
    <w:rsid w:val="00BA2E10"/>
    <w:rsid w:val="00BA5543"/>
    <w:rsid w:val="00BC2A01"/>
    <w:rsid w:val="00BC63AD"/>
    <w:rsid w:val="00C02A09"/>
    <w:rsid w:val="00C06DCD"/>
    <w:rsid w:val="00C12DD1"/>
    <w:rsid w:val="00C21FAF"/>
    <w:rsid w:val="00C31DC5"/>
    <w:rsid w:val="00C340D2"/>
    <w:rsid w:val="00C46E3A"/>
    <w:rsid w:val="00C556B1"/>
    <w:rsid w:val="00C56356"/>
    <w:rsid w:val="00C85D06"/>
    <w:rsid w:val="00C8630C"/>
    <w:rsid w:val="00CE7E9B"/>
    <w:rsid w:val="00CF0702"/>
    <w:rsid w:val="00D24B93"/>
    <w:rsid w:val="00D26652"/>
    <w:rsid w:val="00D27D68"/>
    <w:rsid w:val="00D36982"/>
    <w:rsid w:val="00D54E60"/>
    <w:rsid w:val="00D57180"/>
    <w:rsid w:val="00DA54B5"/>
    <w:rsid w:val="00DF0038"/>
    <w:rsid w:val="00E21938"/>
    <w:rsid w:val="00E24D12"/>
    <w:rsid w:val="00E43118"/>
    <w:rsid w:val="00E57C3E"/>
    <w:rsid w:val="00EA3445"/>
    <w:rsid w:val="00EE2801"/>
    <w:rsid w:val="00F07B66"/>
    <w:rsid w:val="00F4798F"/>
    <w:rsid w:val="00F74D66"/>
    <w:rsid w:val="00FB0792"/>
    <w:rsid w:val="00FB74DF"/>
    <w:rsid w:val="00FD5CA2"/>
    <w:rsid w:val="00FE43F5"/>
    <w:rsid w:val="00FF37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8891A"/>
  <w15:chartTrackingRefBased/>
  <w15:docId w15:val="{0AC99AC1-AEBA-426C-A709-D6DE731D1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Segoe U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857"/>
    <w:rPr>
      <w:rFonts w:ascii="Garamond" w:hAnsi="Garamond"/>
    </w:rPr>
  </w:style>
  <w:style w:type="paragraph" w:styleId="Titre1">
    <w:name w:val="heading 1"/>
    <w:basedOn w:val="Normal"/>
    <w:next w:val="Normal"/>
    <w:link w:val="Titre1Car"/>
    <w:uiPriority w:val="9"/>
    <w:qFormat/>
    <w:rsid w:val="00C340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C340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C340D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C340D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re5">
    <w:name w:val="heading 5"/>
    <w:basedOn w:val="Normal"/>
    <w:next w:val="Normal"/>
    <w:link w:val="Titre5Car"/>
    <w:uiPriority w:val="9"/>
    <w:semiHidden/>
    <w:unhideWhenUsed/>
    <w:qFormat/>
    <w:rsid w:val="00C340D2"/>
    <w:pPr>
      <w:keepNext/>
      <w:keepLines/>
      <w:spacing w:before="80" w:after="40"/>
      <w:outlineLvl w:val="4"/>
    </w:pPr>
    <w:rPr>
      <w:rFonts w:asciiTheme="minorHAnsi" w:eastAsiaTheme="majorEastAsia" w:hAnsiTheme="minorHAnsi" w:cstheme="majorBidi"/>
      <w:color w:val="2F5496" w:themeColor="accent1" w:themeShade="BF"/>
    </w:rPr>
  </w:style>
  <w:style w:type="paragraph" w:styleId="Titre6">
    <w:name w:val="heading 6"/>
    <w:basedOn w:val="Normal"/>
    <w:next w:val="Normal"/>
    <w:link w:val="Titre6Car"/>
    <w:uiPriority w:val="9"/>
    <w:semiHidden/>
    <w:unhideWhenUsed/>
    <w:qFormat/>
    <w:rsid w:val="00C340D2"/>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C340D2"/>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C340D2"/>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C340D2"/>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340D2"/>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C340D2"/>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C340D2"/>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uiPriority w:val="9"/>
    <w:semiHidden/>
    <w:rsid w:val="00C340D2"/>
    <w:rPr>
      <w:rFonts w:asciiTheme="minorHAnsi" w:eastAsiaTheme="majorEastAsia" w:hAnsiTheme="minorHAnsi" w:cstheme="majorBidi"/>
      <w:i/>
      <w:iCs/>
      <w:color w:val="2F5496" w:themeColor="accent1" w:themeShade="BF"/>
    </w:rPr>
  </w:style>
  <w:style w:type="character" w:customStyle="1" w:styleId="Titre5Car">
    <w:name w:val="Titre 5 Car"/>
    <w:basedOn w:val="Policepardfaut"/>
    <w:link w:val="Titre5"/>
    <w:uiPriority w:val="9"/>
    <w:semiHidden/>
    <w:rsid w:val="00C340D2"/>
    <w:rPr>
      <w:rFonts w:asciiTheme="minorHAnsi" w:eastAsiaTheme="majorEastAsia" w:hAnsiTheme="minorHAnsi" w:cstheme="majorBidi"/>
      <w:color w:val="2F5496" w:themeColor="accent1" w:themeShade="BF"/>
    </w:rPr>
  </w:style>
  <w:style w:type="character" w:customStyle="1" w:styleId="Titre6Car">
    <w:name w:val="Titre 6 Car"/>
    <w:basedOn w:val="Policepardfaut"/>
    <w:link w:val="Titre6"/>
    <w:uiPriority w:val="9"/>
    <w:semiHidden/>
    <w:rsid w:val="00C340D2"/>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C340D2"/>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C340D2"/>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C340D2"/>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C340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340D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340D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340D2"/>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C340D2"/>
    <w:pPr>
      <w:spacing w:before="160"/>
      <w:jc w:val="center"/>
    </w:pPr>
    <w:rPr>
      <w:i/>
      <w:iCs/>
      <w:color w:val="404040" w:themeColor="text1" w:themeTint="BF"/>
    </w:rPr>
  </w:style>
  <w:style w:type="character" w:customStyle="1" w:styleId="CitationCar">
    <w:name w:val="Citation Car"/>
    <w:basedOn w:val="Policepardfaut"/>
    <w:link w:val="Citation"/>
    <w:uiPriority w:val="29"/>
    <w:rsid w:val="00C340D2"/>
    <w:rPr>
      <w:i/>
      <w:iCs/>
      <w:color w:val="404040" w:themeColor="text1" w:themeTint="BF"/>
    </w:rPr>
  </w:style>
  <w:style w:type="paragraph" w:styleId="Paragraphedeliste">
    <w:name w:val="List Paragraph"/>
    <w:basedOn w:val="Normal"/>
    <w:uiPriority w:val="34"/>
    <w:qFormat/>
    <w:rsid w:val="00C340D2"/>
    <w:pPr>
      <w:ind w:left="720"/>
      <w:contextualSpacing/>
    </w:pPr>
  </w:style>
  <w:style w:type="character" w:styleId="Accentuationintense">
    <w:name w:val="Intense Emphasis"/>
    <w:basedOn w:val="Policepardfaut"/>
    <w:uiPriority w:val="21"/>
    <w:qFormat/>
    <w:rsid w:val="00C340D2"/>
    <w:rPr>
      <w:i/>
      <w:iCs/>
      <w:color w:val="2F5496" w:themeColor="accent1" w:themeShade="BF"/>
    </w:rPr>
  </w:style>
  <w:style w:type="paragraph" w:styleId="Citationintense">
    <w:name w:val="Intense Quote"/>
    <w:basedOn w:val="Normal"/>
    <w:next w:val="Normal"/>
    <w:link w:val="CitationintenseCar"/>
    <w:uiPriority w:val="30"/>
    <w:qFormat/>
    <w:rsid w:val="00C340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C340D2"/>
    <w:rPr>
      <w:i/>
      <w:iCs/>
      <w:color w:val="2F5496" w:themeColor="accent1" w:themeShade="BF"/>
    </w:rPr>
  </w:style>
  <w:style w:type="character" w:styleId="Rfrenceintense">
    <w:name w:val="Intense Reference"/>
    <w:basedOn w:val="Policepardfaut"/>
    <w:uiPriority w:val="32"/>
    <w:qFormat/>
    <w:rsid w:val="00C340D2"/>
    <w:rPr>
      <w:b/>
      <w:bCs/>
      <w:smallCaps/>
      <w:color w:val="2F5496" w:themeColor="accent1" w:themeShade="BF"/>
      <w:spacing w:val="5"/>
    </w:rPr>
  </w:style>
  <w:style w:type="paragraph" w:styleId="Lgende">
    <w:name w:val="caption"/>
    <w:basedOn w:val="Normal"/>
    <w:next w:val="Normal"/>
    <w:uiPriority w:val="35"/>
    <w:unhideWhenUsed/>
    <w:qFormat/>
    <w:rsid w:val="00DF0038"/>
    <w:pPr>
      <w:spacing w:after="200" w:line="240" w:lineRule="auto"/>
    </w:pPr>
    <w:rPr>
      <w:i/>
      <w:iCs/>
      <w:color w:val="44546A" w:themeColor="text2"/>
      <w:sz w:val="18"/>
      <w:szCs w:val="18"/>
    </w:rPr>
  </w:style>
  <w:style w:type="paragraph" w:styleId="Bibliographie">
    <w:name w:val="Bibliography"/>
    <w:basedOn w:val="Normal"/>
    <w:next w:val="Normal"/>
    <w:uiPriority w:val="37"/>
    <w:unhideWhenUsed/>
    <w:rsid w:val="00616857"/>
    <w:pPr>
      <w:tabs>
        <w:tab w:val="left" w:pos="384"/>
      </w:tabs>
      <w:spacing w:after="240" w:line="240" w:lineRule="auto"/>
      <w:ind w:left="384" w:hanging="384"/>
    </w:pPr>
  </w:style>
  <w:style w:type="table" w:styleId="Grilledutableau">
    <w:name w:val="Table Grid"/>
    <w:basedOn w:val="TableauNormal"/>
    <w:uiPriority w:val="39"/>
    <w:rsid w:val="00F4798F"/>
    <w:pPr>
      <w:spacing w:after="0" w:line="240" w:lineRule="auto"/>
    </w:pPr>
    <w:rPr>
      <w:rFonts w:ascii="DengXian" w:eastAsia="DengXian" w:hAnsi="DengXian" w:cs="Arial"/>
      <w:sz w:val="21"/>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8345707">
      <w:bodyDiv w:val="1"/>
      <w:marLeft w:val="0"/>
      <w:marRight w:val="0"/>
      <w:marTop w:val="0"/>
      <w:marBottom w:val="0"/>
      <w:divBdr>
        <w:top w:val="none" w:sz="0" w:space="0" w:color="auto"/>
        <w:left w:val="none" w:sz="0" w:space="0" w:color="auto"/>
        <w:bottom w:val="none" w:sz="0" w:space="0" w:color="auto"/>
        <w:right w:val="none" w:sz="0" w:space="0" w:color="auto"/>
      </w:divBdr>
    </w:div>
    <w:div w:id="2033875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CEFCDC-64D2-40DE-89D9-3DA79A4B8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Pages>
  <Words>13774</Words>
  <Characters>75763</Characters>
  <Application>Microsoft Office Word</Application>
  <DocSecurity>0</DocSecurity>
  <Lines>631</Lines>
  <Paragraphs>178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89359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Cheuyem Zobel</dc:creator>
  <cp:keywords/>
  <dc:description/>
  <cp:lastModifiedBy>Dr. Cheuyem Zobel</cp:lastModifiedBy>
  <cp:revision>16</cp:revision>
  <dcterms:created xsi:type="dcterms:W3CDTF">2025-07-06T19:45:00Z</dcterms:created>
  <dcterms:modified xsi:type="dcterms:W3CDTF">2025-09-26T10:51:00Z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zotero-version="7.0.16"&gt;&lt;session id="abgmcgFy"/&gt;&lt;style id="http://www.zotero.org/styles/vancouver-brackets" locale="en-US" hasBibliography="1" bibliographyStyleHasBeenSet="1"/&gt;&lt;prefs&gt;&lt;pref name="fieldType" value="Field"/&gt;&lt;pref name=</vt:lpwstr>
  </property>
  <property fmtid="{D5CDD505-2E9C-101B-9397-08002B2CF9AE}" pid="3" name="ZOTERO_PREF_2">
    <vt:lpwstr>"automaticJournalAbbreviations" value="true"/&gt;&lt;/prefs&gt;&lt;/data&gt;</vt:lpwstr>
  </property>
</Properties>
</file>