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07F16D" w14:textId="57507A7F" w:rsidR="00E5612A" w:rsidRPr="00DE7555" w:rsidRDefault="00910130" w:rsidP="00E5612A">
      <w:pPr>
        <w:jc w:val="both"/>
        <w:rPr>
          <w:rFonts w:ascii="Times New Roman" w:hAnsi="Times New Roman" w:cs="Times New Roman"/>
          <w:lang w:val="en-GB"/>
        </w:rPr>
      </w:pPr>
      <w:r w:rsidRPr="00DE7555">
        <w:rPr>
          <w:rFonts w:ascii="Times New Roman" w:hAnsi="Times New Roman" w:cs="Times New Roman"/>
          <w:b/>
          <w:lang w:val="en-GB"/>
        </w:rPr>
        <w:t xml:space="preserve">Table </w:t>
      </w:r>
      <w:r w:rsidR="008178CC">
        <w:rPr>
          <w:rFonts w:ascii="Times New Roman" w:hAnsi="Times New Roman" w:cs="Times New Roman"/>
          <w:b/>
          <w:lang w:val="en-GB"/>
        </w:rPr>
        <w:t>S</w:t>
      </w:r>
      <w:r w:rsidRPr="00DE7555">
        <w:rPr>
          <w:rFonts w:ascii="Times New Roman" w:hAnsi="Times New Roman" w:cs="Times New Roman"/>
          <w:b/>
          <w:lang w:val="en-GB"/>
        </w:rPr>
        <w:t xml:space="preserve">1. </w:t>
      </w:r>
      <w:r w:rsidR="007E5A0D" w:rsidRPr="00E5612A">
        <w:rPr>
          <w:rFonts w:ascii="Times New Roman" w:hAnsi="Times New Roman" w:cs="Times New Roman"/>
          <w:lang w:val="en-GB"/>
        </w:rPr>
        <w:t xml:space="preserve">Synthetic and naturally occurring </w:t>
      </w:r>
      <w:r w:rsidR="007B5EE8" w:rsidRPr="00E5612A">
        <w:rPr>
          <w:rFonts w:ascii="Times New Roman" w:hAnsi="Times New Roman" w:cs="Times New Roman"/>
          <w:lang w:val="en-GB"/>
        </w:rPr>
        <w:t>ligands for</w:t>
      </w:r>
      <w:r w:rsidR="007E5A0D" w:rsidRPr="00E5612A">
        <w:rPr>
          <w:rFonts w:ascii="Times New Roman" w:hAnsi="Times New Roman" w:cs="Times New Roman"/>
          <w:lang w:val="en-GB"/>
        </w:rPr>
        <w:t xml:space="preserve"> endocannabinoid</w:t>
      </w:r>
      <w:r w:rsidR="007B5EE8" w:rsidRPr="00E5612A">
        <w:rPr>
          <w:rFonts w:ascii="Times New Roman" w:hAnsi="Times New Roman" w:cs="Times New Roman"/>
          <w:lang w:val="en-GB"/>
        </w:rPr>
        <w:t xml:space="preserve"> receptors</w:t>
      </w:r>
      <w:r w:rsidR="00E5612A">
        <w:rPr>
          <w:rFonts w:ascii="Times New Roman" w:hAnsi="Times New Roman" w:cs="Times New Roman"/>
          <w:lang w:val="en-GB"/>
        </w:rPr>
        <w:t xml:space="preserve">. Abbreviations: </w:t>
      </w:r>
      <w:proofErr w:type="spellStart"/>
      <w:r w:rsidR="00E5612A" w:rsidRPr="00DE7555">
        <w:rPr>
          <w:rFonts w:ascii="Times New Roman" w:hAnsi="Times New Roman" w:cs="Times New Roman"/>
          <w:lang w:val="en-GB"/>
        </w:rPr>
        <w:t>nd</w:t>
      </w:r>
      <w:proofErr w:type="spellEnd"/>
      <w:r w:rsidR="00E5612A">
        <w:rPr>
          <w:rFonts w:ascii="Times New Roman" w:hAnsi="Times New Roman" w:cs="Times New Roman"/>
          <w:lang w:val="en-GB"/>
        </w:rPr>
        <w:t xml:space="preserve">, no data; </w:t>
      </w:r>
      <w:r w:rsidR="00E5612A" w:rsidRPr="00DE7555">
        <w:rPr>
          <w:rFonts w:ascii="Times New Roman" w:hAnsi="Times New Roman" w:cs="Times New Roman"/>
          <w:lang w:val="en-GB"/>
        </w:rPr>
        <w:t>aka, also known as</w:t>
      </w:r>
      <w:r w:rsidR="00E5612A">
        <w:rPr>
          <w:rFonts w:ascii="Times New Roman" w:hAnsi="Times New Roman" w:cs="Times New Roman"/>
          <w:lang w:val="en-GB"/>
        </w:rPr>
        <w:t>.</w:t>
      </w:r>
    </w:p>
    <w:p w14:paraId="341EEEEC" w14:textId="77777777" w:rsidR="00043312" w:rsidRPr="00DE7555" w:rsidRDefault="00043312" w:rsidP="002D69FC">
      <w:pPr>
        <w:jc w:val="both"/>
        <w:outlineLvl w:val="0"/>
        <w:rPr>
          <w:rFonts w:ascii="Times New Roman" w:hAnsi="Times New Roman" w:cs="Times New Roman"/>
          <w:b/>
          <w:lang w:val="en-GB"/>
        </w:rPr>
      </w:pPr>
    </w:p>
    <w:tbl>
      <w:tblPr>
        <w:tblStyle w:val="TableGrid"/>
        <w:tblW w:w="0" w:type="auto"/>
        <w:tblLook w:val="04A0" w:firstRow="1" w:lastRow="0" w:firstColumn="1" w:lastColumn="0" w:noHBand="0" w:noVBand="1"/>
      </w:tblPr>
      <w:tblGrid>
        <w:gridCol w:w="3082"/>
        <w:gridCol w:w="1188"/>
        <w:gridCol w:w="1044"/>
        <w:gridCol w:w="2032"/>
        <w:gridCol w:w="1248"/>
        <w:gridCol w:w="1203"/>
        <w:gridCol w:w="1456"/>
        <w:gridCol w:w="1976"/>
        <w:gridCol w:w="1536"/>
      </w:tblGrid>
      <w:tr w:rsidR="00043312" w:rsidRPr="00DE7555" w14:paraId="5417B1A5" w14:textId="3CB8EDA6" w:rsidTr="00DE7555">
        <w:tc>
          <w:tcPr>
            <w:tcW w:w="0" w:type="auto"/>
            <w:vMerge w:val="restart"/>
          </w:tcPr>
          <w:p w14:paraId="1BDEB3B2" w14:textId="37B7D5FB" w:rsidR="00F21D2A" w:rsidRPr="00DE7555" w:rsidRDefault="00F21D2A" w:rsidP="00724E70">
            <w:pPr>
              <w:rPr>
                <w:rFonts w:ascii="Times New Roman" w:hAnsi="Times New Roman" w:cs="Times New Roman"/>
                <w:b/>
                <w:lang w:val="en-GB"/>
              </w:rPr>
            </w:pPr>
            <w:bookmarkStart w:id="0" w:name="_Hlk1320551"/>
            <w:r w:rsidRPr="00DE7555">
              <w:rPr>
                <w:rFonts w:ascii="Times New Roman" w:hAnsi="Times New Roman" w:cs="Times New Roman"/>
                <w:b/>
                <w:lang w:val="en-GB"/>
              </w:rPr>
              <w:t>Ligand</w:t>
            </w:r>
          </w:p>
        </w:tc>
        <w:tc>
          <w:tcPr>
            <w:tcW w:w="0" w:type="auto"/>
            <w:gridSpan w:val="3"/>
          </w:tcPr>
          <w:p w14:paraId="3453E369" w14:textId="22129AF4" w:rsidR="00F21D2A" w:rsidRPr="00DE7555" w:rsidRDefault="00F21D2A" w:rsidP="00E5612A">
            <w:pPr>
              <w:jc w:val="center"/>
              <w:rPr>
                <w:rFonts w:ascii="Times New Roman" w:hAnsi="Times New Roman" w:cs="Times New Roman"/>
                <w:b/>
                <w:lang w:val="en-GB"/>
              </w:rPr>
            </w:pPr>
            <w:r w:rsidRPr="00DE7555">
              <w:rPr>
                <w:rFonts w:ascii="Times New Roman" w:hAnsi="Times New Roman" w:cs="Times New Roman"/>
                <w:b/>
                <w:lang w:val="en-GB"/>
              </w:rPr>
              <w:t>CB</w:t>
            </w:r>
            <w:r w:rsidRPr="00DE7555">
              <w:rPr>
                <w:rFonts w:ascii="Times New Roman" w:hAnsi="Times New Roman" w:cs="Times New Roman"/>
                <w:b/>
                <w:vertAlign w:val="subscript"/>
                <w:lang w:val="en-GB"/>
              </w:rPr>
              <w:t>1</w:t>
            </w:r>
          </w:p>
        </w:tc>
        <w:tc>
          <w:tcPr>
            <w:tcW w:w="0" w:type="auto"/>
            <w:gridSpan w:val="3"/>
          </w:tcPr>
          <w:p w14:paraId="6D0C144F" w14:textId="1348DE6E" w:rsidR="00F21D2A" w:rsidRPr="00DE7555" w:rsidRDefault="00F21D2A" w:rsidP="00E5612A">
            <w:pPr>
              <w:jc w:val="center"/>
              <w:rPr>
                <w:rFonts w:ascii="Times New Roman" w:hAnsi="Times New Roman" w:cs="Times New Roman"/>
                <w:b/>
                <w:lang w:val="en-GB"/>
              </w:rPr>
            </w:pPr>
            <w:r w:rsidRPr="00DE7555">
              <w:rPr>
                <w:rFonts w:ascii="Times New Roman" w:hAnsi="Times New Roman" w:cs="Times New Roman"/>
                <w:b/>
                <w:lang w:val="en-GB"/>
              </w:rPr>
              <w:t>CB</w:t>
            </w:r>
            <w:r w:rsidRPr="00DE7555">
              <w:rPr>
                <w:rFonts w:ascii="Times New Roman" w:hAnsi="Times New Roman" w:cs="Times New Roman"/>
                <w:b/>
                <w:vertAlign w:val="subscript"/>
                <w:lang w:val="en-GB"/>
              </w:rPr>
              <w:t>2</w:t>
            </w:r>
          </w:p>
        </w:tc>
        <w:tc>
          <w:tcPr>
            <w:tcW w:w="0" w:type="auto"/>
            <w:vMerge w:val="restart"/>
          </w:tcPr>
          <w:p w14:paraId="02FEC848" w14:textId="7CA5520C" w:rsidR="00F21D2A" w:rsidRPr="00DE7555" w:rsidRDefault="00F21D2A" w:rsidP="00E5612A">
            <w:pPr>
              <w:rPr>
                <w:rFonts w:ascii="Times New Roman" w:hAnsi="Times New Roman" w:cs="Times New Roman"/>
                <w:b/>
                <w:lang w:val="en-GB"/>
              </w:rPr>
            </w:pPr>
            <w:r w:rsidRPr="00DE7555">
              <w:rPr>
                <w:rFonts w:ascii="Times New Roman" w:hAnsi="Times New Roman" w:cs="Times New Roman"/>
                <w:b/>
                <w:lang w:val="en-GB"/>
              </w:rPr>
              <w:t>Other targets</w:t>
            </w:r>
          </w:p>
        </w:tc>
        <w:tc>
          <w:tcPr>
            <w:tcW w:w="0" w:type="auto"/>
            <w:vMerge w:val="restart"/>
          </w:tcPr>
          <w:p w14:paraId="1D81BE51" w14:textId="3CCB50EB" w:rsidR="00F21D2A" w:rsidRPr="00DE7555" w:rsidRDefault="00F21D2A" w:rsidP="00E5612A">
            <w:pPr>
              <w:rPr>
                <w:rFonts w:ascii="Times New Roman" w:hAnsi="Times New Roman" w:cs="Times New Roman"/>
                <w:b/>
                <w:lang w:val="en-GB"/>
              </w:rPr>
            </w:pPr>
            <w:r w:rsidRPr="00DE7555">
              <w:rPr>
                <w:rFonts w:ascii="Times New Roman" w:hAnsi="Times New Roman" w:cs="Times New Roman"/>
                <w:b/>
                <w:lang w:val="en-GB"/>
              </w:rPr>
              <w:t>References</w:t>
            </w:r>
          </w:p>
        </w:tc>
      </w:tr>
      <w:tr w:rsidR="00043312" w:rsidRPr="00DE7555" w14:paraId="5B74554F" w14:textId="156EE812" w:rsidTr="00DE7555">
        <w:tc>
          <w:tcPr>
            <w:tcW w:w="0" w:type="auto"/>
            <w:vMerge/>
          </w:tcPr>
          <w:p w14:paraId="1D8F11EE" w14:textId="5EB76686" w:rsidR="00F21D2A" w:rsidRPr="00DE7555" w:rsidRDefault="00F21D2A" w:rsidP="00724E70">
            <w:pPr>
              <w:rPr>
                <w:rFonts w:ascii="Times New Roman" w:hAnsi="Times New Roman" w:cs="Times New Roman"/>
                <w:b/>
                <w:lang w:val="en-GB"/>
              </w:rPr>
            </w:pPr>
          </w:p>
        </w:tc>
        <w:tc>
          <w:tcPr>
            <w:tcW w:w="0" w:type="auto"/>
          </w:tcPr>
          <w:p w14:paraId="5A1CC0A0" w14:textId="3A3F522C" w:rsidR="00F21D2A" w:rsidRPr="00DE7555" w:rsidRDefault="00F21D2A" w:rsidP="00E5612A">
            <w:pPr>
              <w:jc w:val="center"/>
              <w:rPr>
                <w:rFonts w:ascii="Times New Roman" w:hAnsi="Times New Roman" w:cs="Times New Roman"/>
                <w:b/>
                <w:lang w:val="en-GB"/>
              </w:rPr>
            </w:pPr>
            <w:r w:rsidRPr="00DE7555">
              <w:rPr>
                <w:rFonts w:ascii="Times New Roman" w:hAnsi="Times New Roman" w:cs="Times New Roman"/>
                <w:b/>
                <w:lang w:val="en-GB"/>
              </w:rPr>
              <w:t>K</w:t>
            </w:r>
            <w:r w:rsidRPr="00DE7555">
              <w:rPr>
                <w:rFonts w:ascii="Times New Roman" w:hAnsi="Times New Roman" w:cs="Times New Roman"/>
                <w:b/>
                <w:vertAlign w:val="subscript"/>
                <w:lang w:val="en-GB"/>
              </w:rPr>
              <w:t>i</w:t>
            </w:r>
          </w:p>
          <w:p w14:paraId="12DC79A1" w14:textId="77777777" w:rsidR="00F21D2A" w:rsidRPr="00DE7555" w:rsidRDefault="00F21D2A" w:rsidP="00E5612A">
            <w:pPr>
              <w:jc w:val="center"/>
              <w:rPr>
                <w:rFonts w:ascii="Times New Roman" w:hAnsi="Times New Roman" w:cs="Times New Roman"/>
                <w:lang w:val="en-GB"/>
              </w:rPr>
            </w:pPr>
            <w:r w:rsidRPr="00DE7555">
              <w:rPr>
                <w:rFonts w:ascii="Times New Roman" w:hAnsi="Times New Roman" w:cs="Times New Roman"/>
                <w:lang w:val="en-GB"/>
              </w:rPr>
              <w:t>(nM)</w:t>
            </w:r>
          </w:p>
          <w:p w14:paraId="1FA45923" w14:textId="77777777" w:rsidR="00DE7555" w:rsidRDefault="00DE7555" w:rsidP="00E5612A">
            <w:pPr>
              <w:jc w:val="center"/>
              <w:rPr>
                <w:rFonts w:ascii="Times New Roman" w:hAnsi="Times New Roman" w:cs="Times New Roman"/>
                <w:b/>
                <w:i/>
                <w:lang w:val="en-GB"/>
              </w:rPr>
            </w:pPr>
            <w:r>
              <w:rPr>
                <w:rFonts w:ascii="Times New Roman" w:hAnsi="Times New Roman" w:cs="Times New Roman"/>
                <w:b/>
                <w:i/>
                <w:lang w:val="en-GB"/>
              </w:rPr>
              <w:t>mean</w:t>
            </w:r>
          </w:p>
          <w:p w14:paraId="14AF87A5" w14:textId="6692154A" w:rsidR="003672BE" w:rsidRPr="00DE7555" w:rsidRDefault="00DE7555" w:rsidP="00E5612A">
            <w:pPr>
              <w:jc w:val="center"/>
              <w:rPr>
                <w:rFonts w:ascii="Times New Roman" w:hAnsi="Times New Roman" w:cs="Times New Roman"/>
                <w:i/>
                <w:lang w:val="en-GB"/>
              </w:rPr>
            </w:pPr>
            <w:r w:rsidRPr="00DE7555">
              <w:rPr>
                <w:rFonts w:ascii="Times New Roman" w:hAnsi="Times New Roman" w:cs="Times New Roman"/>
                <w:i/>
                <w:lang w:val="en-GB"/>
              </w:rPr>
              <w:t>(range or ±</w:t>
            </w:r>
            <w:r w:rsidR="00F36635" w:rsidRPr="00DE7555">
              <w:rPr>
                <w:rFonts w:ascii="Times New Roman" w:hAnsi="Times New Roman" w:cs="Times New Roman"/>
                <w:i/>
                <w:lang w:val="en-GB"/>
              </w:rPr>
              <w:t>SEM</w:t>
            </w:r>
            <w:r w:rsidRPr="00DE7555">
              <w:rPr>
                <w:rFonts w:ascii="Times New Roman" w:hAnsi="Times New Roman" w:cs="Times New Roman"/>
                <w:i/>
                <w:lang w:val="en-GB"/>
              </w:rPr>
              <w:t>)</w:t>
            </w:r>
          </w:p>
        </w:tc>
        <w:tc>
          <w:tcPr>
            <w:tcW w:w="0" w:type="auto"/>
          </w:tcPr>
          <w:p w14:paraId="45000B02" w14:textId="77777777" w:rsidR="00F21D2A" w:rsidRPr="00DE7555" w:rsidRDefault="00F21D2A" w:rsidP="00E5612A">
            <w:pPr>
              <w:jc w:val="center"/>
              <w:rPr>
                <w:rFonts w:ascii="Times New Roman" w:hAnsi="Times New Roman" w:cs="Times New Roman"/>
                <w:b/>
                <w:vertAlign w:val="subscript"/>
                <w:lang w:val="en-GB"/>
              </w:rPr>
            </w:pPr>
            <w:r w:rsidRPr="00DE7555">
              <w:rPr>
                <w:rFonts w:ascii="Times New Roman" w:hAnsi="Times New Roman" w:cs="Times New Roman"/>
                <w:b/>
                <w:lang w:val="en-GB"/>
              </w:rPr>
              <w:t>EC</w:t>
            </w:r>
            <w:r w:rsidRPr="00DE7555">
              <w:rPr>
                <w:rFonts w:ascii="Times New Roman" w:hAnsi="Times New Roman" w:cs="Times New Roman"/>
                <w:b/>
                <w:vertAlign w:val="subscript"/>
                <w:lang w:val="en-GB"/>
              </w:rPr>
              <w:t>50</w:t>
            </w:r>
          </w:p>
          <w:p w14:paraId="48AF5230" w14:textId="77777777" w:rsidR="00F21D2A" w:rsidRPr="00DE7555" w:rsidRDefault="00F21D2A" w:rsidP="00E5612A">
            <w:pPr>
              <w:jc w:val="center"/>
              <w:rPr>
                <w:rFonts w:ascii="Times New Roman" w:hAnsi="Times New Roman" w:cs="Times New Roman"/>
                <w:lang w:val="en-GB"/>
              </w:rPr>
            </w:pPr>
            <w:r w:rsidRPr="00DE7555">
              <w:rPr>
                <w:rFonts w:ascii="Times New Roman" w:hAnsi="Times New Roman" w:cs="Times New Roman"/>
                <w:lang w:val="en-GB"/>
              </w:rPr>
              <w:t>(nM)</w:t>
            </w:r>
          </w:p>
          <w:p w14:paraId="332764D0" w14:textId="77777777" w:rsidR="00DE7555" w:rsidRDefault="00DE7555" w:rsidP="00E5612A">
            <w:pPr>
              <w:jc w:val="center"/>
              <w:rPr>
                <w:rFonts w:ascii="Times New Roman" w:hAnsi="Times New Roman" w:cs="Times New Roman"/>
                <w:b/>
                <w:i/>
                <w:lang w:val="en-GB"/>
              </w:rPr>
            </w:pPr>
            <w:r>
              <w:rPr>
                <w:rFonts w:ascii="Times New Roman" w:hAnsi="Times New Roman" w:cs="Times New Roman"/>
                <w:b/>
                <w:i/>
                <w:lang w:val="en-GB"/>
              </w:rPr>
              <w:t>mean</w:t>
            </w:r>
          </w:p>
          <w:p w14:paraId="6C4F5185" w14:textId="09535908" w:rsidR="00F36635" w:rsidRPr="00DE7555" w:rsidRDefault="00DE7555" w:rsidP="00E5612A">
            <w:pPr>
              <w:jc w:val="center"/>
              <w:rPr>
                <w:rFonts w:ascii="Times New Roman" w:hAnsi="Times New Roman" w:cs="Times New Roman"/>
                <w:b/>
                <w:lang w:val="en-GB"/>
              </w:rPr>
            </w:pPr>
            <w:r w:rsidRPr="00DE7555">
              <w:rPr>
                <w:rFonts w:ascii="Times New Roman" w:hAnsi="Times New Roman" w:cs="Times New Roman"/>
                <w:i/>
                <w:lang w:val="en-GB"/>
              </w:rPr>
              <w:t>(range or ±SEM)</w:t>
            </w:r>
          </w:p>
        </w:tc>
        <w:tc>
          <w:tcPr>
            <w:tcW w:w="0" w:type="auto"/>
          </w:tcPr>
          <w:p w14:paraId="122D07FC" w14:textId="5EEC2BB3" w:rsidR="00F21D2A" w:rsidRPr="00DE7555" w:rsidRDefault="00F21D2A" w:rsidP="00E5612A">
            <w:pPr>
              <w:jc w:val="center"/>
              <w:rPr>
                <w:rFonts w:ascii="Times New Roman" w:hAnsi="Times New Roman" w:cs="Times New Roman"/>
                <w:b/>
                <w:lang w:val="en-GB"/>
              </w:rPr>
            </w:pPr>
            <w:r w:rsidRPr="00DE7555">
              <w:rPr>
                <w:rFonts w:ascii="Times New Roman" w:hAnsi="Times New Roman" w:cs="Times New Roman"/>
                <w:b/>
                <w:lang w:val="en-GB"/>
              </w:rPr>
              <w:t>Action</w:t>
            </w:r>
          </w:p>
        </w:tc>
        <w:tc>
          <w:tcPr>
            <w:tcW w:w="0" w:type="auto"/>
          </w:tcPr>
          <w:p w14:paraId="2E5CDC3D" w14:textId="1147FFCD" w:rsidR="00F21D2A" w:rsidRPr="00DE7555" w:rsidRDefault="00F21D2A" w:rsidP="00E5612A">
            <w:pPr>
              <w:jc w:val="center"/>
              <w:rPr>
                <w:rFonts w:ascii="Times New Roman" w:hAnsi="Times New Roman" w:cs="Times New Roman"/>
                <w:b/>
                <w:lang w:val="en-GB"/>
              </w:rPr>
            </w:pPr>
            <w:r w:rsidRPr="00DE7555">
              <w:rPr>
                <w:rFonts w:ascii="Times New Roman" w:hAnsi="Times New Roman" w:cs="Times New Roman"/>
                <w:b/>
                <w:lang w:val="en-GB"/>
              </w:rPr>
              <w:t>K</w:t>
            </w:r>
            <w:r w:rsidRPr="00DE7555">
              <w:rPr>
                <w:rFonts w:ascii="Times New Roman" w:hAnsi="Times New Roman" w:cs="Times New Roman"/>
                <w:b/>
                <w:vertAlign w:val="subscript"/>
                <w:lang w:val="en-GB"/>
              </w:rPr>
              <w:t>i</w:t>
            </w:r>
          </w:p>
          <w:p w14:paraId="26F112F6" w14:textId="77777777" w:rsidR="00F21D2A" w:rsidRPr="00DE7555" w:rsidRDefault="00F21D2A" w:rsidP="00E5612A">
            <w:pPr>
              <w:jc w:val="center"/>
              <w:rPr>
                <w:rFonts w:ascii="Times New Roman" w:hAnsi="Times New Roman" w:cs="Times New Roman"/>
                <w:lang w:val="en-GB"/>
              </w:rPr>
            </w:pPr>
            <w:r w:rsidRPr="00DE7555">
              <w:rPr>
                <w:rFonts w:ascii="Times New Roman" w:hAnsi="Times New Roman" w:cs="Times New Roman"/>
                <w:lang w:val="en-GB"/>
              </w:rPr>
              <w:t>(nM)</w:t>
            </w:r>
          </w:p>
          <w:p w14:paraId="6CB5B288" w14:textId="77777777" w:rsidR="00DE7555" w:rsidRDefault="00DE7555" w:rsidP="00E5612A">
            <w:pPr>
              <w:jc w:val="center"/>
              <w:rPr>
                <w:rFonts w:ascii="Times New Roman" w:hAnsi="Times New Roman" w:cs="Times New Roman"/>
                <w:b/>
                <w:i/>
                <w:lang w:val="en-GB"/>
              </w:rPr>
            </w:pPr>
            <w:r>
              <w:rPr>
                <w:rFonts w:ascii="Times New Roman" w:hAnsi="Times New Roman" w:cs="Times New Roman"/>
                <w:b/>
                <w:i/>
                <w:lang w:val="en-GB"/>
              </w:rPr>
              <w:t>mean</w:t>
            </w:r>
          </w:p>
          <w:p w14:paraId="2CF3708D" w14:textId="36037845" w:rsidR="00F36635" w:rsidRPr="00DE7555" w:rsidRDefault="00DE7555" w:rsidP="00E5612A">
            <w:pPr>
              <w:jc w:val="center"/>
              <w:rPr>
                <w:rFonts w:ascii="Times New Roman" w:hAnsi="Times New Roman" w:cs="Times New Roman"/>
                <w:b/>
                <w:lang w:val="en-GB"/>
              </w:rPr>
            </w:pPr>
            <w:r w:rsidRPr="00DE7555">
              <w:rPr>
                <w:rFonts w:ascii="Times New Roman" w:hAnsi="Times New Roman" w:cs="Times New Roman"/>
                <w:i/>
                <w:lang w:val="en-GB"/>
              </w:rPr>
              <w:t>(range or ±SEM)</w:t>
            </w:r>
          </w:p>
        </w:tc>
        <w:tc>
          <w:tcPr>
            <w:tcW w:w="0" w:type="auto"/>
          </w:tcPr>
          <w:p w14:paraId="5B8D55A2" w14:textId="77777777" w:rsidR="00F21D2A" w:rsidRPr="00DE7555" w:rsidRDefault="00F21D2A" w:rsidP="00E5612A">
            <w:pPr>
              <w:jc w:val="center"/>
              <w:rPr>
                <w:rFonts w:ascii="Times New Roman" w:hAnsi="Times New Roman" w:cs="Times New Roman"/>
                <w:b/>
                <w:vertAlign w:val="subscript"/>
                <w:lang w:val="en-GB"/>
              </w:rPr>
            </w:pPr>
            <w:r w:rsidRPr="00DE7555">
              <w:rPr>
                <w:rFonts w:ascii="Times New Roman" w:hAnsi="Times New Roman" w:cs="Times New Roman"/>
                <w:b/>
                <w:lang w:val="en-GB"/>
              </w:rPr>
              <w:t>EC</w:t>
            </w:r>
            <w:r w:rsidRPr="00DE7555">
              <w:rPr>
                <w:rFonts w:ascii="Times New Roman" w:hAnsi="Times New Roman" w:cs="Times New Roman"/>
                <w:b/>
                <w:vertAlign w:val="subscript"/>
                <w:lang w:val="en-GB"/>
              </w:rPr>
              <w:t>50</w:t>
            </w:r>
          </w:p>
          <w:p w14:paraId="0B43AB11" w14:textId="77777777" w:rsidR="00F21D2A" w:rsidRPr="00DE7555" w:rsidRDefault="00F21D2A" w:rsidP="00E5612A">
            <w:pPr>
              <w:jc w:val="center"/>
              <w:rPr>
                <w:rFonts w:ascii="Times New Roman" w:hAnsi="Times New Roman" w:cs="Times New Roman"/>
                <w:lang w:val="en-GB"/>
              </w:rPr>
            </w:pPr>
            <w:r w:rsidRPr="00DE7555">
              <w:rPr>
                <w:rFonts w:ascii="Times New Roman" w:hAnsi="Times New Roman" w:cs="Times New Roman"/>
                <w:lang w:val="en-GB"/>
              </w:rPr>
              <w:t>(nM)</w:t>
            </w:r>
          </w:p>
          <w:p w14:paraId="58534BA3" w14:textId="77777777" w:rsidR="00F36635" w:rsidRDefault="00F36635" w:rsidP="00E5612A">
            <w:pPr>
              <w:jc w:val="center"/>
              <w:rPr>
                <w:rFonts w:ascii="Times New Roman" w:hAnsi="Times New Roman" w:cs="Times New Roman"/>
                <w:b/>
                <w:i/>
                <w:lang w:val="en-GB"/>
              </w:rPr>
            </w:pPr>
            <w:r w:rsidRPr="00DE7555">
              <w:rPr>
                <w:rFonts w:ascii="Times New Roman" w:hAnsi="Times New Roman" w:cs="Times New Roman"/>
                <w:b/>
                <w:i/>
                <w:lang w:val="en-GB"/>
              </w:rPr>
              <w:t>mean</w:t>
            </w:r>
          </w:p>
          <w:p w14:paraId="2D3C7C3E" w14:textId="4224B1ED" w:rsidR="00DE7555" w:rsidRPr="00DE7555" w:rsidRDefault="00DE7555" w:rsidP="00E5612A">
            <w:pPr>
              <w:jc w:val="center"/>
              <w:rPr>
                <w:rFonts w:ascii="Times New Roman" w:hAnsi="Times New Roman" w:cs="Times New Roman"/>
                <w:b/>
                <w:lang w:val="en-GB"/>
              </w:rPr>
            </w:pPr>
            <w:r w:rsidRPr="00DE7555">
              <w:rPr>
                <w:rFonts w:ascii="Times New Roman" w:hAnsi="Times New Roman" w:cs="Times New Roman"/>
                <w:i/>
                <w:lang w:val="en-GB"/>
              </w:rPr>
              <w:t>(range or ±SEM)</w:t>
            </w:r>
          </w:p>
        </w:tc>
        <w:tc>
          <w:tcPr>
            <w:tcW w:w="0" w:type="auto"/>
          </w:tcPr>
          <w:p w14:paraId="162DB934" w14:textId="2555542F" w:rsidR="00F21D2A" w:rsidRPr="00DE7555" w:rsidRDefault="00F21D2A" w:rsidP="00E5612A">
            <w:pPr>
              <w:jc w:val="center"/>
              <w:rPr>
                <w:rFonts w:ascii="Times New Roman" w:hAnsi="Times New Roman" w:cs="Times New Roman"/>
                <w:b/>
                <w:lang w:val="en-GB"/>
              </w:rPr>
            </w:pPr>
            <w:r w:rsidRPr="00DE7555">
              <w:rPr>
                <w:rFonts w:ascii="Times New Roman" w:hAnsi="Times New Roman" w:cs="Times New Roman"/>
                <w:b/>
                <w:lang w:val="en-GB"/>
              </w:rPr>
              <w:t>Action</w:t>
            </w:r>
          </w:p>
        </w:tc>
        <w:tc>
          <w:tcPr>
            <w:tcW w:w="0" w:type="auto"/>
            <w:vMerge/>
          </w:tcPr>
          <w:p w14:paraId="1231A020" w14:textId="778D451B" w:rsidR="00F21D2A" w:rsidRPr="00DE7555" w:rsidRDefault="00F21D2A" w:rsidP="00E5612A">
            <w:pPr>
              <w:rPr>
                <w:rFonts w:ascii="Times New Roman" w:hAnsi="Times New Roman" w:cs="Times New Roman"/>
                <w:b/>
                <w:vertAlign w:val="subscript"/>
                <w:lang w:val="en-GB"/>
              </w:rPr>
            </w:pPr>
          </w:p>
        </w:tc>
        <w:tc>
          <w:tcPr>
            <w:tcW w:w="0" w:type="auto"/>
            <w:vMerge/>
          </w:tcPr>
          <w:p w14:paraId="5AC9A852" w14:textId="72CED789" w:rsidR="00F21D2A" w:rsidRPr="00DE7555" w:rsidRDefault="00F21D2A" w:rsidP="00E5612A">
            <w:pPr>
              <w:rPr>
                <w:rFonts w:ascii="Times New Roman" w:hAnsi="Times New Roman" w:cs="Times New Roman"/>
                <w:b/>
                <w:lang w:val="en-GB"/>
              </w:rPr>
            </w:pPr>
          </w:p>
        </w:tc>
      </w:tr>
      <w:tr w:rsidR="00043312" w:rsidRPr="008178CC" w14:paraId="6D5B3C81" w14:textId="77777777" w:rsidTr="00DE7555">
        <w:tc>
          <w:tcPr>
            <w:tcW w:w="0" w:type="auto"/>
            <w:gridSpan w:val="9"/>
          </w:tcPr>
          <w:p w14:paraId="3F8BB2E8" w14:textId="118EEB3E" w:rsidR="00F21D2A" w:rsidRPr="00DE7555" w:rsidRDefault="00F21D2A" w:rsidP="00724E70">
            <w:pPr>
              <w:rPr>
                <w:rFonts w:ascii="Times New Roman" w:hAnsi="Times New Roman" w:cs="Times New Roman"/>
                <w:lang w:val="en-GB"/>
              </w:rPr>
            </w:pPr>
            <w:r w:rsidRPr="00DE7555">
              <w:rPr>
                <w:rFonts w:ascii="Times New Roman" w:hAnsi="Times New Roman" w:cs="Times New Roman"/>
                <w:b/>
                <w:lang w:val="en-GB"/>
              </w:rPr>
              <w:t>Non selective CB</w:t>
            </w:r>
            <w:r w:rsidRPr="00DE7555">
              <w:rPr>
                <w:rFonts w:ascii="Times New Roman" w:hAnsi="Times New Roman" w:cs="Times New Roman"/>
                <w:b/>
                <w:vertAlign w:val="subscript"/>
                <w:lang w:val="en-GB"/>
              </w:rPr>
              <w:t>1</w:t>
            </w:r>
            <w:r w:rsidRPr="00DE7555">
              <w:rPr>
                <w:rFonts w:ascii="Times New Roman" w:hAnsi="Times New Roman" w:cs="Times New Roman"/>
                <w:b/>
                <w:lang w:val="en-GB"/>
              </w:rPr>
              <w:t xml:space="preserve"> and CB</w:t>
            </w:r>
            <w:r w:rsidRPr="00DE7555">
              <w:rPr>
                <w:rFonts w:ascii="Times New Roman" w:hAnsi="Times New Roman" w:cs="Times New Roman"/>
                <w:b/>
                <w:vertAlign w:val="subscript"/>
                <w:lang w:val="en-GB"/>
              </w:rPr>
              <w:t>2</w:t>
            </w:r>
            <w:r w:rsidRPr="00DE7555">
              <w:rPr>
                <w:rFonts w:ascii="Times New Roman" w:hAnsi="Times New Roman" w:cs="Times New Roman"/>
                <w:b/>
                <w:lang w:val="en-GB"/>
              </w:rPr>
              <w:t xml:space="preserve"> agonists</w:t>
            </w:r>
          </w:p>
        </w:tc>
      </w:tr>
      <w:tr w:rsidR="00E5612A" w:rsidRPr="008178CC" w14:paraId="3E114647" w14:textId="77777777" w:rsidTr="00DE7555">
        <w:tc>
          <w:tcPr>
            <w:tcW w:w="0" w:type="auto"/>
          </w:tcPr>
          <w:p w14:paraId="3A4CA2EC"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(–)-Δ</w:t>
            </w:r>
            <w:r w:rsidRPr="00DE7555">
              <w:rPr>
                <w:rFonts w:ascii="Times New Roman" w:hAnsi="Times New Roman" w:cs="Times New Roman"/>
                <w:vertAlign w:val="superscript"/>
                <w:lang w:val="en-GB"/>
              </w:rPr>
              <w:t>9</w:t>
            </w:r>
            <w:r w:rsidRPr="00DE7555">
              <w:rPr>
                <w:rFonts w:ascii="Times New Roman" w:hAnsi="Times New Roman" w:cs="Times New Roman"/>
                <w:lang w:val="en-GB"/>
              </w:rPr>
              <w:t xml:space="preserve">-THC </w:t>
            </w:r>
          </w:p>
          <w:p w14:paraId="29131AE3" w14:textId="77777777" w:rsidR="00E5612A" w:rsidRPr="00DE7555" w:rsidRDefault="00E5612A" w:rsidP="00724E70">
            <w:pPr>
              <w:rPr>
                <w:rFonts w:ascii="Times New Roman" w:hAnsi="Times New Roman" w:cs="Times New Roman"/>
                <w:lang w:val="en-GB"/>
              </w:rPr>
            </w:pPr>
            <w:r>
              <w:rPr>
                <w:rFonts w:ascii="Times New Roman" w:hAnsi="Times New Roman" w:cs="Times New Roman"/>
                <w:lang w:val="en-GB"/>
              </w:rPr>
              <w:t>aka d</w:t>
            </w:r>
            <w:r w:rsidRPr="00DE7555">
              <w:rPr>
                <w:rFonts w:ascii="Times New Roman" w:hAnsi="Times New Roman" w:cs="Times New Roman"/>
                <w:lang w:val="en-GB"/>
              </w:rPr>
              <w:t>ronabinol</w:t>
            </w:r>
          </w:p>
        </w:tc>
        <w:tc>
          <w:tcPr>
            <w:tcW w:w="0" w:type="auto"/>
          </w:tcPr>
          <w:p w14:paraId="5CFB2DFC"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5.05–80.3</w:t>
            </w:r>
          </w:p>
        </w:tc>
        <w:tc>
          <w:tcPr>
            <w:tcW w:w="0" w:type="auto"/>
          </w:tcPr>
          <w:p w14:paraId="2B200D3E"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7A8BE32"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partial agonist</w:t>
            </w:r>
          </w:p>
        </w:tc>
        <w:tc>
          <w:tcPr>
            <w:tcW w:w="0" w:type="auto"/>
          </w:tcPr>
          <w:p w14:paraId="6F954041"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3.13–75.3</w:t>
            </w:r>
          </w:p>
        </w:tc>
        <w:tc>
          <w:tcPr>
            <w:tcW w:w="0" w:type="auto"/>
          </w:tcPr>
          <w:p w14:paraId="4BCEF161"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D0EE224"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partial agonist</w:t>
            </w:r>
          </w:p>
        </w:tc>
        <w:tc>
          <w:tcPr>
            <w:tcW w:w="0" w:type="auto"/>
          </w:tcPr>
          <w:p w14:paraId="1F0658FF"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t>Na</w:t>
            </w:r>
            <w:r w:rsidRPr="00DE7555">
              <w:rPr>
                <w:rFonts w:ascii="Times New Roman" w:hAnsi="Times New Roman" w:cs="Times New Roman"/>
                <w:vertAlign w:val="superscript"/>
                <w:lang w:val="en-GB"/>
              </w:rPr>
              <w:t>+</w:t>
            </w:r>
            <w:r w:rsidRPr="00DE7555">
              <w:rPr>
                <w:rFonts w:ascii="Times New Roman" w:hAnsi="Times New Roman" w:cs="Times New Roman"/>
                <w:lang w:val="en-GB"/>
              </w:rPr>
              <w:t xml:space="preserve"> channels, glycine receptors, 5-HT</w:t>
            </w:r>
            <w:r w:rsidRPr="00DE7555">
              <w:rPr>
                <w:rFonts w:ascii="Times New Roman" w:hAnsi="Times New Roman" w:cs="Times New Roman"/>
                <w:vertAlign w:val="subscript"/>
                <w:lang w:val="en-GB"/>
              </w:rPr>
              <w:t>3A</w:t>
            </w:r>
            <w:r w:rsidRPr="00DE7555">
              <w:rPr>
                <w:rFonts w:ascii="Times New Roman" w:hAnsi="Times New Roman" w:cs="Times New Roman"/>
                <w:lang w:val="en-GB"/>
              </w:rPr>
              <w:t xml:space="preserve"> receptors, noradrenaline transporter, dopamine transporter, 5-HT transporter, GPR55, GPR18, TPRV2, TRPA1, TRPM8, μ– and δ-opioid receptors</w:t>
            </w:r>
          </w:p>
        </w:tc>
        <w:tc>
          <w:tcPr>
            <w:tcW w:w="0" w:type="auto"/>
          </w:tcPr>
          <w:p w14:paraId="5190E0EA"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{"citationItems":[{"id":"ITEM-1","itemData":{"DOI":"10.1038/sj.bjp.0707442","ISSN":"00071188","author":[{"dropping-particle":"","family":"Pertwee","given":"R G","non-dropping-particle":"","parse-names":false,"suffix":""}],"container-title":"British Journal of Pharmacology","id":"ITEM-1","issue":"2","issued":{"date-parts":[["2008","1","1"]]},"page":"199-215","publisher":"John Wiley &amp; Sons, Ltd (10.1111)","title":"The diverse CB &lt;sub&gt;1&lt;/sub&gt; and CB &lt;sub&gt;2&lt;/sub&gt; receptor pharmacology of three plant cannabinoids: Δ &lt;sup&gt;9&lt;/sup&gt; -tetrahydrocannabinol, cannabidiol and Δ &lt;sup&gt;9&lt;/sup&gt; -tetrahydrocannabivarin","type":"article-journal","volume":"153"},"uris":["http://www.mendeley.com/documents/?uuid=3459e2bf-b6bd-3545-bf1d-d278858f11cf"]},{"id":"ITEM-2","itemData":{"DOI":"10.1016/j.pharmthera.2005.09.009","ISSN":"01637258","PMID":"16584786","abstract":"Cannabinoids are a structurally diverse group of mostly lipophilic molecules that bind to cannabinoid receptors. In fact, endogenous cannabinoids (endocannabinoids) are a class of signaling lipids consisting of amides and esters of long-chain polyunsaturated fatty acids. They are synthesized from lipid precursors in plasma membranes via Ca(2+) or G-protein-dependent processes and exhibit cannabinoid-like actions by binding to cannabinoid receptors. However, endocannabinoids can produce effects that are not mediated by these receptors. In pharmacologically relevant concentrations, endocannabinoids modulate the functional properties of voltage-gated ion channels including Ca(2+) channels, Na(+) channels, various types of K(+) channels, and ligand-gated ion channels such as serotonin type 3, nicotinic acetylcholine, and glycine receptors. In addition, modulatory effects of endocannabinoids on other ion-transporting membrane proteins such as transient potential receptor-class channels, gap junctions and transporters for neurotransmitters have also been demonstrated. Furthermore, functional properties of G-protein-coupled receptors for different types of neurotransmitters and neuropeptides are altered by direct actions of endocannabinoids. Although the mechanisms of these effects are currently not clear, it is likely that these direct actions of endocannabinoids are due to their lipophilic structures. These findings indicate that additional molecular targets for endocannabinoids exist and that these targets may represent novel sites for cannabinoids to alter either the excitability of the neurons or the response of the neuronal systems. This review focuses on the results of recent studies indicating that beyond their receptor-mediated effects, endocannabinoids alter the functions of ion channels and other integral membrane proteins directly.","author":[{"dropping-particle":"","family":"Oz","given":"Murat","non-dropping-particle":"","parse-names":false,"suffix":""}],"container-title":"Pharmacology &amp; Therapeutics","id":"ITEM-2","issue":"1","issued":{"date-parts":[["2006","7"]]},"page":"114-144","title":"Receptor-independent actions of cannabinoids on cell membranes: Focus on endocannabinoids","type":"article-journal","volume":"111"},"uris":["http://www.mendeley.com/documents/?uuid=a418f82c-c366-31bd-97b6-d4fe3ef39a87"]},{"id":"ITEM-3","itemData":{"DOI":"10.1007/s10681-004-4756-9","abstract":"Cannabis is the unique source of a set of at least 66 compounds known collectively as cannabinoids. Of these, most is known about the pharmacology of Δ 9 -tetrahydrocannabinol (Δ 9 -THC), the main psychoactive constituent of cannabis, and about cannabidiol (CBD), which lacks psychoactivity. Accordingly, this paper focuses on the pharmacological and therapeutic targets of these two cannabinoids. Many of the effects of Δ 9 -THC are mediated by cannabinoid receptors of which at least two types, CB 1 and CB 2 , are present in mammalian tissues. Endogenous agonists for cannabinoid receptors have also been discovered. CB 1 receptors are present at the terminals of central and peripheral neurones, where they modulate transmitter release. They also exist in some non-neuronal cells. CB 2 receptors are expressed mainly by immune cells, one of their roles being to alter cytokine release. Δ 9 - THC also appears to have non-CB 1 , non-CB 2 pharmacological targets. It is already licensed for clinical use in the U.S.A. as an anti-emetic and appetite stimulant and both Δ 9 -THC and Δ 9 -THC-rich cannabis extracts show therapeutic potential as neuroprotective and anticancer agents and for the management of glaucoma, pain and various kinds of motor dysfunction associated, for example, with multiple sclerosis and spinal cord injury. CBD has much less affinity for CB 1 and CB 2 receptors than Δ 9 -THC and its pharmacological actions have been less well characterized. Potential clinical applications of CBD and CBD-rich cannabis extracts include the production of anti-inflammatory and neuroprotective effects, the management of epilepsy, anxiety disorders, glaucoma and nausea, and the modulation of some effects of Δ 9 -THC. © 2004 Kluwer Academic Publishers.","author":[{"dropping-particle":"","family":"Pertwee","given":"R.G.","non-dropping-particle":"","parse-names":false,"suffix":""}],"container-title":"Euphytica","id":"ITEM-3","issue":"1-2","issued":{"date-parts":[["2004"]]},"page":"73-82","title":"Pharmacological and therapeutic targets for Δ&lt;sup&gt;9&lt;/sup&gt;- tetrahydrocannabinol and cannabidiol","type":"article-journal","volume":"140"},"uris":["http://www.mendeley.com/documents/?uuid=46116f80-9088-3794-917c-f1ce38c7771d"]},{"id":"ITEM-4","itemData":{"ISSN":"0163-7258","PMID":"3279430","author":[{"dropping-particle":"","family":"Pertwee","given":"R G","non-dropping-particle":"","parse-names":false,"suffix":""}],"container-title":"Pharmacology &amp; therapeutics","id":"ITEM-4","issue":"2-3","issued":{"date-parts":[["1988"]]},"page":"189-261","title":"The central neuropharmacology of psychotropic cannabinoids.","type":"article-journal","volume":"36"},"uris":["http://www.mendeley.com/documents/?uuid=28593a77-9452-30d3-a19b-5b990754774f"]},{"id":"ITEM-5","itemData":{"DOI":"10.1038/sj.bjp.0707460","ISSN":"0007-1188","PMID":"17876302","abstract":"BACKGROUND The endocannabinoid system functions through two well characterized receptor systems, the CB1 and CB2 receptors. Work by a number of groups in recent years has provided evidence that the system is more complicated and additional receptor types should exist to explain ligand activity in a number of physiological processes. EXPERIMENTAL APPROACH Cells transfected with the human cDNA for GPR55 were tested for their ability to bind and to mediate GTPgammaS binding by cannabinoid ligands. Using an antibody and peptide blocking approach, the nature of the G-protein coupling was determined and further demonstrated by measuring activity of downstream signalling pathways. KEY RESULTS We demonstrate that GPR55 binds to and is activated by the cannabinoid ligand CP55940. In addition endocannabinoids including anandamide and virodhamine activate GTPgammaS binding via GPR55 with nM potencies. Ligands such as cannabidiol and abnormal cannabidiol which exhibit no CB1 or CB2 activity and are believed to function at a novel cannabinoid receptor, also showed activity at GPR55. GPR55 couples to Galpha13 and can mediate activation of rhoA, cdc42 and rac1. CONCLUSIONS These data suggest that GPR55 is a novel cannabinoid receptor, and its ligand profile with respect to CB1 and CB2 described here will permit delineation of its physiological function(s).","author":[{"dropping-particle":"","family":"Ryberg","given":"E","non-dropping-particle":"","parse-names":false,"suffix":""},{"dropping-particle":"","family":"Larsson","given":"N","non-dropping-particle":"","parse-names":false,"suffix":""},{"dropping-particle":"","family":"Sjögren","given":"S","non-dropping-particle":"","parse-names":false,"suffix":""},{"dropping-particle":"","family":"Hjorth","given":"S","non-dropping-particle":"","parse-names":false,"suffix":""},{"dropping-particle":"","family":"Hermansson","given":"N-O","non-dropping-particle":"","parse-names":false,"suffix":""},{"dropping-particle":"","family":"Leonova","given":"J","non-dropping-particle":"","parse-names":false,"suffix":""},{"dropping-particle":"","family":"Elebring","given":"T","non-dropping-particle":"","parse-names":false,"suffix":""},{"dropping-particle":"","family":"Nilsson","given":"K","non-dropping-particle":"","parse-names":false,"suffix":""},{"dropping-particle":"","family":"Drmota","given":"T","non-dropping-particle":"","parse-names":false,"suffix":""},{"dropping-particle":"","family":"Greasley","given":"P J","non-dropping-particle":"","parse-names":false,"suffix":""}],"container-title":"British journal of pharmacology","id":"ITEM-5","issue":"7","issued":{"date-parts":[["2007","12"]]},"page":"1092-101","publisher":"Wiley-Blackwell","title":"The orphan receptor GPR55 is a novel cannabinoid receptor.","type":"article-journal","volume":"152"},"uris":["http://www.mendeley.com/documents/?uuid=7b15009a-ede0-312f-8c01-a39ff5d738cb"]},{"id":"ITEM-6","itemData":{"DOI":"10.1111/j.1476-5381.2011.01497.x","ISSN":"00071188","PMID":"21595653","abstract":"BACKGROUND AND PURPOSE Endometriosis is a disorder in which the endometrium forms growths outside the uterus and is associated with chronic pain. Recent evidence suggests that endometrial motility plays a role in the aetiology of endometriosis. The endocannabinoid system regulates cellular migration. Given the growing involvement of the endocannabinoids in reproduction, we investigated the role of the endocannabinoid system in migration of endometrial cells. EXPERIMENTAL APPROACH Migration of the human endometrial HEC-1B cells was assayed. Standard PCR techniques were used to determine the presence of the GPCR, GPR18, in HEC-1B cells, and p44/42 MAPK was assayed in stably transfected HEK293-GPR18 cells to determine receptor specificity for known cannabinoid agonists and antagonists. N-arachidonoyl ethanolamine (AEA) metabolism was measured, using HPLC/MS/MS for lipid analysis. KEY RESULTS AEA, Δ(9) -tetrahydrocannabinol (Δ(9) -THC) and N-arachidonoyl glycine (NAGly) induce migration of HEC-1B cells through cannabinoid CB(1) receptor-independent mechanisms. MAPK activation in HEK293-GPR18 cells revealed novel pharmacology for known CB(1) and CB(2) receptor ligands at GPR18 receptors, including Δ(9) -THC, which activates MAPK at nanomolar concentrations, whereas WIN 55212-2, CP55940, JWH-133 and JWH-015, and arachidonyl-1-hydroxy-2-propylamide (R1-methanandamide) had no effect. Moreover, HEC-1B migration and MAPK activation by NAGly and Δ(9) -THC were antagonized by Pertussis toxin, AM251 and cannabidiol. CONCLUSIONS AND IMPLICATIONS An understanding of the function and regulation of GPR18 and its molecular interactions with endogenous ligands, and how phytocannabinoids play a role with GPR18 signalling is vital if we are to comprehensively assess the function of the cannabinoid signalling system in human health and disease. LINKED ARTICLES This article is commented on by Alexander, pp. 2411-2413 of this issue and is part of a themed section on Cannabinoids in Biology and Medicine. To view Alexander visit http://dx.doi.org/10.1111/j.1476-5381.2011.01731.x. To view the other articles in this section visit http://dx.doi.org/10.1111/bph.2012.165.issue-8. To view Part I of Cannabinoids in Biology and Medicine visit http://dx.doi.org/10.1111/bph.2011.163.issue-7.","author":[{"dropping-particle":"","family":"McHugh","given":"Douglas","non-dropping-particle":"","parse-names":false,"suffix":""},{"dropping-particle":"","family":"Page","given":"Jeremy","non-dropping-particle":"","parse-names":false,"suffix":""},{"dropping-particle":"","family":"Dunn","given":"Emily","non-dropping-particle":"","parse-names":false,"suffix":""},{"dropping-particle":"","family":"Bradshaw","given":"Heather B","non-dropping-particle":"","parse-names":false,"suffix":""}],"container-title":"British Journal of Pharmacology","id":"ITEM-6","issue":"8","issued":{"date-parts":[["2012","4"]]},"page":"2414-2424","title":"Δ9-Tetrahydrocannabinol and N-arachidonyl glycine are full agonists at GPR18 receptors and induce migration in human endometrial HEC-1B cells","type":"article-journal","volume":"165"},"uris":["http://www.mendeley.com/documents/?uuid=ddf629f7-67f0-3916-bd9b-2dcbb46c1ff2"]},{"id":"ITEM-7","itemData":{"DOI":"10.1038/nature02282","ISSN":"0028-0836","PMID":"14712238","abstract":"Wasabi, horseradish and mustard owe their pungency to isothiocyanate compounds. Topical application of mustard oil (allyl isothiocyanate) to the skin activates underlying sensory nerve endings, thereby producing pain, inflammation and robust hypersensitivity to thermal and mechanical stimuli. Despite their widespread use in both the kitchen and the laboratory, the molecular mechanism through which isothiocyanates mediate their effects remains unknown. Here we show that mustard oil depolarizes a subpopulation of primary sensory neurons that are also activated by capsaicin, the pungent ingredient in chilli peppers, and by Delta(9)-tetrahydrocannabinol (THC), the psychoactive component of marijuana. Both allyl isothiocyanate and THC mediate their excitatory effects by activating ANKTM1, a member of the TRP ion channel family recently implicated in the detection of noxious cold. These findings identify a cellular and molecular target for the pungent action of mustard oils and support an emerging role for TRP channels as ionotropic cannabinoid receptors.","author":[{"dropping-particle":"","family":"Jordt","given":"Sven-Eric","non-dropping-particle":"","parse-names":false,"suffix":""},{"dropping-particle":"","family":"Bautista","given":"Diana M.","non-dropping-particle":"","parse-names":false,"suffix":""},{"dropping-particle":"","family":"Chuang","given":"Huai-hu","non-dropping-particle":"","parse-names":false,"suffix":""},{"dropping-particle":"","family":"McKemy","given":"David D.","non-dropping-particle":"","parse-names":false,"suffix":""},{"dropping-particle":"","family":"Zygmunt","given":"Peter M.","non-dropping-particle":"","parse-names":false,"suffix":""},{"dropping-particle":"","family":"Högestätt","given":"Edward D.","non-dropping-particle":"","parse-names":false,"suffix":""},{"dropping-particle":"","family":"Meng","given":"Ian D.","non-dropping-particle":"","parse-names":false,"suffix":""},{"dropping-particle":"","family":"Julius","given":"David","non-dropping-particle":"","parse-names":false,"suffix":""}],"container-title":"Nature","id":"ITEM-7","issue":"6971","issued":{"date-parts":[["2004","1","7"]]},"page":"260-265","title":"Mustard oils and cannabinoids excite sensory nerve fibres through the TRP channel ANKTM1","type":"article-journal","volume":"427"},"uris":["http://www.mendeley.com/documents/?uuid=dd6a033d-f17f-3793-91b4-cd8952365153"]},{"id":"ITEM-8","itemData":{"DOI":"10.1523/JNEUROSCI.0504-08.2008","ISSN":"0270-6474","PMID":"18550765","abstract":"Transient receptor potential V2 (TRPV2) has been proposed to be a high-threshold thermosensor. However, further elucidation of the channel properties and physiological role of TRPV2 have been hindered by the lack of selective pharmacological tools as well as by the species-dependent differences in the activation of this channel. In the present study, we have used cell-based calcium mobilization and electrophysiological assays to identify and characterize several novel cannabinoid TRPV2 agonists. Among these, cannabidiol was found to be the most robust and potent (EC(50) = 3.7 microM), followed by Delta(9)-tetrahydrocannabinol (EC(50) = 14 microM) and cannabinol (EC(50) = 77.7 microM). We also demonstrated that cannabidiol evoked a concentration-dependent release of calcitonin gene-related peptide (CGRP) from cultured rat dorsal root ganglion neurons in a cannabinoid receptor- and TRPV1-independent manner. Moreover, the cannabidiol-evoked CGRP release depended on extracellular calcium and was blocked by the nonselective TRP channel blocker, ruthenium red. We further provide evidence through the use of small interfering RNA knockdown and repetitive stimulation studies, to show that cannabidiol-evoked CGRP release is mediated, at least in part, by TRPV2. Together, these data suggest not only that TRPV2 may comprise a mechanism whereby cannabidiol exerts its clinically beneficial effects in vivo, but also that TRPV2 may constitute a viable, new drug target.","author":[{"dropping-particle":"","family":"Qin","given":"N.","non-dropping-particle":"","parse-names":false,"suffix":""},{"dropping-particle":"","family":"Neeper","given":"M. P.","non-dropping-particle":"","parse-names":false,"suffix":""},{"dropping-particle":"","family":"Liu","given":"Y.","non-dropping-particle":"","parse-names":false,"suffix":""},{"dropping-particle":"","family":"Hutchinson","given":"T. L.","non-dropping-particle":"","parse-names":false,"suffix":""},{"dropping-particle":"","family":"Lubin","given":"M. L.","non-dropping-particle":"","parse-names":false,"suffix":""},{"dropping-particle":"","family":"Flores","given":"C. M.","non-dropping-particle":"","parse-names":false,"suffix":""}],"container-title":"Journal of Neuroscience","id":"ITEM-8","issue":"24","issued":{"date-parts":[["2008","6","11"]]},"page":"6231-6238","title":"TRPV2 Is Activated by Cannabidiol and Mediates CGRP Release in Cultured Rat Dorsal Root Ganglion Neurons","type":"article-journal","volume":"28"},"uris":["http://www.mendeley.com/documents/?uuid=89261259-3179-38dd-ad48-c4cfa96f0011"]},{"id":"ITEM-9","itemData":{"DOI":"10.1074/jbc.M109.050187","ISSN":"0021-9258","PMID":"19723626","abstract":"The cannabinoid receptor 1 (CB(1)) and CB(2) cannabinoid receptors, associated with drugs of abuse, may provide a means to treat pain, mood, and addiction disorders affecting widespread segments of society. Whether the orphan G-protein coupled receptor GPR55 is also a cannabinoid receptor remains unclear as a result of conflicting pharmacological studies. GPR55 has been reported to be activated by exogenous and endogenous cannabinoid compounds but surprisingly also by the endogenous non-cannabinoid mediator lysophosphatidylinositol (LPI). We examined the effects of a representative panel of cannabinoid ligands and LPI on GPR55 using a beta-arrestin-green fluorescent protein biosensor as a direct readout of agonist-mediated receptor activation. Our data demonstrate that AM251 and SR141716A (rimonabant), which are cannabinoid antagonists, and the lipid LPI, which is not a cannabinoid receptor ligand, are GPR55 agonists. They possess comparable efficacy in inducing beta-arrestin trafficking and, moreover, activate the G-protein-dependent signaling of protein kinase CbetaII. Conversely, the potent synthetic cannabinoid agonist CP55,940 acts as a GPR55 antagonist/partial agonist. CP55,940 blocks GPR55 internalization, the formation of beta-arrestin GPR55 complexes, and the phosphorylation of ERK1/2; CP55,940 produces only a slight amount of protein kinase CbetaII membrane recruitment but does not stimulate membrane remodeling like LPI, AM251, or rimonabant. Our studies provide a paradigm for measuring the responsiveness of GPR55 to a variety of ligand scaffolds comprising cannabinoid and novel compounds and suggest that at best GPR55 is an atypical cannabinoid responder. The activation of GPR55 by rimonabant may be responsible for some of the off-target effects that led to its removal as a potential obesity therapy.","author":[{"dropping-particle":"","family":"Kapur","given":"Ankur","non-dropping-particle":"","parse-names":false,"suffix":""},{"dropping-particle":"","family":"Zhao","given":"Pingwei","non-dropping-particle":"","parse-names":false,"suffix":""},{"dropping-particle":"","family":"Sharir","given":"Haleli","non-dropping-particle":"","parse-names":false,"suffix":""},{"dropping-particle":"","family":"Bai","given":"Yushi","non-dropping-particle":"","parse-names":false,"suffix":""},{"dropping-particle":"","family":"Caron","given":"Marc G.","non-dropping-particle":"","parse-names":false,"suffix":""},{"dropping-particle":"","family":"Barak","given":"Larry S.","non-dropping-particle":"","parse-names":false,"suffix":""},{"dropping-particle":"","family":"Abood","given":"Mary E.","non-dropping-particle":"","parse-names":false,"suffix":""}],"container-title":"Journal of Biological Chemistry","id":"ITEM-9","issue":"43","issued":{"date-parts":[["2009","10","23"]]},"page":"29817-29827","title":"Atypical Responsiveness of the Orphan Receptor GPR55 to Cannabinoid Ligands","type":"article-journal","volume":"284"},"uris":["http://www.mendeley.com/documents/?uuid=a6fa56f8-2f6a-3983-83c2-b128359eb99c"]},{"id":"ITEM-10","itemData":{"DOI":"10.1074/jbc.M111.296020","ISSN":"1083-351X","PMID":"22027819","abstract":"GPR55 is activated by l-α-lysophosphatidylinositol (LPI) but also by certain cannabinoids. In this study, we investigated the GPR55 pharmacology of various cannabinoids, including analogues of the CB1 receptor antagonist Rimonabant®, CB2 receptor agonists, and Cannabis sativa constituents. To test ERK1/2 phosphorylation, a primary downstream signaling pathway that conveys LPI-induced activation of GPR55, a high throughput system, was established using the AlphaScreen® SureFire® assay. Here, we show that CB1 receptor antagonists can act both as agonists alone and as inhibitors of LPI signaling under the same assay conditions. This study clarifies the controversy surrounding the GPR55-mediated actions of SR141716A; some reports indicate the compound to be an agonist and some report antagonism. In contrast, we report that the CB2 ligand GW405833 behaves as a partial agonist of GPR55 alone and enhances LPI signaling. GPR55 has been implicated in pain transmission, and thus our results suggest that this receptor may be responsible for some of the antinociceptive actions of certain CB2 receptor ligands. The phytocannabinoids Δ9-tetrahydrocannabivarin, cannabidivarin, and cannabigerovarin are also potent inhibitors of LPI. These Cannabis sativa constituents may represent novel therapeutics targeting GPR55.","author":[{"dropping-particle":"","family":"Anavi-Goffer","given":"Sharon","non-dropping-particle":"","parse-names":false,"suffix":""},{"dropping-particle":"","family":"Baillie","given":"Gemma","non-dropping-particle":"","parse-names":false,"suffix":""},{"dropping-particle":"","family":"Irving","given":"Andrew J","non-dropping-particle":"","parse-names":false,"suffix":""},{"dropping-particle":"","family":"Gertsch","given":"Jürg","non-dropping-particle":"","parse-names":false,"suffix":""},{"dropping-particle":"","family":"Greig","given":"Iain R","non-dropping-particle":"","parse-names":false,"suffix":""},{"dropping-particle":"","family":"Pertwee","given":"Roger G","non-dropping-particle":"","parse-names":false,"suffix":""},{"dropping-particle":"","family":"Ross","given":"Ruth A","non-dropping-particle":"","parse-names":false,"suffix":""}],"container-title":"The Journal of biological chemistry","id":"ITEM-10","issue":"1","issued":{"date-parts":[["2012","1","2"]]},"page":"91-104","publisher":"American Society for Biochemistry and Molecular Biology","title":"Modulation of L-α-lysophosphatidylinositol/GPR55 mitogen-activated protein kinase (MAPK) signaling by cannabinoids.","type":"article-journal","volume":"287"},"uris":["http://www.mendeley.com/documents/?uuid=93e5b88f-5bd8-3ff4-a056-32ae4aa20782"]}],"mendeley":{"formattedCitation":"Anavi-Goffer et al., 2012; Jordt et al., 2004; Kapur et al., 2009; McHugh et al., 2012a; Oz, 2006a; Pertwee, 2008, 2004, 1988; Qin et al., 2008a; Ryberg et al., 2007","manualFormatting":"Anavi-Goffer et al., 2012; Jordt et al., 2004; Kapur et al., 2009; McHugh et al., 2012; Oz, 2006; Pertwee, 2008, 2004, 1988; Qin et al., 2008; Ryberg et al., 2007","plainTextFormattedCitation":"Anavi-Goffer et al., 2012; Jordt et al., 2004; Kapur et al., 2009; McHugh et al., 2012a; Oz, 2006a; Pertwee, 2008, 2004, 1988; Qin et al., 2008a; Ryberg et al., 2007","previouslyFormattedCitation":"(Anavi-Goffer et al., 2012; Jordt et al., 2004; Kapur et al., 2009; McHugh et al., 2012a; Oz, 2006a; Pertwee, 2008, 2004, 1988; Qin et al., 2008a; Ryberg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Anavi-Goffer et al., 2012; Jordt et al., 2004; Kapur et al., 2009; McHugh et al., 2012; Oz, 2006; Pertwee, 2008, 2004, 1988; Qin et al., 2008; Ryberg et al., 2007</w:t>
            </w:r>
            <w:r w:rsidRPr="00DE7555">
              <w:rPr>
                <w:rFonts w:ascii="Times New Roman" w:hAnsi="Times New Roman" w:cs="Times New Roman"/>
                <w:lang w:val="en-GB"/>
              </w:rPr>
              <w:fldChar w:fldCharType="end"/>
            </w:r>
          </w:p>
        </w:tc>
      </w:tr>
      <w:tr w:rsidR="00E5612A" w:rsidRPr="008178CC" w14:paraId="7462C377" w14:textId="77777777" w:rsidTr="00DE7555">
        <w:tc>
          <w:tcPr>
            <w:tcW w:w="0" w:type="auto"/>
          </w:tcPr>
          <w:p w14:paraId="37C1E065"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2-arachidonoylglycerol</w:t>
            </w:r>
          </w:p>
        </w:tc>
        <w:tc>
          <w:tcPr>
            <w:tcW w:w="0" w:type="auto"/>
          </w:tcPr>
          <w:p w14:paraId="23CA4AED"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58.3; 472</w:t>
            </w:r>
          </w:p>
        </w:tc>
        <w:tc>
          <w:tcPr>
            <w:tcW w:w="0" w:type="auto"/>
          </w:tcPr>
          <w:p w14:paraId="22A91D79"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CDC6759"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3E75AA9B"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145; 1,400</w:t>
            </w:r>
          </w:p>
        </w:tc>
        <w:tc>
          <w:tcPr>
            <w:tcW w:w="0" w:type="auto"/>
          </w:tcPr>
          <w:p w14:paraId="431EDE04"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23813E7"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0C602D3C"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t>GPR55, Monoacylglycerol lipase, αβ-Hydrolase 6</w:t>
            </w:r>
          </w:p>
        </w:tc>
        <w:tc>
          <w:tcPr>
            <w:tcW w:w="0" w:type="auto"/>
          </w:tcPr>
          <w:p w14:paraId="60B3FFA2"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Cannabinoids","type":"report","volume":"168"},"uris":["http://www.mendeley.com/documents/?uuid=8d8d4100-5521-3c8a-91fc-02214b8beb11"]},{"id":"ITEM-2","itemData":{"DOI":"10.1038/sj.bjp.0707460","ISSN":"0007-1188","PMID":"17876302","abstract":"BACKGROUND The endocannabinoid system functions through two well characterized receptor systems, the CB1 and CB2 receptors. Work by a number of groups in recent years has provided evidence that the system is more complicated and additional receptor types should exist to explain ligand activity in a number of physiological processes. EXPERIMENTAL APPROACH Cells transfected with the human cDNA for GPR55 were tested for their ability to bind and to mediate GTPgammaS binding by cannabinoid ligands. Using an antibody and peptide blocking approach, the nature of the G-protein coupling was determined and further demonstrated by measuring activity of downstream signalling pathways. KEY RESULTS We demonstrate that GPR55 binds to and is activated by the cannabinoid ligand CP55940. In addition endocannabinoids including anandamide and virodhamine activate GTPgammaS binding via GPR55 with nM potencies. Ligands such as cannabidiol and abnormal cannabidiol which exhibit no CB1 or CB2 activity and are believed to function at a novel cannabinoid receptor, also showed activity at GPR55. GPR55 couples to Galpha13 and can mediate activation of rhoA, cdc42 and rac1. CONCLUSIONS These data suggest that GPR55 is a novel cannabinoid receptor, and its ligand profile with respect to CB1 and CB2 described here will permit delineation of its physiological function(s).","author":[{"dropping-particle":"","family":"Ryberg","given":"E","non-dropping-particle":"","parse-names":false,"suffix":""},{"dropping-particle":"","family":"Larsson","given":"N","non-dropping-particle":"","parse-names":false,"suffix":""},{"dropping-particle":"","family":"Sjögren","given":"S","non-dropping-particle":"","parse-names":false,"suffix":""},{"dropping-particle":"","family":"Hjorth","given":"S","non-dropping-particle":"","parse-names":false,"suffix":""},{"dropping-particle":"","family":"Hermansson","given":"N-O","non-dropping-particle":"","parse-names":false,"suffix":""},{"dropping-particle":"","family":"Leonova","given":"J","non-dropping-particle":"","parse-names":false,"suffix":""},{"dropping-particle":"","family":"Elebring","given":"T","non-dropping-particle":"","parse-names":false,"suffix":""},{"dropping-particle":"","family":"Nilsson","given":"K","non-dropping-particle":"","parse-names":false,"suffix":""},{"dropping-particle":"","family":"Drmota","given":"T","non-dropping-particle":"","parse-names":false,"suffix":""},{"dropping-particle":"","family":"Greasley","given":"P J","non-dropping-particle":"","parse-names":false,"suffix":""}],"container-title":"British journal of pharmacology","id":"ITEM-2","issue":"7","issued":{"date-parts":[["2007","12"]]},"page":"1092-101","publisher":"Wiley-Blackwell","title":"The orphan receptor GPR55 is a novel cannabinoid receptor.","type":"article-journal","volume":"152"},"uris":["http://www.mendeley.com/documents/?uuid=7b15009a-ede0-312f-8c01-a39ff5d738cb"]},{"id":"ITEM-3","itemData":{"DOI":"10.1038/sj.bjp.0705948","ISSN":"00071188","PMID":"15492019","abstract":"The pharmacology of monoacylglycerol lipase (MAGL) is not well understood. In consequence, the abilities of a series of analogues of 2-arachidonoylglycerol (2-AG) to inhibit cytosolic 2-oleoylglycerol and membrane-bound anandamide hydolysis by MAGL and fatty acid amide hydrolase (FAAH), respectively, have been investigated. 2-AG and its 1-regioisomer (1-AG) interacted with MAGL with similar affinities (IC(50) values 13 and 17 mum, respectively). Shorter homologues of 2-AG (2-linoleoylglycerol and 2-oleoylglycerol) had affinities for MAGL similar to 2-AG. This pattern was also seen when the arachidonoyl side chain of arachidonoyl trifluoromethylketone was replaced by an oleoyl side chain. Arachidonoyl serinol (IC(50) value 73 microM) was a weaker inhibitor of MAGL than 2-AG. The IC(50) values of noladin ether towards MAGL and FAAH were 36 and 3 microM, respectively. Arachidonoyl glycine interacted with FAAH (IC(50) value 4.9 microM) but only weakly interacted with MAGL (IC(50) value &gt;100 microM). alpha-Methyl-1-AG had similar potencies towards MAGL and FAAH (IC(50) values of 11 and 33 microM, respectively). O-2203 (1-(20-cyano-16,16-dimethyl-eicosa-5,8,11,14-tetraenoyl) glycerol) and O-2204 (2-(20-hydroxy-16,16-dimethyl-eicosa-5,8,11,14-tetraenoyl) glycerol) were slightly less potent, but again affected both enzymes equally. alpha-Methyl-1-AG, O-2203 and O-2204 interacted only weakly with cannabinoid CB(1) receptors expressed in CHO cells (K(i) values 1.8, 3.7 and 3.2 microM, respectively, compared with 0.24 microM for 1-AG) and showed no evidence of central cannabinoid receptor activation in vivo at doses up to 30 mg kg(-1) i.v. It is concluded that compounds like alpha-Methyl-1-AG, O-2203 and O-2204 may be useful as leads for the discovery of selective MAGL inhibitors that lack direct effects upon cannabinoid receptors.","author":[{"dropping-particle":"","family":"Ghafouri","given":"Nazdar","non-dropping-particle":"","parse-names":false,"suffix":""},{"dropping-particle":"","family":"Tiger","given":"Gunnar","non-dropping-particle":"","parse-names":false,"suffix":""},{"dropping-particle":"","family":"Razdan","given":"Raj K","non-dropping-particle":"","parse-names":false,"suffix":""},{"dropping-particle":"","family":"Mahadevan","given":"Anu","non-dropping-particle":"","parse-names":false,"suffix":""},{"dropping-particle":"","family":"Pertwee","given":"Roger G","non-dropping-particle":"","parse-names":false,"suffix":""},{"dropping-particle":"","family":"Martin","given":"Billy R","non-dropping-particle":"","parse-names":false,"suffix":""},{"dropping-particle":"","family":"Fowler","given":"Christopher J","non-dropping-particle":"","parse-names":false,"suffix":""}],"container-title":"British Journal of Pharmacology","id":"ITEM-3","issue":"6","issued":{"date-parts":[["2004","11"]]},"page":"774-784","title":"Inhibition of monoacylglycerol lipase and fatty acid amide hydrolase by analogues of 2-arachidonoylglycerol","type":"article-journal","volume":"143"},"uris":["http://www.mendeley.com/documents/?uuid=8c03d6b3-84fe-3b3c-95aa-17c513e07d41"]},{"id":"ITEM-4","itemData":{"DOI":"10.1194/jlr.M030411","ISSN":"0022-2275","PMID":"22969151","abstract":"In the central nervous system, three enzymes belonging to the serine hydrolase family are thought to regulate the life time of the endocannabinoid 2-arachidonoylglycerol (C20:4) (2-AG). From these, monoacylglycerol lipase (MAGL) is well characterized and, on a quantitative basis, is the main 2-AG hydrolase. The postgenomic proteins α/β-hydrolase domain containing (ABHD)6 and ABHD12 remain poorly characterized. By applying a sensitive fluorescent glycerol assay, we delineate the substrate preferences of human ABHD6 and ABHD12 in comparison with MAGL. We show that the three hydrolases are genuine MAG lipases; medium-chain saturated MAGs were the best substrates for hABHD6 and hMAGL, whereas hABHD12 preferred the 1 (3)- and 2-isomers of arachidonoylglycerol. Site-directed mutagenesis of the amino acid residues forming the postulated catalytic triad (ABHD6: S148-D278-H306, ABHD12: S246-D333-H372) abolished enzymatic activity as well as labeling with the active site serine-directed fluorophosphonate probe TAMRA-FP. However, the role of D278 and H306 as residues of the catalytic core of ABHD6 could not be verified because none of the mutants showed detectable expression. Inhibitor profiling revealed striking potency differences between hABHD6 and hABHD12, a finding that, when combined with the substrate profiling data, should facilitate further efforts toward the design of potent and selective inhibitors, especially those targeting hABHD12, which currently lacks such inhibitors.","author":[{"dropping-particle":"","family":"Navia-Paldanius","given":"Dina","non-dropping-particle":"","parse-names":false,"suffix":""},{"dropping-particle":"","family":"Savinainen","given":"Juha R.","non-dropping-particle":"","parse-names":false,"suffix":""},{"dropping-particle":"","family":"Laitinen","given":"Jarmo T.","non-dropping-particle":"","parse-names":false,"suffix":""}],"container-title":"Journal of Lipid Research","id":"ITEM-4","issue":"11","issued":{"date-parts":[["2012","11"]]},"page":"2413-2424","title":"Biochemical and pharmacological characterization of human α/β-hydrolase domain containing 6 (ABHD6) and 12 (ABHD12)","type":"article-journal","volume":"53"},"uris":["http://www.mendeley.com/documents/?uuid=a33606f8-1844-3953-9440-b6f38176f3ff"]}],"mendeley":{"formattedCitation":"Ghafouri et al., 2004; Navia-Paldanius et al., 2012; Pertwee, 2005; Ryberg et al., 2007","plainTextFormattedCitation":"Ghafouri et al., 2004; Navia-Paldanius et al., 2012; Pertwee, 2005; Ryberg et al., 2007","previouslyFormattedCitation":"(Ghafouri et al., 2004; Navia-Paldanius et al., 2012; Pertwee, 2005; Ryberg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Ghafouri et al., 2004; Navia-Paldanius et al., 2012; Pertwee, 2005; Ryberg et al., 2007</w:t>
            </w:r>
            <w:r w:rsidRPr="00DE7555">
              <w:rPr>
                <w:rFonts w:ascii="Times New Roman" w:hAnsi="Times New Roman" w:cs="Times New Roman"/>
                <w:lang w:val="en-GB"/>
              </w:rPr>
              <w:fldChar w:fldCharType="end"/>
            </w:r>
          </w:p>
        </w:tc>
      </w:tr>
      <w:tr w:rsidR="00E5612A" w:rsidRPr="008178CC" w14:paraId="33C44C16" w14:textId="77777777" w:rsidTr="00DE7555">
        <w:tc>
          <w:tcPr>
            <w:tcW w:w="0" w:type="auto"/>
          </w:tcPr>
          <w:p w14:paraId="0BF18F5D"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AM-2201</w:t>
            </w:r>
          </w:p>
        </w:tc>
        <w:tc>
          <w:tcPr>
            <w:tcW w:w="0" w:type="auto"/>
          </w:tcPr>
          <w:p w14:paraId="4D15A240"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1.0</w:t>
            </w:r>
          </w:p>
        </w:tc>
        <w:tc>
          <w:tcPr>
            <w:tcW w:w="0" w:type="auto"/>
          </w:tcPr>
          <w:p w14:paraId="51FE4552"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2B62CFD"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41E8A35A"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2.6</w:t>
            </w:r>
          </w:p>
        </w:tc>
        <w:tc>
          <w:tcPr>
            <w:tcW w:w="0" w:type="auto"/>
          </w:tcPr>
          <w:p w14:paraId="14CF8B70"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925160F"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1ECC3D81"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C6041AD"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{"citationItems":[{"id":"ITEM-1","itemData":{"abstract":"Novel cannabimimetic indole derivatives are presented which have preferentially high affinities for one of the cannabinoid CB1 or CB2 receptor sites. The improved receptor affinity makes these analogs therapeutically useful as medications in individuals and animals for treatment of pain, glaucoma, epilepsy, nausea associated with chemotherapy.","author":[{"dropping-particle":"","family":"Makriyannis","given":"Alexandros","non-dropping-particle":"","parse-names":false,"suffix":""},{"dropping-particle":"","family":"Deng","given":"Hongfeng","non-dropping-particle":"","parse-names":false,"suffix":""}],"id":"ITEM-1","issued":{"date-parts":[["2001"]]},"title":"Cannabimimetic indole derivatives","type":"patent"},"uris":["http://www.mendeley.com/documents/?uuid=0099e157-f73f-31b7-8e5e-f498648f8a8f"]}],"mendeley":{"formattedCitation":"Makriyannis and Deng, 2001","plainTextFormattedCitation":"Makriyannis and Deng, 2001","previouslyFormattedCitation":"(Makriyannis and Deng, 2001)"},"properties":{"noteIndex":0},"schema":"https://github.com/citation-style-language/schema/raw/master/csl-citation.json"}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 xml:space="preserve">Makriyannis and Deng, </w:t>
            </w:r>
            <w:r w:rsidRPr="00DE7555">
              <w:rPr>
                <w:rFonts w:ascii="Times New Roman" w:hAnsi="Times New Roman" w:cs="Times New Roman"/>
                <w:noProof/>
                <w:lang w:val="en-GB"/>
              </w:rPr>
              <w:lastRenderedPageBreak/>
              <w:t>2001</w:t>
            </w:r>
            <w:r w:rsidRPr="00DE7555">
              <w:rPr>
                <w:rFonts w:ascii="Times New Roman" w:hAnsi="Times New Roman" w:cs="Times New Roman"/>
                <w:lang w:val="en-GB"/>
              </w:rPr>
              <w:fldChar w:fldCharType="end"/>
            </w:r>
          </w:p>
        </w:tc>
      </w:tr>
      <w:tr w:rsidR="00E5612A" w:rsidRPr="008178CC" w14:paraId="4721B917" w14:textId="77777777" w:rsidTr="00DE7555">
        <w:tc>
          <w:tcPr>
            <w:tcW w:w="0" w:type="auto"/>
          </w:tcPr>
          <w:p w14:paraId="0CA7B15A"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lastRenderedPageBreak/>
              <w:t>AM7499</w:t>
            </w:r>
          </w:p>
        </w:tc>
        <w:tc>
          <w:tcPr>
            <w:tcW w:w="0" w:type="auto"/>
          </w:tcPr>
          <w:p w14:paraId="184B7681"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2.51</w:t>
            </w:r>
          </w:p>
        </w:tc>
        <w:tc>
          <w:tcPr>
            <w:tcW w:w="0" w:type="auto"/>
          </w:tcPr>
          <w:p w14:paraId="220DFE2B"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2.5</w:t>
            </w:r>
          </w:p>
        </w:tc>
        <w:tc>
          <w:tcPr>
            <w:tcW w:w="0" w:type="auto"/>
          </w:tcPr>
          <w:p w14:paraId="0DDC8028"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5F2D2B69"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31.62</w:t>
            </w:r>
          </w:p>
        </w:tc>
        <w:tc>
          <w:tcPr>
            <w:tcW w:w="0" w:type="auto"/>
          </w:tcPr>
          <w:p w14:paraId="62E753C7"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0.3</w:t>
            </w:r>
          </w:p>
        </w:tc>
        <w:tc>
          <w:tcPr>
            <w:tcW w:w="0" w:type="auto"/>
          </w:tcPr>
          <w:p w14:paraId="5F85E410"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2E8B33CC"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D4EE7DC"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{"citationItems":[{"id":"ITEM-1","itemData":{"DOI":"10.1021/acs.jmedchem.6b00717","ISSN":"0022-2623","PMID":"27367336","abstract":"In pursuit of safer controlled-deactivation cannabinoids with high potency and short duration of action, we report the design, synthesis, and pharmacological evaluation of novel C9- and C11-hydroxy-substituted hexahydrocannabinol (HHC) and tetrahydrocannabinol (THC) analogues in which a seven atom long side chain, with or without 1'-substituents, carries a metabolically labile 2',3'-ester group. Importantly, in vivo studies validated our controlled deactivation approach in rodents and non-human primates. The lead molecule identified here, namely, butyl-2-[(6aR,9R,10aR)-1-hydroxy-9-(hydroxymethyl)-6,6-dimethyl-6a,7,8,9,10,10a-hexahydro-6H-benzo[c]chromen-3-yl]-2-methylpropanoate (AM7499), was found to exhibit remarkably high in vitro and in vivo potency with shorter duration of action than the currently existing classical cannabinoid agonists.","author":[{"dropping-particle":"","family":"Kulkarni","given":"Shashank","non-dropping-particle":"","parse-names":false,"suffix":""},{"dropping-particle":"","family":"Nikas","given":"Spyros P.","non-dropping-particle":"","parse-names":false,"suffix":""},{"dropping-particle":"","family":"Sharma","given":"Rishi","non-dropping-particle":"","parse-names":false,"suffix":""},{"dropping-particle":"","family":"Jiang","given":"Shan","non-dropping-particle":"","parse-names":false,"suffix":""},{"dropping-particle":"","family":"Paronis","given":"Carol A.","non-dropping-particle":"","parse-names":false,"suffix":""},{"dropping-particle":"","family":"Leonard","given":"Michael Z.","non-dropping-particle":"","parse-names":false,"suffix":""},{"dropping-particle":"","family":"Zhang","given":"Bin","non-dropping-particle":"","parse-names":false,"suffix":""},{"dropping-particle":"","family":"Honrao","given":"Chandrashekhar","non-dropping-particle":"","parse-names":false,"suffix":""},{"dropping-particle":"","family":"Mallipeddi","given":"Srikrishnan","non-dropping-particle":"","parse-names":false,"suffix":""},{"dropping-particle":"","family":"Raghav","given":"Jimit Girish","non-dropping-particle":"","parse-names":false,"suffix":""},{"dropping-particle":"","family":"Benchama","given":"Othman","non-dropping-particle":"","parse-names":false,"suffix":""},{"dropping-particle":"","family":"Järbe","given":"Torbjörn U. C.","non-dropping-particle":"","parse-names":false,"suffix":""},{"dropping-particle":"","family":"Bergman","given":"Jack","non-dropping-particle":"","parse-names":false,"suffix":""},{"dropping-particle":"","family":"Makriyannis","given":"Alexandros","non-dropping-particle":"","parse-names":false,"suffix":""}],"container-title":"Journal of Medicinal Chemistry","id":"ITEM-1","issue":"14","issued":{"date-parts":[["2016","7","28"]]},"page":"6903-6919","title":"Novel C-Ring-Hydroxy-Substituted Controlled Deactivation Cannabinergic Analogues","type":"article-journal","volume":"59"},"uris":["http://www.mendeley.com/documents/?uuid=06d37917-9aa3-39ae-9508-c76eb0ae34a1"]}],"mendeley":{"formattedCitation":"S. Kulkarni et al., 2016","plainTextFormattedCitation":"S. Kulkarni et al., 2016","previouslyFormattedCitation":"(S. Kulkarni et al., 2016)"},"properties":{"noteIndex":0},"schema":"https://github.com/citation-style-language/schema/raw/master/csl-citation.json"}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S. Kulkarni et al., 2016</w:t>
            </w:r>
            <w:r w:rsidRPr="00DE7555">
              <w:rPr>
                <w:rFonts w:ascii="Times New Roman" w:hAnsi="Times New Roman" w:cs="Times New Roman"/>
                <w:lang w:val="en-GB"/>
              </w:rPr>
              <w:fldChar w:fldCharType="end"/>
            </w:r>
          </w:p>
        </w:tc>
      </w:tr>
      <w:tr w:rsidR="00E5612A" w:rsidRPr="008178CC" w14:paraId="75E13067" w14:textId="77777777" w:rsidTr="00DE7555">
        <w:tc>
          <w:tcPr>
            <w:tcW w:w="0" w:type="auto"/>
          </w:tcPr>
          <w:p w14:paraId="73C67CD9"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 xml:space="preserve">anandamide </w:t>
            </w:r>
          </w:p>
        </w:tc>
        <w:tc>
          <w:tcPr>
            <w:tcW w:w="0" w:type="auto"/>
          </w:tcPr>
          <w:p w14:paraId="20B07457"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61–543</w:t>
            </w:r>
          </w:p>
        </w:tc>
        <w:tc>
          <w:tcPr>
            <w:tcW w:w="0" w:type="auto"/>
          </w:tcPr>
          <w:p w14:paraId="2C6BE97A"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2E8A5D1"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partial agonist</w:t>
            </w:r>
          </w:p>
        </w:tc>
        <w:tc>
          <w:tcPr>
            <w:tcW w:w="0" w:type="auto"/>
          </w:tcPr>
          <w:p w14:paraId="722E1B1D"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279–1,940</w:t>
            </w:r>
          </w:p>
        </w:tc>
        <w:tc>
          <w:tcPr>
            <w:tcW w:w="0" w:type="auto"/>
          </w:tcPr>
          <w:p w14:paraId="6DD31FB8"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774BD2B"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partial agonist</w:t>
            </w:r>
          </w:p>
        </w:tc>
        <w:tc>
          <w:tcPr>
            <w:tcW w:w="0" w:type="auto"/>
          </w:tcPr>
          <w:p w14:paraId="348A070B"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t>N-type Ca</w:t>
            </w:r>
            <w:r w:rsidRPr="00DE7555">
              <w:rPr>
                <w:rFonts w:ascii="Times New Roman" w:hAnsi="Times New Roman" w:cs="Times New Roman"/>
                <w:vertAlign w:val="superscript"/>
                <w:lang w:val="en-GB"/>
              </w:rPr>
              <w:t>2+</w:t>
            </w:r>
            <w:r w:rsidRPr="00DE7555">
              <w:rPr>
                <w:rFonts w:ascii="Times New Roman" w:hAnsi="Times New Roman" w:cs="Times New Roman"/>
                <w:lang w:val="en-GB"/>
              </w:rPr>
              <w:t xml:space="preserve"> channels, T-type Ca</w:t>
            </w:r>
            <w:r w:rsidRPr="00DE7555">
              <w:rPr>
                <w:rFonts w:ascii="Times New Roman" w:hAnsi="Times New Roman" w:cs="Times New Roman"/>
                <w:vertAlign w:val="superscript"/>
                <w:lang w:val="en-GB"/>
              </w:rPr>
              <w:t>2+</w:t>
            </w:r>
            <w:r w:rsidRPr="00DE7555">
              <w:rPr>
                <w:rFonts w:ascii="Times New Roman" w:hAnsi="Times New Roman" w:cs="Times New Roman"/>
                <w:lang w:val="en-GB"/>
              </w:rPr>
              <w:t xml:space="preserve"> channels, Na</w:t>
            </w:r>
            <w:r w:rsidRPr="00DE7555">
              <w:rPr>
                <w:rFonts w:ascii="Times New Roman" w:hAnsi="Times New Roman" w:cs="Times New Roman"/>
                <w:vertAlign w:val="superscript"/>
                <w:lang w:val="en-GB"/>
              </w:rPr>
              <w:t>+</w:t>
            </w:r>
            <w:r w:rsidRPr="00DE7555">
              <w:rPr>
                <w:rFonts w:ascii="Times New Roman" w:hAnsi="Times New Roman" w:cs="Times New Roman"/>
                <w:lang w:val="en-GB"/>
              </w:rPr>
              <w:t xml:space="preserve"> channels, Ca</w:t>
            </w:r>
            <w:r w:rsidRPr="00DE7555">
              <w:rPr>
                <w:rFonts w:ascii="Times New Roman" w:hAnsi="Times New Roman" w:cs="Times New Roman"/>
                <w:vertAlign w:val="superscript"/>
                <w:lang w:val="en-GB"/>
              </w:rPr>
              <w:t>2+</w:t>
            </w:r>
            <w:r w:rsidRPr="00DE7555">
              <w:rPr>
                <w:rFonts w:ascii="Times New Roman" w:hAnsi="Times New Roman" w:cs="Times New Roman"/>
                <w:lang w:val="en-GB"/>
              </w:rPr>
              <w:t>-activated K</w:t>
            </w:r>
            <w:r w:rsidRPr="00DE7555">
              <w:rPr>
                <w:rFonts w:ascii="Times New Roman" w:hAnsi="Times New Roman" w:cs="Times New Roman"/>
                <w:vertAlign w:val="superscript"/>
                <w:lang w:val="en-GB"/>
              </w:rPr>
              <w:t>+</w:t>
            </w:r>
            <w:r w:rsidRPr="00DE7555">
              <w:rPr>
                <w:rFonts w:ascii="Times New Roman" w:hAnsi="Times New Roman" w:cs="Times New Roman"/>
                <w:lang w:val="en-GB"/>
              </w:rPr>
              <w:t xml:space="preserve"> channels, other types of voltage-gated K</w:t>
            </w:r>
            <w:r w:rsidRPr="00DE7555">
              <w:rPr>
                <w:rFonts w:ascii="Times New Roman" w:hAnsi="Times New Roman" w:cs="Times New Roman"/>
                <w:vertAlign w:val="superscript"/>
                <w:lang w:val="en-GB"/>
              </w:rPr>
              <w:t>+</w:t>
            </w:r>
            <w:r w:rsidRPr="00DE7555">
              <w:rPr>
                <w:rFonts w:ascii="Times New Roman" w:hAnsi="Times New Roman" w:cs="Times New Roman"/>
                <w:lang w:val="en-GB"/>
              </w:rPr>
              <w:t xml:space="preserve"> channels, α7 </w:t>
            </w:r>
            <w:proofErr w:type="spellStart"/>
            <w:r w:rsidRPr="00DE7555">
              <w:rPr>
                <w:rFonts w:ascii="Times New Roman" w:hAnsi="Times New Roman" w:cs="Times New Roman"/>
                <w:lang w:val="en-GB"/>
              </w:rPr>
              <w:t>nAch</w:t>
            </w:r>
            <w:proofErr w:type="spellEnd"/>
            <w:r w:rsidRPr="00DE7555">
              <w:rPr>
                <w:rFonts w:ascii="Times New Roman" w:hAnsi="Times New Roman" w:cs="Times New Roman"/>
                <w:lang w:val="en-GB"/>
              </w:rPr>
              <w:t xml:space="preserve"> channels, glycine receptors, NMDA, 5-HT</w:t>
            </w:r>
            <w:r w:rsidRPr="00DE7555">
              <w:rPr>
                <w:rFonts w:ascii="Times New Roman" w:hAnsi="Times New Roman" w:cs="Times New Roman"/>
                <w:vertAlign w:val="subscript"/>
                <w:lang w:val="en-GB"/>
              </w:rPr>
              <w:t>3A</w:t>
            </w:r>
            <w:r w:rsidRPr="00DE7555">
              <w:rPr>
                <w:rFonts w:ascii="Times New Roman" w:hAnsi="Times New Roman" w:cs="Times New Roman"/>
                <w:lang w:val="en-GB"/>
              </w:rPr>
              <w:t>, TRPV4, TRPV1, GPR55, GPR18, TRPM8</w:t>
            </w:r>
          </w:p>
        </w:tc>
        <w:tc>
          <w:tcPr>
            <w:tcW w:w="0" w:type="auto"/>
          </w:tcPr>
          <w:p w14:paraId="2E3D0478"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Cannabinoids","type":"report","volume":"168"},"uris":["http://www.mendeley.com/documents/?uuid=8d8d4100-5521-3c8a-91fc-02214b8beb11"]},{"id":"ITEM-2","itemData":{"DOI":"10.1016/j.pharmthera.2005.09.009","ISSN":"01637258","PMID":"16584786","abstract":"Cannabinoids are a structurally diverse group of mostly lipophilic molecules that bind to cannabinoid receptors. In fact, endogenous cannabinoids (endocannabinoids) are a class of signaling lipids consisting of amides and esters of long-chain polyunsaturated fatty acids. They are synthesized from lipid precursors in plasma membranes via Ca(2+) or G-protein-dependent processes and exhibit cannabinoid-like actions by binding to cannabinoid receptors. However, endocannabinoids can produce effects that are not mediated by these receptors. In pharmacologically relevant concentrations, endocannabinoids modulate the functional properties of voltage-gated ion channels including Ca(2+) channels, Na(+) channels, various types of K(+) channels, and ligand-gated ion channels such as serotonin type 3, nicotinic acetylcholine, and glycine receptors. In addition, modulatory effects of endocannabinoids on other ion-transporting membrane proteins such as transient potential receptor-class channels, gap junctions and transporters for neurotransmitters have also been demonstrated. Furthermore, functional properties of G-protein-coupled receptors for different types of neurotransmitters and neuropeptides are altered by direct actions of endocannabinoids. Although the mechanisms of these effects are currently not clear, it is likely that these direct actions of endocannabinoids are due to their lipophilic structures. These findings indicate that additional molecular targets for endocannabinoids exist and that these targets may represent novel sites for cannabinoids to alter either the excitability of the neurons or the response of the neuronal systems. This review focuses on the results of recent studies indicating that beyond their receptor-mediated effects, endocannabinoids alter the functions of ion channels and other integral membrane proteins directly.","author":[{"dropping-particle":"","family":"Oz","given":"Murat","non-dropping-particle":"","parse-names":false,"suffix":""}],"container-title":"Pharmacology &amp; Therapeutics","id":"ITEM-2","issue":"1","issued":{"date-parts":[["2006","7"]]},"page":"114-144","title":"Receptor-independent actions of cannabinoids on cell membranes: Focus on endocannabinoids","type":"article-journal","volume":"111"},"uris":["http://www.mendeley.com/documents/?uuid=a418f82c-c366-31bd-97b6-d4fe3ef39a87"]},{"id":"ITEM-3","itemData":{"DOI":"10.1007/s10681-004-4756-9","abstract":"Cannabis is the unique source of a set of at least 66 compounds known collectively as cannabinoids. Of these, most is known about the pharmacology of Δ 9 -tetrahydrocannabinol (Δ 9 -THC), the main psychoactive constituent of cannabis, and about cannabidiol (CBD), which lacks psychoactivity. Accordingly, this paper focuses on the pharmacological and therapeutic targets of these two cannabinoids. Many of the effects of Δ 9 -THC are mediated by cannabinoid receptors of which at least two types, CB 1 and CB 2 , are present in mammalian tissues. Endogenous agonists for cannabinoid receptors have also been discovered. CB 1 receptors are present at the terminals of central and peripheral neurones, where they modulate transmitter release. They also exist in some non-neuronal cells. CB 2 receptors are expressed mainly by immune cells, one of their roles being to alter cytokine release. Δ 9 - THC also appears to have non-CB 1 , non-CB 2 pharmacological targets. It is already licensed for clinical use in the U.S.A. as an anti-emetic and appetite stimulant and both Δ 9 -THC and Δ 9 -THC-rich cannabis extracts show therapeutic potential as neuroprotective and anticancer agents and for the management of glaucoma, pain and various kinds of motor dysfunction associated, for example, with multiple sclerosis and spinal cord injury. CBD has much less affinity for CB 1 and CB 2 receptors than Δ 9 -THC and its pharmacological actions have been less well characterized. Potential clinical applications of CBD and CBD-rich cannabis extracts include the production of anti-inflammatory and neuroprotective effects, the management of epilepsy, anxiety disorders, glaucoma and nausea, and the modulation of some effects of Δ 9 -THC. © 2004 Kluwer Academic Publishers.","author":[{"dropping-particle":"","family":"Pertwee","given":"R.G.","non-dropping-particle":"","parse-names":false,"suffix":""}],"container-title":"Euphytica","id":"ITEM-3","issue":"1-2","issued":{"date-parts":[["2004"]]},"page":"73-82","title":"Pharmacological and therapeutic targets for Δ&lt;sup&gt;9&lt;/sup&gt;- tetrahydrocannabinol and cannabidiol","type":"article-journal","volume":"140"},"uris":["http://www.mendeley.com/documents/?uuid=46116f80-9088-3794-917c-f1ce38c7771d"]},{"id":"ITEM-4","itemData":{"ISSN":"0163-7258","PMID":"3279430","author":[{"dropping-particle":"","family":"Pertwee","given":"R G","non-dropping-particle":"","parse-names":false,"suffix":""}],"container-title":"Pharmacology &amp; therapeutics","id":"ITEM-4","issue":"2-3","issued":{"date-parts":[["1988"]]},"page":"189-261","title":"The central neuropharmacology of psychotropic cannabinoids.","type":"article-journal","volume":"36"},"uris":["http://www.mendeley.com/documents/?uuid=28593a77-9452-30d3-a19b-5b990754774f"]},{"id":"ITEM-5","itemData":{"DOI":"10.1038/sj.bjp.0707460","ISSN":"00071188","PMID":"17876302","abstract":"BACKGROUND The endocannabinoid system functions through two well characterized receptor systems, the CB1 and CB2 receptors. Work by a number of groups in recent years has provided evidence that the system is more complicated and additional receptor types should exist to explain ligand activity in a number of physiological processes. EXPERIMENTAL APPROACH Cells transfected with the human cDNA for GPR55 were tested for their ability to bind and to mediate GTPgammaS binding by cannabinoid ligands. Using an antibody and peptide blocking approach, the nature of the G-protein coupling was determined and further demonstrated by measuring activity of downstream signalling pathways. KEY RESULTS We demonstrate that GPR55 binds to and is activated by the cannabinoid ligand CP55940. In addition endocannabinoids including anandamide and virodhamine activate GTPgammaS binding via GPR55 with nM potencies. Ligands such as cannabidiol and abnormal cannabidiol which exhibit no CB1 or CB2 activity and are believed to function at a novel cannabinoid receptor, also showed activity at GPR55. GPR55 couples to Galpha13 and can mediate activation of rhoA, cdc42 and rac1. CONCLUSIONS These data suggest that GPR55 is a novel cannabinoid receptor, and its ligand profile with respect to CB1 and CB2 described here will permit delineation of its physiological function(s).","author":[{"dropping-particle":"","family":"Ryberg","given":"E","non-dropping-particle":"","parse-names":false,"suffix":""},{"dropping-particle":"","family":"Larsson","given":"N","non-dropping-particle":"","parse-names":false,"suffix":""},{"dropping-particle":"","family":"Sjögren","given":"S","non-dropping-particle":"","parse-names":false,"suffix":""},{"dropping-particle":"","family":"Hjorth","given":"S","non-dropping-particle":"","parse-names":false,"suffix":""},{"dropping-particle":"","family":"Hermansson","given":"N-O","non-dropping-particle":"","parse-names":false,"suffix":""},{"dropping-particle":"","family":"Leonova","given":"J","non-dropping-particle":"","parse-names":false,"suffix":""},{"dropping-particle":"","family":"Elebring","given":"T","non-dropping-particle":"","parse-names":false,"suffix":""},{"dropping-particle":"","family":"Nilsson","given":"K","non-dropping-particle":"","parse-names":false,"suffix":""},{"dropping-particle":"","family":"Drmota","given":"T","non-dropping-particle":"","parse-names":false,"suffix":""},{"dropping-particle":"","family":"Greasley","given":"P J","non-dropping-particle":"","parse-names":false,"suffix":""}],"container-title":"British Journal of Pharmacology","id":"ITEM-5","issue":"7","issued":{"date-parts":[["2009","1","29"]]},"page":"1092-1101","title":"The orphan receptor GPR55 is a novel cannabinoid receptor","type":"article-journal","volume":"152"},"uris":["http://www.mendeley.com/documents/?uuid=b9f4e60a-9344-34bd-9217-8e9d5db3699a"]},{"id":"ITEM-6","itemData":{"DOI":"10.1111/j.1476-5381.2011.01497.x","ISSN":"00071188","PMID":"21595653","abstract":"BACKGROUND AND PURPOSE Endometriosis is a disorder in which the endometrium forms growths outside the uterus and is associated with chronic pain. Recent evidence suggests that endometrial motility plays a role in the aetiology of endometriosis. The endocannabinoid system regulates cellular migration. Given the growing involvement of the endocannabinoids in reproduction, we investigated the role of the endocannabinoid system in migration of endometrial cells. EXPERIMENTAL APPROACH Migration of the human endometrial HEC-1B cells was assayed. Standard PCR techniques were used to determine the presence of the GPCR, GPR18, in HEC-1B cells, and p44/42 MAPK was assayed in stably transfected HEK293-GPR18 cells to determine receptor specificity for known cannabinoid agonists and antagonists. N-arachidonoyl ethanolamine (AEA) metabolism was measured, using HPLC/MS/MS for lipid analysis. KEY RESULTS AEA, Δ(9) -tetrahydrocannabinol (Δ(9) -THC) and N-arachidonoyl glycine (NAGly) induce migration of HEC-1B cells through cannabinoid CB(1) receptor-independent mechanisms. MAPK activation in HEK293-GPR18 cells revealed novel pharmacology for known CB(1) and CB(2) receptor ligands at GPR18 receptors, including Δ(9) -THC, which activates MAPK at nanomolar concentrations, whereas WIN 55212-2, CP55940, JWH-133 and JWH-015, and arachidonyl-1-hydroxy-2-propylamide (R1-methanandamide) had no effect. Moreover, HEC-1B migration and MAPK activation by NAGly and Δ(9) -THC were antagonized by Pertussis toxin, AM251 and cannabidiol. CONCLUSIONS AND IMPLICATIONS An understanding of the function and regulation of GPR18 and its molecular interactions with endogenous ligands, and how phytocannabinoids play a role with GPR18 signalling is vital if we are to comprehensively assess the function of the cannabinoid signalling system in human health and disease. LINKED ARTICLES This article is commented on by Alexander, pp. 2411-2413 of this issue and is part of a themed section on Cannabinoids in Biology and Medicine. To view Alexander visit http://dx.doi.org/10.1111/j.1476-5381.2011.01731.x. To view the other articles in this section visit http://dx.doi.org/10.1111/bph.2012.165.issue-8. To view Part I of Cannabinoids in Biology and Medicine visit http://dx.doi.org/10.1111/bph.2011.163.issue-7.","author":[{"dropping-particle":"","family":"McHugh","given":"Douglas","non-dropping-particle":"","parse-names":false,"suffix":""},{"dropping-particle":"","family":"Page","given":"Jeremy","non-dropping-particle":"","parse-names":false,"suffix":""},{"dropping-particle":"","family":"Dunn","given":"Emily","non-dropping-particle":"","parse-names":false,"suffix":""},{"dropping-particle":"","family":"Bradshaw","given":"Heather B","non-dropping-particle":"","parse-names":false,"suffix":""}],"container-title":"British Journal of Pharmacology","id":"ITEM-6","issue":"8","issued":{"date-parts":[["2012","4"]]},"page":"2414-2424","title":"Δ9-Tetrahydrocannabinol and N-arachidonyl glycine are full agonists at GPR18 receptors and induce migration in human endometrial HEC-1B cells","type":"article-journal","volume":"165"},"uris":["http://www.mendeley.com/documents/?uuid=ddf629f7-67f0-3916-bd9b-2dcbb46c1ff2"]}],"mendeley":{"formattedCitation":"McHugh et al., 2012a; Oz, 2006a; Pertwee, 2005, 2004, 1988; Ryberg et al., 2009a","manualFormatting":"McHugh et al., 2012; Oz, 2006; Pertwee, 2005, 2004, 1988; Ryberg et al., 2009","plainTextFormattedCitation":"McHugh et al., 2012a; Oz, 2006a; Pertwee, 2005, 2004, 1988; Ryberg et al., 2009a","previouslyFormattedCitation":"(McHugh et al., 2012a; Oz, 2006a; Pertwee, 2005, 2004, 1988; Ryberg et al., 2009a)"},"properties":{"noteIndex":0},"schema":"https://github.com/citation-style-language/schema/raw/master/csl-citation.json"}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McHugh et al., 2012; Oz, 2006; Pertwee, 2005, 2004, 1988; Ryberg et al., 2009</w:t>
            </w:r>
            <w:r w:rsidRPr="00DE7555">
              <w:rPr>
                <w:rFonts w:ascii="Times New Roman" w:hAnsi="Times New Roman" w:cs="Times New Roman"/>
                <w:lang w:val="en-GB"/>
              </w:rPr>
              <w:fldChar w:fldCharType="end"/>
            </w:r>
          </w:p>
        </w:tc>
      </w:tr>
      <w:tr w:rsidR="00E5612A" w:rsidRPr="008178CC" w14:paraId="333EF67B" w14:textId="77777777" w:rsidTr="00DE7555">
        <w:tc>
          <w:tcPr>
            <w:tcW w:w="0" w:type="auto"/>
          </w:tcPr>
          <w:p w14:paraId="5B0AE431"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 xml:space="preserve">AZD1940 </w:t>
            </w:r>
          </w:p>
          <w:p w14:paraId="4BE1008B"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 xml:space="preserve">aka ART27.13 </w:t>
            </w:r>
          </w:p>
        </w:tc>
        <w:tc>
          <w:tcPr>
            <w:tcW w:w="0" w:type="auto"/>
          </w:tcPr>
          <w:p w14:paraId="11DEBF0C"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11.75</w:t>
            </w:r>
          </w:p>
        </w:tc>
        <w:tc>
          <w:tcPr>
            <w:tcW w:w="0" w:type="auto"/>
          </w:tcPr>
          <w:p w14:paraId="2953EE13"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3E12A05"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p w14:paraId="4015B07F"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(peripherally restricted)</w:t>
            </w:r>
          </w:p>
        </w:tc>
        <w:tc>
          <w:tcPr>
            <w:tcW w:w="0" w:type="auto"/>
          </w:tcPr>
          <w:p w14:paraId="1B20D833"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0.87</w:t>
            </w:r>
          </w:p>
        </w:tc>
        <w:tc>
          <w:tcPr>
            <w:tcW w:w="0" w:type="auto"/>
          </w:tcPr>
          <w:p w14:paraId="5612CAC2"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9F95117"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p w14:paraId="5CA8A650"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(peripherally restricted)</w:t>
            </w:r>
          </w:p>
        </w:tc>
        <w:tc>
          <w:tcPr>
            <w:tcW w:w="0" w:type="auto"/>
          </w:tcPr>
          <w:p w14:paraId="4D01256D"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005A2AF"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{"citationItems":[{"id":"ITEM-1","itemData":{"DOI":"10.1016/j.nucmedbio.2012.10.011","ISSN":"09698051","PMID":"23352602","abstract":"INTRODUCTION N-(2-tert-butyl-1-((4,4-difluorocyclohexyl)methyl)-1H-benzo[d]imidazol-5-yl)ethanesulfonamide (AZD1940) is a candidate drug for treatment of neuropathic pain. As part of the preclinical evaluation of AZD1940, a microdosing study with positron emission tomography (PET) was conducted to assess brain exposure. METHODS AZD1940 was radiolabeled with carbon-11 in the benzimidazole moiety. The radioactive precursor, lithium [(11)C]pivalate was obtained via (11)C-carboxylation of tert-butyl lithium. The target compound, [(11)C]AZD1940, was in turn obtained by the microwave assisted reaction between lithium [(11)C]pivalate and the o-phenylene diamine analog of AZD1940 (N-(3-amino-4-((4,4-difluorocyclohexyl)methylamino)phenyl)ethanesulfonamide) in neat phosphorous oxychloride. A brain PET measurement was performed in cynomolgus monkey. RESULTS The overall radiochemical yield of final formulated radiochemically pure (&gt;99%) [(11)C]AZD1940 was 0.4% (uncorrected for decay) and the specific radioactivity was 13GBq/μmol at time of administration (58min after end of bombardment). After intravenous injection to cynomolgus monkey, the maximum concentration of radioactivity detected in the brain region of interest was 0.7% of the total injected radioactivity. The regional distribution of radioactivity within brain was homogenous. CONCLUSIONS AZD1940 was radiolabelled with carbon-11 and its brain exposure, assessed using PET, was relatively low in comparison to peripheral organ exposure.","author":[{"dropping-particle":"","family":"Schou","given":"Magnus","non-dropping-particle":"","parse-names":false,"suffix":""},{"dropping-particle":"","family":"Varnäs","given":"Katarina","non-dropping-particle":"","parse-names":false,"suffix":""},{"dropping-particle":"","family":"Jucaite","given":"Aurelija","non-dropping-particle":"","parse-names":false,"suffix":""},{"dropping-particle":"","family":"Gulyás","given":"Balázs","non-dropping-particle":"","parse-names":false,"suffix":""},{"dropping-particle":"","family":"Halldin","given":"Christer","non-dropping-particle":"","parse-names":false,"suffix":""},{"dropping-particle":"","family":"Farde","given":"Lars","non-dropping-particle":"","parse-names":false,"suffix":""}],"container-title":"Nuclear Medicine and Biology","id":"ITEM-1","issue":"3","issued":{"date-parts":[["2013","4"]]},"page":"410-414","title":"Radiolabeling of the cannabinoid receptor agonist AZD1940 with carbon-11 and PET microdosing in non-human primate","type":"article-journal","volume":"40"},"uris":["http://www.mendeley.com/documents/?uuid=eec63281-42c7-3bf9-bceb-149e05f0c4fb"]}],"mendeley":{"formattedCitation":"Schou et al., 2013","plainTextFormattedCitation":"Schou et al., 2013","previouslyFormattedCitation":"(Schou et al., 2013)"},"properties":{"noteIndex":0},"schema":"https://github.com/citation-style-language/schema/raw/master/csl-citation.json"}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Schou et al., 2013</w:t>
            </w:r>
            <w:r w:rsidRPr="00DE7555">
              <w:rPr>
                <w:rFonts w:ascii="Times New Roman" w:hAnsi="Times New Roman" w:cs="Times New Roman"/>
                <w:lang w:val="en-GB"/>
              </w:rPr>
              <w:fldChar w:fldCharType="end"/>
            </w:r>
          </w:p>
        </w:tc>
      </w:tr>
      <w:tr w:rsidR="00E5612A" w:rsidRPr="008178CC" w14:paraId="58C9110F" w14:textId="77777777" w:rsidTr="00DE7555">
        <w:tc>
          <w:tcPr>
            <w:tcW w:w="0" w:type="auto"/>
          </w:tcPr>
          <w:p w14:paraId="11829D89"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BAY 38-7271</w:t>
            </w:r>
          </w:p>
          <w:p w14:paraId="5AE243DF"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aka KN 38-7271</w:t>
            </w:r>
          </w:p>
        </w:tc>
        <w:tc>
          <w:tcPr>
            <w:tcW w:w="0" w:type="auto"/>
          </w:tcPr>
          <w:p w14:paraId="35529735"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0.46-1.85</w:t>
            </w:r>
          </w:p>
        </w:tc>
        <w:tc>
          <w:tcPr>
            <w:tcW w:w="0" w:type="auto"/>
          </w:tcPr>
          <w:p w14:paraId="3C7F93E3"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55937D2"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4ABF2A49"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5.96</w:t>
            </w:r>
          </w:p>
        </w:tc>
        <w:tc>
          <w:tcPr>
            <w:tcW w:w="0" w:type="auto"/>
          </w:tcPr>
          <w:p w14:paraId="22C618CC"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4B221A1"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60C0D6F5"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1035B0E"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{"citationItems":[{"id":"ITEM-1","itemData":{"ISSN":"0022-3565","PMID":"12065738","abstract":"(-)-(R)-3-(2-Hydroxymethylindanyl-4-oxy)phenyl-4,4,4-trifluoro-1-sulfonate (BAY 38-7271) is a new high-affinity cannabinoid receptor subtype 1 (CB1 receptor) ligand (K(i) = 0.46-1.85 nM; rat brain, human cortex, or recombinant human CB1 receptor), structurally unrelated to any cannabinoid receptor ligand known so far. BAY 38-7271 was characterized as a CB1 receptor agonist in 5-[gamma(35)S]-thiophosphate triethylammonium salt binding assays using rat or human CB1 receptors. In the rat hypothermia assay, BAY 38-7271 induced a dose-dependent reduction in body temperature (minimal effective dose = 6 microg/kg, i.v.); whereas in rats trained to discriminate the CB1/CB2 receptor agonist (-)-cis-3-[2-hydroxy-4(1,1-dimethyl-heptyl)phenyl]-trans-4-(3-hydroxypropyl) cyclohexanol (CP 55,940; 0.03 mg/kg, i.p.) from vehicle, BAY 38-7271 induced complete generalization (3 microg/kg, i.v.). In both in vivo models, a specific CB1 receptor-mediated mechanism was confirmed by demonstrating that the effects of CP 55,940 and BAY 38-7271 were blocked by pretreatment with the selective CB1 receptor antagonist N-(piperidin-1-yl)-5-(4-chlorophenyl)-1-(2,4-dichlorophenyl)-4-methyl-1H-pyrazole-3-carboxamidehydrochloride. In the rat traumatic brain injury model, BAY 38-7271 demonstrated highly potent and efficient neuroprotective properties when administered as a 4-h infusion immediately after induction of subdural hematoma (70% infarct volume reduction at 100 ng/kg/h). Even when applied with a 3-h delay, a significant neuroprotective efficacy could be observed (59% infarct volume reduction at 300 ng/kg/h). The neuroprotective potential of BAY 38-7271 was confirmed in a rat model of focal cerebral ischemia induced by permanent occlusion of the middle cerebral artery. It is concluded that the CB1/CB2 receptor agonist BAY 38-7271 shows pronounced neuroprotective properties that do not result from drug-induced hypothermia and that occur in a dose range devoid of typical cannabinoid-like side effects.","author":[{"dropping-particle":"","family":"Mauler","given":"Frank","non-dropping-particle":"","parse-names":false,"suffix":""},{"dropping-particle":"","family":"Mittendorf","given":"Joachim","non-dropping-particle":"","parse-names":false,"suffix":""},{"dropping-particle":"","family":"Horváth","given":"Ervin","non-dropping-particle":"","parse-names":false,"suffix":""},{"dropping-particle":"","family":"Vry","given":"Jean","non-dropping-particle":"De","parse-names":false,"suffix":""}],"container-title":"The Journal of pharmacology and experimental therapeutics","id":"ITEM-1","issue":"1","issued":{"date-parts":[["2002","7"]]},"page":"359-68","title":"Characterization of the diarylether sulfonylester (-)-(R)-3-(2-hydroxymethylindanyl-4-oxy)phenyl-4,4,4-trifluoro-1-sulfonate (BAY 38-7271) as a potent cannabinoid receptor agonist with neuroprotective properties.","type":"article-journal","volume":"302"},"uris":["http://www.mendeley.com/documents/?uuid=e09e2e77-980b-3767-ad07-71bfb6f868e1"]}],"mendeley":{"formattedCitation":"Mauler et al., 2002","plainTextFormattedCitation":"Mauler et al., 2002","previouslyFormattedCitation":"(Mauler et al., 2002)"},"properties":{"noteIndex":0},"schema":"https://github.com/citation-style-language/schema/raw/master/csl-citation.json"}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Mauler et al., 2002</w:t>
            </w:r>
            <w:r w:rsidRPr="00DE7555">
              <w:rPr>
                <w:rFonts w:ascii="Times New Roman" w:hAnsi="Times New Roman" w:cs="Times New Roman"/>
                <w:lang w:val="en-GB"/>
              </w:rPr>
              <w:fldChar w:fldCharType="end"/>
            </w:r>
          </w:p>
        </w:tc>
      </w:tr>
      <w:tr w:rsidR="00E5612A" w:rsidRPr="00DE7555" w14:paraId="1225474A" w14:textId="77777777" w:rsidTr="00DE7555">
        <w:tc>
          <w:tcPr>
            <w:tcW w:w="0" w:type="auto"/>
          </w:tcPr>
          <w:p w14:paraId="34A058A6"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BMS-202</w:t>
            </w:r>
          </w:p>
        </w:tc>
        <w:tc>
          <w:tcPr>
            <w:tcW w:w="0" w:type="auto"/>
          </w:tcPr>
          <w:p w14:paraId="067596E0"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829B630"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100</w:t>
            </w:r>
          </w:p>
        </w:tc>
        <w:tc>
          <w:tcPr>
            <w:tcW w:w="0" w:type="auto"/>
          </w:tcPr>
          <w:p w14:paraId="233F2CBA"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49A39484"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3856798" w14:textId="77777777" w:rsidR="00E5612A" w:rsidRPr="00DE7555" w:rsidRDefault="00E5612A" w:rsidP="00E5612A">
            <w:pPr>
              <w:jc w:val="center"/>
              <w:rPr>
                <w:rFonts w:ascii="Times New Roman" w:hAnsi="Times New Roman" w:cs="Times New Roman"/>
                <w:lang w:val="en-GB"/>
              </w:rPr>
            </w:pPr>
            <w:r>
              <w:rPr>
                <w:rFonts w:ascii="Times New Roman" w:hAnsi="Times New Roman" w:cs="Times New Roman"/>
                <w:lang w:val="en-GB"/>
              </w:rPr>
              <w:t>125.</w:t>
            </w:r>
            <w:r w:rsidRPr="00DE7555">
              <w:rPr>
                <w:rFonts w:ascii="Times New Roman" w:hAnsi="Times New Roman" w:cs="Times New Roman"/>
                <w:lang w:val="en-GB"/>
              </w:rPr>
              <w:t>9</w:t>
            </w:r>
          </w:p>
        </w:tc>
        <w:tc>
          <w:tcPr>
            <w:tcW w:w="0" w:type="auto"/>
          </w:tcPr>
          <w:p w14:paraId="4FE3EB50"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75C745A2"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t>programmed cell death 1 ligand 1</w:t>
            </w:r>
          </w:p>
        </w:tc>
        <w:tc>
          <w:tcPr>
            <w:tcW w:w="0" w:type="auto"/>
          </w:tcPr>
          <w:p w14:paraId="78C7556E" w14:textId="77777777" w:rsidR="00E5612A" w:rsidRPr="008178CC" w:rsidRDefault="00E5612A" w:rsidP="00E5612A">
            <w:pPr>
              <w:rPr>
                <w:rFonts w:ascii="Times New Roman" w:hAnsi="Times New Roman" w:cs="Times New Roman"/>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{"citationItems":[{"id":"ITEM-1","itemData":{"DOI":"10.1021/acschemneuro.5b00107","ISSN":"1948-7193","abstract":"Synthetic cannabinoid (SC) designer drugs featuring bioisosteric fluorine substitution are identified by forensic chemists and toxicologists with increasing frequency. Although terminal fluorination of N-pentyl indole SCs is sometimes known to improve cannabinoid type 1 (CB1) receptor binding affinity, little is known of the effects of fluorination on functional activity of SCs. This study explores the in vitro functional activities of SC designer drugs JWH-018, UR-144, PB-22, and APICA, and their respective terminally fluorinated analogues AM-2201, XLR-11, 5F-PB-22, and STS-135 at human CB1 and CB2 receptors using a FLIPR membrane potential assay. All compounds demonstrated agonist activity at CB1 (EC50 = 2.8–1959 nM) and CB2 (EC50 = 6.5–206 nM) receptors, with the fluorinated analogues generally showing increased CB1 receptor potency (</w:instrText>
            </w:r>
            <w:r w:rsidRPr="00DE7555">
              <w:rPr>
                <w:rFonts w:ascii="MS Mincho" w:eastAsia="MS Mincho" w:hAnsi="MS Mincho" w:cs="MS Mincho"/>
                <w:lang w:val="en-GB"/>
              </w:rPr>
              <w:instrText>∼</w:instrText>
            </w:r>
            <w:r w:rsidRPr="00DE7555">
              <w:rPr>
                <w:rFonts w:ascii="Times New Roman" w:hAnsi="Times New Roman" w:cs="Times New Roman"/>
                <w:lang w:val="en-GB"/>
              </w:rPr>
              <w:instrText>2–5 times). Additionally, the cannabimimetic activities and relative potencies of JWH-018, AM-2201, UR-144, XLR-11, PB-22, 5F-PB-22, APICA, and STS-135 in vivo were evalu...","author":[{"dropping-particle":"","family":"Banister","given":"Samuel D.",</w:instrText>
            </w:r>
            <w:r w:rsidRPr="008178CC">
              <w:rPr>
                <w:rFonts w:ascii="Times New Roman" w:hAnsi="Times New Roman" w:cs="Times New Roman"/>
                <w:lang w:val="en-US"/>
              </w:rPr>
              <w:instrText>"non-dropping-particle":"","parse-names":false,"suffix":""},{"dropping-particle":"","family":"Stuart","given":"Jordyn","non-dropping-particle":"","parse-names":false,"suffix</w:instrText>
            </w:r>
            <w:r w:rsidRPr="00DE7555">
              <w:rPr>
                <w:rFonts w:ascii="Times New Roman" w:hAnsi="Times New Roman" w:cs="Times New Roman"/>
                <w:lang w:val="fr-FR"/>
              </w:rPr>
              <w:instrText>":""},{"dropping-particle":"","family":"Kevin","given":"Richard C.","non-dropping-particle":"","parse-names":false,"suffix":""},{"dropping-particle":"","family":"Edington","given":"Amelia","non-dropping-particle":"","parse-names":false,"suffix":""},{"dropping-particle":"","family":"Longworth","given":"Mitchell","non-dropping-particle":"","parse-names":false,"suffix":""},{"dropping-particle":"","family":"Wilkinson","given":"Shane M.","non-dropping-particle":"","parse-names":false,"suffix":""},{"dropping-particle":"","family":"Beinat","given":"Corinne","non-dropping-particle":"","parse-names":false,"suffix":""},{"dropping-particle":"","family":"Buchanan","given":"Alexandra S.","non-dropping-particle":"","parse-names":false,"suffix":""},{"dropping-particle":"","family":"Hibbs","given":"David E.","non-dropping-particle":"","parse-names":false,"suffix":""},{"dropping-particle":"","family":"Glass","given":"Michelle","non-dropping-particle":"","parse-names":false,"suffix":""},{"dropping-particle":"","family":"Connor","given":"Mark","non-dropping-particle":"","parse-names":false,"suffix":""},{"dropping-particle":"","family":"McGregor","given":"Iain S.","non-dropping-particle":"","parse-names":false,"suffix":""},{"dropping-particle":"","family":"Kassiou","given":"Michael","non-dropping-particle":"","parse-names":false,"suffix":""}],"container-title":"ACS Chemical Neuroscience","id":"ITEM-1","issue":"8","issued":{"date-parts":[["2015","8","19"]]},"page":"1445-1458","publisher":"American Chemical Society","title":"Effects of Bioisosteric Fluorine in Synthetic Cannabinoid Designer Drugs JWH-018, AM-2201, UR-144, XLR-11, PB-22, 5F-PB-22, APICA, and STS-135","type":"article-journal","volume":"6"},"uris":["http://www.mendeley.com/documents/?uuid=d31f6aef-f21f-38a8-bb89-f3c88c062a3a"]},{"id":"ITEM-2","itemData":{"DOI":"10.1021/acs.jmedchem.7b00293","ISSN":"0022-2623","PMID":"28613862","abstract":"Blockade of the PD-1/PD-L1 immune checkpoint pathway with monoclonal antibodies has provided significant advances in cancer treatment. The antibody-based immunotherapies carry a number of disadvantages such as the high cost of the antibodies, their limited half-life, and immunogenicity. Development of small-molecule PD-1/PD-L1 inhibitors that could overcome these drawbacks is slow because of the incomplete structural information for this pathway. The first chemical PD-1/PD-L1 inhibitors have been recently disclosed by Bristol-Myers Squibb. Here we present NMR and X-ray characterization for the two classes of these inhibitors. The X-ray structures of the PD-L1/inhibitor complexes reveal one inhibitor molecule located at the center of the PD-L1 homodimer, filling a deep hydrophobic channel-like pocket between two PD-L1 molecules. Derivatives of (2-methyl-3-biphenylyl)methanol exhibit the structures capped on one side of the channel, whereas the compounds based on [3-(2,3-dihydro-1,4-benzodioxin-6-yl)-2-methylphenyl]methanol induce an enlarged interaction interface that results in the open \"face-back\" tunnel through the PD-L1 dimer.","author":[{"dropping-particle":"","family":"Guzik","given":"Katarzyna","non-dropping-particle":"","parse-names":false,"suffix":""},{"dropping-particle":"","family":"Zak","given":"Krzysztof M.","non-dropping-particle":"","parse-names":false,"suffix":""},{"dropping-particle":"","family":"Grudnik","given":"Przemyslaw","non-dropping-particle":"","parse-names":false,"suffix":""},{"dropping-particle":"","family":"Magiera","given":"Katarzyna","non-dropping-particle":"","parse-names":false,"suffix":""},{"dropping-particle":"",</w:instrText>
            </w:r>
            <w:r w:rsidRPr="008178CC">
              <w:rPr>
                <w:rFonts w:ascii="Times New Roman" w:hAnsi="Times New Roman" w:cs="Times New Roman"/>
              </w:rPr>
              <w:instrText>"family":"Musielak","given":"Bogdan","non-dropping-particle":"","parse-names":false,"suffix":""},{"dropping-particle":"","family":"Törner","given":"Ricarda","non-dropping-particle":"","parse-names":false,"suffix":""},{"dropping-particle":"","family":"Skalniak","given":"Lukasz","non-dropping-particle":"","parse-names":false,"suffix":""},{"dropping-particle":"","family":"Dömling","given":"Alexander","non-dropping-particle":"","parse-names":false,"suffix":""},{"dropping-particle":"","family":"Dubin","given":"Grzegorz","non-dropping-particle":"","parse-names":false,"suffix":""},{"dropping-particle":"","family":"Holak","given":"Tad A.","non-dropping-particle":"","parse-names":false,"suffix":""}],"container-title":"Journal of Medicinal Chemistry","id":"ITEM-2","issue":"13","issued":{"date-parts":[["2017","7","13"]]},"page":"5857-5867","title":"Small-Molecule Inhibitors of the Programmed Cell Death-1/Programmed Death-Ligand 1 (PD-1/PD-L1) Interaction via Transiently Induced Protein States and Dimerization of PD-L1","type":"article-journal","volume":"60"},"uris":["http://www.mendeley.com/documents/?uuid=fe45677d-53c0-3767-a715-cd8621c83a8c"]}],"mendeley":{"formattedCitation":"Banister et al., 2015; Guzik et al., 2017","plainTextFormattedCitation":"Banister et al., 2015; Guzik et al., 2017","previouslyFormattedCitation":"(Banister et al., 2015; Guzik et al., 2017)"},"properties":{"noteIndex":0},"schema":"https://github.com/citation-style-language/schema/raw/master/csl-citation.json"}</w:instrText>
            </w:r>
            <w:r w:rsidRPr="00DE7555">
              <w:rPr>
                <w:rFonts w:ascii="Times New Roman" w:hAnsi="Times New Roman" w:cs="Times New Roman"/>
                <w:lang w:val="en-GB"/>
              </w:rPr>
              <w:fldChar w:fldCharType="separate"/>
            </w:r>
            <w:r w:rsidRPr="008178CC">
              <w:rPr>
                <w:rFonts w:ascii="Times New Roman" w:hAnsi="Times New Roman" w:cs="Times New Roman"/>
                <w:noProof/>
              </w:rPr>
              <w:t>Banister et al., 2015; Guzik et al., 2017</w:t>
            </w:r>
            <w:r w:rsidRPr="00DE7555">
              <w:rPr>
                <w:rFonts w:ascii="Times New Roman" w:hAnsi="Times New Roman" w:cs="Times New Roman"/>
                <w:lang w:val="en-GB"/>
              </w:rPr>
              <w:fldChar w:fldCharType="end"/>
            </w:r>
          </w:p>
        </w:tc>
      </w:tr>
      <w:tr w:rsidR="00E5612A" w:rsidRPr="008178CC" w14:paraId="099FA5C0" w14:textId="77777777" w:rsidTr="00DE7555">
        <w:tc>
          <w:tcPr>
            <w:tcW w:w="0" w:type="auto"/>
          </w:tcPr>
          <w:p w14:paraId="3B2C8BC5" w14:textId="77777777" w:rsidR="00E5612A" w:rsidRPr="008178CC" w:rsidRDefault="00E5612A" w:rsidP="00724E70">
            <w:pPr>
              <w:rPr>
                <w:rFonts w:ascii="Times New Roman" w:hAnsi="Times New Roman" w:cs="Times New Roman"/>
              </w:rPr>
            </w:pPr>
            <w:r w:rsidRPr="008178CC">
              <w:rPr>
                <w:rFonts w:ascii="Times New Roman" w:hAnsi="Times New Roman" w:cs="Times New Roman"/>
              </w:rPr>
              <w:t>cannabinol</w:t>
            </w:r>
          </w:p>
        </w:tc>
        <w:tc>
          <w:tcPr>
            <w:tcW w:w="0" w:type="auto"/>
          </w:tcPr>
          <w:p w14:paraId="36FACCA6" w14:textId="77777777" w:rsidR="00E5612A" w:rsidRPr="008178CC" w:rsidRDefault="00E5612A" w:rsidP="00E5612A">
            <w:pPr>
              <w:jc w:val="center"/>
              <w:rPr>
                <w:rFonts w:ascii="Times New Roman" w:hAnsi="Times New Roman" w:cs="Times New Roman"/>
              </w:rPr>
            </w:pPr>
            <w:r w:rsidRPr="008178CC">
              <w:rPr>
                <w:rFonts w:ascii="Times New Roman" w:hAnsi="Times New Roman" w:cs="Times New Roman"/>
              </w:rPr>
              <w:t>211</w:t>
            </w:r>
          </w:p>
        </w:tc>
        <w:tc>
          <w:tcPr>
            <w:tcW w:w="0" w:type="auto"/>
          </w:tcPr>
          <w:p w14:paraId="4E89CC1A" w14:textId="77777777" w:rsidR="00E5612A" w:rsidRPr="008178CC" w:rsidRDefault="00E5612A" w:rsidP="00E5612A">
            <w:pPr>
              <w:jc w:val="center"/>
              <w:rPr>
                <w:rFonts w:ascii="Times New Roman" w:hAnsi="Times New Roman" w:cs="Times New Roman"/>
              </w:rPr>
            </w:pPr>
            <w:r w:rsidRPr="008178CC">
              <w:rPr>
                <w:rFonts w:ascii="Times New Roman" w:hAnsi="Times New Roman" w:cs="Times New Roman"/>
              </w:rPr>
              <w:t>120</w:t>
            </w:r>
          </w:p>
        </w:tc>
        <w:tc>
          <w:tcPr>
            <w:tcW w:w="0" w:type="auto"/>
          </w:tcPr>
          <w:p w14:paraId="1767EC72" w14:textId="77777777" w:rsidR="00E5612A" w:rsidRPr="008178CC" w:rsidRDefault="00E5612A" w:rsidP="00E5612A">
            <w:pPr>
              <w:jc w:val="center"/>
              <w:rPr>
                <w:rFonts w:ascii="Times New Roman" w:hAnsi="Times New Roman" w:cs="Times New Roman"/>
              </w:rPr>
            </w:pPr>
            <w:r w:rsidRPr="008178CC">
              <w:rPr>
                <w:rFonts w:ascii="Times New Roman" w:hAnsi="Times New Roman" w:cs="Times New Roman"/>
              </w:rPr>
              <w:t>partial agonist</w:t>
            </w:r>
          </w:p>
        </w:tc>
        <w:tc>
          <w:tcPr>
            <w:tcW w:w="0" w:type="auto"/>
          </w:tcPr>
          <w:p w14:paraId="08E69394" w14:textId="77777777" w:rsidR="00E5612A" w:rsidRPr="008178CC" w:rsidRDefault="00E5612A" w:rsidP="00E5612A">
            <w:pPr>
              <w:jc w:val="center"/>
              <w:rPr>
                <w:rFonts w:ascii="Times New Roman" w:hAnsi="Times New Roman" w:cs="Times New Roman"/>
              </w:rPr>
            </w:pPr>
            <w:r w:rsidRPr="008178CC">
              <w:rPr>
                <w:rFonts w:ascii="Times New Roman" w:hAnsi="Times New Roman" w:cs="Times New Roman"/>
              </w:rPr>
              <w:t>126</w:t>
            </w:r>
          </w:p>
        </w:tc>
        <w:tc>
          <w:tcPr>
            <w:tcW w:w="0" w:type="auto"/>
          </w:tcPr>
          <w:p w14:paraId="10B85728" w14:textId="77777777" w:rsidR="00E5612A" w:rsidRPr="008178CC" w:rsidRDefault="00E5612A" w:rsidP="00E5612A">
            <w:pPr>
              <w:jc w:val="center"/>
              <w:rPr>
                <w:rFonts w:ascii="Times New Roman" w:hAnsi="Times New Roman" w:cs="Times New Roman"/>
              </w:rPr>
            </w:pPr>
            <w:r w:rsidRPr="008178CC">
              <w:rPr>
                <w:rFonts w:ascii="Times New Roman" w:hAnsi="Times New Roman" w:cs="Times New Roman"/>
              </w:rPr>
              <w:t>261</w:t>
            </w:r>
          </w:p>
        </w:tc>
        <w:tc>
          <w:tcPr>
            <w:tcW w:w="0" w:type="auto"/>
          </w:tcPr>
          <w:p w14:paraId="0AF44A77" w14:textId="77777777" w:rsidR="00E5612A" w:rsidRPr="008178CC" w:rsidRDefault="00E5612A" w:rsidP="00E5612A">
            <w:pPr>
              <w:jc w:val="center"/>
              <w:rPr>
                <w:rFonts w:ascii="Times New Roman" w:hAnsi="Times New Roman" w:cs="Times New Roman"/>
              </w:rPr>
            </w:pPr>
            <w:r w:rsidRPr="008178CC">
              <w:rPr>
                <w:rFonts w:ascii="Times New Roman" w:hAnsi="Times New Roman" w:cs="Times New Roman"/>
              </w:rPr>
              <w:t>nd</w:t>
            </w:r>
          </w:p>
        </w:tc>
        <w:tc>
          <w:tcPr>
            <w:tcW w:w="0" w:type="auto"/>
          </w:tcPr>
          <w:p w14:paraId="58D95BCB" w14:textId="77777777" w:rsidR="00E5612A" w:rsidRPr="008178CC" w:rsidRDefault="00E5612A" w:rsidP="00E5612A">
            <w:pPr>
              <w:rPr>
                <w:rFonts w:ascii="Times New Roman" w:hAnsi="Times New Roman" w:cs="Times New Roman"/>
              </w:rPr>
            </w:pPr>
            <w:r w:rsidRPr="008178CC">
              <w:rPr>
                <w:rFonts w:ascii="Times New Roman" w:hAnsi="Times New Roman" w:cs="Times New Roman"/>
              </w:rPr>
              <w:t>TRPV2</w:t>
            </w:r>
          </w:p>
        </w:tc>
        <w:tc>
          <w:tcPr>
            <w:tcW w:w="0" w:type="auto"/>
          </w:tcPr>
          <w:p w14:paraId="25A36D2A"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8178CC">
              <w:rPr>
                <w:rFonts w:ascii="Times New Roman" w:hAnsi="Times New Roman" w:cs="Times New Roman"/>
              </w:rPr>
              <w:instrText>ADDIN CSL_CITATION {"citationItems":[{"id":"ITEM-1","itemData":{"ISSN":"0026-895X","PMID":"7565624","abstract":"The recently cloned CB2 cannabinoid receptor subtype was stably transfected into AtT-20 and Chinese hamster ovary cells to compare the binding and signal transduction properties of this receptor with those of the CB1 receptor subtype. The binding of [3H]CP 55,940 to both CB1 and CB2 was of similar high affinity (2.6 and 3.7 nM, respectively) and saturable. In competitive binding experiments, (-)-delta 9-tetrahydrocannabinol and CP 55,940 were equipotent at the CB1 and CB2 receptors, but WIN 55212-2 and cannabinol bound with higher affinity to the CB2 than the CB1 receptor. HU 210 had a higher affinity for the CB1 receptor. Anandamide, a recently identified endogenous cannabinoid agonist, was essentially equipotent at both receptor subtypes. The structurally related fatty acid ethanolamides dihomo-gamma-linolenylethanolamide and mead ethanolamide also bound with relatively equal affinity to both receptors, but adrenylethanolamide had a higher affinity for the CB1 receptor. The rank order of potency and efficacy for binding of the selected agonists to the CB1 and CB2 receptors was mimicked in functional inhibition of cAMP accumulation experiments for all compounds tested. Both CB1 and CB2 receptors couple to the inhibition of cAMP accumulation that was pertussis toxin sens</w:instrText>
            </w:r>
            <w:r w:rsidRPr="00DE7555">
              <w:rPr>
                <w:rFonts w:ascii="Times New Roman" w:hAnsi="Times New Roman" w:cs="Times New Roman"/>
                <w:lang w:val="en-GB"/>
              </w:rPr>
              <w:instrText>itive. SR141716A, a CB1 receptor antagonist, was a poor antagonist at the CB2 receptor in both binding and functional inhibition of cAMP accumulation experiments. When expressed in AtT-20 cells, the CB1 receptor mediated an inhibition of Q-type calcium channels and an activation of inward rectifying potassium channels. In contrast, the CB2 receptor did not modulate the activity of either channel under identical assay conditions. Similar to results obtained for CB1 receptor, the CB2 receptor did not couple to the activation of phospholipases A2, C, or D or to the mobilization of intracellular Ca2+. Except for its inability to couple to the modulation of Q-type calcium channels or inwardly rectifying potassium channels, the CB1 and CB2 receptors display similar pharmacological and biochemical properties.","author":[{"dropping-particle":"","family":"Felder","given":"C C","non-dropping-particle":"","parse-names":false,"suffix":""},{"dropping-particle":"","family":"Joyce","given":"K E","non-dropping-particle":"","parse-names":false,"suffix":""},{"dropping-particle":"","family":"Briley","given":"E M","non-dropping-particle":"","parse-names":false,"suffix":""},{"dropping-particle":"","family":"Mansouri","given":"J","non-dropping-particle":"","parse-names":false,"suffix":""},{"dropping-particle":"","family":"Mackie","given":"K","non-dropping-particle":"","parse-names":false,"suffix":""},{"dropping-particle":"","family":"Blond","given":"O","non-dropping-particle":"","parse-names":false,"suffix":""},{"dropping-particle":"","family":"Lai","given":"Y","non-dropping-particle":"","parse-names":false,"suffix":""},{"dropping-particle":"","family":"Ma","given":"A L","non-dropping-particle":"","parse-names":false,"suffix":""},{"dropping-particle":"","family":"Mitchell","given":"R L","non-dropping-particle":"","parse-names":false,"suffix":""}],"container-title":"Molecular pharmacology","id":"ITEM-1","issue":"3","issued":{"date-parts":[["1995","9"]]},"page":"443-50","title":"Comparison of the pharmacology and signal transduction of the human cannabinoid CB1 and CB2 receptors.","type":"article-journal","volume":"48"},"uris":["http://www.mendeley.com/documents/?uuid=28376ec0-b63e-3000-8f11-72d087154329"]},{"id":"ITEM-2","itemData":{"ISSN":"0022-3565","PMID":"8819477","abstract":"Two cannabinoid receptors have been identified to date; one is located predominantly in the central nervous system (CB1), whereas the other is located exclusively in the periphery (CB2). The purposes of this study were to explore further the binding requirements of the CB2 receptor and to search for compounds displaying distinct affinities for either cannabinoid receptor. The binding affinities of a series of cannabinoids tested previously at the CB1 receptor were determined at cloned human CB1 and CB2 receptors using a filtration assay. In addition, possible allosteric regulation of the CB2 receptor was examined. Sodium and a GTP analog elicited a concentration-dependent decrease in specific binding to the CB2 receptor. The affinity of cannabinol for CB2 receptors (Ki = 96.3 +/- 14 nM) was confirmed to be in approximately the same range as that of delta 9-THC (Ki = 36.4 +/- 10 nM). Affinities at cloned CB1 and CB2 receptors were compared with affinities determined in the brain. Although most of the chosen compounds did not discriminate between CB1 and CB2, several ligands were identified that showed selectivity. Affinity ratios demonstrated that two 2'-fluoro analogs of anandamide were over 23-fold selective for the CB1 receptor and confirmed the CB1 selectivity of SR141716A {N- (piperidin-1-yl)-5-(4-chlorophenyl)-1-(2, 4-dichlorophenyl)-4- methyl-1H-pyrazole-3-carboxamidehydrochloride}. In addition, WIN-55, 212-2 {(R)-(+)-[2, 3-dihydro-5-methyl-3-[(4-morpholinyl) methyl] pyrrolo[1,2,3-de]-1,4-benzoxazin-6-yl](1-naphthalenyl) methanone} and a closely related propyl indole analog were shown to be 6.75- and 27.5- fold selective, respectively, for the CB2 receptor. These ligands can now serve as a basis for the design of compounds with even greater selectivity.","author":[{"dropping-particle":"","family":"Showalter","given":"V M","non-dropping-particle":"","parse-names":false,"suffix":""},{"dropping-particle":"","family":"Compton","given":"D R","non-dropping-particle":"","parse-names":false,"suffix":""},{"dropping-particle":"","family":"Martin","given":"B R","non-dropping-particle":"","parse-names":false,"suffix":""},{"dropping-particle":"","family":"Abood","given":"M E","non-dropping-particle":"","parse-names":false,"suffix":""}],"container-title":"The Journal of pharmacology and experimental therapeutics","id":"ITEM-2","issue":"3","issued":{"date-parts":[["1996","9"]]},"page":"989-99","title":"Evaluation of binding in a transfected cell line expressing a peripheral cannabinoid receptor (CB2): identification of cannabinoid receptor subtype selective ligands.","type":"article-journal","volume":"278"},"uris":["http://www.mendeley.com/documents/?uuid=9d3aed44-a62c-357d-8179-7ffde1c3323c"]},{"id":"ITEM-3","itemData":{"DOI":"10.1523/JNEUROSCI.0504-08.2008","ISSN":"0270-6474","PMID":"18550765","abstract":"Transient receptor potential V2 (TRPV2) has been proposed to be a high-threshold thermosensor. However, further elucidation of the channel properties and physiological role of TRPV2 have been hindered by the lack of selective pharmacological tools as well as by the species-dependent differences in the activation of this channel. In the present study, we have used cell-based calcium mobilization and electrophysiological assays to identify and characterize several novel cannabinoid TRPV2 agonists. Among these, cannabidiol was found to be the most robust and potent (EC(50) = 3.7 microM), followed by Delta(9)-tetrahydrocannabinol (EC(50) = 14 microM) and cannabinol (EC(50) = 77.7 microM). We also demonstrated that cannabidiol evoked a concentration-dependent release of calcitonin gene-related peptide (CGRP) from cultured rat dorsal root ganglion neurons in a cannabinoid receptor- and TRPV1-independent manner. Moreover, the cannabidiol-evoked CGRP release depended on extracellular calcium and was blocked by the nonselective TRP channel blocker, ruthenium red. We further provide evidence through the use of small interfering RNA knockdown and repetitive stimulation studies, to show that cannabidiol-evoked CGRP release is mediated, at least in part, by TRPV2. Together, these data suggest not only that TRPV2 may comprise a mechanism whereby cannabidiol exerts its clinically beneficial effects in vivo, but also that TRPV2 may constitute a viable, new drug target.","author":[{"dropping-particle":"","family":"Qin","given":"N.","non-dropping-particle":"","parse-names":false,"suffix":""},{"dropping-particle":"","family":"Neeper","given":"M. P.","non-dropping-particle":"","parse-names":false,"suffix":""},{"dropping-particle":"","family":"Liu","given":"Y.","non-dropping-particle":"","parse-names":false,"suffix":""},{"dropping-particle":"","family":"Hutchinson","given":"T. L.","non-dropping-particle":"","parse-names":false,"suffix":""},{"dropping-particle":"","family":"Lubin","given":"M. L.","non-dropping-particle":"","parse-names":false,"suffix":""},{"dropping-particle":"","family":"Flores","given":"C. M.","non-dropping-particle":"","parse-names":false,"suffix":""}],"container-title":"Journal of Neuroscience","id":"ITEM-3","issue":"24","issued":{"date-parts":[["2008","6","11"]]},"page":"6231-6238","title":"TRPV2 Is Activated by Cannabidiol and Mediates CGRP Release in Cultured Rat Dorsal Root Ganglion Neurons","type":"article-journal","volume":"28"},"uris":["http://www.mendeley.com/documents/?uuid=89261259-3179-38dd-ad48-c4cfa96f0011"]},{"id":"ITEM-4","itemData":{"DOI":"20026430","ISSN":"1529-2401","PMID":"12040079","abstract":"Although Delta(9)-tetrahydrocannabinol (THC) produces analgesia, its effects on nociceptive primary afferents are unknown. These neurons participate not only in pain signaling but also in the local response to tissue injury. Here, we show that THC and cannabinol induce a CB(1)/CB(2) cannabinoid receptor-independent release of calcitonin gene-related peptide from capsaicin-sensitive perivascular sensory nerves. Other psychotropic cannabinoids cannot mimic this action. The vanilloid receptor antagonist ruthenium red abolishes the responses to THC and cannabinol. However, the effect of THC on sensory nerves is intact in vanilloid receptor subtype 1 gene knock-out mice. The THC response depends on extracellular calcium but does not involve known voltage-operated calcium channels, glutamate receptors, or protein kinases A and C. These results may indicate the presence of a novel cannabinoid receptor/ion channel in the pain pathway.","author":[{"dropping-particle":"","family":"Zygmunt","given":"Peter M","non-dropping-particle":"","parse-names":false,"suffix":""},{"dropping-particle":"","family":"Andersson","given":"David A","non-dropping-particle":"","parse-names":false,"suffix":""},{"dropping-particle":"","family":"Hogestatt","given":"Edward D","non-dropping-particle":"","parse-names":false,"suffix":""}],"container-title":"The Journal of neuroscience : the official journal of the Society for Neuroscience","id":"ITEM-4","issue":"11","issued":{"date-parts":[["2002","6","1"]]},"page":"4720-7","title":"Delta 9-tetrahydrocannabinol and cannabinol activate capsaicin-sensitive sensory nerves via a CB1 and CB2 cannabinoid receptor-independent mechanism.","type":"article-journal","volume":"22"},"uris":["http://www.mendeley.com/documents/?uuid=30b108c5-cff1-355d-9888-a479e40518df"]},{"id":"ITEM-5","itemData":{"DOI":"10.1021/jm970126f","ISSN":"0022-2623","PMID":"9379442","abstract":"Several derivatives of cannabinol and the 1,1-dimethylheptyl homolog (DMH) of cannabinol were prepared and assayed for binding to the brain and the peripheral cannabinoid receptors (CB1 and CB2), as well as for activation of CB1- and CB2-mediated inhibition of adenylylcyclase. The DMH derivatives were much more potent than the pentyl (i.e., cannabinol) derivatives. 11-Hydroxycannabinol (4a) was found to bind potently to both CB1 and CB2 (Ki values of 38.0 +/- 7.2 and 26.6 +/- 5.5 nM, respectively) and to inhibit CB1-mediated adenylylcyclase with an EC50 of 58.1 +/- 6.2 nM but to cause only 20% inhibition of CB2-mediated adenylylcyclase at 10 microM. It behaves as a specific, though not potent, CB2 antagonist. 11-Hydroxycannabinol-DMH (4b) is a very potent agonist for both CB1 and CB2 (Ki values of 100 +/- 50 and 200 +/- 40 pM; EC50 of adenylylcyclase inhibition 56.2 +/- 4.2 and 207.5 +/- 27.8 pM, respectively).","author":[{"dropping-particle":"","family":"Rhee","given":"Man-Hee","non-dropping-particle":"","parse-names":false,"suffix":""},{"dropping-particle":"","family":"Vogel","given":"Zvi","non-dropping-particle":"","parse-names":false,"suffix":""},{"dropping-particle":"","family":"Barg","given":"Jacob","non-dropping-particle":"","parse-names":false,"suffix":""},{"dropping-particle":"","family":"Bayewitch","given":"Michael","non-dropping-particle":"","parse-names":false,"suffix":""},{"dropping-particle":"","family":"Levy","given":"Rivka","non-dropping-particle":"","parse-names":false,"suffix":""},{"dropping-particle":"","family":"Hanuš","given":"Lumir","non-dropping-particle":"","parse-names":false,"suffix":""},{"dropping-particle":"","family":"Breuer","given":"Aviva","non-dropping-particle":"","parse-names":false,"suffix":""},{"dropping-particle":"","family":"Mechoulam","given":"Raphael","non-dropping-particle":"","parse-names":false,"suffix":""}],"container-title":"Journal of Medicinal Chemistry","id":"ITEM-5","issue":"20","issued":{"date-parts":[["1997","9","26"]]},"page":"3228-3233","title":"Cannabinol Derivatives:  Binding to Cannabinoid Receptors and Inhibition of Adenylylcyclase","type":"article-journal","volume":"40"},"uris":["http://www.mendeley.com/documents/?uuid=179d79ec-e381-3c19-821f-0c1e89d2be6f"]}],"mendeley":{"formattedCitation":"Felder et al., 1995; Qin et al., 2008a; Rhee et al., 1997; Showalter et al., 1996a; Zygmunt et al., 2002","manualFormatting":"(Felder et al., 1995; Qin et al., 2008; Rhee et al., 1997; Showalter et al., 1996; Zygmunt et al., 2002)","plainTextFormattedCitation":"Felder et al., 1995; Qin et al., 2008a; Rhee et al., 1997; Showalter et al., 1996a; Zygmunt et al., 2002","previouslyFormattedCitation":"(Felder et al., 1995; Qin et al., 2008a; Rhee et al., 1997; Showalter et al., 1996a; Zygmunt et al., 2002)"},"properties":{"noteIndex":0},"schema":"https://github.com/citation-style-language/schema/raw/master/csl-citation.json"}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 xml:space="preserve">Felder et al., 1995; Qin et al., 2008; Rhee et al., 1997; Showalter et al., 1996; </w:t>
            </w:r>
            <w:r w:rsidRPr="00DE7555">
              <w:rPr>
                <w:rFonts w:ascii="Times New Roman" w:hAnsi="Times New Roman" w:cs="Times New Roman"/>
                <w:noProof/>
                <w:lang w:val="en-GB"/>
              </w:rPr>
              <w:lastRenderedPageBreak/>
              <w:t>Zygmunt et al., 2002</w:t>
            </w:r>
            <w:r w:rsidRPr="00DE7555">
              <w:rPr>
                <w:rFonts w:ascii="Times New Roman" w:hAnsi="Times New Roman" w:cs="Times New Roman"/>
                <w:lang w:val="en-GB"/>
              </w:rPr>
              <w:fldChar w:fldCharType="end"/>
            </w:r>
          </w:p>
        </w:tc>
      </w:tr>
      <w:tr w:rsidR="00E5612A" w:rsidRPr="008178CC" w14:paraId="01AF5C48" w14:textId="77777777" w:rsidTr="00DE7555">
        <w:tc>
          <w:tcPr>
            <w:tcW w:w="0" w:type="auto"/>
          </w:tcPr>
          <w:p w14:paraId="4CA660C9"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lastRenderedPageBreak/>
              <w:t>CP-55,940</w:t>
            </w:r>
          </w:p>
        </w:tc>
        <w:tc>
          <w:tcPr>
            <w:tcW w:w="0" w:type="auto"/>
          </w:tcPr>
          <w:p w14:paraId="25DBD50A"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0.5-5.0</w:t>
            </w:r>
          </w:p>
        </w:tc>
        <w:tc>
          <w:tcPr>
            <w:tcW w:w="0" w:type="auto"/>
          </w:tcPr>
          <w:p w14:paraId="7D88A830"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EA9252E"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3A045DB5"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0.69-2.8</w:t>
            </w:r>
          </w:p>
        </w:tc>
        <w:tc>
          <w:tcPr>
            <w:tcW w:w="0" w:type="auto"/>
          </w:tcPr>
          <w:p w14:paraId="548BB64E"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EDDA81A"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6886B826"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t>5-HT</w:t>
            </w:r>
            <w:r w:rsidRPr="00DE7555">
              <w:rPr>
                <w:rFonts w:ascii="Times New Roman" w:hAnsi="Times New Roman" w:cs="Times New Roman"/>
                <w:vertAlign w:val="subscript"/>
                <w:lang w:val="en-GB"/>
              </w:rPr>
              <w:t>3A</w:t>
            </w:r>
            <w:r w:rsidRPr="00DE7555">
              <w:rPr>
                <w:rFonts w:ascii="Times New Roman" w:hAnsi="Times New Roman" w:cs="Times New Roman"/>
                <w:lang w:val="en-GB"/>
              </w:rPr>
              <w:t>, TRPV1, GPR55</w:t>
            </w:r>
          </w:p>
        </w:tc>
        <w:tc>
          <w:tcPr>
            <w:tcW w:w="0" w:type="auto"/>
          </w:tcPr>
          <w:p w14:paraId="13536751"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{"citationItems":[{"id":"ITEM-1","itemData":{"ISSN":"0929-8673","PMID":"10469884","abstract":"Mammalian tissues contain at least two types of cannabinoid receptor, CB1 and CB2, both coupled to G proteins. CB1 receptors are expressed mainly by neurones of the central and peripheral nervous system whereas CB2 receptors occur in certain non-neuronal tissues, particularly in immune cells. The existence of endogenous ligands for cannabinoid receptors has also been demonstrated. The discovery of this endogenous cannabinoid system has been paralleled by a renewed interest in possible therapeutic applications of cannabinoids, for example in the management of pain and in the suppression of muscle spasticity/spasm associated with multiple sclerosis or spinal cord injury. It has also prompted the development of a range of novel cannabinoid receptor ligands, including several that show marked selectivity for CB1 or CB2 receptors. This review summarizes current knowledge about the in vitro pharmacological properties of important CB1 and CB2 receptor ligands. Particular attention is paid to the binding properties of these ligands, to the efficacies of cannabinoid receptor agonists, as determined using cyclic AMP or [35S]GTPgammaS binding assays, and to selected examples of how these pharmacological properties can be influenced by chemical structure. The in vitro pharmacological properties of ligands that can potently and selectively oppose the actions of CB1 or CB2 receptor agonists are also described. When administered by themselves, some of these ligands produce effects in certain tissue preparations that are opposite in direction to those produced by cannabinoid receptor agonists and the possibility that the ligands producing such inverse cannabimimetic effects are inverse agonists rather than pure antagonists is discussed.","author":[{"dropping-particle":"","family":"Pertwee","given":"R G","non-dropping-particle":"","parse-names":false,"suffix":""}],"container-title":"Current medicinal chemistry","id":"ITEM-1","issue":"8","issued":{"date-parts":[["1999","8"]]},"page":"635-64","title":"Pharmacology of cannabinoid receptor ligands.","type":"article-journal","volume":"6"},"uris":["http://www.mendeley.com/documents/?uuid=3d20c4f4-1375-3e6b-aa4c-e3113cd209cb"]},{"id":"ITEM-2","itemData":{"DOI":"10.1007/s10681-004-4756-9","abstract":"Cannabis is the unique source of a set of at least 66 compounds known collectively as cannabinoids. Of these, most is known about the pharmacology of Δ 9 -tetrahydrocannabinol (Δ 9 -THC), the main psychoactive constituent of cannabis, and about cannabidiol (CBD), which lacks psychoactivity. Accordingly, this paper focuses on the pharmacological and therapeutic targets of these two cannabinoids. Many of the effects of Δ 9 -THC are mediated by cannabinoid receptors of which at least two types, CB 1 and CB 2 , are present in mammalian tissues. Endogenous agonists for cannabinoid receptors have also been discovered. CB 1 receptors are present at the terminals of central and peripheral neurones, where they modulate transmitter release. They also exist in some non-neuronal cells. CB 2 receptors are expressed mainly by immune cells, one of their roles being to alter cytokine release. Δ 9 - THC also appears to have non-CB 1 , non-CB 2 pharmacological targets. It is already licensed for clinical use in the U.S.A. as an anti-emetic and appetite stimulant and both Δ 9 -THC and Δ 9 -THC-rich cannabis extracts show therapeutic potential as neuroprotective and anticancer agents and for the management of glaucoma, pain and various kinds of motor dysfunction associated, for example, with multiple sclerosis and spinal cord injury. CBD has much less affinity for CB 1 and CB 2 receptors than Δ 9 -THC and its pharmacological actions have been less well characterized. Potential clinical applications of CBD and CBD-rich cannabis extracts include the production of anti-inflammatory and neuroprotective effects, the management of epilepsy, anxiety disorders, glaucoma and nausea, and the modulation of some effects of Δ 9 -THC. © 2004 Kluwer Academic Publishers.","author":[{"dropping-particle":"","family":"Pertwee","given":"R.G.","non-dropping-particle":"","parse-names":false,"suffix":""}],"container-title":"Euphytica","id":"ITEM-2","issue":"1-2","issued":{"date-parts":[["2004"]]},"page":"73-82","title":"Pharmacological and therapeutic targets for Δ&lt;sup&gt;9&lt;/sup&gt;- tetrahydrocannabinol and cannabidiol","type":"article-journal","volume":"140"},"uris":["http://www.mendeley.com/documents/?uuid=46116f80-9088-3794-917c-f1ce38c7771d"]},{"id":"ITEM-3","itemData":{"DOI":"https://doi.org/10.1016/j.pharmthera.2005.09.009","ISSN":"0163-7258","abstract":"Cannabinoids are a structurally diverse group of mostly lipophilic molecules that bind to cannabinoid receptors. In fact, endogenous cannabinoids (endocannabinoids) are a class of signaling lipids consisting of amides and esters of long-chain polyunsaturated fatty acids. They are synthesized from lipid precursors in plasma membranes via Ca2+ or G-protein-dependent processes and exhibit cannabinoid-like actions by binding to cannabinoid receptors. However, endocannabinoids can produce effects that are not mediated by these receptors. In pharmacologically relevant concentrations, endocannabinoids modulate the functional properties of voltage-gated ion channels including Ca2+ channels, Na+ channels, various types of K+ channels, and ligand-gated ion channels such as serotonin type 3, nicotinic acetylcholine, and glycine receptors. In addition, modulatory effects of endocannabinoids on other ion-transporting membrane proteins such as transient potential receptor-class channels, gap junctions and transporters for neurotransmitters have also been demonstrated. Furthermore, functional properties of G-protein-coupled receptors for different types of neurotransmitters and neuropeptides are altered by direct actions of endocannabinoids. Although the mechanisms of these effects are currently not clear, it is likely that these direct actions of endocannabinoids are due to their lipophilic structures. These findings indicate that additional molecular targets for endocannabinoids exist and that these targets may represent novel sites for cannabinoids to alter either the excitability of the neurons or the response of the neuronal systems. This review focuses on the results of recent studies indicating that beyond their receptor-mediated effects, endocannabinoids alter the functions of ion channels and other integral membrane proteins directly.","author":[{"dropping-particle":"","family":"Oz","given":"Murat","non-dropping-particle":"","parse-names":false,"suffix":""}],"container-title":"Pharmacology &amp; Therapeutics","id":"ITEM-3","issue":"1","issued":{"date-parts":[["2006","7"]]},"page":"114-144","title":"Receptor-independent actions of cannabinoids on cell membranes: Focus on endocannabinoids","type":"article-journal","volume":"111"},"uris":["http://www.mendeley.com/documents/?uuid=1e657401-1915-43b5-a010-32aec59c081f"]},{"id":"ITEM-4","itemData":{"DOI":"10.1074/jbc.M109.050187","ISSN":"0021-9258","PMID":"19723626","abstract":"The cannabinoid receptor 1 (CB(1)) and CB(2) cannabinoid receptors, associated with drugs of abuse, may provide a means to treat pain, mood, and addiction disorders affecting widespread segments of society. Whether the orphan G-protein coupled receptor GPR55 is also a cannabinoid receptor remains unclear as a result of conflicting pharmacological studies. GPR55 has been reported to be activated by exogenous and endogenous cannabinoid compounds but surprisingly also by the endogenous non-cannabinoid mediator lysophosphatidylinositol (LPI). We examined the effects of a representative panel of cannabinoid ligands and LPI on GPR55 using a beta-arrestin-green fluorescent protein biosensor as a direct readout of agonist-mediated receptor activation. Our data demonstrate that AM251 and SR141716A (rimonabant), which are cannabinoid antagonists, and the lipid LPI, which is not a cannabinoid receptor ligand, are GPR55 agonists. They possess comparable efficacy in inducing beta-arrestin trafficking and, moreover, activate the G-protein-dependent signaling of protein kinase CbetaII. Conversely, the potent synthetic cannabinoid agonist CP55,940 acts as a GPR55 antagonist/partial agonist. CP55,940 blocks GPR55 internalization, the formation of beta-arrestin GPR55 complexes, and the phosphorylation of ERK1/2; CP55,940 produces only a slight amount of protein kinase CbetaII membrane recruitment but does not stimulate membrane remodeling like LPI, AM251, or rimonabant. Our studies provide a paradigm for measuring the responsiveness of GPR55 to a variety of ligand scaffolds comprising cannabinoid and novel compounds and suggest that at best GPR55 is an atypical cannabinoid responder. The activation of GPR55 by rimonabant may be responsible for some of the off-target effects that led to its removal as a potential obesity therapy.","author":[{"dropping-particle":"","family":"Kapur","given":"Ankur","non-dropping-particle":"","parse-names":false,"suffix":""},{"dropping-particle":"","family":"Zhao","given":"Pingwei","non-dropping-particle":"","parse-names":false,"suffix":""},{"dropping-particle":"","family":"Sharir","given":"Haleli","non-dropping-particle":"","parse-names":false,"suffix":""},{"dropping-particle":"","family":"Bai","given":"Yushi","non-dropping-particle":"","parse-names":false,"suffix":""},{"dropping-particle":"","family":"Caron","given":"Marc G.","non-dropping-particle":"","parse-names":false,"suffix":""},{"dropping-particle":"","family":"Barak","given":"Larry S.","non-dropping-particle":"","parse-names":false,"suffix":""},{"dropping-particle":"","family":"Abood","given":"Mary E.","non-dropping-particle":"","parse-names":false,"suffix":""}],"container-title":"Journal of Biological Chemistry","id":"ITEM-4","issue":"43","issued":{"date-parts":[["2009","10","23"]]},"page":"29817-29827","title":"Atypical Responsiveness of the Orphan Receptor GPR55 to Cannabinoid Ligands","type":"article-journal","volume":"284"},"uris":["http://www.mendeley.com/documents/?uuid=a6fa56f8-2f6a-3983-83c2-b128359eb99c"]}],"mendeley":{"formattedCitation":"Kapur et al., 2009; Oz, 2006b; Pertwee, 2004, 1999","manualFormatting":"(Kapur et al., 2009; Oz, 2006; Pertwee, 2004, 1999)","plainTextFormattedCitation":"Kapur et al., 2009; Oz, 2006b; Pertwee, 2004, 1999","previouslyFormattedCitation":"(Kapur et al., 2009; Oz, 2006b; Pertwee, 2004, 1999)"},"properties":{"noteIndex":0},"schema":"https://github.com/citation-style-language/schema/raw/master/csl-citation.json"}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Kapur et al., 2009; Oz, 2006; Pertwee, 2004, 1999</w:t>
            </w:r>
            <w:r w:rsidRPr="00DE7555">
              <w:rPr>
                <w:rFonts w:ascii="Times New Roman" w:hAnsi="Times New Roman" w:cs="Times New Roman"/>
                <w:lang w:val="en-GB"/>
              </w:rPr>
              <w:fldChar w:fldCharType="end"/>
            </w:r>
          </w:p>
        </w:tc>
      </w:tr>
      <w:tr w:rsidR="00E5612A" w:rsidRPr="008178CC" w14:paraId="2D0FB652" w14:textId="77777777" w:rsidTr="00DE7555">
        <w:tc>
          <w:tcPr>
            <w:tcW w:w="0" w:type="auto"/>
          </w:tcPr>
          <w:p w14:paraId="3F73DF11" w14:textId="77777777" w:rsidR="00E5612A" w:rsidRPr="00DE7555" w:rsidRDefault="00E5612A" w:rsidP="00724E70">
            <w:pPr>
              <w:rPr>
                <w:rFonts w:ascii="Times New Roman" w:hAnsi="Times New Roman" w:cs="Times New Roman"/>
                <w:i/>
                <w:lang w:val="en-GB"/>
              </w:rPr>
            </w:pPr>
            <w:r w:rsidRPr="00DE7555">
              <w:rPr>
                <w:rFonts w:ascii="Times New Roman" w:hAnsi="Times New Roman" w:cs="Times New Roman"/>
                <w:lang w:val="en-GB"/>
              </w:rPr>
              <w:t>HU-210</w:t>
            </w:r>
          </w:p>
        </w:tc>
        <w:tc>
          <w:tcPr>
            <w:tcW w:w="0" w:type="auto"/>
          </w:tcPr>
          <w:p w14:paraId="5B416FC2"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0.06–0.73</w:t>
            </w:r>
          </w:p>
        </w:tc>
        <w:tc>
          <w:tcPr>
            <w:tcW w:w="0" w:type="auto"/>
          </w:tcPr>
          <w:p w14:paraId="78695B7C"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CE7A778"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5E109782"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0.17–0.52</w:t>
            </w:r>
          </w:p>
        </w:tc>
        <w:tc>
          <w:tcPr>
            <w:tcW w:w="0" w:type="auto"/>
          </w:tcPr>
          <w:p w14:paraId="3D914C3D"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A269D3A"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066A5E1D"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t>5-HT</w:t>
            </w:r>
            <w:r w:rsidRPr="00DE7555">
              <w:rPr>
                <w:rFonts w:ascii="Times New Roman" w:hAnsi="Times New Roman" w:cs="Times New Roman"/>
                <w:vertAlign w:val="subscript"/>
                <w:lang w:val="en-GB"/>
              </w:rPr>
              <w:t>2</w:t>
            </w:r>
            <w:r w:rsidRPr="00DE7555">
              <w:rPr>
                <w:rFonts w:ascii="Times New Roman" w:hAnsi="Times New Roman" w:cs="Times New Roman"/>
                <w:lang w:val="en-GB"/>
              </w:rPr>
              <w:t xml:space="preserve"> receptors, TRPV1, GPR55, glycine receptors</w:t>
            </w:r>
          </w:p>
        </w:tc>
        <w:tc>
          <w:tcPr>
            <w:tcW w:w="0" w:type="auto"/>
          </w:tcPr>
          <w:p w14:paraId="39A9402C" w14:textId="77777777" w:rsidR="00E5612A" w:rsidRPr="008178CC" w:rsidRDefault="00E5612A" w:rsidP="00E5612A">
            <w:pPr>
              <w:rPr>
                <w:rFonts w:ascii="Times New Roman" w:hAnsi="Times New Roman" w:cs="Times New Roman"/>
                <w:lang w:val="nl-NL"/>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Cannabinoids","type":"report","volume":"168"},"uris":["http://www.mendeley.com/documents/?uuid=8d8d4100-5521-3c8a-91fc-02214b8beb11"]},{"id":"ITEM-2","itemData":{"abstract":"Oleamide (cis-9,10-octadecenoamide) is an endogenous brain lipid which has been suggested to induce sleep in experimental animals. The mechanism of action is unclear but shares many of the characteristics of endogenous cannabinoids such as anandamide and has been shown to enhance in vitro responses to 5-HT and GABA. In the present study we investigated the effects of oleamide on two motor behaviours, back muscle contractions (BMC) and wet-dog shakes (WDS) induced in rats by treatment with the 5-HT 2 receptor agonist DOI ((+/−)-1-(2,5-dimethoxy-4-iodophenyl)-2-aminopropane hydrochloride). We then examined the potential involvement of CB 1 cannabinoid receptors in the responses to oleamide and the mechanism of interaction between CB 1 and 5-HT 2 receptors. Oleamide and the cannabinoid receptor agonist HU210 (6aR)-trans-3-(1,1-dimethylheptyl)6a,7,10,10a-tetrahydro-1-hydroxy-6,6-dimethyl-6H-dibenzo[b,d]pyran-9-methanol) produced a hypolocomotion which was prevented by the CB 1 antagonist SR141716A (N-(piperidin-1-yl)-5-(4-chlorophenyl)-1-(2,4-dichlorophenyl)-4-methyl-1H-pyrazole-3-carboxamide hydrochloride). Despite having no effect alone, oleamide and HU210 potentiated BMC induced by treatment with DOI. SR141716A alone did not affect the response to DOI but it blocked the potentiations caused by oleamide or HU210. WDS were unaffected by oleamide and slightly reduced by HU210. In vitro, oleamide and HU210 enhanced the high affinity binding of 5-HT to 5-HT 2 receptors on rat cerebral cortex membranes labelled with 3 H-ketanserin. Neither agent, however, altered 5-HT-stimulated phosphoinositide hydrolysis in rat cerebral cortex slices. Oleamide occupied CB 1 cannabinoid receptors on rat brain membranes labelled with 3 H-CP55940 with an IC 50 of 10 mM. The data presented are consistent with oleamide acting via a cannabinoid recognition site to enhance 5-HT 2 receptor function in vivo. The mechanism of the modulation is still unclear but it does not appear to involve a potentiation of 5-HT 2 receptor-stimulated phosphoinositide hydrolysis.","author":[{"dropping-particle":"","family":"Cheer","given":"J F","non-dropping-particle":"","parse-names":false,"suffix":""},{"dropping-particle":"","family":"Cadogan","given":"A.-K","non-dropping-particle":"","parse-names":false,"suffix":""},{"dropping-particle":"","family":"Marsden","given":"C A","non-dropping-particle":"","parse-names":false,"suffix":""},{"dropping-particle":"","family":"Fone","given":"K C F","non-dropping-particle":"","parse-names":false,"suffix":""},{"dropping-particle":"","family":"Kendall","given":"D A","non-dropping-particle":"","parse-names":false,"suffix":""}],"container-title":"Neuropharmacology","id":"ITEM-2","issued":{"date-parts":[["1999"]]},"number-of-pages":"533-541","title":"Modification of 5-HT 2 receptor mediated behaviour in the rat by oleamide and the role of cannabinoid receptors","type":"report","volume":"38"},"uris":["http://www.mendeley.com/documents/?uuid=2fb9f62e-dbae-3dac-9b2b-4f345fca9522"]},{"id":"ITEM-3","itemData":{"DOI":"https://doi.org/10.1016/j.pharmthera.2005.09.009","ISSN":"0163-7258","abstract":"Cannabinoids are a structurally diverse group of mostly lipophilic molecules that bind to cannabinoid receptors. In fact, endogenous cannabinoids (endocannabinoids) are a class of signaling lipids consisting of amides and esters of long-chain polyunsaturated fatty acids. They are synthesized from lipid precursors in plasma membranes via Ca2+ or G-protein-dependent processes and exhibit cannabinoid-like actions by binding to cannabinoid receptors. However, endocannabinoids can produce effects that are not mediated by these receptors. In pharmacologically relevant concentrations, endocannabinoids modulate the functional properties of voltage-gated ion channels including Ca2+ channels, Na+ channels, various types of K+ channels, and ligand-gated ion channels such as serotonin type 3, nicotinic acetylcholine, and glycine receptors. In addition, modulatory effects of endocannabinoids on other ion-transporting membrane proteins such as transient potential receptor-class channels, gap junctions and transporters for neurotransmitters have also been demonstrated. Furthermore, functional properties of G-protein-coupled receptors for different types of neurotransmitters and neuropeptides are altered by direct actions of endocannabinoids. Although the mechanisms of these effects are currently not clear, it is likely that these direct actions of endocannabinoids are due to their lipophilic structures. These findings indicate that additional molecular targets for endocannabinoids exist and that these targets may represent novel sites for cannabinoids to alter either the excitability of the neurons or the response of the neuronal systems. This review focuses on the results of recent studies indicating that beyond their receptor-mediated effects, endocannabinoids alter the functions of ion channels and other integral membrane proteins directly.","author":[{"dropping-particle":"","family":"Oz","given":"Murat","non-dropping-particle":"","parse-names":false,"suffix":""}],"container-title":"Pharmacology &amp; Therapeutics","id":"ITEM-3","issue":"1","issued":{"date-parts":[["2006","7"]]},"page":"114-144","title":"Receptor-independent actions of cannabinoids on cell membranes: Focus on endocannabinoids","type":"article-journal","volume":"111"},"uris":["http://www.mendeley.com/documents/?uuid=1e657401-1915-43b5-a010-32aec59c081f"]},{"id":"ITEM-4","itemData":{"DOI":"10.1007/s10681-004-4756-9","abstract":"Cannabis is the unique source of a set of at least 66 compounds known collectively as cannabinoids. Of these, most is known about the pharmacology of Δ 9 -tetrahydrocannabinol (Δ 9 -THC), the main psychoactive constituent of cannabis, and about cannabidiol (CBD), which lacks psychoactivity. Accordingly, this paper focuses on the pharmacological and therapeutic targets of these two cannabinoids. Many of the effects of Δ 9 -THC are mediated by cannabinoid receptors of which at least two types, CB 1 and CB 2 , are present in mammalian tissues. Endogenous agonists for cannabinoid receptors have also been discovered. CB 1 receptors are present at the terminals of central and peripheral neurones, where they modulate transmitter release. They also exist in some non-neuronal cells. CB 2 receptors are expressed mainly by immune cells, one of their roles being to alter cytokine release. Δ 9 - THC also appears to have non-CB 1 , non-CB 2 pharmacological targets. It is already licensed for clinical use in the U.S.A. as an anti-emetic and appetite stimulant and both Δ 9 -THC and Δ 9 -THC-rich cannabis extracts show therapeutic potential as neuroprotective and anticancer agents and for the management of glaucoma, pain and various kinds of motor dysfunction associated, for example, with multiple sclerosis and spinal cord injury. CBD has much less affinity for CB 1 and CB 2 receptors than Δ 9 -THC and its pharmacological actions have been less well characterized. Potential clinical applications of CBD and CBD-rich cannabis extracts include the production of anti-inflammatory and neuroprotective effects, the management of epilepsy, anxiety disorders, glaucoma and nausea, and the modulation of some effects of Δ 9 -THC. © 2004 Kluwer Academic Publishers.","author":[{"dropping-particle":"","family":"Pertwee","given":"R.G.","non-dropping-particle":"","parse-names":false,"suffix":""}],"container-title":"Euphytica","id":"ITEM-4","issue":"1-2","issued":{"date-parts":[["2004"]]},"page":"73-82","title":"Pharmacological and therapeutic targets for Δ&lt;sup&gt;9&lt;/sup&gt;- tetrahydrocannabinol and cannabidiol","type":"article-journal","volume":"140"},"uris":["http://www.mendeley.com/documents/?uuid=46116f80-9088-3794-917c-f1ce38c7771d"]},{"id":"ITEM-5","itemData":{"DOI":"10.1038/sj.bjp.0707460","ISSN":"0007-1188","PMID":"17876302","abstract":"BACKGROUND The endocannabinoid system functions through two well characterized receptor systems, the CB1 and CB2 receptors. Work by a number of groups in recent years has provided evidence that the system is more complicated and additional receptor types should exist to explain ligand activity in a number of physiological processes. EXPERIMENTAL APPROACH Cells transfected with the human cDNA for GPR55 were tested for their ability to bind and to mediate GTPgammaS binding by cannabinoid ligands. Using an antibody and peptide blocking approach, the nature of the G-protein coupling was determined and further demonstrated by measuring activity of downstream signalling pathways. KEY RESULTS We demonstrate that GPR55 binds to and is activated by the cannabinoid ligand CP55940. In addition endocannabinoids including anandamide and virodhamine activate GTPgammaS binding via GPR55 with nM potencies. Ligands such as cannabidiol and abnormal cannabidiol which exhibit no CB1 or CB2 activity and are believed to function at a novel cannabinoid receptor, also showed activity at GPR55. GPR55 couples to Galpha13 and can mediate activation of rhoA, cdc42 and rac1. CONCLUSIONS These data suggest that GPR55 is a novel cannabinoid receptor, and its ligand profile with respect to CB1 and CB2 described here will permit delineation of its physiological function(s).","author":[{"dropping-particle":"","family":"Ryberg","given":"E","non-dropping-particle":"","parse-names":false,"suffix":""},{"dropping-particle":"","family":"Larsson","given":"N","non-dropping-particle":"","parse-names":false,"suffix":""},{"dropping-particle":"","family":"Sjögren","given":"S","non-dropping-particle":"","parse-names":false,"suffix":""},{"dropping-particle":"","family":"Hjorth","given":"S","non-dropping-particle":"","parse-names":false,"suffix":""},{"dropping-particle":"","family":"Hermansson","given":"N-O","non-dropping-particle":"","parse-names":false,"suffix":""},{"dropping-particle":"","family":"Leonova","given":"J","non-dropping-particle":"","parse-names":false,"suffix":""},{"dropping-particle":"","family":"Elebring","given":"T","non-dropping-particle":"","parse-names":false,"suffix":""},{"dropping-particle":"","family":"Nilsson","given":"K","non-dropping-particle":"","parse-names":false,"suffix":""},{"dropping-particle":"","family":"Drmota","given":"T","non-dropping-particle":"","parse-names":false,"suffix":""},{"dropping-particle":"","family":"Greasley","given":"P J","non-dropping-particle":"","parse-names":false,"suffix":""}],"container-title":"British journal of pharmacology","id":"ITEM-5","issue":"7","issued":{"date-parts":[["2007","12"]]},"page":"1092-101","publisher":"Wiley-Blackwell","title":"The orphan receptor GPR55 is a novel cannabinoid receptor.","type":"article-journal","volume":"152"},"uris":["http://www.mendeley.com/documents/?uuid=7b15009a-ede0-312f-8c01-a39ff5d738cb"]},{"id":"ITEM-6","itemData":{"DOI":"10.1016/j.bcp.2008.07.037","ISSN":"00062952","PMID":"18755158","abstract":"Glycine receptors (GlyRs) mediate inhibitory neurotransmission in spinal cord motor and pain sensory neurons. Recent studies demonstrated apparently contradictory (potentiating versus inhibitory) effects of the endocannabinoid anandamide on these receptors. The present study characterised the effects of cannabinoid agonists on alpha1, alpha1beta, alpha2 and alpha3 GlyRs recombinantly expressed in HEK293 cells with the aims of reconciling effects of cannabinoids on these receptor subtypes and to establish the potential of different GlyR isoforms as novel physiological or analgesic targets for cannabinoids. The compounds investigated were anandamide, HU-210, HU-308, WIN55,212-2 and the endogenous non-cannabinoid, N-arachidonyl-glycine. The latter compound was chosen due to the structural similarity with anandamide and known analgesic actions in the spinal cord. Recombinant alpha1 and alpha1beta GlyRs were potentiated by anandamide and HU-210 at submicromolar concentrations, whereas WIN55,212-2 had no effect and HU-308 produced only weak inhibition. By contrast, N-arachidonyl-glycine exerted complex effects including both potentiation and inhibition. Anandamide had no effect at alpha2 or alpha3 GlyRs although the other cannabinoids produced potent inhibition. On alpha2 GlyRs, the inhibitory potency sequence was HU-210=WIN55,212-2&gt;HU-308&gt;N-arachidonyl-glycine but on alpha3 GlyRs it was HU-210=WIN55212=HU-308&gt;N-arachidonyl-glycine. These results suggest that alpha1, alpha2 and alpha3 containing GlyRs exhibit distinct pharmacological profiles for cannabinoids. We conclude that cannabinoid agonists may be useful as pharmacological tools for selectively inhibiting alpha2 and alpha3 GlyRs. Our results also establish GlyRs as potential novel targets for endogenous and exogenous cannabinoids.","author":[{"dropping-particle":"","family":"Yang","given":"Zhe","non-dropping-particle":"","parse-names":false,"suffix":""},{"dropping-particle":"","family":"Aubrey","given":"Karin R.","non-dropping-pa</w:instrText>
            </w:r>
            <w:r w:rsidRPr="008178CC">
              <w:rPr>
                <w:rFonts w:ascii="Times New Roman" w:hAnsi="Times New Roman" w:cs="Times New Roman"/>
                <w:lang w:val="nl-NL"/>
              </w:rPr>
              <w:instrText>rticle":"","parse-names":false,"suffix":""},{"dropping-particle":"","family":"Alroy","given":"Iris","non-dropping-particle":"","parse-names":false,"suffix":""},{"dropping-particle":"","family":"Harvey","given":"Robert J.","non-dropping-particle":"","parse-names":false,"suffix":""},{"dropping-particle":"","family":"Vandenberg","given":"Robert J.","non-dropping-particle":"","parse-names":false,"suffix":""},{"dropping-particle":"","family":"Lynch","given":"Joseph W.","non-dropping-particle":"","parse-names":false,"suffix":""}],"container-title":"Biochemical Pharmacology","id":"ITEM-6","issue":"8","issued":{"date-parts":[["2008","10","15"]]},"page":"1014-1023","title":"Subunit-specific modulation of glycine receptors by cannabinoids and N-arachidonyl-glycine","type":"article-journal","volume":"76"},"uris":["http://www.mendeley.com/documents/?uuid=cffa4937-56c7-342a-9fd2-9b13c88a1e97"]}],"mendeley":{"formattedCitation":"Cheer et al., 1999; Oz, 2006b; Pertwee, 2005, 2004; Ryberg et al., 2007; Yang et al., 2008","manualFormatting":"Cheer et al., 1999; Oz, 2006; Pertwee, 2005, 2004; Ryberg et al., 2007; Yang et al., 2008","plainTextFormattedCitation":"Cheer et al., 1999; Oz, 2006b; Pertwee, 2005, 2004; Ryberg et al., 2007; Yang et al., 2008","previouslyFormattedCitation":"(Cheer et al., 1999; Oz, 2006b; Pertwee, 2005, 2004; Ryberg et al., 2007; Yang et al., 2008)"},"properties":{"noteIndex":0},"schema":"https://github.com/citation-style-language/schema/raw/master/csl-citation.json"}</w:instrText>
            </w:r>
            <w:r w:rsidRPr="00DE7555">
              <w:rPr>
                <w:rFonts w:ascii="Times New Roman" w:hAnsi="Times New Roman" w:cs="Times New Roman"/>
                <w:lang w:val="en-GB"/>
              </w:rPr>
              <w:fldChar w:fldCharType="separate"/>
            </w:r>
            <w:r w:rsidRPr="008178CC">
              <w:rPr>
                <w:rFonts w:ascii="Times New Roman" w:hAnsi="Times New Roman" w:cs="Times New Roman"/>
                <w:noProof/>
                <w:lang w:val="nl-NL"/>
              </w:rPr>
              <w:t>Cheer et al., 1999; Oz, 2006; Pertwee, 2005, 2004; Ryberg et al., 2007; Yang et al., 2008</w:t>
            </w:r>
            <w:r w:rsidRPr="00DE7555">
              <w:rPr>
                <w:rFonts w:ascii="Times New Roman" w:hAnsi="Times New Roman" w:cs="Times New Roman"/>
                <w:lang w:val="en-GB"/>
              </w:rPr>
              <w:fldChar w:fldCharType="end"/>
            </w:r>
          </w:p>
        </w:tc>
      </w:tr>
      <w:tr w:rsidR="00E5612A" w:rsidRPr="00DE7555" w14:paraId="582F5FBF" w14:textId="77777777" w:rsidTr="00DE7555">
        <w:tc>
          <w:tcPr>
            <w:tcW w:w="0" w:type="auto"/>
          </w:tcPr>
          <w:p w14:paraId="4ED23590" w14:textId="77777777" w:rsidR="00E5612A" w:rsidRPr="008178CC" w:rsidRDefault="00E5612A" w:rsidP="00724E70">
            <w:pPr>
              <w:rPr>
                <w:rFonts w:ascii="Times New Roman" w:hAnsi="Times New Roman" w:cs="Times New Roman"/>
                <w:lang w:val="nl-NL"/>
              </w:rPr>
            </w:pPr>
            <w:r w:rsidRPr="008178CC">
              <w:rPr>
                <w:rFonts w:ascii="Times New Roman" w:hAnsi="Times New Roman" w:cs="Times New Roman"/>
                <w:lang w:val="nl-NL"/>
              </w:rPr>
              <w:t>JWH-007</w:t>
            </w:r>
          </w:p>
        </w:tc>
        <w:tc>
          <w:tcPr>
            <w:tcW w:w="0" w:type="auto"/>
          </w:tcPr>
          <w:p w14:paraId="715DC3FB" w14:textId="77777777" w:rsidR="00E5612A" w:rsidRPr="008178CC" w:rsidRDefault="00E5612A" w:rsidP="00E5612A">
            <w:pPr>
              <w:jc w:val="center"/>
              <w:rPr>
                <w:rFonts w:ascii="Times New Roman" w:hAnsi="Times New Roman" w:cs="Times New Roman"/>
                <w:lang w:val="nl-NL"/>
              </w:rPr>
            </w:pPr>
            <w:r w:rsidRPr="008178CC">
              <w:rPr>
                <w:rFonts w:ascii="Times New Roman" w:hAnsi="Times New Roman" w:cs="Times New Roman"/>
                <w:lang w:val="nl-NL"/>
              </w:rPr>
              <w:t>9.50</w:t>
            </w:r>
          </w:p>
        </w:tc>
        <w:tc>
          <w:tcPr>
            <w:tcW w:w="0" w:type="auto"/>
          </w:tcPr>
          <w:p w14:paraId="353458E3" w14:textId="77777777" w:rsidR="00E5612A" w:rsidRPr="008178CC" w:rsidRDefault="00E5612A" w:rsidP="00E5612A">
            <w:pPr>
              <w:jc w:val="center"/>
              <w:rPr>
                <w:rFonts w:ascii="Times New Roman" w:hAnsi="Times New Roman" w:cs="Times New Roman"/>
                <w:lang w:val="nl-NL"/>
              </w:rPr>
            </w:pPr>
            <w:r w:rsidRPr="008178CC">
              <w:rPr>
                <w:rFonts w:ascii="Times New Roman" w:hAnsi="Times New Roman" w:cs="Times New Roman"/>
                <w:lang w:val="nl-NL"/>
              </w:rPr>
              <w:t>nd</w:t>
            </w:r>
          </w:p>
        </w:tc>
        <w:tc>
          <w:tcPr>
            <w:tcW w:w="0" w:type="auto"/>
          </w:tcPr>
          <w:p w14:paraId="3442DB1A" w14:textId="77777777" w:rsidR="00E5612A" w:rsidRPr="008178CC" w:rsidRDefault="00E5612A" w:rsidP="00E5612A">
            <w:pPr>
              <w:jc w:val="center"/>
              <w:rPr>
                <w:rFonts w:ascii="Times New Roman" w:hAnsi="Times New Roman" w:cs="Times New Roman"/>
                <w:lang w:val="nl-NL"/>
              </w:rPr>
            </w:pPr>
            <w:r w:rsidRPr="008178CC">
              <w:rPr>
                <w:rFonts w:ascii="Times New Roman" w:hAnsi="Times New Roman" w:cs="Times New Roman"/>
                <w:lang w:val="nl-NL"/>
              </w:rPr>
              <w:t>agonist</w:t>
            </w:r>
          </w:p>
        </w:tc>
        <w:tc>
          <w:tcPr>
            <w:tcW w:w="0" w:type="auto"/>
          </w:tcPr>
          <w:p w14:paraId="03DC37BC" w14:textId="77777777" w:rsidR="00E5612A" w:rsidRPr="008178CC" w:rsidRDefault="00E5612A" w:rsidP="00E5612A">
            <w:pPr>
              <w:jc w:val="center"/>
              <w:rPr>
                <w:rFonts w:ascii="Times New Roman" w:hAnsi="Times New Roman" w:cs="Times New Roman"/>
                <w:lang w:val="nl-NL"/>
              </w:rPr>
            </w:pPr>
            <w:r w:rsidRPr="008178CC">
              <w:rPr>
                <w:rFonts w:ascii="Times New Roman" w:hAnsi="Times New Roman" w:cs="Times New Roman"/>
                <w:lang w:val="nl-NL"/>
              </w:rPr>
              <w:t>2.94</w:t>
            </w:r>
          </w:p>
        </w:tc>
        <w:tc>
          <w:tcPr>
            <w:tcW w:w="0" w:type="auto"/>
          </w:tcPr>
          <w:p w14:paraId="3252DF1F" w14:textId="77777777" w:rsidR="00E5612A" w:rsidRPr="008178CC" w:rsidRDefault="00E5612A" w:rsidP="00E5612A">
            <w:pPr>
              <w:jc w:val="center"/>
              <w:rPr>
                <w:rFonts w:ascii="Times New Roman" w:hAnsi="Times New Roman" w:cs="Times New Roman"/>
                <w:lang w:val="nl-NL"/>
              </w:rPr>
            </w:pPr>
            <w:r w:rsidRPr="008178CC">
              <w:rPr>
                <w:rFonts w:ascii="Times New Roman" w:hAnsi="Times New Roman" w:cs="Times New Roman"/>
                <w:lang w:val="nl-NL"/>
              </w:rPr>
              <w:t>nd</w:t>
            </w:r>
          </w:p>
        </w:tc>
        <w:tc>
          <w:tcPr>
            <w:tcW w:w="0" w:type="auto"/>
          </w:tcPr>
          <w:p w14:paraId="3046681A" w14:textId="77777777" w:rsidR="00E5612A" w:rsidRPr="008178CC" w:rsidRDefault="00E5612A" w:rsidP="00E5612A">
            <w:pPr>
              <w:jc w:val="center"/>
              <w:rPr>
                <w:rFonts w:ascii="Times New Roman" w:hAnsi="Times New Roman" w:cs="Times New Roman"/>
                <w:lang w:val="nl-NL"/>
              </w:rPr>
            </w:pPr>
            <w:r w:rsidRPr="008178CC">
              <w:rPr>
                <w:rFonts w:ascii="Times New Roman" w:hAnsi="Times New Roman" w:cs="Times New Roman"/>
                <w:lang w:val="nl-NL"/>
              </w:rPr>
              <w:t>agonist</w:t>
            </w:r>
          </w:p>
        </w:tc>
        <w:tc>
          <w:tcPr>
            <w:tcW w:w="0" w:type="auto"/>
          </w:tcPr>
          <w:p w14:paraId="18147DFF" w14:textId="77777777" w:rsidR="00E5612A" w:rsidRPr="008178CC" w:rsidRDefault="00E5612A" w:rsidP="00E5612A">
            <w:pPr>
              <w:rPr>
                <w:rFonts w:ascii="Times New Roman" w:hAnsi="Times New Roman" w:cs="Times New Roman"/>
                <w:lang w:val="nl-NL"/>
              </w:rPr>
            </w:pPr>
            <w:r w:rsidRPr="008178CC">
              <w:rPr>
                <w:rFonts w:ascii="Times New Roman" w:hAnsi="Times New Roman" w:cs="Times New Roman"/>
                <w:lang w:val="nl-NL"/>
              </w:rPr>
              <w:t>nd</w:t>
            </w:r>
          </w:p>
        </w:tc>
        <w:tc>
          <w:tcPr>
            <w:tcW w:w="0" w:type="auto"/>
          </w:tcPr>
          <w:p w14:paraId="65325D3A"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8178CC">
              <w:rPr>
                <w:rFonts w:ascii="Times New Roman" w:hAnsi="Times New Roman" w:cs="Times New Roman"/>
                <w:lang w:val="nl-NL"/>
              </w:rPr>
              <w:instrText>ADDIN CSL_CITATION {"citationItems":[{"id":"ITEM-1","itemData":{"DOI":"10.1016/S0376-8716(99)00152-0","ISSN":"0376-8716","abstract":"The N-1 alkyl side chain of the aminoalkylindole analogues (AAI) has been implicated as one of a three-point interaction with the cannabinoid CB1 receptor. In this study, the morpholinoethyl of WIN 55,212-2 was replaced with carbon chains of varying lengths ranging from a methyl to heptyl group. Additional groups were added to the naphthoyl and the C2 positions of the molecule. These structural changes revealed that high affinity binding to the CB1 and CB2 receptors requires an alkyl chain length of at least three carbons with optimum binding to both receptors occurring with a five carbon side chain. An alkyl chain of 3–6 carbons is sufficient for high affinity binding; however, extension of the chain to a heptyl group results in a dramatic decrease in binding at both receptors. The unique structure of the cannabimimetic indoles provides a useful tool to define the ligand-receptor interaction at both cannabinoid receptors and to refine proposed pharmacophore models.","author":[{"dropping-particle":"","family":"Aung","given":"Mie Mie","non-dropping-particle":"","parse-names":false,"suffix":""},{"dropping-particle":"","family":"Griffin","given":"Graeme","non-dropping-particle":"","parse-names":false,"suffix":""},{</w:instrText>
            </w:r>
            <w:r w:rsidRPr="00DE7555">
              <w:rPr>
                <w:rFonts w:ascii="Times New Roman" w:hAnsi="Times New Roman" w:cs="Times New Roman"/>
                <w:lang w:val="en-GB"/>
              </w:rPr>
              <w:instrText>"dropping-particle":"","family":"Huffman","given":"John W","non-dropping-particle":"","parse-names":false,"suffix":""},{"dropping-particle":"","family":"Wu","given":"Ming-Jung","non-dropping-particle":"","parse-names":false,"suffix":""},{"dropping-particle":"","family":"Keel","given":"Cheryl","non-dropping-particle":"","parse-names":false,"suffix":""},{"dropping-particle":"","family":"Yang","given":"Bin","non-dropping-particle":"","parse-names":false,"suffix":""},{"dropping-particle":"","family":"Showalter","given":"Vincent M","non-dropping-particle":"","parse-names":false,"suffix":""},{"dropping-particle":"","family":"Abood","given":"Mary E","non-dropping-particle":"","parse-names":false,"suffix":""},{"dropping-particle":"","family":"Martin","given":"Billy R","non-dropping-particle":"","parse-names":false,"suffix":""}],"container-title":"Drug and Alcohol Dependence","id":"ITEM-1","issue":"2","issued":{"date-parts":[["2000","8","1"]]},"page":"133-140","publisher":"Elsevier","title":"Influence of the N-1 alkyl chain length of cannabimimetic indoles upon CB1 and CB2 receptor binding","type":"article-journal","volume":"60"},"uris":["http://www.mendeley.com/documents/?uuid=7957eba6-d142-3fb9-b40b-4259041d6090"]}],"mendeley":{"formattedCitation":"Aung et al., 2000","plainTextFormattedCitation":"Aung et al., 2000","previouslyFormattedCitation":"(Aung et al., 2000)"},"properties":{"noteIndex":0},"schema":"https://github.com/citation-style-language/schema/raw/master/csl-citation.json"}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Aung et al., 2000</w:t>
            </w:r>
            <w:r w:rsidRPr="00DE7555">
              <w:rPr>
                <w:rFonts w:ascii="Times New Roman" w:hAnsi="Times New Roman" w:cs="Times New Roman"/>
                <w:lang w:val="en-GB"/>
              </w:rPr>
              <w:fldChar w:fldCharType="end"/>
            </w:r>
          </w:p>
        </w:tc>
      </w:tr>
      <w:tr w:rsidR="00E5612A" w:rsidRPr="00DE7555" w14:paraId="51A7FF8F" w14:textId="77777777" w:rsidTr="00DE7555">
        <w:tc>
          <w:tcPr>
            <w:tcW w:w="0" w:type="auto"/>
          </w:tcPr>
          <w:p w14:paraId="2C790EE2"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 xml:space="preserve">JWH-018 </w:t>
            </w:r>
          </w:p>
          <w:p w14:paraId="3B3CCE8A"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aka AM-678</w:t>
            </w:r>
          </w:p>
        </w:tc>
        <w:tc>
          <w:tcPr>
            <w:tcW w:w="0" w:type="auto"/>
          </w:tcPr>
          <w:p w14:paraId="26CC6731" w14:textId="77777777" w:rsidR="00E5612A" w:rsidRPr="00DE7555" w:rsidRDefault="00E5612A" w:rsidP="00E5612A">
            <w:pPr>
              <w:jc w:val="center"/>
              <w:rPr>
                <w:rFonts w:ascii="Times New Roman" w:hAnsi="Times New Roman" w:cs="Times New Roman"/>
                <w:lang w:val="en-GB"/>
              </w:rPr>
            </w:pPr>
            <w:r>
              <w:rPr>
                <w:rFonts w:ascii="Times New Roman" w:hAnsi="Times New Roman" w:cs="Times New Roman"/>
                <w:lang w:val="en-GB"/>
              </w:rPr>
              <w:t>9.00±</w:t>
            </w:r>
            <w:r w:rsidRPr="00DE7555">
              <w:rPr>
                <w:rFonts w:ascii="Times New Roman" w:hAnsi="Times New Roman" w:cs="Times New Roman"/>
                <w:lang w:val="en-GB"/>
              </w:rPr>
              <w:t>5.00</w:t>
            </w:r>
          </w:p>
        </w:tc>
        <w:tc>
          <w:tcPr>
            <w:tcW w:w="0" w:type="auto"/>
          </w:tcPr>
          <w:p w14:paraId="0A9F7B3A"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3470AEE"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777B2267" w14:textId="77777777" w:rsidR="00E5612A" w:rsidRPr="00DE7555" w:rsidRDefault="00E5612A" w:rsidP="00E5612A">
            <w:pPr>
              <w:jc w:val="center"/>
              <w:rPr>
                <w:rFonts w:ascii="Times New Roman" w:hAnsi="Times New Roman" w:cs="Times New Roman"/>
                <w:lang w:val="en-GB"/>
              </w:rPr>
            </w:pPr>
            <w:r>
              <w:rPr>
                <w:rFonts w:ascii="Times New Roman" w:hAnsi="Times New Roman" w:cs="Times New Roman"/>
                <w:lang w:val="en-GB"/>
              </w:rPr>
              <w:t>2.94±</w:t>
            </w:r>
            <w:r w:rsidRPr="00DE7555">
              <w:rPr>
                <w:rFonts w:ascii="Times New Roman" w:hAnsi="Times New Roman" w:cs="Times New Roman"/>
                <w:lang w:val="en-GB"/>
              </w:rPr>
              <w:t>2.65</w:t>
            </w:r>
          </w:p>
        </w:tc>
        <w:tc>
          <w:tcPr>
            <w:tcW w:w="0" w:type="auto"/>
          </w:tcPr>
          <w:p w14:paraId="49E3B05F"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EF1F62B"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637D984D"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448A327"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{"citationItems":[{"id":"ITEM-1","itemData":{"DOI":"10.1016/S0376-8716(99)00152-0","ISSN":"0376-8716","abstract":"The N-1 alkyl side chain of the aminoalkylindole analogues (AAI) has been implicated as one of a three-point interaction with the cannabinoid CB1 receptor. In this study, the morpholinoethyl of WIN 55,212-2 was replaced with carbon chains of varying lengths ranging from a methyl to heptyl group. Additional groups were added to the naphthoyl and the C2 positions of the molecule. These structural changes revealed that high affinity binding to the CB1 and CB2 receptors requires an alkyl chain length of at least three carbons with optimum binding to both receptors occurring with a five carbon side chain. An alkyl chain of 3–6 carbons is sufficient for high affinity binding; however, extension of the chain to a heptyl group results in a dramatic decrease in binding at both receptors. The unique structure of the cannabimimetic indoles provides a useful tool to define the ligand-receptor interaction at both cannabinoid receptors and to refine proposed pharmacophore models.","author":[{"dropping-particle":"","family":"Aung","given":"Mie Mie","non-dropping-particle":"","parse-names":false,"suffix":""},{"dropping-particle":"","family":"Griffin","given":"Graeme","non-dropping-particle":"","parse-names":false,"suffix":""},{"dropping-particle":"","family":"Huffman","given":"John W","non-dropping-particle":"","parse-names":false,"suffix":""},{"dropping-particle":"","family":"Wu","given":"Ming-Jung","non-dropping-particle":"","parse-names":false,"suffix":""},{"dropping-particle":"","family":"Keel","given":"Cheryl","non-dropping-particle":"","parse-names":false,"suffix":""},{"dropping-particle":"","family":"Yang","given":"Bin","non-dropping-particle":"","parse-names":false,"suffix":""},{"dropping-particle":"","family":"Showalter","given":"Vincent M","non-dropping-particle":"","parse-names":false,"suffix":""},{"dropping-particle":"","family":"Abood","given":"Mary E","non-dropping-particle":"","parse-names":false,"suffix":""},{"dropping-particle":"","family":"Martin","given":"Billy R","non-dropping-particle":"","parse-names":false,"suffix":""}],"container-title":"Drug and Alcohol Dependence","id":"ITEM-1","issue":"2","issued":{"date-parts":[["2000","8","1"]]},"page":"133-140","publisher":"Elsevier","title":"Influence of the N-1 alkyl chain length of cannabimimetic indoles upon CB1 and CB2 receptor binding","type":"article-journal","volume":"60"},"uris":["http://www.mendeley.com/documents/?uuid=7957eba6-d142-3fb9-b40b-4259041d6090"]}],"mendeley":{"formattedCitation":"Aung et al., 2000","plainTextFormattedCitation":"Aung et al., 2000","previouslyFormattedCitation":"(Aung et al., 2000)"},"properties":{"noteIndex":0},"schema":"https://github.com/citation-style-language/schema/raw/master/csl-citation.json"}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Aung et al., 2000</w:t>
            </w:r>
            <w:r w:rsidRPr="00DE7555">
              <w:rPr>
                <w:rFonts w:ascii="Times New Roman" w:hAnsi="Times New Roman" w:cs="Times New Roman"/>
                <w:lang w:val="en-GB"/>
              </w:rPr>
              <w:fldChar w:fldCharType="end"/>
            </w:r>
          </w:p>
        </w:tc>
      </w:tr>
      <w:tr w:rsidR="00E5612A" w:rsidRPr="00DE7555" w14:paraId="16560989" w14:textId="77777777" w:rsidTr="00DE7555">
        <w:tc>
          <w:tcPr>
            <w:tcW w:w="0" w:type="auto"/>
          </w:tcPr>
          <w:p w14:paraId="3503FC79"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JWH-073</w:t>
            </w:r>
          </w:p>
        </w:tc>
        <w:tc>
          <w:tcPr>
            <w:tcW w:w="0" w:type="auto"/>
          </w:tcPr>
          <w:p w14:paraId="74F97A88" w14:textId="77777777" w:rsidR="00E5612A" w:rsidRPr="00DE7555" w:rsidRDefault="00E5612A" w:rsidP="00E5612A">
            <w:pPr>
              <w:jc w:val="center"/>
              <w:rPr>
                <w:rFonts w:ascii="Times New Roman" w:hAnsi="Times New Roman" w:cs="Times New Roman"/>
                <w:lang w:val="en-GB"/>
              </w:rPr>
            </w:pPr>
            <w:r>
              <w:rPr>
                <w:rFonts w:ascii="Times New Roman" w:hAnsi="Times New Roman" w:cs="Times New Roman"/>
                <w:lang w:val="en-GB"/>
              </w:rPr>
              <w:t>8.90±</w:t>
            </w:r>
            <w:r w:rsidRPr="00DE7555">
              <w:rPr>
                <w:rFonts w:ascii="Times New Roman" w:hAnsi="Times New Roman" w:cs="Times New Roman"/>
                <w:lang w:val="en-GB"/>
              </w:rPr>
              <w:t>1.80</w:t>
            </w:r>
          </w:p>
        </w:tc>
        <w:tc>
          <w:tcPr>
            <w:tcW w:w="0" w:type="auto"/>
          </w:tcPr>
          <w:p w14:paraId="21DEA5AD"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5869178"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partial agonist</w:t>
            </w:r>
          </w:p>
        </w:tc>
        <w:tc>
          <w:tcPr>
            <w:tcW w:w="0" w:type="auto"/>
          </w:tcPr>
          <w:p w14:paraId="4687AE91" w14:textId="77777777" w:rsidR="00E5612A" w:rsidRPr="00DE7555" w:rsidRDefault="00E5612A" w:rsidP="00E5612A">
            <w:pPr>
              <w:jc w:val="center"/>
              <w:rPr>
                <w:rFonts w:ascii="Times New Roman" w:hAnsi="Times New Roman" w:cs="Times New Roman"/>
                <w:lang w:val="en-GB"/>
              </w:rPr>
            </w:pPr>
            <w:r>
              <w:rPr>
                <w:rFonts w:ascii="Times New Roman" w:hAnsi="Times New Roman" w:cs="Times New Roman"/>
                <w:lang w:val="en-GB"/>
              </w:rPr>
              <w:t>38.0±</w:t>
            </w:r>
            <w:r w:rsidRPr="00DE7555">
              <w:rPr>
                <w:rFonts w:ascii="Times New Roman" w:hAnsi="Times New Roman" w:cs="Times New Roman"/>
                <w:lang w:val="en-GB"/>
              </w:rPr>
              <w:t>24.0</w:t>
            </w:r>
          </w:p>
        </w:tc>
        <w:tc>
          <w:tcPr>
            <w:tcW w:w="0" w:type="auto"/>
          </w:tcPr>
          <w:p w14:paraId="5E40C1D2"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5588AA0"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partial agonist</w:t>
            </w:r>
          </w:p>
        </w:tc>
        <w:tc>
          <w:tcPr>
            <w:tcW w:w="0" w:type="auto"/>
          </w:tcPr>
          <w:p w14:paraId="60CB0732"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7DFF8BB"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{"citationItems":[{"id":"ITEM-1","itemData":{"DOI":"10.1016/S0376-8716(99)00152-0","ISSN":"0376-8716","abstract":"The N-1 alkyl side chain of the aminoalkylindole analogues (AAI) has been implicated as one of a three-point interaction with the cannabinoid CB1 receptor. In this study, the morpholinoethyl of WIN 55,212-2 was replaced with carbon chains of varying lengths ranging from a methyl to heptyl group. Additional groups were added to the naphthoyl and the C2 positions of the molecule. These structural changes revealed that high affinity binding to the CB1 and CB2 receptors requires an alkyl chain length of at least three carbons with optimum binding to both receptors occurring with a five carbon side chain. An alkyl chain of 3–6 carbons is sufficient for high affinity binding; however, extension of the chain to a heptyl group results in a dramatic decrease in binding at both receptors. The unique structure of the cannabimimetic indoles provides a useful tool to define the ligand-receptor interaction at both cannabinoid receptors and to refine proposed pharmacophore models.","author":[{"dropping-particle":"","family":"Aung","given":"Mie Mie","non-dropping-particle":"","parse-names":false,"suffix":""},{"dropping-particle":"","family":"Griffin","given":"Graeme","non-dropping-particle":"","parse-names":false,"suffix":""},{"dropping-particle":"","family":"Huffman","given":"John W","non-dropping-particle":"","parse-names":false,"suffix":""},{"dropping-particle":"","family":"Wu","given":"Ming-Jung","non-dropping-particle":"","parse-names":false,"suffix":""},{"dropping-particle":"","family":"Keel","given":"Cheryl","non-dropping-particle":"","parse-names":false,"suffix":""},{"dropping-particle":"","family":"Yang","given":"Bin","non-dropping-particle":"","parse-names":false,"suffix":""},{"dropping-particle":"","family":"Showalter","given":"Vincent M","non-dropping-particle":"","parse-names":false,"suffix":""},{"dropping-particle":"","family":"Abood","given":"Mary E","non-dropping-particle":"","parse-names":false,"suffix":""},{"dropping-particle":"","family":"Martin","given":"Billy R","non-dropping-particle":"","parse-names":false,"suffix":""}],"container-title":"Drug and Alcohol Dependence","id":"ITEM-1","issue":"2","issued":{"date-parts":[["2000","8","1"]]},"page":"133-140","publisher":"Elsevier","title":"Influence of the N-1 alkyl chain length of cannabimimetic indoles upon CB1 and CB2 receptor binding","type":"article-journal","volume":"60"},"uris":["http://www.mendeley.com/documents/?uuid=7957eba6-d142-3fb9-b40b-4259041d6090"]}],"mendeley":{"formattedCitation":"Aung et al., 2000","plainTextFormattedCitation":"Aung et al., 2000","previouslyFormattedCitation":"(Aung et al., 2000)"},"properties":{"noteIndex":0},"schema":"https://github.com/citation-style-language/schema/raw/master/csl-citation.json"}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Aung et al., 2000</w:t>
            </w:r>
            <w:r w:rsidRPr="00DE7555">
              <w:rPr>
                <w:rFonts w:ascii="Times New Roman" w:hAnsi="Times New Roman" w:cs="Times New Roman"/>
                <w:lang w:val="en-GB"/>
              </w:rPr>
              <w:fldChar w:fldCharType="end"/>
            </w:r>
          </w:p>
        </w:tc>
      </w:tr>
      <w:tr w:rsidR="00E5612A" w:rsidRPr="00DE7555" w14:paraId="7A600F58" w14:textId="77777777" w:rsidTr="00DE7555">
        <w:tc>
          <w:tcPr>
            <w:tcW w:w="0" w:type="auto"/>
          </w:tcPr>
          <w:p w14:paraId="7DB879F3" w14:textId="77777777" w:rsidR="00E5612A" w:rsidRPr="008178CC" w:rsidRDefault="00E5612A" w:rsidP="00724E70">
            <w:pPr>
              <w:rPr>
                <w:rFonts w:ascii="Times New Roman" w:hAnsi="Times New Roman" w:cs="Times New Roman"/>
              </w:rPr>
            </w:pPr>
            <w:r w:rsidRPr="008178CC">
              <w:rPr>
                <w:rFonts w:ascii="Times New Roman" w:hAnsi="Times New Roman" w:cs="Times New Roman"/>
              </w:rPr>
              <w:t>MDMB-Fubinaca</w:t>
            </w:r>
          </w:p>
          <w:p w14:paraId="292B4D6C" w14:textId="77777777" w:rsidR="00E5612A" w:rsidRPr="008178CC" w:rsidRDefault="00E5612A" w:rsidP="00724E70">
            <w:pPr>
              <w:rPr>
                <w:rFonts w:ascii="Times New Roman" w:hAnsi="Times New Roman" w:cs="Times New Roman"/>
              </w:rPr>
            </w:pPr>
            <w:r w:rsidRPr="008178CC">
              <w:rPr>
                <w:rFonts w:ascii="Times New Roman" w:hAnsi="Times New Roman" w:cs="Times New Roman"/>
              </w:rPr>
              <w:t>aka FUB-MDMB</w:t>
            </w:r>
          </w:p>
        </w:tc>
        <w:tc>
          <w:tcPr>
            <w:tcW w:w="0" w:type="auto"/>
          </w:tcPr>
          <w:p w14:paraId="7D4602AB"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0.1</w:t>
            </w:r>
          </w:p>
        </w:tc>
        <w:tc>
          <w:tcPr>
            <w:tcW w:w="0" w:type="auto"/>
          </w:tcPr>
          <w:p w14:paraId="01E1638B"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0.06</w:t>
            </w:r>
          </w:p>
        </w:tc>
        <w:tc>
          <w:tcPr>
            <w:tcW w:w="0" w:type="auto"/>
          </w:tcPr>
          <w:p w14:paraId="3EB48411"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2E3B5F57"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0.13</w:t>
            </w:r>
          </w:p>
        </w:tc>
        <w:tc>
          <w:tcPr>
            <w:tcW w:w="0" w:type="auto"/>
          </w:tcPr>
          <w:p w14:paraId="36C54AF2"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0.76</w:t>
            </w:r>
          </w:p>
        </w:tc>
        <w:tc>
          <w:tcPr>
            <w:tcW w:w="0" w:type="auto"/>
          </w:tcPr>
          <w:p w14:paraId="49D9048C"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25905883"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DA0516A"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{"citationItems":[{"id":"ITEM-1","itemData":{"DOI":"10.1007/s11419-018-0415-z","ISSN":"1860-8965","PMID":"29963207","abstract":"Purpose In the present study we characterized a series of synthetic cannabinoids containing various heterocyclic scaffolds that had been identified as constituents of \"Spice\", a preparation sold on the illicit drug market. All compounds were further investigated as potential ligands of the orphan receptors GPR18 and GPR55 that interact with some cannabinoids. Methods The compounds were studied in radioligand binding assays to determine their affinity for human cannabinoid CB1 and CB2 receptors expressed in CHO cells, and in cAMP accumulation assays to study their functionality. Results Structure-activity relationships were analyzed. The most potent CB1 receptor agonist of the present series MDMB-FUBINACA (12) (Ki = 98.5 pM) was docked into the human CB1 receptor structure, and a plausible binding mode was identified showing high similarity with that of the co-crystallized THC derivatives. MDMB-CHMCZCA (41) displayed a unique profile acting as a full agonist at the CB1 receptor subtype, but blocking the CB2 receptor completely. Only a few weakly potent antagonists of GPR18 and GPR55 were identified, and thus all compounds showed high CB receptor selectivity, mostly interacting with both subtypes, CB1 and CB2. Conclusions These results will be useful to assess the compounds' toxicological risks and to guide legislation. Further studies on 41 are warranted.","author":[{"dropping-particle":"","family":"Schoeder","given":"Clara T.","non-dropping-particle":"","parse-names":false,"suffix":""},{"dropping-particle":"","family":"Hess","given":"Cornelius","non-dropping-particle":"","parse-names":false,"suffix":""},{"dropping-particle":"","family":"Madea","given":"Burkhard","non-dropping-particle":"","parse-names":false,"suffix":""},{"dropping-particle":"","family":"Meiler","given":"Jens","non-dropping-particle":"","parse-names":false,"suffix":""},{"dropping-particle":"","family":"Müller","given":"Christa E.","non-dropping-particle":"","parse-names":false,"suffix":""}],"container-title":"Forensic Toxicology","id":"ITEM-1","issue":"2","issued":{"date-parts":[["2018","7","26"]]},"page":"385-403","title":"Pharmacological evaluation of new constituents of “Spice”: synthetic cannabinoids based on indole, indazole, benzimidazole and carbazole scaffolds","type":"article-journal","volume":"36"},"uris":["http://www.mendeley.com/documents/?uuid=9c8982be-ef6c-3ed3-9cca-c5476f4dd3e7"]}],"mendeley":{"formattedCitation":"Schoeder et al., 2018","plainTextFormattedCitation":"Schoeder et al., 2018","previouslyFormattedCitation":"(Schoeder et al., 2018)"},"properties":{"noteIndex":0},"schema":"https://github.com/citation-style-language/schema/raw/master/csl-citation.json"}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Schoeder et al., 2018</w:t>
            </w:r>
            <w:r w:rsidRPr="00DE7555">
              <w:rPr>
                <w:rFonts w:ascii="Times New Roman" w:hAnsi="Times New Roman" w:cs="Times New Roman"/>
                <w:lang w:val="en-GB"/>
              </w:rPr>
              <w:fldChar w:fldCharType="end"/>
            </w:r>
          </w:p>
        </w:tc>
      </w:tr>
      <w:tr w:rsidR="00E5612A" w:rsidRPr="00DE7555" w14:paraId="76EEFC01" w14:textId="77777777" w:rsidTr="00DE7555">
        <w:tc>
          <w:tcPr>
            <w:tcW w:w="0" w:type="auto"/>
          </w:tcPr>
          <w:p w14:paraId="523999E1"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nabilone</w:t>
            </w:r>
          </w:p>
        </w:tc>
        <w:tc>
          <w:tcPr>
            <w:tcW w:w="0" w:type="auto"/>
          </w:tcPr>
          <w:p w14:paraId="06D130C5" w14:textId="77777777" w:rsidR="00E5612A" w:rsidRPr="00DE7555" w:rsidRDefault="00E5612A" w:rsidP="00E5612A">
            <w:pPr>
              <w:jc w:val="center"/>
              <w:rPr>
                <w:rFonts w:ascii="Times New Roman" w:hAnsi="Times New Roman" w:cs="Times New Roman"/>
                <w:lang w:val="en-GB"/>
              </w:rPr>
            </w:pPr>
            <w:r>
              <w:rPr>
                <w:rFonts w:ascii="Times New Roman" w:hAnsi="Times New Roman" w:cs="Times New Roman"/>
                <w:lang w:val="en-GB"/>
              </w:rPr>
              <w:t>2.19±</w:t>
            </w:r>
            <w:r w:rsidRPr="00DE7555">
              <w:rPr>
                <w:rFonts w:ascii="Times New Roman" w:hAnsi="Times New Roman" w:cs="Times New Roman"/>
                <w:lang w:val="en-GB"/>
              </w:rPr>
              <w:t>0.89</w:t>
            </w:r>
          </w:p>
        </w:tc>
        <w:tc>
          <w:tcPr>
            <w:tcW w:w="0" w:type="auto"/>
          </w:tcPr>
          <w:p w14:paraId="2248BBDA"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B5B5C35"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5AED3811" w14:textId="77777777" w:rsidR="00E5612A" w:rsidRPr="00DE7555" w:rsidRDefault="00E5612A" w:rsidP="00E5612A">
            <w:pPr>
              <w:jc w:val="center"/>
              <w:rPr>
                <w:rFonts w:ascii="Times New Roman" w:hAnsi="Times New Roman" w:cs="Times New Roman"/>
                <w:lang w:val="en-GB"/>
              </w:rPr>
            </w:pPr>
            <w:r>
              <w:rPr>
                <w:rFonts w:ascii="Times New Roman" w:hAnsi="Times New Roman" w:cs="Times New Roman"/>
                <w:lang w:val="en-GB"/>
              </w:rPr>
              <w:t>1.8±</w:t>
            </w:r>
            <w:r w:rsidRPr="00DE7555">
              <w:rPr>
                <w:rFonts w:ascii="Times New Roman" w:hAnsi="Times New Roman" w:cs="Times New Roman"/>
                <w:lang w:val="en-GB"/>
              </w:rPr>
              <w:t>0.42</w:t>
            </w:r>
          </w:p>
        </w:tc>
        <w:tc>
          <w:tcPr>
            <w:tcW w:w="0" w:type="auto"/>
          </w:tcPr>
          <w:p w14:paraId="598CC3B5"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83CE74D"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238221B5"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253E116"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{"citationItems":[{"id":"ITEM-1","itemData":{"DOI":"10.1016/0960-894X(95)00573-C","ISSN":"0960-894X","abstract":"A series of Δ8-tetrahydrocannabinol (THC) and biphenylic derivatives were prepared and their binding affinity for both human cannabinoid receptors hCB1 and hCB2 evaluated.","author":[{"dropping-particle":"","family":"Gareau","given":"Yves","non-dropping-particle":"","parse-names":false,"suffix":""},{"dropping-particle":"","family":"Dufresne","given":"Claude","non-dropping-particle":"","parse-names":false,"suffix":""},{"dropping-particle":"","family":"Gallant","given":"Michel","non-dropping-particle":"","parse-names":false,"suffix":""},{"dropping-particle":"","family":"Rochette","given":"Chantal","non-dropping-particle":"","parse-names":false,"suffix":""},{"dropping-particle":"","family":"Sawyer","given":"Nicole","non-dropping-particle":"","parse-names":false,"suffix":""},{"dropping-particle":"","family":"Slipetz","given":"Deborah M.","non-dropping-particle":"","parse-names":false,"suffix":""},{"dropping-particle":"","family":"Tremblay","given":"Nathalie","non-dropping-particle":"","parse-names":false,"suffix":""},{"dropping-particle":"","family":"Weech","given":"Philip K.","non-dropping-particle":"","parse-names":false,"suffix":""},{"dropping-particle":"","family":"Metters","given":"Kathleen M.","non-dropping-particle":"","parse-names":false,"suffix":""},{"dropping-particle":"","family":"Labelle","given":"Marc","non-dropping-particle":"","parse-names":false,"suffix":""}],"container-title":"Bioorganic &amp; Medicinal Chemistry Letters","id":"ITEM-1","issue":"2","issued":{"date-parts":[["1996","1","23"]]},"page":"189-194","publisher":"Pergamon","title":"Structure activity relationships of tetrahydrocannabinol analogues on human cannabinoid receptors","type":"article-journal","volume":"6"},"uris":["http://www.mendeley.com/documents/?uuid=8603888f-f05e-313a-a309-53564f132365"]}],"mendeley":{"formattedCitation":"Gareau et al., 1996","plainTextFormattedCitation":"Gareau et al., 1996","previouslyFormattedCitation":"(Gareau et al., 1996)"},"properties":{"noteIndex":0},"schema":"https://github.com/citation-style-language/schema/raw/master/csl-citation.json"}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Gareau et al., 1996</w:t>
            </w:r>
            <w:r w:rsidRPr="00DE7555">
              <w:rPr>
                <w:rFonts w:ascii="Times New Roman" w:hAnsi="Times New Roman" w:cs="Times New Roman"/>
                <w:lang w:val="en-GB"/>
              </w:rPr>
              <w:fldChar w:fldCharType="end"/>
            </w:r>
          </w:p>
        </w:tc>
      </w:tr>
      <w:tr w:rsidR="00E5612A" w:rsidRPr="00DE7555" w14:paraId="7B8800BA" w14:textId="77777777" w:rsidTr="00DE7555">
        <w:tc>
          <w:tcPr>
            <w:tcW w:w="0" w:type="auto"/>
          </w:tcPr>
          <w:p w14:paraId="4946AB99"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fr-FR"/>
              </w:rPr>
              <w:t xml:space="preserve">O-1057 </w:t>
            </w:r>
          </w:p>
        </w:tc>
        <w:tc>
          <w:tcPr>
            <w:tcW w:w="0" w:type="auto"/>
          </w:tcPr>
          <w:p w14:paraId="3731E287"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fr-FR"/>
              </w:rPr>
              <w:t>4.4</w:t>
            </w:r>
          </w:p>
        </w:tc>
        <w:tc>
          <w:tcPr>
            <w:tcW w:w="0" w:type="auto"/>
          </w:tcPr>
          <w:p w14:paraId="0FCC15A2"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2366B15C"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agonist</w:t>
            </w:r>
            <w:proofErr w:type="spellEnd"/>
          </w:p>
        </w:tc>
        <w:tc>
          <w:tcPr>
            <w:tcW w:w="0" w:type="auto"/>
          </w:tcPr>
          <w:p w14:paraId="35AED12B"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fr-FR"/>
              </w:rPr>
              <w:t>11.2</w:t>
            </w:r>
          </w:p>
        </w:tc>
        <w:tc>
          <w:tcPr>
            <w:tcW w:w="0" w:type="auto"/>
          </w:tcPr>
          <w:p w14:paraId="0E9B21AF"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7067FFDA"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agonist</w:t>
            </w:r>
            <w:proofErr w:type="spellEnd"/>
          </w:p>
        </w:tc>
        <w:tc>
          <w:tcPr>
            <w:tcW w:w="0" w:type="auto"/>
          </w:tcPr>
          <w:p w14:paraId="60CF40C2"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09F44858"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fr-FR"/>
              </w:rPr>
              <w:instrText>ADDIN CSL_CITATION {"citationItems":[{"id":"ITEM-1","itemData":{"DOI":"10.1517/13543784.9.7.1553","ISSN":"1354-3784","PMID":"11060760","abstract":"This review highlights some important advances that have taken place in cannabinoid research over the last four years. It focuses on novel ligands that are of interest either as experimental tools or as lead compounds for therapeutic agents and possible clinical applications for some of these ligands. The molecular targets for these compounds are various components of the system of endogenous cannabinoids (endocannabinoids) and receptors that together constitute the 'endocannabinoid system'. These are CB(1) cannabinoid receptors that are present mainly on central and peripheral neurones, CB(2) cannabinoid receptors that are expressed predominantly by immune cells, the biochemical mechanisms responsible for the tissue uptake or metabolism of endocannabinoids and vanilloid receptors. Other cannabinoid receptor types may also exist. Recently developed ligands include potent and selective agonists for CB(1) and CB(2) receptors, a potent CB(2)-selective antagonist/inverse agonist and inhibitors of endocannabinoid uptake or metabolism. Future research should be directed at characterising the endocannabinoid system more completely and at obtaining more conclusive clinical data about the possible beneficial effects of cannabinoids as well as their adverse effects. There is also a need for improved cannabinoid formulations/modes of administration in the clinic and advances in this area should be facilitated by the recent development of a potent water-soluble CB(1)/CB(2) receptor agonist. A growing number of strategies for separating sought-after therapeutic effects of cannabinoid receptor agonists from the unwanted consequences of CB(1) receptor activation are now emerging and these are discussed at the end of this review.","author":[{"dropping-particle":"","family":"Pertwee","given":"Roger G","non-dropping-particle":"","parse-names":false,"suffix":""}],"container-title":"Expert Opinion on Investigational Drugs","id":"ITEM-1","issue":"7","issued":{"date-parts":[["2000","7","4"]]},"page":"1553-1571","title":"Cannabinoid receptor ligands: clinical and neuropharmacological considerations, relevant to future drug discovery and development","type":"article-journal","volume":"9"},"uris":["http://www.mendeley.com/documents/?uuid=2e9f3a1b-9678-3234-82a7-5b7e5d81b000"]}],"mendeley":{"formattedCitation":"Pertwee, 2000","plainTextFormattedCitation":"Pertwee, 2000","previouslyFormattedCitation":"(Pertwee, 2000)"},"properties":{"noteIndex":0},"schema":"https://github.com/citation-style-language/schema/raw/master/csl-citation.json"}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Pertwee, 2000</w:t>
            </w:r>
            <w:r w:rsidRPr="00DE7555">
              <w:rPr>
                <w:rFonts w:ascii="Times New Roman" w:hAnsi="Times New Roman" w:cs="Times New Roman"/>
                <w:lang w:val="en-GB"/>
              </w:rPr>
              <w:fldChar w:fldCharType="end"/>
            </w:r>
          </w:p>
        </w:tc>
      </w:tr>
      <w:tr w:rsidR="00E5612A" w:rsidRPr="008178CC" w14:paraId="361839AC" w14:textId="77777777" w:rsidTr="00DE7555">
        <w:tc>
          <w:tcPr>
            <w:tcW w:w="0" w:type="auto"/>
          </w:tcPr>
          <w:p w14:paraId="2B90D895"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 xml:space="preserve">Org 28611 </w:t>
            </w:r>
          </w:p>
          <w:p w14:paraId="6ED18D17"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aka SCH-900,111</w:t>
            </w:r>
          </w:p>
        </w:tc>
        <w:tc>
          <w:tcPr>
            <w:tcW w:w="0" w:type="auto"/>
          </w:tcPr>
          <w:p w14:paraId="781E97B3"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1.26</w:t>
            </w:r>
          </w:p>
        </w:tc>
        <w:tc>
          <w:tcPr>
            <w:tcW w:w="0" w:type="auto"/>
          </w:tcPr>
          <w:p w14:paraId="48AEA10B"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25.12</w:t>
            </w:r>
          </w:p>
        </w:tc>
        <w:tc>
          <w:tcPr>
            <w:tcW w:w="0" w:type="auto"/>
          </w:tcPr>
          <w:p w14:paraId="6E64F5F0"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323BFB50"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1.58</w:t>
            </w:r>
          </w:p>
        </w:tc>
        <w:tc>
          <w:tcPr>
            <w:tcW w:w="0" w:type="auto"/>
          </w:tcPr>
          <w:p w14:paraId="4225011B"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0A848DE"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7300413D"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BD3C422"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{"citationItems":[{"id":"ITEM-1","itemData":{"DOI":"10.1039/c0md00022a","abstract":"A novel CB1 receptor agonist lead series was identified using a high-throughput screening approach. The initial screen afforded a single confirmed hit with poor water solubility. Structural variations were explored with the aim of introducing water solubility and improving potency. This led to the discovery of Org 28611, a potent, water soluble CB1 receptor agonist, which was selected for clinical evaluation as a potential intravenous analgesic agent.","author":[{"dropping-particle":"","family":"Adam","given":"Julia M","non-dropping-particle":"","parse-names":false,"suffix":""},{"dropping-particle":"","family":"Cairns","given":"Jim","non-dropping-particle":"","parse-names":false,"suffix":""},{"dropping-particle":"","family":"Caulfield","given":"Wilson","non-dropping-particle":"","parse-names":false,"suffix":""},{"dropping-particle":"","family":"Cowley","given":"Phillip","non-dropping-particle":"","parse-names":false,"suffix":""},{"dropping-particle":"","family":"Cumming","given":"Iain","non-dropping-particle":"","parse-names":false,"suffix":""},{"dropping-particle":"","family":"Easson","given":"Morag","non-dropping-particle":"","parse-names":false,"suffix":""},{"dropping-particle":"","family":"Edwards","given":"Darren","non-dropping-particle":"","parse-names":false,"suffix":""},{"dropping-particle":"","family":"Ferguson","given":"Morag","non-dropping-particle":"","parse-names":false,"suffix":""},{"dropping-particle":"","family":"Goodwin","given":"Richard","non-dropping-particle":"","parse-names":false,"suffix":""},{"dropping-particle":"","family":"Jeremiah","given":"Fiona","non-dropping-particle":"","parse-names":false,"suffix":""},{"dropping-particle":"","family":"Kiyoi","given":"Takao","non-dropping-particle":"","parse-names":false,"suffix":""},{"dropping-particle":"","family":"Mistry","given":"Ashvin","non-dropping-particle":"","parse-names":false,"suffix":""},{"dropping-particle":"","family":"Moir","given":"Elizabeth","non-dropping-particle":"","parse-names":false,"suffix":""},{"dropping-particle":"","family":"Morphy","given":"Richard","non-dropping-particle":"","parse-names":false,"suffix":""},{"dropping-particle":"","family":"Tierney","given":"Jason","non-dropping-particle":"","parse-names":false,"suffix":""},{"dropping-particle":"","family":"York","given":"Mark","non-dropping-particle":"","parse-names":false,"suffix":""},{"dropping-particle":"","family":"Baker","given":"James","non-dropping-particle":"","parse-names":false,"suffix":""},{"dropping-particle":"","family":"Cottney","given":"Jean E","non-dropping-particle":"","parse-names":false,"suffix":""},{"dropping-particle":"","family":"Houghton","given":"Andrea K","non-dropping-particle":"","parse-names":false,"suffix":""},{"dropping-particle":"","family":"Westwood","given":"Paul J","non-dropping-particle":"","parse-names":false,"suffix":""},{"dropping-particle":"","family":"Walker","given":"Glenn","non-dropping-particle":"","parse-names":false,"suffix":""}],"container-title":"Medicinal Chemistry Communications","id":"ITEM-1","issued":{"date-parts":[["2010"]]},"page":"54-60","title":"Design, synthesis, and structure-activity relationships of indole-3-carboxamides as novel water soluble cannabinoid CB1 receptor agonists †","type":"article-journal","volume":"1"},"uris":["http://www.mendeley.com/documents/?uuid=385fbc79-a9e9-3af8-a0b0-97550627f52a"]}],"mendeley":{"formattedCitation":"Adam et al., 2010","plainTextFormattedCitation":"Adam et al., 2010","previouslyFormattedCitation":"(Adam et al., 2010)"},"properties":{"noteIndex":0},"schema":"https://github.com/citation-style-language/schema/raw/master/csl-citation.json"}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Adam et al., 2010</w:t>
            </w:r>
            <w:r w:rsidRPr="00DE7555">
              <w:rPr>
                <w:rFonts w:ascii="Times New Roman" w:hAnsi="Times New Roman" w:cs="Times New Roman"/>
                <w:lang w:val="en-GB"/>
              </w:rPr>
              <w:fldChar w:fldCharType="end"/>
            </w:r>
          </w:p>
        </w:tc>
      </w:tr>
      <w:tr w:rsidR="00E5612A" w:rsidRPr="008178CC" w14:paraId="1956ABE3" w14:textId="77777777" w:rsidTr="00DE7555">
        <w:tc>
          <w:tcPr>
            <w:tcW w:w="0" w:type="auto"/>
          </w:tcPr>
          <w:p w14:paraId="5A6955EC"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 xml:space="preserve">SAB378 </w:t>
            </w:r>
          </w:p>
          <w:p w14:paraId="161221CB"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 xml:space="preserve">aka CB-13 </w:t>
            </w:r>
          </w:p>
        </w:tc>
        <w:tc>
          <w:tcPr>
            <w:tcW w:w="0" w:type="auto"/>
          </w:tcPr>
          <w:p w14:paraId="50A7212B"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15±5</w:t>
            </w:r>
          </w:p>
        </w:tc>
        <w:tc>
          <w:tcPr>
            <w:tcW w:w="0" w:type="auto"/>
          </w:tcPr>
          <w:p w14:paraId="36B03FD8"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28E176A"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p w14:paraId="4024FE19"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(peripherally restricted)</w:t>
            </w:r>
          </w:p>
        </w:tc>
        <w:tc>
          <w:tcPr>
            <w:tcW w:w="0" w:type="auto"/>
          </w:tcPr>
          <w:p w14:paraId="6634CE96" w14:textId="77777777" w:rsidR="00E5612A" w:rsidRPr="00DE7555" w:rsidRDefault="00E5612A" w:rsidP="00E5612A">
            <w:pPr>
              <w:jc w:val="center"/>
              <w:rPr>
                <w:rFonts w:ascii="Times New Roman" w:hAnsi="Times New Roman" w:cs="Times New Roman"/>
                <w:lang w:val="en-GB"/>
              </w:rPr>
            </w:pPr>
            <w:r>
              <w:rPr>
                <w:rFonts w:ascii="Times New Roman" w:hAnsi="Times New Roman" w:cs="Times New Roman"/>
                <w:lang w:val="en-GB"/>
              </w:rPr>
              <w:t>98±</w:t>
            </w:r>
            <w:r w:rsidRPr="00DE7555">
              <w:rPr>
                <w:rFonts w:ascii="Times New Roman" w:hAnsi="Times New Roman" w:cs="Times New Roman"/>
                <w:lang w:val="en-GB"/>
              </w:rPr>
              <w:t>7.6</w:t>
            </w:r>
          </w:p>
        </w:tc>
        <w:tc>
          <w:tcPr>
            <w:tcW w:w="0" w:type="auto"/>
          </w:tcPr>
          <w:p w14:paraId="12E6319A"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409A402"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 (peripherally restricted)</w:t>
            </w:r>
          </w:p>
        </w:tc>
        <w:tc>
          <w:tcPr>
            <w:tcW w:w="0" w:type="auto"/>
          </w:tcPr>
          <w:p w14:paraId="20E5AA02" w14:textId="77777777" w:rsidR="00E5612A" w:rsidRPr="00DE7555" w:rsidRDefault="00E5612A"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5B7DAEE"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{"citationItems":[{"id":"ITEM-1","itemData":{"DOI":"10.1021/jm070317a","author":[{"dropping-particle":"","family":"Dziadulewicz","given":"Edward K","non-dropping-particle":"","parse-names":false,"suffix":""},{"dropping-particle":"","family":"Bevan","given":"Stuart J","non-dropping-particle":"","parse-names":false,"suffix":""},{"dropping-particle":"","family":"Brain","given":"Christopher T","non-dropping-particle":"","parse-names":false,"suffix":""},{"dropping-particle":"","family":"Coote","given":"Paul R","non-dropping-particle":"","parse-names":false,"suffix":""},{"dropping-particle":"","family":"Culshaw","given":"Andrew J","non-dropping-particle":"","parse-names":false,"suffix":""},{"dropping-particle":"","family":"Davis","given":"Andrew J","non-dropping-particle":"","parse-names":false,"suffix":""},{"dropping-particle":"","family":"Edwards","given":"Lee J","non-dropping-particle":"","parse-names":false,"suffix":""},{"dropping-particle":"","family":"Fisher","given":"Adrian J","non-dropping-particle":"","parse-names":false,"suffix":""},{"dropping-particle":"","family":"Fox","given":"Alyson J","non-dropping-particle":"","parse-names":false,"suffix":""},{"dropping-particle":"","family":"Gentry","given":"Clive","non-dropping-particle":"","parse-names":false,"suffix":""},{"dropping-particle":"","family":"Groarke","given":"Alex","non-dropping-particle":"","parse-names":false,"suffix":""},{"dropping-particle":"","family":"Hart","given":"Terance W","non-dropping-particle":"","parse-names":false,"suffix":""},{"dropping-particle":"","family":"Huber","given":"Werner","non-dropping-particle":"","parse-names":false,"suffix":""},{"dropping-particle":"","family":"James","given":"Iain F","non-dropping-particle":"","parse-names":false,"suffix":""},{"dropping-particle":"","family":"Kesingland","given":"Adam","non-dropping-particle":"","parse-names":false,"suffix":""},{"dropping-particle":"La","family":"Vecchia","given":"Luigi","non-dropping-particle":"","parse-names":false,"suffix":""},{"dropping-particle":"","family":"Loong","given":"Yvonne","non-dropping-particle":"","parse-names":false,"suffix":""},{"dropping-particle":"","family":"Lyothier","given":"Isabelle","non-dropping-particle":"","parse-names":false,"suffix":""},{"dropping-particle":"","family":"Mcnair","given":"Kara","non-dropping-particle":"","parse-names":false,"suffix":""},{"dropping-particle":"","family":"O'farrell","given":"Cathal","non-dropping-particle":"","parse-names":false,"suffix":""},{"dropping-particle":"","family":"Peacock","given":"Marcus","non-dropping-particle":"","parse-names":false,"suffix":""},{"dropping-particle":"","family":"Portmann","given":"Robert","non-dropping-particle":"","parse-names":false,"suffix":""},{"dropping-particle":"","family":"Schopfer","given":"Ulrich","non-dropping-particle":"","parse-names":false,"suffix":""},{"dropping-particle":"","family":"Yaqoob","given":"Mohammed","non-dropping-particle":"","parse-names":false,"suffix":""},{"dropping-particle":"","family":"Zadrobilek","given":"Jiri","non-dropping-particle":"","parse-names":false,"suffix":""}],"id":"ITEM-1","issued":{"date-parts":[["2007"]]},"title":"Naphthalen-1-yl-(4-pentyloxynaphthalen-1-yl)methanone: A Potent, Orally Bioavailable Human CB 1 /CB 2 Dual Agonist with Antihyperalgesic Properties and Restricted Central Nervous System Penetration","type":"article-journal"},"uris":["http://www.mendeley.com/documents/?uuid=7aa4d5ae-0dd6-3d8a-b4cf-16c467a09b43"]}],"mendeley":{"formattedCitation":"Dziadulewicz et al., 2007","plainTextFormattedCitation":"Dziadulewicz et al., 2007","previouslyFormattedCitation":"(Dziadulewicz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Dziadulewicz et al., 2007</w:t>
            </w:r>
            <w:r w:rsidRPr="00DE7555">
              <w:rPr>
                <w:rFonts w:ascii="Times New Roman" w:hAnsi="Times New Roman" w:cs="Times New Roman"/>
                <w:lang w:val="en-GB"/>
              </w:rPr>
              <w:fldChar w:fldCharType="end"/>
            </w:r>
          </w:p>
        </w:tc>
      </w:tr>
      <w:tr w:rsidR="00E5612A" w:rsidRPr="008178CC" w14:paraId="1015D392" w14:textId="77777777" w:rsidTr="00DE7555">
        <w:tc>
          <w:tcPr>
            <w:tcW w:w="0" w:type="auto"/>
          </w:tcPr>
          <w:p w14:paraId="2D0CEB9F" w14:textId="77777777" w:rsidR="00E5612A" w:rsidRPr="00DE7555" w:rsidRDefault="00E5612A" w:rsidP="00724E70">
            <w:pPr>
              <w:rPr>
                <w:rFonts w:ascii="Times New Roman" w:hAnsi="Times New Roman" w:cs="Times New Roman"/>
                <w:lang w:val="en-GB"/>
              </w:rPr>
            </w:pPr>
            <w:r w:rsidRPr="00DE7555">
              <w:rPr>
                <w:rFonts w:ascii="Times New Roman" w:hAnsi="Times New Roman" w:cs="Times New Roman"/>
                <w:lang w:val="en-GB"/>
              </w:rPr>
              <w:t>WIN55212-2</w:t>
            </w:r>
          </w:p>
        </w:tc>
        <w:tc>
          <w:tcPr>
            <w:tcW w:w="0" w:type="auto"/>
          </w:tcPr>
          <w:p w14:paraId="63B80987"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1.89–123</w:t>
            </w:r>
          </w:p>
        </w:tc>
        <w:tc>
          <w:tcPr>
            <w:tcW w:w="0" w:type="auto"/>
          </w:tcPr>
          <w:p w14:paraId="265266EC"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2432E45"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2652F24C"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0.28–16.2</w:t>
            </w:r>
          </w:p>
        </w:tc>
        <w:tc>
          <w:tcPr>
            <w:tcW w:w="0" w:type="auto"/>
          </w:tcPr>
          <w:p w14:paraId="5726104B" w14:textId="77777777" w:rsidR="00E5612A" w:rsidRPr="00DE7555" w:rsidRDefault="00E5612A"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A4C0069" w14:textId="77777777" w:rsidR="00E5612A" w:rsidRPr="00DE7555" w:rsidRDefault="00E5612A"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00B89CF5"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t>5-HT</w:t>
            </w:r>
            <w:r w:rsidRPr="00DE7555">
              <w:rPr>
                <w:rFonts w:ascii="Times New Roman" w:hAnsi="Times New Roman" w:cs="Times New Roman"/>
                <w:vertAlign w:val="subscript"/>
                <w:lang w:val="en-GB"/>
              </w:rPr>
              <w:t>3A</w:t>
            </w:r>
            <w:r w:rsidRPr="00DE7555">
              <w:rPr>
                <w:rFonts w:ascii="Times New Roman" w:hAnsi="Times New Roman" w:cs="Times New Roman"/>
                <w:lang w:val="en-GB"/>
              </w:rPr>
              <w:t>, TRPV1, glycine receptors</w:t>
            </w:r>
          </w:p>
        </w:tc>
        <w:tc>
          <w:tcPr>
            <w:tcW w:w="0" w:type="auto"/>
          </w:tcPr>
          <w:p w14:paraId="456A0A31" w14:textId="77777777" w:rsidR="00E5612A" w:rsidRPr="00DE7555" w:rsidRDefault="00E5612A"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Cannabinoids","type":"report","volume":"168"},"uris":["http://www.mendeley.com/documents/?uuid=8d8d4100-5521-3c8a-91fc-02214b8beb11"]},{"id":"ITEM-2","itemData":{"DOI":"10.1007/s10681-004-4756-9","abstract":"Cannabis is the unique source of a set of at least 66 compounds known collectively as cannabinoids. Of these, most is known about the pharmacology of Δ 9 -tetrahydrocannabinol (Δ 9 -THC), the main psychoactive constituent of cannabis, and about cannabidiol (CBD), which lacks psychoactivity. Accordingly, this paper focuses on the pharmacological and therapeutic targets of these two cannabinoids. Many of the effects of Δ 9 -THC are mediated by cannabinoid receptors of which at least two types, CB 1 and CB 2 , are present in mammalian tissues. Endogenous agonists for cannabinoid receptors have also been discovered. CB 1 receptors are present at the terminals of central and peripheral neurones, where they modulate transmitter release. They also exist in some non-neuronal cells. CB 2 receptors are expressed mainly by immune cells, one of their roles being to alter cytokine release. Δ 9 - THC also appears to have non-CB 1 , non-CB 2 pharmacological targets. It is already licensed for clinical use in the U.S.A. as an anti-emetic and appetite stimulant and both Δ 9 -THC and Δ 9 -THC-rich cannabis extracts show therapeutic potential as neuroprotective and anticancer agents and for the management of glaucoma, pain and various kinds of motor dysfunction associated, for example, with multiple sclerosis and spinal cord injury. CBD has much less affinity for CB 1 and CB 2 receptors than Δ 9 -THC and its pharmacological actions have been less well characterized. Potential clinical applications of CBD and CBD-rich cannabis extracts include the production of anti-inflammatory and neuroprotective effects, the management of epilepsy, anxiety disorders, glaucoma and nausea, and the modulation of some effects of Δ 9 -THC. © 2004 Kluwer Academic Publishers.","author":[{"dropping-particle":"","family":"Pertwee","given":"R.G.","non-dropping-particle":"","parse-names":false,"suffix":""}],"container-title":"Euphytica","id":"ITEM-2","issue":"1-2","issued":{"date-parts":[["2004"]]},"page":"73-82","title":"Pharmacological and therapeutic targets for Δ&lt;sup&gt;9&lt;/sup&gt;- tetrahydrocannabinol and cannabidiol","type":"article-journal","volume":"140"},"uris":["http://www.mendeley.com/documents/?uuid=46116f80-9088-3794-917c-f1ce38c7771d"]},{"id":"ITEM-3","itemData":{"DOI":"10.1016/j.bcp.2008.07.037","ISSN":"00062952","PMID":"18755158","abstract":"Glycine receptors (GlyRs) mediate inhibitory neurotransmission in spinal cord motor and pain sensory neurons. Recent studies demonstrated apparently contradictory (potentiating versus inhibitory) effects of the endocannabinoid anandamide on these receptors. The present study characterised the effects of cannabinoid agonists on alpha1, alpha1beta, alpha2 and alpha3 GlyRs recombinantly expressed in HEK293 cells with the aims of reconciling effects of cannabinoids on these receptor subtypes and to establish the potential of different GlyR isoforms as novel physiological or analgesic targets for cannabinoids. The compounds investigated were anandamide, HU-210, HU-308, WIN55,212-2 and the endogenous non-cannabinoid, N-arachidonyl-glycine. The latter compound was chosen due to the structural similarity with anandamide and known analgesic actions in the spinal cord. Recombinant alpha1 and alpha1beta GlyRs were potentiated by anandamide and HU-210 at submicromolar concentrations, whereas WIN55,212-2 had no effect and HU-308 produced only weak inhibition. By contrast, N-arachidonyl-glycine exerted complex effects including both potentiation and inhibition. Anandamide had no effect at alpha2 or alpha3 GlyRs although the other cannabinoids produced potent inhibition. On alpha2 GlyRs, the inhibitory potency sequence was HU-210=WIN55,212-2&gt;HU-308&gt;N-arachidonyl-glycine but on alpha3 GlyRs it was HU-210=WIN55212=HU-308&gt;N-arachidonyl-glycine. These results suggest that alpha1, alpha2 and alpha3 containing GlyRs exhibit distinct pharmacological profiles for cannabinoids. We conclude that cannabinoid agonists may be useful as pharmacological tools for selectively inhibiting alpha2 and alpha3 GlyRs. Our results also establish GlyRs as potential novel targets for endogenous and exogenous cannabinoids.","author":[{"dropping-particle":"","family":"Yang","given":"Zhe","non-dropping-particle":"","parse-names":false,"suffix":""},{"dropping-particle":"","family":"Aubrey","given":"Karin R.","non-dropping-particle":"","parse-names":false,"suffix":""},{"dropping-particle":"","family":"Alroy","given":"Iris","non-dropping-particle":"","parse-names":false,"suffix":""},{"dropping-particle":"","family":"Harvey","given":"Robert J.","non-dropping-particle":"","parse-names":false,"suffix":""},{"dropping-particle":"","family":"Vandenberg","given":"Robert J.","non-dropping-particle":"","parse-names":false,"suffix":""},{"dropping-particle":"","family":"Lynch","given":"Joseph W.","non-dropping-particle":"","parse-names":false,"suffix":""}],"container-title":"Biochemical Pharmacology","id":"ITEM-3","issue":"8","issued":{"date-parts":[["2008","10","15"]]},"page":"1014-1023","title":"Subunit-specific modulation of glycine receptors by cannabinoids and N-arachidonyl-glycine","type":"article-journal","volume":"76"},"uris":["http://www.mendeley.com/documents/?uuid=cffa4937-56c7-342a-9fd2-9b13c88a1e97"]}],"mendeley":{"formattedCitation":"Pertwee, 2005, 2004; Yang et al., 2008","plainTextFormattedCitation":"Pertwee, 2005, 2004; Yang et al., 2008","previouslyFormattedCitation":"(Pertwee, 2005, 2004; Yang et al., 2008)"},"properties":{"noteIndex":0},"schema":"https://github.com/citation-style-language/schema/raw/master/csl-citation.json"}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 xml:space="preserve">Pertwee, 2005, 2004; </w:t>
            </w:r>
            <w:r w:rsidRPr="00DE7555">
              <w:rPr>
                <w:rFonts w:ascii="Times New Roman" w:hAnsi="Times New Roman" w:cs="Times New Roman"/>
                <w:noProof/>
                <w:lang w:val="en-GB"/>
              </w:rPr>
              <w:lastRenderedPageBreak/>
              <w:t>Yang et al., 2008</w:t>
            </w:r>
            <w:r w:rsidRPr="00DE7555">
              <w:rPr>
                <w:rFonts w:ascii="Times New Roman" w:hAnsi="Times New Roman" w:cs="Times New Roman"/>
                <w:lang w:val="en-GB"/>
              </w:rPr>
              <w:fldChar w:fldCharType="end"/>
            </w:r>
          </w:p>
        </w:tc>
      </w:tr>
      <w:tr w:rsidR="00043312" w:rsidRPr="008178CC" w14:paraId="045F707A" w14:textId="77777777" w:rsidTr="00DE7555">
        <w:tc>
          <w:tcPr>
            <w:tcW w:w="0" w:type="auto"/>
            <w:gridSpan w:val="9"/>
          </w:tcPr>
          <w:p w14:paraId="693DD69F" w14:textId="3990332F" w:rsidR="00F21D2A" w:rsidRPr="00DE7555" w:rsidRDefault="00F21D2A" w:rsidP="00724E70">
            <w:pPr>
              <w:rPr>
                <w:rFonts w:ascii="Times New Roman" w:hAnsi="Times New Roman" w:cs="Times New Roman"/>
                <w:lang w:val="en-GB"/>
              </w:rPr>
            </w:pPr>
            <w:r w:rsidRPr="00DE7555">
              <w:rPr>
                <w:rFonts w:ascii="Times New Roman" w:hAnsi="Times New Roman" w:cs="Times New Roman"/>
                <w:b/>
                <w:lang w:val="en-GB"/>
              </w:rPr>
              <w:lastRenderedPageBreak/>
              <w:t>Selective CB</w:t>
            </w:r>
            <w:r w:rsidRPr="00DE7555">
              <w:rPr>
                <w:rFonts w:ascii="Times New Roman" w:hAnsi="Times New Roman" w:cs="Times New Roman"/>
                <w:b/>
                <w:vertAlign w:val="subscript"/>
                <w:lang w:val="en-GB"/>
              </w:rPr>
              <w:t>1</w:t>
            </w:r>
            <w:r w:rsidRPr="00DE7555">
              <w:rPr>
                <w:rFonts w:ascii="Times New Roman" w:hAnsi="Times New Roman" w:cs="Times New Roman"/>
                <w:b/>
                <w:lang w:val="en-GB"/>
              </w:rPr>
              <w:t xml:space="preserve"> agonists/positive allosteric modulator</w:t>
            </w:r>
          </w:p>
        </w:tc>
      </w:tr>
      <w:tr w:rsidR="00043312" w:rsidRPr="00DE7555" w14:paraId="6E668F26" w14:textId="77777777" w:rsidTr="00DE7555">
        <w:tc>
          <w:tcPr>
            <w:tcW w:w="0" w:type="auto"/>
          </w:tcPr>
          <w:p w14:paraId="425DE389" w14:textId="77777777" w:rsidR="00043312" w:rsidRPr="00DE7555" w:rsidRDefault="00043312" w:rsidP="00724E70">
            <w:pPr>
              <w:rPr>
                <w:rFonts w:ascii="Times New Roman" w:hAnsi="Times New Roman" w:cs="Times New Roman"/>
                <w:lang w:val="en-GB"/>
              </w:rPr>
            </w:pPr>
            <w:bookmarkStart w:id="1" w:name="_Hlk7365851"/>
            <w:bookmarkStart w:id="2" w:name="_Hlk5627882"/>
            <w:r w:rsidRPr="00DE7555">
              <w:rPr>
                <w:rFonts w:ascii="Times New Roman" w:hAnsi="Times New Roman" w:cs="Times New Roman"/>
                <w:lang w:val="en-GB"/>
              </w:rPr>
              <w:t xml:space="preserve">2-arachidonyl glyceryl ether </w:t>
            </w:r>
          </w:p>
          <w:p w14:paraId="0E3A5F52" w14:textId="26EEC9A0"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aka </w:t>
            </w:r>
            <w:proofErr w:type="spellStart"/>
            <w:r w:rsidRPr="00DE7555">
              <w:rPr>
                <w:rFonts w:ascii="Times New Roman" w:hAnsi="Times New Roman" w:cs="Times New Roman"/>
                <w:lang w:val="en-GB"/>
              </w:rPr>
              <w:t>Noladin</w:t>
            </w:r>
            <w:proofErr w:type="spellEnd"/>
            <w:r w:rsidRPr="00DE7555">
              <w:rPr>
                <w:rFonts w:ascii="Times New Roman" w:hAnsi="Times New Roman" w:cs="Times New Roman"/>
                <w:lang w:val="en-GB"/>
              </w:rPr>
              <w:t xml:space="preserve"> ether</w:t>
            </w:r>
          </w:p>
        </w:tc>
        <w:tc>
          <w:tcPr>
            <w:tcW w:w="0" w:type="auto"/>
          </w:tcPr>
          <w:p w14:paraId="70678715" w14:textId="4BE1AF81"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21.2</w:t>
            </w:r>
          </w:p>
        </w:tc>
        <w:tc>
          <w:tcPr>
            <w:tcW w:w="0" w:type="auto"/>
          </w:tcPr>
          <w:p w14:paraId="4EB6169B" w14:textId="5651A842"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A8E1A64" w14:textId="39FDB076"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78973F3F" w14:textId="1DF9672C"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˃3,000</w:t>
            </w:r>
          </w:p>
        </w:tc>
        <w:tc>
          <w:tcPr>
            <w:tcW w:w="0" w:type="auto"/>
          </w:tcPr>
          <w:p w14:paraId="5D625AAE" w14:textId="551EF080"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13DBCB9" w14:textId="71F1841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87DD42E" w14:textId="1C179304"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t xml:space="preserve">GPR55 </w:t>
            </w:r>
          </w:p>
        </w:tc>
        <w:tc>
          <w:tcPr>
            <w:tcW w:w="0" w:type="auto"/>
          </w:tcPr>
          <w:p w14:paraId="6E41D3C8" w14:textId="0FA3719B"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Cannabinoids","type":"report","volume":"168"},"uris":["http://www.mendeley.com/documents/?uuid=8d8d4100-5521-3c8a-91fc-02214b8beb11"]},{"id":"ITEM-2","itemData":{"DOI":"10.1038/sj.bjp.0707460","ISSN":"0007-1188","PMID":"17876302","abstract":"BACKGROUND The endocannabinoid system functions through two well characterized receptor systems, the CB1 and CB2 receptors. Work by a number of groups in recent years has provided evidence that the system is more complicated and additional receptor types should exist to explain ligand activity in a number of physiological processes. EXPERIMENTAL APPROACH Cells transfected with the human cDNA for GPR55 were tested for their ability to bind and to mediate GTPgammaS binding by cannabinoid ligands. Using an antibody and peptide blocking approach, the nature of the G-protein coupling was determined and further demonstrated by measuring activity of downstream signalling pathways. KEY RESULTS We demonstrate that GPR55 binds to and is activated by the cannabinoid ligand CP55940. In addition endocannabinoids including anandamide and virodhamine activate GTPgammaS binding via GPR55 with nM potencies. Ligands such as cannabidiol and abnormal cannabidiol which exhibit no CB1 or CB2 activity and are believed to function at a novel cannabinoid receptor, also showed activity at GPR55. GPR55 couples to Galpha13 and can mediate activation of rhoA, cdc42 and rac1. CONCLUSIONS These data suggest that GPR55 is a novel cannabinoid receptor, and its ligand profile with respect to CB1 and CB2 described here will permit delineation of its physiological function(s).","author":[{"dropping-particle":"","family":"Ryberg","given":"E","non-dropping-particle":"","parse-names":false,"suffix":""},{"dropping-particle":"","family":"Larsson","given":"N","non-dropping-particle":"","parse-names":false,"suffix":""},{"dropping-particle":"","family":"Sjögren","given":"S","non-dropping-particle":"","parse-names":false,"suffix":""},{"dropping-particle":"","family":"Hjorth","given":"S","non-dropping-particle":"","parse-names":false,"suffix":""},{"dropping-particle":"","family":"Hermansson","given":"N-O","non-dropping-particle":"","parse-names":false,"suffix":""},{"dropping-particle":"","family":"Leonova","given":"J","non-dropping-particle":"","parse-names":false,"suffix":""},{"dropping-particle":"","family":"Elebring","given":"T","non-dropping-particle":"","parse-names":false,"suffix":""},{"dropping-particle":"","family":"Nilsson","given":"K","non-dropping-particle":"","parse-names":false,"suffix":""},{"dropping-particle":"","family":"Drmota","given":"T","non-dropping-particle":"","parse-names":false,"suffix":""},{"dropping-particle":"","family":"Greasley","given":"P J","non-dropping-particle":"","parse-names":false,"suffix":""}],"container-title":"British journal of pharmacology","id":"ITEM-2","issue":"7","issued":{"date-parts":[["2007","12"]]},"page":"1092-101","publisher":"Wiley-Blackwell","title":"The orphan receptor GPR55 is a novel cannabinoid receptor.","type":"article-journal","volume":"152"},"uris":["http://www.mendeley.com/documents/?uuid=7b15009a-ede0-312f-8c01-a39ff5d738cb"]}],"mendeley":{"formattedCitation":"Pertwee, 2005; Ryberg et al., 2007","plainTextFormattedCitation":"Pertwee, 2005; Ryberg et al., 2007","previouslyFormattedCitation":"(Pertwee, 2005; Ryberg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Pertwee, 2005; Ryberg et al., 2007</w:t>
            </w:r>
            <w:r w:rsidRPr="00DE7555">
              <w:rPr>
                <w:rFonts w:ascii="Times New Roman" w:hAnsi="Times New Roman" w:cs="Times New Roman"/>
                <w:lang w:val="en-GB"/>
              </w:rPr>
              <w:fldChar w:fldCharType="end"/>
            </w:r>
          </w:p>
        </w:tc>
      </w:tr>
      <w:tr w:rsidR="00043312" w:rsidRPr="00DE7555" w14:paraId="5EAED31C" w14:textId="77777777" w:rsidTr="00DE7555">
        <w:tc>
          <w:tcPr>
            <w:tcW w:w="0" w:type="auto"/>
          </w:tcPr>
          <w:p w14:paraId="56E9A670" w14:textId="0C43ACE9"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AM11542</w:t>
            </w:r>
          </w:p>
        </w:tc>
        <w:tc>
          <w:tcPr>
            <w:tcW w:w="0" w:type="auto"/>
          </w:tcPr>
          <w:p w14:paraId="5CA2FD00" w14:textId="7AAA6981"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0.1</w:t>
            </w:r>
          </w:p>
        </w:tc>
        <w:tc>
          <w:tcPr>
            <w:tcW w:w="0" w:type="auto"/>
          </w:tcPr>
          <w:p w14:paraId="73D0D724" w14:textId="3814177B"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DDA80BB" w14:textId="1C1249D8"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32895B21" w14:textId="2C061735"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A79C89E" w14:textId="407D78A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D12481E" w14:textId="5EA92520"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1655DE6" w14:textId="60A29CAE"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8D00077" w14:textId="138F12FD"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{"citationItems":[{"id":"ITEM-1","itemData":{"DOI":"10.1038/nature23272","ISSN":"0028-0836","PMID":"28678776","abstract":"The cannabinoid receptor 1 (CB1) is the principal target of the psychoactive constituent of marijuana, the partial agonist Δ9-tetrahydrocannabinol (Δ9-THC). Here we report two agonist-bound crystal structures of human CB1 in complex with a tetrahydrocannabinol (AM11542) and a hexahydrocannabinol (AM841) at 2.80 Å and 2.95 Å resolution, respectively. The two CB1-agonist complexes reveal important conformational changes in the overall structure, relative to the antagonist-bound state, including a 53% reduction in the volume of the ligand-binding pocket and an increase in the surface area of the G-protein-binding region. In addition, a 'twin toggle switch' of Phe2003.36 and Trp3566.48 (superscripts denote Ballesteros-Weinstein numbering) is experimentally observed and appears to be essential for receptor activation. The structures reveal important insights into the activation mechanism of CB1 and provide a molecular basis for predicting the binding modes of Δ9-THC, and endogenous and synthetic cannabinoids. The plasticity of the binding pocket of CB1 seems to be a common feature among certain class A G-protein-coupled receptors. These findings should inspire the design of chemically diverse ligands with distinct pharmacological properties.","author":[{"dropping-particle":"","family":"Hua","given":"Tian","non-dropping-particle":"","parse-names":false,"suffix":""},{"dropping-particle":"","family":"Vemuri","given":"Kiran","non-dropping-particle":"","parse-names":false,"suffix":""},{"dropping-particle":"","family":"Nikas","given":"Spyros P.","non-dropping-particle":"","parse-names":false,"suffix":""},{"dropping-particle":"","family":"Laprairie","given":"Robert B.","non-dropping-particle":"","parse-names":false,"suffix":""},{"dropping-particle":"","family":"Wu","given":"Yiran","non-dropping-particle":"","parse-names":false,"suffix":""},{"dropping-particle":"","family":"Qu","given":"Lu","non-dropping-particle":"","parse-names":false,"suffix":""},{"dropping-particle":"","family":"Pu","given":"Mengchen","non-dropping-particle":"","parse-names":false,"suffix":""},{"dropping-particle":"","family":"Korde","given":"Anisha","non-dropping-particle":"","parse-names":false,"suffix":""},{"dropping-particle":"","family":"Jiang","given":"Shan","non-dropping-particle":"","parse-names":false,"suffix":""},{"dropping-particle":"","family":"Ho","given":"Jo-Hao","non-dropping-particle":"","parse-names":false,"suffix":""},{"dropping-particle":"","family":"Han","given":"Gye Won","non-dropping-particle":"","parse-names":false,"suffix":""},{"dropping-particle":"","family":"Ding","given":"Kang","non-dropping-particle":"","parse-names":false,"suffix":""},{"dropping-particle":"","family":"Li","given":"Xuanxuan","non-dropping-particle":"","parse-names":false,"suffix":""},{"dropping-particle":"","family":"Liu","given":"Haiguang","non-dropping-particle":"","parse-names":false,"suffix":""},{"dropping-particle":"","family":"Hanson","given":"Michael A.","non-dropping-particle":"","parse-names":false,"suffix":""},{"dropping-particle":"","family":"Zhao","given":"Suwen","non-dropping-particle":"","parse-names":false,"suffix":""},{"dropping-particle":"","family":"Bohn","given":"Laura M.","non-dropping-particle":"","parse-names":false,"suffix":""},{"dropping-particle":"","family":"Makriyannis","given":"Alexandros","non-dropping-particle":"","parse-names":false,"suffix":""},{"dropping-particle":"","family":"Stevens","given":"Raymond C.","non-dropping-particle":"","parse-names":false,"suffix":""},{"dropping-particle":"","family":"Liu","given":"Zhi-Jie","non-dropping-particle":"","parse-names":false,"suffix":""}],"container-title":"Nature","id":"ITEM-1","issue":"7664","issued":{"date-parts":[["2017","7","5"]]},"page":"468-471","title":"Crystal structures of agonist-bound human cannabinoid receptor CB1","type":"article-journal","volume":"547"},"uris":["http://www.mendeley.com/documents/?uuid=3fdcb669-d5e0-3370-bbe2-ec64100eba72"]}],"mendeley":{"formattedCitation":"Hua et al., 2017","plainTextFormattedCitation":"Hua et al., 2017","previouslyFormattedCitation":"(Hua et al., 2017)"},"properties":{"noteIndex":0},"schema":"https://github.com/citation-style-language/schema/raw/master/csl-citation.json"}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Hua et al., 2017</w:t>
            </w:r>
            <w:r w:rsidRPr="00DE7555">
              <w:rPr>
                <w:rFonts w:ascii="Times New Roman" w:hAnsi="Times New Roman" w:cs="Times New Roman"/>
                <w:lang w:val="en-GB"/>
              </w:rPr>
              <w:fldChar w:fldCharType="end"/>
            </w:r>
          </w:p>
        </w:tc>
      </w:tr>
      <w:tr w:rsidR="00043312" w:rsidRPr="008178CC" w14:paraId="58FC5019" w14:textId="77777777" w:rsidTr="00DE7555">
        <w:tc>
          <w:tcPr>
            <w:tcW w:w="0" w:type="auto"/>
          </w:tcPr>
          <w:p w14:paraId="1F4AD612" w14:textId="69E76D13"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AM841</w:t>
            </w:r>
          </w:p>
        </w:tc>
        <w:tc>
          <w:tcPr>
            <w:tcW w:w="0" w:type="auto"/>
          </w:tcPr>
          <w:p w14:paraId="15033FAB" w14:textId="1B98B120"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1.26</w:t>
            </w:r>
          </w:p>
        </w:tc>
        <w:tc>
          <w:tcPr>
            <w:tcW w:w="0" w:type="auto"/>
          </w:tcPr>
          <w:p w14:paraId="38AE2F68" w14:textId="0128ACD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D5D69AC" w14:textId="6A5B4420"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53ABAA80" w14:textId="32419992"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BB8C11F" w14:textId="247D2ED9"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9D5AD2E" w14:textId="192863EB"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561C5B5" w14:textId="09A1F68A"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2EA7E4E" w14:textId="17055A43"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{"citationItems":[{"id":"ITEM-1","itemData":{"DOI":"10.1038/nature23272","ISSN":"0028-0836","PMID":"28678776","abstract":"The cannabinoid receptor 1 (CB1) is the principal target of the psychoactive constituent of marijuana, the partial agonist Δ9-tetrahydrocannabinol (Δ9-THC). Here we report two agonist-bound crystal structures of human CB1 in complex with a tetrahydrocannabinol (AM11542) and a hexahydrocannabinol (AM841) at 2.80 Å and 2.95 Å resolution, respectively. The two CB1-agonist complexes reveal important conformational changes in the overall structure, relative to the antagonist-bound state, including a 53% reduction in the volume of the ligand-binding pocket and an increase in the surface area of the G-protein-binding region. In addition, a 'twin toggle switch' of Phe2003.36 and Trp3566.48 (superscripts denote Ballesteros-Weinstein numbering) is experimentally observed and appears to be essential for receptor activation. The structures reveal important insights into the activation mechanism of CB1 and provide a molecular basis for predicting the binding modes of Δ9-THC, and endogenous and synthetic cannabinoids. The plasticity of the binding pocket of CB1 seems to be a common feature among certain class A G-protein-coupled receptors. These findings should inspire the design of chemically diverse ligands with distinct pharmacological properties.","author":[{"dropping-particle":"","family":"Hua","given":"Tian","non-dropping-particle":"","parse-names":false,"suffix":""},{"dropping-particle":"","family":"Vemuri","given":"Kiran","non-dropping-particle":"","parse-names":false,"suffix":""},{"dropping-particle":"","family":"Nikas","given":"Spyros P.","non-dropping-particle":"","parse-names":false,"suffix":""},{"dropping-particle":"","family":"Laprairie","given":"Robert B.","non-dropping-particle":"","parse-names":false,"suffix":""},{"dropping-particle":"","family":"Wu","given":"Yiran","non-dropping-particle":"","parse-names":false,"suffix":""},{"dropping-particle":"","family":"Qu","given":"Lu","non-dropping-particle":"","parse-names":false,"suffix":""},{"dropping-particle":"","family":"Pu","given":"Mengchen","non-dropping-particle":"","parse-names":false,"suffix":""},{"dropping-particle":"","family":"Korde","given":"Anisha","non-dropping-particle":"","parse-names":false,"suffix":""},{"dropping-particle":"","family":"Jiang","given":"Shan","non-dropping-particle":"","parse-names":false,"suffix":""},{"dropping-particle":"","family":"Ho","given":"Jo-Hao","non-dropping-particle":"","parse-names":false,"suffix":""},{"dropping-particle":"","family":"Han","given":"Gye Won","non-dropping-particle":"","parse-names":false,"suffix":""},{"dropping-particle":"","family":"Ding","given":"Kang","non-dropping-particle":"","parse-names":false,"suffix":""},{"dropping-particle":"","family":"Li","given":"Xuanxuan","non-dropping-particle":"","parse-names":false,"suffix":""},{"dropping-particle":"","family":"Liu","given":"Haiguang","non-dropping-particle":"","parse-names":false,"suffix":""},{"dropping-particle":"","family":"Hanson","given":"Michael A.","non-dropping-particle":"","parse-names":false,"suffix":""},{"dropping-particle":"","family":"Zhao","given":"Suwen","non-dropping-particle":"","parse-names":false,"suffix":""},{"dropping-particle":"","family":"Bohn","given":"Laura M.","non-dropping-particle":"","parse-names":false,"suffix":""},{"dropping-particle":"","family":"Makriyannis","given":"Alexandros","non-dropping-particle":"","parse-names":false,"suffix":""},{"dropping-particle":"","family":"Stevens","given":"Raymond C.","non-dropping-particle":"","parse-names":false,"suffix":""},{"dropping-particle":"","family":"Liu","given":"Zhi-Jie","non-dropping-particle":"","parse-names":false,"suffix":""}],"container-title":"Nature","id":"ITEM-1","issue":"7664","issued":{"date-parts":[["2017","7","5"]]},"page":"468-471","title":"Crystal structures of agonist-bound human cannabinoid receptor CB1","type":"article-journal","volume":"547"},"uris":["http://www.mendeley.com/documents/?uuid=3fdcb669-d5e0-3370-bbe2-ec64100eba72"]}],"mendeley":{"formattedCitation":"Hua et al., 2017","plainTextFormattedCitation":"Hua et al., 2017","previouslyFormattedCitation":"(Hua et al., 2017)"},"properties":{"noteIndex":0},"schema":"https://github.com/citation-style-language/schema/raw/master/csl-citation.json"}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Hua et al., 2017</w:t>
            </w:r>
            <w:r w:rsidRPr="00DE7555">
              <w:rPr>
                <w:rFonts w:ascii="Times New Roman" w:hAnsi="Times New Roman" w:cs="Times New Roman"/>
                <w:lang w:val="en-GB"/>
              </w:rPr>
              <w:fldChar w:fldCharType="end"/>
            </w:r>
          </w:p>
        </w:tc>
      </w:tr>
      <w:tr w:rsidR="00043312" w:rsidRPr="008178CC" w14:paraId="1068DF2F" w14:textId="77777777" w:rsidTr="00DE7555">
        <w:tc>
          <w:tcPr>
            <w:tcW w:w="0" w:type="auto"/>
          </w:tcPr>
          <w:p w14:paraId="17358357" w14:textId="7F89F1F0"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arachidonyl-2-chloroethylamide</w:t>
            </w:r>
          </w:p>
        </w:tc>
        <w:tc>
          <w:tcPr>
            <w:tcW w:w="0" w:type="auto"/>
          </w:tcPr>
          <w:p w14:paraId="7AFC4CCF" w14:textId="2C16B63D"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1.4; 5.29</w:t>
            </w:r>
          </w:p>
        </w:tc>
        <w:tc>
          <w:tcPr>
            <w:tcW w:w="0" w:type="auto"/>
          </w:tcPr>
          <w:p w14:paraId="3C1BA7D9" w14:textId="312AC804"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C02F30C" w14:textId="5606E10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6832C436" w14:textId="7591D73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195; ˃2,000</w:t>
            </w:r>
          </w:p>
        </w:tc>
        <w:tc>
          <w:tcPr>
            <w:tcW w:w="0" w:type="auto"/>
          </w:tcPr>
          <w:p w14:paraId="7E9E35F0" w14:textId="5F8C07C2"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6882EBA" w14:textId="5297A32A"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17556D6" w14:textId="33532C76"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D910B3D" w14:textId="021409A4"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Cannabinoids","type":"report","volume":"168"},"uris":["http://www.mendeley.com/documents/?uuid=8d8d4100-5521-3c8a-91fc-02214b8beb11"]},{"id":"ITEM-2","itemData":{"DOI":"10.1021/jm970257g","ISSN":"0022-2623","PMID":"9876105","abstract":"Several analogues of the endogenous cannabinoid receptor ligand arachidonylethanolamide (anandamide) were synthesized and evaluated in order to study (a) the structural requirements for high-affinity binding to the CB1 and CB2 cannabinoid receptors and (b) their hydrolytic stability toward anandamide amidase. The series reported here was aimed at exploring structure-activity relationships (SAR) primarily with regard to stereoelectronic requirements of ethanolamido headgroup for interaction with the cannabinoid receptor active site. Receptor affinities, reported as Ki values, were obtained by a standard receptor binding assay using [3H]CP-55,940 as the radioligand, while stability toward the amidase was evaluated by comparing the Ki of each analogue in the presence and absence of phenylmethanesulfonyl fluoride (PMSF), a serine protease blocker and inhibitor of anandamide amidase. Introduction of a methyl group in the 1'- and 2'-positions or substitution of the ethanolamido headgroup with a butylamido group gave analogues with vastly improved biochemical stability. This is accomplished in some cases with increased receptor affinity. Conversely, oxazolyl and methyloxazolyl headgroups led to low-affinity analogues. Substitution of the hydroxyl group with electronegative substituents such as fluoro, chloro, allyl, and propargyl groups significantly increased receptor affinity but did not influence the biochemical stability. The 2'-chloro analogue of anandamide was found to have the highest affinity for CB1. Additionally, reversing the positions of the carbonyl and NH in the amido group produces retro-anandamides possessing considerably higher metabolic stability. Replacement of the arachidonyl tail with oleyl or linoleyl results in analogues with low affinities for both receptors. All of the analogues in this study showed high selectivity for the CB1 receptor over the peripheral CB2 receptor. The most potent analogues were tested for their ability to stimulate the binding of [35S]GTPgammaS to G-proteins and were shown to be potent cannabimimetic agonists. The results are discussed in terms of pharmacophoric features affecting receptor affinity and enzymatic stability.","author":[{"dropping-particle":"","family":"Lin","given":"Sonyuan","non-dropping-particle":"","parse-names":false,"suffix":""},{"dropping-particle":"","family":"Khanolkar","given":"Atmaram D.","non-dropping-particle":"","parse-names":false,"suffix":""},{"dropping-particle":"","family":"Fan","given":"Pusheng","non-dropping-particle":"","parse-names":false,"suffix":""},{"dropping-particle":"","family":"Goutopoulos","given":"Andreas","non-dropping-particle":"","parse-names":false,"suffix":""},{"dropping-particle":"","family":"Qin","given":"Ce","non-dropping-particle":"","parse-names":false,"suffix":""},{"dropping-particle":"","family":"Papahadjis","given":"Demetris","non-dropping-particle":"","parse-names":false,"suffix":""},{"dropping-particle":"","family":"Makriyannis","given":"Alexandros","non-dropping-particle":"","parse-names":false,"suffix":""}],"container-title":"Journal of Medicinal Chemistry","id":"ITEM-2","issue":"27","issued":{"date-parts":[["1998","12","31"]]},"page":"5353-5361","title":"Novel Analogues of Arachidonylethanolamide (Anandamide):  Affinities for the CB1 and CB2 Cannabinoid Receptors and Metabolic Stability","type":"article-journal","volume":"41"},"uris":["http://www.mendeley.com/documents/?uuid=9a5f815b-a0f6-3c4f-b941-5a49dc8f1f8d"]},{"id":"ITEM-3","itemData":{"ISSN":"0022-3565","PMID":"10336536","abstract":"Two subtypes of the cannabinoid receptor (CB1 and CB2) are expressed in mammalian tissues. Although selective antagonists are available for each of the subtypes, most of the available cannabinoid agonists bind to both CB1 and CB2 with similar affinities. We have synthesized two analogs of N-arachidonylethanolamine (AEA), arachidonylcyclopropylamide (ACPA) and arachidonyl-2-chloroethylamide (ACEA), that bind to the CB1 receptor with very high affinity (KI values of 2.2 +/- 0.4 nM and 1.4 +/- 0.3 nM, respectively) and to the CB2 receptor with low affinity (KI values of 0.7 +/- 0.01 microM and 3.1 +/- 1.0 microM, respectively). Both ACPA and ACEA have the characteristics of agonists at the CB1 receptor; both inhibit forskolin-induced accumulation of cAMP in Chinese hamster ovary cells expressing the human CB1 receptor, and both analogs increase the binding of [35S]GTPgammaS to cerebellar membranes and inhibit electrically evoked contractions of the mouse vas deferens. ACPA and ACEA produce hypothermia in mice, and this effect is inhibited by coadministration of the CB1 receptor antagonist SR141716A. Therefore, ACPA and ACEA are high-affinity agonists of the CB1 receptor but do not bind the CB2 receptor, suggesting that structural analogs of AEA can be designed with considerable selectivity for the CB1 receptor over the CB2 receptor.","author":[{"dropping-particle":"","family":"Hillard","given":"C J","non-dropping-particle":"","parse-names":false,"suffix":""},{"dropping-particle":"","family":"Manna","given":"S","non-dropping-particle":"","parse-names":false,"suffix":""},{"dropping-particle":"","family":"Greenberg","given":"M J","non-dropping-particle":"","parse-names":false,"suffix":""},{"dropping-particle":"","family":"DiCamelli","given":"R","non-dropping-particle":"","parse-names":false,"suffix":""},{"dropping-particle":"","family":"Ross","given":"R A","non-dropping-particle":"","parse-names":false,"suffix":""},{"dropping-particle":"","family":"Stevenson","given":"L A","non-dropping-particle":"","parse-names":false,"suffix":""},{"dropping-particle":"","family":"Murphy","given":"V","non-dropping-particle":"","parse-names":false,"suffix":""},{"dropping-particle":"","family":"Pertwee","given":"R G","non-dropping-particle":"","parse-names":false,"suffix":""},{"dropping-particle":"","family":"Campbell","given":"W B","non-dropping-particle":"","parse-names":false,"suffix":""}],"container-title":"The Journal of pharmacology and experimental therapeutics","id":"ITEM-3","issue":"3","issued":{"date-parts":[["1999","6"]]},"page":"1427-33","title":"Synthesis and characterization of potent and selective agonists of the neuronal cannabinoid receptor (CB1).","type":"article-journal","volume":"289"},"uris":["http://www.mendeley.com/documents/?uuid=d98b3e30-3ffe-30e4-a591-a9b00b26844c"]}],"mendeley":{"formattedCitation":"Hillard et al., 1999; Lin et al., 1998; Pertwee, 2005","plainTextFormattedCitation":"Hillard et al., 1999; Lin et al., 1998; Pertwee, 2005","previouslyFormattedCitation":"(Hillard et al., 1999; Lin et al., 1998; Pertwee, 2005)"},"properties":{"noteIndex":0},"schema":"https://github.com/citation-style-language/schema/raw/master/csl-citation.json"}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Hillard et al., 1999; Lin et al., 1998; Pertwee, 2005</w:t>
            </w:r>
            <w:r w:rsidRPr="00DE7555">
              <w:rPr>
                <w:rFonts w:ascii="Times New Roman" w:hAnsi="Times New Roman" w:cs="Times New Roman"/>
                <w:lang w:val="en-GB"/>
              </w:rPr>
              <w:fldChar w:fldCharType="end"/>
            </w:r>
          </w:p>
        </w:tc>
      </w:tr>
      <w:tr w:rsidR="00043312" w:rsidRPr="008178CC" w14:paraId="74593A53" w14:textId="77777777" w:rsidTr="00DE7555">
        <w:tc>
          <w:tcPr>
            <w:tcW w:w="0" w:type="auto"/>
          </w:tcPr>
          <w:p w14:paraId="43005EC2" w14:textId="23E5825D" w:rsidR="00043312" w:rsidRPr="00DE7555" w:rsidRDefault="00043312" w:rsidP="00724E70">
            <w:pPr>
              <w:rPr>
                <w:rFonts w:ascii="Times New Roman" w:hAnsi="Times New Roman" w:cs="Times New Roman"/>
                <w:lang w:val="en-GB"/>
              </w:rPr>
            </w:pPr>
            <w:r w:rsidRPr="008178CC">
              <w:rPr>
                <w:rFonts w:ascii="Times New Roman" w:hAnsi="Times New Roman" w:cs="Times New Roman"/>
                <w:lang w:val="en-GB"/>
              </w:rPr>
              <w:t>arachidonylcyclopropylamide</w:t>
            </w:r>
          </w:p>
        </w:tc>
        <w:tc>
          <w:tcPr>
            <w:tcW w:w="0" w:type="auto"/>
          </w:tcPr>
          <w:p w14:paraId="004014F1" w14:textId="426150A5" w:rsidR="00043312" w:rsidRPr="00DE7555" w:rsidRDefault="00E5612A" w:rsidP="00E5612A">
            <w:pPr>
              <w:jc w:val="center"/>
              <w:rPr>
                <w:rFonts w:ascii="Times New Roman" w:hAnsi="Times New Roman" w:cs="Times New Roman"/>
                <w:lang w:val="en-GB"/>
              </w:rPr>
            </w:pPr>
            <w:r w:rsidRPr="008178CC">
              <w:rPr>
                <w:rFonts w:ascii="Times New Roman" w:hAnsi="Times New Roman" w:cs="Times New Roman"/>
                <w:lang w:val="en-GB"/>
              </w:rPr>
              <w:t>2.2±</w:t>
            </w:r>
            <w:r w:rsidR="00043312" w:rsidRPr="008178CC">
              <w:rPr>
                <w:rFonts w:ascii="Times New Roman" w:hAnsi="Times New Roman" w:cs="Times New Roman"/>
                <w:lang w:val="en-GB"/>
              </w:rPr>
              <w:t>0.4</w:t>
            </w:r>
          </w:p>
        </w:tc>
        <w:tc>
          <w:tcPr>
            <w:tcW w:w="0" w:type="auto"/>
          </w:tcPr>
          <w:p w14:paraId="35701A92" w14:textId="72EEF708" w:rsidR="00043312" w:rsidRPr="00DE7555" w:rsidRDefault="00043312" w:rsidP="00E5612A">
            <w:pPr>
              <w:jc w:val="center"/>
              <w:rPr>
                <w:rFonts w:ascii="Times New Roman" w:hAnsi="Times New Roman" w:cs="Times New Roman"/>
                <w:lang w:val="en-GB"/>
              </w:rPr>
            </w:pPr>
            <w:r w:rsidRPr="008178CC">
              <w:rPr>
                <w:rFonts w:ascii="Times New Roman" w:hAnsi="Times New Roman" w:cs="Times New Roman"/>
                <w:lang w:val="en-GB"/>
              </w:rPr>
              <w:t>nd</w:t>
            </w:r>
          </w:p>
        </w:tc>
        <w:tc>
          <w:tcPr>
            <w:tcW w:w="0" w:type="auto"/>
          </w:tcPr>
          <w:p w14:paraId="28B835A6" w14:textId="7BD5305D" w:rsidR="00043312" w:rsidRPr="00DE7555" w:rsidRDefault="00043312" w:rsidP="00E5612A">
            <w:pPr>
              <w:jc w:val="center"/>
              <w:rPr>
                <w:rFonts w:ascii="Times New Roman" w:hAnsi="Times New Roman" w:cs="Times New Roman"/>
                <w:lang w:val="en-GB"/>
              </w:rPr>
            </w:pPr>
            <w:r w:rsidRPr="008178CC">
              <w:rPr>
                <w:rFonts w:ascii="Times New Roman" w:hAnsi="Times New Roman" w:cs="Times New Roman"/>
                <w:lang w:val="en-GB"/>
              </w:rPr>
              <w:t>agonist</w:t>
            </w:r>
          </w:p>
        </w:tc>
        <w:tc>
          <w:tcPr>
            <w:tcW w:w="0" w:type="auto"/>
          </w:tcPr>
          <w:p w14:paraId="3DEEE4AA" w14:textId="2B98CE0C" w:rsidR="00043312" w:rsidRPr="00DE7555" w:rsidRDefault="00E5612A" w:rsidP="00E5612A">
            <w:pPr>
              <w:jc w:val="center"/>
              <w:rPr>
                <w:rFonts w:ascii="Times New Roman" w:hAnsi="Times New Roman" w:cs="Times New Roman"/>
                <w:lang w:val="en-GB"/>
              </w:rPr>
            </w:pPr>
            <w:r w:rsidRPr="008178CC">
              <w:rPr>
                <w:rFonts w:ascii="Times New Roman" w:hAnsi="Times New Roman" w:cs="Times New Roman"/>
                <w:lang w:val="en-GB"/>
              </w:rPr>
              <w:t>700±</w:t>
            </w:r>
            <w:r w:rsidR="00043312" w:rsidRPr="008178CC">
              <w:rPr>
                <w:rFonts w:ascii="Times New Roman" w:hAnsi="Times New Roman" w:cs="Times New Roman"/>
                <w:lang w:val="en-GB"/>
              </w:rPr>
              <w:t>10</w:t>
            </w:r>
          </w:p>
        </w:tc>
        <w:tc>
          <w:tcPr>
            <w:tcW w:w="0" w:type="auto"/>
          </w:tcPr>
          <w:p w14:paraId="10C732EA" w14:textId="61CB40A1" w:rsidR="00043312" w:rsidRPr="00DE7555" w:rsidRDefault="00043312" w:rsidP="00E5612A">
            <w:pPr>
              <w:jc w:val="center"/>
              <w:rPr>
                <w:rFonts w:ascii="Times New Roman" w:hAnsi="Times New Roman" w:cs="Times New Roman"/>
                <w:lang w:val="en-GB"/>
              </w:rPr>
            </w:pPr>
            <w:r w:rsidRPr="008178CC">
              <w:rPr>
                <w:rFonts w:ascii="Times New Roman" w:hAnsi="Times New Roman" w:cs="Times New Roman"/>
                <w:lang w:val="en-GB"/>
              </w:rPr>
              <w:t>nd</w:t>
            </w:r>
          </w:p>
        </w:tc>
        <w:tc>
          <w:tcPr>
            <w:tcW w:w="0" w:type="auto"/>
          </w:tcPr>
          <w:p w14:paraId="44F8F6BA" w14:textId="0F64AD0E" w:rsidR="00043312" w:rsidRPr="00DE7555" w:rsidRDefault="00043312" w:rsidP="00E5612A">
            <w:pPr>
              <w:jc w:val="center"/>
              <w:rPr>
                <w:rFonts w:ascii="Times New Roman" w:hAnsi="Times New Roman" w:cs="Times New Roman"/>
                <w:lang w:val="en-GB"/>
              </w:rPr>
            </w:pPr>
            <w:r w:rsidRPr="008178CC">
              <w:rPr>
                <w:rFonts w:ascii="Times New Roman" w:hAnsi="Times New Roman" w:cs="Times New Roman"/>
                <w:lang w:val="en-GB"/>
              </w:rPr>
              <w:t>nd</w:t>
            </w:r>
          </w:p>
        </w:tc>
        <w:tc>
          <w:tcPr>
            <w:tcW w:w="0" w:type="auto"/>
          </w:tcPr>
          <w:p w14:paraId="1E1E0E7F" w14:textId="216C5602" w:rsidR="00043312" w:rsidRPr="00DE7555" w:rsidRDefault="00043312" w:rsidP="00E5612A">
            <w:pPr>
              <w:rPr>
                <w:rFonts w:ascii="Times New Roman" w:hAnsi="Times New Roman" w:cs="Times New Roman"/>
                <w:lang w:val="en-GB"/>
              </w:rPr>
            </w:pPr>
            <w:r w:rsidRPr="008178CC">
              <w:rPr>
                <w:rFonts w:ascii="Times New Roman" w:hAnsi="Times New Roman" w:cs="Times New Roman"/>
                <w:lang w:val="en-GB"/>
              </w:rPr>
              <w:t>GPR18</w:t>
            </w:r>
          </w:p>
        </w:tc>
        <w:tc>
          <w:tcPr>
            <w:tcW w:w="0" w:type="auto"/>
          </w:tcPr>
          <w:p w14:paraId="021ED836" w14:textId="43C7DB1E"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8178CC">
              <w:rPr>
                <w:rFonts w:ascii="Times New Roman" w:hAnsi="Times New Roman" w:cs="Times New Roman"/>
                <w:lang w:val="en-GB"/>
              </w:rPr>
              <w:instrText>ADDIN CSL_CITATION {"citationItems":[{"id":"ITEM-1","itemData":{"ISSN":"0022-3565","PMID":"10336536","abstract":"Two subtypes of the cannabinoid receptor (CB1 and CB2) are expressed in mammalian tissues. Although selective antagonists are available for each of the subtypes, most of the available cannabinoid agonists bind to both CB1 and CB2 with similar affinities. We have synthesized two analogs of N-arachidonylethanolamine (AEA), arachidonylcyclopropylamide (ACPA) and arachidonyl-2-chloroethylamide (ACEA), that bind to the CB1 receptor with very high affinity (KI values of 2.2 +/- 0.4 nM and 1.4 +/- 0.3 nM, respectively) and to the CB2 receptor with low affinity (KI values of 0.7 +/- 0.01 microM and 3.1 +/- 1.0 microM, respectively). Both ACPA and ACEA have the characteristics of agonists at the CB1 receptor; both inhibit forskolin-induced accumulation of cAMP in Chinese hamster ovary cells expressing the human CB1 receptor, and both analogs increase the binding of [35S]GTPgammaS to cerebellar membranes and inhibit electrically evoked contractions of the mouse vas deferens. ACPA and ACEA produce hypothermia in mice, and this effect is inhibited by coadministration of the CB1 receptor antagonist SR141716A. Therefore, ACPA and ACEA are high-affinity agonists of the CB1 receptor but do not bind the CB2 receptor, suggesting that structural analogs of AEA ca</w:instrText>
            </w:r>
            <w:r w:rsidRPr="00DE7555">
              <w:rPr>
                <w:rFonts w:ascii="Times New Roman" w:hAnsi="Times New Roman" w:cs="Times New Roman"/>
                <w:lang w:val="fr-FR"/>
              </w:rPr>
              <w:instrText>n be designed with conside</w:instrText>
            </w:r>
            <w:r w:rsidRPr="00DE7555">
              <w:rPr>
                <w:rFonts w:ascii="Times New Roman" w:hAnsi="Times New Roman" w:cs="Times New Roman"/>
                <w:lang w:val="en-GB"/>
              </w:rPr>
              <w:instrText>rable selectivity for the CB1 receptor over the CB2 receptor.","author":[{"dropping-particle":"","family":"Hillard","given":"C J","non-dropping-particle":"","parse-names":false,"suffix":""},{"dropping-particle":"","family":"Manna","given":"S","non-dropping-particle":"","parse-names":false,"suffix":""},{"dropping-particle":"","family":"Greenberg","given":"M J","non-dropping-particle":"","parse-names":false,"suffix":""},{"dropping-particle":"","family":"DiCamelli","given":"R","non-dropping-particle":"","parse-names":false,"suffix":""},{"dropping-particle":"","family":"Ross","given":"R A","non-dropping-particle":"","parse-names":false,"suffix":""},{"dropping-particle":"","family":"Stevenson","given":"L A","non-dropping-particle":"","parse-names":false,"suffix":""},{"dropping-particle":"","family":"Murphy","given":"V","non-dropping-particle":"","parse-names":false,"suffix":""},{"dropping-particle":"","family":"Pertwee","given":"R G","non-dropping-particle":"","parse-names":false,"suffix":""},{"dropping-particle":"","family":"Campbell","given":"W B","non-dropping-particle":"","parse-names":false,"suffix":""}],"container-title":"The Journal of pharmacology and experimental therapeutics","id":"ITEM-1","issue":"3","issued":{"date-parts":[["1999","6"]]},"page":"1427-33","title":"Synthesis and characterization of potent and selective agonists of the neuronal cannabinoid receptor (CB1).","type":"article-journal","volume":"289"},"uris":["http://www.mendeley.com/documents/?uuid=d98b3e30-3ffe-30e4-a591-a9b00b26844c"]},{"id":"ITEM-2","itemData":{"DOI":"10.1111/j.1476-5381.2011.01497.x","ISSN":"00071188","PMID":"21595653","abstract":"BACKGROUND AND PURPOSE Endometriosis is a disorder in which the endometrium forms growths outside the uterus and is associated with chronic pain. Recent evidence suggests that endometrial motility plays a role in the aetiology of endometriosis. The endocannabinoid system regulates cellular migration. Given the growing involvement of the endocannabinoids in reproduction, we investigated the role of the endocannabinoid system in migration of endometrial cells. EXPERIMENTAL APPROACH Migration of the human endometrial HEC-1B cells was assayed. Standard PCR techniques were used to determine the presence of the GPCR, GPR18, in HEC-1B cells, and p44/42 MAPK was assayed in stably transfected HEK293-GPR18 cells to determine receptor specificity for known cannabinoid agonists and antagonists. N-arachidonoyl ethanolamine (AEA) metabolism was measured, using HPLC/MS/MS for lipid analysis. KEY RESULTS AEA, Δ(9) -tetrahydrocannabinol (Δ(9) -THC) and N-arachidonoyl glycine (NAGly) induce migration of HEC-1B cells through cannabinoid CB(1) receptor-independent mechanisms. MAPK activation in HEK293-GPR18 cells revealed novel pharmacology for known CB(1) and CB(2) receptor ligands at GPR18 receptors, including Δ(9) -THC, which activates MAPK at nanomolar concentrations, whereas WIN 55212-2, CP55940, JWH-133 and JWH-015, and arachidonyl-1-hydroxy-2-propylamide (R1-methanandamide) had no effect. Moreover, HEC-1B migration and MAPK activation by NAGly and Δ(9) -THC were antagonized by Pertussis toxin, AM251 and cannabidiol. CONCLUSIONS AND IMPLICATIONS An understanding of the function and regulation of GPR18 and its molecular interactions with endogenous ligands, and how phytocannabinoids play a role with GPR18 signalling is vital if we are to comprehensively assess the function of the cannabinoid signalling system in human health and disease. LINKED ARTICLES This article is commented on by Alexander, pp. 2411-2413 of this issue and is part of a themed section on Cannabinoids in Biology and Medicine. To view Alexander visit http://dx.doi.org/10.1111/j.1476-5381.2011.01731.x. To view the other articles in this section visit http://dx.doi.org/10.1111/bph.2012.165.issue-8. To view Part I of Cannabinoids in Biology and Medicine visit http://dx.doi.org/10.1111/bph.2011.163.issue-7.","author":[{"dropping-particle":"","family":"McHugh","given":"Douglas","non-dropping-particle":"","parse-names":false,"suffix":""},{"dropping-particle":"","family":"Page","given":"Jeremy","non-dropping-particle":"","parse-names":false,"suffix":""},{"dropping-particle":"","family":"Dunn","given":"Emily","non-dropping-particle":"","parse-names":false,"suffix":""},{"dropping-particle":"","family":"Bradshaw","given":"Heather B","non-dropping-particle":"","parse-names":false,"suffix":""}],"container-title":"British Journal of Pharmacology","id":"ITEM-2","issue":"8","issued":{"date-parts":[["2012","4"]]},"page":"2414-2424","title":"Δ9-Tetrahydrocannabinol and N-arachidonyl glycine are full agonists at GPR18 receptors and induce migration in human endometrial HEC-1B cells","type":"article-journal","volume":"165"},"uris":["http://www.mendeley.com/documents/?uuid=ddf629f7-67f0-3916-bd9b-2dcbb46c1ff2"]}],"mendeley":{"formattedCitation":"Hillard et al., 1999; McHugh et al., 2012a","manualFormatting":"Hillard et al., 1999; McHugh et al., 2012","plainTextFormattedCitation":"Hillard et al., 1999; McHugh et al., 2012a","previouslyFormattedCitation":"(Hillard et al., 1999; McHugh et al., 2012a)"},"properties":{"noteIndex":0},"schema":"https://github.com/citation-style-language/schema/raw/master/csl-citation.json"}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Hillard et al., 1999; McHugh et al., 2012</w:t>
            </w:r>
            <w:r w:rsidRPr="00DE7555">
              <w:rPr>
                <w:rFonts w:ascii="Times New Roman" w:hAnsi="Times New Roman" w:cs="Times New Roman"/>
                <w:lang w:val="en-GB"/>
              </w:rPr>
              <w:fldChar w:fldCharType="end"/>
            </w:r>
          </w:p>
        </w:tc>
      </w:tr>
      <w:tr w:rsidR="00043312" w:rsidRPr="00DE7555" w14:paraId="4B1A80C0" w14:textId="77777777" w:rsidTr="00DE7555">
        <w:tc>
          <w:tcPr>
            <w:tcW w:w="0" w:type="auto"/>
          </w:tcPr>
          <w:p w14:paraId="77D077A3" w14:textId="2E6AA076"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JD5037</w:t>
            </w:r>
          </w:p>
        </w:tc>
        <w:tc>
          <w:tcPr>
            <w:tcW w:w="0" w:type="auto"/>
          </w:tcPr>
          <w:p w14:paraId="138AA74C" w14:textId="18B3B518"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0.35</w:t>
            </w:r>
          </w:p>
        </w:tc>
        <w:tc>
          <w:tcPr>
            <w:tcW w:w="0" w:type="auto"/>
          </w:tcPr>
          <w:p w14:paraId="4940C47C" w14:textId="3B6C4A6F"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1.5</w:t>
            </w:r>
          </w:p>
        </w:tc>
        <w:tc>
          <w:tcPr>
            <w:tcW w:w="0" w:type="auto"/>
          </w:tcPr>
          <w:p w14:paraId="251B8B78" w14:textId="77777777"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inverse agonist</w:t>
            </w:r>
          </w:p>
          <w:p w14:paraId="54BE9386" w14:textId="2CC23111"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(peripherally-restricted)</w:t>
            </w:r>
          </w:p>
        </w:tc>
        <w:tc>
          <w:tcPr>
            <w:tcW w:w="0" w:type="auto"/>
          </w:tcPr>
          <w:p w14:paraId="2E2E6AA6" w14:textId="4ABC8EA2"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5BE3C85" w14:textId="4FC6D02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E248878" w14:textId="52D02E2E"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A942861" w14:textId="6BCED5A8"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0DDE156" w14:textId="62B92E9D"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{"citationItems":[{"id":"ITEM-1","itemData":{"DOI":"10.1016/J.CMET.2012.07.002","ISSN":"1550-4131","abstract":"Obesity-related leptin resistance manifests in loss of leptin’s ability to reduce appetite and increase energy expenditure. Obesity is also associated with increased activity of the endocannabinoid system, and CB1 receptor (CB1R) inverse agonists reduce body weight and the associated metabolic complications, although adverse neuropsychiatric effects halted their therapeutic development. Here we show that in mice with diet-induced obesity (DIO), the peripherally restricted CB1R inverse agonist JD5037 is equieffective with its brain-penetrant parent compound in reducing appetite, body weight, hepatic steatosis, and insulin resistance, even though it does not occupy central CB1R or induce related behaviors. Appetite and weight reduction by JD5037 are mediated by resensitizing DIO mice to endogenous leptin through reversing the hyperleptinemia by decreasing leptin expression and secretion by adipocytes and increasing leptin clearance via the kidney. Thus, inverse agonism at peripheral CB1R not only improves cardiometabolic risk in obesity but has antiobesity effects by reversing leptin resistance.","author":[{"dropping-particle":"","family":"Tam","given":"Joseph","non-dropping-particle":"","parse-names":false,"suffix":""},{"dropping-particle":"","family":"Cinar","given":"Resat","non-dropping-particle":"","parse-names":false,"suffix":""},{"dropping-particle":"","family":"Liu","given":"Jie","non-dropping-particle":"","parse-names":false,"suffix":""},{"dropping-particle":"","family":"Godlewski","given":"Grzegorz","non-dropping-particle":"","parse-names":false,"suffix":""},{"dropping-particle":"","family":"Wesley","given":"Daniel","non-dropping-particle":"","parse-names":false,"suffix":""},{"dropping-particle":"","family":"Jourdan","given":"Tony","non-dropping-particle":"","parse-names":false,"suffix":""},{"dropping-particle":"","family":"Szanda","given":"Gergő","non-dropping-particle":"","parse-names":false,"suffix":""},{"dropping-particle":"","family":"Mukhopadhyay","given":"Bani","non-dropping-particle":"","parse-names":false,"suffix":""},{"dropping-particle":"","family":"Chedester","given":"Lee","non-dropping-particle":"","parse-names":false,"suffix":""},{"dropping-particle":"","family":"Liow","given":"Jeih-San","non-dropping-particle":"","parse-names":false,"suffix":""},{"dropping-particle":"","family":"Innis","given":"Robert B.","non-dropping-particle":"","parse-names":false,"suffix":""},{"dropping-particle":"","family":"Cheng","given":"Kejun","non-dropping-particle":"","parse-names":false,"suffix":""},{"dropping-particle":"","family":"Rice","given":"Kenner C.","non-dropping-particle":"","parse-names":false,"suffix":""},{"dropping-particle":"","family":"Deschamps","given":"Jeffrey R.","non-dropping-particle":"","parse-names":false,"suffix":""},{"dropping-particle":"","family":"Chorvat","given":"Robert J.","non-dropping-particle":"","parse-names":false,"suffix":""},{"dropping-particle":"","family":"McElroy","given":"John F.","non-dropping-particle":"","parse-names":false,"suffix":""},{"dropping-particle":"","family":"Kunos","given":"George","non-dropping-particle":"","parse-names":false,"suffix":""}],"container-title":"Cell Metabolism","id":"ITEM-1","issue":"2","issued":{"date-parts":[["2012","8","8"]]},"page":"167-179","publisher":"Cell Press","title":"Peripheral Cannabinoid-1 Receptor Inverse Agonism Reduces Obesity by Reversing Leptin Resistance","type":"article-journal","volume":"16"},"uris":["http://www.mendeley.com/documents/?uuid=2c046d6a-4f8a-31b2-8567-05967ba3e975"]}],"mendeley":{"formattedCitation":"Tam et al., 2012","plainTextFormattedCitation":"Tam et al., 2012","previouslyFormattedCitation":"(Tam et al., 2012)"},"properties":{"noteIndex":0},"schema":"https://github.com/citation-style-language/schema/raw/master/csl-citation.json"}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Tam et al., 2012</w:t>
            </w:r>
            <w:r w:rsidRPr="00DE7555">
              <w:rPr>
                <w:rFonts w:ascii="Times New Roman" w:hAnsi="Times New Roman" w:cs="Times New Roman"/>
                <w:lang w:val="en-GB"/>
              </w:rPr>
              <w:fldChar w:fldCharType="end"/>
            </w:r>
          </w:p>
        </w:tc>
      </w:tr>
      <w:tr w:rsidR="00043312" w:rsidRPr="008178CC" w14:paraId="6D899C02" w14:textId="77777777" w:rsidTr="00DE7555">
        <w:tc>
          <w:tcPr>
            <w:tcW w:w="0" w:type="auto"/>
          </w:tcPr>
          <w:p w14:paraId="17DE803C" w14:textId="6C564625"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fr-FR"/>
              </w:rPr>
              <w:t>LDK1229</w:t>
            </w:r>
          </w:p>
        </w:tc>
        <w:tc>
          <w:tcPr>
            <w:tcW w:w="0" w:type="auto"/>
          </w:tcPr>
          <w:p w14:paraId="4DEA2ECD" w14:textId="4137273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fr-FR"/>
              </w:rPr>
              <w:t>220</w:t>
            </w:r>
          </w:p>
        </w:tc>
        <w:tc>
          <w:tcPr>
            <w:tcW w:w="0" w:type="auto"/>
          </w:tcPr>
          <w:p w14:paraId="2C12405F" w14:textId="5E77CBF9" w:rsidR="00043312" w:rsidRPr="00DE7555" w:rsidRDefault="00043312" w:rsidP="00E5612A">
            <w:pPr>
              <w:jc w:val="center"/>
              <w:rPr>
                <w:rFonts w:ascii="Times New Roman" w:hAnsi="Times New Roman" w:cs="Times New Roman"/>
                <w:lang w:val="en-GB"/>
              </w:rPr>
            </w:pPr>
          </w:p>
        </w:tc>
        <w:tc>
          <w:tcPr>
            <w:tcW w:w="0" w:type="auto"/>
          </w:tcPr>
          <w:p w14:paraId="533C4471" w14:textId="05436331"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fr-FR"/>
              </w:rPr>
              <w:t xml:space="preserve">inverse </w:t>
            </w:r>
            <w:proofErr w:type="spellStart"/>
            <w:r w:rsidRPr="00DE7555">
              <w:rPr>
                <w:rFonts w:ascii="Times New Roman" w:hAnsi="Times New Roman" w:cs="Times New Roman"/>
                <w:lang w:val="fr-FR"/>
              </w:rPr>
              <w:t>agonist</w:t>
            </w:r>
            <w:proofErr w:type="spellEnd"/>
          </w:p>
        </w:tc>
        <w:tc>
          <w:tcPr>
            <w:tcW w:w="0" w:type="auto"/>
          </w:tcPr>
          <w:p w14:paraId="4A1A8B47" w14:textId="2B4EA07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75DEFAB" w14:textId="6D531681"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69C05AE5" w14:textId="59CF9CE2"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136BF310" w14:textId="1C049DBF"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2F58678F" w14:textId="27FE86C6"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fr-FR"/>
              </w:rPr>
              <w:instrText>ADDIN CSL_CITATION {"citationItems":[{"id":"ITEM-1","itemData":{"DOI":"10.1124/mol.114.095471","ISSN":"1521-0111","PMID":"25411367","abstract":"Some inverse agonists of cannabinoid receptor type 1 (CB1) have been demonstrated to be anorectic antiobesity drug candidates. However, the first generation of CB1 inverse agonists, represented by rimonabant (SR141716A), otenabant, and taranabant, are centrally active, with a high level of psychiatric side effects. Hence, the discovery of CB1 inverse agonists with a chemical scaffold distinct from these holds promise for developing peripherally active CB1 inverse agonists with fewer side effects. We generated a new CB1 inverse agonist, (4-(bis(4-fluorophenyl)methyl)piperazin-1-yl)(cyclohexyl)methanone hydrochloride (LDK1229), from the class of benzhydryl piperazine analogs. This compound binds to CB1 more selectively than cannabinoid receptor type 2, with a Ki value of 220 nM. Comparable CB1 binding was also observed by analogs 1-[bis(4-fluorophenyl)methyl]-4-cinnamylpiperazine dihydrochloride (LDK1203) and 1-[bis(4-fluorophenyl)methyl]-4-tosylpiperazine hydrochloride (LDK1222), which differed by the substitution on the piperazine ring where the piperazine of LDK1203 and LDK1222 are substituted by an alkyl group and a tosyl group, respectively. LDK1229 exhibits efficacy comparable with SR141716A in antagonizing the basal G protein couplin</w:instrText>
            </w:r>
            <w:r w:rsidRPr="00DE7555">
              <w:rPr>
                <w:rFonts w:ascii="Times New Roman" w:hAnsi="Times New Roman" w:cs="Times New Roman"/>
                <w:lang w:val="en-GB"/>
              </w:rPr>
              <w:instrText>g activity of CB1, as indicated by a reduction in guanosine 5'-O-(3-thio)triphosphate binding. Consistent with inverse agonist behavior, increased cell surface localization of CB1 upon treatment with LDK1229 was also observed. Although docking and mutational analysis showed that LDK1229 forms similar interactions with the receptor as SR141716A does, the benzhydryl piperazine scaffold is structurally distinct from the first-generation CB1 inverse agonists. It offers new opportunities for developing novel CB1 inverse agonists through the optimization of molecular properties, such as the polar surface area and hydrophilicity, to reduce the central activity observed with SR141716A.","author":[{"dropping-particle":"","family":"Mahmoud","given":"Mariam M","non-dropping-particle":"","parse-names":false,"suffix":""},{"dropping-particle":"","family":"Olszewska","given":"Teresa","non-dropping-particle":"","parse-names":false,"suffix":""},{"dropping-particle":"","family":"Liu","given":"Hui","non-dropping-particle":"","parse-names":false,"suffix":""},{"dropping-particle":"","family":"Shore","given":"Derek M","non-dropping-particle":"","parse-names":false,"suffix":""},{"dropping-particle":"","family":"Hurst","given":"Dow P","non-dropping-particle":"","parse-names":false,"suffix":""},{"dropping-particle":"","family":"Reggio","given":"Patricia H","non-dropping-particle":"","parse-names":false,"suffix":""},{"dropping-particle":"","family":"Lu","given":"Dai","non-dropping-particle":"","parse-names":false,"suffix":""},{"dropping-particle":"","family":"Kendall","given":"Debra A","non-dropping-particle":"","parse-names":false,"suffix":""}],"container-title":"Molecular pharmacology","id":"ITEM-1","issue":"2","issued":{"date-parts":[["2015","2"]]},"page":"197-206","publisher":"American Society for Pharmacology and Experimental Therapeutics","title":"(4-(Bis(4-fluorophenyl)methyl)piperazin-1-yl)(cyclohexyl)methanone hydrochloride (LDK1229): a new cannabinoid CB1 receptor inverse agonist from the class of benzhydryl piperazine analogs.","type":"article-journal","volume":"87"},"uris":["http://www.mendeley.com/documents/?uuid=5ec66b65-a9ea-3ffc-8a0b-131529797b3c"]}],"mendeley":{"formattedCitation":"Mahmoud et al., 2015","plainTextFormattedCitation":"Mahmoud et al., 2015","previouslyFormattedCitation":"(Mahmoud et al., 2015)"},"properties":{"noteIndex":0},"schema":"https://github.com/citation-style-language/schema/raw/master/csl-citation.json"}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Mahmoud et al., 2015</w:t>
            </w:r>
            <w:r w:rsidRPr="00DE7555">
              <w:rPr>
                <w:rFonts w:ascii="Times New Roman" w:hAnsi="Times New Roman" w:cs="Times New Roman"/>
                <w:lang w:val="en-GB"/>
              </w:rPr>
              <w:fldChar w:fldCharType="end"/>
            </w:r>
          </w:p>
        </w:tc>
      </w:tr>
      <w:tr w:rsidR="00043312" w:rsidRPr="00DE7555" w14:paraId="748025CE" w14:textId="1F056B7C" w:rsidTr="00DE7555">
        <w:tc>
          <w:tcPr>
            <w:tcW w:w="0" w:type="auto"/>
          </w:tcPr>
          <w:p w14:paraId="129024B5" w14:textId="77777777"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levonantradol </w:t>
            </w:r>
          </w:p>
          <w:p w14:paraId="74BB955A" w14:textId="3EDCF504"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aka CP 50,556-1</w:t>
            </w:r>
          </w:p>
        </w:tc>
        <w:tc>
          <w:tcPr>
            <w:tcW w:w="0" w:type="auto"/>
          </w:tcPr>
          <w:p w14:paraId="5B5D895E" w14:textId="7BE77BF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2.3-4.9</w:t>
            </w:r>
          </w:p>
        </w:tc>
        <w:tc>
          <w:tcPr>
            <w:tcW w:w="0" w:type="auto"/>
          </w:tcPr>
          <w:p w14:paraId="1F196A6B" w14:textId="24309EC3"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19EC2A4" w14:textId="67D6A96D"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2E6BB5BD" w14:textId="655D0333"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9234522" w14:textId="7CF76C5D"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BDC9025" w14:textId="5280831E"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527DE49" w14:textId="6BB32E55"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DF9335D" w14:textId="6FBDE2B7"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{"citationItems":[{"id":"ITEM-1","itemData":{"ISSN":"0022-3565","PMID":"10991998","abstract":"To investigate differences in agonist affinity, potency, and efficacy across rat brain regions, five representative cannabinoid compounds were investigated in membranes from three different rat brain regions for their ability to maximally stimulate [(35)S]guanosine-5'-O-(3-thio)triphosphate (GTPgammaS) binding and bind to cannabinoid receptors (measured by inhibition of [(3)H]antagonist binding) under identical assay conditions. In all three brain regions, the rank order of potency for the stimulation of [(35)S]GTPgammaS binding and the inhibition of [(3)H]SR141716A binding for these compounds were identical, with CP55940 approximately levonantradol &gt; WIN55212-2 &gt;/= Delta(9)-tetrahydrocannabinol (Delta(9)-THC) &gt; methanandamide. The rank order of efficacy was not related to potency, and relative maximal agonist effects varied across regions. Receptor binding fit to a three-site model for most agonists, stimulation of [(35)S]GTPgammaS binding fit to a two-site model for all agonists, and high-affinity receptor binding did not appear to produce any stimulation of [(35)S]GTPgammaS binding. WIN55212-2, methanandamide, and Delta(9)-THC also were assayed for the inhibition of adenylyl cyclase in cerebellar membranes. The rank orders of potency and efficacy were similar to those for [(35)S]GTPgammaS binding, but the efficacies and potencies of methanandamide and Delta(9)-THC compared with WIN55212-2 were higher for adenylyl cyclase inhibition, implying receptor/G-protein reserve.","author":[{"dropping-particle":"","family":"Breivogel","given":"C S","non-dropping-particle":"","parse-names":false,"suffix":""},{"dropping-particle":"","family":"Childers","given":"S R","non-dropping-particle":"","parse-names":false,"suffix":""}],"container-title":"The Journal of pharmacology and experimental therapeutics","id":"ITEM-1","issue":"1","issued":{"date-parts":[["2000","10"]]},"page":"328-36","title":"Cannabinoid agonist signal transduction in rat brain: comparison of cannabinoid agonists in receptor binding, G-protein activation, and adenylyl cyclase inhibition.","type":"article-journal","volume":"295"},"uris":["http://www.mendeley.com/documents/?uuid=0b066243-1491-3a6e-b5c5-c99a6fe34205"]}],"mendeley":{"formattedCitation":"Breivogel and Childers, 2000","plainTextFormattedCitation":"Breivogel and Childers, 2000","previouslyFormattedCitation":"(Breivogel and Childers, 2000)"},"properties":{"noteIndex":0},"schema":"https://github.com/citation-style-language/schema/raw/master/csl-citation.json"}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Breivogel and Childers, 2000</w:t>
            </w:r>
            <w:r w:rsidRPr="00DE7555">
              <w:rPr>
                <w:rFonts w:ascii="Times New Roman" w:hAnsi="Times New Roman" w:cs="Times New Roman"/>
                <w:lang w:val="en-GB"/>
              </w:rPr>
              <w:fldChar w:fldCharType="end"/>
            </w:r>
          </w:p>
        </w:tc>
      </w:tr>
      <w:tr w:rsidR="00043312" w:rsidRPr="00DE7555" w14:paraId="7AB3B270" w14:textId="77777777" w:rsidTr="00DE7555">
        <w:tc>
          <w:tcPr>
            <w:tcW w:w="0" w:type="auto"/>
          </w:tcPr>
          <w:p w14:paraId="3DE607BD" w14:textId="02366041"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MK-9470</w:t>
            </w:r>
          </w:p>
        </w:tc>
        <w:tc>
          <w:tcPr>
            <w:tcW w:w="0" w:type="auto"/>
          </w:tcPr>
          <w:p w14:paraId="3CC3B87A" w14:textId="48D0CE0E"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EE1D465" w14:textId="2E3E7603"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0.7</w:t>
            </w:r>
          </w:p>
        </w:tc>
        <w:tc>
          <w:tcPr>
            <w:tcW w:w="0" w:type="auto"/>
          </w:tcPr>
          <w:p w14:paraId="006492CB" w14:textId="5BD51C6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inverse agonist</w:t>
            </w:r>
          </w:p>
        </w:tc>
        <w:tc>
          <w:tcPr>
            <w:tcW w:w="0" w:type="auto"/>
          </w:tcPr>
          <w:p w14:paraId="3B88E4F5" w14:textId="706AB2CC"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A55956C" w14:textId="496F534F"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35B1027" w14:textId="628F7ED0"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DC44D2B" w14:textId="595C8B02"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5A0F3BF" w14:textId="1695BDAA"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{"citationItems":[{"id":"ITEM-1","itemData":{"DOI":"10.1073/pnas.0703472104","ISSN":"0027-8424","PMID":"17535893","abstract":"[(18)F]MK-9470 is a selective, high-affinity, inverse agonist (human IC(50), 0.7 nM) for the cannabinoid CB1 receptor (CB1R) that has been developed for use in human brain imaging. Autoradiographic studies in rhesus monkey brain showed that [(18)F]MK-9470 binding is aligned with the reported distribution of CB1 receptors with high specific binding in the cerebral cortex, cerebellum, caudate/putamen, globus pallidus, substantia nigra, and hippocampus. Positron emission tomography (PET) imaging studies in rhesus monkeys showed high brain uptake and a distribution pattern generally consistent with that seen in the autoradiographic studies. Uptake was blocked by pretreatment with a potent CB1 inverse agonist, MK-0364. The ratio of total to nonspecific binding in putamen was 4-5:1, indicative of a strong specific signal that was confirmed to be reversible via displacement studies with MK-0364. Baseline PET imaging studies in human research subject demonstrated behavior of [(18)F]MK-9470 very similar to that seen in monkeys, with very good test-retest variability (7%). Proof of concept studies in healthy young male human subjects showed that MK-0364, given orally, produced a dose-related reduction in [(18)F]MK-9470 binding reflecting CB1R receptor occupancy by the drug. Thus, [(18)F]MK-9470 has the potential to be a valuable, noninvasive research tool for the in vivo study of CB1R biology and pharmacology in a variety of neuropsychiatric disorders in humans. In addition, it allows demonstration of target engagement and noninvasive dose-occupancy studies to aid in dose selection for clinical trials of CB1R inverse agonists.","author":[{"dropping-particle":"","family":"Burns","given":"H. D.","non-dropping-particle":"","parse-names":false,"suffix":""},{"dropping-particle":"","family":"Laere","given":"K.","non-dropping-particle":"Van","parse-names":false,"suffix":""},{"dropping-particle":"","family":"Sanabria-Bohorquez","given":"S.","non-dropping-particle":"","parse-names":false,"suffix":""},{"dropping-particle":"","family":"Hamill","given":"T. G.","non-dropping-particle":"","parse-names":false,"suffix":""},{"dropping-particle":"","family":"Bormans","given":"G.","non-dropping-particle":"","parse-names":false,"suffix":""},{"dropping-particle":"","family":"Eng","given":"W.-s.","non-dropping-particle":"","parse-names":false,"suffix":""},{"dropping-particle":"","family":"Gibson","given":"R.","non-dropping-particle":"","parse-names":false,"suffix":""},{"dropping-particle":"","family":"Ryan","given":"C.","non-dropping-particle":"","parse-names":false,"suffix":""},{"dropping-particle":"","family":"Connolly","given":"B.","non-dropping-particle":"","parse-names":false,"suffix":""},{"dropping-particle":"","family":"Patel","given":"S.","non-dropping-particle":"","parse-names":false,"suffix":""},{"dropping-particle":"","family":"Krause","given":"S.","non-dropping-particle":"","parse-names":false,"suffix":""},{"dropping-particle":"","family":"Vanko","given":"A.","non-dropping-particle":"","parse-names":false,"suffix":""},{"dropping-particle":"","family":"Hecken","given":"A.","non-dropping-particle":"Van","parse-names":false,"suffix":""},{"dropping-particle":"","family":"Dupont","given":"P.","non-dropping-particle":"","parse-names":false,"suffix":""},{"dropping-particle":"","family":"Lepeleire","given":"I.","non-dropping-particle":"De","parse-names":false,"suffix":""},{"dropping-particle":"","family":"Rothenberg","given":"P.","non-dropping-particle":"","parse-names":false,"suffix":""},{"dropping-particle":"","family":"Stoch","given":"S. A.","non-dropping-particle":"","parse-names":false,"suffix":""},{"dropping-particle":"","family":"Cote","given":"J.","non-dropping-particle":"","parse-names":false,"suffix":""},{"dropping-particle":"","family":"Hagmann","given":"W. K.","non-dropping-particle":"","parse-names":false,"suffix":""},{"dropping-particle":"","family":"Jewell","given":"J. P.","non-dropping-particle":"","parse-names":false,"suffix":""},{"dropping-particle":"","family":"Lin","given":"L. S.","non-dropping-particle":"","parse-names":false,"suffix":""},{"dropping-particle":"","family":"Liu","given":"P.","non-dropping-particle":"","parse-names":false,"suffix":""},{"dropping-particle":"","family":"Goulet","given":"M. T.","non-dropping-particle":"","parse-names":false,"suffix":""},{"dropping-particle":"","family":"Gottesdiener","given":"K.","non-dropping-particle":"","parse-names":false,"suffix":""},{"dropping-particle":"","family":"Wagner","given":"J. A.","non-dropping-particle":"","parse-names":false,"suffix":""},{"dropping-particle":"","family":"Hoon","given":"J.","non-dropping-particle":"de","parse-names":false,"suffix":""},{"dropping-particle":"","family":"Mortelmans","given":"L.","non-dropping-particle":"","parse-names":false,"suffix":""},{"dropping-particle":"","family":"Fong","given":"T. M.","non-dropping-particle":"","parse-names":false,"suffix":""},{"dropping-particle":"","family":"Hargreaves","given":"R. J.","non-dropping-particle":"","parse-names":false,"suffix":""}],"container-title":"Proceedings of the National Academy of Sciences","id":"ITEM-1","issue":"23","issued":{"date-parts":[["2007","6","5"]]},"page":"9800-9805","title":"[18F]MK-9470, a positron emission tomography (PET) tracer for in vivo human PET brain imaging of the cannabinoid-1 receptor","type":"article-journal","volume":"104"},"uris":["http://www.mendeley.com/documents/?uuid=e14ad617-dd4d-3b61-a1f6-4321f068a2fd"]}],"mendeley":{"formattedCitation":"Burns et al., 2007","plainTextFormattedCitation":"Burns et al., 2007","previouslyFormattedCitation":"(Burns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Burns et al., 2007</w:t>
            </w:r>
            <w:r w:rsidRPr="00DE7555">
              <w:rPr>
                <w:rFonts w:ascii="Times New Roman" w:hAnsi="Times New Roman" w:cs="Times New Roman"/>
                <w:lang w:val="en-GB"/>
              </w:rPr>
              <w:fldChar w:fldCharType="end"/>
            </w:r>
          </w:p>
        </w:tc>
      </w:tr>
      <w:tr w:rsidR="00043312" w:rsidRPr="00DE7555" w14:paraId="714F6601" w14:textId="77777777" w:rsidTr="00DE7555">
        <w:tc>
          <w:tcPr>
            <w:tcW w:w="0" w:type="auto"/>
          </w:tcPr>
          <w:p w14:paraId="778BC270" w14:textId="7196811B"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O-1812</w:t>
            </w:r>
          </w:p>
        </w:tc>
        <w:tc>
          <w:tcPr>
            <w:tcW w:w="0" w:type="auto"/>
          </w:tcPr>
          <w:p w14:paraId="47AF2CDC" w14:textId="0440C053"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3.4</w:t>
            </w:r>
          </w:p>
        </w:tc>
        <w:tc>
          <w:tcPr>
            <w:tcW w:w="0" w:type="auto"/>
          </w:tcPr>
          <w:p w14:paraId="2658DC99" w14:textId="13E6FF7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F78DD16" w14:textId="68ABF4F3"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3A13A9E8" w14:textId="7E82870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3870</w:t>
            </w:r>
          </w:p>
        </w:tc>
        <w:tc>
          <w:tcPr>
            <w:tcW w:w="0" w:type="auto"/>
          </w:tcPr>
          <w:p w14:paraId="1F69F855" w14:textId="7ACF31D8"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739B9F3" w14:textId="266DD9E4"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F68A08F" w14:textId="220DC962"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BE452F6" w14:textId="66B5CFE2"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{"citationItems":[{"id":"ITEM-1","itemData":{"DOI":"10.1006/BBRC.2001.4354","ISSN":"0006-291X","abstract":"Anandamide and the metabolically stabler analogs, (R)-1′-methyl-2′-hydroxy-ethyl-arachidonamide (Met-AEA) and N-(3-methoxy-4-hydroxy-benzyl)-arachidonamide (arvanil), are CB1 cannabinoid and VR1 vanilloid receptors agonists. We synthesized 1′,1′-dimethylheptyl-arvanil (O-1839) and six other AEA analogs obtained by addition of either a hydroxy, cyano, or bromo group on the C-20 atom of 1,1′-dimethylpentyl-Met-AEA (O-1811, O-1812 and O-1860, respectively) or 1,1′-dimethylpentyl-arvanil (O-1856, O-1895 and O-1861, respectively). The compounds were tested for their (i) affinity for CB1 and CB2 receptors, (ii) capability to activate VR1 receptors, (iii) inhibitory effect on the anandamide hydrolysis and on the anandamide membrane transporter, and (iv) cannabimimetic activity in the mouse ‘tetrad’ of in vivo assays. O-1812 is the first ligand ever proven to be highly (500- to 1000-fold) selective for CB1 vs both VR1 and CB2 receptors, while O-1861 is the first true “hybrid” agonist of CB1/VR1 receptors and a compound with potential therapeutic importance. The activities of the seven compounds in vivo did not correlate with their activities at either CB1 or VR1 receptors, thus suggesting the existence of other brain sites of action mediating some of their neurobehavioral actions in mice.","author":[{"dropping-particle":"","family":"Marzo","given":"V.","non-dropping-particle":"Di","parse-names":false,"suffix":""},{"dropping-particle":"","family":"Bisogno","given":"T.","non-dropping-particle":"","parse-names":false,"suffix":""},{"dropping-particle":"","family":"Petrocellis","given":"L.","non-dropping-particle":"De","parse-names":false,"suffix":""},{"dropping-particle":"","family":"Brandi","given":"I.","non-dropping-particle":"","parse-names":false,"suffix":""},{"dropping-particle":"","family":"Jeffers</w:instrText>
            </w:r>
            <w:r w:rsidRPr="00DE7555">
              <w:rPr>
                <w:rFonts w:ascii="Times New Roman" w:hAnsi="Times New Roman" w:cs="Times New Roman"/>
                <w:lang w:val="fr-FR"/>
              </w:rPr>
              <w:instrText>on","given":"R.G.","non-dropping-particle":"","parse-names":false,"suffix":""},{"dropping-particle":"","family":"Winckler","given":"R.L.","non-dropping-particle":"","parse-names":false,"suffix":""},{"dropping-particle":"","family":"Davis","given":"J.B.","non-dropping-particle":"","parse-names":false,"suffix":""},{"dropping-particle":"","family":"Dasse","given":"O.","non-dropping-particle":"","parse-names":false,"suffix":""},{"dropping-particle":"","family":"Mahadevan","given":"A.","non-dropping-particle":"","parse-names":false,"suffix":""},{"dropping-particle":"","family":"Razdan","given":"R.K.","non-dropping-particle":"","parse-names":false,"suffix":""},{"dropping-particle":"","family":"Martin","given":"B.R.","non-dropping-particle":"","parse-names":false,"suffix":""}],"container-title":"Biochemical and Biophysical Research Communications","id":"ITEM-1","issue":"2","issued":{"date-parts":[["2001","2","23"]]},"page":"444-451","publisher":"Academic Press","title":"Highly Selective CB1 Cannabinoid Receptor Ligands and Novel CB1/VR1 Vanilloid Receptor “Hybrid” Ligands","type":"article-journal","volume":"281"},"uris":["http://www.mendeley.com/documents/?uuid=fe121ee5-a87f-37df-9942-34fc45b096e8"]}],"mendeley":{"formattedCitation":"Di Marzo et al., 2001","plainTextFormattedCitation":"Di Marzo et al., 2001","previouslyFormattedCitation":"(Di Marzo et al., 2001)"},"properties":{"noteIndex":0},"schema":"https://github.com/citation-style-language/schema/raw/master/csl-citation.json"}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fr-FR"/>
              </w:rPr>
              <w:t>Di Marzo et al., 2001</w:t>
            </w:r>
            <w:r w:rsidRPr="00DE7555">
              <w:rPr>
                <w:rFonts w:ascii="Times New Roman" w:hAnsi="Times New Roman" w:cs="Times New Roman"/>
                <w:lang w:val="en-GB"/>
              </w:rPr>
              <w:fldChar w:fldCharType="end"/>
            </w:r>
          </w:p>
        </w:tc>
      </w:tr>
      <w:tr w:rsidR="00043312" w:rsidRPr="00DE7555" w14:paraId="4C38BB19" w14:textId="47773141" w:rsidTr="00DE7555">
        <w:tc>
          <w:tcPr>
            <w:tcW w:w="0" w:type="auto"/>
          </w:tcPr>
          <w:p w14:paraId="2260127B" w14:textId="3C97D22F"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Org27569</w:t>
            </w:r>
          </w:p>
        </w:tc>
        <w:tc>
          <w:tcPr>
            <w:tcW w:w="0" w:type="auto"/>
          </w:tcPr>
          <w:p w14:paraId="5AB1BCDE" w14:textId="3DB04AF9"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4A90390" w14:textId="384F2BAA"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158.49</w:t>
            </w:r>
          </w:p>
        </w:tc>
        <w:tc>
          <w:tcPr>
            <w:tcW w:w="0" w:type="auto"/>
          </w:tcPr>
          <w:p w14:paraId="6D652735" w14:textId="65B9EFB8"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positive allosteric modulator</w:t>
            </w:r>
          </w:p>
        </w:tc>
        <w:tc>
          <w:tcPr>
            <w:tcW w:w="0" w:type="auto"/>
          </w:tcPr>
          <w:p w14:paraId="6FA775B9" w14:textId="705ED673"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D63D2B6" w14:textId="55EBD76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1AAAF89" w14:textId="23A9FA28"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65C3BB0" w14:textId="40DCD241"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2A96966" w14:textId="6D78C435"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{"citationItems":[{"id":"ITEM-1","itemData":{"DOI":"10.1021/jm201485c","PMID":"22571451","abstract":"We synthesized new N-phenylethyl-1H-indole-2-carboxamides as the first SAR study of allosteric modulators of the CB(1) receptor. The presence of the carboxamide functionality was required in order to obtain a stimulatory effect. The maximum stimulatory activity on CB(1) was exerted by carboxamides 13 (EC(50) = 50 nM) and 21 (EC(50) = 90 nM) bearing a dimethylamino or piperidinyl group, respectively, at position 4 of the phenethyl moiety and a chlorine atom at position 5 of the indole.","author":[{"dropping-particle":"","family":"Piscitelli","given":"Francesco","non-dropping-particle":"","parse-names":false,"suffix":""},{"dropping-particle":"","family":"Ligresti","given":"Alessia","non-dropping-particle":"","parse-names":false,"suffix":""},{"dropping-particle":"","family":"Regina","given":"Giuseppe","non-dropping-particle":"La","parse-names":false,"suffix":""},{"dropping-particle":"","family":"Coluccia","given":"Antonio","non-dropping-particle":"","parse-names":false,"suffix":""},{"dropping-particle":"","family":"Morera","given":"Ludovica","non-dropping-particle":"","parse-names":false,"suffix":""},{"dropping-particle":"","family":"Allarà","given":"Marco","non-dropping-particle":"","parse-names":false,"suffix":""},{"dropping-particle":"","family":"Novellino","given":"Ettore","no</w:instrText>
            </w:r>
            <w:r w:rsidRPr="00DE7555">
              <w:rPr>
                <w:rFonts w:ascii="Times New Roman" w:hAnsi="Times New Roman" w:cs="Times New Roman"/>
                <w:lang w:val="fr-FR"/>
              </w:rPr>
              <w:instrText>n-dropping-particle":"","parse-names":false,"suffix":""},{"dropping-particle":"","family":"Marzo","given":"Vincenzo","non-dropping-particle":"Di","parse-names":false,"suffix":""},{"dropping-particle":"","family":"Silvestri","given":"Romano","non-dropping-particle":"","parse-names":false,"suffix":""}],"container-title":"Journal of Medicinal Chemistry","id":"ITEM-1","issue":"11","issued":{"date-parts":[["2012","6","14"]]},"page":"5627-5631","title":"Indole-2-carboxamides as Allosteric Modulators of the Cannabinoid CB1 Receptor","type":"article-journal","volume":"55"},"uris":["http://www.mendeley.com/documents/?uuid=856dc9b9-1247-38df-b43a-81e7e8e9af21"]}],"mendeley":{"formattedCitation":"Piscitelli et al., 2012","plainTextFormattedCitation":"Piscitelli et al., 2012","previouslyFormattedCitation":"(Piscitelli et al., 2012)"},"properties":{"noteIndex":0},"schema":"https://github.com/citation-style-language/schema/raw/master/csl-citation.json"}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Piscitelli et al., 2012</w:t>
            </w:r>
            <w:r w:rsidRPr="00DE7555">
              <w:rPr>
                <w:rFonts w:ascii="Times New Roman" w:hAnsi="Times New Roman" w:cs="Times New Roman"/>
                <w:lang w:val="en-GB"/>
              </w:rPr>
              <w:fldChar w:fldCharType="end"/>
            </w:r>
          </w:p>
        </w:tc>
      </w:tr>
      <w:tr w:rsidR="00043312" w:rsidRPr="00DE7555" w14:paraId="7F69163B" w14:textId="783D3F46" w:rsidTr="00DE7555">
        <w:tc>
          <w:tcPr>
            <w:tcW w:w="0" w:type="auto"/>
          </w:tcPr>
          <w:p w14:paraId="6741260C" w14:textId="669B4486"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R-(+)-</w:t>
            </w:r>
            <w:proofErr w:type="spellStart"/>
            <w:r w:rsidRPr="00DE7555">
              <w:rPr>
                <w:rFonts w:ascii="Times New Roman" w:hAnsi="Times New Roman" w:cs="Times New Roman"/>
                <w:lang w:val="en-GB"/>
              </w:rPr>
              <w:t>methanandamide</w:t>
            </w:r>
            <w:proofErr w:type="spellEnd"/>
            <w:r w:rsidRPr="00DE7555">
              <w:rPr>
                <w:rFonts w:ascii="Times New Roman" w:hAnsi="Times New Roman" w:cs="Times New Roman"/>
                <w:lang w:val="en-GB"/>
              </w:rPr>
              <w:t xml:space="preserve"> </w:t>
            </w:r>
          </w:p>
        </w:tc>
        <w:tc>
          <w:tcPr>
            <w:tcW w:w="0" w:type="auto"/>
          </w:tcPr>
          <w:p w14:paraId="495D7D1D" w14:textId="7A8B5B30"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17.9–28.3</w:t>
            </w:r>
          </w:p>
        </w:tc>
        <w:tc>
          <w:tcPr>
            <w:tcW w:w="0" w:type="auto"/>
          </w:tcPr>
          <w:p w14:paraId="5DBF32C3" w14:textId="030BDCB3"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6410280" w14:textId="208E8B5E"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295AAD0" w14:textId="70EF206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815–868</w:t>
            </w:r>
          </w:p>
        </w:tc>
        <w:tc>
          <w:tcPr>
            <w:tcW w:w="0" w:type="auto"/>
          </w:tcPr>
          <w:p w14:paraId="4DEE8E86" w14:textId="371BA53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A1B01CC" w14:textId="5C074EFC"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2C6A8E7" w14:textId="5B18AC5D"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0B15CBC" w14:textId="02105A45"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Cannabinoids","type":"report","volume":"168"},"uris":["http://www.mendeley.com/documents/?uuid=8d8d4100-5521-3c8a-91fc-02214b8beb11"]}],"mendeley":{"formattedCitation":"Pertwee, 2005","plainTextFormattedCitation":"Pertwee, 2005","previouslyFormattedCitation":"(Pertwee, 2005)"},"properties":{"noteIndex":0},"schema":"https://github.com/citation-style-language/schema/raw/master/csl-citation.json"}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 xml:space="preserve">Pertwee, </w:t>
            </w:r>
            <w:r w:rsidRPr="00DE7555">
              <w:rPr>
                <w:rFonts w:ascii="Times New Roman" w:hAnsi="Times New Roman" w:cs="Times New Roman"/>
                <w:noProof/>
                <w:lang w:val="en-GB"/>
              </w:rPr>
              <w:lastRenderedPageBreak/>
              <w:t>2005</w:t>
            </w:r>
            <w:r w:rsidRPr="00DE7555">
              <w:rPr>
                <w:rFonts w:ascii="Times New Roman" w:hAnsi="Times New Roman" w:cs="Times New Roman"/>
                <w:lang w:val="en-GB"/>
              </w:rPr>
              <w:fldChar w:fldCharType="end"/>
            </w:r>
          </w:p>
        </w:tc>
      </w:tr>
      <w:tr w:rsidR="00043312" w:rsidRPr="008178CC" w14:paraId="5A84516C" w14:textId="77777777" w:rsidTr="00DE7555">
        <w:tc>
          <w:tcPr>
            <w:tcW w:w="0" w:type="auto"/>
          </w:tcPr>
          <w:p w14:paraId="37083DDE" w14:textId="77777777" w:rsidR="00043312" w:rsidRPr="00DE7555" w:rsidRDefault="00043312" w:rsidP="00724E70">
            <w:pPr>
              <w:rPr>
                <w:rFonts w:ascii="Times New Roman" w:hAnsi="Times New Roman" w:cs="Times New Roman"/>
              </w:rPr>
            </w:pPr>
            <w:proofErr w:type="spellStart"/>
            <w:r w:rsidRPr="00DE7555">
              <w:rPr>
                <w:rFonts w:ascii="Times New Roman" w:hAnsi="Times New Roman" w:cs="Times New Roman"/>
              </w:rPr>
              <w:lastRenderedPageBreak/>
              <w:t>taranabant</w:t>
            </w:r>
            <w:proofErr w:type="spellEnd"/>
            <w:r w:rsidRPr="00DE7555">
              <w:rPr>
                <w:rFonts w:ascii="Times New Roman" w:hAnsi="Times New Roman" w:cs="Times New Roman"/>
              </w:rPr>
              <w:t xml:space="preserve"> </w:t>
            </w:r>
          </w:p>
          <w:p w14:paraId="2AF9B89B" w14:textId="523A3CD9" w:rsidR="00043312" w:rsidRPr="00DE7555" w:rsidRDefault="00043312" w:rsidP="00724E70">
            <w:pPr>
              <w:rPr>
                <w:rFonts w:ascii="Times New Roman" w:hAnsi="Times New Roman" w:cs="Times New Roman"/>
                <w:lang w:val="en-GB"/>
              </w:rPr>
            </w:pPr>
            <w:proofErr w:type="spellStart"/>
            <w:r w:rsidRPr="00DE7555">
              <w:rPr>
                <w:rFonts w:ascii="Times New Roman" w:hAnsi="Times New Roman" w:cs="Times New Roman"/>
              </w:rPr>
              <w:t>aka</w:t>
            </w:r>
            <w:proofErr w:type="spellEnd"/>
            <w:r w:rsidRPr="00DE7555">
              <w:rPr>
                <w:rFonts w:ascii="Times New Roman" w:hAnsi="Times New Roman" w:cs="Times New Roman"/>
              </w:rPr>
              <w:t xml:space="preserve"> MK-0364</w:t>
            </w:r>
          </w:p>
        </w:tc>
        <w:tc>
          <w:tcPr>
            <w:tcW w:w="0" w:type="auto"/>
          </w:tcPr>
          <w:p w14:paraId="492BCF86" w14:textId="4F3643F0"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rPr>
              <w:t>0.13; 0.27</w:t>
            </w:r>
          </w:p>
        </w:tc>
        <w:tc>
          <w:tcPr>
            <w:tcW w:w="0" w:type="auto"/>
          </w:tcPr>
          <w:p w14:paraId="30C530E1" w14:textId="6D94805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rPr>
              <w:t>2.8</w:t>
            </w:r>
          </w:p>
        </w:tc>
        <w:tc>
          <w:tcPr>
            <w:tcW w:w="0" w:type="auto"/>
          </w:tcPr>
          <w:p w14:paraId="17F1027B" w14:textId="080ADD78"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rPr>
              <w:t xml:space="preserve">inverse </w:t>
            </w:r>
            <w:proofErr w:type="spellStart"/>
            <w:r w:rsidRPr="00DE7555">
              <w:rPr>
                <w:rFonts w:ascii="Times New Roman" w:hAnsi="Times New Roman" w:cs="Times New Roman"/>
              </w:rPr>
              <w:t>agonist</w:t>
            </w:r>
            <w:proofErr w:type="spellEnd"/>
          </w:p>
        </w:tc>
        <w:tc>
          <w:tcPr>
            <w:tcW w:w="0" w:type="auto"/>
          </w:tcPr>
          <w:p w14:paraId="13F8DAE3" w14:textId="3C8654B6"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rPr>
              <w:t>170; 310</w:t>
            </w:r>
          </w:p>
        </w:tc>
        <w:tc>
          <w:tcPr>
            <w:tcW w:w="0" w:type="auto"/>
          </w:tcPr>
          <w:p w14:paraId="4CF204C4" w14:textId="49764FB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rPr>
              <w:t>nd</w:t>
            </w:r>
            <w:proofErr w:type="spellEnd"/>
          </w:p>
        </w:tc>
        <w:tc>
          <w:tcPr>
            <w:tcW w:w="0" w:type="auto"/>
          </w:tcPr>
          <w:p w14:paraId="7BADA5EC" w14:textId="665BFE3E"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FC33CF4" w14:textId="0655426D"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rPr>
              <w:t>nd</w:t>
            </w:r>
            <w:proofErr w:type="spellEnd"/>
          </w:p>
        </w:tc>
        <w:tc>
          <w:tcPr>
            <w:tcW w:w="0" w:type="auto"/>
          </w:tcPr>
          <w:p w14:paraId="10063DFA" w14:textId="6D6038C7"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rPr>
              <w:instrText>ADDIN CSL_CITATION {"citationItems":[{"id":"ITEM-1","itemData":{"DOI":"10.1124/jpet.106.118737","ISSN":"0022-3565","PMID":"17327489","abstract":"The cannabinoid-1 receptor (CB1R) has been implicated in the control of energy balance. To explore the pharmacological utility of CB1R inhibition for the treatment of obesity, we evaluated the efficacy of N-[(1S,2S)-3-(4-chlorophenyl)-2-(3-cyanophenyl)-1-methylpropyl]-2-methyl-2-[[5-(trifluoromethyl)pyridin-2-yl]oxy]propanamide (MK-0364) and determined the relationship between efficacy and brain CB1R occupancy in rodents. MK-0364 was shown to be a highly potent CB1R inverse agonist that inhibited the binding and functional activity of various agonists with a binding K(i) of 0.13 nM for the human CB1R in vitro. MK-0364 dose-dependently inhibited food intake and weight gain, with an acute minimum effective dose of 1 mg/kg in diet-induced obese (DIO) rats. CB1R mechanism-based effect was demonstrated for MK-0364 by its lack of efficacy in CB1R-deficient mice. Chronic treatment of DIO rats with MK-0364 dose-dependently led to significant weight loss with a minimum effective dose of 0.3 mg/kg (p.o.), or a plasma C(max) of 87 nM. Weight loss was accompanied by the loss of fat mass. Partial occupancy (30-40%) of brain CB1R by MK-0364 was sufficient to reduce body weight. The magnitude of weight loss was correlated with brain CB1R occupancy. The partial receptor occupancy requirement for efficacy was also consistent with the reduced food intake of the heterozygous mice carrying one disrupted allele of CB1R gene compared with the wild-type mice. These studies demonstrated that MK-0364 is a highly potent and selective CB1R inverse agonist and that it is orally active in rodent models of obesity.","author":[{"dropping-particle":"","family":"Fong","given":"T. M.","non-dropping-particle":"","parse-names":false,"suffix":""},{"dropping-particle":"","family":"Guan","given":"X.-M.","non-dropping-particle":"","parse-names":false,"suffix":""},{"dropping-particle":"","family":"Marsh","given":"D. J.","non-dropping-particle":"","parse-names":false,"suffix":""},{"dropping-particle":"","family":"Shen","given":"C.-P.","non-dropping-particle":"","parse-names":false,"suffix":""},{"dropping-particle":"","family":"Stribling","given":"D. S.","non-dropping-particle":"","parse-names":false,"suffix":""},{"dropping-particle":"","family":"Rosko","given":"K. M.","non-dropping-particle":"","parse-names":false,"suffix":""},{"dropping-particle":"","family":"Lao","given":"J.","non-dropping-particle":"","parse-names":false,"suffix":""},{"dropping-particle":"","family":"Yu","given":"H.","non-dropping-particle":"","parse-names":false,"suffix":""},{"dropping-particle":"","family":"Feng","given":"Y.","non-dropping-particle":"","parse-names":false,"suffix":""},{"dropping-particle":"","family":"Xiao","given":"J. C.","non-dropping-particle":"","parse-names":false,"suffix":""},{"dropping-particle":"","family":"Ploeg","given":"L. H. T.","non-dropping-particle":"Van der","parse-names":false,"suffix":""},{"dropping-particle":"","family":"Goulet","given":"M. T.","non-dropping-particle":"","parse-names":false,"suffix":""},{"dropping-particle":"","family":"Hagmann","given":"W. K.","non-dropping-particle":"","parse-names":false,"suffix":""},{"dropping-particle":"","family":"Lin","given":"L. S.","non-dropping-particle":"","parse-names":false,"suffix":""},{"dropping-particle":"","family":"Lanza","given":"T. J.","non-dropping-particle":"","parse-names":false,"suffix":""},{"dropping-particle":"","family":"Jewell","given":"J. P.","non-dropping-particle":"","parse-names":false,"suffix":""},{"dropping-particle":"","family":"Liu","given":"P.","non-dropping-particle":"","parse-names":false,"suffix":""},{"dropping-particle":"","family":"Shah","given":"S. K.","non-dropping-particle":"","parse-names":false,"suffix":""},{"dropping-particle":"","family":"Qi","given":"H.","non-dropping-particle":"","parse-names":false,"suffix":""},{"dropping-particle":"","family":"Tong","given":"X.","non-dropping-particle</w:instrText>
            </w:r>
            <w:r w:rsidRPr="00DE7555">
              <w:rPr>
                <w:rFonts w:ascii="Times New Roman" w:hAnsi="Times New Roman" w:cs="Times New Roman"/>
                <w:lang w:val="en-GB"/>
              </w:rPr>
              <w:instrText>":"","parse-names":false,"suffix":""},{"dropping-particle":"","family":"Wang","given":"J.","non-dropping-particle":"","parse-names":false,"suffix":""},{"dropping-particle":"","family":"Xu","given":"S. S.","non-dropping-particle":"","parse-names":false,"suffix":""},{"dropping-particle":"","family":"Francis","given":"B.","non-dropping-particle":"","parse-names":false,"suffix":""},{"dropping-particle":"","family":"Strack","given":"A. M.","non-dropping-particle":"","parse-names":false,"suffix":""},{"dropping-particle":"","family":"MacIntyre","given":"D. E.","non-dropping-particle":"","parse-names":false,"suffix":""},{"dropping-particle":"","family":"Shearman","given":"L. P.","non-dropping-particle":"","parse-names":false,"suffix":""}],"container-title":"Journal of Pharmacology and Experimental Therapeutics","id":"ITEM-1","issue":"3","issued":{"date-parts":[["2007","3","8"]]},"page":"1013-1022","title":"Antiobesity Efficacy of a Novel Cannabinoid-1 Receptor Inverse Agonist, N-[(1S,2S)-3-(4-Chlorophenyl)-2-(3-cyanophenyl)-1-methylpropyl]-2-methyl-2- propanamide (MK-0364), in Rodents","type":"article-journal","volume":"321"},"uris":["http://www.mendeley.com/documents/?uuid=8e530f87-f924-32a3-aead-d9173dca31e8"]}],"mendeley":{"formattedCitation":"Fong et al., 2007","plainTextFormattedCitation":"Fong et al., 2007","previouslyFormattedCitation":"(Fong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Fong et al., 2007</w:t>
            </w:r>
            <w:r w:rsidRPr="00DE7555">
              <w:rPr>
                <w:rFonts w:ascii="Times New Roman" w:hAnsi="Times New Roman" w:cs="Times New Roman"/>
                <w:lang w:val="en-GB"/>
              </w:rPr>
              <w:fldChar w:fldCharType="end"/>
            </w:r>
          </w:p>
        </w:tc>
      </w:tr>
      <w:tr w:rsidR="00043312" w:rsidRPr="00DE7555" w14:paraId="1491DB32" w14:textId="77777777" w:rsidTr="00DE7555">
        <w:tc>
          <w:tcPr>
            <w:tcW w:w="0" w:type="auto"/>
          </w:tcPr>
          <w:p w14:paraId="3BBCD34A" w14:textId="04EC70D7"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ZCZ011</w:t>
            </w:r>
          </w:p>
        </w:tc>
        <w:tc>
          <w:tcPr>
            <w:tcW w:w="0" w:type="auto"/>
          </w:tcPr>
          <w:p w14:paraId="5602A4C2" w14:textId="1F34F120"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E176EDA" w14:textId="302EFB87" w:rsidR="00043312" w:rsidRPr="00DE7555" w:rsidRDefault="00E5612A" w:rsidP="00E5612A">
            <w:pPr>
              <w:jc w:val="center"/>
              <w:rPr>
                <w:rFonts w:ascii="Times New Roman" w:hAnsi="Times New Roman" w:cs="Times New Roman"/>
                <w:lang w:val="en-GB"/>
              </w:rPr>
            </w:pPr>
            <w:r>
              <w:rPr>
                <w:rFonts w:ascii="Times New Roman" w:hAnsi="Times New Roman" w:cs="Times New Roman"/>
                <w:lang w:val="en-GB"/>
              </w:rPr>
              <w:t>125.</w:t>
            </w:r>
            <w:r w:rsidR="00043312" w:rsidRPr="00DE7555">
              <w:rPr>
                <w:rFonts w:ascii="Times New Roman" w:hAnsi="Times New Roman" w:cs="Times New Roman"/>
                <w:lang w:val="en-GB"/>
              </w:rPr>
              <w:t>9-501.</w:t>
            </w:r>
            <w:r>
              <w:rPr>
                <w:rFonts w:ascii="Times New Roman" w:hAnsi="Times New Roman" w:cs="Times New Roman"/>
                <w:lang w:val="en-GB"/>
              </w:rPr>
              <w:t>2</w:t>
            </w:r>
          </w:p>
        </w:tc>
        <w:tc>
          <w:tcPr>
            <w:tcW w:w="0" w:type="auto"/>
          </w:tcPr>
          <w:p w14:paraId="49A5957B" w14:textId="51217DB6"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positive allosteric modulator</w:t>
            </w:r>
          </w:p>
        </w:tc>
        <w:tc>
          <w:tcPr>
            <w:tcW w:w="0" w:type="auto"/>
          </w:tcPr>
          <w:p w14:paraId="3E778F60" w14:textId="2048AA45"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C2121E3" w14:textId="33075C9C"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A429E84" w14:textId="77F84B08"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BC43B1B" w14:textId="7F4EA2D0"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36DC100" w14:textId="66E6B96E"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{"citationItems":[{"id":"ITEM-1","itemData":{"DOI":"10.1038/npp.2015.148","ISSN":"0893-133X","PMID":"26052038","abstract":"The CB1 receptor represents a promising target for the treatment of several disorders including pain-related disease states. However, therapeutic applications of Δ(9)-tetrahydrocannabinol and other CB1 orthosteric receptor agonists remain limited because of psychoactive side effects. Positive allosteric modulators (PAMs) offer an alternative approach to enhance CB1 receptor function for therapeutic gain with the promise of reduced side effects. Here we describe the development of the novel synthetic CB1 PAM, 6-methyl-3-(2-nitro-1-(thiophen-2-yl)ethyl)-2-phenyl-1H-indole (ZCZ011), which augments the in vitro and in vivo pharmacological actions of the CB1 orthosteric agonists CP55,940 and N-arachidonoylethanolamine (AEA). ZCZ011 potentiated binding of [(3)H]CP55,940 to the CB1 receptor as well as enhancing AEA-stimulated [(35)S]GTPγS binding in mouse brain membranes and β-arrestin recruitment and ERK phosphorylation in hCB1 cells. In the whole animal, ZCZ011 is brain penetrant, increased the potency of these orthosteric agonists in mouse behavioral assays indicative of cannabimimetic activity, including antinociception, hypothermia, catalepsy, locomotor activity, and in the drug discrimination paradigm. Administration of ZCZ011 alone was devoid of activity in these assays and did not produce a conditioned place preference or aversion, but elicited CB1 receptor-mediated antinociceptive effects in the chronic constriction nerve injury model of neuropathic pain and carrageenan model of inflammatory pain. These data suggest that ZCZ011 acts as a CB1 PAM and provide the first proof of principle that CB1 PAMs offer a promising strategy to treat neuropathic and inflammatory pain with minimal or no cannabimimetic side effects.","author":[{"dropping-particle":"","family":"Ignatowska-Jankowska","given":"Bogna M","non-dropping-particle":"","parse-names":false,"suffix":""},{"dropping-particle":"","family":"Baillie","given":"Gemma L","non-dropping-particle":"","parse-names":false,"suffix":""},{"dropping-particle":"","family":"Kinsey","given":"Steven","non-dropping-particle":"","parse-names":false,"suffix":""},{"dropping-particle":"","family":"Crowe","given":"Molly","non-dropping-particle":"","parse-names":false,"suffix":""},{"dropping-particle":"","family":"Ghosh","given":"Sudeshna","non-dropping-particle":"","parse-names":false,"suffix":""},{"dropping-particle":"","family":"Owens","given":"Robert A","non-dropping-particle":"","parse-names":false,"suffix":""},{"dropping-particle":"","family":"Damaj","given":"Imad M","non-dropping-particle":"","parse-names":false,"suffix":""},{"dropping-particle":"","family":"Poklis","given":"Justin","non-dropping-particle":"","parse-names":false,"suffix":""},{"dropping-particle":"","family":"Wiley","given":"Jenny L","non-dropping-particle":"","parse-names":false,"suffix":""},{"dropping-particle":"","family":"Zanda","given":"Matteo","non-dropping-particle":"","parse-names":false,"suffix":""},{"dropping-particle":"","family":"Zanato","given":"Chiara","non-dropping-particle":"","parse-names":false,"suffix":""},{"dropping-particle":"","family":"Greig","given":"Iain R","non-dropping-particle":"","parse-names":false,"suffix":""},{"dropping-particle":"","family":"Lichtman","given":"Aron H","non-dropping-particle":"","parse-names":false,"suffix":""},{"dropping-particle":"","family":"Ross","given":"Ruth A","non-dropping-particle":"","parse-names":false,"suffix":""}],"container-title":"Neuropsychopharmacology","id":"ITEM-1","issue":"13","issued":{"date-parts":[["2015","12","8"]]},"page":"2948-2959","title":"A Cannabinoid CB1 Receptor-Positive Allosteric Modulator Reduces Neuropathic Pain in the Mouse with No Psychoactive Effects","type":"article-journal","volume":"40"},"uris":["http://www.mendeley.com/documents/?uuid=1236174a-552d-3050-9725-8feeb427aa31"]}],"mendeley":{"formattedCitation":"Ignatowska-Jankowska et al., 2015","plainTextFormattedCitation":"Ignatowska-Jankowska et al., 2015","previouslyFormattedCitation":"(Ignatowska-Jankowska et al., 2015)"},"properties":{"noteIndex":0},"schema":"https://github.com/citation-style-language/schema/raw/master/csl-citation.json"}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Ignatowska-Jankowska et al., 2015</w:t>
            </w:r>
            <w:r w:rsidRPr="00DE7555">
              <w:rPr>
                <w:rFonts w:ascii="Times New Roman" w:hAnsi="Times New Roman" w:cs="Times New Roman"/>
                <w:lang w:val="en-GB"/>
              </w:rPr>
              <w:fldChar w:fldCharType="end"/>
            </w:r>
          </w:p>
        </w:tc>
      </w:tr>
      <w:tr w:rsidR="00043312" w:rsidRPr="008178CC" w14:paraId="7061462E" w14:textId="77777777" w:rsidTr="00DE7555">
        <w:tc>
          <w:tcPr>
            <w:tcW w:w="0" w:type="auto"/>
          </w:tcPr>
          <w:p w14:paraId="5B9F5E79" w14:textId="7CBF9781"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α-/β-</w:t>
            </w:r>
            <w:proofErr w:type="spellStart"/>
            <w:r w:rsidRPr="00DE7555">
              <w:rPr>
                <w:rFonts w:ascii="Times New Roman" w:hAnsi="Times New Roman" w:cs="Times New Roman"/>
                <w:lang w:val="en-GB"/>
              </w:rPr>
              <w:t>amyrin</w:t>
            </w:r>
            <w:proofErr w:type="spellEnd"/>
          </w:p>
        </w:tc>
        <w:tc>
          <w:tcPr>
            <w:tcW w:w="0" w:type="auto"/>
          </w:tcPr>
          <w:p w14:paraId="0BF839B4" w14:textId="51DE9C21"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0.133</w:t>
            </w:r>
          </w:p>
        </w:tc>
        <w:tc>
          <w:tcPr>
            <w:tcW w:w="0" w:type="auto"/>
          </w:tcPr>
          <w:p w14:paraId="6D1E80DA" w14:textId="1B495FB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5AFDCAE" w14:textId="6670BEEC"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4CCA5787" w14:textId="15A0E84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1,989</w:t>
            </w:r>
          </w:p>
        </w:tc>
        <w:tc>
          <w:tcPr>
            <w:tcW w:w="0" w:type="auto"/>
          </w:tcPr>
          <w:p w14:paraId="14689697" w14:textId="3C6F521C"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F9D28DD" w14:textId="46AABD4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98CA52C" w14:textId="76218817"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6FA6E2C" w14:textId="579BB61C"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{"citationItems":[{"id":"ITEM-1","itemData":{"DOI":"10.1111/j.1476-5381.2012.02059.x","ISSN":"1476-5381","PMID":"22646533","abstract":"BACKGROUND AND PURPOSE Pharmacological activation of cannabinoid CB(1) and CB(2) receptors is a therapeutic strategy to treat chronic and inflammatory pain. It was recently reported that a mixture of natural triterpenes α- and β-amyrin bound selectively to CB(1) receptors with a subnanomolar K(i) value (133 pM). Orally administered α/β-amyrin inhibited inflammatory and persistent neuropathic pain in mice through both CB(1) and CB(2) receptors. Here, we investigated effects of amyrins on the major components of the endocannabinoid system. EXPERIMENTAL APPROACH We measured CB receptor binding interactions of α- and β-amyrin in validated binding assays using hCB(1) and hCB(2) transfected CHO-K1 cells. Effects on endocannabinoid transport in U937 cells and breakdown using homogenates of BV2 cells and pig brain, as well as purified enzymes, were also studied. KEY RESULTS There was no binding of either α- or β-amyrin to hCB receptors in our assays (K(i) &gt; 10 µM). The triterpene β-amyrin potently inhibited 2-arachidonoyl glycerol (2-AG) hydrolysis in pig brain homogenates, but not that of anandamide. Although β-amyrin only weakly inhibited purified human monoacylglycerol lipase (MAGL), it also inhibited α,β-hydrolases and more potently inhibited 2-AG breakdown than α-amyrin and the MAGL inhibitor pristimerin in BV2 cell and pig brain homogenates. CONCLUSIONS AND IMPLICATIONS We propose that β-amyrin exerts its analgesic and anti-inflammatory pharmacological effects via indirect cannabimimetic mechanisms by inhibiting the degradation of the endocannabinoid 2-AG without interacting directly with CB receptors. Triterpenoids appear to offer a very broad and largely unexplored scaffold for inhibitors of the enzymic degradation of 2-AG. LINKED ARTICLES This article is part of a themed section on Cannabinoids. To view the other articles in this section visit http://dx.doi.org/10.1111/bph.2012.167.issue-8.","author":[{"dropping-particle":"","family":"Chicca","given":"A","non-dropping-particle":"","parse-names":false,"suffix":""},{"dropping-particle":"","family":"Marazzi","given":"J","non-dropping-particle":"","parse-names":false,"suffix":""},{"dropping-particle":"","family":"Gertsch","given":"J","non-dropping-particle":"","parse-names":false,"suffix":""}],"container-title":"British journal of pharmacology","id":"ITEM-1","issue":"8","issued":{"date-parts":[["2012","12"]]},"page":"1596-608","publisher":"Wiley-Blackwell","title":"The antinociceptive triterpene β-amyrin inhibits 2-arachidonoylglycerol (2-AG) hydrolysis without directly targeting cannabinoid receptors.","type":"article-journal","volume":"167"},"uris":["http://www.mendeley.com/documents/?uuid=c9f5b4f4-19a0-3fe8-83db-93c6b03fe758"]}],"mendeley":{"formattedCitation":"Chicca et al., 2012","plainTextFormattedCitation":"Chicca et al., 2012","previouslyFormattedCitation":"(Chicca et al., 2012)"},"properties":{"noteIndex":0},"schema":"https://github.com/citation-style-language/schema/raw/master/csl-citation.json"}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Chicca et al., 2012</w:t>
            </w:r>
            <w:r w:rsidRPr="00DE7555">
              <w:rPr>
                <w:rFonts w:ascii="Times New Roman" w:hAnsi="Times New Roman" w:cs="Times New Roman"/>
                <w:lang w:val="en-GB"/>
              </w:rPr>
              <w:fldChar w:fldCharType="end"/>
            </w:r>
          </w:p>
        </w:tc>
      </w:tr>
      <w:bookmarkEnd w:id="1"/>
      <w:tr w:rsidR="00043312" w:rsidRPr="008178CC" w14:paraId="66862746" w14:textId="77777777" w:rsidTr="00DE7555">
        <w:tc>
          <w:tcPr>
            <w:tcW w:w="0" w:type="auto"/>
            <w:gridSpan w:val="9"/>
          </w:tcPr>
          <w:p w14:paraId="15E753CA" w14:textId="4A00E390" w:rsidR="00ED0FEB" w:rsidRPr="00DE7555" w:rsidRDefault="00ED0FEB" w:rsidP="00724E70">
            <w:pPr>
              <w:rPr>
                <w:rFonts w:ascii="Times New Roman" w:hAnsi="Times New Roman" w:cs="Times New Roman"/>
                <w:lang w:val="en-GB"/>
              </w:rPr>
            </w:pPr>
            <w:r w:rsidRPr="00DE7555">
              <w:rPr>
                <w:rFonts w:ascii="Times New Roman" w:hAnsi="Times New Roman" w:cs="Times New Roman"/>
                <w:b/>
                <w:lang w:val="en-GB"/>
              </w:rPr>
              <w:t>Selective CB</w:t>
            </w:r>
            <w:r w:rsidRPr="00DE7555">
              <w:rPr>
                <w:rFonts w:ascii="Times New Roman" w:hAnsi="Times New Roman" w:cs="Times New Roman"/>
                <w:b/>
                <w:vertAlign w:val="subscript"/>
                <w:lang w:val="en-GB"/>
              </w:rPr>
              <w:t xml:space="preserve">2 </w:t>
            </w:r>
            <w:r w:rsidRPr="00DE7555">
              <w:rPr>
                <w:rFonts w:ascii="Times New Roman" w:hAnsi="Times New Roman" w:cs="Times New Roman"/>
                <w:b/>
                <w:lang w:val="en-GB"/>
              </w:rPr>
              <w:t>agonists</w:t>
            </w:r>
          </w:p>
        </w:tc>
      </w:tr>
      <w:tr w:rsidR="00043312" w:rsidRPr="008178CC" w14:paraId="6E1D6CEE" w14:textId="4D6ECE1C" w:rsidTr="00E5612A">
        <w:tc>
          <w:tcPr>
            <w:tcW w:w="0" w:type="auto"/>
          </w:tcPr>
          <w:p w14:paraId="49D60DB1" w14:textId="3D20B912" w:rsidR="00043312" w:rsidRPr="00DE7555" w:rsidRDefault="00043312" w:rsidP="00724E70">
            <w:pPr>
              <w:rPr>
                <w:rFonts w:ascii="Times New Roman" w:hAnsi="Times New Roman" w:cs="Times New Roman"/>
                <w:lang w:val="en-GB"/>
              </w:rPr>
            </w:pPr>
            <w:bookmarkStart w:id="3" w:name="_Hlk7366021"/>
            <w:bookmarkStart w:id="4" w:name="_Hlk5628030"/>
            <w:bookmarkEnd w:id="2"/>
            <w:r w:rsidRPr="00DE7555">
              <w:rPr>
                <w:rFonts w:ascii="Times New Roman" w:hAnsi="Times New Roman" w:cs="Times New Roman"/>
                <w:lang w:val="en-GB"/>
              </w:rPr>
              <w:t xml:space="preserve">AM1241 </w:t>
            </w:r>
          </w:p>
        </w:tc>
        <w:tc>
          <w:tcPr>
            <w:tcW w:w="0" w:type="auto"/>
          </w:tcPr>
          <w:p w14:paraId="33D808E2" w14:textId="6FD91FA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280</w:t>
            </w:r>
          </w:p>
        </w:tc>
        <w:tc>
          <w:tcPr>
            <w:tcW w:w="939" w:type="dxa"/>
          </w:tcPr>
          <w:p w14:paraId="44BF963A" w14:textId="64C2397B"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2041" w:type="dxa"/>
          </w:tcPr>
          <w:p w14:paraId="00FB2401" w14:textId="2248E94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1D987D1" w14:textId="7F6698BE"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3.4</w:t>
            </w:r>
          </w:p>
        </w:tc>
        <w:tc>
          <w:tcPr>
            <w:tcW w:w="0" w:type="auto"/>
          </w:tcPr>
          <w:p w14:paraId="0228A88E" w14:textId="50B65AD0"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0314760" w14:textId="278DE691"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113C1BDE" w14:textId="0219C810"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EE5F1F9" w14:textId="13F68826"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Cannabinoids","type":"report","volume":"168"},"uris":["http://www.mendeley.com/documents/?uuid=8d8d4100-5521-3c8a-91fc-02214b8beb11"]}],"mendeley":{"formattedCitation":"Pertwee, 2005","plainTextFormattedCitation":"Pertwee, 2005","previouslyFormattedCitation":"(Pertwee, 2005)"},"properties":{"noteIndex":0},"schema":"https://github.com/citation-style-language/schema/raw/master/csl-citation.json"}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Pertwee, 2005</w:t>
            </w:r>
            <w:r w:rsidRPr="00DE7555">
              <w:rPr>
                <w:rFonts w:ascii="Times New Roman" w:hAnsi="Times New Roman" w:cs="Times New Roman"/>
                <w:lang w:val="en-GB"/>
              </w:rPr>
              <w:fldChar w:fldCharType="end"/>
            </w:r>
          </w:p>
        </w:tc>
      </w:tr>
      <w:tr w:rsidR="00043312" w:rsidRPr="00DE7555" w14:paraId="32E7EEF1" w14:textId="77777777" w:rsidTr="00E5612A">
        <w:tc>
          <w:tcPr>
            <w:tcW w:w="0" w:type="auto"/>
          </w:tcPr>
          <w:p w14:paraId="2A36566C" w14:textId="51390649"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AM1710</w:t>
            </w:r>
          </w:p>
        </w:tc>
        <w:tc>
          <w:tcPr>
            <w:tcW w:w="0" w:type="auto"/>
          </w:tcPr>
          <w:p w14:paraId="019E3C4A" w14:textId="157427B6"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398.1</w:t>
            </w:r>
          </w:p>
        </w:tc>
        <w:tc>
          <w:tcPr>
            <w:tcW w:w="939" w:type="dxa"/>
          </w:tcPr>
          <w:p w14:paraId="2E7B8833" w14:textId="4DA6E87E"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2041" w:type="dxa"/>
          </w:tcPr>
          <w:p w14:paraId="5424D189" w14:textId="77A14E9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23876547" w14:textId="24243767"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6.3</w:t>
            </w:r>
          </w:p>
        </w:tc>
        <w:tc>
          <w:tcPr>
            <w:tcW w:w="0" w:type="auto"/>
          </w:tcPr>
          <w:p w14:paraId="1C451130" w14:textId="3790025F"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0B1215A" w14:textId="66AD164A"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4659350A" w14:textId="5692A7D8"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7549513" w14:textId="0BCF96A3"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{"citationItems":[{"id":"ITEM-1","itemData":{"DOI":"10.1021/jm070441u","ISSN":"0022-2623","PMID":"18038967","abstract":"The identification of the CB2 cannabinoid receptor has provided a novel target for the development of therapeutically useful cannabinergic molecules. We have synthesized benzo[ c]chromen-6-one analogs possessing high affinity and selectivity for this receptor. These novel compounds are structurally related to cannabinol (6,6,9-trimethyl-3-pentyl-6 H-benzo[ c]chromen-1-ol), a natural constituent of cannabis with modest CB2 selectivity. Key pharmacophoric features of the new selective agonists include a 3-(1',1'-dimethylheptyl) side chain and a 6-oxo group on the cannabinoid tricyclic structure that characterizes this class of compounds as \"cannabilactones.\" Our results suggest that the six-membered lactone pharmacophore is critical for CB2 receptor selectivity. Optimal receptor subtype selectivity of 490-fold and subnanomolar affinity for the CB2 receptor is exhibited by a 9-hydroxyl analog 5 (AM1714), while the 9-methoxy analog 4b (AM1710) had a 54-fold CB2 selectivity. X-ray crystallography and molecular modeling show the cannabilactones to have a planar ring conformation. In vitro testing revealed that the novel compounds are CB2 agonists, while in vivo testing of cannabilactones 4b and 5 found them to possess potent peripheral analgesic activity.","author":[{"dropping-particle":"","family":"Khanolkar","given":"Atmaram D.","non-dropping-particle":"","parse-names":false,"suffix":""},{"dropping-particle":"","family":"Lu","given":"Dai","non-dropping-particle":"","parse-names":false,"suffix":""},{"dropping-particle":"","family":"Ibrahim","given":"Mohab","non-dropping-particle":"","parse-names":false,"suffix":""},{"dropping-particle":"","family":"Duclos, Jr.","given":"Richard I.","non-dropping-particle":"","parse-names":false,"suffix":""},{"dropping-particle":"","family":"Thakur","given":"Ganesh A.","non-dropping-particle":"","parse-names":false,"suffix":""},{"dropping-particle":"","family":"Malan, Jr.","given":"T. Phillip","non-dropping-particle":"","parse-names":false,"suffix":""},{"dropping-particle":"","family":"Porreca","given":"Frank","non-dropping-particle":"","parse-names":false,"suffix":""},{"dropping-particle":"","family":"Veerappan","given":"Vijayabaskar","non-dropping-particle":"","parse-names":false,"suffix":""},{"dropping-particle":"","family":"Tian","given":"Xiaoyu","non-dropping-particle":"","parse-names":false,"suffix":""},{"dropping-particle":"","family":"George","given":"Clifford","non-dropping-particle":"","parse-names":false,"suffix":""},{"dropping-particle":"","family":"Parrish","given":"Damon A.","non-dropping-particle":"","parse-names":false,"suffix":""},{"dropping-particle":"","family":"Papahatjis","given":"Demetris P.","non-dropping-particle":"","parse-names":false,"suffix":""},{"dropping-particle":"","family":"Makriyannis","given":"Alexandros","non-dropping-particle":"","parse-names":false,"suffix":""}],"container-title":"Journal of Medicinal Chemistry","id":"ITEM-1","issue":"26","issued":{"date-parts":[["2007","12","27"]]},"page":"6493-6500","title":"Cannabilactones: A Novel Class of CB2 Selective Agonists with Peripheral Analgesic Activity","type":"article-journal","volume":"50"},"uris":["http://www.mendeley.com/documents/?uuid=17299be9-8d6c-3fa3-8c62-28cb5c792d11"]}],"mendeley":{"formattedCitation":"Khanolkar et al., 2007","plainTextFormattedCitation":"Khanolkar et al., 2007","previouslyFormattedCitation":"(Khanolkar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Khanolkar et al., 2007</w:t>
            </w:r>
            <w:r w:rsidRPr="00DE7555">
              <w:rPr>
                <w:rFonts w:ascii="Times New Roman" w:hAnsi="Times New Roman" w:cs="Times New Roman"/>
                <w:lang w:val="en-GB"/>
              </w:rPr>
              <w:fldChar w:fldCharType="end"/>
            </w:r>
          </w:p>
        </w:tc>
      </w:tr>
      <w:tr w:rsidR="00043312" w:rsidRPr="008178CC" w14:paraId="426CF54D" w14:textId="77777777" w:rsidTr="00E5612A">
        <w:tc>
          <w:tcPr>
            <w:tcW w:w="0" w:type="auto"/>
          </w:tcPr>
          <w:p w14:paraId="6CFC1403" w14:textId="77777777"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APD-371 </w:t>
            </w:r>
          </w:p>
          <w:p w14:paraId="139A7E75" w14:textId="49AB52C6" w:rsidR="00043312" w:rsidRPr="00DE7555" w:rsidRDefault="00E5612A" w:rsidP="00724E70">
            <w:pPr>
              <w:rPr>
                <w:rFonts w:ascii="Times New Roman" w:hAnsi="Times New Roman" w:cs="Times New Roman"/>
                <w:lang w:val="en-GB"/>
              </w:rPr>
            </w:pPr>
            <w:r>
              <w:rPr>
                <w:rFonts w:ascii="Times New Roman" w:hAnsi="Times New Roman" w:cs="Times New Roman"/>
                <w:lang w:val="en-GB"/>
              </w:rPr>
              <w:t xml:space="preserve">aka </w:t>
            </w:r>
            <w:proofErr w:type="spellStart"/>
            <w:r>
              <w:rPr>
                <w:rFonts w:ascii="Times New Roman" w:hAnsi="Times New Roman" w:cs="Times New Roman"/>
                <w:lang w:val="en-GB"/>
              </w:rPr>
              <w:t>o</w:t>
            </w:r>
            <w:r w:rsidR="00043312" w:rsidRPr="00DE7555">
              <w:rPr>
                <w:rFonts w:ascii="Times New Roman" w:hAnsi="Times New Roman" w:cs="Times New Roman"/>
                <w:lang w:val="en-GB"/>
              </w:rPr>
              <w:t>lorinab</w:t>
            </w:r>
            <w:proofErr w:type="spellEnd"/>
          </w:p>
        </w:tc>
        <w:tc>
          <w:tcPr>
            <w:tcW w:w="0" w:type="auto"/>
          </w:tcPr>
          <w:p w14:paraId="28F21D55" w14:textId="14279B5C"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939" w:type="dxa"/>
          </w:tcPr>
          <w:p w14:paraId="6B5BFCA6" w14:textId="181FC3D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&gt;10,000</w:t>
            </w:r>
          </w:p>
        </w:tc>
        <w:tc>
          <w:tcPr>
            <w:tcW w:w="2041" w:type="dxa"/>
          </w:tcPr>
          <w:p w14:paraId="42F8640A" w14:textId="7CAC8DFC"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4E22B7A9" w14:textId="779F74B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19.4</w:t>
            </w:r>
          </w:p>
        </w:tc>
        <w:tc>
          <w:tcPr>
            <w:tcW w:w="0" w:type="auto"/>
          </w:tcPr>
          <w:p w14:paraId="24ECBB0B" w14:textId="69B359A0"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6.2</w:t>
            </w:r>
          </w:p>
        </w:tc>
        <w:tc>
          <w:tcPr>
            <w:tcW w:w="0" w:type="auto"/>
          </w:tcPr>
          <w:p w14:paraId="28D05702" w14:textId="3F80D9D7"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5BA6C28A" w14:textId="0B482830"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78207AB" w14:textId="60AD24F1"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{"citationItems":[{"id":"ITEM-1","itemData":{"DOI":"10.1021/acsmedchemlett.7b00396","ISSN":"1948-5875","abstract":"The discovery of a novel, selective and fully efficacious CB2 agonist with satisfactory pharmacokinetic and pharmaceutical properties is described. Compound 6 was efficacious in a rat model of osteoarthritis pain following oral administration and, in contrast to morphine, maintained its analgesic effect throughout a 5-day subchronic treatment paradigm. These data were consistent with our hypothesis that full agonist efficacy is required for efficient internalization and recycling of the CB2 receptor to avoid tachyphylaxis. Based on its overall favorable preclinical profile, 6 (APD371) was selected for further development for the treatment of pain.","author":[{"dropping-particle":"","family":"Han","given":"Sangdon","non-dropping-particle":"","parse-names":false,"suffix":""},{"dropping-particle":"","family":"Thoresen","given":"Lars","non-dropping-particle":"","parse-names":false,"suffix":""},{"dropping-particle":"","family":"Jung","given":"Jae-Kyu","non-dropping-particle":"","parse-names":false,"suffix":""},{"dropping-particle":"","family":"Zhu","given":"Xiuwen","non-dropping-particle":"","parse-names":false,"suffix":""},{"dropping-particle":"","family":"Thatte","given":"Jayant","non-dropping-particle":"","parse-names":false,"suffix":""},{"dropping-particle":"","family":"Solomon","given":"Michelle","non-dropping-particle":"","parse-names":false,"suffix":""},{"dropping-particle":"","family":"Gaidarov","given":"Ibragim","non-dropping-particle":"","parse-names":false,"suffix":""},{"dropping-particle":"","family":"Unett","given":"David J.","non-dropping-particle":"","parse-names":false,"suffix":""},{"dropping-particle":"","family":"Yoon","given":"Woo Hyun","non-dropping-particle":"","parse-names":false,"suffix":""},{"dropping-particle":"","family":"Barden","given":"Jeremy","non-dropping-particle":"","parse-names":false,"suffix":""},{"dropping-particle":"","family":"Sadeque","given":"Abu","non-dropping-particle":"","parse-names":false,"suffix":""},{"dropping-particle":"","family":"Usmani","given":"Amin","non-dropping-particle":"","parse-names":false,"suffix":""},{"dropping-particle":"","family":"Chen","given":"Chuan","non-dropping-particle":"","parse-names":false,"suffix":""},{"dropping-particle":"","family":"Semple","given":"Graeme","non-dropping-particle":"","parse-names":false,"suffix":""},{"dropping-particle":"","family":"Grottick","given":"Andrew J.","non-dropping-particle":"","parse-names":false,"suffix":""},{"dropping-particle":"","family":"Al-Shamma","given":"Hussein","non-dropping-particle":"","parse-names":false,"suffix":""},{"dropping-particle":"","family":"Christopher","given":"Ronald","non-dropping-particle":"","parse-names":false,"suffix":""},{"dropping-particle":"","family":"Jones","given":"Robert M.","non-dropping-particle":"","parse-names":false,"suffix":""}],"container-title":"ACS Medicinal Chemistry Letters","id":"ITEM-1","issue":"12","issued":{"date-parts":[["2017","12","14"]]},"page":"1309-1313","publisher":"American Chemical Society","title":"Discovery of APD371: Identification of a Highly Potent and Selective CB &lt;sub&gt;2&lt;/sub&gt; Agonist for the Treatment of Chronic Pain","type":"article-journal","volume":"8"},"uris":["http://www.mendeley.com/documents/?uuid=80a344be-f5d2-32bd-b7c7-3a4639b81daa"]}],"mendeley":{"formattedCitation":"Han et al., 2017","manualFormatting":"Han et al., 2017","plainTextFormattedCitation":"Han et al., 2017","previouslyFormattedCitation":"(Han et al., 2017)"},"properties":{"noteIndex":0},"schema":"https://github.com/citation-style-language/schema/raw/master/csl-citation.json"}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Han et al., 2017</w:t>
            </w:r>
            <w:r w:rsidRPr="00DE7555">
              <w:rPr>
                <w:rFonts w:ascii="Times New Roman" w:hAnsi="Times New Roman" w:cs="Times New Roman"/>
                <w:lang w:val="en-GB"/>
              </w:rPr>
              <w:fldChar w:fldCharType="end"/>
            </w:r>
          </w:p>
        </w:tc>
      </w:tr>
      <w:tr w:rsidR="00043312" w:rsidRPr="008178CC" w14:paraId="636811A9" w14:textId="77777777" w:rsidTr="00E5612A">
        <w:tc>
          <w:tcPr>
            <w:tcW w:w="0" w:type="auto"/>
          </w:tcPr>
          <w:p w14:paraId="5B988485" w14:textId="77777777"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GW-405,833 </w:t>
            </w:r>
          </w:p>
          <w:p w14:paraId="4BAE58FF" w14:textId="0520CA3F"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aka L-768,242</w:t>
            </w:r>
          </w:p>
        </w:tc>
        <w:tc>
          <w:tcPr>
            <w:tcW w:w="0" w:type="auto"/>
          </w:tcPr>
          <w:p w14:paraId="7A98FEA8" w14:textId="3B4CD1C4"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2,043</w:t>
            </w:r>
          </w:p>
        </w:tc>
        <w:tc>
          <w:tcPr>
            <w:tcW w:w="939" w:type="dxa"/>
          </w:tcPr>
          <w:p w14:paraId="5A6E72EF" w14:textId="32E02CBA"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2041" w:type="dxa"/>
          </w:tcPr>
          <w:p w14:paraId="5A3C170F" w14:textId="48EB0531"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E4D8B4A" w14:textId="6C839B9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14</w:t>
            </w:r>
          </w:p>
        </w:tc>
        <w:tc>
          <w:tcPr>
            <w:tcW w:w="0" w:type="auto"/>
          </w:tcPr>
          <w:p w14:paraId="0FE584DB" w14:textId="2322AC58"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0.65</w:t>
            </w:r>
          </w:p>
        </w:tc>
        <w:tc>
          <w:tcPr>
            <w:tcW w:w="0" w:type="auto"/>
          </w:tcPr>
          <w:p w14:paraId="73267968" w14:textId="5315546A"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partial agonist</w:t>
            </w:r>
          </w:p>
        </w:tc>
        <w:tc>
          <w:tcPr>
            <w:tcW w:w="0" w:type="auto"/>
          </w:tcPr>
          <w:p w14:paraId="260C7F4C" w14:textId="618E2CF9"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87C4B78" w14:textId="54C35F96"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{"citationItems":[{"id":"ITEM-1","itemData":{"DOI":"10.1016/0960-894X(96)00426-X","ISSN":"0960-894X","abstract":"A new class of potent ligand for the human peripheral cannabinoid (hCB2) receptor is described. Two indole analogs 13 and 17 exhibited nanomolar potencies (Ki) with good selectivity for the hCB2 receptor over the human central cannabinoid (hCB1) receptor.","author":[{"dropping-particle":"","family":"Gallant","given":"Michel","non-dropping-particle":"","parse-names":false,"suffix":""},{"dropping-particle":"","family":"Dufresne","given":"Claude","non-dropping-particle":"","parse-names":false,"suffix":""},{"dropping-particle":"","family":"Gareau","given":"Yves","non-dropping-particle":"","parse-names":false,"suffix":""},{"dropping-particle":"","family":"Guay","given":"Daniel","non-dropping-particle":"","parse-names":false,"suffix":""},{"dropping-particle":"","family":"Leblanc","given":"Yves","non-dropping-particle":"","parse-names":false,"suffix":""},{"dropping-particle":"","family":"Prasit","given":"Petpiboon","non-dropping-particle":"","parse-names":false,"suffix":""},{"dropping-particle":"","family":"Rochette","given":"Chantal","non-dropping-particle":"","parse-names":false,"suffix":""},{"dropping-particle":"","family":"Sawyer","given":"Nicole","non-dropping-particle":"","parse-names":false,"suffix":""},{"dropping-particle":"","family":"Slipetz","given":"Deborah</w:instrText>
            </w:r>
            <w:r w:rsidRPr="008178CC">
              <w:rPr>
                <w:rFonts w:ascii="Times New Roman" w:hAnsi="Times New Roman" w:cs="Times New Roman"/>
                <w:lang w:val="en-US"/>
              </w:rPr>
              <w:instrText xml:space="preserve"> </w:instrText>
            </w:r>
            <w:r w:rsidRPr="00DE7555">
              <w:rPr>
                <w:rFonts w:ascii="Times New Roman" w:hAnsi="Times New Roman" w:cs="Times New Roman"/>
                <w:lang w:val="fr-FR"/>
              </w:rPr>
              <w:instrText>M.","non-dropping-particle":"","parse-names":false,"suffix":""},{"dropping-particle":"","family":"Tremblay","given":"Nathalie","non-dropping-particle":"","parse-names":false,"suffix":""},{"dropping-particle":"","family":"Metters","given":"Kathleen M.","non-dropping-particle":"","parse-names":false,"suffix":""},{"dropping-particle":"","family":"Labelle","given":"Marc","non-dropping-parti</w:instrText>
            </w:r>
            <w:r w:rsidRPr="00DE7555">
              <w:rPr>
                <w:rFonts w:ascii="Times New Roman" w:hAnsi="Times New Roman" w:cs="Times New Roman"/>
                <w:lang w:val="en-GB"/>
              </w:rPr>
              <w:instrText>cle":"","parse-names":false,"suffix":""}],"container-title":"Bioorganic &amp; Medicinal Chemistry Letters","id":"ITEM-1","issue":"19","issued":{"date-parts":[["1996","10","8"]]},"page":"2263-2268","publisher":"Pergamon","title":"New class of potent ligands for the human peripheral cannabinoid receptor","type":"article-journal","volume":"6"},"uris":["http://www.mendeley.com/documents/?uuid=52ea158a-b1ca-3a17-bcac-ae42574398d9"]},{"id":"ITEM-2","itemData":{"DOI":"10.2174/156802608783498014","ISSN":"15680266","author":[{"dropping-particle":"","family":"Huffman","given":"John","non-dropping-particle":"","parse-names":false,"suffix":""},{"dropping-particle":"","family":"Marriott","given":"Karla-Sue","non-dropping-particle":"","parse-names":false,"suffix":""}],"container-title":"Current Topics in Medicinal Chemistry","id":"ITEM-2","issue":"3","issued":{"date-parts":[["2008","2","1"]]},"page":"187-204","title":"Recent Advances in the Development of Selective Ligands for the Cannabinoid CB2 Receptor","type":"article-journal","volume":"8"},"uris":["http://www.mendeley.com/documents/?uuid=386fc229-f1cf-3593-9213-2b9fcb357091"]}],"mendeley":{"formattedCitation":"Gallant et al., 1996; Huffman and Marriott, 2008","plainTextFormattedCitation":"Gallant et al., 1996; Huffman and Marriott, 2008","previouslyFormattedCitation":"(Gallant et al., 1996; Huffman and Marriott, 2008)"},"properties":{"noteIndex":0},"schema":"https://github.com/citation-style-language/schema/raw/master/csl-citation.json"}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Gallant et al., 1996; Huffman and Marriott, 2008</w:t>
            </w:r>
            <w:r w:rsidRPr="00DE7555">
              <w:rPr>
                <w:rFonts w:ascii="Times New Roman" w:hAnsi="Times New Roman" w:cs="Times New Roman"/>
                <w:lang w:val="en-GB"/>
              </w:rPr>
              <w:fldChar w:fldCharType="end"/>
            </w:r>
          </w:p>
        </w:tc>
      </w:tr>
      <w:tr w:rsidR="00043312" w:rsidRPr="00DE7555" w14:paraId="6D284419" w14:textId="77777777" w:rsidTr="00E5612A">
        <w:tc>
          <w:tcPr>
            <w:tcW w:w="0" w:type="auto"/>
          </w:tcPr>
          <w:p w14:paraId="4DE9F917" w14:textId="62E3D30C"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GW-842,166X</w:t>
            </w:r>
          </w:p>
        </w:tc>
        <w:tc>
          <w:tcPr>
            <w:tcW w:w="0" w:type="auto"/>
          </w:tcPr>
          <w:p w14:paraId="2405BF06" w14:textId="62675B8A"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939" w:type="dxa"/>
          </w:tcPr>
          <w:p w14:paraId="0B7E1097" w14:textId="6A8B346A"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˃30,000</w:t>
            </w:r>
          </w:p>
        </w:tc>
        <w:tc>
          <w:tcPr>
            <w:tcW w:w="2041" w:type="dxa"/>
          </w:tcPr>
          <w:p w14:paraId="7E4F284D" w14:textId="750A9AFF"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DC9FBB2" w14:textId="3391ABB8"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8C9C0E5" w14:textId="147FC124"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63</w:t>
            </w:r>
          </w:p>
        </w:tc>
        <w:tc>
          <w:tcPr>
            <w:tcW w:w="0" w:type="auto"/>
          </w:tcPr>
          <w:p w14:paraId="3EF9D3E1" w14:textId="09161A01"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11422B8B" w14:textId="2F4CD7C8"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28D2DF1" w14:textId="18BF5748"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{"citationItems":[{"id":"ITEM-1","itemData":{"DOI":"10.1021/jm061195+","ISSN":"0022-2623","PMID":"17477516","abstract":"Selective CB2 receptor agonists are promising potential therapeutic agents for the treatment of inflammatory and neuropathic pain. A focused screen identified a pyrimidine ester as a partial agonist at the CB2 receptor with micromolar potency. Subsequent lead optimization identified 35, GW842166X, as the optimal compound in the series. 35 has an oral ED50 of 0.1 mg/kg in the rat FCA model of inflammatory pain and was selected as a clinical candidate for this indication.","author":[{"dropping-particle":"","family":"Giblin","given":"Gerard M P","non-dropping-particle":"","parse-names":false,"suffix":""},{"dropping-particle":"","family":"O'Shaughnessy","given":"Celestine T","non-dropping-particle":"","parse-names":false,"suffix":""},{"dropping-particle":"","family":"Naylor","given":"Alan","non-dropping-particle":"","parse-names":false,"suffix":""},{"dropping-particle":"","family":"Mitchell","given":"William L","non-dropping-particle":"","parse-names":false,"suffix":""},{"dropping-particle":"","family":"Eatherton","given":"Andrew J","non-dropping-particle":"","parse-names":false,"suffix":""},{"dropping-particle":"","family":"Slingsby","given":"Brian P","non-dropping-particle":"","parse-names":false,"suffix":""},{"dropping-particle":"","family":"Rawlings","given":"D Anthony","non-dropping-particle":"","parse-names":false,"suffix":""},{"dropping-particle":"","family":"Goldsmith","given":"Paul","non-dropping-particle":"","parse-names":false,"suffix":""},{"dropping-particle":"","family":"Brown","given":"Andrew J","non-dropping-particle":"","parse-names":false,"suffix":""},{"dropping-particle":"","family":"Haslam","given":"Carl P","non-dropping-particle":"","parse-names":false,"suffix":""},{"dropping-particle":"","family":"Clayton","given":"Nick M","non-dropping-particle":"","parse-names":false,"suffix":""},{"dropping-particle":"","family":"Wilson","given":"Alex W","non-dropping-particle":"","parse-names":false,"suffix":""},{"dropping-particle":"","family":"Chessell","given":"Iain P","non-dropping-particle":"","parse-names":false,"suffix":""},{"dropping-particle":"","family":"Wittington","given":"Andrew R","non-dropping-particle":"","parse-names":false,"suffix":""},{"dropping-particle":"","family":"Green","given":"Richard","non-dropping-particle":"","parse-names":false,"suffix":""}],"container-title":"Journal of medicinal chemistry","id":"ITEM-1","issue":"11","issued":{"date-parts":[["2007","5","31"]]},"page":"2597-600","title":"Discovery of 2-[(2,4-dichlorophenyl)amino]-N-[(tetrahydro- 2H-pyran-4-yl)methyl]-4-(trifluoromethyl)- 5-pyrimidinecarboxamide, a selective CB2 receptor agonist for the treatment of inflammatory pain.","type":"article-journal","volume":"50"},"uris":["http://www.mendeley.com/documents/?uuid=92e0d8a2-0557-35fc-8d49-b43199eb3ff0"]},{"id":"ITEM-2","itemData":{"DOI":"10.1021/jm9009857","PMID":"19743867","abstract":"We report the synthesis and SAR of a series of novel azaindole CB(2) agonists. 6-Azaindole 18 showed activity in an acute pain model but was inactive in a chronic model. 18 is a Pgp substrate with low brain penetration. The template was redesigned, and the resulting 5-azaindole 36 was a potent CB(2) agonist with high CNS penetration. This compound was efficacious in the acute model and the chronic joint pain model.","author":[{"dropping-particle":"","family":"Giblin","given":"Gerard M. P.","non-dropping-particle":"","parse-names":false,"suffix":""},{"dropping-particle":"","family":"Billinton","given":"Andrew","non-dropping-particle":"","parse-names":false,"suffix":""},{"dropping-particle":"","family":"Briggs","given":"Michael","non-dropping-particle":"","parse-names":false,"suffix":""},{"dropping-particle":"","family":"Brown","given":"Andrew J.","non-dropping-particle":"","parse-names":false,"suffix":""},{"dropping-particle":"","family":"Chessell","given":"Iain P.","non-dropping-particle":"","parse-names":false,"suffix":""},{"dropping-particle":"","family":"Clayton","given":"Nick M.","non-dropping-particle":"","parse-names":false,"suffix":""},{"dropping-particle":"","family":"Eatherton","given":"Andrew J.","non-dropping-particle":"","parse-names":false,"suffix":""},{"dropping-particle":"","family":"Goldsmith","given":"Paul","non-dropping-particle":"","parse-names":false,"suffix":""},{"dropping-particle":"","family":"Haslam","given":"Carl","non-dropping-particle":"","parse-names":false,"suffix":""},{"dropping-particle":"","family":"Johnson","given":"Matthew R.","non-dropping-particle":"","parse-names":false,"suffix":""},{"dropping-particle":"","family":"Mitchell","given":"William L.","non-dropping-particle":"","parse-names":false,"suffix":""},{"dropping-particle":"","family":"Naylor","given":"Alan","non-dropping-particle":"","parse-names":false,"suffix":""},{"dropping-particle":"","family":"Perboni","given":"Alcide","non-dropping-particle":"","parse-names":false,"suffix":""},{"dropping-particle":"","family":"Slingsby","given":"Brian P.","non-dropping-particle":"","parse-names":false,"suffix":""},{"dropping-particle":"","family":"Wilson","given":"Alex W.","non-dropping-particle":"","parse-names":false,"suffix":""}],"container-title":"Journal of Medicinal Chemistry","id":"ITEM-2","issue":"19","issued":{"date-parts":[["2009","10","8"]]},"page":"5785-5788","title":"Discovery of 1-[4-(3-Chlorophenylamino)-1-methyl-1H-pyrrolo[3,2-c]pyridin-7-yl]-1-morpholin-4-ylmethanone (GSK554418A), a Brain Penetrant 5-Azaindole CB2 Agonist for the Treatment of Chronic Pain","type":"article-journal","volume":"52"},"uris":["http://www.mendeley.com/documents/?uuid=c0a330b5-b320-3eb0-bbf7-45efccc38060"]}],"mendeley":{"formattedCitation":"Giblin et al., 2009, 2007","plainTextFormattedCitation":"Giblin et al., 2009, 2007","previouslyFormattedCitation":"(Giblin et al., 2009,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Giblin et al., 2009, 2007</w:t>
            </w:r>
            <w:r w:rsidRPr="00DE7555">
              <w:rPr>
                <w:rFonts w:ascii="Times New Roman" w:hAnsi="Times New Roman" w:cs="Times New Roman"/>
                <w:lang w:val="en-GB"/>
              </w:rPr>
              <w:fldChar w:fldCharType="end"/>
            </w:r>
          </w:p>
        </w:tc>
      </w:tr>
      <w:tr w:rsidR="00043312" w:rsidRPr="008178CC" w14:paraId="10A0018A" w14:textId="4680A337" w:rsidTr="00E5612A">
        <w:tc>
          <w:tcPr>
            <w:tcW w:w="0" w:type="auto"/>
          </w:tcPr>
          <w:p w14:paraId="506B1350" w14:textId="0B4FBDE7"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HU-308 </w:t>
            </w:r>
          </w:p>
        </w:tc>
        <w:tc>
          <w:tcPr>
            <w:tcW w:w="0" w:type="auto"/>
          </w:tcPr>
          <w:p w14:paraId="36D0BA4E" w14:textId="0D1824D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˃10,000</w:t>
            </w:r>
          </w:p>
        </w:tc>
        <w:tc>
          <w:tcPr>
            <w:tcW w:w="939" w:type="dxa"/>
          </w:tcPr>
          <w:p w14:paraId="7AD4C260" w14:textId="0CF7FDEB"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2041" w:type="dxa"/>
          </w:tcPr>
          <w:p w14:paraId="623E5DDD" w14:textId="1FFDFB70"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0881ECD" w14:textId="3C76EA1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22.7</w:t>
            </w:r>
          </w:p>
        </w:tc>
        <w:tc>
          <w:tcPr>
            <w:tcW w:w="0" w:type="auto"/>
          </w:tcPr>
          <w:p w14:paraId="0F1ED42E" w14:textId="2AD99F6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92BD88F" w14:textId="174053FB"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0112577F" w14:textId="1FA2653E"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t>glycine receptors</w:t>
            </w:r>
          </w:p>
        </w:tc>
        <w:tc>
          <w:tcPr>
            <w:tcW w:w="0" w:type="auto"/>
          </w:tcPr>
          <w:p w14:paraId="500252F1" w14:textId="4D7411CA"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Cannabinoids","type":"report","volume":"168"},"uris":["http://www.mendeley.com/documents/?uuid=8d8d4100-5521-3c8a-91fc-02214b8beb11"]},{"id":"ITEM-2","itemData":{"DOI":"10.1016/j.bcp.2008.07.037","ISSN":"00062952","PMID":"18755158","abstract":"Glycine receptors (GlyRs) mediate inhibitory neurotransmission in spinal cord motor and pain sensory neurons. Recent studies demonstrated apparently contradictory (potentiating versus inhibitory) effects of the endocannabinoid anandamide on these receptors. The present study characterised the effects of cannabinoid agonists on alpha1, alpha1beta, alpha2 and alpha3 GlyRs recombinantly expressed in HEK293 cells with the aims of reconciling effects of cannabinoids on these receptor subtypes and to establish the potential of different GlyR isoforms as novel physiological or analgesic targets for cannabinoids. The compounds investigated were anandamide, HU-210, HU-308, WIN55,212-2 and the endogenous non-cannabinoid, N-arachidonyl-glycine. The latter compound was chosen due to the structural similarity with anandamide and known analgesic actions in the spinal cord. Recombinant alpha1 and alpha1beta GlyRs were potentiated by anandamide and HU-210 at submicromolar concentrations, whereas WIN55,212-2 had no effect and HU-308 produced only weak inhibition. By contrast, N-arachidonyl-glycine exerted complex effects including both potentiation and inhibition. Anandamide had no effect at alpha2 or alpha3 GlyRs although the other cannabinoids produced potent inhibition. On alpha2 GlyRs, the inhibitory potency sequence was HU-210=WIN55,212-2&gt;HU-308&gt;N-arachidonyl-glycine but on alpha3 GlyRs it was HU-210=WIN55212=HU-308&gt;N-arachidonyl-glycine. These results suggest that alpha1, alpha2 and alpha3 containing GlyRs exhibit distinct pharmacological profiles for cannabinoids. We conclude that cannabinoid agonists may be useful as pharmacological tools for selectively inhibiting alpha2 and alpha3 GlyRs. Our results also establish GlyRs as potential novel targets for endogenous and exogenous cannabinoids.","author":[{"dropping-particle":"","family":"Yang","given":"Zhe","non-dropping-particle":"","parse-names":false,"suffix":""},{"dropping-particle":"","family":"Aubrey","given":"Karin R.","non-dropping-particle":"","parse-names":false,"suffix":""},{"dropping-particle":"","family":"Alroy","given":"Iris","non-dropping-particle":"","parse-names":false,"suffix":""},{"dropping-particle":"","family":"Harvey","given":"Robert J.","non-dropping-particle":"","parse-names":false,"suffix":""},{"dropping-particle":"","family":"Vandenberg","given":"Robert J.","non-dropping-particle":"","parse-names":false,"suffix":""},{"dropping-particle":"","family":"Lynch","given":"Joseph W.","non-dropping-particle":"","parse-names":false,"suffix":""}],"container-title":"Biochemical Pharmacology","id":"ITEM-2","issue":"8","issued":{"date-parts":[["2008","10","15"]]},"page":"1014-1023","title":"Subunit-specific modulation of glycine receptors by cannabinoids and N-arachidonyl-glycine","type":"article-journal","volume":"76"},"uris":["http://www.mendeley.com/documents/?uuid=cffa4937-56c7-342a-9fd2-9b13c88a1e97"]}],"mendeley":{"formattedCitation":"Pertwee, 2005; Yang et al., 2008","plainTextFormattedCitation":"Pertwee, 2005; Yang et al., 2008","previouslyFormattedCitation":"(Pertwee, 2005; Yang et al., 2008)"},"properties":{"noteIndex":0},"schema":"https://github.com/citation-style-language/schema/raw/master/csl-citation.json"}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Pertwee, 2005; Yang et al., 2008</w:t>
            </w:r>
            <w:r w:rsidRPr="00DE7555">
              <w:rPr>
                <w:rFonts w:ascii="Times New Roman" w:hAnsi="Times New Roman" w:cs="Times New Roman"/>
                <w:lang w:val="en-GB"/>
              </w:rPr>
              <w:fldChar w:fldCharType="end"/>
            </w:r>
          </w:p>
        </w:tc>
      </w:tr>
      <w:tr w:rsidR="00043312" w:rsidRPr="008178CC" w14:paraId="14DD1AFF" w14:textId="0434B8DA" w:rsidTr="00E5612A">
        <w:tc>
          <w:tcPr>
            <w:tcW w:w="0" w:type="auto"/>
          </w:tcPr>
          <w:p w14:paraId="5AAE3612" w14:textId="11C86435"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JTE-907 </w:t>
            </w:r>
          </w:p>
        </w:tc>
        <w:tc>
          <w:tcPr>
            <w:tcW w:w="0" w:type="auto"/>
          </w:tcPr>
          <w:p w14:paraId="685D2D39" w14:textId="724A47BC"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2,370</w:t>
            </w:r>
          </w:p>
        </w:tc>
        <w:tc>
          <w:tcPr>
            <w:tcW w:w="939" w:type="dxa"/>
          </w:tcPr>
          <w:p w14:paraId="62423C4E" w14:textId="3902C79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2041" w:type="dxa"/>
          </w:tcPr>
          <w:p w14:paraId="10EDE685" w14:textId="7C4CEAE5"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99CD7FF" w14:textId="78B75897"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35.9</w:t>
            </w:r>
          </w:p>
        </w:tc>
        <w:tc>
          <w:tcPr>
            <w:tcW w:w="0" w:type="auto"/>
          </w:tcPr>
          <w:p w14:paraId="31C68963" w14:textId="0BB612EE"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54995B0" w14:textId="32A3ECD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inverse agonist</w:t>
            </w:r>
          </w:p>
        </w:tc>
        <w:tc>
          <w:tcPr>
            <w:tcW w:w="0" w:type="auto"/>
          </w:tcPr>
          <w:p w14:paraId="711727E0" w14:textId="68ACCC27"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5A439BD" w14:textId="2F8E7D40"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Cannabinoids","type":"report","volume":"168"},"uris":["http://www.mendeley.com/documents/?uuid=8d8d4100-5521-3c8a-91fc-02214b8beb11"]}],"mendeley":{"formattedCitation":"Pertwee, 2005","plainTextFormattedCitation":"Pertwee, 2005","previouslyFormattedCitation":"(Pertwee, 2005)"},"properties":{"noteIndex":0},"schema":"https://github.com/citation-style-language/schema/raw/master/csl-citation.json"}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Pertwee, 2005</w:t>
            </w:r>
            <w:r w:rsidRPr="00DE7555">
              <w:rPr>
                <w:rFonts w:ascii="Times New Roman" w:hAnsi="Times New Roman" w:cs="Times New Roman"/>
                <w:lang w:val="en-GB"/>
              </w:rPr>
              <w:fldChar w:fldCharType="end"/>
            </w:r>
          </w:p>
        </w:tc>
      </w:tr>
      <w:tr w:rsidR="00043312" w:rsidRPr="00DE7555" w14:paraId="30EAB8E9" w14:textId="77777777" w:rsidTr="00E5612A">
        <w:tc>
          <w:tcPr>
            <w:tcW w:w="0" w:type="auto"/>
          </w:tcPr>
          <w:p w14:paraId="0B21BF64" w14:textId="11C4E5F0"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JWH-015 </w:t>
            </w:r>
          </w:p>
        </w:tc>
        <w:tc>
          <w:tcPr>
            <w:tcW w:w="0" w:type="auto"/>
          </w:tcPr>
          <w:p w14:paraId="28B8258A" w14:textId="1FAA8EA6"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383</w:t>
            </w:r>
          </w:p>
        </w:tc>
        <w:tc>
          <w:tcPr>
            <w:tcW w:w="939" w:type="dxa"/>
          </w:tcPr>
          <w:p w14:paraId="3B84DA2D" w14:textId="33299ACE"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2041" w:type="dxa"/>
          </w:tcPr>
          <w:p w14:paraId="557AB0CE" w14:textId="40BA14C0"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72B2CF47" w14:textId="46F33B6E"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13.8</w:t>
            </w:r>
          </w:p>
        </w:tc>
        <w:tc>
          <w:tcPr>
            <w:tcW w:w="0" w:type="auto"/>
          </w:tcPr>
          <w:p w14:paraId="50C6DC51" w14:textId="1D94CBA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3088F09" w14:textId="1DB2E87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77FEDD46" w14:textId="09F9629E"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t>5-HT</w:t>
            </w:r>
            <w:r w:rsidRPr="00DE7555">
              <w:rPr>
                <w:rFonts w:ascii="Times New Roman" w:hAnsi="Times New Roman" w:cs="Times New Roman"/>
                <w:vertAlign w:val="subscript"/>
                <w:lang w:val="en-GB"/>
              </w:rPr>
              <w:t>3A</w:t>
            </w:r>
            <w:r w:rsidRPr="00DE7555">
              <w:rPr>
                <w:rFonts w:ascii="Times New Roman" w:hAnsi="Times New Roman" w:cs="Times New Roman"/>
                <w:lang w:val="en-GB"/>
              </w:rPr>
              <w:t>, GPR55</w:t>
            </w:r>
          </w:p>
        </w:tc>
        <w:tc>
          <w:tcPr>
            <w:tcW w:w="0" w:type="auto"/>
          </w:tcPr>
          <w:p w14:paraId="077BBC12" w14:textId="6E402FDF"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Cannabinoids","type":"report","volume":"168"},"uris":["http://www.mendeley.com/documents/?uuid=8d8d4100-5521-3c8a-91fc-02214b8beb11"]},{"id":"ITEM-2","itemData":{"DOI":"10.1007/s10681-004-4756-9","abstract":"Cannabis is the unique source of a set of at least 66 compounds known collectively as cannabinoids. Of these, most is known about the pharmacology of Δ 9 -tetrahydrocannabinol (Δ 9 -THC), the main psychoactive constituent of cannabis, and about cannabidiol (CBD), which lacks psychoactivity. Accordingly, this paper focuses on the pharmacological and therapeutic targets of these two cannabinoids. Many of the effects of Δ 9 -THC are mediated by cannabinoid receptors of which at least two types, CB 1 and CB 2 , are present in mammalian tissues. Endogenous agonists for cannabinoid receptors have also been discovered. CB 1 receptors are present at the terminals of central and peripheral neurones, where they modulate transmitter release. They also exist in some non-neuronal cells. CB 2 receptors are expressed mainly by immune cells, one of their roles being to alter cytokine release. Δ 9 - THC also appears to have non-CB 1 , non-CB 2 pharmacological targets. It is already licensed for clinical use in the U.S.A. as an anti-emetic and appetite stimulant and both Δ 9 -THC and Δ 9 -THC-rich cannabis extracts show therapeutic potential as neuroprotective and anticancer agents and for the management of glaucoma, pain and various kinds of motor dysfunction associated, for example, with multiple sclerosis and spinal cord injury. CBD has much less affinity for CB 1 and CB 2 receptors than Δ 9 -THC and its pharmacological actions have been less well characterized. Potential clinical applications of CBD and CBD-rich cannabis extracts include the production of anti-inflammatory and neuroprotective effects, the management of epilepsy, anxiety disorders, glaucoma and nausea, and the modulation of some effects of Δ 9 -THC. © 2004 Kluwer Academic Publishers.","author":[{"dropping-particle":"","family":"Pertwee","given":"R.G.","non-dropping-particle":"","parse-names":false,"suffix":""}],"container-title":"Euphytica","id":"ITEM-2","issue":"1-2","issued":{"date-parts":[["2004"]]},"page":"73-82","title":"Pharmacological and therapeutic targets for Δ&lt;sup&gt;9&lt;/sup&gt;- tetrahydrocannabinol and cannabidiol","type":"article-journal","volume":"140"},"uris":["http://www.mendeley.com/documents/?uuid=46116f80-9088-3794-917c-f1ce38c7771d"]},{"id":"ITEM-3","itemData":{"DOI":"10.1038/sj.bjp.0707460","ISSN":"0007-1188","PMID":"17876302","abstract":"BACKGROUND The endocannabinoid system functions through two well characterized receptor systems, the CB1 and CB2 receptors. Work by a number of groups in recent years has provided evidence that the system is more complicated and additional receptor types should exist to explain ligand activity in a number of physiological processes. EXPERIMENTAL APPROACH Cells transfected with the human cDNA for GPR55 were tested for their ability to bind and to mediate GTPgammaS binding by cannabinoid ligands. Using an antibody and peptide blocking approach, the nature of the G-protein coupling was determined and further demonstrated by measuring activity of downstream signalling pathways. KEY RESULTS We demonstrate that GPR55 binds to and is activated by the cannabinoid ligand CP55940. In addition endocannabinoids including anandamide and virodhamine activate GTPgammaS binding via GPR55 with nM potencies. Ligands such as cannabidiol and abnormal cannabidiol which exhibit no CB1 or CB2 activity and are believed to function at a novel cannabinoid receptor, also showed activity at GPR55. GPR55 couples to Galpha13 and can mediate activation of rhoA, cdc42 and rac1. CONCLUSIONS These data suggest that GPR55 is a novel cannabinoid receptor, and its ligand profile with respect to CB1 and CB2 described here will permit delineation of its physiological function(s).","author":[{"dropping-particle":"","family":"Ryberg","given":"E","non-dropping-particle":"","parse-names":false,"suffix":""},{"dropping-particle":"","family":"Larsson","given":"N","non-dropping-particle":"","parse-names":false,"suffix":""},{"dropping-particle":"","family":"Sjögren","given":"S","non-dropping-particle":"","parse-names":false,"suffix":""},{"dropping-particle":"","family":"Hjorth","given":"S","non-dropping-particle":"","parse-names":false,"suffix":""},{"dropping-particle":"","family":"Hermansson","given":"N-O","non-dropping-particle":"","parse-names":false,"suffix":""},{"dropping-particle":"","family":"Leonova","given":"J","non-dropping-particle":"","parse-names":false,"suffix":""},{"dropping-particle":"","family":"Elebring","given":"T","non-dropping-particle":"","parse-names":false,"suffix":""},{"dropping-particle":"","family":"Nilsson","given":"K","non-dropping-particle":"","parse-names":false,"suffix":""},{"dropping-particle":"","family":"Drmota","given":"T","non-dropping-particle":"","parse-names":false,"suffix":""},{"dropping-particle":"","family":"Greasley","given":"P J","non-dropping-particle":"","parse-names":false,"suffix":""}],"container-title":"British journal of pharmacology","id":"ITEM-3","issue":"7","issued":{"date-parts":[["2007","12"]]},"page":"1092-101","publisher":"Wiley-Blackwell","title":"The orphan receptor GPR55 is a novel cannabinoid receptor.","type":"article-journal","volume":"152"},"uris":["http://www.mendeley.com/documents/?uuid=7b15009a-ede0-312f-8c01-a39ff5d738cb"]}],"mendeley":{"formattedCitation":"Pertwee, 2005, 2004; Ryberg et al., 2007","plainTextFormattedCitation":"Pertwee, 2005, 2004; Ryberg et al., 2007","previouslyFormattedCitation":"(Pertwee, 2005, 2004; Ryberg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Pertwee, 2005, 2004; Ryberg et al., 2007</w:t>
            </w:r>
            <w:r w:rsidRPr="00DE7555">
              <w:rPr>
                <w:rFonts w:ascii="Times New Roman" w:hAnsi="Times New Roman" w:cs="Times New Roman"/>
                <w:lang w:val="en-GB"/>
              </w:rPr>
              <w:fldChar w:fldCharType="end"/>
            </w:r>
          </w:p>
        </w:tc>
      </w:tr>
      <w:tr w:rsidR="00043312" w:rsidRPr="00DE7555" w14:paraId="726CE43E" w14:textId="77777777" w:rsidTr="00E5612A">
        <w:tc>
          <w:tcPr>
            <w:tcW w:w="0" w:type="auto"/>
          </w:tcPr>
          <w:p w14:paraId="404A0186" w14:textId="6125AA29"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JWH-133 </w:t>
            </w:r>
          </w:p>
        </w:tc>
        <w:tc>
          <w:tcPr>
            <w:tcW w:w="0" w:type="auto"/>
          </w:tcPr>
          <w:p w14:paraId="72293ABB" w14:textId="6D2F34A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677</w:t>
            </w:r>
          </w:p>
        </w:tc>
        <w:tc>
          <w:tcPr>
            <w:tcW w:w="939" w:type="dxa"/>
          </w:tcPr>
          <w:p w14:paraId="6D0AF15D" w14:textId="216E9DF2"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2041" w:type="dxa"/>
          </w:tcPr>
          <w:p w14:paraId="7A65D1F4" w14:textId="520ED76C"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2BF1BF5" w14:textId="13199320"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3.4</w:t>
            </w:r>
          </w:p>
        </w:tc>
        <w:tc>
          <w:tcPr>
            <w:tcW w:w="0" w:type="auto"/>
          </w:tcPr>
          <w:p w14:paraId="6DE1E406" w14:textId="16460C1B"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2D9C685" w14:textId="132C1F2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68A061F0" w14:textId="01EEF622"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790A093" w14:textId="0C6799B2"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Cannabinoids","type":"report","volume":"168"},"uris":["http://www.mendeley.com/documents/?uuid=8d8d4100-5521-3c8a-91fc-02214b8beb11"]}],"mendeley":{"formattedCitation":"Pertwee, 2005","plainTextFormattedCitation":"Pertwee, 2005","previouslyFormattedCitation":"(Pertwee, 2005)"},"properties":{"noteIndex":0},"schema":"https://github.com/citation-style-language/schema/raw/master/csl-citation.json"}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Pertwee, 2005</w:t>
            </w:r>
            <w:r w:rsidRPr="00DE7555">
              <w:rPr>
                <w:rFonts w:ascii="Times New Roman" w:hAnsi="Times New Roman" w:cs="Times New Roman"/>
                <w:lang w:val="en-GB"/>
              </w:rPr>
              <w:fldChar w:fldCharType="end"/>
            </w:r>
          </w:p>
        </w:tc>
      </w:tr>
      <w:tr w:rsidR="00043312" w:rsidRPr="008178CC" w14:paraId="609D8819" w14:textId="77777777" w:rsidTr="00E5612A">
        <w:tc>
          <w:tcPr>
            <w:tcW w:w="0" w:type="auto"/>
          </w:tcPr>
          <w:p w14:paraId="1A16F1D4" w14:textId="38E776DF" w:rsidR="00043312" w:rsidRPr="00DE7555" w:rsidRDefault="00E5612A" w:rsidP="00724E70">
            <w:pPr>
              <w:rPr>
                <w:rFonts w:ascii="Times New Roman" w:hAnsi="Times New Roman" w:cs="Times New Roman"/>
                <w:lang w:val="en-GB"/>
              </w:rPr>
            </w:pPr>
            <w:r>
              <w:rPr>
                <w:rFonts w:ascii="Times New Roman" w:hAnsi="Times New Roman" w:cs="Times New Roman"/>
                <w:lang w:val="en-GB"/>
              </w:rPr>
              <w:t>L-759,633</w:t>
            </w:r>
          </w:p>
        </w:tc>
        <w:tc>
          <w:tcPr>
            <w:tcW w:w="0" w:type="auto"/>
          </w:tcPr>
          <w:p w14:paraId="5AADCA18" w14:textId="77777777"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1,043;</w:t>
            </w:r>
          </w:p>
          <w:p w14:paraId="7D48106D" w14:textId="47037C93"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lastRenderedPageBreak/>
              <w:t>15,850</w:t>
            </w:r>
          </w:p>
        </w:tc>
        <w:tc>
          <w:tcPr>
            <w:tcW w:w="939" w:type="dxa"/>
          </w:tcPr>
          <w:p w14:paraId="71B801B9" w14:textId="72FBF871"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lastRenderedPageBreak/>
              <w:t>nd</w:t>
            </w:r>
            <w:proofErr w:type="spellEnd"/>
          </w:p>
        </w:tc>
        <w:tc>
          <w:tcPr>
            <w:tcW w:w="2041" w:type="dxa"/>
          </w:tcPr>
          <w:p w14:paraId="0B457F39" w14:textId="39A9599A"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1737ACA" w14:textId="77777777"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6.4;</w:t>
            </w:r>
          </w:p>
          <w:p w14:paraId="50AB3190" w14:textId="6BCEFD20"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lastRenderedPageBreak/>
              <w:t>20</w:t>
            </w:r>
          </w:p>
        </w:tc>
        <w:tc>
          <w:tcPr>
            <w:tcW w:w="0" w:type="auto"/>
          </w:tcPr>
          <w:p w14:paraId="2649DB5E" w14:textId="1F6039A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lastRenderedPageBreak/>
              <w:t>nd</w:t>
            </w:r>
            <w:proofErr w:type="spellEnd"/>
          </w:p>
        </w:tc>
        <w:tc>
          <w:tcPr>
            <w:tcW w:w="0" w:type="auto"/>
          </w:tcPr>
          <w:p w14:paraId="51D8CE13" w14:textId="415E7A2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529946D7" w14:textId="44717D6C"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107BAFE" w14:textId="100515AB" w:rsidR="00043312" w:rsidRPr="00DE7555" w:rsidRDefault="00043312" w:rsidP="00E5612A">
            <w:pPr>
              <w:rPr>
                <w:rFonts w:ascii="Times New Roman" w:hAnsi="Times New Roman" w:cs="Times New Roman"/>
                <w:lang w:val="fr-FR"/>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{"citationItems":[{"id":"ITEM-1","itemData":{"DOI":"10.1016/0960-894X(95)00573-C","ISSN":"0960-894X","abstract":"A series of Δ8-tetrahydrocannabinol (THC) and biphenylic derivatives were prepared and their binding affinity for both human cannabinoid receptors hCB1 and hCB2 evaluated.","author":[{"dropping-particle":"","family":"Gareau","given":"Yves","non-dropping-particle":"","parse-names":false,"suffix":""},{"dropping-particle":"","family":"Dufresne","given":"Claude","non-dropping-particle":"","parse-names":false,"suffix":""},{"dropping-particle":"","family":"Gallant","given":"Michel","non-dropping-particle":"","parse-names":false,"suffix":""},{"dropping-particle":"","family":"Rochette","given":"Chantal","non-dropping-particle":"","parse-names":false,"suffix":""},{"dropping-particle":"","family":"Sawyer","given":"Nicole","non-dropping-particle":"","parse-names":false,"suffix":""},{"dropping-particle":"","family":"Slipetz","given":"Deborah M.","non-dropping-particle":"","parse-names":false,"suffix":""},{"dropping-particle":"","family":"Tremblay","given":"Nathalie","non-dropping-particle":"","parse-names":false,"suffix":""},{"dropping-particle":"","family":"Weech","given":"Philip K.","non-dropping-particle":"","parse-names":false,"suffix":""},{"dropping-particle":"","family":"Metters","given":"Kathleen M.","non-dropping-particle":"","parse-names":false,"suffix":""},{"dropping-particle":"","family":"Labelle","given":"Marc","non-dropping-particle":"","parse-names":false,"suffix":""}],"container-title":"Bioorganic &amp; Medicinal Chemistry Letters","id":"ITEM-1","issue":"2","issued":{"date-parts":[["1996","1","23"]]},"page":"189-194","publisher":"Pergamon","title":"Structure activity relationships of tetrahydrocannabinol analogues on human cannabinoid receptors","type":"article-journal","volume":"6"},"uris":["http://www.mendeley.com/documents/?uuid=8603888f-f05e-313a-a309-53564f132365"]},{"id":"ITEM-2","itemData":{"DOI":"10.1038/sj.bjp.0702351","ISSN":"00071188","PMID":"10188977","abstract":"We have tested our prediction that AM630 is a CB2 cannabinoid receptor ligand and also investigated whether L759633 and L759656, are CB2 receptor agonists. Binding assays with membranes from CHO cells stably transfected with human CB1 or CB2 receptors using [3H]-CP55940, confirmed the CB2-selectivity of L759633 and L759656 (CB2/CB1 affinity ratios = 163 and 414 respectively) and showed AM630 to have a Ki at CB2 receptors of 31.2 nM and a CB2/CB1 affinity ratio of 165. In CB2-transfected cells, L759633 and L759656 were potent inhibitors of forskolin-stimulated cyclic AMP production, with EC50 values of 8.1 and 3.1 nM respectively and CB1/CB2 EC50 ratios of &gt; 1000 and &gt; 3000 respectively. AM630 inhibited [35S]-GTPgammaS binding to CB2 receptor membranes (EC50 = 76.6 nM), enhanced forskolin-stimulated cyclic AMP production in CB2-transfected cells (5.2 fold by 1 microM), and antagonized the inhibition of forskolin-stimulated cyclic AMP production in this cell line induced by CP55940. In CB1-transfected cells, forskolin-stimulated cyclic AMP production was significantly inhibited by AM630 (22.6% at 1 microM and 45.9% at 10 microM) and by L759633 at 10 microM (48%) but not 1 microM. L759656 (10 microM) was not inhibitory. AM630 also produced a slight decrease in the mean inhibitory effect of CP55940 on cyclic AMP production which was not statistically significant. We conclude that AM630 is a CB2-selective ligand that behaves as an inverse agonist at CB2 receptors and as a weak partial agonist at CB1 receptors. L759633 and L759656 are both potent CB2-selective agonists.","author":[{"dropping-particle":"","family":"Ross","given":"Ruth A","non-dropping-particle":"","parse-names":false,"suffix":""},{"dropping-particle":"","family":"Brockie","g</w:instrText>
            </w:r>
            <w:r w:rsidRPr="00DE7555">
              <w:rPr>
                <w:rFonts w:ascii="Times New Roman" w:hAnsi="Times New Roman" w:cs="Times New Roman"/>
                <w:lang w:val="fr-FR"/>
              </w:rPr>
              <w:instrText>iven":"Heather C","non-dropping-particle":"","parse-names":false,"suffix":""},{"dropping-particle":"","family":"Stevenson","given":"Lesley A","non-dropping-particle":"","parse-names":false,"suffix":""},{"dropping-particle":"","family":"Murphy","given":"Vicki L","non-dropping-particle":"","parse-names":false,"suffix":""},{"dropping-particle":"","family":"Templeton","given":"Fiona","non-dropping-particle":"","parse-names":false,"suffix":""},{"dropping-particle":"","family":"Makriyannis","given":"Alexandros","non-dropping-particle":"","parse-names":false,"suffix":""},{"dropping-particle":"","family":"Pertwee","given":"Roger G","non-dropping-particle":"","parse-names":false,"suffix":""}],"container-title":"British Journal of Pharmacology","id":"ITEM-2","issue":"3","issued":{"date-parts":[["1999","2"]]},"page":"665-672","title":"Agonist-inverse agonist characterization at CB &lt;sub&gt;1&lt;/sub&gt; and CB &lt;sub&gt;2&lt;/sub&gt; cannabinoid receptors of L759633, L759656 and AM630","type":"article-journal","volume":"126"},"uris":["http://www.mendeley.com/documents/?uuid=4a8b27ca-31f3-3ffe-83ea-4ed87bf800c1"]}],"mendeley":{"formattedCitation":"Gareau et al., 1996; Ross et al., 1999a","manualFormatting":"Gareau et al., 1996; Ross et al., 1999","plainTextFormattedCitation":"Gareau et al., 1996; Ross et al., 1999a","previouslyFormattedCitation":"(Gareau et al., 1996; Ross et al., 1999a)"},"properties":{"noteIndex":0},"schema":"https://github.com/citation-style-language/schema/raw/master/csl-citation.json"}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fr-FR"/>
              </w:rPr>
              <w:t xml:space="preserve">Gareau et al., </w:t>
            </w:r>
            <w:r w:rsidRPr="00DE7555">
              <w:rPr>
                <w:rFonts w:ascii="Times New Roman" w:hAnsi="Times New Roman" w:cs="Times New Roman"/>
                <w:noProof/>
                <w:lang w:val="fr-FR"/>
              </w:rPr>
              <w:lastRenderedPageBreak/>
              <w:t>1996; Ross et al., 1999</w:t>
            </w:r>
            <w:r w:rsidRPr="00DE7555">
              <w:rPr>
                <w:rFonts w:ascii="Times New Roman" w:hAnsi="Times New Roman" w:cs="Times New Roman"/>
                <w:lang w:val="en-GB"/>
              </w:rPr>
              <w:fldChar w:fldCharType="end"/>
            </w:r>
          </w:p>
        </w:tc>
      </w:tr>
      <w:tr w:rsidR="00043312" w:rsidRPr="00DE7555" w14:paraId="0F518823" w14:textId="77777777" w:rsidTr="00E5612A">
        <w:tc>
          <w:tcPr>
            <w:tcW w:w="0" w:type="auto"/>
          </w:tcPr>
          <w:p w14:paraId="71F3973B" w14:textId="29AF2E6F" w:rsidR="00043312" w:rsidRPr="00DE7555" w:rsidRDefault="00043312" w:rsidP="00724E70">
            <w:pPr>
              <w:rPr>
                <w:rFonts w:ascii="Times New Roman" w:hAnsi="Times New Roman" w:cs="Times New Roman"/>
                <w:lang w:val="fr-FR"/>
              </w:rPr>
            </w:pPr>
            <w:r w:rsidRPr="00DE7555">
              <w:rPr>
                <w:rFonts w:ascii="Times New Roman" w:hAnsi="Times New Roman" w:cs="Times New Roman"/>
                <w:lang w:val="fr-FR"/>
              </w:rPr>
              <w:lastRenderedPageBreak/>
              <w:t>L-759,656</w:t>
            </w:r>
          </w:p>
        </w:tc>
        <w:tc>
          <w:tcPr>
            <w:tcW w:w="0" w:type="auto"/>
          </w:tcPr>
          <w:p w14:paraId="28FDAB72" w14:textId="7ED199C6"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fr-FR"/>
              </w:rPr>
              <w:t>529-&gt;20,000</w:t>
            </w:r>
          </w:p>
        </w:tc>
        <w:tc>
          <w:tcPr>
            <w:tcW w:w="939" w:type="dxa"/>
          </w:tcPr>
          <w:p w14:paraId="65402FB7" w14:textId="7318D695"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fr-FR"/>
              </w:rPr>
              <w:t>nd</w:t>
            </w:r>
            <w:proofErr w:type="spellEnd"/>
          </w:p>
        </w:tc>
        <w:tc>
          <w:tcPr>
            <w:tcW w:w="2041" w:type="dxa"/>
          </w:tcPr>
          <w:p w14:paraId="0289B74B" w14:textId="142735BB"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fr-FR"/>
              </w:rPr>
              <w:t>nd</w:t>
            </w:r>
            <w:proofErr w:type="spellEnd"/>
          </w:p>
        </w:tc>
        <w:tc>
          <w:tcPr>
            <w:tcW w:w="0" w:type="auto"/>
          </w:tcPr>
          <w:p w14:paraId="26A6F561" w14:textId="539807B4"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fr-FR"/>
              </w:rPr>
              <w:t>35-19.4</w:t>
            </w:r>
          </w:p>
        </w:tc>
        <w:tc>
          <w:tcPr>
            <w:tcW w:w="0" w:type="auto"/>
          </w:tcPr>
          <w:p w14:paraId="6E276CD5" w14:textId="7D840B47"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fr-FR"/>
              </w:rPr>
              <w:t>nd</w:t>
            </w:r>
            <w:proofErr w:type="spellEnd"/>
          </w:p>
        </w:tc>
        <w:tc>
          <w:tcPr>
            <w:tcW w:w="0" w:type="auto"/>
          </w:tcPr>
          <w:p w14:paraId="48E95A95" w14:textId="341CF312"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fr-FR"/>
              </w:rPr>
              <w:t>agonist</w:t>
            </w:r>
            <w:proofErr w:type="spellEnd"/>
          </w:p>
        </w:tc>
        <w:tc>
          <w:tcPr>
            <w:tcW w:w="0" w:type="auto"/>
          </w:tcPr>
          <w:p w14:paraId="6E205038" w14:textId="532FBE7E" w:rsidR="00043312" w:rsidRPr="00DE7555" w:rsidRDefault="00043312" w:rsidP="00E5612A">
            <w:pPr>
              <w:rPr>
                <w:rFonts w:ascii="Times New Roman" w:hAnsi="Times New Roman" w:cs="Times New Roman"/>
                <w:lang w:val="fr-FR"/>
              </w:rPr>
            </w:pPr>
            <w:proofErr w:type="spellStart"/>
            <w:r w:rsidRPr="00DE7555">
              <w:rPr>
                <w:rFonts w:ascii="Times New Roman" w:hAnsi="Times New Roman" w:cs="Times New Roman"/>
                <w:lang w:val="fr-FR"/>
              </w:rPr>
              <w:t>nd</w:t>
            </w:r>
            <w:proofErr w:type="spellEnd"/>
          </w:p>
        </w:tc>
        <w:tc>
          <w:tcPr>
            <w:tcW w:w="0" w:type="auto"/>
          </w:tcPr>
          <w:p w14:paraId="4D7EAA21" w14:textId="7B9FE7AE"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fr-FR"/>
              </w:rPr>
              <w:instrText>ADDIN CSL_CITATION {"citationItems":[{"id":"ITEM-1","itemData":{"ISSN":"0968-0896","PMID":"10658595","abstract":"The synthesis and pharmacology of 15 1-deoxy-delta8-THC analogues, several of which have high affinity for the CB2 receptor, are described. The deoxy cannabinoids include 1-deoxy-11-hydroxy-delta8-THC (5), 1-deoxy-delta8-THC (6), 1-deoxy-3-butyl-delta8-THC (7), 1-deoxy-3-hexyl-delta8-THC (8) and a series of 3-(1',1'-dimethylalkyl)-1-deoxy-delta8-THC analogues (2, n = 0-4, 6, 7, where n = the number of carbon atoms in the side chain-2). Three derivatives (17-19) of deoxynabilone (16) were also prepared. The affinities of each compound for the CB1 and CB2 receptors were determined employing previously described procedures. Five of the 3-(1',1'-dimethylalkyl)-1-deoxy-delta8-THC analogues (2, n = 1-5) have high affinity (Ki = &lt; 20 nM) for the CB2 receptor. Four of them (2, n = 1-4) also have little affinity for the CB1 receptor (Ki = &gt; 295 nM). 3-(1',1'-Dimethylbutyl)-1-deoxy-delta8-THC (2, n = 2) has very high affinity for the CB2 receptor (Ki = 3.4 +/- 1.0 nM) and little affinity for the CB1 receptor (Ki = 677 +/- 132 nM).","author":[{"dropping-particle":"","family":"Huffman","given":"J W","non-dropping-particle":"","parse-names":false,"suffix":""},{"dropping-particle":"","family":"Liddle","given":"J","non-dropping-particle":"","parse-names":false,"suffix":""},{"dropping-part</w:instrText>
            </w:r>
            <w:r w:rsidRPr="008178CC">
              <w:rPr>
                <w:rFonts w:ascii="Times New Roman" w:hAnsi="Times New Roman" w:cs="Times New Roman"/>
                <w:lang w:val="fr-FR"/>
              </w:rPr>
              <w:instrText>i</w:instrText>
            </w:r>
            <w:r w:rsidRPr="00DE7555">
              <w:rPr>
                <w:rFonts w:ascii="Times New Roman" w:hAnsi="Times New Roman" w:cs="Times New Roman"/>
                <w:lang w:val="en-GB"/>
              </w:rPr>
              <w:instrText>cle":"","family":"Yu","given":"S","non-dropping-particle":"","parse-names":false,"suffix":""},{"dropping-particle":"","family":"Aung","given":"M M","non-dropping-particle":"","parse-names":false,"suffix":""},{"dropping-particle":"","family":"Abood","given":"M E","non-dropping-particle":"","parse-names":false,"suffix":""},{"dropping-particle":"","family":"Wiley","given":"J L","non-dropping-particle":"","parse-names":false,"suffix":""},{"dropping-particle":"","family":"Martin","given":"B R","non-dropping-particle":"","parse-names":false,"suffix":""}],"container-title":"Bioorganic &amp; medicinal chemistry","id":"ITEM-1","issue":"12","issued":{"date-parts":[["1999","12"]]},"page":"2905-14","title":"3-(1',1'-Dimethylbutyl)-1-deoxy-delta8-THC and related compounds: synthesis of selective ligands for the CB2 receptor.","type":"article-journal","volume":"7"},"uris":["http://www.mendeley.com/documents/?uuid=773ed516-03d9-320c-9865-7ca6c2b637da"]},{"id":"ITEM-2","itemData":{"DOI":"10.1016/S0968-0896(02)00331-0","ISSN":"0968-0896","abstract":"Three series of new cannabinoids were prepared and their affinities for the CB1 and CB2 cannabinoid recptors were determined. These are the 1-methoxy-3-(1′,1′-dimethylalkyl)-, 1-deoxy-11-hydroxy-3-(1′,1′-dimethylalkyl)- and 11-hydroxy-1-methoxy-3-(1′,1′-dimethylalkyl)-Δ8-tetrahydrocannabinols, which contain alkyl chains from dimethylethyl to dimethylheptyl appended to C-3 of the cannabinoid. All of these compounds have greater affinity for the CB2 receptor than for the CB1 receptor, however only 1-methoxy-3-(1′,1′-dimethylhexyl)-Δ8-THC (JWH-229, 6e) has effectively no affinity for the CB1 receptor (Ki=3134±110nM) and high affinity for CB2 (Ki=18±2nM).","author":[{"dropping-particle":"","family":"Huffman","given":"John W","non-dropping-particle":"","parse-names":false,"suffix":""},{"dropping-particle":"","family":"Bushell","given":"Simon M","non-dropping-particle":"","parse-names":false,"suffix":""},{"dropping-particle":"","family":"Miller","given":"John R.A","non-dropping-particle":"","parse-names":false,"suffix":""},{"dropping-particle":"","family":"Wiley","given":"Jenny L","non-dropping-particle":"","parse-names":false,"suffix":""},{"dropping-particle":"","family":"Martin","given":"Billy R","non-dropping-particle":"","parse-names":false,"suffix":""}],"container-title":"Bioorganic &amp; Medicinal Chemistry","id":"ITEM-2","issue":"12","issued":{"date-parts":[["2002","12","1"]]},"page":"4119-4129","publisher":"Pergamon","title":"1-Methoxy-, 1-deoxy-11-hydroxy- and 11-Hydroxy-1-methoxy-Δ8-tetrahydrocannabinols: new selective ligands for the CB2 receptor","type":"article-journal","volume":"10"},"uris":["http://www.mendeley.com/documents/?uuid=1efcbcb5-f122-34bf-9440-99698507babf"]},{"id":"ITEM-3","itemData":{"DOI":"10.1038/sj.bjp.0702351","ISSN":"00071188","PMID":"10188977","abstract":"We have tested our prediction that AM630 is a CB2 cannabinoid receptor ligand and also investigated whether L759633 and L759656, are CB2 receptor agonists. Binding assays with membranes from CHO cells stably transfected with human CB1 or CB2 receptors using [3H]-CP55940, confirmed the CB2-selectivity of L759633 and L759656 (CB2/CB1 affinity ratios = 163 and 414 respectively) and showed AM630 to have a Ki at CB2 receptors of 31.2 nM and a CB2/CB1 affinity ratio of 165. In CB2-transfected cells, L759633 and L759656 were potent inhibitors of forskolin-stimulated cyclic AMP production, with EC50 values of 8.1 and 3.1 nM respectively and CB1/CB2 EC50 ratios of &gt; 1000 and &gt; 3000 respectively. AM630 inhibited [35S]-GTPgammaS binding to CB2 receptor membranes (EC50 = 76.6 nM), enhanced forskolin-stimulated cyclic AMP production in CB2-transfected cells (5.2 fold by 1 microM), and antagonized the inhibition of forskolin-stimulated cyclic AMP production in this cell line induced by CP55940. In CB1-transfected cells, forskolin-stimulated cyclic AMP production was significantly inhibited by AM630 (22.6% at 1 microM and 45.9% at 10 microM) and by L759633 at 10 microM (48%) but not 1 microM. L759656 (10 microM) was not inhibitory. AM630 also produced a slight decrease in the mean inhibitory effect of CP55940 on cyclic AMP production which was not statistically significant. We conclude that AM630 is a CB2-selective ligand that behaves as an inverse agonist at CB2 receptors and as a weak partial agonist at CB1 receptors. L759633 and L759656 are both potent CB2-selective agonists.","author":[{"dropping-particle":"","family":"Ross","given":"Ruth A","non-dropping-particle":"","parse-names":false,"suffix":""},{"dropping-particle":"","family":"Brockie","given":"Heather C","non-dropping-particle":"","parse-names":false,"suffix":""},{"dropping-particle":"","family":"Stevenson","given":"Lesley A","non-dropping-particle":"","parse-names":false,"suffix":""},{"dropping-particle":"","family":"Murphy","given":"Vicki L","non-dropping-particle":"","parse-names":false,"suffix":""},{"dropping-particle":"","family":"Templeton","given":"Fiona","non-dropping-particle":"","parse-names":false,"suffix":""},{"dropping-particle":"","family":"Makriyannis","given":"Alexandros","non-dropping-particle":"","parse-names":false,"suffix":""},{"dropping-particle":"","family":"Pertwee","given":"Roger G","non-dropping-particle":"","parse-names":false,"suffix":""}],"container-title":"British Journal of Pharmacology","id":"ITEM-3","issue":"3","issued":{"date-parts":[["1999","2"]]},"page":"665-672","title":"Agonist-inverse agonist characterization at CB &lt;sub&gt;1&lt;/sub&gt; and CB &lt;sub&gt;2&lt;/sub&gt; cannabinoid receptors of L759633, L759656 and AM630","type":"article-journal","volume":"126"},"uris":["http://www.mendeley.com/documents/?uuid=4a8b27ca-31f3-3ffe-83ea-4ed87bf800c1"]},{"id":"ITEM-4","itemData":{"DOI":"10.1016/0960-894X(95)00573-C","ISSN":"0960-894X","abstract":"A series of Δ8-tetrahydrocannabinol (THC) and biphenylic derivatives were prepared and their binding affinity for both human cannabinoid receptors hCB1 and hCB2 evaluated.","author":[{"dropping-particle":"","family":"Gareau","given":"Yves","non-dropping-particle":"","parse-names":false,"suffix":""},{"dropping-particle":"","family":"Dufresne","given":"Claude","non-dropping-particle":"","parse-names":false,"suffix":""},{"dropping-particle":"","family":"Gallant","given":"Michel","non-dropping-particle":"","parse-names":false,"suffix":""},{"dropping-particle":"","family":"Rochette","given":"Chantal","non-dropping-particle":"","parse-names":false,"suffix":""},{"dropping-particle":"","family":"Sawyer","given":"Nicole","non-dropping-particle":"","parse-names":false,"suffix":""},{"dropping-particle":"","family"</w:instrText>
            </w:r>
            <w:r w:rsidRPr="00DE7555">
              <w:rPr>
                <w:rFonts w:ascii="Times New Roman" w:hAnsi="Times New Roman" w:cs="Times New Roman"/>
                <w:lang w:val="fr-FR"/>
              </w:rPr>
              <w:instrText>:"Slipetz","given":"Deborah M.","non-dropping-particle":"","parse-names":false,"suffix":""},{"dropping-particle":"","family":"Tremblay","given":"Nathalie","non-dropping-particle":"","parse-names":false,"suffix":""},{"dropping-particle":"","family":"Weech","given":"Philip K.","non-dropping-particle":"","parse-names":false,"suffix":""},{"dropping-particle":"","family":"Metters","given":"Kathleen M.","non-dropping-particle":"","parse-names":false,"suffix":""},{"dropping-particle":"","family":"Labelle","given":"Marc","non-dropping-particle":"","parse-names":false,"suffix":""}],"container-title":"Bioorganic &amp; Medicinal Chemistry Letters","id":"ITEM-4","issue":"2","issued":{"date-parts":[["1996","1","23"]]},"page":"189-194","publisher":"Pergamon","title":"Structure activity relationships of tetrahydrocannabinol analogues on human cannabinoid receptors","type":"article-journal","volume":"6"},"uris":["http://www.mendeley.com/documents/?uuid=8603888f-f05e-313a-a309-53564f132365"]}],"mendeley":{"formattedCitation":"Gareau et al., 1996; Huffman et al., 2002, 1999; Ross et al., 1999a","manualFormatting":"Gareau et al., 1996; Huffman et al., 2002, 1999; Ross et al., 1999","plainTextFormattedCitation":"Gareau et al., 1996; Huffman et al., 2002, 1999; Ross et al., 1999a","previouslyFormattedCitation":"(Gareau et al., 1996; Huffman et al., 2002, 1999; Ross et al., 1999a)"},"properties":{"noteIndex":0},"schema":"https://github.com/citation-style-language/schema/raw/master/csl-citation.json"}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fr-FR"/>
              </w:rPr>
              <w:t>Gareau et al., 1996; Huffman et al., 2002, 1999; Ross et al., 1999</w:t>
            </w:r>
            <w:r w:rsidRPr="00DE7555">
              <w:rPr>
                <w:rFonts w:ascii="Times New Roman" w:hAnsi="Times New Roman" w:cs="Times New Roman"/>
                <w:lang w:val="en-GB"/>
              </w:rPr>
              <w:fldChar w:fldCharType="end"/>
            </w:r>
          </w:p>
        </w:tc>
      </w:tr>
      <w:tr w:rsidR="00043312" w:rsidRPr="00DE7555" w14:paraId="3588FC24" w14:textId="77777777" w:rsidTr="00E5612A">
        <w:tc>
          <w:tcPr>
            <w:tcW w:w="0" w:type="auto"/>
          </w:tcPr>
          <w:p w14:paraId="4087FB57" w14:textId="77777777" w:rsidR="00043312" w:rsidRPr="00DE7555" w:rsidRDefault="00043312" w:rsidP="00724E70">
            <w:pPr>
              <w:rPr>
                <w:rFonts w:ascii="Times New Roman" w:hAnsi="Times New Roman" w:cs="Times New Roman"/>
                <w:lang w:val="en-GB"/>
              </w:rPr>
            </w:pPr>
            <w:proofErr w:type="spellStart"/>
            <w:r w:rsidRPr="00DE7555">
              <w:rPr>
                <w:rFonts w:ascii="Times New Roman" w:hAnsi="Times New Roman" w:cs="Times New Roman"/>
                <w:lang w:val="en-GB"/>
              </w:rPr>
              <w:t>lenabasum</w:t>
            </w:r>
            <w:proofErr w:type="spellEnd"/>
            <w:r w:rsidRPr="00DE7555">
              <w:rPr>
                <w:rFonts w:ascii="Times New Roman" w:hAnsi="Times New Roman" w:cs="Times New Roman"/>
                <w:lang w:val="en-GB"/>
              </w:rPr>
              <w:t xml:space="preserve"> </w:t>
            </w:r>
          </w:p>
          <w:p w14:paraId="32C1A86E" w14:textId="3BC21FA2"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aka JBT-101 </w:t>
            </w:r>
          </w:p>
        </w:tc>
        <w:tc>
          <w:tcPr>
            <w:tcW w:w="0" w:type="auto"/>
          </w:tcPr>
          <w:p w14:paraId="4A674B98" w14:textId="5649FF23"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628</w:t>
            </w:r>
          </w:p>
        </w:tc>
        <w:tc>
          <w:tcPr>
            <w:tcW w:w="939" w:type="dxa"/>
          </w:tcPr>
          <w:p w14:paraId="68E5718D" w14:textId="45054CB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2041" w:type="dxa"/>
          </w:tcPr>
          <w:p w14:paraId="3368CD60" w14:textId="3C44706F"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77CBD291" w14:textId="3D7A9A7B"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51</w:t>
            </w:r>
          </w:p>
        </w:tc>
        <w:tc>
          <w:tcPr>
            <w:tcW w:w="0" w:type="auto"/>
          </w:tcPr>
          <w:p w14:paraId="4D34FCD9" w14:textId="4ABB25FD"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13.4</w:t>
            </w:r>
          </w:p>
        </w:tc>
        <w:tc>
          <w:tcPr>
            <w:tcW w:w="0" w:type="auto"/>
          </w:tcPr>
          <w:p w14:paraId="5F6D3AF1" w14:textId="76468D0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615A0866" w14:textId="0C7AA7DA"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9C1A94F" w14:textId="2AE5A95F" w:rsidR="00043312" w:rsidRPr="00DE7555" w:rsidRDefault="00043312" w:rsidP="00E5612A">
            <w:pPr>
              <w:rPr>
                <w:rFonts w:ascii="Times New Roman" w:hAnsi="Times New Roman" w:cs="Times New Roman"/>
                <w:lang w:val="fr-FR"/>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{"citationItems":[{"id":"ITEM-1","itemData":{"DOI":"10.1016/j.bmc.2014.04.062","ISSN":"09680896","PMID":"24856183","abstract":"Ajulemic acid, a side-chain analog of Δ(8)-THC-11-oic acid, was designed as a potent therapeutic agent free of the psychotropic adverse effects typical of most cannabinoids. Subsequent studies of ajulemic acid have yielded widely divergent findings on the occurrence of these adverse effects. To help resolve these discrepancies, we have prepared highly purified ajulemic acid using a different synthetic method than previously reported in the literature and compared its cannabinoid receptor binding constants with those obtained using several other preparations from different sources. Whereas CB2 binding did not vary greatly among all of the samples, the CB1 binding showed a wide range of affinities. The highly purified product (JBT-101) reported here had the weakest affinity for CB1 while the original preparation (HU-239) showed the strongest affinity for CB1. The CB1/CB2 ratio of affinities was 12.3 for JBT-101 whereas that for HU-239 was 0.19, a 65-fold difference. Functional responses such as catalepsy and hypothermia using JBT-101 versus HU-239 displayed reduced CB1 activity in keeping with the receptor binding data. Thus, earlier conclusions on the limited therapeutic index for ajulemic acid need to be reconsidered in the light of the data now obtained using JBT-101.","author":[{"dropping-particle":"","family":"Tepper","given":"Mark A.","non-dropping-particle":"","parse-names":false,"suffix":""},{"dropping-particle":"","family":"Zurier","given":"Robert B.","non-dropping-particle":"","parse-names":false,"suffix":""},{"dropping-particle":"","family":"Burstein","given":"Sumner H.","non-dropping-particle":"","parse-names":false,"suffix":""}],"container-title":"Bioorganic &amp; Medicinal Chemistry","id":"ITEM-1","issue":"13","issued":{"date-parts":[["2014","7","1"]]},"page":"3245-3251","title":"Ultrapure ajulemic acid has improved CB2 selectivity with reduced CB1 activity","type":"article-journal","volume":"22"},"uris":["http://www.mendeley.com/documents/?uuid=eefe4558-f89c-3987-8587-f1ce656d1df4"]}],"mendeley":{"formattedCitation":"Tepper et al., 2014","plainTextFormattedCitation":"Tepper et al., 2014","previouslyFormattedCitation":"(Tepper et al., 2014)"},"properties":{"noteIndex":0},"schema":"https://github.com/citation-style-language/schema/raw/master/csl-citation.json"}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Tepper et al., 2014</w:t>
            </w:r>
            <w:r w:rsidRPr="00DE7555">
              <w:rPr>
                <w:rFonts w:ascii="Times New Roman" w:hAnsi="Times New Roman" w:cs="Times New Roman"/>
                <w:lang w:val="en-GB"/>
              </w:rPr>
              <w:fldChar w:fldCharType="end"/>
            </w:r>
          </w:p>
        </w:tc>
      </w:tr>
      <w:tr w:rsidR="00043312" w:rsidRPr="00DE7555" w14:paraId="2AF6B5D1" w14:textId="77777777" w:rsidTr="00E5612A">
        <w:tc>
          <w:tcPr>
            <w:tcW w:w="0" w:type="auto"/>
          </w:tcPr>
          <w:p w14:paraId="6A4EF025" w14:textId="49B9BAFC" w:rsidR="00043312" w:rsidRPr="00DE7555" w:rsidRDefault="00043312" w:rsidP="00724E70">
            <w:pPr>
              <w:rPr>
                <w:rFonts w:ascii="Times New Roman" w:hAnsi="Times New Roman" w:cs="Times New Roman"/>
                <w:lang w:val="fr-FR"/>
              </w:rPr>
            </w:pPr>
            <w:r w:rsidRPr="00DE7555">
              <w:rPr>
                <w:rFonts w:ascii="Times New Roman" w:hAnsi="Times New Roman" w:cs="Times New Roman"/>
                <w:lang w:val="en-GB"/>
              </w:rPr>
              <w:t>S-777469</w:t>
            </w:r>
          </w:p>
        </w:tc>
        <w:tc>
          <w:tcPr>
            <w:tcW w:w="0" w:type="auto"/>
          </w:tcPr>
          <w:p w14:paraId="715FAD7B" w14:textId="449335ED"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939" w:type="dxa"/>
          </w:tcPr>
          <w:p w14:paraId="130AEAAA" w14:textId="384C459F"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2041" w:type="dxa"/>
          </w:tcPr>
          <w:p w14:paraId="2BA5E10A" w14:textId="665CB299"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7E8F330D" w14:textId="676159A8"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757B2E54" w14:textId="116A64A1"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en-GB"/>
              </w:rPr>
              <w:t>36</w:t>
            </w:r>
          </w:p>
        </w:tc>
        <w:tc>
          <w:tcPr>
            <w:tcW w:w="0" w:type="auto"/>
          </w:tcPr>
          <w:p w14:paraId="187A239D" w14:textId="4665DC31"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en-GB"/>
              </w:rPr>
              <w:t>agonist</w:t>
            </w:r>
          </w:p>
        </w:tc>
        <w:tc>
          <w:tcPr>
            <w:tcW w:w="0" w:type="auto"/>
          </w:tcPr>
          <w:p w14:paraId="56A6852A" w14:textId="0DA2B434" w:rsidR="00043312" w:rsidRPr="00DE7555" w:rsidRDefault="00043312" w:rsidP="00E5612A">
            <w:pP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0E032D8A" w14:textId="1B7C867B" w:rsidR="00043312" w:rsidRPr="00DE7555" w:rsidRDefault="00043312" w:rsidP="00E5612A">
            <w:pPr>
              <w:rPr>
                <w:rFonts w:ascii="Times New Roman" w:hAnsi="Times New Roman" w:cs="Times New Roman"/>
                <w:lang w:val="fr-FR"/>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{"citationItems":[{"id":"ITEM-1","itemData":{"DOI":"10.1016/j.bmcl.2012.02.072","ISSN":"0960894X","PMID":"22444677","abstract":"The discovery of novel CB2 ligands based on the 3-carbamoyl-2-pyridone derivatives by adjusting the size of side chain at 1-, 5- and 6-position is reported. The structure-activity relationship around this template lead to the identification of S-777469 as a selective CB2 receptor agonist, which exhibited the significant inhibition of scratching induced by Compound 48/80 at 1.0 mg/kg po and 10 mg/kg po (55% and 61%, respectively).","author":[{"dropping-particle":"","family":"Odan","given":"Masahide","non-dropping-particle":"","parse-names":false,"suffix":""},{"dropping-particle":"","family":"Ishizuka","given":"Natsuki","non-dropping-particle":"","parse-names":false,"suffix":""},{"dropping-particle":"","family":"Hiramatsu","given":"Yoshiharu","non-dropping-particle":"","parse-names":false,"suffix":""},{"dropping-particle":"","family":"Inagaki","given":"Masanao","non-dropping-particle":"","parse-names":false,"suffix":""},{"dropping-particle":"","family":"Hashizume","given":"Hiroshi","non-dropping-particle":"","parse-names":false,"suffix":""},{"dropping-particle":"","family":"Fujii","given":"Yasuhiko","non-dropping-particle":"","parse-names":false,"suffix":""},{"dropping-particle":"","family":"Mitsumori","given":"Susumu","non-dropping-particle":"","parse-names":false,"suffix":""},{"dropping-particle":"","family":"Morioka","given":"Yasuhide","non-dropping-particle":"","parse-names":false,"suffix":""},{"dropping-particle":"","family":"Soga","given":"Masahiko","non-dropping-particle":"","parse-names":false,"suffix":""},{"dropping-particle":"","family":"Deguchi","given":"Masashi","non-dropping-particle":"","parse-names":false,"suffix":""},{"dropping-particle":"","family":"Yasui","given":"Kiyoshi","non-dropping-particle":"","parse-names":false,"suffix":""},{"dropping-particle":"","family":"Arimura","given":"Akinori","non-dropping-particle":"","parse-names":false,"suffix":""}],"container-title":"Bioorganic &amp; Medicinal Chemistry Letters","id":"ITEM-1","issue":"8","issued":{"date-parts":[["2012","4","15"]]},"page":"2803-2806","title":"Discovery of S-777469: An orally available CB2 agonist as an antipruritic agent","type":"article-journal","volume":"22"},"uris":["http://www.mendeley.com/documents/?uuid=263b1c94-6db1-3f6d-9f90-0d25d06897cd"]}],"mendeley":{"formattedCitation":"Odan et al., 2012","plainTextFormattedCitation":"Odan et al., 2012","previouslyFormattedCitation":"(Odan et al., 2012)"},"properties":{"noteIndex":0},"schema":"https://github.com/citation-style-language/schema/raw/master/csl-citation.json"}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Odan et al., 2012</w:t>
            </w:r>
            <w:r w:rsidRPr="00DE7555">
              <w:rPr>
                <w:rFonts w:ascii="Times New Roman" w:hAnsi="Times New Roman" w:cs="Times New Roman"/>
                <w:lang w:val="en-GB"/>
              </w:rPr>
              <w:fldChar w:fldCharType="end"/>
            </w:r>
          </w:p>
        </w:tc>
      </w:tr>
      <w:tr w:rsidR="00043312" w:rsidRPr="008178CC" w14:paraId="5765DECF" w14:textId="77777777" w:rsidTr="00E5612A">
        <w:tc>
          <w:tcPr>
            <w:tcW w:w="0" w:type="auto"/>
          </w:tcPr>
          <w:p w14:paraId="375521E3" w14:textId="114CD024" w:rsidR="00043312" w:rsidRPr="00DE7555" w:rsidRDefault="00043312" w:rsidP="00724E70">
            <w:pPr>
              <w:rPr>
                <w:rFonts w:ascii="Times New Roman" w:hAnsi="Times New Roman" w:cs="Times New Roman"/>
                <w:lang w:val="fr-FR"/>
              </w:rPr>
            </w:pPr>
            <w:r w:rsidRPr="00DE7555">
              <w:rPr>
                <w:rFonts w:ascii="Times New Roman" w:hAnsi="Times New Roman" w:cs="Times New Roman"/>
                <w:lang w:val="en-GB"/>
              </w:rPr>
              <w:t>Sch.336</w:t>
            </w:r>
          </w:p>
        </w:tc>
        <w:tc>
          <w:tcPr>
            <w:tcW w:w="0" w:type="auto"/>
          </w:tcPr>
          <w:p w14:paraId="5801C20D" w14:textId="1AC82566"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en-GB"/>
              </w:rPr>
              <w:t>1,000</w:t>
            </w:r>
          </w:p>
        </w:tc>
        <w:tc>
          <w:tcPr>
            <w:tcW w:w="939" w:type="dxa"/>
          </w:tcPr>
          <w:p w14:paraId="35B66736" w14:textId="4CE0F3FF"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en-GB"/>
              </w:rPr>
              <w:t>199.5</w:t>
            </w:r>
          </w:p>
        </w:tc>
        <w:tc>
          <w:tcPr>
            <w:tcW w:w="2041" w:type="dxa"/>
          </w:tcPr>
          <w:p w14:paraId="5A3E9490" w14:textId="1260EB76"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en-GB"/>
              </w:rPr>
              <w:t>inverse agonist</w:t>
            </w:r>
          </w:p>
        </w:tc>
        <w:tc>
          <w:tcPr>
            <w:tcW w:w="0" w:type="auto"/>
          </w:tcPr>
          <w:p w14:paraId="567E5C97" w14:textId="4BD93584"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en-GB"/>
              </w:rPr>
              <w:t>0.4-2</w:t>
            </w:r>
          </w:p>
        </w:tc>
        <w:tc>
          <w:tcPr>
            <w:tcW w:w="0" w:type="auto"/>
          </w:tcPr>
          <w:p w14:paraId="1EE8D8C1" w14:textId="419A62CD"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en-GB"/>
              </w:rPr>
              <w:t>2</w:t>
            </w:r>
          </w:p>
        </w:tc>
        <w:tc>
          <w:tcPr>
            <w:tcW w:w="0" w:type="auto"/>
          </w:tcPr>
          <w:p w14:paraId="6A9D8A5E" w14:textId="08F3AFBA"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en-GB"/>
              </w:rPr>
              <w:t>inverse agonist</w:t>
            </w:r>
          </w:p>
        </w:tc>
        <w:tc>
          <w:tcPr>
            <w:tcW w:w="0" w:type="auto"/>
          </w:tcPr>
          <w:p w14:paraId="48B2EDF6" w14:textId="7D7BFF2B" w:rsidR="00043312" w:rsidRPr="00DE7555" w:rsidRDefault="00043312" w:rsidP="00E5612A">
            <w:pP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428730BF" w14:textId="25F9FBE7" w:rsidR="00043312" w:rsidRPr="008178CC" w:rsidRDefault="00043312" w:rsidP="00E5612A">
            <w:pPr>
              <w:rPr>
                <w:rFonts w:ascii="Times New Roman" w:hAnsi="Times New Roman" w:cs="Times New Roman"/>
                <w:lang w:val="fr-FR"/>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{"citationItems":[{"id":"ITEM-1","itemData":{"DOI":"10.1016/j.bmcl.2004.11.007","ISSN":"0960894X","PMID":"15664857","abstract":"A novel class of cannabinoid CB2 receptor ligands is described. These triaryl bis-sulfones are nanomolar inhibitors of the CB2 receptor and show high selectivity over the cannabinoid CB1 receptor. One example of this new class decreases ligand-induced GTPgammaS binding to recombinant CB2 cell membranes, identifying the compound as a CB2-selective inverse agonist.","author":[{"dropping-particle":"","family":"Lavey","given":"Brian J.","non-dropping-particle":"","parse-names":false,"suffix":""},{"dropping-particle":"","family":"Kozlowski","given":"Joseph A.","non-dropping-particle":"","parse-names":false,"suffix":""},{"dropping-particle":"","family":"Hipkin","given":"R. William","non-dropping-particle":"","parse-names":false,"suffix":""},{"dropping-particle":"","family":"Gonsiorek","given":"Waldemar","non-dropping-particle":"","parse-names":false,"suffix":""},{"dropping-particle":"","family":"Lundell","given":"Daniel J.","non-dropping-particle":"","parse-names":false,"suffix":""},{"dropping-particle":"","family":"Piwinski","given":"John J.","non-dropping-particle":"","parse-names":false,"suffix":""},{"dropping-particle":"","family":"Narula","given":"Satwant","non-dropping-particle":"","parse-names":false,"suffix":""},{"dropping-particle":"","family":"Lunn","given":"Charles A.","non-dropping-particle":"","parse-names":false,"suffix":""}],"container-title":"Bioorganic &amp; Medicinal Chemistry Letters","id":"ITEM-1","issue":"3","issued":{"date-parts":[["2005","2","1"]]},"page":"783-786","title":"Triaryl bis-sulfones as a new class of cannabinoid CB2 receptor inhibitors: identification of a lead and initial SAR studies","type":"article-journal","volume":"15"},"uris":["http://www.mendeley.com/documents/?uuid=37d7d7c7-3f6e-35d6-916c-1ff34e733ab3"]},{"id":"ITEM-2","itemData":{"DOI":"10.1124/jpet.105.093500","ISSN":"0022-3565","PMID":"16258021","abstract":"The expression of the cannabinoid peripheral cannabinoid receptor (CB(2)) receptor on peripheral immune cells suggests that compounds specific for CB(2) might be effective anti-inflammatory agents. In this report, we present the initial biological profiling of a novel triaryl bis-sulfone, Sch.336 (N-[1(S)-[4-[[4-methoxy-2-[(4-methoxyphenyl)sulfonyl]phenyl]-sulfonyl]phenyl]ethyl]methanesulfonamide), which is selective for the human cannabinoid CB(2) receptor (hCB(2)). Sch.336 is an inverse agonist at hCB(2), as shown by its ability to decrease guanosine 5'-3-O-(thio)triphosphate (GTPgammaS) binding to membranes containing hCB(2), by the ability of GTPgammaS to left-shift Sch.336 binding to hCB(2) in these membranes, and by the compound's ability to increase forskolin-stimulated cAMP levels in CHO cells expressing hCB(2). In these systems, Sch.336 displays a greater potency than that reported for the CB(2)-selective dihydropyrazole, SR144528 (N-[(1S)-endo-1,3,3-trimethylbicyclo [2.2.1]heptan2-yl]-5-(4-chloro-3-methylphenyl)-1-[(4-methylphenyl)methyl]-1H-pyrazole-3-carboxamide). In vitro, Sch.336 impairs the migration of CB(2)-expressing recombinant cell lines to the cannabinoid agonist 2-arachidonylglycerol. In vivo, the compound impairs migration of cells to cannabinoid agonist HU210 [(6aR)-trans-3-(1,1-dimethylheptyl)-6a,7,10,10a-tetrahydro-1-hydroxy-6,6-dimethyl-6H-dibenzo [b,d] pyran-9-methanol]. Oral administration of the Sch.336 significantly inhibited leukocyte trafficking in several rodent in vivo models, induced either by specific chemokines or by antigen challenge. Finally, oral administration of Sch.336 blocked ovalbumin-induced lung eosinophilia in mice, a disease model for allergic asthma. We conclude that selective cannabinoid CB(2) inverse agonists may serve as novel immunomodulatory agents in the treatment of a broad range of acute and chronic inflammatory disorders in which leukocyte recruitment is a hallmark of disease pathology.","author":[{"dropping-particle":"","family":"Lunn","given":"C. A.","non-dropping-particle":"","parse-names":false,"suffix":""},{"dropping-particle":"","family":"Fine","given":"Jay S","non-dropping-particle":"","parse-names":false,"suffix":""},{"dropping-particle":"","family":"Rojas-Triana","given":"Alberto","non-dropping-particle":"","parse-names":false,"suffix":""},{"dropping-particle":"V","family":"Jackson","given":"James","non-dropping-particle":"","parse-names":false,"suffix":""},{"dropping-particle":"","family":"Fan","given":"Xuedong","non-dropping-particle":"","parse-names":false,"suffix":""},{"dropping-particle":"","family":"Kung","given":"Ted T","non-dropping-particle":"","parse-names":false,"suffix":""},{"dropping-particle":"","family":"Gonsiorek","given":"Waldemar","non-dropping-particle":"","parse-names":false,"suffix":""},{"dropping-particle":"","family":"Schwarz","given":"Martin A","non-dropping-particle":"","parse-names"</w:instrText>
            </w:r>
            <w:r w:rsidRPr="00DE7555">
              <w:rPr>
                <w:rFonts w:ascii="Times New Roman" w:hAnsi="Times New Roman" w:cs="Times New Roman"/>
                <w:lang w:val="fr-FR"/>
              </w:rPr>
              <w:instrText>:false,"suffix":""},{"dropping-particle":"","family":"Lavey","given":"Brian","non-dropping-particle":"","parse-names":false,"suffix":""},{"dropping-particle":"","family":"Kozlowski","given":"Joseph A","non-dropping-particle":"","parse-names":false,"suffix":""},{"dropping-particle":"","family":"Narula","given":"Satwant K","non-dropping-particle":"","parse-names":false,"suffix":""},{"dropping-particle":"","family":"Lundell","given":"Daniel J","non-dropping-particle":"","parse-names":false,"suffix":""},{"dropping-particle":"","family":"Hipkin","given":"R William","non-dropping-particle":"","parse-names":false,"suffix":""},{"dropping-particle":"","family":"Bober","given":"Loretta A","non-dropping-particle":"","parse-names":false,"suffix":""}],"container-title":"Journal of Pharmacology and Experimental Therapeutics","id":"ITEM-2","issue":"2","issued":{"date-parts":[["2005","10","6"]]},"page":"780-788","title":"A Novel Cannabinoid Peripheral Cannabinoid Receptor-Selective Inverse Agonist Blocks Leukocyte Recruitment in Vivo","type":"article-journal","volume":"316"},"uris":["http://www.mendeley.com/documents/?uuid=9591754c-414a-33a6-be44-bcc137f9a25b"]}],"mendeley":{"formattedCitation":"Lavey et al., 2005; Lunn et al., 2005","plainTextFormattedCitation":"Lavey et al., 2005; Lunn et al., 2005","previouslyFormattedCitation":"(Lavey et al., 2005; Lunn et al., 2005)"},"properties":{"noteIndex":0},"schema":"https://github.com/citation-style-language/schema/raw/master/csl-citation.json"}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fr-FR"/>
              </w:rPr>
              <w:t>Lavey et al., 2005; Lunn et al., 2005</w:t>
            </w:r>
            <w:r w:rsidRPr="00DE7555">
              <w:rPr>
                <w:rFonts w:ascii="Times New Roman" w:hAnsi="Times New Roman" w:cs="Times New Roman"/>
                <w:lang w:val="en-GB"/>
              </w:rPr>
              <w:fldChar w:fldCharType="end"/>
            </w:r>
            <w:r w:rsidRPr="00DE7555">
              <w:rPr>
                <w:rFonts w:ascii="Times New Roman" w:hAnsi="Times New Roman" w:cs="Times New Roman"/>
                <w:lang w:val="fr-FR"/>
              </w:rPr>
              <w:t xml:space="preserve"> </w:t>
            </w:r>
          </w:p>
        </w:tc>
      </w:tr>
      <w:tr w:rsidR="00043312" w:rsidRPr="00DE7555" w14:paraId="56330641" w14:textId="77777777" w:rsidTr="00E5612A">
        <w:tc>
          <w:tcPr>
            <w:tcW w:w="0" w:type="auto"/>
          </w:tcPr>
          <w:p w14:paraId="2834B9DA" w14:textId="77777777" w:rsidR="00043312" w:rsidRPr="008178CC" w:rsidRDefault="00043312" w:rsidP="00724E70">
            <w:pPr>
              <w:rPr>
                <w:rFonts w:ascii="Times New Roman" w:hAnsi="Times New Roman" w:cs="Times New Roman"/>
                <w:lang w:val="fr-FR"/>
              </w:rPr>
            </w:pPr>
            <w:r w:rsidRPr="008178CC">
              <w:rPr>
                <w:rFonts w:ascii="Times New Roman" w:hAnsi="Times New Roman" w:cs="Times New Roman"/>
                <w:lang w:val="fr-FR"/>
              </w:rPr>
              <w:t xml:space="preserve">UR-144 </w:t>
            </w:r>
          </w:p>
          <w:p w14:paraId="7B801C2D" w14:textId="09CAB8C4" w:rsidR="00043312" w:rsidRPr="008178CC" w:rsidRDefault="00043312" w:rsidP="00724E70">
            <w:pPr>
              <w:rPr>
                <w:rFonts w:ascii="Times New Roman" w:hAnsi="Times New Roman" w:cs="Times New Roman"/>
                <w:lang w:val="fr-FR"/>
              </w:rPr>
            </w:pPr>
            <w:r w:rsidRPr="008178CC">
              <w:rPr>
                <w:rFonts w:ascii="Times New Roman" w:hAnsi="Times New Roman" w:cs="Times New Roman"/>
                <w:lang w:val="fr-FR"/>
              </w:rPr>
              <w:t xml:space="preserve">aka TMCP-018 or KM-X1 </w:t>
            </w:r>
          </w:p>
        </w:tc>
        <w:tc>
          <w:tcPr>
            <w:tcW w:w="0" w:type="auto"/>
          </w:tcPr>
          <w:p w14:paraId="7CC5EEF8" w14:textId="4A054986" w:rsidR="00043312" w:rsidRPr="008178CC" w:rsidRDefault="00043312" w:rsidP="00E5612A">
            <w:pPr>
              <w:jc w:val="center"/>
              <w:rPr>
                <w:rFonts w:ascii="Times New Roman" w:hAnsi="Times New Roman" w:cs="Times New Roman"/>
                <w:lang w:val="fr-FR"/>
              </w:rPr>
            </w:pPr>
            <w:r w:rsidRPr="008178CC">
              <w:rPr>
                <w:rFonts w:ascii="Times New Roman" w:hAnsi="Times New Roman" w:cs="Times New Roman"/>
                <w:lang w:val="fr-FR"/>
              </w:rPr>
              <w:t>150</w:t>
            </w:r>
          </w:p>
        </w:tc>
        <w:tc>
          <w:tcPr>
            <w:tcW w:w="939" w:type="dxa"/>
          </w:tcPr>
          <w:p w14:paraId="506D8D6A" w14:textId="5125B005" w:rsidR="00043312" w:rsidRPr="008178CC" w:rsidRDefault="00043312" w:rsidP="00E5612A">
            <w:pPr>
              <w:jc w:val="center"/>
              <w:rPr>
                <w:rFonts w:ascii="Times New Roman" w:hAnsi="Times New Roman" w:cs="Times New Roman"/>
                <w:lang w:val="fr-FR"/>
              </w:rPr>
            </w:pPr>
            <w:r w:rsidRPr="008178CC">
              <w:rPr>
                <w:rFonts w:ascii="Times New Roman" w:hAnsi="Times New Roman" w:cs="Times New Roman"/>
                <w:lang w:val="fr-FR"/>
              </w:rPr>
              <w:t>421</w:t>
            </w:r>
          </w:p>
        </w:tc>
        <w:tc>
          <w:tcPr>
            <w:tcW w:w="2041" w:type="dxa"/>
          </w:tcPr>
          <w:p w14:paraId="1034727A" w14:textId="50B4FCC6" w:rsidR="00043312" w:rsidRPr="008178CC" w:rsidRDefault="00043312" w:rsidP="00E5612A">
            <w:pPr>
              <w:jc w:val="center"/>
              <w:rPr>
                <w:rFonts w:ascii="Times New Roman" w:hAnsi="Times New Roman" w:cs="Times New Roman"/>
                <w:lang w:val="fr-FR"/>
              </w:rPr>
            </w:pPr>
            <w:r w:rsidRPr="008178CC">
              <w:rPr>
                <w:rFonts w:ascii="Times New Roman" w:hAnsi="Times New Roman" w:cs="Times New Roman"/>
                <w:lang w:val="fr-FR"/>
              </w:rPr>
              <w:t>nd</w:t>
            </w:r>
          </w:p>
        </w:tc>
        <w:tc>
          <w:tcPr>
            <w:tcW w:w="0" w:type="auto"/>
          </w:tcPr>
          <w:p w14:paraId="15D6F5F3" w14:textId="47E2789D" w:rsidR="00043312" w:rsidRPr="008178CC" w:rsidRDefault="00043312" w:rsidP="00E5612A">
            <w:pPr>
              <w:jc w:val="center"/>
              <w:rPr>
                <w:rFonts w:ascii="Times New Roman" w:hAnsi="Times New Roman" w:cs="Times New Roman"/>
                <w:lang w:val="fr-FR"/>
              </w:rPr>
            </w:pPr>
            <w:r w:rsidRPr="008178CC">
              <w:rPr>
                <w:rFonts w:ascii="Times New Roman" w:hAnsi="Times New Roman" w:cs="Times New Roman"/>
                <w:lang w:val="fr-FR"/>
              </w:rPr>
              <w:t>1.8</w:t>
            </w:r>
          </w:p>
        </w:tc>
        <w:tc>
          <w:tcPr>
            <w:tcW w:w="0" w:type="auto"/>
          </w:tcPr>
          <w:p w14:paraId="72A627F7" w14:textId="19E57061" w:rsidR="00043312" w:rsidRPr="008178CC" w:rsidRDefault="00043312" w:rsidP="00E5612A">
            <w:pPr>
              <w:jc w:val="center"/>
              <w:rPr>
                <w:rFonts w:ascii="Times New Roman" w:hAnsi="Times New Roman" w:cs="Times New Roman"/>
                <w:lang w:val="fr-FR"/>
              </w:rPr>
            </w:pPr>
            <w:r w:rsidRPr="008178CC">
              <w:rPr>
                <w:rFonts w:ascii="Times New Roman" w:hAnsi="Times New Roman" w:cs="Times New Roman"/>
                <w:lang w:val="fr-FR"/>
              </w:rPr>
              <w:t>72</w:t>
            </w:r>
          </w:p>
        </w:tc>
        <w:tc>
          <w:tcPr>
            <w:tcW w:w="0" w:type="auto"/>
          </w:tcPr>
          <w:p w14:paraId="6EBE006F" w14:textId="471AA20B" w:rsidR="00043312" w:rsidRPr="008178CC" w:rsidRDefault="00043312" w:rsidP="00E5612A">
            <w:pPr>
              <w:jc w:val="center"/>
              <w:rPr>
                <w:rFonts w:ascii="Times New Roman" w:hAnsi="Times New Roman" w:cs="Times New Roman"/>
                <w:lang w:val="fr-FR"/>
              </w:rPr>
            </w:pPr>
            <w:r w:rsidRPr="008178CC">
              <w:rPr>
                <w:rFonts w:ascii="Times New Roman" w:hAnsi="Times New Roman" w:cs="Times New Roman"/>
                <w:lang w:val="fr-FR"/>
              </w:rPr>
              <w:t>agonist</w:t>
            </w:r>
          </w:p>
        </w:tc>
        <w:tc>
          <w:tcPr>
            <w:tcW w:w="0" w:type="auto"/>
          </w:tcPr>
          <w:p w14:paraId="6B5833E0" w14:textId="6F2AB6CE" w:rsidR="00043312" w:rsidRPr="008178CC" w:rsidRDefault="00043312" w:rsidP="00E5612A">
            <w:pPr>
              <w:rPr>
                <w:rFonts w:ascii="Times New Roman" w:hAnsi="Times New Roman" w:cs="Times New Roman"/>
                <w:lang w:val="fr-FR"/>
              </w:rPr>
            </w:pPr>
            <w:r w:rsidRPr="008178CC">
              <w:rPr>
                <w:rFonts w:ascii="Times New Roman" w:hAnsi="Times New Roman" w:cs="Times New Roman"/>
                <w:lang w:val="fr-FR"/>
              </w:rPr>
              <w:t>nd</w:t>
            </w:r>
          </w:p>
        </w:tc>
        <w:tc>
          <w:tcPr>
            <w:tcW w:w="0" w:type="auto"/>
          </w:tcPr>
          <w:p w14:paraId="31CB1009" w14:textId="13958D48"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8178CC">
              <w:rPr>
                <w:rFonts w:ascii="Times New Roman" w:hAnsi="Times New Roman" w:cs="Times New Roman"/>
                <w:lang w:val="fr-FR"/>
              </w:rPr>
              <w:instrText>ADDIN CSL_CITATION {"citationItems":[{"id":"ITEM-1","itemData":{"DOI":"10.1021/jm901214q","ISSN":"0022-2623","abstract":"Several 3-acylindoles with high affinity for the CB2 cannabinoid receptor and selectivity over the CB1 receptor have been prepared. A variety of 3-acyl substituents were investigated, and the tetramethylcyclopropyl group was found to lead to high affinity CB2 agonists (5, 16). Substitution at the N1-indole position was then examined. A series of aminoalkylindoles was prepared and several substituted aminoethyl derivatives were active (23−27, 5) at the CB2 receptor. A study of N1 nonaromatic side chain variants provided potent agonists at the CB2 receptor (16, 35−41, 44−47, 49−54, and 57−58). Several polar side chains (alcohols, oxazolidinone) were well-tolerated for CB2 receptor activity (41, 50), while others (amide, acid) led to weaker or inactive compounds (55 and 56). N1 aromatic side chains also afforded several high affinity CB2 receptor agonists (61, 63, 65, and 69) but were generally less potent in an in vitro CB2 functional assay than were nonaromatic side chain analogues.","author":[{"dropping-particle":"","family":"Frost","given":"Jennifer M.","non-dropping-particle":"","parse-names":false,"suffix":""},{"dropping-particle":"","family":"Dart","given":"Michael J.","non-dropping-particle":"","parse-names":false,"suffix":""},{"dropping-particle":"","</w:instrText>
            </w:r>
            <w:r w:rsidRPr="00DE7555">
              <w:rPr>
                <w:rFonts w:ascii="Times New Roman" w:hAnsi="Times New Roman" w:cs="Times New Roman"/>
                <w:lang w:val="en-GB"/>
              </w:rPr>
              <w:instrText>family":"Tietje","given":"Karin R.","non-dropping-particle":"","parse-names":false,"suffix":""},{"dropping-particle":"","family":"Garrison","given":"Tiffany R.","non-dropping-particle":"","parse-names":false,"suffix":""},{"dropping-particle":"","family":"Grayson","given":"George K.","non-dropping-particle":"","parse-names":false,"suffix":""},{"dropping-particle":"V.","family":"Daza","given":"Anthony","non-dropping-particle":"","parse-names":false,"suffix":""},{"dropping-particle":"","family":"El-Kouhen","given":"Odile F.","non-dropping-particle":"","parse-names":false,"suffix":""},{"dropping-particle":"","family":"Yao","given":"Betty B.","non-dropping-particle":"","parse-names":false,"suffix":""},{"dropping-particle":"","family":"Hsieh","given":"Gin C.","non-dropping-particle":"","parse-names":false,"suffix":""},{"dropping-particle":"","family":"Pai","given":"Madhavi","non-dropping-particle":"","parse-names":false,"suffix":""},{"dropping-particle":"","family":"Zhu","given":"Chang Z.","non-dropping-particle":"","parse-names":false,"suffix":""},{"dropping-particle":"","family":"Chandran","given":"Prasant","non-dropping-particle":"","parse-names":false,"suffix":""},{"dropping-particle":"","family":"Meyer","given":"Michael D.","non-dropping-particle":"","parse-names":false,"suffix":""}],"container-title":"Journal of Medicinal Chemistry","id":"ITEM-1","issue":"1","issued":{"date-parts":[["2010","1","14"]]},"page":"295-315","publisher":"American Chemical Society","title":"Indol-3-ylcycloalkyl Ketones: Effects of N1 Substituted Indole Side Chain Variations on CB &lt;sub&gt;2&lt;/sub&gt; Cannabinoid Receptor Activity","type":"article-journal","volume":"53"},"uris":["http://www.mendeley.com/documents/?uuid=b57269bb-bf14-363d-93e9-db5a01ec548e"]}],"mendeley":{"formattedCitation":"Frost et al., 2010","plainTextFormattedCitation":"Frost et al., 2010","previouslyFormattedCitation":"(Frost et al., 2010)"},"properties":{"noteIndex":0},"schema":"https://github.com/citation-style-language/schema/raw/master/csl-citation.json"}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Frost et al., 2010</w:t>
            </w:r>
            <w:r w:rsidRPr="00DE7555">
              <w:rPr>
                <w:rFonts w:ascii="Times New Roman" w:hAnsi="Times New Roman" w:cs="Times New Roman"/>
                <w:lang w:val="en-GB"/>
              </w:rPr>
              <w:fldChar w:fldCharType="end"/>
            </w:r>
          </w:p>
        </w:tc>
      </w:tr>
      <w:tr w:rsidR="00043312" w:rsidRPr="008178CC" w14:paraId="5BFA048F" w14:textId="77777777" w:rsidTr="00E5612A">
        <w:tc>
          <w:tcPr>
            <w:tcW w:w="0" w:type="auto"/>
          </w:tcPr>
          <w:p w14:paraId="690AE309" w14:textId="6F04B0E3"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fr-FR"/>
              </w:rPr>
              <w:t xml:space="preserve">XL-001 </w:t>
            </w:r>
          </w:p>
        </w:tc>
        <w:tc>
          <w:tcPr>
            <w:tcW w:w="0" w:type="auto"/>
          </w:tcPr>
          <w:p w14:paraId="61B4C8C1" w14:textId="64E467B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939" w:type="dxa"/>
          </w:tcPr>
          <w:p w14:paraId="6F8670F2" w14:textId="2375C8DA"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2041" w:type="dxa"/>
          </w:tcPr>
          <w:p w14:paraId="0F9882AE" w14:textId="3C80D198"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13A7F624" w14:textId="4AD36D1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fr-FR"/>
              </w:rPr>
              <w:t>0.5</w:t>
            </w:r>
          </w:p>
        </w:tc>
        <w:tc>
          <w:tcPr>
            <w:tcW w:w="0" w:type="auto"/>
          </w:tcPr>
          <w:p w14:paraId="2D9A913B" w14:textId="689B5090"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0FA3FA52" w14:textId="13D57733"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fr-FR"/>
              </w:rPr>
              <w:t xml:space="preserve">inverse </w:t>
            </w:r>
            <w:proofErr w:type="spellStart"/>
            <w:r w:rsidRPr="00DE7555">
              <w:rPr>
                <w:rFonts w:ascii="Times New Roman" w:hAnsi="Times New Roman" w:cs="Times New Roman"/>
                <w:lang w:val="fr-FR"/>
              </w:rPr>
              <w:t>agonist</w:t>
            </w:r>
            <w:proofErr w:type="spellEnd"/>
          </w:p>
        </w:tc>
        <w:tc>
          <w:tcPr>
            <w:tcW w:w="0" w:type="auto"/>
          </w:tcPr>
          <w:p w14:paraId="1DC24938" w14:textId="6A9A632C"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417FB971" w14:textId="61C99BDF"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fr-FR"/>
              </w:rPr>
              <w:instrText>ADDIN CSL_CITATION {"citationItems":[{"id":"ITEM-1","itemData":{"DOI":"10.1016/j.kint.2018.05.023","ISSN":"1523-1755","PMID":"30093080","abstract":"The cannabinoid receptor type 2 (CB2) is a G protein-coupled seven transmembrane receptor that transmits endogenous cannabinoid signaling. The role of CB2 in the pathogenesis of kidney injury and fibrosis remains poorly understood. Here we demonstrate that CB2 was induced, predominantly in kidney tubular epithelium, in various models of kidney disease induced by unilateral ureteral obstruction, adriamycin or ischemia/reperfusion injury. In vitro, forced expression of CB2 or treatment with a CB2 agonist was sufficient to trigger matrix gene expression, whereas knockdown of CB2 by siRNA abolished transforming growth factor-</w:instrText>
            </w:r>
            <w:r w:rsidRPr="00DE7555">
              <w:rPr>
                <w:rFonts w:ascii="Times New Roman" w:hAnsi="Times New Roman" w:cs="Times New Roman"/>
              </w:rPr>
              <w:instrText>β</w:instrText>
            </w:r>
            <w:r w:rsidRPr="00DE7555">
              <w:rPr>
                <w:rFonts w:ascii="Times New Roman" w:hAnsi="Times New Roman" w:cs="Times New Roman"/>
                <w:lang w:val="fr-FR"/>
              </w:rPr>
              <w:instrText>1-induced signaling and fibrogenic responses in kidney tubular cells. CB2 also mediated fibroblasts and macrophage activation in vitro. Mice with genetic ablation of CB2 were protected against kidney injury after ureteral obstruction, validating a pathogenic role of CB2 in renal fibrosis in vivo. By using in silico screening and medicinal chemistry modifications, we discovered a novel compound, XL-001, that bound to CB2 with high affinity and selectivity and acted as an inverse agonist. Incubation with XL-001 inhibited in a dose-dependent fashion the fibrogenic response induced by CB2 overexpression, CB2 agonist or transforming g</w:instrText>
            </w:r>
            <w:r w:rsidRPr="00DE7555">
              <w:rPr>
                <w:rFonts w:ascii="Times New Roman" w:hAnsi="Times New Roman" w:cs="Times New Roman"/>
              </w:rPr>
              <w:instrText xml:space="preserve">rowth factor-β1. In vivo, intraperitoneal injections of XL-001 ameliorated kidney injury, fibrosis and inflammation in both the obstruction and ischemia/reperfusion models. Delayed administration of XL-001 was also effective in ameliorating kidney fibrosis and inflammation. Thus, CB2 is a pathogenic mediator in kidney fibrosis and targeted inhibition with the novel inverse agonist XL-001 may provide a strategy in the fight against fibrotic kidney </w:instrText>
            </w:r>
            <w:r w:rsidRPr="00DE7555">
              <w:rPr>
                <w:rFonts w:ascii="Times New Roman" w:hAnsi="Times New Roman" w:cs="Times New Roman"/>
                <w:lang w:val="en-GB"/>
              </w:rPr>
              <w:instrText>diseases.","author":[{"dropping-particle":"","family":"Zhou","given":"Lili","non-dropping-particle":"","parse-names":false,"suffix":""},{"dropping-particle":"","family":"Zhou","given":"Shan","non-dropping-particle":"","parse-names":false,"suffix":""},{"dropping-particle":"","family":"Yang","given":"Peng","non-dropping-particle":"","parse-names":false,"suffix":""},{"dropping-particle":"","family":"Tian","given":"Yuan","non-dropping-particle":"","parse-names":false,"suffix":""},{"dropping-particle":"","family":"Feng","given":"Zhiwei","non-dropping-particle":"","parse-names":false,"suffix":""},{"dropping-particle":"","family":"Xie","given":"Xiang-Qun","non-dropping-particle":"","parse-names":false,"suffix":""},{"dropping-particle":"","family":"Liu","given":"Youhua","non-dropping-particle":"","parse-names":false,"suffix":""}],"container-title":"Kidney international","id":"ITEM-1","issue":"4","issued":{"date-parts":[["2018","10","1"]]},"page":"756-772","publisher":"Elsevier","title":"Targeted inhibition of the type 2 cannabinoid receptor is a novel approach to reduce renal fibrosis.","type":"article-journal","volume":"94"},"uris":["http://www.mendeley.com/documents/?uuid=e664c3f8-c4d7-37bf-b748-3bb72350e806"]}],"mendeley":{"formattedCitation":"Zhou et al., 2018","plainTextFormattedCitation":"Zhou et al., 2018","previouslyFormattedCitation":"(Zhou et al., 2018)"},"properties":{"noteIndex":0},"schema":"https://github.com/citation-style-language/schema/raw/master/csl-citation.json"}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Zhou et al., 2018</w:t>
            </w:r>
            <w:r w:rsidRPr="00DE7555">
              <w:rPr>
                <w:rFonts w:ascii="Times New Roman" w:hAnsi="Times New Roman" w:cs="Times New Roman"/>
                <w:lang w:val="en-GB"/>
              </w:rPr>
              <w:fldChar w:fldCharType="end"/>
            </w:r>
          </w:p>
        </w:tc>
      </w:tr>
      <w:bookmarkEnd w:id="3"/>
      <w:tr w:rsidR="00043312" w:rsidRPr="008178CC" w14:paraId="072C2A76" w14:textId="77777777" w:rsidTr="00DE7555">
        <w:tc>
          <w:tcPr>
            <w:tcW w:w="0" w:type="auto"/>
            <w:gridSpan w:val="9"/>
          </w:tcPr>
          <w:p w14:paraId="4B689BC1" w14:textId="5639FE31" w:rsidR="0058270E" w:rsidRPr="00DE7555" w:rsidRDefault="0058270E" w:rsidP="00724E70">
            <w:pPr>
              <w:rPr>
                <w:rFonts w:ascii="Times New Roman" w:hAnsi="Times New Roman" w:cs="Times New Roman"/>
                <w:lang w:val="en-GB"/>
              </w:rPr>
            </w:pPr>
            <w:r w:rsidRPr="00DE7555">
              <w:rPr>
                <w:rFonts w:ascii="Times New Roman" w:hAnsi="Times New Roman" w:cs="Times New Roman"/>
                <w:b/>
                <w:lang w:val="en-GB"/>
              </w:rPr>
              <w:t>Selective CB</w:t>
            </w:r>
            <w:r w:rsidRPr="00DE7555">
              <w:rPr>
                <w:rFonts w:ascii="Times New Roman" w:hAnsi="Times New Roman" w:cs="Times New Roman"/>
                <w:b/>
                <w:vertAlign w:val="subscript"/>
                <w:lang w:val="en-GB"/>
              </w:rPr>
              <w:t>1</w:t>
            </w:r>
            <w:r w:rsidRPr="00DE7555">
              <w:rPr>
                <w:rFonts w:ascii="Times New Roman" w:hAnsi="Times New Roman" w:cs="Times New Roman"/>
                <w:b/>
                <w:lang w:val="en-GB"/>
              </w:rPr>
              <w:t xml:space="preserve"> competitive antagonists/negative allosteric modulator</w:t>
            </w:r>
          </w:p>
        </w:tc>
      </w:tr>
      <w:tr w:rsidR="00043312" w:rsidRPr="00DE7555" w14:paraId="37D6002A" w14:textId="77777777" w:rsidTr="00DE7555">
        <w:tc>
          <w:tcPr>
            <w:tcW w:w="0" w:type="auto"/>
          </w:tcPr>
          <w:p w14:paraId="3ECB816C" w14:textId="0D659C21" w:rsidR="00043312" w:rsidRPr="00DE7555" w:rsidRDefault="00043312" w:rsidP="00724E70">
            <w:pPr>
              <w:rPr>
                <w:rFonts w:ascii="Times New Roman" w:hAnsi="Times New Roman" w:cs="Times New Roman"/>
                <w:lang w:val="en-GB"/>
              </w:rPr>
            </w:pPr>
            <w:bookmarkStart w:id="5" w:name="_Hlk5628500"/>
            <w:bookmarkEnd w:id="4"/>
            <w:r w:rsidRPr="00DE7555">
              <w:rPr>
                <w:rFonts w:ascii="Times New Roman" w:hAnsi="Times New Roman" w:cs="Times New Roman"/>
                <w:lang w:val="en-GB"/>
              </w:rPr>
              <w:t xml:space="preserve">AM251 </w:t>
            </w:r>
          </w:p>
        </w:tc>
        <w:tc>
          <w:tcPr>
            <w:tcW w:w="0" w:type="auto"/>
          </w:tcPr>
          <w:p w14:paraId="2030EDDE" w14:textId="282ECF1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7.</w:t>
            </w:r>
            <w:r w:rsidR="00E5612A">
              <w:rPr>
                <w:rFonts w:ascii="Times New Roman" w:hAnsi="Times New Roman" w:cs="Times New Roman"/>
                <w:lang w:val="en-GB"/>
              </w:rPr>
              <w:t>5</w:t>
            </w:r>
          </w:p>
        </w:tc>
        <w:tc>
          <w:tcPr>
            <w:tcW w:w="0" w:type="auto"/>
          </w:tcPr>
          <w:p w14:paraId="39636CF9" w14:textId="2A35DE7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E4899C4" w14:textId="0E6624F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antagonist</w:t>
            </w:r>
          </w:p>
        </w:tc>
        <w:tc>
          <w:tcPr>
            <w:tcW w:w="0" w:type="auto"/>
          </w:tcPr>
          <w:p w14:paraId="10222B21" w14:textId="6347955B"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2,290</w:t>
            </w:r>
          </w:p>
        </w:tc>
        <w:tc>
          <w:tcPr>
            <w:tcW w:w="0" w:type="auto"/>
          </w:tcPr>
          <w:p w14:paraId="7C3F80DA" w14:textId="5C063439"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3144850" w14:textId="4063B022"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9DD3D6D" w14:textId="13A8AD3B"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t xml:space="preserve">GPR55, μ-opioid receptors </w:t>
            </w:r>
          </w:p>
        </w:tc>
        <w:tc>
          <w:tcPr>
            <w:tcW w:w="0" w:type="auto"/>
          </w:tcPr>
          <w:p w14:paraId="310C16DE" w14:textId="3198D16F" w:rsidR="00043312" w:rsidRPr="00DE7555" w:rsidRDefault="00043312" w:rsidP="00E5612A">
            <w:pPr>
              <w:rPr>
                <w:rFonts w:ascii="Times New Roman" w:hAnsi="Times New Roman" w:cs="Times New Roman"/>
                <w:lang w:val="fr-FR"/>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{"citationItems":[{"id":"ITEM-1","itemData":{"DOI":"10.1021/jm980363y","ISSN":"0022-2623","PMID":"10052983","abstract":"As a potent, specific antagonist for the brain cannabinoid receptor (CB1), the biarylpyrazole N-(piperidin-1-yl)-5-(4-chlorophenyl)-1-(2, 4-dichlorophenyl)-4-methyl-1H-pyrazole-3-carboxamide (SR141716A; 1) was the lead compound for initiating studies designed to examine the structure-activity relationships of related compounds and to search for more selective and potent cannabimimetic ligands. A series of pyrazole derivatives was designed and synthesized to aid in the characterization of the cannabinoid receptor binding sites and also to serve as potentially useful pharmacological probes. Therapeutically, such compounds may have the ability to antagonize harmful side effects of cannabinoids and cannabimimetic agents. Structural requirements for potent and selective brain cannabinoid CB1 receptor antagonistic activity included (a) a para-substituted phenyl ring at the 5-position, (b) a carboxamido group at the 3-position, and (c) a 2,4-dichlorophenyl substituent at the 1-position of the pyrazole ring. The most potent compound of this series contained a p-iodophenyl group at the 5-position, a piperidinyl carboxamide at the 3-position, and a 2,4-dichlorophenyl group at the 1-position of the pyrazole ring. The iodinated nature of this compound offers additional utility as a gamma-enriching SPECT (single photon emission computed tomography) ligand that may be useful in characterizing brain CB1 receptor binding in vivo.","author":[{"dropping-particle":"","family":"Lan","given":"Ruoxi","non-dropping-particle":"","parse-names":false,"suffix":""},{"dropping-particle":"","family":"Liu","given":"Qian","non-dropping-particle":"","parse-names":false,"suffix":""},{"dropping-particle":"","family":"Fan","given":"Pusheng","non-dropping-particle":"","parse-names":false,"suffix":""},{"dropping-particle":"","family":"Lin","given":"Sonyuan","non-dropping-particle":"","parse-names":false,"suffix":""},{"dropping-particle":"","family":"Fernando","given":"Susanthi R.","non-dropping-particle":"","parse-names":false,"suffix":""},{"dropping-particle":"","family":"McCallion","given":"Deirdre","non-dropping-particle":"","parse-names":false,"suffix":""},{"dropping-particle":"","family":"Pertwee","given":"Roger","non-dropping-particle":"","parse-names":false,"suffix":""},{"dropping-particle":"","family":"Makriyannis","given":"Alexandros","non-dropping-particle":"","parse-names":false,"suffix":""}],"container-title":"Journal of Medicinal Chemistry","id":"ITEM-1","issue":"4","issued":{"date-parts":[["1999","2","25"]]},"page":"769-776","title":"Structure−Activity Relationships of Pyrazole Derivatives as Cannabinoid Receptor Antagonists","type":"article-journal","volume":"42"},"uris":["http://www.mendeley.com/documents/?uuid=48ea107e-dce2-31c8-854f-de65f241cfb1"]},{"id":"ITEM-2","itemData":{"DOI":"10.1016/j.neuropharm.2012.06.046","ISSN":"00283908","PMID":"22771770","abstract":"Mu-opioid and CB1-cannabinoid agonists produce analgesia; however, adverse effects limit use of drugs in both classes. Additive or synergistic effects resulting from concurrent administration of low doses of mu- and CB1-agonists may produce analgesia with fewer side effects. Synergism potentially results from interaction between mu-opioid receptors (MORs) and CB1 receptors (CB1Rs). AM-251 and rimonabant are CB1R antagonist/inverse agonists employed to validate opioid-cannabinoid interactions, presumed to act selectively at CB1Rs. Therefore, the potential for direct action of these antagonists at MORs is rarely considered. This study determined if AM-251 and/or rimonabant directly bind and modulate the function of MORs. Surprisingly, AM-251 and rimonabant, but not a third CB1R inverse agonist AM-281, bind with mid-nanomolar affinity to human MORs with a rank order of affinity (K(i)) of AM-251 (251 nM) &gt; rimonabant (652 nM) &gt; AM281 (2135 nM). AM-251 and rimonabant, but not AM-281, also competitively antagonize morphine induced G-protein activation in CHO-hMOR cell homogenates (K(b) = 719 or 1310 nM, respectively). AM-251 and rimonabant block morphine inhibition of cAMP production, while only AM-251 elicits cAMP rebound in CHO-hMOR cells chronically exposed to morphine. AM-251 and rimonabant (10 mg/kg) attenuate morphine analgesia, whereas the same dose of AM-281 produces little effect. Therefore, in addition to high CB1R affinity, AM-251 and rimonabant bind to MORs with mid-nanomolar affinity and at higher doses may affect morphine analgesia via direct antagonism at MORs. Such CB1-independent of these antagonists effects may contribute to reported inconsistencies when CB1/MOR interactions are examined via pharmacological methods in CB1-knockout versus wild-type mice.","author":[{"dropping-particle":"","family":"Seely","given":"Kathryn A.","non-dropping-particle":"","parse-names":false,"suffix":""},{"dropping-particle":"","family":"Brents","given":"Lisa K.","non-dropping-particle":"","parse-names":false,"suffix":""},{"dropping-particle":"","family":"Franks","given":"Lirit N.","non-dropping-particle":"","parse-names":false,"suffix":""},{"dropping-particle":"","family":"Rajasekaran","given":"Maheswari","non-dropping-particle":"","parse-names":false,"suffix":""},{"dropping-particle":"","family":"Zimmerman","given":"Sarah M.","non-dropping-particle":"","parse-names":false,"suffix":""},{"dropping-particle":"","family":"Fantegrossi","given":"William E.","non-dropping-particle":"","parse-names":false,"suffix":""},{"dropping-particle":"","family":"Prather","given":"Paul L.","non-dropping-particle":"","parse-names":false,"suffix":""}],"container-title":"Neuropharmacology","id":"ITEM-2","issue":"5","issued":{"date-parts":[["2012","10"]]},"page":"905-915","title":"AM-251 and rimonabant act as direct antagonists at mu-opioid receptors: Implications for opioid/cannabinoid interaction studies","type":"article-journal","volume":"63"},"uris":["http://www.mendeley.com/documents/?uuid=a9daebd8-8438-3122-876a-462f5030d6b6"]},{"id":"ITEM-3","itemData":{"DOI":"10.1038/sj.bjp.0707460","ISSN":"00071188","PMID":"17876302","abstract":"BACKGROUND The endocannabinoid system functions through two well characterized receptor systems, the CB1 and CB2 receptors. Work by a number of groups in recent years has provided evidence that the system is more complicated and additional receptor types should exist to explain ligand activity in a number of physiological processes. EXPERIMENTAL APPROACH Cells transfected with the human cDNA for GPR55 were tested for their ability to bind and to mediate GTPgammaS binding by cannabinoid ligands. Using an antibody and peptide blocking approach, the nature of the G-protein coupling was determined and further demonstrated by measuring activity of downstream signalling pathways. KEY RESULTS We demonstrate that GPR55 binds to and is activated by the cannabinoid ligand CP55940. In addition endocannabinoids including anandamide and virodhamine activate GTPgammaS binding via GPR55 with nM potencies. Ligands such as cannabidiol and abnormal cannabidiol which exhibit no CB1 or CB2 activity and are believed to function at a novel cannabinoid receptor, also showed activity at GPR55. GPR55 couples to Galpha13 and can mediate activation of rhoA, cdc42 and rac1. CONCLUSIONS These data suggest that GPR55 is a novel cannabinoid receptor, and its ligand profile with respect to CB1 and CB2 described here will permit delineation of its physiological function(s).","author":[{"dropping-particle":"","family":"Ryberg","given":"E","non-dropping-particle":"","parse-names":false,"suffix":""},{"dropping-particle":"","family":"Larsson","given":"N","non-dropping-particle":"","parse-names":false,"suffix":""},{"dropping-particle":"","family":"Sjögren","given":"S","non-dropping-particle":"","parse-names":false,"suffix":""},{"dropping-particle":"","family":"Hjorth","given":"S","non-dropping-particle":"","parse-names":false,"suffix":""},{"dropping-particle":"","family":"Herma</w:instrText>
            </w:r>
            <w:r w:rsidRPr="00DE7555">
              <w:rPr>
                <w:rFonts w:ascii="Times New Roman" w:hAnsi="Times New Roman" w:cs="Times New Roman"/>
                <w:lang w:val="fr-FR"/>
              </w:rPr>
              <w:instrText>nsson","given":"N-O","non-dropping-particle":"","parse-names":false,"suffix":""},{"dropping-particle":"","family":"Leonova","given":"J","non-dropping-particle":"","parse-names":false,"suffix":""},{"dropping-particle":"","family":"Elebring","given":"T","non-dropping-particle":"","parse-names":false,"suffix":""},{"dropping-particle":"","family":"Nilsson","given":"K","non-dropping-particle":"","parse-names":false,"suffix":""},{"dropping-particle":"","family":"Drmota","given":"T","non-dropping-particle":"","parse-names":false,"suffix":""},{"dropping-particle":"","family":"Greasley","given":"P J","non-dropping-particle":"","parse-names":false,"suffix":""}],"container-title":"British Journal of Pharmacology","id":"ITEM-3","issue":"7","issued":{"date-parts":[["2009","1","29"]]},"page":"1092-1101","title":"The orphan receptor GPR55 is a novel cannabinoid receptor","type":"article-journal","volume":"152"},"uris":["http://www.mendeley.com/documents/?uuid=b9f4e60a-9344-34bd-9217-8e9d5db3699a"]}],"mendeley":{"formattedCitation":"Ruoxi Lan et al., 1999; Ryberg et al., 2009a; Seely et al., 2012","manualFormatting":"Ruoxi Lan et al., 1999; Ryberg et al., 2009; Seely et al., 2012","plainTextFormattedCitation":"Ruoxi Lan et al., 1999; Ryberg et al., 2009a; Seely et al., 2012","previouslyFormattedCitation":"(Ruoxi Lan et al., 1999; Ryberg et al., 2009a; Seely et al., 2012)"},"properties":{"noteIndex":0},"schema":"https://github.com/citation-style-language/schema/raw/master/csl-citation.json"}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fr-FR"/>
              </w:rPr>
              <w:t>Ruoxi Lan et al., 1999; Ryberg et al., 2009; Seely et al., 2012</w:t>
            </w:r>
            <w:r w:rsidRPr="00DE7555">
              <w:rPr>
                <w:rFonts w:ascii="Times New Roman" w:hAnsi="Times New Roman" w:cs="Times New Roman"/>
                <w:lang w:val="en-GB"/>
              </w:rPr>
              <w:fldChar w:fldCharType="end"/>
            </w:r>
          </w:p>
        </w:tc>
      </w:tr>
      <w:tr w:rsidR="00043312" w:rsidRPr="00DE7555" w14:paraId="799B92D6" w14:textId="77777777" w:rsidTr="00DE7555">
        <w:tc>
          <w:tcPr>
            <w:tcW w:w="0" w:type="auto"/>
          </w:tcPr>
          <w:p w14:paraId="6DCFE00E" w14:textId="06944C48"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fr-FR"/>
              </w:rPr>
              <w:t xml:space="preserve">AM281 </w:t>
            </w:r>
          </w:p>
        </w:tc>
        <w:tc>
          <w:tcPr>
            <w:tcW w:w="0" w:type="auto"/>
          </w:tcPr>
          <w:p w14:paraId="5AD35F5D" w14:textId="7ABDB2FC"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fr-FR"/>
              </w:rPr>
              <w:t>12</w:t>
            </w:r>
          </w:p>
        </w:tc>
        <w:tc>
          <w:tcPr>
            <w:tcW w:w="0" w:type="auto"/>
          </w:tcPr>
          <w:p w14:paraId="79FE4A60" w14:textId="242A5761"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2B782BAE" w14:textId="0FAAB671"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antagonist</w:t>
            </w:r>
            <w:proofErr w:type="spellEnd"/>
          </w:p>
        </w:tc>
        <w:tc>
          <w:tcPr>
            <w:tcW w:w="0" w:type="auto"/>
          </w:tcPr>
          <w:p w14:paraId="3C306DC8" w14:textId="78CDFE6E"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fr-FR"/>
              </w:rPr>
              <w:t>4,200</w:t>
            </w:r>
          </w:p>
        </w:tc>
        <w:tc>
          <w:tcPr>
            <w:tcW w:w="0" w:type="auto"/>
          </w:tcPr>
          <w:p w14:paraId="28F054A5" w14:textId="43C18A75"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26EC0041" w14:textId="04BA87CF"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fr-FR"/>
              </w:rPr>
              <w:t>nd</w:t>
            </w:r>
            <w:proofErr w:type="spellEnd"/>
          </w:p>
        </w:tc>
        <w:tc>
          <w:tcPr>
            <w:tcW w:w="0" w:type="auto"/>
          </w:tcPr>
          <w:p w14:paraId="46D28DF0" w14:textId="1991F6E3"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fr-FR"/>
              </w:rPr>
              <w:t>GPR55</w:t>
            </w:r>
          </w:p>
        </w:tc>
        <w:tc>
          <w:tcPr>
            <w:tcW w:w="0" w:type="auto"/>
          </w:tcPr>
          <w:p w14:paraId="169BFF3D" w14:textId="4E9678AB"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fr-FR"/>
              </w:rPr>
              <w:instrText>ADDIN CSL_CITATION {"citationItems":[{"id":"ITEM-1","itemData":{"ISSN":"1522-1059","PMID":"11741201","abstract":"In the search for a radioligand capable of imaging cannabinoid CB1 receptors in the living human brain by SPECT (single photon emission computed tomography),N-(morpholin-4-yl)-1-(2,4-dichlorophenyl)-5-(4-iodophenyl)-4-methyl-1H-pyrazole-3-carboxamide (AM281) was synthesized. This compound is an analog of the potent, CB1 receptor selective antagonist SR141716A [N-(piperidin-1-yl)-1-(2,4-dichlorophenyl)-5-(4-chlorophenyl)-4-methyl-1H-pyrazole-3-carboxamide]. AM281 bound to brain and spleen membrane preparations (CB1 and CB2 receptors, respectively) with K(i) values of 12 nM and 4200 nM, respectively. AM281 also inhibited the response of guinea-pig small intestine preparation to a cannabinoid receptor agonist. Thus, AM281 behaves as a CB1 receptor selective antagonist. Methods for the rapid, high-yield synthesis and purification of [123I]AM281 were developed, and transaxially reconstructed brain SPECT images obtained after continuous infusion of [123I]AM281 in baboons. Thus [123I]AM281 may be suitable for imaging CB1 receptors in humans.","author":[{"dropping-particle":"","family":"Lan","given":"R","non-dropping-particle":"","parse-names":false,"suffix":""},{"dropping-particle":"","family":"Gatley","given":"J","non-dropping-particle":"","parse-names":false,"suffix":""},{"dropping-particle":"","family":"Lu","given":"Q","non-dropping-particle":"","parse-names":false,"suffix":""},{"dropping-particle":"","family":"Fan","given":"P","non-dropping-particle":"","parse-names":false,"suffix":""},{"dropping-particle":"","family":"Fernando","given":"S R","non-dropping-particle":"","parse-names":false,"suffix":""},{"dropping-particle":"","family":"Volkow","given":"N D","non-dropping-particle":"","parse-names":false,"suffix":""},{"dropping-particle":"","family":"Pertwee","given":"R","non-dropping-particle":"","parse-names":false,"suffix":""},{"dropping-particle":"","family":"Makriyannis","given":"A","non-dropping-particle":"","parse-names":false,"suffix":""}],"container-title":"AAPS pharmSci","id":"ITEM-1","issue":"2","issued":{"date-parts":[["1999"]]},"page":"E4","title":"Design and synthesis of the CB1 selective cannabinoid antagonist AM281: a potential human SPECT ligand.","type":"article-journal","volume":"1"},"uris":["http://www.mendeley.com/documents/?uuid=84e4cb6f-78b3-3f5d-b1ad-b06b4f3cb33b"]},{"id":"ITEM-2","itemData":{"DOI":"10.1111/j.1476-5381.2009.00625.x","ISSN":"00071188","PMID":"20136841","abstract":"BACKGROUND AND PURPOSE Although GPR55 is potently activated by the endogenous lysophospholipid, L-alpha-lysophosphatidylinositol (LPI), it is also thought to be sensitive to a number of cannabinoid ligands, including the prototypic CB1 receptor antagonists AM251 and SR141716A (Rimonabant). In this study we have used a range of functional assays to compare the pharmacological activity of selected cannabinoid ligands, AM251, AM281 and SR141716A with LPI in a HEK293 cell line engineered to stably express recombinant, human GPR55. EXPERIMENTAL APPROACH We evaluated Ca(2+) signalling, stimulation of extracellular signal regulated kinase (ERK1/2) mitogen activated kinase MAP-kinases, induction of transcriptional regulators that are downstream of GPR55, including nuclear factor of activated T cells (NFAT), nuclear factor-kappaB (NF-kappaB) and cAMP response element binding protein (CREB), as well as receptor endocytosis. In addition, we assessed the suitability of a novel, label-free assay for GPR55 ligands that involves optical measurement of dynamic mass redistribution following receptor activation. KEY RESULTS GPR55 linked to a range of downstream signalling events and that the activity of GPR55 ligands was influenced by the functional assay employed, with differences in potency and efficacy observed. CONCLUSIONS AND IMPLICATIONS Our data help to resolve some of the issues surrounding the pharmacology of cannabinoid ligands at GPR55 and highlight some differences in effector coupling associated with distinct GPR55 ligands.","author":[{"dropping-particle":"","family":"Henstridge","given":"Christopher M","non-dropping-particle":"","parse-names":false,"suffix":""},{"dropping-particle":"","family":"Balenga","given":"Nariman AB","non-dropping-particle":"","parse-names":false,"suffix":""},{"dropping-particle":"","family":"Schröder","given":"Ralf","non-dropping-particle":"","parse-names":false,"suffix":""},{"dropping-particle":"","family":"Kargl","given":"Julia K","non-dropping-particle":"","parse-names":false,"suffix":""},{"dropping-particle":"","family":"Platzer","given":"Wolfgang","non-dropping-particle":"","parse-names":false,"suffix":""},{"dropping-particle":"","family":"Martini","given":"Lene","non-dropping-particle":"","parse-names":false,"suffix":""},{"dropping-particle":"","family":"Arthur","given":"Simon","non-dropping-particle":"","parse-names":false,"suffix":""},{"dropping-particle":"","family":"Penman","given":"June","non-dropping-particle":"","parse-names":false,"suffix":""},{"dropping-particle":"","family":"Whistler","given":"Jennifer L","non-dropping-particle":"","parse-names":false,"suffix":""},{"dropping-particle":"","family":"Kostenis","given":"Evi","non-dropping-particle":"","parse-names":false,"suffix":""},{"dropping-particle":"","family":"Waldhoer","given":"Maria","non-dropping-particle":"","parse-names":false,"suffix":""},{"dropping-particle":"","family":"Irving","given":"Andrew J","non-dropping-particle":"","parse-names":false,"suffix":""}],"container-title":"British Journal of Pharmacology","id":"ITEM-2","issue":"3","issued":{"date-parts":[["2010","6"]]},"page":"604-614","title":"GPR55 ligands promote receptor coupling to multiple signalling pathways","type":"article-journal","volume":"160"},"uris":["http://www.mendeley.com/documents/?uuid=7e6e3eec-25d0-36b7-8691-04a0f99f58c4"]}],"mendeley":{"formattedCitation":"Henstridge et al., 2010; R Lan et al., 1999","plainTextFormattedCitation":"Henstridge et al., 2010; R Lan et al., 1999","previouslyFormattedCitation":"(Henstridge et al., 2010; R Lan et al., 1999)"},"properties":{"noteIndex":0},"schema":"https://github.com/citation-style-language/schema/raw/master/csl-citation.json"}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fr-FR"/>
              </w:rPr>
              <w:t>Henstridge et al., 2010; R Lan et al., 1999</w:t>
            </w:r>
            <w:r w:rsidRPr="00DE7555">
              <w:rPr>
                <w:rFonts w:ascii="Times New Roman" w:hAnsi="Times New Roman" w:cs="Times New Roman"/>
                <w:lang w:val="en-GB"/>
              </w:rPr>
              <w:fldChar w:fldCharType="end"/>
            </w:r>
          </w:p>
        </w:tc>
      </w:tr>
      <w:tr w:rsidR="00043312" w:rsidRPr="008178CC" w14:paraId="12BE4F84" w14:textId="77777777" w:rsidTr="00DE7555">
        <w:tc>
          <w:tcPr>
            <w:tcW w:w="0" w:type="auto"/>
          </w:tcPr>
          <w:p w14:paraId="20B340D3" w14:textId="0153B6BE"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AM6538</w:t>
            </w:r>
          </w:p>
        </w:tc>
        <w:tc>
          <w:tcPr>
            <w:tcW w:w="0" w:type="auto"/>
          </w:tcPr>
          <w:p w14:paraId="17CAAA68" w14:textId="32CDA980" w:rsidR="00043312" w:rsidRPr="00DE7555" w:rsidRDefault="00E5612A" w:rsidP="00E5612A">
            <w:pPr>
              <w:jc w:val="center"/>
              <w:rPr>
                <w:rFonts w:ascii="Times New Roman" w:hAnsi="Times New Roman" w:cs="Times New Roman"/>
                <w:lang w:val="en-GB"/>
              </w:rPr>
            </w:pPr>
            <w:r>
              <w:rPr>
                <w:rFonts w:ascii="Times New Roman" w:hAnsi="Times New Roman" w:cs="Times New Roman"/>
                <w:lang w:val="en-GB"/>
              </w:rPr>
              <w:t>5</w:t>
            </w:r>
          </w:p>
        </w:tc>
        <w:tc>
          <w:tcPr>
            <w:tcW w:w="0" w:type="auto"/>
          </w:tcPr>
          <w:p w14:paraId="7995750D" w14:textId="00575343"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4ED0C60" w14:textId="79E433A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antagonist</w:t>
            </w:r>
          </w:p>
        </w:tc>
        <w:tc>
          <w:tcPr>
            <w:tcW w:w="0" w:type="auto"/>
          </w:tcPr>
          <w:p w14:paraId="54F823C2" w14:textId="6154E6D9"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E575D7F" w14:textId="6F61B6B9"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315A72A" w14:textId="653D0B4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E80AA5C" w14:textId="2CB384CD"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C10273D" w14:textId="0B6D65DD" w:rsidR="00043312" w:rsidRPr="008178CC" w:rsidRDefault="00043312" w:rsidP="00E5612A">
            <w:pPr>
              <w:rPr>
                <w:rFonts w:ascii="Times New Roman" w:hAnsi="Times New Roman" w:cs="Times New Roman"/>
                <w:lang w:val="de-DE"/>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{"citationItems":[{"id":"ITEM-1","itemData":{"DOI":"10.1016/j.cell.2016.10.004","ISSN":"00928674","PMID":"27768894","abstract":"Cannabinoid receptor 1 (CB1) is the principal target of Δ9-tetrahydrocannabinol (THC), a psychoactive chemical from Cannabis sativa with a wide range of therapeutic applications and a long history of recreational use. CB1 is activated by endocannabinoids and is a promising therapeutic target for pain management, inflammation, obesity, and substance abuse disorders. Here, we present the 2.8 Å crystal structure of human CB1 in complex with AM6538, a stabilizing antagonist, synthesized and characterized for this structural study. The structure of the CB1-AM6538 complex reveals key features of the receptor and critical interactions for antagonist binding. In combination with functional studies and molecular modeling, the structure provides insight into the binding mode of naturally occurring CB1 ligands, such as THC, and synthetic cannabinoids. This enhances our understanding of the molecular basis for the physiological functions of CB1 and provides new opportunities for the design of next-generation CB1-targeting pharmaceuticals.","author":[{"dropping-particle":"","family":"Hua","given":"Tian","non-dropping-particle":"","parse-names":false,"suffix":""},{"dropping-particle":"","family":"Vemuri","given":"Kiran","non-dropping-particle":"","parse-names":false,"suffix":""},{"dropping-particle":"","family":"Pu","given":"Mengchen","non-dropping-particle":"","parse-names":false,"suffix":""},{"dropping-particle":"","family":"Qu","given":"Lu","non-dropping-particle":"","parse-names":false,"suffix":""},{"dropping-particle":"","family":"Han","given":"Gye Won","non-dropping-particle":"","parse-names":false,"suffix":""},{"dropping-particle":"","family":"Wu","given":"Yiran","non-dropping-particle":"","parse-names":false,"suffix":""},{"dropping-particle":"","family":"Zhao","given":"Suwen","non-dropping-particle":"","parse-names":false,"suffix":""},{"dropping-particle":"","family":"Shui","given":"Wenqing","non-dropping-particle":"","parse-names":false,"suffix":""},{"dropping-particle":"","family":"Li","given":"Shanshan","non-dropping-particle":"","parse-names":false,"suffix":""},{"dropping-particle":"","family":"Korde","given":"Anisha","non-dropping-particle":"","parse-names":false,"suffix":""},{"dropping-particle":"","family":"Laprairie","given":"Robert B.","non-dropping-particle":"","parse-names":false,"suffix":""},{"dropping-particle":"","family":"Stahl","given":"Edward L.","non-dropping-particle":"","parse-names":false,"suffix":""},{"dropping-particle":"","family":"Ho","given":"Jo-Hao","non-dropping-particle":"","parse-names":false,"suffix":""},{"dropping-particle":"","family":"Zvonok","given":"Nikolai","non-dropping-particle":"","parse-names":false,"suffix":""},{"dropping-particle":"","family":"Zhou","given":"Han","non-dropping-particle":"","parse-names":false,"suffix":""},{"dropping-particle":"","family":"Kufareva","giv</w:instrText>
            </w:r>
            <w:r w:rsidRPr="008178CC">
              <w:rPr>
                <w:rFonts w:ascii="Times New Roman" w:hAnsi="Times New Roman" w:cs="Times New Roman"/>
                <w:lang w:val="de-DE"/>
              </w:rPr>
              <w:instrText>en":"Irina","non-dropping-particle":"","parse-names":false,"suffix":""},{"dropping-particle":"","family":"Wu","given":"Beili","non-dropping-particle":"","parse-names":false,"suffix":""},{"dropping-particle":"","family":"Zhao","given":"Qiang","non-dropping-particle":"","parse-names":false,"suffix":""},{"dropping-particle":"","family":"Hanson","given":"Michael A.","non-dropping-particle":"","parse-names":false,"suffix":""},{"dropping-particle":"","family":"Bohn","given":"Laura M.","non-dropping-particle":"","parse-names":false,"suffix":""},{"dropping-particle":"","family":"Makriyannis","given":"Alexandros","non-dropping-particle":"","parse-names":false,"suffix":""},{"dropping-particle":"","family":"Stevens","given":"Raymond C.","non-dropping-particle":"","parse-names":false,"suffix":""},{"dropping-particle":"","family":"Liu","given":"Zhi-Jie","non-dropping-particle":"","parse-names":false,"suffix":""}],"container-title":"Cell","id":"ITEM-1","issue":"3","issued":{"date-parts":[["2016","10","20"]]},"page":"750-762.e14","title":"Crystal Structure of the Human Cannabinoid Receptor CB 1","type":"article-journal","volume":"167"},"uris":["http://www.mendeley.com/documents/?uuid=2fdf70e6-f5fc-3971-94c0-6fc49a919377"]}],"mendeley":{"formattedCitation":"Hua et al., 2016","plainTextFormattedCitation":"Hua et al., 2016","previouslyFormattedCitation":"(Hua et al., 2016)"},"properties":{"noteIndex":0},"schema":"https://github.com/citation-style-language/schema/raw/master/csl-citation.json"}</w:instrText>
            </w:r>
            <w:r w:rsidRPr="00DE7555">
              <w:rPr>
                <w:rFonts w:ascii="Times New Roman" w:hAnsi="Times New Roman" w:cs="Times New Roman"/>
                <w:lang w:val="en-GB"/>
              </w:rPr>
              <w:fldChar w:fldCharType="separate"/>
            </w:r>
            <w:r w:rsidRPr="008178CC">
              <w:rPr>
                <w:rFonts w:ascii="Times New Roman" w:hAnsi="Times New Roman" w:cs="Times New Roman"/>
                <w:noProof/>
                <w:lang w:val="de-DE"/>
              </w:rPr>
              <w:t>Hua et al., 2016</w:t>
            </w:r>
            <w:r w:rsidRPr="00DE7555">
              <w:rPr>
                <w:rFonts w:ascii="Times New Roman" w:hAnsi="Times New Roman" w:cs="Times New Roman"/>
                <w:lang w:val="en-GB"/>
              </w:rPr>
              <w:fldChar w:fldCharType="end"/>
            </w:r>
          </w:p>
        </w:tc>
      </w:tr>
      <w:tr w:rsidR="00043312" w:rsidRPr="00DE7555" w14:paraId="6E5DB72A" w14:textId="77777777" w:rsidTr="00DE7555">
        <w:tc>
          <w:tcPr>
            <w:tcW w:w="0" w:type="auto"/>
          </w:tcPr>
          <w:p w14:paraId="17D2087D" w14:textId="6024BAAE" w:rsidR="00043312" w:rsidRPr="008178CC" w:rsidRDefault="00043312" w:rsidP="00724E70">
            <w:pPr>
              <w:rPr>
                <w:rFonts w:ascii="Times New Roman" w:hAnsi="Times New Roman" w:cs="Times New Roman"/>
                <w:lang w:val="de-DE"/>
              </w:rPr>
            </w:pPr>
            <w:r w:rsidRPr="008178CC">
              <w:rPr>
                <w:rFonts w:ascii="Times New Roman" w:hAnsi="Times New Roman" w:cs="Times New Roman"/>
                <w:lang w:val="de-DE"/>
              </w:rPr>
              <w:t>AM6545</w:t>
            </w:r>
          </w:p>
        </w:tc>
        <w:tc>
          <w:tcPr>
            <w:tcW w:w="0" w:type="auto"/>
          </w:tcPr>
          <w:p w14:paraId="6F9C5CF4" w14:textId="02542145" w:rsidR="00043312" w:rsidRPr="008178CC" w:rsidRDefault="00043312" w:rsidP="00E5612A">
            <w:pPr>
              <w:jc w:val="center"/>
              <w:rPr>
                <w:rFonts w:ascii="Times New Roman" w:hAnsi="Times New Roman" w:cs="Times New Roman"/>
                <w:lang w:val="de-DE"/>
              </w:rPr>
            </w:pPr>
            <w:r w:rsidRPr="008178CC">
              <w:rPr>
                <w:rFonts w:ascii="Times New Roman" w:hAnsi="Times New Roman" w:cs="Times New Roman"/>
                <w:lang w:val="de-DE"/>
              </w:rPr>
              <w:t>3.</w:t>
            </w:r>
            <w:r w:rsidR="00E5612A" w:rsidRPr="008178CC">
              <w:rPr>
                <w:rFonts w:ascii="Times New Roman" w:hAnsi="Times New Roman" w:cs="Times New Roman"/>
                <w:lang w:val="de-DE"/>
              </w:rPr>
              <w:t>2</w:t>
            </w:r>
          </w:p>
        </w:tc>
        <w:tc>
          <w:tcPr>
            <w:tcW w:w="0" w:type="auto"/>
          </w:tcPr>
          <w:p w14:paraId="5CA6E9A9" w14:textId="40157492" w:rsidR="00043312" w:rsidRPr="008178CC" w:rsidRDefault="00043312" w:rsidP="00E5612A">
            <w:pPr>
              <w:jc w:val="center"/>
              <w:rPr>
                <w:rFonts w:ascii="Times New Roman" w:hAnsi="Times New Roman" w:cs="Times New Roman"/>
                <w:lang w:val="de-DE"/>
              </w:rPr>
            </w:pPr>
            <w:r w:rsidRPr="008178CC">
              <w:rPr>
                <w:rFonts w:ascii="Times New Roman" w:hAnsi="Times New Roman" w:cs="Times New Roman"/>
                <w:lang w:val="de-DE"/>
              </w:rPr>
              <w:t>nd</w:t>
            </w:r>
          </w:p>
        </w:tc>
        <w:tc>
          <w:tcPr>
            <w:tcW w:w="0" w:type="auto"/>
          </w:tcPr>
          <w:p w14:paraId="0A5EDD54" w14:textId="4EFE90C7" w:rsidR="00043312" w:rsidRPr="008178CC" w:rsidRDefault="00043312" w:rsidP="00E5612A">
            <w:pPr>
              <w:jc w:val="center"/>
              <w:rPr>
                <w:rFonts w:ascii="Times New Roman" w:hAnsi="Times New Roman" w:cs="Times New Roman"/>
                <w:lang w:val="de-DE"/>
              </w:rPr>
            </w:pPr>
            <w:r w:rsidRPr="008178CC">
              <w:rPr>
                <w:rFonts w:ascii="Times New Roman" w:hAnsi="Times New Roman" w:cs="Times New Roman"/>
                <w:lang w:val="de-DE"/>
              </w:rPr>
              <w:t>antagonist</w:t>
            </w:r>
          </w:p>
        </w:tc>
        <w:tc>
          <w:tcPr>
            <w:tcW w:w="0" w:type="auto"/>
          </w:tcPr>
          <w:p w14:paraId="745D8653" w14:textId="339489AF" w:rsidR="00043312" w:rsidRPr="008178CC" w:rsidRDefault="00043312" w:rsidP="00E5612A">
            <w:pPr>
              <w:jc w:val="center"/>
              <w:rPr>
                <w:rFonts w:ascii="Times New Roman" w:hAnsi="Times New Roman" w:cs="Times New Roman"/>
                <w:lang w:val="de-DE"/>
              </w:rPr>
            </w:pPr>
            <w:r w:rsidRPr="008178CC">
              <w:rPr>
                <w:rFonts w:ascii="Times New Roman" w:hAnsi="Times New Roman" w:cs="Times New Roman"/>
                <w:lang w:val="de-DE"/>
              </w:rPr>
              <w:t>nd</w:t>
            </w:r>
          </w:p>
        </w:tc>
        <w:tc>
          <w:tcPr>
            <w:tcW w:w="0" w:type="auto"/>
          </w:tcPr>
          <w:p w14:paraId="42F721CD" w14:textId="20F71972" w:rsidR="00043312" w:rsidRPr="008178CC" w:rsidRDefault="00043312" w:rsidP="00E5612A">
            <w:pPr>
              <w:jc w:val="center"/>
              <w:rPr>
                <w:rFonts w:ascii="Times New Roman" w:hAnsi="Times New Roman" w:cs="Times New Roman"/>
                <w:lang w:val="de-DE"/>
              </w:rPr>
            </w:pPr>
            <w:r w:rsidRPr="008178CC">
              <w:rPr>
                <w:rFonts w:ascii="Times New Roman" w:hAnsi="Times New Roman" w:cs="Times New Roman"/>
                <w:lang w:val="de-DE"/>
              </w:rPr>
              <w:t>nd</w:t>
            </w:r>
          </w:p>
        </w:tc>
        <w:tc>
          <w:tcPr>
            <w:tcW w:w="0" w:type="auto"/>
          </w:tcPr>
          <w:p w14:paraId="1DD894DC" w14:textId="5A869EB3" w:rsidR="00043312" w:rsidRPr="008178CC" w:rsidRDefault="00043312" w:rsidP="00E5612A">
            <w:pPr>
              <w:jc w:val="center"/>
              <w:rPr>
                <w:rFonts w:ascii="Times New Roman" w:hAnsi="Times New Roman" w:cs="Times New Roman"/>
                <w:lang w:val="de-DE"/>
              </w:rPr>
            </w:pPr>
            <w:r w:rsidRPr="008178CC">
              <w:rPr>
                <w:rFonts w:ascii="Times New Roman" w:hAnsi="Times New Roman" w:cs="Times New Roman"/>
                <w:lang w:val="de-DE"/>
              </w:rPr>
              <w:t>nd</w:t>
            </w:r>
          </w:p>
        </w:tc>
        <w:tc>
          <w:tcPr>
            <w:tcW w:w="0" w:type="auto"/>
          </w:tcPr>
          <w:p w14:paraId="18D3782B" w14:textId="38D8ADE2" w:rsidR="00043312" w:rsidRPr="008178CC" w:rsidRDefault="00043312" w:rsidP="00E5612A">
            <w:pPr>
              <w:rPr>
                <w:rFonts w:ascii="Times New Roman" w:hAnsi="Times New Roman" w:cs="Times New Roman"/>
                <w:lang w:val="de-DE"/>
              </w:rPr>
            </w:pPr>
            <w:r w:rsidRPr="008178CC">
              <w:rPr>
                <w:rFonts w:ascii="Times New Roman" w:hAnsi="Times New Roman" w:cs="Times New Roman"/>
                <w:lang w:val="de-DE"/>
              </w:rPr>
              <w:t>nd</w:t>
            </w:r>
          </w:p>
        </w:tc>
        <w:tc>
          <w:tcPr>
            <w:tcW w:w="0" w:type="auto"/>
          </w:tcPr>
          <w:p w14:paraId="03B5BE99" w14:textId="17B63905" w:rsidR="00043312" w:rsidRPr="008178CC" w:rsidRDefault="00043312" w:rsidP="00E5612A">
            <w:pPr>
              <w:rPr>
                <w:rFonts w:ascii="Times New Roman" w:hAnsi="Times New Roman" w:cs="Times New Roman"/>
              </w:rPr>
            </w:pPr>
            <w:r w:rsidRPr="00DE7555">
              <w:rPr>
                <w:rFonts w:ascii="Times New Roman" w:hAnsi="Times New Roman" w:cs="Times New Roman"/>
                <w:lang w:val="en-GB"/>
              </w:rPr>
              <w:fldChar w:fldCharType="begin" w:fldLock="1"/>
            </w:r>
            <w:r w:rsidRPr="008178CC">
              <w:rPr>
                <w:rFonts w:ascii="Times New Roman" w:hAnsi="Times New Roman" w:cs="Times New Roman"/>
                <w:lang w:val="de-DE"/>
              </w:rPr>
              <w:instrText>ADDIN CSL_CITATION {"citationItems":[{"id":"ITEM-1","itemData":{"DOI":"10.1073/pnas.1421420112","ISSN":"0027-8424","PMID":"25535367","abstract":"Glucocorticoids are known to promote the development of metabolic syndrome through the modulation of both feeding pathways and metabolic processes; however, the precise mechanisms of these effects are not well-understood. Recent evidence shows that glucocorticoids possess the ability to increase endocannabinoid signaling, which is known to regulate appetite, energy balance, and metabolic processes through both central and peripheral pathways. The aim of this study was to determine the role of endocannabinoid signaling in glucocorticoid-mediated obesity and metabolic syndrome. Using a mouse model of excess corticosterone exposure, we found that the ability of glucocorticoids to increase adiposity, weight gain, hormonal dysregulation, hepatic steatosis, and dyslipidemia was reduced or reversed in mice lacking the cannabinoid CB1 receptor as well as mice treated with the global CB1 receptor antagonist AM251. Similarly, a neutral, peripherally restricted CB1 receptor antagonist (AM6545) was able to attenuate the metabolic phenotype caused by chronic corticosterone, suggesting a peripheral mechanism for these effects. Biochemical analyses showed that chronic excess glucocorticoid exposure produced a significant increase in hepatic and circulating levels of the endocannabinoid ananda</w:instrText>
            </w:r>
            <w:r w:rsidRPr="00DE7555">
              <w:rPr>
                <w:rFonts w:ascii="Times New Roman" w:hAnsi="Times New Roman" w:cs="Times New Roman"/>
              </w:rPr>
              <w:instrText>mide, whereas no effect was observed in the hypothalamus. To test the role of the liver, specific and exclusive deletion of hepatic CB1 receptor resulted in a rescue of the dyslipidemic effects of glucocorticoid exposure, while not affecting the obesity phenotype or the elevations in insulin and leptin. Together, these data indicate that glucocorticoids recruit peripheral endocannabinoid signaling to promote metabolic dysregulation, with hepatic endocannabinoid signaling being especially important for changes in lipid metabolism.","author":[{"dropping-particle":"","family":"Bowles","given":"Nicole P.","non-dropping-particle":"","parse-names":false,"suffix":""},{"dropping-particle":"","family":"Karatsoreos","given":"Ilia N.","non-dropping-particle":"","parse-names":false,"suffix":""},{"dropping-particle":"","family":"Li","given":"Xiaosong","non-dropping-particle":"","parse-names":false,"suffix":""},{"dropping-particle":"","family":"Vemuri","given":"V. Kiran","non-dropping-particle":"","parse-names":false,"suffix":""},{"dropping-particle":"","family":"Wood","given":"Jodi-Anne","non-dropping-particle":"","parse-names":false,"suffix":""},{"dropping-particle":"","family":"Li","given":"Zhiying","non-dropping-particle":"","parse-names":false,"suffix":""},{"dropping-particle":"","family":"Tama</w:instrText>
            </w:r>
            <w:r w:rsidRPr="008178CC">
              <w:rPr>
                <w:rFonts w:ascii="Times New Roman" w:hAnsi="Times New Roman" w:cs="Times New Roman"/>
              </w:rPr>
              <w:instrText>shiro","given":"Kellie L. K.","non-dropping-particle":"","parse-names":false,"suffix":""},{"dropping-particle":"","family":"Schwartz","given":"Gary J.","non-dropping-particle":"","parse-names":false,"suffix":""},{"dropping-particle":"","family":"Makriyannis","given":"Alexandros M.","non-dropping-particle":"","parse-names":false,"suffix":""},{"dropping-particle":"","family":"Kunos","given":"George","non-dropping-particle":"","parse-names":false,"suffix":""},{"dropping-particle":"","family":"Hillard","given":"Cecilia J.","non-dropping-particle":"","parse-names":false,"suffix":""},{"dropping-particle":"","family":"McEwen","given":"Bruce S.","non-dropping-particle":"","parse-names":false,"suffix":""},{"dropping-particle":"","family":"Hill","given":"Matthew N.","non-dropping-particle":"","parse-names":false,"suffix":""}],"container-title":"Proceedings of the National Academy of Sciences","id":"ITEM-1","issue":"1","issued":{"date-parts":[["2015","1","6"]]},"page":"285-290","title":"A peripheral endocannabinoid mechanism contributes to glucocorticoid-mediated metabolic syndrome","type":"article-journal","volume":"112"},"uris":["http://www.mendeley.com/documents/?uuid=07a0787e-8bca-39e5-9dea-a542dbfd4261"]}],"mendeley":{"formattedCitation":"Bowles et al., 2015","plainTextFormattedCitation":"Bowles et al., 2015","previouslyFormattedCitation":"(Bowles et al., 2015)"},"properties":{"noteIndex":0},"schema":"https://github.com/citation-style-language/schema/raw/master/csl-citation.json"}</w:instrText>
            </w:r>
            <w:r w:rsidRPr="00DE7555">
              <w:rPr>
                <w:rFonts w:ascii="Times New Roman" w:hAnsi="Times New Roman" w:cs="Times New Roman"/>
                <w:lang w:val="en-GB"/>
              </w:rPr>
              <w:fldChar w:fldCharType="separate"/>
            </w:r>
            <w:r w:rsidRPr="008178CC">
              <w:rPr>
                <w:rFonts w:ascii="Times New Roman" w:hAnsi="Times New Roman" w:cs="Times New Roman"/>
                <w:noProof/>
              </w:rPr>
              <w:t>Bowles et al., 2015</w:t>
            </w:r>
            <w:r w:rsidRPr="00DE7555">
              <w:rPr>
                <w:rFonts w:ascii="Times New Roman" w:hAnsi="Times New Roman" w:cs="Times New Roman"/>
                <w:lang w:val="en-GB"/>
              </w:rPr>
              <w:fldChar w:fldCharType="end"/>
            </w:r>
          </w:p>
        </w:tc>
      </w:tr>
      <w:tr w:rsidR="00043312" w:rsidRPr="008178CC" w14:paraId="2DC5C590" w14:textId="77777777" w:rsidTr="00DE7555">
        <w:tc>
          <w:tcPr>
            <w:tcW w:w="0" w:type="auto"/>
          </w:tcPr>
          <w:p w14:paraId="3CF5DB95" w14:textId="1A4321C9" w:rsidR="00043312" w:rsidRPr="008178CC" w:rsidRDefault="00043312" w:rsidP="00724E70">
            <w:pPr>
              <w:rPr>
                <w:rFonts w:ascii="Times New Roman" w:hAnsi="Times New Roman" w:cs="Times New Roman"/>
              </w:rPr>
            </w:pPr>
            <w:r w:rsidRPr="008178CC">
              <w:rPr>
                <w:rFonts w:ascii="Times New Roman" w:hAnsi="Times New Roman" w:cs="Times New Roman"/>
              </w:rPr>
              <w:t>cannabidiol</w:t>
            </w:r>
          </w:p>
        </w:tc>
        <w:tc>
          <w:tcPr>
            <w:tcW w:w="0" w:type="auto"/>
          </w:tcPr>
          <w:p w14:paraId="3EF5B986" w14:textId="21FD4C09" w:rsidR="00043312" w:rsidRPr="008178CC" w:rsidRDefault="00043312" w:rsidP="00E5612A">
            <w:pPr>
              <w:jc w:val="center"/>
              <w:rPr>
                <w:rFonts w:ascii="Times New Roman" w:hAnsi="Times New Roman" w:cs="Times New Roman"/>
              </w:rPr>
            </w:pPr>
            <w:r w:rsidRPr="008178CC">
              <w:rPr>
                <w:rFonts w:ascii="Times New Roman" w:hAnsi="Times New Roman" w:cs="Times New Roman"/>
              </w:rPr>
              <w:t>nd</w:t>
            </w:r>
          </w:p>
        </w:tc>
        <w:tc>
          <w:tcPr>
            <w:tcW w:w="0" w:type="auto"/>
          </w:tcPr>
          <w:p w14:paraId="33713A92" w14:textId="6C02624B" w:rsidR="00043312" w:rsidRPr="008178CC" w:rsidRDefault="00043312" w:rsidP="00E5612A">
            <w:pPr>
              <w:jc w:val="center"/>
              <w:rPr>
                <w:rFonts w:ascii="Times New Roman" w:hAnsi="Times New Roman" w:cs="Times New Roman"/>
              </w:rPr>
            </w:pPr>
            <w:r w:rsidRPr="008178CC">
              <w:rPr>
                <w:rFonts w:ascii="Times New Roman" w:hAnsi="Times New Roman" w:cs="Times New Roman"/>
              </w:rPr>
              <w:t>4,350</w:t>
            </w:r>
          </w:p>
        </w:tc>
        <w:tc>
          <w:tcPr>
            <w:tcW w:w="0" w:type="auto"/>
          </w:tcPr>
          <w:p w14:paraId="60DE3A8A" w14:textId="3AABE318" w:rsidR="00043312" w:rsidRPr="008178CC" w:rsidRDefault="00043312" w:rsidP="00E5612A">
            <w:pPr>
              <w:jc w:val="center"/>
              <w:rPr>
                <w:rFonts w:ascii="Times New Roman" w:hAnsi="Times New Roman" w:cs="Times New Roman"/>
              </w:rPr>
            </w:pPr>
            <w:r w:rsidRPr="008178CC">
              <w:rPr>
                <w:rFonts w:ascii="Times New Roman" w:hAnsi="Times New Roman" w:cs="Times New Roman"/>
              </w:rPr>
              <w:t xml:space="preserve">negative allosteric </w:t>
            </w:r>
            <w:r w:rsidRPr="008178CC">
              <w:rPr>
                <w:rFonts w:ascii="Times New Roman" w:hAnsi="Times New Roman" w:cs="Times New Roman"/>
              </w:rPr>
              <w:lastRenderedPageBreak/>
              <w:t>modulator</w:t>
            </w:r>
          </w:p>
        </w:tc>
        <w:tc>
          <w:tcPr>
            <w:tcW w:w="0" w:type="auto"/>
          </w:tcPr>
          <w:p w14:paraId="73DB0DB6" w14:textId="339CDB41" w:rsidR="00043312" w:rsidRPr="008178CC" w:rsidRDefault="00043312" w:rsidP="00E5612A">
            <w:pPr>
              <w:jc w:val="center"/>
              <w:rPr>
                <w:rFonts w:ascii="Times New Roman" w:hAnsi="Times New Roman" w:cs="Times New Roman"/>
              </w:rPr>
            </w:pPr>
            <w:r w:rsidRPr="008178CC">
              <w:rPr>
                <w:rFonts w:ascii="Times New Roman" w:hAnsi="Times New Roman" w:cs="Times New Roman"/>
              </w:rPr>
              <w:lastRenderedPageBreak/>
              <w:t>2,860</w:t>
            </w:r>
          </w:p>
        </w:tc>
        <w:tc>
          <w:tcPr>
            <w:tcW w:w="0" w:type="auto"/>
          </w:tcPr>
          <w:p w14:paraId="7BB18826" w14:textId="045D8FC9" w:rsidR="00043312" w:rsidRPr="008178CC" w:rsidRDefault="00043312" w:rsidP="00E5612A">
            <w:pPr>
              <w:jc w:val="center"/>
              <w:rPr>
                <w:rFonts w:ascii="Times New Roman" w:hAnsi="Times New Roman" w:cs="Times New Roman"/>
              </w:rPr>
            </w:pPr>
            <w:r w:rsidRPr="008178CC">
              <w:rPr>
                <w:rFonts w:ascii="Times New Roman" w:hAnsi="Times New Roman" w:cs="Times New Roman"/>
              </w:rPr>
              <w:t>nd</w:t>
            </w:r>
          </w:p>
        </w:tc>
        <w:tc>
          <w:tcPr>
            <w:tcW w:w="0" w:type="auto"/>
          </w:tcPr>
          <w:p w14:paraId="5747DEC0" w14:textId="0386C5F9" w:rsidR="00043312" w:rsidRPr="008178CC" w:rsidRDefault="00043312" w:rsidP="00E5612A">
            <w:pPr>
              <w:jc w:val="center"/>
              <w:rPr>
                <w:rFonts w:ascii="Times New Roman" w:hAnsi="Times New Roman" w:cs="Times New Roman"/>
              </w:rPr>
            </w:pPr>
            <w:r w:rsidRPr="008178CC">
              <w:rPr>
                <w:rFonts w:ascii="Times New Roman" w:hAnsi="Times New Roman" w:cs="Times New Roman"/>
              </w:rPr>
              <w:t>nd</w:t>
            </w:r>
          </w:p>
        </w:tc>
        <w:tc>
          <w:tcPr>
            <w:tcW w:w="0" w:type="auto"/>
          </w:tcPr>
          <w:p w14:paraId="35A9FC9F" w14:textId="25748480" w:rsidR="00043312" w:rsidRPr="008178CC" w:rsidRDefault="00043312" w:rsidP="00E5612A">
            <w:pPr>
              <w:rPr>
                <w:rFonts w:ascii="Times New Roman" w:hAnsi="Times New Roman" w:cs="Times New Roman"/>
              </w:rPr>
            </w:pPr>
            <w:r w:rsidRPr="008178CC">
              <w:rPr>
                <w:rFonts w:ascii="Times New Roman" w:hAnsi="Times New Roman" w:cs="Times New Roman"/>
              </w:rPr>
              <w:t xml:space="preserve">GPR18, GPR55, </w:t>
            </w:r>
            <w:r w:rsidRPr="008178CC">
              <w:rPr>
                <w:rFonts w:ascii="Times New Roman" w:hAnsi="Times New Roman" w:cs="Times New Roman"/>
              </w:rPr>
              <w:lastRenderedPageBreak/>
              <w:t>TPRV2, TPRV3, TRPM8</w:t>
            </w:r>
          </w:p>
        </w:tc>
        <w:tc>
          <w:tcPr>
            <w:tcW w:w="0" w:type="auto"/>
          </w:tcPr>
          <w:p w14:paraId="72186ACA" w14:textId="20582D3B" w:rsidR="00043312" w:rsidRPr="00DE7555" w:rsidRDefault="00043312" w:rsidP="00E5612A">
            <w:pPr>
              <w:rPr>
                <w:rFonts w:ascii="Times New Roman" w:hAnsi="Times New Roman" w:cs="Times New Roman"/>
                <w:lang w:val="fr-FR"/>
              </w:rPr>
            </w:pPr>
            <w:r w:rsidRPr="00DE7555">
              <w:rPr>
                <w:rFonts w:ascii="Times New Roman" w:hAnsi="Times New Roman" w:cs="Times New Roman"/>
                <w:lang w:val="en-GB"/>
              </w:rPr>
              <w:lastRenderedPageBreak/>
              <w:fldChar w:fldCharType="begin" w:fldLock="1"/>
            </w:r>
            <w:r w:rsidRPr="008178CC">
              <w:rPr>
                <w:rFonts w:ascii="Times New Roman" w:hAnsi="Times New Roman" w:cs="Times New Roman"/>
              </w:rPr>
              <w:instrText xml:space="preserve">ADDIN CSL_CITATION {"citationItems":[{"id":"ITEM-1","itemData":{"DOI":"10.1111/j.1476-5381.2011.01497.x","ISSN":"00071188","PMID":"21595653","abstract":"BACKGROUND AND PURPOSE Endometriosis is a disorder in which the endometrium forms growths outside the uterus and is associated with chronic pain. Recent evidence suggests that endometrial motility plays a role in the aetiology of endometriosis. The endocannabinoid system regulates cellular migration. Given the growing involvement of the endocannabinoids in reproduction, we investigated the role of the endocannabinoid system in migration of endometrial cells. EXPERIMENTAL APPROACH Migration of the human endometrial HEC-1B cells was assayed. Standard PCR techniques were used to determine the presence of the GPCR, GPR18, in HEC-1B cells, and p44/42 MAPK was assayed in stably transfected HEK293-GPR18 cells to determine receptor specificity for known cannabinoid agonists and antagonists. N-arachidonoyl ethanolamine (AEA) metabolism was measured, using HPLC/MS/MS for lipid analysis. KEY RESULTS AEA, </w:instrText>
            </w:r>
            <w:r w:rsidRPr="00DE7555">
              <w:rPr>
                <w:rFonts w:ascii="Times New Roman" w:hAnsi="Times New Roman" w:cs="Times New Roman"/>
                <w:lang w:val="en-GB"/>
              </w:rPr>
              <w:instrText>Δ</w:instrText>
            </w:r>
            <w:r w:rsidRPr="008178CC">
              <w:rPr>
                <w:rFonts w:ascii="Times New Roman" w:hAnsi="Times New Roman" w:cs="Times New Roman"/>
              </w:rPr>
              <w:instrText>(9) -tetrahydrocannabinol (</w:instrText>
            </w:r>
            <w:r w:rsidRPr="00DE7555">
              <w:rPr>
                <w:rFonts w:ascii="Times New Roman" w:hAnsi="Times New Roman" w:cs="Times New Roman"/>
                <w:lang w:val="en-GB"/>
              </w:rPr>
              <w:instrText>Δ</w:instrText>
            </w:r>
            <w:r w:rsidRPr="008178CC">
              <w:rPr>
                <w:rFonts w:ascii="Times New Roman" w:hAnsi="Times New Roman" w:cs="Times New Roman"/>
              </w:rPr>
              <w:instrText xml:space="preserve">(9) -THC) and N-arachidonoyl glycine (NAGly) induce migration of HEC-1B cells through cannabinoid CB(1) receptor-independent mechanisms. MAPK activation in HEK293-GPR18 cells revealed novel pharmacology for known CB(1) and CB(2) receptor ligands at GPR18 receptors, including </w:instrText>
            </w:r>
            <w:r w:rsidRPr="00DE7555">
              <w:rPr>
                <w:rFonts w:ascii="Times New Roman" w:hAnsi="Times New Roman" w:cs="Times New Roman"/>
                <w:lang w:val="en-GB"/>
              </w:rPr>
              <w:instrText>Δ</w:instrText>
            </w:r>
            <w:r w:rsidRPr="008178CC">
              <w:rPr>
                <w:rFonts w:ascii="Times New Roman" w:hAnsi="Times New Roman" w:cs="Times New Roman"/>
              </w:rPr>
              <w:instrText>(9) -THC, whic</w:instrText>
            </w:r>
            <w:r w:rsidRPr="00DE7555">
              <w:rPr>
                <w:rFonts w:ascii="Times New Roman" w:hAnsi="Times New Roman" w:cs="Times New Roman"/>
                <w:lang w:val="en-GB"/>
              </w:rPr>
              <w:instrText>h activates MAPK at nanomolar concentrations, whereas WIN 55212-2, CP55940, JWH-133 and JWH-015, and arachidonyl-1-hydroxy-2-propylamide (R1-methanandamide) had no effect. Moreover, HEC-1B migration and MAPK activation by NAGly and Δ(9) -THC were antagonized by Pertussis toxin, AM251 and cannabidiol. CONCLUSIONS AND IMPLICATIONS An understanding of the function and regulation of GPR18 and its molecular interactions with endogenous ligands, and how phytocannabinoids play a role with GPR18 signalling is vital if we are to comprehensively assess the function of the cannabinoid signalling system in human health and disease. LINKED ARTICLES This article is commented on by Alexander, pp. 2411-2413 of this issue and is part of a themed section on Cannabinoids in Biology and Medicine. To view Alexander visit http://dx.doi.org/10.1111/j.1476-5381.2011.01731.x. To view the other articles in this section visit http://dx.doi.org/10.1111/bph.2012.165.issue-8. To view Part I of Cannabinoids in Biology and Medicine visit http://dx.doi.org/10.1111/bph.2011.163.issue-7.","author":[{"dropping-particle":"","family":"McHugh","given":"Douglas","non-dropping-particle":"","parse-names":false,"suffix":""},{"dropping-particle":"","family":"Page","given":"Jeremy","non-dropping-particle":"","parse-names":false,"suffix":""},{"dropping-particle":"","family":"Dunn","given":"Emily","non-dropping-particle":"","parse-names":false,"suffix":""},{"dropping-particle":"","family":"Bradshaw","given":"Heather B","non-dropping-particle":"","parse-names":false,"suffix":""}],"container-title":"British Journal of Pharmacology","id":"ITEM-1","issue":"8","issued":{"date-parts":[["2012","4"]]},"page":"2414-2424","title":"Δ9-Tetrahydrocannabinol and N-arachidonyl glycine are full agonists at GPR18 receptors and induce migration in human endometrial HEC-1B cells","type":"article-journal","volume":"165"},"uris":["http://www.mendeley.com/documents/?uuid=2d88e20f-3292-3e55-be7c-1d01e8f77138"]},{"id":"ITEM-2","itemData":{"DOI":"10.1111/bph.13250","ISSN":"00071188","PMID":"26218440","abstract":"BACKGROUND AND PURPOSE Cannabidiol has been reported to act as an antagonist at cannabinoid CB1 receptors. We hypothesized that cannabidiol would inhibit cannabinoid agonist activity through negative allosteric modulation of CB1 receptors. EXPERIMENTAL APPROACH Internalization of CB1 receptors, arrestin2 recruitment, and PLCβ3 and ERK1/2 phosphorylation, were quantified in HEK 293A cells heterologously expressing CB1 receptors and in the STHdh(Q7/Q7) cell model of striatal neurons endogenously expressing CB1 receptors. Cells were treated with 2-arachidonylglycerol or Δ(9)-tetrahydrocannabinol alone and in combination with different concentrations of cannabidiol. KEY RESULTS Cannabidiol reduced the efficacy and potency of 2-arachidonylglycerol and Δ(9)-tetrahydrocannabinol on PLCβ3- and ERK1/2-dependent signalling in cells heterologously (HEK 293A) or endogenously (STHdh(Q7/Q7)) expressing CB1 receptors. By reducing arrestin2 recruitment to CB1 receptors, cannabidiol treatment prevented internalization of these receptors. The allosteric activity of cannabidiol depended upon polar residues being present at positions 98 and 107 in the extracellular amino terminus of the CB1 receptor. CONCLUSIONS AND IMPLICATIONS Cannabidiol behaved as a non-competitive negative allosteric modulator of CB1 receptors. Allosteric modulation, in conjunction with effects not mediated by CB1 receptors, may explain the in vivo effects of cannabidiol. Allosteric modulators of CB1 receptors have the potential to treat CNS and peripheral disorders while avoiding the adverse effects associated with orthosteric agonism or antagonism of these receptors.","author":[{"dropping-particle":"","family":"Laprairie","given":"R B","non-dropping-particle":"","parse-names":false,"suffix":""},{"dropping-particle":"","family":"Bagher","given":"A M","non-dropping-particle":"","parse-names":false,"suffix":""},{"dropping-particle":"","family":"Kelly","given":"M E M","non-dropping-particle":"","parse-names":false,"suffix":""},{"dropping-particle":"","family":"Denovan-Wright","given":"E M","non-dropping-particle":"","parse-names":false,"suffix":""}],"container-title":"British Journal of Pharmacology","id":"ITEM-2","issue":"20","issued":{"date-parts":[["2015","10"]]},"page":"4790-4805","title":"Cannabidiol is a negative allosteric modulator of the cannabinoid CB &lt;sub&gt;1&lt;/sub&gt; receptor","type":"article-journal","volume":"172"},"uris":["http://www.mendeley.com/documents/?uuid=4b13aeb8-5758-3d28-9e8b-05fd03915d73"]},{"id":"ITEM-3","itemData":{"DOI":"10.1124/pr.110.003004","ISSN":"1521-0081","PMID":"21079038","abstract":"There are at least two types of cannabinoid receptors (CB(1) and CB(2)). Ligands activating these G protein-coupled receptors (GPCRs) include the phytocannabinoid Δ(9)-tetrahydrocannabinol, numerous synthetic compounds, and endogenous compounds known as endocannabinoids. Cannabinoid receptor antagonists have also been developed. Some of these ligands activate or block one type of cannabinoid receptor more potently than the other type. This review summarizes current data indicating the extent to which cannabinoid receptor ligands undergo orthosteric or allosteric interactions with non-CB(1), non-CB(2) established GPCRs, deorphanized receptors such as GPR55, ligand-gated ion channels, transient receptor potential (TRP) channels, and other ion channels or peroxisome proliferator-activated nuclear receptors. From these data, it is clear that some ligands that interact similarly with CB(1) and/or CB(2) receptors are likely to display significantly different pharmacological profiles. The review also lists some criteria that any novel \"CB(3)\" cannabinoid receptor or channel should fulfil and concludes that these criteria are not currently met by any non-CB(1), non-CB(2) pharmacological receptor or channel. However, it does identify certain pharmacological targets that should be investigated further as potential CB(3) receptors or channels. These include TRP vanilloid 1, which possibly functions as an ionotropic cannabinoid receptor under physiological and/or pathological conditions, and some deorphanized GPCRs. Also discussed are 1) the ability of CB(1) receptors to form heteromeric complexes with certain other GPCRs, 2) phylogenetic relationships that exist between CB(1)/CB(2) receptors and other GPCRs, 3) evidence for the existence of several as-yet-uncharacterized non-CB(1), non-CB(2) cannabinoid receptors; and 4) current cannabinoid receptor nomenclature.","author":[{"dropping-particle":"","family":"Pertwee","given":"R G","non-dropping-particle":"","parse-names":false,"suffix":""},{"dropping-particle":"","family":"Howlett","given":"A C","non-dropping-particle":"","parse-names":false,"suffix":""},{"dropping-particle":"","family":"Abood","given":"M E","non-dropping-particle":"","parse-names":false,"suffix":""},{"dropping-particle":"","family":"Alexander","given":"S P H","non-dropping-particle":"","parse-names":false,"suffix":""},{"dropping-particle":"","family":"Marzo","given":"V","non-dropping-particle":"Di","parse-names":false,"suffix":""},{"dropping-particle":"","family":"Elphick","given":"M R","non-dropping-particle":"","parse-names":false,"suffix":""},{"dropping-particle":"","family":"Greasley","given":"P J","non-dropping-particle":"","parse-names":false,"suffix":""},{"dropping-particle":"","family":"Hansen","given":"H S","non-dropping-particle":"","parse-names":false,"suffix":""},{"dropping-particle":"","family":"Kunos","given":"G","non-dropping-particle":"","parse-names":false,"suffix":""},{"dropping-particle":"","family":"Mackie","given":"K","non-dropping-particle":"","parse-names":false,"suffix":""},{"dropping-particle":"","family":"Mechoulam","given":"R","non-dropping-particle":"","parse-names":false,"suffix":""},{"dropping-particle":"","family":"Ross","given":"R A","non-dropping-particle":"","parse-names":false,"suffix":""}],"container-title":"Pharmacological reviews","id":"ITEM-3","issue":"4","issued":{"date-parts":[["2010","12"]]},"page":"588-631","publisher":"American Society for Pharmacology and Experimental Therapeutics","title":"International Union of Basic and Clinical Pharmacology. LXXIX. Cannabinoid receptors and their ligands: beyond CB</w:instrText>
            </w:r>
            <w:r w:rsidRPr="00DE7555">
              <w:rPr>
                <w:rFonts w:ascii="Calibri" w:eastAsia="Calibri" w:hAnsi="Calibri" w:cs="Calibri"/>
                <w:lang w:val="en-GB"/>
              </w:rPr>
              <w:instrText>₁</w:instrText>
            </w:r>
            <w:r w:rsidRPr="00DE7555">
              <w:rPr>
                <w:rFonts w:ascii="Times New Roman" w:hAnsi="Times New Roman" w:cs="Times New Roman"/>
                <w:lang w:val="en-GB"/>
              </w:rPr>
              <w:instrText xml:space="preserve"> and CB</w:instrText>
            </w:r>
            <w:r w:rsidRPr="00DE7555">
              <w:rPr>
                <w:rFonts w:ascii="Calibri" w:eastAsia="Calibri" w:hAnsi="Calibri" w:cs="Calibri"/>
                <w:lang w:val="en-GB"/>
              </w:rPr>
              <w:instrText>₂</w:instrText>
            </w:r>
            <w:r w:rsidRPr="00DE7555">
              <w:rPr>
                <w:rFonts w:ascii="Times New Roman" w:hAnsi="Times New Roman" w:cs="Times New Roman"/>
                <w:lang w:val="en-GB"/>
              </w:rPr>
              <w:instrText>.","type":"article-journal","volume":"62"},"uris":["http://www.mendeley.com/documents/?uuid=dd52fad6-4250-3211-90e9-46a49631c770"]},{"id":"ITEM-4","itemData":{"DOI":"10.1038/sj.bjp.0707460","ISSN":"00071188","PMID":"17876302","abstract":"BACKGROUND The endocannabinoid system functions through two well characterized receptor systems, the CB1 and CB2 receptors. Work by a number of groups in recent years has provided evidence that the system is more complicated and additional receptor types should exist to explain ligand activity in a number of physiological processes. EXPERIMENTAL APPROACH Cells transfected with the human cDNA for GPR55 were tested for their ability to bind and to mediate GTPgammaS binding by cannabinoid ligands. Using an antibody and peptide blocking approach, the nature of the G-protein coupling was determined and further demonstrated by measuring activity of downstream signalling pathways. KEY RESULTS We demonstrate that GPR55 binds to and is activated by the cannabinoid ligand CP55940. In addition endocannabinoids including anandamide and virodhamine activate GTPgammaS binding via GPR55 with nM potencies. Ligands such as cannabidiol and abnormal cannabidiol which exhibit no CB1 or CB2 activity and are believed to function at a novel cannabinoid receptor, also showed activity at GPR55. GPR55 couples to Galpha13 and can mediate activation of rhoA, cdc42 and rac1. CONCLUSIONS These data suggest that GPR55 is a novel cannabinoid receptor, and its ligand profile with respect to CB1 and CB2 described here will permit delineation of its physiological function(s).","author":[{"dropping-particle":"","family":"Ryberg","given":"E","non-dropping-particle":"","parse-names":false,"suffix":""},{"dropping-particle":"","family":"Larsson","given":"N","non-dropping-particle":"","parse-names":false,"suffix":""},{"dropping-particle":"","family":"Sjögren","given":"S","non-dropping-particle":"","parse-names":false,"suffix":""},{"dropping-particle":"","family":"Hjorth","given":"S","non-dropping-particle":"","parse-names":false,"suffix":""},{"dropping-particle":"","family":"Hermansson","given":"N-O","non-dropping-particle":"","parse-names":false,"suffix":""},{"dropping-particle":"","family":"Leonova","given":"J","non-dropping-particle":"","parse-names":false,"suffix":""},{"dropping-particle":"","family":"Elebring","given":"T","non-dropping-particle":"","parse-names":false,"suffix":""},{"dropping-particle":"","family":"Nilsson","given":"K","non-dropping-particle":"","parse-names":false,"suffix":""},{"dropping-particle":"","family":"Drmota","given":"T","non-dropping-particle":"","parse-names":false,"suffix":""},{"dropping-particle":"","family":"Greasley","given":"P J","non-dropping-particle":"","parse-names":false,"suffix":""}],"container-title":"British Journal of Pharmacology","id":"ITEM-4","issue":"7","issued":{"date-parts":[["2009","1","29"]]},"page":"1092-1101","title":"The orphan receptor GPR55 is a novel cannabinoid receptor","type":"article-journal","volume":"152"},"uris":["http://www.mendeley.com/documents/?uuid=b791222c-6dbd-332e-b439-a4f9d9a29998"]},{"id":"ITEM-5","itemData":{"DOI":"10.1523/JNEUROSCI.0504-08.2008","ISSN":"0270-6474","PMID":"18550765","abstract":"Transient receptor potential V2 (TRPV2) has been proposed to be a high-threshold thermosensor. However, further elucidation of the channel properties and physiological role of TRPV2 have been hindered by the lack of selective pharmacological tools as well as by the species-dependent differences in the activation of this channel. In the present study, we have used cell-based calcium mobilization and electrophysiological assays to identify and characterize several novel cannabinoid TRPV2 agonists. Among these, cannabidiol was found to be the most robust and potent (EC(50) = 3.7 microM), followed by Delta(9)-tetrahydrocannabinol (EC(50) = 14 microM) and cannabinol (EC(50) = 77.7 microM). We also demonstrated that cannabidiol evoked a concentration-dependent release of calcitonin gene-related peptide (CGRP) from cultured rat dorsal root ganglion neurons in a cannabinoid receptor- and TRPV1-independent manner. Moreover, the cannabidiol-evoked CGRP release depended on extracellular calcium and was blocked by the nonselective TRP channel blocker, ruthenium red. We further provide evidence through the use of small interfering RNA knockdown and repetitive stimulation studies, to show that cannabidiol-evoked CGRP release is mediated, at least in part, by TRPV2. Together, these data suggest not only that TRPV2 may comprise a mechanism whereby cannabidiol exerts its clinically beneficial effects in vivo, but also that TRPV2 may constitute a viable, new drug target.","author":[{"dropping-particle":"","family":"Qin","given":"N.","non-dropping-particle":"","parse-names":false,"suffix":""},{"dropping-particle":"","family":"Neeper","given":"M. P.","non-dropping-particle":"","parse-names":false,"suffix":""},{"dropping-particle":"","family":"Liu","given":"Y.","non-dropping-particle":"","parse-names":false,"suffix":""},{"dropping-particle":"","family":"Hutchinson","given":"T. L.","non-dropping-particle":"","parse-names":false,"suffix":""},{"dropping-particle":"","family":"Lubin","given":"M. L.","non-dropping-particle":"","parse-names":false,"suffix":""},{"dropping-particle":"","family":"Flores","given":"C. M.","non-dropping-particle":"","parse-names":false,"suffix":""}],"container-title":"Journal of Neuroscience","id":"ITEM-5","issue":"24","issued":{"date-parts":[["2008","6","11"]]},"page":"6231-6238","title":"TRPV2 Is Activated by Cannabidiol and Mediates CGRP Release in Cultured Rat Dorsal Root Ganglion Neurons","type":"article-journal","volume":"28"},"uris":["http://www.mendeley.com/documents/?uuid=b7abb240-efd5-34ed-a889-cde7a0f7902a"]},{"id":"ITEM-6","itemData":{"DOI":"10.1111/j.1748-1716.2011.02338.x","ISSN":"1748-1716 (Electronic)","PMID":"21726418","abstract":"AIM: Plant cannabinoids, like Delta(9)-tetrahydrocannabinol (THC) and cannabidiol (CBD), activate/desensitize thermosensitive transient receptor potential (TRP) channels of vanilloid type-1 or -2 (TRPV1 or TRPV2). We investigated whether cannabinoids also activate/desensitize two other 'thermo-TRP's', the TRP channels of vanilloid type-3 or -4 (TRPV3 or TRPV4), and if the TRPV-inactive cannabichromene (CBC) modifies the expression of TRPV1-4 channels in the gastrointestinal tract. METHODS: TRP activity was assessed by evaluating elevation of [Ca(2+)](i) in rat recombinant TRPV3- and TRPV4-expressing HEK-293 cells. TRP channel mRNA expression was measured by quantitative RT-PCR in the jejunum and ileum of mice treated with vehicle or the pro-inflammatory agent croton oil. RESULTS: (i) CBD and tetrahydrocannabivarin (THCV) stimulated TRPV3-mediated [Ca(2+)](i) with high efficacy (50-70% of the effect of ionomycin) and potency (EC(50 approximately ) 3.7 mum), whereas cannabigerovarin (CBGV) and cannabigerolic acid (CBGA) were significantly more efficacious at desensitizing this channel to the action of carvacrol than at activating it; (ii) cannabidivarin and THCV stimulated TRPV4-mediated [Ca(2+)](i) with moderate-high efficacy (30-60% of the effect of ionomycin) and potency (EC(50) 0.9-6.4 mum), whereas CBGA, CBGV, cannabinol and cannabigerol were significantly more efficacious at desensitizing this channel to the action of 4-alpha-phorbol 12,13-didecanoate (4alpha-PDD) than at activating it; (iii) CBC reduced TRPV1beta, TRPV3 and TRPV4 mRNA in the jejunum, and TRPV3 and TRPV4 mRNA in the ileum of croton oil-treated mice. CONCLUSIONS: Cannabinoids can affect both the activity and the expression of TRPV1-4 channels, with various potential therapeutic applications, including in the gastrointestinal tract.","author":[{"dropping-particle":"","family":"Petrocellis","given":"L","non-dropping-particle":"De","parse-names":false,"suffix":""},{"dropping-particle":"","family":"Orlando","given":"P","non-dropping-particle":"","parse-names":false,"suffix":""},{"dropping-particle":"","family":"Moriello","given":"A Schiano","non-dropping-particle":"","parse-names":false,"suffix":""},{"dropping-particle":"","family":"Aviello","given":"G","non-dropping-particle":"","parse-names":false,"suffix":""},{"dropping-particle":"","family":"Stott","given":"C","non-dropping-particle":"","parse-names":false,"suffix":""},{"dropping-particle":"","family":"Izzo","given":"A A","non-dropping-particle":"","parse-names":false,"suffix":""},{"dropping-particle":"","family":"Marzo","given":"V","non-dropping-particle":"Di","parse-names":false,"suffix":""}],"container-title":"Acta physiologica (Oxford, England)","id":"ITEM-6","issue":"2","issued":{"date-parts":[["2012","2"]]},"language":"eng","page":"255-266","publisher-place":"England","title":"Cannabinoid actions at TRPV channels: effects on TRPV3 and TRPV4 and their potential relevance to gastrointestinal inflammation.","type":"article-journal","volume":"204"},"uris":["http://www.mendeley.com/documents/?uuid=39b7bb00-b0a5-46e9-b148-a8359a21073b"]},{"id":"ITEM-7","itemData":{"ISSN":"0022-3565","PMID":"8819477","abstract":"Two cannabinoid receptors have been identified to date; one is located predominantly in the central nervous system (CB1), whereas the other is located exclusively in the periphery (CB2). The purposes of this study were to explore further the binding requirements of the CB2 receptor and to search for compounds displaying distinct affinities for either cannabinoid receptor. The binding affinities of a series of cannabinoids tested previously at the CB1 receptor were determined at cloned human CB1 and CB2 receptors using a filtration assay. In addition, possible allosteric regulation of the CB2 receptor was examined. Sodium and a GTP analog elicited a concentration-dependent decrease in specific binding to the CB2 receptor. The affinity of cannabinol for CB2 receptors (Ki = 96.3 +/- 14 nM) was confirmed to be in approximately the same range as that of delta 9-THC (Ki = 36.4 +/- 10 nM). Affinities at cloned CB1 and CB2 receptors were compared with affinities determined in the brain. Although most of the chosen compounds did not discriminate between CB1 and CB2, several ligands were identified that showed selectivity. Affinity ratios demonstrated that two 2'-fluoro analogs of anandamide were over 23-fold selective for the CB1 receptor and confirmed the CB1 selectivity of SR141716A {N- (piperidin-1-yl)-5-(4-chlorophenyl)-1-(2, 4-dichlorophenyl)-4- methyl-1H-pyrazole-3-carboxamidehydrochloride}. In addition, WIN-55, 212-2 {(R)-(+)-[2, 3-dihydro-5-methyl-3-[(4-morpholinyl) methyl] pyrrolo[1,2,3-de]-1,4-benzoxazin-6-yl](1-naphthalenyl) methanone} and a closely related propyl indole analog were shown to be 6.75- and 27.5- fold selective, respectively, for the CB2 receptor. These ligands can now serve as a basis for the design of compounds with even greater selectivity.","author":[{"dropping-particle":"","family":"Showalter","given":"V M","non-dropping-particle":"","parse-names":false,"suffix":""},{"dropping-particle":"","family":"Compton","given":"D R","non-dropping-particle":"","parse-names":false,"suffix":""},{"dropping-particle":"","family":"Martin","given":"B R","non-dropping-particle":"","pa</w:instrText>
            </w:r>
            <w:r w:rsidRPr="00DE7555">
              <w:rPr>
                <w:rFonts w:ascii="Times New Roman" w:hAnsi="Times New Roman" w:cs="Times New Roman"/>
                <w:lang w:val="fr-FR"/>
              </w:rPr>
              <w:instrText>rse-names":false,"suffix":""},{"dropping-particle":"","family":"Abood","given":"M E","non-dropping-particle":"","parse-names":false,"suffix":""}],"container-title":"The Journal of pharmacology and experimental therapeutics","id":"ITEM-7","issue":"3","issued":{"date-parts":[["1996","9"]]},"page":"989-99","title":"Evaluation of binding in a transfected cell line expressing a peripheral cannabinoid receptor (CB2): identification of cannabinoid receptor subtype selective ligands.","type":"article-journal","volume":"278"},"uris":["http://www.mendeley.com/documents/?uuid=bfbb8b79-d47c-32f1-9693-61d514468c1f"]}],"mendeley":{"formattedCitation":"De Petrocellis et al., 2012; Laprairie et al., 2015; McHugh et al., 2012b; Pertwee et al., 2010; Qin et al., 2008b; Ryberg et al., 2009b; Showalter et al., 1996b","manualFormatting":"(De Petrocellis et al., 2012; Laprairie et al., 2015; McHugh et al., 2012; Pertwee et al., 2010; Qin et al., 2008; Ryberg et al., 2009; Showalter et al., 1996)","plainTextFormattedCitation":"De Petrocellis et al., 2012; Laprairie et al., 2015; McHugh et al., 2012b; Pertwee et al., 2010; Qin et al., 2008b; Ryberg et al., 2009b; Showalter et al., 1996b","previouslyFormattedCitation":"(De Petrocellis et al., 2012; Laprairie et al., 2015; McHugh et al., 2012b; Pertwee et al., 2010; Qin et al., 2008b; Ryberg et al., 2009b; Showalter et al., 1996b)"},"properties":{"noteIndex":0},"schema":"https://github.com/citation-style-language/schema/raw/master/csl-citation.json"}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fr-FR"/>
              </w:rPr>
              <w:t xml:space="preserve">De </w:t>
            </w:r>
            <w:r w:rsidRPr="00DE7555">
              <w:rPr>
                <w:rFonts w:ascii="Times New Roman" w:hAnsi="Times New Roman" w:cs="Times New Roman"/>
                <w:noProof/>
                <w:lang w:val="fr-FR"/>
              </w:rPr>
              <w:lastRenderedPageBreak/>
              <w:t>Petrocellis et al., 2012; Laprairie et al., 2015; McHugh et al., 2012; Pertwee et al., 2010; Qin et al., 2008; Ryberg et al., 2009; Showalter et al., 1996</w:t>
            </w:r>
            <w:r w:rsidRPr="00DE7555">
              <w:rPr>
                <w:rFonts w:ascii="Times New Roman" w:hAnsi="Times New Roman" w:cs="Times New Roman"/>
                <w:lang w:val="en-GB"/>
              </w:rPr>
              <w:fldChar w:fldCharType="end"/>
            </w:r>
          </w:p>
        </w:tc>
      </w:tr>
      <w:tr w:rsidR="00043312" w:rsidRPr="00DE7555" w14:paraId="7652FDBB" w14:textId="77777777" w:rsidTr="00DE7555">
        <w:tc>
          <w:tcPr>
            <w:tcW w:w="0" w:type="auto"/>
          </w:tcPr>
          <w:p w14:paraId="13DF2B37" w14:textId="358BCEFA" w:rsidR="00043312" w:rsidRPr="00DE7555" w:rsidRDefault="00043312" w:rsidP="00724E70">
            <w:pPr>
              <w:rPr>
                <w:rFonts w:ascii="Times New Roman" w:hAnsi="Times New Roman" w:cs="Times New Roman"/>
                <w:lang w:val="fr-FR"/>
              </w:rPr>
            </w:pPr>
            <w:r w:rsidRPr="00DE7555">
              <w:rPr>
                <w:rFonts w:ascii="Times New Roman" w:hAnsi="Times New Roman" w:cs="Times New Roman"/>
                <w:lang w:val="fr-FR"/>
              </w:rPr>
              <w:lastRenderedPageBreak/>
              <w:t>compound 70</w:t>
            </w:r>
          </w:p>
        </w:tc>
        <w:tc>
          <w:tcPr>
            <w:tcW w:w="0" w:type="auto"/>
          </w:tcPr>
          <w:p w14:paraId="73899F70" w14:textId="708CF362"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fr-FR"/>
              </w:rPr>
              <w:t>64.3</w:t>
            </w:r>
          </w:p>
        </w:tc>
        <w:tc>
          <w:tcPr>
            <w:tcW w:w="0" w:type="auto"/>
          </w:tcPr>
          <w:p w14:paraId="5F155170" w14:textId="4BA83D90"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fr-FR"/>
              </w:rPr>
              <w:t>nd</w:t>
            </w:r>
            <w:proofErr w:type="spellEnd"/>
          </w:p>
        </w:tc>
        <w:tc>
          <w:tcPr>
            <w:tcW w:w="0" w:type="auto"/>
          </w:tcPr>
          <w:p w14:paraId="55EB74CD" w14:textId="3493279D"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fr-FR"/>
              </w:rPr>
              <w:t>antagonist</w:t>
            </w:r>
            <w:proofErr w:type="spellEnd"/>
          </w:p>
        </w:tc>
        <w:tc>
          <w:tcPr>
            <w:tcW w:w="0" w:type="auto"/>
          </w:tcPr>
          <w:p w14:paraId="01B69051" w14:textId="6050752F"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fr-FR"/>
              </w:rPr>
              <w:t>nd</w:t>
            </w:r>
            <w:proofErr w:type="spellEnd"/>
          </w:p>
        </w:tc>
        <w:tc>
          <w:tcPr>
            <w:tcW w:w="0" w:type="auto"/>
          </w:tcPr>
          <w:p w14:paraId="5D018810" w14:textId="3AE798F7"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fr-FR"/>
              </w:rPr>
              <w:t>nd</w:t>
            </w:r>
            <w:proofErr w:type="spellEnd"/>
          </w:p>
        </w:tc>
        <w:tc>
          <w:tcPr>
            <w:tcW w:w="0" w:type="auto"/>
          </w:tcPr>
          <w:p w14:paraId="5DEAB224" w14:textId="075E453B"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fr-FR"/>
              </w:rPr>
              <w:t>nd</w:t>
            </w:r>
            <w:proofErr w:type="spellEnd"/>
          </w:p>
        </w:tc>
        <w:tc>
          <w:tcPr>
            <w:tcW w:w="0" w:type="auto"/>
          </w:tcPr>
          <w:p w14:paraId="53CB1405" w14:textId="0134CE2A" w:rsidR="00043312" w:rsidRPr="00DE7555" w:rsidRDefault="00043312" w:rsidP="00E5612A">
            <w:pPr>
              <w:rPr>
                <w:rFonts w:ascii="Times New Roman" w:hAnsi="Times New Roman" w:cs="Times New Roman"/>
                <w:lang w:val="fr-FR"/>
              </w:rPr>
            </w:pPr>
            <w:proofErr w:type="spellStart"/>
            <w:r w:rsidRPr="00DE7555">
              <w:rPr>
                <w:rFonts w:ascii="Times New Roman" w:hAnsi="Times New Roman" w:cs="Times New Roman"/>
                <w:lang w:val="fr-FR"/>
              </w:rPr>
              <w:t>nd</w:t>
            </w:r>
            <w:proofErr w:type="spellEnd"/>
          </w:p>
        </w:tc>
        <w:tc>
          <w:tcPr>
            <w:tcW w:w="0" w:type="auto"/>
          </w:tcPr>
          <w:p w14:paraId="5841FB4F" w14:textId="65546AB0" w:rsidR="00043312" w:rsidRPr="00DE7555" w:rsidRDefault="00043312" w:rsidP="00E5612A">
            <w:pPr>
              <w:rPr>
                <w:rFonts w:ascii="Times New Roman" w:hAnsi="Times New Roman" w:cs="Times New Roman"/>
                <w:lang w:val="fr-FR"/>
              </w:rPr>
            </w:pPr>
            <w:r w:rsidRPr="00DE7555">
              <w:rPr>
                <w:rFonts w:ascii="Times New Roman" w:hAnsi="Times New Roman" w:cs="Times New Roman"/>
                <w:lang w:val="en-GB"/>
              </w:rPr>
              <w:fldChar w:fldCharType="begin" w:fldLock="1"/>
            </w:r>
            <w:r w:rsidRPr="00DE7555">
              <w:rPr>
                <w:rFonts w:ascii="Times New Roman" w:hAnsi="Times New Roman" w:cs="Times New Roman"/>
                <w:lang w:val="fr-FR"/>
              </w:rPr>
              <w:instrText>ADDIN CSL_CITATION {"citationItems":[{"id":"ITEM-1","itemData":{"DOI":"10.1517/13543776.2015.1064898","ISSN":"1354-3776","PMID":"26161824","abstract":"INTRODUCTION Obesity is a rapidly expanding worldwide health problem. Various targets are investigated presently for the treatment of obesity, but there remains an unmet need for an effective drug therapy with acceptable efficacy levels and reduced side effects. Targeting peripherally located cannabinoid 1 (CB1) receptors is an attractive strategy as these receptors play a vital role in energy homeostasis. AREAS COVERED CB1 receptor antagonists constitute one of the most important categories of compounds of interest for the control of obesity. In this review, the authors focus on recent advances (since 2007) in diverse chemical classes of patented compounds belonging to the category of CB1 receptor antagonists. EXPERT OPINION Safer CB1 receptor antagonists for the treatment of obesity can be discovered by developing such compounds that act peripherally. Increasing the polar service area, decreasing the lipophilicity and designing of neutral antagonists and allosteric inhibitors are some interesting strategies that could offer promising results.","author":[{"dropping-particle":"","family":"Sharma","given":"Mayank Kumar","non-dr</w:instrText>
            </w:r>
            <w:r w:rsidRPr="008178CC">
              <w:rPr>
                <w:rFonts w:ascii="Times New Roman" w:hAnsi="Times New Roman" w:cs="Times New Roman"/>
                <w:lang w:val="fr-FR"/>
              </w:rPr>
              <w:instrText>o</w:instrText>
            </w:r>
            <w:r w:rsidRPr="00DE7555">
              <w:rPr>
                <w:rFonts w:ascii="Times New Roman" w:hAnsi="Times New Roman" w:cs="Times New Roman"/>
                <w:lang w:val="en-GB"/>
              </w:rPr>
              <w:instrText>pping-particle":"","parse-names":false,"suffix":""},{"dropping-particle":"","family":"Murumkar","given":"Prashant R","non-dropping-particle":"","parse-names":false,"suffix":""},{"dropping-particle":"","family":"Barmade","given":"Mahesh A","non-dropping-particle":"","parse-names":false,"suffix":""},{"dropping-particle":"","family":"Giridhar","given":"Rajani","non-dropping-particle":"","parse-names":false,"suffix":""},{"dropping-particle":"","family":"Yadav","given":"Mange Ram","non-dropping-particle":"","parse-names":false,"suffix":""}],"container-title":"Expert Opinion on Therapeutic Patents","id":"ITEM-1","issue":"10","issued":{"date-parts":[["2015","10","3"]]},"page":"1093-1116","title":"A comprehensive patents review on cannabinoid 1 receptor antagonists as antiobesity agents","type":"article-journal","volume":"25"},"uris":["http://www.mendeley.com/documents/?uuid=457c2ecf-e590-3171-bae0-8a142a66195b"]}],"mendeley":{"formattedCitation":"Sharma et al., 2015","plainTextFormattedCitation":"Sharma et al., 2015","previouslyFormattedCitation":"(Sharma et al., 2015)"},"properties":{"noteIndex":0},"schema":"https://github.com/citation-style-language/schema/raw/master/csl-citation.json"}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Sharma et al., 2015</w:t>
            </w:r>
            <w:r w:rsidRPr="00DE7555">
              <w:rPr>
                <w:rFonts w:ascii="Times New Roman" w:hAnsi="Times New Roman" w:cs="Times New Roman"/>
                <w:lang w:val="en-GB"/>
              </w:rPr>
              <w:fldChar w:fldCharType="end"/>
            </w:r>
          </w:p>
        </w:tc>
      </w:tr>
      <w:tr w:rsidR="00043312" w:rsidRPr="00DE7555" w14:paraId="24C400AF" w14:textId="77777777" w:rsidTr="00DE7555">
        <w:tc>
          <w:tcPr>
            <w:tcW w:w="0" w:type="auto"/>
          </w:tcPr>
          <w:p w14:paraId="5F8B4CDC" w14:textId="47E173FC" w:rsidR="00043312" w:rsidRPr="00DE7555" w:rsidRDefault="00043312" w:rsidP="00724E70">
            <w:pPr>
              <w:rPr>
                <w:rFonts w:ascii="Times New Roman" w:hAnsi="Times New Roman" w:cs="Times New Roman"/>
                <w:lang w:val="fr-FR"/>
              </w:rPr>
            </w:pPr>
            <w:proofErr w:type="spellStart"/>
            <w:r w:rsidRPr="00DE7555">
              <w:rPr>
                <w:rFonts w:ascii="Times New Roman" w:hAnsi="Times New Roman" w:cs="Times New Roman"/>
                <w:lang w:val="en-GB"/>
              </w:rPr>
              <w:t>dietressa</w:t>
            </w:r>
            <w:proofErr w:type="spellEnd"/>
          </w:p>
        </w:tc>
        <w:tc>
          <w:tcPr>
            <w:tcW w:w="0" w:type="auto"/>
          </w:tcPr>
          <w:p w14:paraId="7E10801D" w14:textId="2CD9D11B"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5A0FE3D3" w14:textId="669087DF"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2EA40945" w14:textId="523B3630" w:rsidR="00043312" w:rsidRPr="00DE7555" w:rsidRDefault="00043312" w:rsidP="00E5612A">
            <w:pPr>
              <w:jc w:val="center"/>
              <w:rPr>
                <w:rFonts w:ascii="Times New Roman" w:hAnsi="Times New Roman" w:cs="Times New Roman"/>
                <w:lang w:val="fr-FR"/>
              </w:rPr>
            </w:pPr>
            <w:r w:rsidRPr="00DE7555">
              <w:rPr>
                <w:rFonts w:ascii="Times New Roman" w:hAnsi="Times New Roman" w:cs="Times New Roman"/>
                <w:lang w:val="en-GB"/>
              </w:rPr>
              <w:t>antagonist antibody</w:t>
            </w:r>
          </w:p>
        </w:tc>
        <w:tc>
          <w:tcPr>
            <w:tcW w:w="0" w:type="auto"/>
          </w:tcPr>
          <w:p w14:paraId="660459F5" w14:textId="7CCFD54A"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4FFBE731" w14:textId="5EE38A2C"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0DE11ED1" w14:textId="485DADE2" w:rsidR="00043312" w:rsidRPr="00DE7555" w:rsidRDefault="00043312" w:rsidP="00E5612A">
            <w:pPr>
              <w:jc w:val="cente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1067ED81" w14:textId="7870D585" w:rsidR="00043312" w:rsidRPr="00DE7555" w:rsidRDefault="00043312" w:rsidP="00E5612A">
            <w:pPr>
              <w:rPr>
                <w:rFonts w:ascii="Times New Roman" w:hAnsi="Times New Roman" w:cs="Times New Roman"/>
                <w:lang w:val="fr-FR"/>
              </w:rPr>
            </w:pPr>
            <w:proofErr w:type="spellStart"/>
            <w:r w:rsidRPr="00DE7555">
              <w:rPr>
                <w:rFonts w:ascii="Times New Roman" w:hAnsi="Times New Roman" w:cs="Times New Roman"/>
                <w:lang w:val="en-GB"/>
              </w:rPr>
              <w:t>nd</w:t>
            </w:r>
            <w:proofErr w:type="spellEnd"/>
          </w:p>
        </w:tc>
        <w:tc>
          <w:tcPr>
            <w:tcW w:w="0" w:type="auto"/>
          </w:tcPr>
          <w:p w14:paraId="7E0F1C77" w14:textId="21DED784"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10.1007/s10517-015-3098-z","ISSN":"0007-4888","author":[{"dropping-particle":"V.","family":"Barchukov","given":"V.","non-dropping-particle":"","parse-names":false,"suffix":""},{"dropping-particle":"","family":"Zhavbert","given":"E. S.","non-dropping-particle":"","parse-names":false,"suffix":""},{"dropping-particle":"","family":"Dugina","given":"Yu. L.","non-dropping-particle":"","parse-names":false,"suffix":""},{"dropping-particle":"","family":"Epstein","given":"O. I.","non-dropping-particle":"","parse-names":false,"suffix":""}],"container-title":"Bulletin of Experimental Biology and Medicine","id":"ITEM-1","issue":"1","issued":{"date-parts":[["2015","11","25"]]},"page":"61-63","publisher":"Springer US","title":"The Use of Release-Active Antibody-Based Preparations for Vertigo Prevention in Adults","type":"article-journal","volume":"160"},"uris":["http://www.mendeley.com/documents/?uuid=3d1058c4-8da8-35ce-b523-d4e958fc946b"]}],"mendeley":{"formattedCitation":"Barchukov et al., 2015","plainTextFormattedCitation":"Barchukov et al., 2015","previouslyFormattedCitation":"(Barchukov et al., 2015)"},"properties":{"noteIndex":0},"schema":"https://github.com/citation-style-language/schema/raw/master/csl-citation.json"}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Barchukov et al., 2015</w:t>
            </w:r>
            <w:r w:rsidRPr="00DE7555">
              <w:rPr>
                <w:rFonts w:ascii="Times New Roman" w:hAnsi="Times New Roman" w:cs="Times New Roman"/>
                <w:lang w:val="en-GB"/>
              </w:rPr>
              <w:fldChar w:fldCharType="end"/>
            </w:r>
          </w:p>
        </w:tc>
      </w:tr>
      <w:tr w:rsidR="00043312" w:rsidRPr="00DE7555" w14:paraId="36322D2F" w14:textId="77777777" w:rsidTr="00DE7555">
        <w:tc>
          <w:tcPr>
            <w:tcW w:w="0" w:type="auto"/>
          </w:tcPr>
          <w:p w14:paraId="522ABA1A" w14:textId="77777777" w:rsidR="00043312" w:rsidRPr="00DE7555" w:rsidRDefault="00043312" w:rsidP="00724E70">
            <w:pPr>
              <w:rPr>
                <w:rFonts w:ascii="Times New Roman" w:hAnsi="Times New Roman" w:cs="Times New Roman"/>
                <w:lang w:val="en-GB"/>
              </w:rPr>
            </w:pPr>
            <w:proofErr w:type="spellStart"/>
            <w:r w:rsidRPr="00DE7555">
              <w:rPr>
                <w:rFonts w:ascii="Times New Roman" w:hAnsi="Times New Roman" w:cs="Times New Roman"/>
                <w:lang w:val="en-GB"/>
              </w:rPr>
              <w:t>drinabant</w:t>
            </w:r>
            <w:proofErr w:type="spellEnd"/>
          </w:p>
          <w:p w14:paraId="63673B37" w14:textId="4C324B71"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aka AVE-1625</w:t>
            </w:r>
          </w:p>
        </w:tc>
        <w:tc>
          <w:tcPr>
            <w:tcW w:w="0" w:type="auto"/>
          </w:tcPr>
          <w:p w14:paraId="0A578793" w14:textId="485C00B8"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0.16-0.44</w:t>
            </w:r>
          </w:p>
        </w:tc>
        <w:tc>
          <w:tcPr>
            <w:tcW w:w="0" w:type="auto"/>
          </w:tcPr>
          <w:p w14:paraId="5AF8B6AB" w14:textId="34BB6B84"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25±4</w:t>
            </w:r>
          </w:p>
        </w:tc>
        <w:tc>
          <w:tcPr>
            <w:tcW w:w="0" w:type="auto"/>
          </w:tcPr>
          <w:p w14:paraId="128494AB" w14:textId="6562BC53"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antagonist</w:t>
            </w:r>
          </w:p>
        </w:tc>
        <w:tc>
          <w:tcPr>
            <w:tcW w:w="0" w:type="auto"/>
          </w:tcPr>
          <w:p w14:paraId="03480FBC" w14:textId="7B58771A"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E9047D4" w14:textId="6121CE4C"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 10,000</w:t>
            </w:r>
          </w:p>
        </w:tc>
        <w:tc>
          <w:tcPr>
            <w:tcW w:w="0" w:type="auto"/>
          </w:tcPr>
          <w:p w14:paraId="00209A7D" w14:textId="798EF26F"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DD36B5F" w14:textId="6152DA2C"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2CB2409" w14:textId="11D606BD" w:rsidR="00043312" w:rsidRPr="00DE7555" w:rsidRDefault="00043312" w:rsidP="00E5612A">
            <w:pPr>
              <w:rPr>
                <w:rFonts w:ascii="Times New Roman" w:hAnsi="Times New Roman" w:cs="Times New Roman"/>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 xml:space="preserve">ADDIN CSL_CITATION {"citationItems":[{"id":"ITEM-1","itemData":{"DOI":"10.1152/ajpendo.00264.2007","ISSN":"0193-1849","abstract":"The objective of the present study was to investigate in fed Wistar rats whether the cannabinoid-1 (CB1) receptor antagonist AVE1625 causes primary effects on metabolic blood and tissue parameters as well as metabolic rate, which are independent of reduced caloric intake. After single administration to rats postprandially, AVE1625 caused a slight dose-dependent increase in basal lipolysis. Six hours after single administration, liver glycogen content was dose-dependently reduced to </w:instrText>
            </w:r>
            <w:r w:rsidRPr="00DE7555">
              <w:rPr>
                <w:rFonts w:ascii="MS Mincho" w:eastAsia="MS Mincho" w:hAnsi="MS Mincho" w:cs="MS Mincho"/>
                <w:lang w:val="en-GB"/>
              </w:rPr>
              <w:instrText>∼</w:instrText>
            </w:r>
            <w:r w:rsidRPr="00DE7555">
              <w:rPr>
                <w:rFonts w:ascii="Times New Roman" w:hAnsi="Times New Roman" w:cs="Times New Roman"/>
                <w:lang w:val="en-GB"/>
              </w:rPr>
              <w:instrText>60% of that of untreated controls. These findings demonstrate a primary acute effect of AVE1625 on induction of 1) lipolysis from fat tissue (increased FFA) and 2) glycogenolysis from the liver (reduced hepatic glycogen). Measured by indirect calorimetry, AVE1625 caused an immediate increase in total energy expenditure, a long-lasting increase of fat oxidation, and a transient increase of glucose oxidation, which were consistent with the acute findings on metabolic blood and tissue parameters. We conclude that, in addition to ...","author":[{"dropping-particle":"","family":"Herling","given":"Andreas W.","non-dropping-particle":"","parse-names":false,"suffix":""},{"dropping-particle":"","family":"Gossel","given":"Matthias","non-dropping-particle":"","parse-names":false,"suffix":""},{"dropping-particle":"","family":"Haschke","given":"Guido","non-dropping-particle":"","parse-names":false,"suffix":""},{"dropping-particle":"","family":"Stengelin","given":"Siegfried","non-dropping-particle":"","parse-names":false,"suffix":""},{"dropping-particle":"","family":"Kuhlmann","given":"Johanna","non-dropping-particle":"","parse-names":false,"suffix":""},{"dropping-particle":"","family":"Müller","given":"Günter","non-dropping-particle":"","parse-names":false,"suffix":""},{"dropping-particle":"","family":"Schmoll","given":"Dieter","non-dropping-particle":"","parse-names":false,"suffix":""},{"dropping-particle":"","family":"Kramer","given":"Werner","non-dropping-particle":"","parse-names":false,"suffix":""}],"container-title":"American Journal of Physiology-Endocrinology and Metabolism","id":"ITEM-1","issue":"3","issued":{"date-parts":[["2007","9"]]},"page":"E826-E832","publisher":"American Physiological Society","title":"CB1 receptor antagonist AVE1625 affects primarily metabolic parameters independently of reduced food intake in Wistar rats","type":"article-journal","volume":"293"},"uris":["http://www.mendeley.com/documents/?uuid=6f27c616-ca10-3086-9bd3-4cbb3e447644"]}],"mendeley":{"formattedCitation":"Herling et al., 2007","plainTextFormattedCitation":"Herling et al., 2007","previouslyFormattedCitation":"(Herling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Herling et al., 2007</w:t>
            </w:r>
            <w:r w:rsidRPr="00DE7555">
              <w:rPr>
                <w:rFonts w:ascii="Times New Roman" w:hAnsi="Times New Roman" w:cs="Times New Roman"/>
                <w:lang w:val="en-GB"/>
              </w:rPr>
              <w:fldChar w:fldCharType="end"/>
            </w:r>
          </w:p>
        </w:tc>
      </w:tr>
      <w:tr w:rsidR="00043312" w:rsidRPr="008178CC" w14:paraId="433AAB69" w14:textId="77777777" w:rsidTr="00DE7555">
        <w:tc>
          <w:tcPr>
            <w:tcW w:w="0" w:type="auto"/>
          </w:tcPr>
          <w:p w14:paraId="7BD2916A" w14:textId="0CDD39D2"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GAT-100 </w:t>
            </w:r>
          </w:p>
        </w:tc>
        <w:tc>
          <w:tcPr>
            <w:tcW w:w="0" w:type="auto"/>
          </w:tcPr>
          <w:p w14:paraId="5821964D" w14:textId="7F3E6FC4"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B8FFF7C" w14:textId="11A1F36A"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19.95-398.11</w:t>
            </w:r>
          </w:p>
        </w:tc>
        <w:tc>
          <w:tcPr>
            <w:tcW w:w="0" w:type="auto"/>
          </w:tcPr>
          <w:p w14:paraId="6A104C65" w14:textId="77777777"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negative allosteric modulator</w:t>
            </w:r>
          </w:p>
          <w:p w14:paraId="7D8410D6" w14:textId="0E4FB32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(irreversible)</w:t>
            </w:r>
          </w:p>
        </w:tc>
        <w:tc>
          <w:tcPr>
            <w:tcW w:w="0" w:type="auto"/>
          </w:tcPr>
          <w:p w14:paraId="7E490705" w14:textId="370C8ED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29F35E3" w14:textId="1BB935BA"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2470DA6" w14:textId="09FBA41B"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0E33509" w14:textId="657FBC97"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7765F80" w14:textId="7ED2E59C" w:rsidR="00043312" w:rsidRPr="008178CC"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 xml:space="preserve">ADDIN CSL_CITATION {"citationItems":[{"id":"ITEM-1","itemData":{"DOI":"10.1021/acs.jmedchem.5b01303","ISSN":"0022-2623","author":[{"dropping-particle":"","family":"Kulkarni","given":"Pushkar M.","non-dropping-particle":"","parse-names":false,"suffix":""},{"dropping-particle":"","family":"Kulkarni","given":"Abhijit R.","non-dropping-particle":"","parse-names":false,"suffix":""},{"dropping-particle":"","family":"Korde","given":"Anisha","non-dropping-particle":"","parse-names":false,"suffix":""},{"dropping-particle":"","family":"Tichkule","given":"Ritesh B.","non-dropping-particle":"","parse-names":false,"suffix":""},{"dropping-particle":"","family":"Laprairie","given":"Robert B.","non-dropping-particle":"","parse-names":false,"suffix":""},{"dropping-particle":"","family":"Denovan-Wright","given":"Eileen M.","non-dropping-particle":"","parse-names":false,"suffix":""},{"dropping-particle":"","family":"Zhou","given":"Han","non-dropping-particle":"","parse-names":false,"suffix":""},{"dropping-particle":"","family":"Janero","given":"David R.","non-dropping-particle":"","parse-names":false,"suffix":""},{"dropping-particle":"","family":"Zvonok","given":"Nikolai","non-dropping-particle":"","parse-names":false,"suffix":""},{"dropping-particle":"","family":"Makriyannis","given":"Alexandros","non-dropping-particle":"","parse-names":false,"suffix":""},{"dropping-particle":"","family":"Cascio","given":"Maria G.","non-dropping-particle":"","parse-names":false,"suffix":""},{"dropping-particle":"","family":"Pertwee","given":"Roger G.","non-dropping-particle":"","parse-names":false,"suffix":""},{"dropping-particle":"","family":"Thakur","given":"Ganesh A.","non-dropping-particle":"","parse-names":false,"suffix":""}],"container-title":"Journal of Medicinal Chemistry","id":"ITEM-1","issue":"1","issued":{"date-parts":[["2016","1","14"]]},"page":"44-60","title":"Novel Electrophilic and Photoaffinity Covalent Probes for Mapping the Cannabinoid 1 Receptor Allosteric Site(s)","type":"article-journal","volume":"59"},"uris":["http://www.mendeley.com/documents/?uuid=6f2fa2e8-f565-3711-8142-b3cbaf2d2ed5"]},{"id":"ITEM-2","itemData":{"DOI":"10.1021/acschemneuro.6b00041","ISSN":"1948-7193","PMID":"27046127","abstract":"One of the most abundant G-protein coupled receptors (GPCRs) in brain, the cannabinoid 1 receptor (CB1R), is a tractable therapeutic target for treating diverse psychobehavioral and somatic disorders. Adverse on-target effects associated with small-molecule CB1R orthosteric agonists and inverse agonists/antagonists have plagued their translational potential. Allosteric CB1R modulators offer a potentially safer modality through which CB1R signaling may be directed for therapeutic benefit. Rational design of candidate, druglike CB1R allosteric modulators requires greater understanding of the architecture of the CB1R allosteric endodomain(s) and the capacity of CB1R allosteric ligands to tune the receptor's information output. We have recently reported the synthesis of a focused library of rationally designed, covalent analogues of Org27569 and PSNCBAM-1, two prototypic CB1R negative allosteric modulators (NAMs). Among the novel, pharmacologically active CB1R NAMs reported, the isothiocyanate GAT100 emerged as the lead by virtue of its exceptional potency in the [(35)S]GTPγS and β-arrestin signaling assays and its ability to label CB1R as a covalent allosteric probe with significantly reduced inverse agonism in the [(35)S]GTPγS assay as compared to Org27569. We report here a comprehensive functional profiling of GAT100 across an array of important downstream cell-signaling pathways and analysis of its potential orthosteric probe-dependence and signaling bias. The results demonstrate that GAT100 is a NAM of the orthosteric CB1R agonist CP55,940 and the endocannabinoids 2-arachidonoylglycerol and anandamide for β-arrestin1 recruitment, PLCβ3 and ERK1/2 phosphorylation, cAMP accumulation, and CB1R internalization in HEK293A cells overexpressing CB1R and in Neuro2a and STHdh(Q7/Q7) cells endogenously expressing CB1R. Distinctively, GAT100 was a more potent and efficacious CB1R NAM than Org27569 and PSNCBAM-1 in all signaling assays and did not exhibit the inverse agonism associated with Org27569 and PSNCBAM-1. Computational docking studies implicate C7.38(382) as a key feature of GAT100 ligand-binding motif. These data help inform the engineering of newer-generation, druggable CB1R allosteric modulators and demonstrate the utility of GAT100 as a covalent probe for mapping structure-function correlates characteristic of the druggable CB1R allosteric space.","author":[{"dropping-particle":"","family":"Laprairie","given":"Robert B.","non-dropping-particle":"","parse-names":false,"suffix":""},{"dropping-particle":"","family":"Kulkarni","given":"Abhijit R.","non-dropping-particle":"","parse-names":false,"suffix":""},{"dropping-particle":"","family":"Kulkarni","given":"Pushkar M.","non-dropping-particle":"","parse-names":false,"suffix":""},{"dropping-particle":"","family":"Hurst","given":"Dow P.","non-dropping-particle":"","parse-names":false,"suffix":""},{"dropping-particle":"","family":"Lynch","given":"Diane","non-dropping-particle":"","parse-names":false,"suffix":""},{"dropping-particle":"","family":"Reggio","given":"Patricia H.","non-dropping-particle":"","parse-names":false,"suffix":""},{"dropping-particle":"","family":"Janero","given":"David </w:instrText>
            </w:r>
            <w:r w:rsidRPr="008178CC">
              <w:rPr>
                <w:rFonts w:ascii="Times New Roman" w:hAnsi="Times New Roman" w:cs="Times New Roman"/>
                <w:lang w:val="en-GB"/>
              </w:rPr>
              <w:instrText>R.","non-dropping-particle":"","parse-names":false,"suffix":""},{"dropping-particle":"","family":"Pertwee","given":"Roger G.","non-dropping-particle":"","parse-names":false,"suffix":""},{"dropping-particle":"","family":"Stevenson","given":"Lesley A.","non-dropping-particle":"","parse-names":false,"suffix":""},{"dropping-particle":"","family":"Kelly","given":"Melanie E. M.","non-dropping-particle":"","parse-names":false,"suffix":""},{"dropping-particle":"","family":"Denovan-Wright","given":"Eileen M.","non-dropping-particle":"","parse-names":false,"suffix":""},{"dropping-particle":"","family":"Thakur","given":"Ganesh A.","non-dropping-particle":"","parse-names":false,"suffix":""}],"container-title":"ACS Chemical Neuroscience","id":"ITEM-2","issue":"6","issued":{"date-parts":[["2016","6","15"]]},"page":"776-798","title":"Mapping Cannabinoid 1 Receptor Allosteric Site(s): Critical Molecular Determinant and Signaling Profile of GAT100, a Novel, Potent, and Irreversibly Binding Probe","type":"article-journal","volume":"7"},"uris":["http://www.mendeley.com/documents/?uuid=052b30da-b51a-3c51-bb2f-76ab023ab940"]}],"mendeley":{"formattedCitation":"P. M. Kulkarni et al., 2016; Laprairie et al., 2016","plainTextFormattedCitation":"P. M. Kulkarni et al., 2016; Laprairie et al., 2016","previouslyFormattedCitation":"(P. M. Kulkarni et al., 2016; Laprairie et al., 2016)"},"properties":{"noteIndex":0},"schema":"https://github.com/citation-style-language/schema/raw/master/csl-citation.json"}</w:instrText>
            </w:r>
            <w:r w:rsidRPr="00DE7555">
              <w:rPr>
                <w:rFonts w:ascii="Times New Roman" w:hAnsi="Times New Roman" w:cs="Times New Roman"/>
                <w:lang w:val="en-GB"/>
              </w:rPr>
              <w:fldChar w:fldCharType="separate"/>
            </w:r>
            <w:r w:rsidRPr="008178CC">
              <w:rPr>
                <w:rFonts w:ascii="Times New Roman" w:hAnsi="Times New Roman" w:cs="Times New Roman"/>
                <w:noProof/>
                <w:lang w:val="en-GB"/>
              </w:rPr>
              <w:t>P. M. Kulkarni et al., 2016; Laprairie et al., 2016</w:t>
            </w:r>
            <w:r w:rsidRPr="00DE7555">
              <w:rPr>
                <w:rFonts w:ascii="Times New Roman" w:hAnsi="Times New Roman" w:cs="Times New Roman"/>
                <w:lang w:val="en-GB"/>
              </w:rPr>
              <w:fldChar w:fldCharType="end"/>
            </w:r>
          </w:p>
        </w:tc>
      </w:tr>
      <w:tr w:rsidR="00043312" w:rsidRPr="00DE7555" w14:paraId="3A75B5D9" w14:textId="77777777" w:rsidTr="00DE7555">
        <w:tc>
          <w:tcPr>
            <w:tcW w:w="0" w:type="auto"/>
          </w:tcPr>
          <w:p w14:paraId="7BE2376F" w14:textId="77777777" w:rsidR="00043312" w:rsidRPr="008178CC" w:rsidRDefault="00043312" w:rsidP="00724E70">
            <w:pPr>
              <w:rPr>
                <w:rFonts w:ascii="Times New Roman" w:hAnsi="Times New Roman" w:cs="Times New Roman"/>
                <w:lang w:val="en-GB"/>
              </w:rPr>
            </w:pPr>
            <w:r w:rsidRPr="008178CC">
              <w:rPr>
                <w:rFonts w:ascii="Times New Roman" w:hAnsi="Times New Roman" w:cs="Times New Roman"/>
                <w:lang w:val="en-GB"/>
              </w:rPr>
              <w:t>ibipinabant</w:t>
            </w:r>
          </w:p>
          <w:p w14:paraId="7DC397E5" w14:textId="307596EF" w:rsidR="00043312" w:rsidRPr="008178CC" w:rsidRDefault="00043312" w:rsidP="00724E70">
            <w:pPr>
              <w:rPr>
                <w:rFonts w:ascii="Times New Roman" w:hAnsi="Times New Roman" w:cs="Times New Roman"/>
                <w:lang w:val="en-GB"/>
              </w:rPr>
            </w:pPr>
            <w:r w:rsidRPr="008178CC">
              <w:rPr>
                <w:rFonts w:ascii="Times New Roman" w:hAnsi="Times New Roman" w:cs="Times New Roman"/>
                <w:lang w:val="en-GB"/>
              </w:rPr>
              <w:t>aka SLV-319</w:t>
            </w:r>
          </w:p>
        </w:tc>
        <w:tc>
          <w:tcPr>
            <w:tcW w:w="0" w:type="auto"/>
          </w:tcPr>
          <w:p w14:paraId="53A7225A" w14:textId="7A01605C" w:rsidR="00043312" w:rsidRPr="008178CC" w:rsidRDefault="00043312" w:rsidP="00E5612A">
            <w:pPr>
              <w:jc w:val="center"/>
              <w:rPr>
                <w:rFonts w:ascii="Times New Roman" w:hAnsi="Times New Roman" w:cs="Times New Roman"/>
                <w:lang w:val="en-GB"/>
              </w:rPr>
            </w:pPr>
            <w:r w:rsidRPr="008178CC">
              <w:rPr>
                <w:rFonts w:ascii="Times New Roman" w:hAnsi="Times New Roman" w:cs="Times New Roman"/>
                <w:lang w:val="en-GB"/>
              </w:rPr>
              <w:t>7.8±1.4</w:t>
            </w:r>
          </w:p>
        </w:tc>
        <w:tc>
          <w:tcPr>
            <w:tcW w:w="0" w:type="auto"/>
          </w:tcPr>
          <w:p w14:paraId="4DDDC1C4" w14:textId="5B1D82B8" w:rsidR="00043312" w:rsidRPr="008178CC" w:rsidRDefault="00043312" w:rsidP="00E5612A">
            <w:pPr>
              <w:jc w:val="center"/>
              <w:rPr>
                <w:rFonts w:ascii="Times New Roman" w:hAnsi="Times New Roman" w:cs="Times New Roman"/>
                <w:lang w:val="en-GB"/>
              </w:rPr>
            </w:pPr>
            <w:r w:rsidRPr="008178CC">
              <w:rPr>
                <w:rFonts w:ascii="Times New Roman" w:hAnsi="Times New Roman" w:cs="Times New Roman"/>
                <w:lang w:val="en-GB"/>
              </w:rPr>
              <w:t>nd</w:t>
            </w:r>
          </w:p>
        </w:tc>
        <w:tc>
          <w:tcPr>
            <w:tcW w:w="0" w:type="auto"/>
          </w:tcPr>
          <w:p w14:paraId="4F5F6BB2" w14:textId="49FAB9A2" w:rsidR="00043312" w:rsidRPr="008178CC" w:rsidRDefault="00043312" w:rsidP="00E5612A">
            <w:pPr>
              <w:jc w:val="center"/>
              <w:rPr>
                <w:rFonts w:ascii="Times New Roman" w:hAnsi="Times New Roman" w:cs="Times New Roman"/>
                <w:lang w:val="en-GB"/>
              </w:rPr>
            </w:pPr>
            <w:r w:rsidRPr="008178CC">
              <w:rPr>
                <w:rFonts w:ascii="Times New Roman" w:hAnsi="Times New Roman" w:cs="Times New Roman"/>
                <w:lang w:val="en-GB"/>
              </w:rPr>
              <w:t>antagonist</w:t>
            </w:r>
          </w:p>
        </w:tc>
        <w:tc>
          <w:tcPr>
            <w:tcW w:w="0" w:type="auto"/>
          </w:tcPr>
          <w:p w14:paraId="1AB3704C" w14:textId="339D4469" w:rsidR="00043312" w:rsidRPr="008178CC" w:rsidRDefault="00043312" w:rsidP="00E5612A">
            <w:pPr>
              <w:jc w:val="center"/>
              <w:rPr>
                <w:rFonts w:ascii="Times New Roman" w:hAnsi="Times New Roman" w:cs="Times New Roman"/>
                <w:lang w:val="en-GB"/>
              </w:rPr>
            </w:pPr>
            <w:r w:rsidRPr="008178CC">
              <w:rPr>
                <w:rFonts w:ascii="Times New Roman" w:hAnsi="Times New Roman" w:cs="Times New Roman"/>
                <w:lang w:val="en-GB"/>
              </w:rPr>
              <w:t>7,943±126</w:t>
            </w:r>
          </w:p>
        </w:tc>
        <w:tc>
          <w:tcPr>
            <w:tcW w:w="0" w:type="auto"/>
          </w:tcPr>
          <w:p w14:paraId="70E7C4E9" w14:textId="0FDA004D" w:rsidR="00043312" w:rsidRPr="008178CC" w:rsidRDefault="00043312" w:rsidP="00E5612A">
            <w:pPr>
              <w:jc w:val="center"/>
              <w:rPr>
                <w:rFonts w:ascii="Times New Roman" w:hAnsi="Times New Roman" w:cs="Times New Roman"/>
                <w:lang w:val="en-GB"/>
              </w:rPr>
            </w:pPr>
            <w:r w:rsidRPr="008178CC">
              <w:rPr>
                <w:rFonts w:ascii="Times New Roman" w:hAnsi="Times New Roman" w:cs="Times New Roman"/>
                <w:lang w:val="en-GB"/>
              </w:rPr>
              <w:t>antagonist</w:t>
            </w:r>
          </w:p>
        </w:tc>
        <w:tc>
          <w:tcPr>
            <w:tcW w:w="0" w:type="auto"/>
          </w:tcPr>
          <w:p w14:paraId="067A0C6B" w14:textId="705AD3FD" w:rsidR="00043312" w:rsidRPr="008178CC" w:rsidRDefault="00043312" w:rsidP="00E5612A">
            <w:pPr>
              <w:jc w:val="center"/>
              <w:rPr>
                <w:rFonts w:ascii="Times New Roman" w:hAnsi="Times New Roman" w:cs="Times New Roman"/>
                <w:lang w:val="en-GB"/>
              </w:rPr>
            </w:pPr>
            <w:r w:rsidRPr="008178CC">
              <w:rPr>
                <w:rFonts w:ascii="Times New Roman" w:hAnsi="Times New Roman" w:cs="Times New Roman"/>
                <w:lang w:val="en-GB"/>
              </w:rPr>
              <w:t>nd</w:t>
            </w:r>
          </w:p>
        </w:tc>
        <w:tc>
          <w:tcPr>
            <w:tcW w:w="0" w:type="auto"/>
          </w:tcPr>
          <w:p w14:paraId="133B1C65" w14:textId="3D153AB3" w:rsidR="00043312" w:rsidRPr="008178CC" w:rsidRDefault="00043312" w:rsidP="00E5612A">
            <w:pPr>
              <w:rPr>
                <w:rFonts w:ascii="Times New Roman" w:hAnsi="Times New Roman" w:cs="Times New Roman"/>
                <w:lang w:val="en-GB"/>
              </w:rPr>
            </w:pPr>
            <w:r w:rsidRPr="008178CC">
              <w:rPr>
                <w:rFonts w:ascii="Times New Roman" w:hAnsi="Times New Roman" w:cs="Times New Roman"/>
                <w:lang w:val="en-GB"/>
              </w:rPr>
              <w:t>nd</w:t>
            </w:r>
          </w:p>
        </w:tc>
        <w:tc>
          <w:tcPr>
            <w:tcW w:w="0" w:type="auto"/>
          </w:tcPr>
          <w:p w14:paraId="5DBD1905" w14:textId="42F843B1" w:rsidR="00043312" w:rsidRPr="00DE7555" w:rsidRDefault="00043312" w:rsidP="00E5612A">
            <w:pPr>
              <w:rPr>
                <w:rFonts w:ascii="Times New Roman" w:hAnsi="Times New Roman" w:cs="Times New Roman"/>
              </w:rPr>
            </w:pPr>
            <w:r w:rsidRPr="00DE7555">
              <w:rPr>
                <w:rFonts w:ascii="Times New Roman" w:hAnsi="Times New Roman" w:cs="Times New Roman"/>
                <w:lang w:val="en-GB"/>
              </w:rPr>
              <w:fldChar w:fldCharType="begin" w:fldLock="1"/>
            </w:r>
            <w:r w:rsidRPr="008178CC">
              <w:rPr>
                <w:rFonts w:ascii="Times New Roman" w:hAnsi="Times New Roman" w:cs="Times New Roman"/>
                <w:lang w:val="en-GB"/>
              </w:rPr>
              <w:instrText>ADDIN CSL_CITATION {"citationItems":[{"id":"ITEM-1","itemData":{"DOI":"10.1021/jm031019q","PMID":"14736243","abstract":"A series of novel 3,4-diarylpyrazolines was synthesized and evaluated in cannabinoid (hCB(1) and hCB(2)) receptor assays. The 3,4-diarylpyrazolines elicited potent in vitro CB(1) antagonistic activities and in general exhibited high CB(1) vs CB(2) receptor subtype selectivities. Some key representatives showed potent pharmacological in vivo activities after oral dosing in both a CB agonist-induced blood pressure model and a CB agonist-induced hypothermia model. Chiral separation of racemic 67, followed by crystallization and an X-ray diffraction study, elucidated the absolute configuration of the eutomer 80 (SLV319) at its C(4) position as 4S. Bioanalytical studies revealed a high CNS-plasma ratio for the development candidate 80. Molecular modeling studies showed a relatively close three-dimensional structural overlap between 80 and the known CB(1) receptor antagonist rimonabant (SR141716A). Further analysis of the X-ray diffraction data of 80 revealed the presence of an intramolecular hydrogen bond that was confirmed by computational methods. Computational models and X-ray diffraction data indicated a different intramolecular hydrogen bonding pattern in the in vivo inactive compound 6. In addition, X-ray diffraction studies of 6 r</w:instrText>
            </w:r>
            <w:r w:rsidRPr="00DE7555">
              <w:rPr>
                <w:rFonts w:ascii="Times New Roman" w:hAnsi="Times New Roman" w:cs="Times New Roman"/>
                <w:lang w:val="en-GB"/>
              </w:rPr>
              <w:instrText>evealed a tighter intermolecular packing than 80, which also may contribute to its poorer absorption in vivo. Replacement of the amidine -NH(2) moiety with a -NHCH(3) group proved to be the key change for gaining oral biovailability in this series of compounds leading to the identification of 80.","author":[{"dropping-particle":"","family":"Lange","given":"Jos H. M.","non-dropping-particle":"","parse-names":false,"suffix":""},{"dropping-particle":"","family":"Coolen","given":"Hein K. A. C.","non-dropping-particle":"","parse-names":false,"suffix":""},{"dropping-particle":"","family":"Stuivenberg","given":"Herman H.","non-dropping-particle":"van","parse-names":false,"suffix":""},{"dropping-particle":"","family":"Dijksman","given":"Jessica A. R.","non-dropping-particle":"","parse-names":false,"suffix":""},{"dropping-particle":"","family":"Herremans","given":"Arnoud H. J.","non-dropping-particle":"","parse-names":false,"suffix":""},{"dropping-particle":"","family":"Ronken","given":"Eric","non-dropping-particle":"","parse-names":false,"suffix":""},{"dropping-particle":"","family":"Keizer","given":"Hiskias G.","non-dropping-particle":"","parse-names":false,"suffix":""},{"dropping-particle":"","family":"Tipker","given":"Koos","non-dropping-particle":"","parse-names":false,"suffix":""},{"dropping-particle":"","family":"McCreary","given":"Andrew C.","non-dropping-particle":"","parse-names":false,"suffix":""},{"dropping-particle":"","family":"Veerman","given":"Willem","non-dropping-particle":"","parse-names":false,"suffix":""},{"dropping-particle":"","family":"Wals","given":"Henri C.","non-dropping-particle":"","parse-names":false,"suffix":""},{"dropping-particle":"","family":"Stork","given":"Bob","non-dropping-particle":"","parse-names":false,"suffix":""},{"dropping-particle":"","family":"Verveer","given":"Peter C.","non-dropping-particle":"","parse-names":false,"suffix":""},{"dropping-particle":"","family":"Hartog","given":"Arnold P.","non-dropping-particle":"den","parse-names":false,"suffix":""},{"dropping-particle":"","family":"Jong","given":"Natasja M. J.","non-dropping-particle":"de","parse-names":false,"suffix":""},{"dropping-particle":"","family":"Adolfs","given":"Tiny J. P.","non-dropping-particle":"","parse-names":false,"suffix":""},{"dropping-particle":"","family":"Hoogendoorn","given":"Jan","non-dropping-particle":"","parse-names":false,"suffix":""},{"dropping-particle":"","family":"Kruse","given":"Chris G.","non-dropping-particle":"","parse-names":false,"suffix":""}],"container-title":"Journal of Medicinal Chemistry","id":"ITEM-1","issue":"3","issued":{"date-parts":[["2004","1","29"]]},"page":"627-643","title":"Synthesis, Biological Properties, and Molecular Modeling Investigations of Novel 3,4-Diarylpyrazolines as Potent and Selective CB (1) Cannabinoid Receptor Antagonists","type":"article-journal","volume":"47"},"uris":["http://www.mendeley.com/documents/?uuid=61ed3529-3cf7-38b9-b6ba-29eec9bef617"]}],"mendeley":{"formattedCitation":"Lange et al., 2004","plainTextFormattedCitation":"Lange et al., 2004","previouslyFormattedCitation":"(Lange et al., 2004)"},"properties":{"noteIndex":0},"schema":"https://github.com/citation-style-language/schema/raw/master/csl-citation.json"}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Lange et al., 2004</w:t>
            </w:r>
            <w:r w:rsidRPr="00DE7555">
              <w:rPr>
                <w:rFonts w:ascii="Times New Roman" w:hAnsi="Times New Roman" w:cs="Times New Roman"/>
                <w:lang w:val="en-GB"/>
              </w:rPr>
              <w:fldChar w:fldCharType="end"/>
            </w:r>
          </w:p>
        </w:tc>
      </w:tr>
      <w:tr w:rsidR="00043312" w:rsidRPr="00DE7555" w14:paraId="556C1F8B" w14:textId="77777777" w:rsidTr="00DE7555">
        <w:tc>
          <w:tcPr>
            <w:tcW w:w="0" w:type="auto"/>
          </w:tcPr>
          <w:p w14:paraId="6CC6DCAF" w14:textId="2CAA6A40" w:rsidR="00043312" w:rsidRPr="00DE7555" w:rsidRDefault="00043312" w:rsidP="00724E70">
            <w:pPr>
              <w:rPr>
                <w:rFonts w:ascii="Times New Roman" w:hAnsi="Times New Roman" w:cs="Times New Roman"/>
              </w:rPr>
            </w:pPr>
            <w:r w:rsidRPr="00DE7555">
              <w:rPr>
                <w:rFonts w:ascii="Times New Roman" w:hAnsi="Times New Roman" w:cs="Times New Roman"/>
                <w:lang w:val="fr-FR"/>
              </w:rPr>
              <w:t xml:space="preserve">LY320135 </w:t>
            </w:r>
          </w:p>
        </w:tc>
        <w:tc>
          <w:tcPr>
            <w:tcW w:w="0" w:type="auto"/>
          </w:tcPr>
          <w:p w14:paraId="240D1A9D" w14:textId="5A88565F" w:rsidR="00043312" w:rsidRPr="00DE7555" w:rsidRDefault="00043312" w:rsidP="00E5612A">
            <w:pPr>
              <w:jc w:val="center"/>
              <w:rPr>
                <w:rFonts w:ascii="Times New Roman" w:hAnsi="Times New Roman" w:cs="Times New Roman"/>
              </w:rPr>
            </w:pPr>
            <w:r w:rsidRPr="00DE7555">
              <w:rPr>
                <w:rFonts w:ascii="Times New Roman" w:hAnsi="Times New Roman" w:cs="Times New Roman"/>
                <w:lang w:val="fr-FR"/>
              </w:rPr>
              <w:t>141</w:t>
            </w:r>
          </w:p>
        </w:tc>
        <w:tc>
          <w:tcPr>
            <w:tcW w:w="0" w:type="auto"/>
          </w:tcPr>
          <w:p w14:paraId="25C2C863" w14:textId="5EBC19E8" w:rsidR="00043312" w:rsidRPr="00DE7555" w:rsidRDefault="00043312" w:rsidP="00E5612A">
            <w:pPr>
              <w:jc w:val="center"/>
              <w:rPr>
                <w:rFonts w:ascii="Times New Roman" w:hAnsi="Times New Roman" w:cs="Times New Roman"/>
              </w:rPr>
            </w:pPr>
            <w:proofErr w:type="spellStart"/>
            <w:r w:rsidRPr="00DE7555">
              <w:rPr>
                <w:rFonts w:ascii="Times New Roman" w:hAnsi="Times New Roman" w:cs="Times New Roman"/>
                <w:lang w:val="fr-FR"/>
              </w:rPr>
              <w:t>nd</w:t>
            </w:r>
            <w:proofErr w:type="spellEnd"/>
          </w:p>
        </w:tc>
        <w:tc>
          <w:tcPr>
            <w:tcW w:w="0" w:type="auto"/>
          </w:tcPr>
          <w:p w14:paraId="3C8E3F27" w14:textId="740D7CE5" w:rsidR="00043312" w:rsidRPr="00DE7555" w:rsidRDefault="00043312" w:rsidP="00E5612A">
            <w:pPr>
              <w:jc w:val="center"/>
              <w:rPr>
                <w:rFonts w:ascii="Times New Roman" w:hAnsi="Times New Roman" w:cs="Times New Roman"/>
              </w:rPr>
            </w:pPr>
            <w:proofErr w:type="spellStart"/>
            <w:r w:rsidRPr="00DE7555">
              <w:rPr>
                <w:rFonts w:ascii="Times New Roman" w:hAnsi="Times New Roman" w:cs="Times New Roman"/>
                <w:lang w:val="fr-FR"/>
              </w:rPr>
              <w:t>antagonist</w:t>
            </w:r>
            <w:proofErr w:type="spellEnd"/>
          </w:p>
        </w:tc>
        <w:tc>
          <w:tcPr>
            <w:tcW w:w="0" w:type="auto"/>
          </w:tcPr>
          <w:p w14:paraId="3819960F" w14:textId="193834A6" w:rsidR="00043312" w:rsidRPr="00DE7555" w:rsidRDefault="00043312" w:rsidP="00E5612A">
            <w:pPr>
              <w:jc w:val="center"/>
              <w:rPr>
                <w:rFonts w:ascii="Times New Roman" w:hAnsi="Times New Roman" w:cs="Times New Roman"/>
              </w:rPr>
            </w:pPr>
            <w:r w:rsidRPr="00DE7555">
              <w:rPr>
                <w:rFonts w:ascii="Times New Roman" w:hAnsi="Times New Roman" w:cs="Times New Roman"/>
                <w:lang w:val="fr-FR"/>
              </w:rPr>
              <w:t>14,900</w:t>
            </w:r>
          </w:p>
        </w:tc>
        <w:tc>
          <w:tcPr>
            <w:tcW w:w="0" w:type="auto"/>
          </w:tcPr>
          <w:p w14:paraId="489E7D96" w14:textId="2261AE41" w:rsidR="00043312" w:rsidRPr="00DE7555" w:rsidRDefault="00043312" w:rsidP="00E5612A">
            <w:pPr>
              <w:jc w:val="center"/>
              <w:rPr>
                <w:rFonts w:ascii="Times New Roman" w:hAnsi="Times New Roman" w:cs="Times New Roman"/>
              </w:rPr>
            </w:pPr>
            <w:proofErr w:type="spellStart"/>
            <w:r w:rsidRPr="00DE7555">
              <w:rPr>
                <w:rFonts w:ascii="Times New Roman" w:hAnsi="Times New Roman" w:cs="Times New Roman"/>
                <w:lang w:val="fr-FR"/>
              </w:rPr>
              <w:t>nd</w:t>
            </w:r>
            <w:proofErr w:type="spellEnd"/>
          </w:p>
        </w:tc>
        <w:tc>
          <w:tcPr>
            <w:tcW w:w="0" w:type="auto"/>
          </w:tcPr>
          <w:p w14:paraId="0344CFEB" w14:textId="37723484" w:rsidR="00043312" w:rsidRPr="00DE7555" w:rsidRDefault="00043312" w:rsidP="00E5612A">
            <w:pPr>
              <w:jc w:val="center"/>
              <w:rPr>
                <w:rFonts w:ascii="Times New Roman" w:hAnsi="Times New Roman" w:cs="Times New Roman"/>
              </w:rPr>
            </w:pPr>
            <w:proofErr w:type="spellStart"/>
            <w:r w:rsidRPr="00DE7555">
              <w:rPr>
                <w:rFonts w:ascii="Times New Roman" w:hAnsi="Times New Roman" w:cs="Times New Roman"/>
                <w:lang w:val="fr-FR"/>
              </w:rPr>
              <w:t>nd</w:t>
            </w:r>
            <w:proofErr w:type="spellEnd"/>
          </w:p>
        </w:tc>
        <w:tc>
          <w:tcPr>
            <w:tcW w:w="0" w:type="auto"/>
          </w:tcPr>
          <w:p w14:paraId="01E9177B" w14:textId="72C9B09D" w:rsidR="00043312" w:rsidRPr="00DE7555" w:rsidRDefault="00043312" w:rsidP="00E5612A">
            <w:pPr>
              <w:rPr>
                <w:rFonts w:ascii="Times New Roman" w:hAnsi="Times New Roman" w:cs="Times New Roman"/>
              </w:rPr>
            </w:pPr>
            <w:proofErr w:type="spellStart"/>
            <w:r w:rsidRPr="00DE7555">
              <w:rPr>
                <w:rFonts w:ascii="Times New Roman" w:hAnsi="Times New Roman" w:cs="Times New Roman"/>
                <w:lang w:val="fr-FR"/>
              </w:rPr>
              <w:t>nd</w:t>
            </w:r>
            <w:proofErr w:type="spellEnd"/>
          </w:p>
        </w:tc>
        <w:tc>
          <w:tcPr>
            <w:tcW w:w="0" w:type="auto"/>
          </w:tcPr>
          <w:p w14:paraId="66368A7F" w14:textId="399F1D1E"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fr-FR"/>
              </w:rPr>
              <w:instrText>ADDIN CSL_CITATION {"citationItems":[{"id":"ITEM-1","itemData":{"ISSN":"0022-3565","PMID":"9435190","abstract":"LY320135 is a selective antagonist for the brain CB1 receptor, having greater than 70-fold higher affinity for the CB1 than the peripheral CB2 receptor. The Ki values for LY320135 at the CB1 and CB2 receptors, transfected and stably expressed in cell lines, were 224 nM and &gt; 10 microM, respectively. Similar Ki values were measured in binding studies performed on cerebellum and spleen membrane preparations endogenously expressing the CB1 (203 nM) and CB2 (&gt; 10 microM) receptors, respectively. LY320135 functionally reversed anandamide-mediated adenylate cyclase inhibition in Chinese hamster ovary (CHO) cells stably expressing the CB1 receptor. Pertussis toxin treatment of CHO cells expressing the CB1 receptor attenuated the anandamide-mediated inhibition of adenylate cyclase and unmasked a stimulatory effect of anandamide on adenylate cyclase. The stimulatory component was blocked with LY320135. This compound also blocked WIN 55212-2-mediated inhibition of N-type calcium channels and activation of inwardly rectifying potassium channels in N18 and AtT-20-CB2 cells, respectively. LY320135 is a promising lead compound for the further development of novel, potent and selective cannabinoid antagonists of novel structure.","author":[{"dropping-particle":"","family":"Felder","given":"C C","non-dropping-particle":"","parse-names":false,"suffix":""},{"dropping-particle":"","family":"Joyce","given":"K E","non-dropping-particle":"","parse-names":false,"suffix":""},{"dropping-particle":"","family":"Briley","given":"E M","non-dropping-particle":"","parse-names":false,"suffix":""},{"dropping-particle":"","family":"Glass","given":"M","non-dropping-particle":"","parse-names":false,"suffix":""},{"dropping-particle":"","family":"Mackie","given":"K P","non-dropping-particle":"","parse-names":false,"suffix":""},{"dropping-particle":"","family":"Fahey","given":"K J","non-dropping-particle":"","parse-names":false,"suffix":""},{"dropping-particle":"","family":"Cullinan","given":"G J","non-dropping-particle":"","parse-names":false,"suffix":""},{"dropping-particle":"","family":"Hunden","given":"D C","non-dropping-particle":"","parse-names":false,"suffix":""},{"dropping-particle":"","family":"Johnson","given":"D W","non-dropping-particle":"","parse-names":false,"suffix":""},{"dropping-particle":"","family":"Chaney","given":"M O","non-dropping-particle":"","parse-names":false,"suffix":""},{"dropping-particle":"","family":"Koppel","given":"G A","non-dropping-particle":"","parse-names":false,"suffix":""},{"dropping-particle":"","family":"Brownstein","given":"M","non-dropping-particle":"","parse-names":false,"suffix":""}],"container-title":"The Journal of pharmacology and experimental therapeutics","id":"ITEM-1","issue":"1","issued":{"date-parts":[["1998","1"]]},"page":"291-7","title":"LY320135, a novel cannabinoid CB1 receptor antagonist, unmasks coupling of the CB1 receptor to stimulation of cAMP accumulation.","type":"article-journal","volume":"284"},"uris":["http://www.mendeley.com/documents/?uuid=e4c83264-f96b-3f17-a76c-71652e3874c8"]}],"mendeley":{"formattedCitation":"Felder et al., 1998","plainTextFormattedCitation":"Felder et al., 1998","previouslyFormattedCitation":"(Felder et al., 1998)"},"properties":{"noteIndex":0},"schema":"https://github.com/citation-style-language/schema/raw/master/csl-citation.json"}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fr-FR"/>
              </w:rPr>
              <w:t>Felder et al., 1998</w:t>
            </w:r>
            <w:r w:rsidRPr="00DE7555">
              <w:rPr>
                <w:rFonts w:ascii="Times New Roman" w:hAnsi="Times New Roman" w:cs="Times New Roman"/>
                <w:lang w:val="en-GB"/>
              </w:rPr>
              <w:fldChar w:fldCharType="end"/>
            </w:r>
          </w:p>
        </w:tc>
      </w:tr>
      <w:tr w:rsidR="00043312" w:rsidRPr="00DE7555" w14:paraId="67B05BD4" w14:textId="77777777" w:rsidTr="00DE7555">
        <w:tc>
          <w:tcPr>
            <w:tcW w:w="0" w:type="auto"/>
          </w:tcPr>
          <w:p w14:paraId="597BCFC8" w14:textId="5DF97487" w:rsidR="00043312" w:rsidRPr="00DE7555" w:rsidRDefault="00043312" w:rsidP="00724E70">
            <w:pPr>
              <w:rPr>
                <w:rFonts w:ascii="Times New Roman" w:hAnsi="Times New Roman" w:cs="Times New Roman"/>
                <w:lang w:val="en-GB"/>
              </w:rPr>
            </w:pPr>
            <w:r w:rsidRPr="00DE7555">
              <w:rPr>
                <w:rFonts w:ascii="Times New Roman" w:hAnsi="Times New Roman" w:cs="Times New Roman"/>
              </w:rPr>
              <w:t>MJ08</w:t>
            </w:r>
          </w:p>
        </w:tc>
        <w:tc>
          <w:tcPr>
            <w:tcW w:w="0" w:type="auto"/>
          </w:tcPr>
          <w:p w14:paraId="7DDF10F5" w14:textId="3B6658D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rPr>
              <w:t>25.4</w:t>
            </w:r>
          </w:p>
        </w:tc>
        <w:tc>
          <w:tcPr>
            <w:tcW w:w="0" w:type="auto"/>
          </w:tcPr>
          <w:p w14:paraId="719A7705" w14:textId="6FB19CB6"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rPr>
              <w:t>78.6</w:t>
            </w:r>
          </w:p>
        </w:tc>
        <w:tc>
          <w:tcPr>
            <w:tcW w:w="0" w:type="auto"/>
          </w:tcPr>
          <w:p w14:paraId="4DD4E9EF" w14:textId="29D7E44C"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rPr>
              <w:t>antagonist</w:t>
            </w:r>
            <w:proofErr w:type="spellEnd"/>
            <w:r w:rsidRPr="00DE7555">
              <w:rPr>
                <w:rFonts w:ascii="Times New Roman" w:hAnsi="Times New Roman" w:cs="Times New Roman"/>
              </w:rPr>
              <w:t xml:space="preserve">/inverse </w:t>
            </w:r>
            <w:proofErr w:type="spellStart"/>
            <w:r w:rsidRPr="00DE7555">
              <w:rPr>
                <w:rFonts w:ascii="Times New Roman" w:hAnsi="Times New Roman" w:cs="Times New Roman"/>
              </w:rPr>
              <w:t>agonist</w:t>
            </w:r>
            <w:proofErr w:type="spellEnd"/>
          </w:p>
        </w:tc>
        <w:tc>
          <w:tcPr>
            <w:tcW w:w="0" w:type="auto"/>
          </w:tcPr>
          <w:p w14:paraId="7C1F5E0C" w14:textId="65EFD90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A67E599" w14:textId="01B5DD15"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rPr>
              <w:t>nd</w:t>
            </w:r>
            <w:proofErr w:type="spellEnd"/>
          </w:p>
        </w:tc>
        <w:tc>
          <w:tcPr>
            <w:tcW w:w="0" w:type="auto"/>
          </w:tcPr>
          <w:p w14:paraId="5EE00682" w14:textId="46D17071"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rPr>
              <w:t>nd</w:t>
            </w:r>
            <w:proofErr w:type="spellEnd"/>
          </w:p>
        </w:tc>
        <w:tc>
          <w:tcPr>
            <w:tcW w:w="0" w:type="auto"/>
          </w:tcPr>
          <w:p w14:paraId="53668098" w14:textId="2CA8FF4B"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rPr>
              <w:t>nd</w:t>
            </w:r>
            <w:proofErr w:type="spellEnd"/>
          </w:p>
        </w:tc>
        <w:tc>
          <w:tcPr>
            <w:tcW w:w="0" w:type="auto"/>
          </w:tcPr>
          <w:p w14:paraId="1E60191E" w14:textId="1895D90D"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rPr>
              <w:instrText>ADDIN CSL_CITATION {"citationItems":[{"id":"ITEM-1","itemData":{"DOI":"10.1038/aps.2011.80","ISSN":"1745-7254","PMID":"21841814","abstract":"AIM To characterize the biological profiles of MJ08, a novel selective CB(1) receptor antagonist. METHODS Radioligand binding assays were performed using rat brain and spleen membrane preparations. CB(1) and CB(2) receptor redistribution and intracellular Ca(2+) ([Ca(2+)](i)) assays were performed with IN CELL Analyzer. Inverse agonism was studied using intracellular cAMP assays, and in guinea-pig ileum and mouse vas deferens smooth muscle preparations. In vivo pharmacologic profile was assessed in diet-induced obesity (DIO) mice. RESULTS In radioligand binding assay, MJ08 selectively antagonized CB(1) receptor (IC(50)=99.9 nmol/L). In EGFP-CB(1)_U2OS cells, its IC(50) value against CB(1) receptor activation was 30.23 nmol/L (SR141716A: 32.16 nmol/L). WIN 55,212-2 (1 μmol/L) increased [Ca(2+)](i) in the primary cultured hippocampal neuronal cells and decreased cAMP accumulation in CHO-hCB(1) cells. MJ08 (10 nmol/L-10 μmol/L) blocked both the WIN 55,212-2-induced effects. Furthermore, MJ08 reversed the inhibition of electrically evoked twitches of mouse vas deferens by WIN 55,212-2 (pA(2)=10.29±1.05). MJ08 and SR141716A both showed an inverse agonism activity by markedly promoting the contraction force and frequency of guinea pig ileum muscle. MJ08 significantly increased the cAMP level in CHO-hCB(1) cells with an EC(50) value of 78.6 nmol/L, which was lower than the EC(50) value for SR141716A (159.2 nmol/L). Besides the more potent pharmacological effects of cannabinoid CB(1) receptor antagonism in DIO mice, such as reducing food intake, decreasing body weight, and ameliorating dyslipidemia, MJ08 (10 mg/kg) unexpectedly raised the fasted blood glucose in vivo. CONCLUSION MJ08 is a novel, potent and selective CB(1) receptor antagonist/inverse agonist with potent bioactive responses in vitro and in vivo that may be useful for disclosure the versatile nature of CB(1) receptors.","author":[{"dropping-particle":"","family":"Chen","given":"Wei","non-dropping-particle":"","parse-names":false,"suffix":""},{"dropping-particle":"","family":"Xu","given":"Cheng","non-dropping-particle":"","parse-names":false,"suffix":""},{"dropping-particl</w:instrText>
            </w:r>
            <w:r w:rsidRPr="00DE7555">
              <w:rPr>
                <w:rFonts w:ascii="Times New Roman" w:hAnsi="Times New Roman" w:cs="Times New Roman"/>
                <w:lang w:val="en-GB"/>
              </w:rPr>
              <w:instrText>e":"","family":"Liu","given":"Hong-ying","non-dropping-particle":"","parse-names":false,"suffix":""},{"dropping-particle":"","family":"Long","given":"Long","non-dropping-particle":"","parse-names":false,"suffix":""},{"dropping-particle":"","family":"Zhang","given":"Wei","non-dropping-particle":"","parse-names":false,"suffix":""},{"dropping-particle":"","family":"Zheng","given":"Zhi-bing","non-dropping-particle":"","parse-names":false,"suffix":""},{"dropping-particle":"","family":"Xie","given":"Yun-de","non-dropping-particle":"","parse-names":false,"suffix":""},{"dropping-particle":"","family":"Wang","given":"Li-li","non-dropping-particle":"","parse-names":false,"suffix":""},{"dropping-particle":"","family":"Li","given":"Song","non-dropping-particle":"","parse-names":false,"suffix":""}],"container-title":"Acta pharmacologica Sinica","id":"ITEM-1","issue":"9","issued":{"date-parts":[["2011","9"]]},"page":"1148-58","publisher":"Nature Publishing Group","title":"Novel selective cannabinoid CB(1) receptor antagonist MJ08 with potent in vivo bioactivity and inverse agonistic effects.","type":"article-journal","volume":"32"},"uris":["http://www.mendeley.com/documents/?uuid=006a2405-428e-3e7d-945a-30a8d76b79bf"]}],"mendeley":{"formattedCitation":"Chen et al., 2011","plainTextFormattedCitation":"Chen et al., 2011","previouslyFormattedCitation":"(Chen et al., 2011)"},"properties":{"noteIndex":0},"schema":"https://github.com/citation-style-language/schema/raw/master/csl-citation.json"}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Chen et al., 2011</w:t>
            </w:r>
            <w:r w:rsidRPr="00DE7555">
              <w:rPr>
                <w:rFonts w:ascii="Times New Roman" w:hAnsi="Times New Roman" w:cs="Times New Roman"/>
                <w:lang w:val="en-GB"/>
              </w:rPr>
              <w:fldChar w:fldCharType="end"/>
            </w:r>
          </w:p>
        </w:tc>
      </w:tr>
      <w:tr w:rsidR="00043312" w:rsidRPr="00DE7555" w14:paraId="08E51999" w14:textId="77777777" w:rsidTr="00DE7555">
        <w:tc>
          <w:tcPr>
            <w:tcW w:w="0" w:type="auto"/>
          </w:tcPr>
          <w:p w14:paraId="35914986" w14:textId="73FDCD24"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NESS 0327 </w:t>
            </w:r>
          </w:p>
        </w:tc>
        <w:tc>
          <w:tcPr>
            <w:tcW w:w="0" w:type="auto"/>
          </w:tcPr>
          <w:p w14:paraId="21BE704D" w14:textId="606B4A9B"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0.35</w:t>
            </w:r>
          </w:p>
        </w:tc>
        <w:tc>
          <w:tcPr>
            <w:tcW w:w="0" w:type="auto"/>
          </w:tcPr>
          <w:p w14:paraId="21E6EC8D" w14:textId="02287DB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7F2CE86" w14:textId="424780A8"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antagonist</w:t>
            </w:r>
          </w:p>
        </w:tc>
        <w:tc>
          <w:tcPr>
            <w:tcW w:w="0" w:type="auto"/>
          </w:tcPr>
          <w:p w14:paraId="330DA801" w14:textId="730F8D74"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21</w:t>
            </w:r>
          </w:p>
        </w:tc>
        <w:tc>
          <w:tcPr>
            <w:tcW w:w="0" w:type="auto"/>
          </w:tcPr>
          <w:p w14:paraId="2DF2EC7B" w14:textId="7B54E3DA"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 10,000</w:t>
            </w:r>
          </w:p>
        </w:tc>
        <w:tc>
          <w:tcPr>
            <w:tcW w:w="0" w:type="auto"/>
          </w:tcPr>
          <w:p w14:paraId="3160B427" w14:textId="20B7105A"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B66F469" w14:textId="20A9797A"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7BB5629" w14:textId="1A3E8655"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{"citationItems":[{"id":"ITEM-1","itemData":{"DOI":"10.1124/jpet.103.049924","ISSN":"0022-3565","PMID":"12663689","abstract":"The compound N-piperidinyl-[8-chloro-1-(2,4-dichlorophenyl)-1,4,5,6-tetrahydrobenzo [6,7]cyclohepta[1,2-c]pyrazole-3-carboxamide] (NESS 0327) was synthesized and evaluated for binding affinity toward cannabinoid CB1 and CB2 receptor. NESS 0327 exhibited a stronger selectivity for CB1 receptor compared with N-piperidinyl-5-(4-chlorophenyl)-1-(2,4-dichlorophenyl)-4-methyl-1H-pyrazole-3-carboxamide (SR 141716A), showing a much higher affinity for CB1 receptor (Ki = 350 +/- 5 fM and 1.8 +/- 0.075 nM, respectively) and a higher affinity for the CB2 receptor (Ki = 21 +/- 0.5 nM and 514 +/- 30 nM, respectively). Affinity ratios demonstrated that NESS 0327 was more than 60,000-fold selective for the CB1 receptor, whereas SR 141716A only 285-fold. NESS 0327 alone did not produce concentration-dependent stimulation of guanosine 5'-O-(3-[35S]thio)-triphosphate ([35S]GTPgammaS) binding in rat cerebella membranes. Conversely, NESS 0327 antagonized [R(+)-[2,3-dihydro-5-methyl-3-[(morpholinyl)methyl]pyrolol [1,2,3-de]-1,4-benzoxazin-yl]-(1-naphthalenyl)methanone mesylate] (WIN 55,212-2)-stimulated [35S]GTPgammaS binding. In functional assay, NESS 0327 antagonized the inhibitory effects of WIN 55,212-2 on electrically evoked contractions in mouse isolated vas deferens preparations with pA2 value of 12.46 +/- 0.23. In vivo studies indicated that NESS 0327 antagonized the antinociceptive effect produced by WIN 55,212-2 (2 mg/kg s.c.) in both tail-flick (ID50 = 0.042 +/- 0.01 mg/kg i.p.) and hot-plate test (ID50 = 0.018 +/- 0.006 mg/kg i.p.). These results indicated that NESS 0327 is a novel cannabinoid antagonist with high selectivity for the cannabinoid CB1 receptor.","author":[{"dropping-particle":"","family":"Ruiu","given":"S.","non-dropping-particle":"","parse-names":false,"suffix":""},{"dropping-particle":"","family":"Pinna","given":"Gèrard A","non-dropping-particle":"","parse-names":false,"suffix":""},{"dropping-particle":"","family":"Marchese","given":"Giorgio","non-dropping-particle":"","parse-names":false,"suffix":""},{"dropping-particle":"","family":"Mussinu","given":"Jean-Mario","non-dropping-particle":"","parse-names":false,"suffix":""},{"dropping-particle":"","family":"Saba","given":"Pierluigi","non-dropping-particle":"","parse-names":false,"suffix":""},{"dropping-particle":"","family":"Tambaro","given":"Simone","non-dropping-particle":"","parse-names":false,"suffix":""},{"dropping-particle":"","family":"Casti","given":"Paola","non-dropping-particle":"","parse-names":false,"suffix":""},{"dropping-particle":"","family":"Vargiu","given":"Romina","non-dropping-particle":"","parse-names":false,"suffix":""},{"dropping-particle":"","family":"Pani","given":"Luca","non-dropping-particle":"","parse-names":false,"suffix":""}],"container-title":"Journal of Pharmacology and Experimental Therapeutics","id":"ITEM-1","issue":"1","issued":{"date-parts":[["2003","4","7"]]},"page":"363-370","title":"Synthesis and Characterization of NESS 0327: A Novel Putative Antagonist of the CB1 Cannabinoid Receptor","type":"article-journal","volume":"306"},"uris":["http://www.mendeley.com/documents/?uuid=72d4d15f-4a6e-314b-a5f8-bddbe3476013"]}],"mendeley":{"formattedCitation":"Ruiu et al., 2003","plainTextFormattedCitation":"Ruiu et al., 2003","previouslyFormattedCitation":"(Ruiu et al., 2003)"},"properties":{"noteIndex":0},"schema":"https://github.com/citation-style-language/schema/raw/master/csl-citation.json"}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Ruiu et al., 2003</w:t>
            </w:r>
            <w:r w:rsidRPr="00DE7555">
              <w:rPr>
                <w:rFonts w:ascii="Times New Roman" w:hAnsi="Times New Roman" w:cs="Times New Roman"/>
                <w:lang w:val="en-GB"/>
              </w:rPr>
              <w:fldChar w:fldCharType="end"/>
            </w:r>
          </w:p>
        </w:tc>
      </w:tr>
      <w:tr w:rsidR="00043312" w:rsidRPr="008178CC" w14:paraId="5ED082D2" w14:textId="77777777" w:rsidTr="00DE7555">
        <w:tc>
          <w:tcPr>
            <w:tcW w:w="0" w:type="auto"/>
          </w:tcPr>
          <w:p w14:paraId="7CAEE4AB" w14:textId="77777777" w:rsidR="00043312" w:rsidRPr="00DE7555" w:rsidRDefault="00043312" w:rsidP="00724E70">
            <w:pPr>
              <w:rPr>
                <w:rFonts w:ascii="Times New Roman" w:hAnsi="Times New Roman" w:cs="Times New Roman"/>
                <w:lang w:val="en-GB"/>
              </w:rPr>
            </w:pPr>
            <w:proofErr w:type="spellStart"/>
            <w:r w:rsidRPr="00DE7555">
              <w:rPr>
                <w:rFonts w:ascii="Times New Roman" w:hAnsi="Times New Roman" w:cs="Times New Roman"/>
                <w:lang w:val="en-GB"/>
              </w:rPr>
              <w:t>otenabant</w:t>
            </w:r>
            <w:proofErr w:type="spellEnd"/>
            <w:r w:rsidRPr="00DE7555">
              <w:rPr>
                <w:rFonts w:ascii="Times New Roman" w:hAnsi="Times New Roman" w:cs="Times New Roman"/>
                <w:lang w:val="en-GB"/>
              </w:rPr>
              <w:t xml:space="preserve"> </w:t>
            </w:r>
          </w:p>
          <w:p w14:paraId="71241A36" w14:textId="5C87779E"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aka CP-945,598</w:t>
            </w:r>
          </w:p>
        </w:tc>
        <w:tc>
          <w:tcPr>
            <w:tcW w:w="0" w:type="auto"/>
          </w:tcPr>
          <w:p w14:paraId="110E89AC" w14:textId="0F1A0AFB"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0.7, 0.12</w:t>
            </w:r>
          </w:p>
        </w:tc>
        <w:tc>
          <w:tcPr>
            <w:tcW w:w="0" w:type="auto"/>
          </w:tcPr>
          <w:p w14:paraId="75C44F4B" w14:textId="4D88FFE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722D8DA" w14:textId="46A71E0E"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antagonist/inverse agonist</w:t>
            </w:r>
          </w:p>
        </w:tc>
        <w:tc>
          <w:tcPr>
            <w:tcW w:w="0" w:type="auto"/>
          </w:tcPr>
          <w:p w14:paraId="5EE5C62F" w14:textId="7523FD8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7,600</w:t>
            </w:r>
          </w:p>
        </w:tc>
        <w:tc>
          <w:tcPr>
            <w:tcW w:w="0" w:type="auto"/>
          </w:tcPr>
          <w:p w14:paraId="2FF0F29C" w14:textId="2A93E2A0"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99815F9" w14:textId="290EAC13"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A8FE059" w14:textId="2A1A7D13"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C9EAFF1" w14:textId="24415AFE"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{"citationItems":[{"id":"ITEM-1","itemData":{"DOI":"10.1016/j.bbrc.2010.03.015","ISSN":"0006291X","PMID":"20211605","abstract":"Cannabinoid CB(1) receptor antagonists exhibit pharmacologic properties favorable for the treatment of metabolic disease. CP-945,598 (1-[9-(4-chlorophenyl)-8-(2-chlorophenyl)-9H-purin-6-yl]-4-ethylamino piperidine-4-carboxylic acid amide hydrochloride) is a recently discovered selective, high affinity, competitive CB(1) receptor antagonist that inhibits both basal and cannabinoid agonist-mediated CB(1) receptor signaling in vitro and in vivo. CP-945,598 exhibits sub-nanomolar potency at human CB(1) receptors in both binding (K(i)=0.7 nM) and functional assays (K(i)=0.2 nM). The compound has low affinity (K(i)=7600 nM) for human CB(2) receptors. In vivo, CP-945,598 reverses four cannabinoid agonist-mediated CNS-driven responses (hypo-locomotion, hypothermia, analgesia, and catalepsy) to a synthetic cannabinoid receptor agonist. CP-945,598 exhibits dose and concentration-dependent anorectic activity in two models of acute food intake in rodents, fast-induced re-feeding and spontaneous, nocturnal feeding. CP-945,598 also acutely stimulates energy expenditure in rats and decreases the respiratory quotient indicating a metabolic switch to increased fat oxidation. CP-945,598 at 10mg/kg promoted a 9%, vehicle adjusted weight loss in a 10 day weight loss study in diet-induced obese mice. Concentration/effect relationships combined with ex vivo brain CB(1) receptor occupancy data were used to evaluate efficacy in behavioral, food intake, and energy expenditure studies. Together, these in vitro, ex vivo, and in vivo data indicate that CP-945,598 is a novel CB(1) receptor competitive antagonist that may further our understanding of the endocannabinoid system.","author":[{"dropping-particle":"","family":"Hadcock","given":"John R.","non-dropping-particle":"","parse-names":false,"suffix":""},{"dropping-particle":"","family":"Griffith","given":"David A.","non-dropping-particle":"","parse-names":false,"suffix":""},{"dropping-particle":"","family":"Iredale","given":"Phillip A.","non-dropping-particle":"","parse-names":false,"suffix":""},{"dropping-particle":"","family":"Carpino","given":"Phillip A.","non-dropping-particle":"","parse-names":false,"suffix":""},{"dropping-particle":"","family":"Dow","given":"Robert L.","non-dropping-particle":"","parse-names":false,"suffix":""},{"dropping-particle":"","family":"Black","given":"Shawn C.","non-dropping-particle":"","parse-names":false,"suffix":""},{"dropping-particle":"","family":"O’Connor","given":"Rebecca","non-dropping-particle":"","parse-names":false,"suffix":""},{"dropping-particle":"","family":"Gautreau","given":"Denise","non-dropping-particle":"","parse-names":false,"suffix":""},{"dropping-particle":"","family":"Lizano","given":"Jeffrey S.","non-dropping-particle":"","parse-names":false,"suffix":""},{"dropping-particle":"","family":"Ward","given":"Karen","non-dropping-particle":"","parse-names":false,"suffix":""},{"dropping-particle":"","family":"Hargrove","given":"Diane M.","non-dropping-particle":"","parse-names":false,"suffix":""},{"dropping-particle":"","family":"Kelly-Sullivan","given":"Dawn","non-dropping-particle":"","parse-names":false,"suffix":""},{"dropping-particle":"","family":"Scott","given":"Dennis O.","non-dropping-particle":"","parse-names":false,"suffix":""}],"container-title":"Biochemical and Biophysical Research Communications","id":"ITEM-1","issue":"2","issued":{"date-parts":[["2010","4","2"]]},"page":"366-371","title":"In vitro and in vivo pharmacology of CP-945,598, a potent and selective cannabinoid CB1 receptor antagonist for the management of obesity","type":"article-journal","volume":"394"},"uris":["http://www.mendeley.com/documents/?uuid=9f8b5be9-a3e9-37ec-a095-1b9f720ba37e"]},{"id":"ITEM-2","itemData":{"DOI":"10.1021/jm8012932","PMID":"19102698","abstract":"We report the structure-activity relationships, design, and synthesis of the novel cannabinoid type 1 (CB1) receptor antagonist 3a (CP-945,598). Compound 3a showed subnanomolar potency at human CB1 receptors in binding (Ki = 0.7 nM) and functional assays (Ki = 0.12 nM). In vivo, compound 3a reversed cannabinoid agonist-mediated responses, reduced food intake, and increased energy expenditure and fat oxidation in rodents.","author":[{"dropping-particle":"","family":"Griffith","given":"David A.","non-dropping-particle":"","parse-names":false,"suffix":""},{"dropping-particle":"","family":"Hadcock","given":"John R.","non-dropping-particle":"","parse-names":false,"suffix":""},{"dropping-particle":"","family":"Black","given":"Shawn C.","non-dropping-particle":"","parse-names":false,"suffix":""},{"dropping-particle":"","family":"Iredale","given":"Philip A.","non-dropping-particle":"","parse-names":false,"suffix":""},{"dropping-particle":"","family":"Carpino","given":"Philip A.","non-dropping-particle":"","parse-names":false,"suffix":""},{"dropping-particle":"","family":"DaSilva-Jardine","given":"Paul","non-dropping-particle":"","parse-names":false,"suffix":""},{"dropping-particle":"","family":"Day","given":"Robert","non-dropping-particle":"","parse-names":false,"suffix":""},{"dropping-particle":"","family":"DiBrino","given":"Joseph","non-dropping-particle":"","parse-names":false,"suffix":""},{"dropping-particle":"","family":"Dow","given":"Robert L.","non-dropping-particle":"","parse-names":false,"suffix":""},{"dropping-particle":"","family":"Landis","given":"Margaret S.","non-dropping-particle":"","parse-names":false,"suffix":""},{"dropping-particle":"","family":"O’Connor","given":"Rebecca E.","non-dropping-particle":"","parse-names":false,"suffix":""},{"dropping-particle":"","family":"Scott","given":"Dennis O.","non-dropping-particle":"","parse-names":false,"suffix":""}],"container-title":"Journal of Medicinal Chemistry","id":"ITEM-2","issue":"2","issued":{"date-parts":[["2009","1","22"]]},"page":"234-237","title":"Discovery of 1-[9-(4-Chlorophenyl)-8-(2-chlorophenyl)-9 H-purin-6-yl]-4-ethylaminopiperidine-4-carboxylic Acid Amide Hydrochloride (CP-945,598), a Novel, Potent, and Selective Cannabinoid Type 1 Receptor Antagonist","type":"article-journal","volume":"52"},"uris":["http://www.mendeley.com/documents/?uuid=6478f631-219b-3c86-a258-1ca6bf384a85"]}],"mendeley":{"formattedCitation":"Griffith et al., 2009; Hadcock et al., 2010","plainTextFormattedCitation":"Griffith et al., 2009; Hadcock et al., 2010","previouslyFormattedCitation":"(Griffith et al., 2009; Hadcock et al., 2010)"},"properties":{"noteIndex":0},"schema":"https://github.com/citation-style-language/schema/raw/master/csl-citation.json"}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 xml:space="preserve">Griffith et al., 2009; </w:t>
            </w:r>
            <w:r w:rsidRPr="00DE7555">
              <w:rPr>
                <w:rFonts w:ascii="Times New Roman" w:hAnsi="Times New Roman" w:cs="Times New Roman"/>
                <w:noProof/>
                <w:lang w:val="en-GB"/>
              </w:rPr>
              <w:lastRenderedPageBreak/>
              <w:t>Hadcock et al., 2010</w:t>
            </w:r>
            <w:r w:rsidRPr="00DE7555">
              <w:rPr>
                <w:rFonts w:ascii="Times New Roman" w:hAnsi="Times New Roman" w:cs="Times New Roman"/>
                <w:lang w:val="en-GB"/>
              </w:rPr>
              <w:fldChar w:fldCharType="end"/>
            </w:r>
          </w:p>
        </w:tc>
      </w:tr>
      <w:tr w:rsidR="00043312" w:rsidRPr="00DE7555" w14:paraId="14E23597" w14:textId="77777777" w:rsidTr="00DE7555">
        <w:tc>
          <w:tcPr>
            <w:tcW w:w="0" w:type="auto"/>
          </w:tcPr>
          <w:p w14:paraId="196734B0" w14:textId="62AA1448"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lastRenderedPageBreak/>
              <w:t>pepcan-12</w:t>
            </w:r>
          </w:p>
        </w:tc>
        <w:tc>
          <w:tcPr>
            <w:tcW w:w="0" w:type="auto"/>
          </w:tcPr>
          <w:p w14:paraId="275D08E0" w14:textId="6C794E94"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5.01-7.94</w:t>
            </w:r>
          </w:p>
        </w:tc>
        <w:tc>
          <w:tcPr>
            <w:tcW w:w="0" w:type="auto"/>
          </w:tcPr>
          <w:p w14:paraId="7DB68F01" w14:textId="187EF53E"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99B25B5" w14:textId="7B94A365"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negative allosteric modulator</w:t>
            </w:r>
          </w:p>
        </w:tc>
        <w:tc>
          <w:tcPr>
            <w:tcW w:w="0" w:type="auto"/>
          </w:tcPr>
          <w:p w14:paraId="372A310C" w14:textId="02D79402"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17CACFA" w14:textId="2C746F25"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92149EC" w14:textId="56B89B24"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8A8719F" w14:textId="3019D75E"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D3DBF57" w14:textId="31D4131B"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 xml:space="preserve">ADDIN CSL_CITATION {"citationItems":[{"id":"ITEM-1","itemData":{"DOI":"10.1074/jbc.M112.382481","PMID":"22952224","abstract":"The α-hemoglobin-derived dodecapeptide RVD-hemopressin (RVDPVNFKLLSH) has been proposed to be an endogenous agonist for the cannabinoid receptor type 1 (CB(1)). To study this peptide, we have raised mAbs against its C-terminal part. Using an immunoaffinity mass spectrometry approach, a whole family of N-terminally extended peptides in addition to RVD-Hpα were identified in rodent brain extracts and human and mouse plasma. We designated these peptides Pepcan-12 (RVDPVNFKLLSH) to Pepcan-23 (SALSDLHAHKLRVDPVNFKLLSH), referring to peptide length. The most abundant Pepcans found in the brain were tested for CB(1) receptor binding. In the classical radioligand displacement assay, Pepcan-12 was the most efficacious ligand but only partially displaced both [(3)H]CP55,940 and [(3)H]WIN55,212-2. The data were fitted with the allosteric ternary complex model, revealing a cooperativity factor value α &lt; 1, thus indicating a negative allosteric modulation. Dissociation kinetic studies of [(3)H]CP55,940 in the absence and presence of Pepcan-12 confirmed these results by showing increased dissociation rate constants induced by Pepcan-12. A fluorescently labeled Pepcan-12 analog was synthesized to investigate the binding to CB(1) receptors. Competition binding studies revealed K(i) values of several Pepcans in the nanomolar range. Accordingly, using competitive ELISA, we found low nanomolar concentrations of Pepcans in human plasma and </w:instrText>
            </w:r>
            <w:r w:rsidRPr="00DE7555">
              <w:rPr>
                <w:rFonts w:ascii="MS Mincho" w:eastAsia="MS Mincho" w:hAnsi="MS Mincho" w:cs="MS Mincho"/>
                <w:lang w:val="en-GB"/>
              </w:rPr>
              <w:instrText>∼</w:instrText>
            </w:r>
            <w:r w:rsidRPr="00DE7555">
              <w:rPr>
                <w:rFonts w:ascii="Times New Roman" w:hAnsi="Times New Roman" w:cs="Times New Roman"/>
                <w:lang w:val="en-GB"/>
              </w:rPr>
              <w:instrText>100 pmol/g in mouse brain. Surprisingly, Pepcan-12 exhibited potent negative allosteric modulation of the orthosteric agonist-induced cAMP accumulation, [(35)S]GTPγS binding, and CB(1) receptor internalization. Pepcans are the first endogenous allosteric modulators identified for CB(1) receptors. Given their abundance in the brain, Pepcans could play an important physiological role in modulating endocannabinoid signaling.","author":[{"dropping-particle":"","family":"Bauer","given":"Mark","non-dropping-particle":"","parse-names":false,"suffix":""},{"dropping-particle":"","family":"Chicca","given":"Andrea","non-dropping-particle":"","parse-names":false,"suffix":""},{"dropping-particle":"","family":"Tamborrini","given":"Marco","non-dropping-particle":"","parse-names":false,"suffix":""},{"dropping-particle":"","family":"Eisen","given":"David","non-dropping-particle":"","parse-names":false,"suffix":""},{"dropping-particle":"","family":"Lerner","given":"Raissa","non-dropping-particle":"","parse-names":false,"suffix":""},{"dropping-particle":"","family":"Lutz","given":"Beat","non-dropping-particle":"","parse-names":false,"suffix":""},{"dropping-particle":"","family":"Poetz","given":"Oliver","non-dropping-particle":"","parse-names":false,"suffix":""},{"dropping-particle":"","family":"Pluschke","given":"Gerd","non-dropping-particle":"","parse-names":false,"suffix":""},{"dropping-particle":"","family":"Gertsch","given":"Jürg","non-dropping-particle":"","parse-names":false,"suffix":""}],"container-title":"Journal of Biological Chemistry","id":"ITEM-1","issue":"44","issued":{"date-parts":[["2012","10","26"]]},"page":"36944-36967","title":"Identification and Quantification of a New Family of Peptide Endocannabinoids (Pepcans) Showing Negative Allosteric Modulation at CB1 Receptors","type":"article-journal","volume":"287"},"uris":["http://www.mendeley.com/documents/?uuid=382a7cab-cd1e-3e9c-af97-6124cf5900c7"]}],"mendeley":{"formattedCitation":"Bauer et al., 2012","plainTextFormattedCitation":"Bauer et al., 2012","previouslyFormattedCitation":"(Bauer et al., 2012)"},"properties":{"noteIndex":0},"schema":"https://github.com/citation-style-language/schema/raw/master/csl-citation.json"}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Bauer et al., 2012</w:t>
            </w:r>
            <w:r w:rsidRPr="00DE7555">
              <w:rPr>
                <w:rFonts w:ascii="Times New Roman" w:hAnsi="Times New Roman" w:cs="Times New Roman"/>
                <w:lang w:val="en-GB"/>
              </w:rPr>
              <w:fldChar w:fldCharType="end"/>
            </w:r>
          </w:p>
        </w:tc>
      </w:tr>
      <w:tr w:rsidR="00043312" w:rsidRPr="00DE7555" w14:paraId="2125E00F" w14:textId="77777777" w:rsidTr="00DE7555">
        <w:tc>
          <w:tcPr>
            <w:tcW w:w="0" w:type="auto"/>
          </w:tcPr>
          <w:p w14:paraId="48F9368F" w14:textId="5169271F"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PSNCBAM-1</w:t>
            </w:r>
          </w:p>
        </w:tc>
        <w:tc>
          <w:tcPr>
            <w:tcW w:w="0" w:type="auto"/>
          </w:tcPr>
          <w:p w14:paraId="1BAEF3F4" w14:textId="3152859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0D6B78F7" w14:textId="1ACC2CBA"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45; 209</w:t>
            </w:r>
          </w:p>
        </w:tc>
        <w:tc>
          <w:tcPr>
            <w:tcW w:w="0" w:type="auto"/>
          </w:tcPr>
          <w:p w14:paraId="360E0E6B" w14:textId="1DD7FDF3"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negative allosteric modulator</w:t>
            </w:r>
          </w:p>
        </w:tc>
        <w:tc>
          <w:tcPr>
            <w:tcW w:w="0" w:type="auto"/>
          </w:tcPr>
          <w:p w14:paraId="21D18F9D" w14:textId="70E126ED"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F9950A4" w14:textId="5F8A863C"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˃10,000</w:t>
            </w:r>
          </w:p>
        </w:tc>
        <w:tc>
          <w:tcPr>
            <w:tcW w:w="0" w:type="auto"/>
          </w:tcPr>
          <w:p w14:paraId="77B2F243" w14:textId="7513D456"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F7F47CF" w14:textId="07EAEB20"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BD54E33" w14:textId="07C3DFC4"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{"citationItems":[{"id":"ITEM-1","itemData":{"DOI":"10.1021/jm501042u","ISSN":"1520-4804","PMID":"25162172","abstract":"The recent discovery of allosteric modulators of the CB1 receptor including PSNCBAM-1 (4) has generated significant interest in CB1 receptor allosteric modulation. Here in the first SAR study on 4, we have designed and synthesized a series of analogs focusing on modifications at two positions. Pharmacological evaluation in calcium mobilization and binding assays revealed the importance of alkyl substitution at the 2-aminopyridine moiety and electron deficient aromatic groups at the 4-chlorophenyl position for activity at the CB1 receptor, resulting in several analogs with comparable potency to 4. These compounds increased the specific binding of [(3)H]CP55,940, in agreement with previous reports. Importantly, 4 and two analogs dose-dependently reduced the Emax of the agonist curve in the CB1 calcium mobilization assays, confirming their negative allosteric modulator characteristics. Given the side effects associated with CB1 receptor orthosteric antagonists, negative allosteric modulators provide an alternative approach to modulate the pharmacologically important CB1 receptor.","author":[{"dropping-particle":"","family":"German","given":"Nadezhda","non-dropping-particle":"","parse-names":false,"suffix":""},{"dropping-particle":"","family":"Decker","given":"Ann M","non-dropping-particle":"","parse-names":false,"suffix":""},{"dropping-particle":"","family":"Gilmour","given":"Brian P","non-dropping-particle":"","parse-names":false,"suffix":""},{"dropping-particle":"","family":"Gay","given":"Elaine A","non-dropping-particle":"","parse-names":false,"suffix":""},{"dropping-particle":"","family":"Wiley","given":"Jenny L","non-dropping-particle":"","parse-names":false,"suffix":""},{"dropping-particle":"","family":"Thomas","given":"Brian F","non-dropping-particle":"","parse-names":false,"suffix":""},{"dropping-particle":"","family":"Zhang","given":"Yanan","non-dropping-particle":"","parse-names":false,"suffix":""}],"container-title":"Journal of medicinal chemistry","id":"ITEM-1","issue":"18","issued":{"date-parts":[["2014","9","25"]]},"page":"7758-69","publisher":"American Chemical Society","title":"Diarylureas as allosteric modulators of the cannabinoid CB1 receptor: structure-activity relationship studies on 1-(4-chlorophenyl)-3-{3-[6-(pyrrolidin-1-yl)pyridin-2-yl]phenyl}urea (PSNCBAM-1).","type":"article-journal","volume":"57"},"uris":["http://www.mendeley.com/documents/?uuid=75a641c6-6453-3f19-9e88-bfcbc6476a91"]},{"id":"ITEM-2","itemData":{"DOI":"10.1038/sj.bjp.0707347","ISSN":"0007-1188","PMID":"17592509","abstract":"BACKGROUND AND PURPOSE Rimonabant (Acomplia, SR141716A), a cannabinoid CB1 receptor inverse agonist, has recently been approved for the treatment of obesity. There are, however, concerns regarding its side effect profile. Developing a CB1 antagonist with a different pharmacological mechanism may lead to a safer alternative. To this end we have screened a proprietary small molecule library and have discovered a novel class of allosteric antagonist at CB1 receptors. Herein, we have characterized an optimized prototypical molecule, PSNCBAM-1, and its hypophagic effects in vivo. EXPERIMENTAL APPROACH A CB1 yeast reporter assay was used as a primary screen. PSNCBAM-1 was additionally characterized in [35S]-GTPgammaS, cAMP and radioligand binding assays. An acute rat feeding model was used to evaluate its effects on food intake and body weight in vivo. KEY RESULTS In CB1 receptor yeast reporter assays, PSNCBAM-1 blocked the effects induced by agonists such as CP55,940, WIN55212-2, anandamide (AEA) or 2-arachidonoyl glycerol (2-AG). The antagonist characteristics of PSNCBAM-1 were confirmed in [35S]-GTPgammaS binding and cAMP assays and was shown to be non-competitive by Schild analyses. PSNCBAM-1 did not affect CB2 receptors. In radioligand binding assays, PSNCBAM-1 increased the binding of [3H]CP55,940 despite its antagonist effects. In an acute rat feeding model, PSNCBAM-1 decreased food intake and body weight. CONCLUSIONS AND IMPLICATIONS PSNCBAM-1 exerted its effects through selective allosteric modulation of the CB1 receptor. The acute effects on food intake and body weight induced in rats provide a first report of in vivo activity for an allosteric CB1 receptor antagonist.","author":[{"dropping-particle":"","family":"Horswill","given":"J G","non-dropping-particle":"","parse-names":false,"suffix":""},{"dropping-particle":"","family":"Bali","given":"U","non-dropping-particle":"","parse-names":false,"suffix":""},{"dropping-particle":"","family":"Shaaban","given":"S","non-dropping-particle":"","parse-names":false,"suffix":""},{"dropping-particle":"","family":"Keily","given":"J F","non-dropping-particle":"","parse-names":false,"suffix":""},{"dropping-particle":"","family":"Jeevaratnam","given":"P","non-dropping-particle":"","parse-names":false,"suffix":""},{"dropping-particle":"","family":"Babbs","given":"A J","non-dropping-particle":"","parse-names":false,"suffix":""},{"dropping-particle":"","family":"Reynet","given":"C","non-dropping-particle":"","parse-names":false,"suffix":""},{"dropping-particle":"","family":"Wong Kai In","given":"P","non-dropping-particle":"","parse-names":false,"suffix":""}],"container-title":"British journal of pharmacology","id":"ITEM-2","issue":"5","issued":{"date-parts":[["2007","11"]]},"page":"805-14","publisher":"Wiley-Blackwell","title":"PSNCBAM-1, a novel allosteric antagonist at cannabinoid CB1 receptors with hypophagic effects in rats.","type":"article-journal","volume":"152"},"uris":["http://www.mendeley.com/documents/?uuid=060124a7-9d1e-328f-b6e4-f329dcbddd24"]}],"mendeley":{"formattedCitation":"German et al., 2014; Horswill et al., 2007","plainTextFormattedCitation":"German et al., 2014; Horswill et al., 2007","previouslyFormattedCitation":"(German et al., 2014; Horswill et al., 2007)"},"properties":{"noteIndex":0},"schema":"https://github.com/citation-style-language/schema/raw/master/csl-citation.json"}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German et al., 2014; Horswill et al., 2007</w:t>
            </w:r>
            <w:r w:rsidRPr="00DE7555">
              <w:rPr>
                <w:rFonts w:ascii="Times New Roman" w:hAnsi="Times New Roman" w:cs="Times New Roman"/>
                <w:lang w:val="en-GB"/>
              </w:rPr>
              <w:fldChar w:fldCharType="end"/>
            </w:r>
          </w:p>
        </w:tc>
      </w:tr>
      <w:tr w:rsidR="00043312" w:rsidRPr="008178CC" w14:paraId="3EBBB738" w14:textId="77777777" w:rsidTr="00DE7555">
        <w:tc>
          <w:tcPr>
            <w:tcW w:w="0" w:type="auto"/>
          </w:tcPr>
          <w:p w14:paraId="4B410023" w14:textId="77777777"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rimonabant </w:t>
            </w:r>
          </w:p>
          <w:p w14:paraId="2B21EB8B" w14:textId="17AF10B1"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 xml:space="preserve">aka SR141716A </w:t>
            </w:r>
          </w:p>
        </w:tc>
        <w:tc>
          <w:tcPr>
            <w:tcW w:w="0" w:type="auto"/>
          </w:tcPr>
          <w:p w14:paraId="4F56095D" w14:textId="00C1DC51"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1.8–12.3</w:t>
            </w:r>
          </w:p>
        </w:tc>
        <w:tc>
          <w:tcPr>
            <w:tcW w:w="0" w:type="auto"/>
          </w:tcPr>
          <w:p w14:paraId="0C5D4284" w14:textId="528C15E8"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CDECCDB" w14:textId="282DD2CA"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antagonist/inverse agonist</w:t>
            </w:r>
          </w:p>
        </w:tc>
        <w:tc>
          <w:tcPr>
            <w:tcW w:w="0" w:type="auto"/>
          </w:tcPr>
          <w:p w14:paraId="32B214C5" w14:textId="29831E3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514–13,200</w:t>
            </w:r>
          </w:p>
        </w:tc>
        <w:tc>
          <w:tcPr>
            <w:tcW w:w="0" w:type="auto"/>
          </w:tcPr>
          <w:p w14:paraId="51B2BABB" w14:textId="3860DA2C"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CD13E88" w14:textId="3EA68B55"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4D39730" w14:textId="1BF1704F"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t>GPR55</w:t>
            </w:r>
          </w:p>
        </w:tc>
        <w:tc>
          <w:tcPr>
            <w:tcW w:w="0" w:type="auto"/>
          </w:tcPr>
          <w:p w14:paraId="6B1C7B86" w14:textId="59DCC972"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0014-5793(94)00773-X","ISSN":"00145793","author":[{"dropping-particle":"","family":"Rinaldi-Carmona","given":"Murielle","non-dropping-particle":"","parse-names":false,"suffix":""},{"dropping-particle":"","family":"Barth","given":"Francis","non-dropping-particle":"","parse-names":false,"suffix":""},{"dropping-particle":"","family":"Héaulme","given":"Michel","non-dropping-particle":"","parse-names":false,"suffix":""},{"dropping-particle":"","family":"Shire","given":"David","non-dropping-particle":"","parse-names":false,"suffix":""},{"dropping-particle":"","family":"Calandra","given":"Bernard","non-dropping-particle":"","parse-names":false,"suffix":""},{"dropping-particle":"","family":"Congy","given":"Christian","non-dropping-particle":"","parse-names":false,"suffix":""},{"dropping-particle":"","family":"Martinez","given":"Serge","non-dropping-particle":"","parse-names":false,"suffix":""},{"dropping-particle":"","family":"Maruani","given":"Jeanne","non-dropping-particle":"","parse-names":false,"suffix":""},{"dropping-particle":"","family":"Néliat","given":"Gervais","non-dropping-particle":"","parse-names":false,"suffix":""},{"dropping-particle":"","family":"Caput","given":"Daniel","non-dropping-particle":"","parse-names":false,"suffix":""},{"dropping-particle":"","family":"Ferrara","given":"Pascual","non-dropping-particle":"","parse-names":false,"suffix":""},{"dropping-particle":"","family":"Soubrié","given":"Philippe","non-dropping-particle":"","parse-names":false,"suffix":""},{"dropping-particle":"","family":"Brelière","given":"Jean Claude","non-dropping-particle":"","parse-names":false,"suffix":""},{"dropping-particle":"","family":"Fur","given":"Gérard","non-dropping-particle":"Le","parse-names":false,"suffix":""}],"container-title":"FEBS Letters","id":"ITEM-1","issue":"2-3","issued":{"date-parts":[["1994","8","22"]]},"page":"240-244","publisher":"John Wiley &amp; Sons, Ltd","title":"SR141716A, a potent and selective antagonist of the brain cannabinoid receptor","type":"article-journal","volume":"350"},"uris":["http://www.mendeley.com/documents/?uuid=e30ef9fb-ca86-3b3f-81cf-7543dbd65e53"]},{"id":"ITEM-2","itemData":{"DOI":"10.1124/jpet.110.172650","ISSN":"1521-0103","PMID":"21233197","abstract":"GPR55 is a G protein-coupled receptor activated by L-α-lysophosphatidylinositol and suggested to have roles in pain signaling, bone morphogenesis, and possibly in vascular endothelial cells. It has affinity for certain cannabinoids (molecules that interact with the cannabinoid CB(1) and CB(2) receptors), but investigation of its functional role in cell-based systems and in tissue has been limited by a lack of selective pharmacological tools. Here, we present our characterization of GPR55 in the yeast Saccharomyces cerevisiae and in human embryonic kidney (HEK293) cells. We describe GSK494581A (1-{2-fluoro-4-[1-(methyloxy)ethyl]phenyl}-4-{[4'-fluoro-4-(methylsulfonyl)-2-biphenylyl]carbonyl}piperazine), a selective small-molecule ligand of GPR55 identified through diversity screening. GSK494581A is one of a series of benzoylpiperazines originally identified and patented as inhibitors of the glycine transporter subtype 1 (GlyT1). The structure-activity relationship between GPR55 and GlyT1 is divergent across this series. The most GPR55-selective example is GSK575594A (3-fluoro-4-(4-{[4'-fluoro-4-(methylsulfonyl)-2-biphenylyl]carbonyl}-1-piperazinyl)aniline), which is approximately 60-fold selective for GPR55 (pEC(50) = 6.8) over GlyT1 (pIC(50) = 5.0). Several exemplars with activity at GPR55 and GlyT1 have been profiled at a broad range of other molecular targets and are inactive at cannabinoid receptors and all other targets tested. The benzoylpiperazine agonists activate human GPR55 but not rodent GPR55, suggesting that the relatively low level of sequence identity between these orthologs (75%) translates to important functional differences in the ligand-binding site.","author":[{"dropping-particle":"","family":"Brown","given":"Andrew J","non-dropping-particle":"","parse-names":false,"suffix":""},{"dropping-particle":"","family":"Daniels","given":"Dion A","non-dropping-particle":"","parse-names":false,"suffix":""},{"dropping-particle":"","family":"Kassim","given":"Mumta","non-dropping-particle":"","parse-names":false,"suffix":""},{"dropping-particle":"","family":"Brown","given":"Sue","non-dropping-particle":"","parse-names":false,"suffix":""},{"dropping-particle":"","family":"Haslam","given":"Carl P","non-dropping-particle":"","parse-names":false,"suffix":""},{"dropping-particle":"","family":"Terrell","given":"Victoria R","non-dropping-particle":"","parse-names":false,"suffix":""},{"dropping-particle":"","family":"Brown","given":"Jason","non-dropping-particle":"","parse-names":false,"suffix":""},{"dropping-particle":"","family":"Nichols","given":"Paula L","non-dropping-particle":"","parse-names":false,"suffix":""},{"dropping-particle":"","family":"Staton","given":"Penny C","non-dropping-particle":"","parse-names":false,"suffix":""},{"dropping-particle":"","family":"Wise","given":"Alan","non-dropping-particle":"","parse-names":false,"suffix":""},{"dropping-particle":"","family":"Dowell","given":"Simon J","non-dropping-particle":"","parse-names":false,"suffix":""}],"container-title":"The Journal of pharmacology and experimental therapeutics","id":"ITEM-2","issue":"1","issued":{"date-parts":[["2011","4","1"]]},"page":"236-46","publisher":"American Society for Pharmacology and Experimental Therapeutics","title":"Pharmacology of GPR55 in yeast and identification of GSK494581A as a mixed-activity glycine transporter subtype 1 inhibitor and GPR55 agonist.","type":"article-journal","volume":"337"},"uris":["http://www.mendeley.com/documents/?uuid=c1c45782-22c1-3a7c-ac1c-384a98692176"]}],"mendeley":{"formattedCitation":"Brown et al., 2011; Rinaldi-Carmona et al., 1994","plainTextFormattedCitation":"Brown et al., 2011; Rinaldi-Carmona et al., 1994","previouslyFormattedCitation":"(Brown et al., 2011; Rinaldi-Carmona et al., 1994)"},"properties":{"noteIndex":0},"schema":"https://github.com/citation-style-language/schema/raw/master/csl-citation.json"}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Brown et al., 2011; Rinaldi-Carmona et al., 1994</w:t>
            </w:r>
            <w:r w:rsidRPr="00DE7555">
              <w:rPr>
                <w:rFonts w:ascii="Times New Roman" w:hAnsi="Times New Roman" w:cs="Times New Roman"/>
                <w:lang w:val="en-GB"/>
              </w:rPr>
              <w:fldChar w:fldCharType="end"/>
            </w:r>
          </w:p>
        </w:tc>
      </w:tr>
      <w:tr w:rsidR="00043312" w:rsidRPr="00DE7555" w14:paraId="7867CD8B" w14:textId="77777777" w:rsidTr="00DE7555">
        <w:tc>
          <w:tcPr>
            <w:tcW w:w="0" w:type="auto"/>
          </w:tcPr>
          <w:p w14:paraId="6F820D01" w14:textId="77777777" w:rsidR="00043312" w:rsidRPr="00DE7555" w:rsidRDefault="00043312" w:rsidP="00724E70">
            <w:pPr>
              <w:rPr>
                <w:rFonts w:ascii="Times New Roman" w:hAnsi="Times New Roman" w:cs="Times New Roman"/>
                <w:lang w:val="en-GB"/>
              </w:rPr>
            </w:pPr>
            <w:proofErr w:type="spellStart"/>
            <w:r w:rsidRPr="00DE7555">
              <w:rPr>
                <w:rFonts w:ascii="Times New Roman" w:hAnsi="Times New Roman" w:cs="Times New Roman"/>
                <w:lang w:val="en-GB"/>
              </w:rPr>
              <w:t>surinabant</w:t>
            </w:r>
            <w:proofErr w:type="spellEnd"/>
          </w:p>
          <w:p w14:paraId="4D608FC0" w14:textId="6B39C08B"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aka SR147778</w:t>
            </w:r>
          </w:p>
        </w:tc>
        <w:tc>
          <w:tcPr>
            <w:tcW w:w="0" w:type="auto"/>
          </w:tcPr>
          <w:p w14:paraId="0C7794C4" w14:textId="0CA5C3F0"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0.56; 3.5</w:t>
            </w:r>
          </w:p>
        </w:tc>
        <w:tc>
          <w:tcPr>
            <w:tcW w:w="0" w:type="auto"/>
          </w:tcPr>
          <w:p w14:paraId="131F25A8" w14:textId="7F9D9A67"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A3B4CC9" w14:textId="1FED07E3"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antagonist</w:t>
            </w:r>
          </w:p>
        </w:tc>
        <w:tc>
          <w:tcPr>
            <w:tcW w:w="0" w:type="auto"/>
          </w:tcPr>
          <w:p w14:paraId="6292D8C6" w14:textId="36F1572D"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400</w:t>
            </w:r>
          </w:p>
        </w:tc>
        <w:tc>
          <w:tcPr>
            <w:tcW w:w="0" w:type="auto"/>
          </w:tcPr>
          <w:p w14:paraId="6750BB48" w14:textId="101F10C8"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3D73F3AD" w14:textId="56EC0EE9"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36931F43" w14:textId="0AB4736C"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4ED2315" w14:textId="29633856" w:rsidR="00043312" w:rsidRPr="00DE7555" w:rsidRDefault="00043312" w:rsidP="00E5612A">
            <w:pPr>
              <w:rPr>
                <w:rFonts w:ascii="Times New Roman" w:hAnsi="Times New Roman" w:cs="Times New Roman"/>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{"citationItems":[{"id":"ITEM-1","itemData":{"DOI":"10.1124/jpet.104.067884","ISSN":"0022-3565","PMID":"15131245","abstract":"Based on binding, functional, and pharmacological data, this study introduces SR147778 [5-(4-bromophenyl)-1-(2,4-dichloro-phenyl)-4-ethyl-N-(1-piperidinyl)-1H-pyrazole-3-carboxamide] as a highly potent, selective, and orally active antagonist for the CB1 receptor. This compound displays nanomolar affinity (Ki = 0.56 and 3.5 nM) for both the rat brain and human CB1 recombinant receptors, respectively. It has low affinity (Ki = 400 nM) for both the rat spleen and human CB2 receptors. Furthermore, it shows no affinity for any of the over 100 targets investigated (IC50 &gt; 1 microM). In vitro, SR147778 antagonizes the inhibitory effects of CP 55,940 [(1R,3R,4R)-3-[2-hydroxy-4-(1,1-dimethylheptyl)phenyl]-4-(3-hydroxypropyl)cyclohexan-1-ol] on both the mouse vas deferens contractions (pA2 value = 8.1) and on forskolin-stimulated adenylyl cyclase activity in the U373 MG cell lines (pA2 value = 8.2) but not in Chinese hamster ovary (CHO) cells permanently expressing the human peripheral cannabinoid receptor (hCB2). SR147778 is able to block the mitogen-activated protein kinase activity induced by CP 55,940 in the CHO cell line expressing human brain cannabinoid receptor (IC50 = 9.6 nM) but was inactive in cells expressing hCB2. After oral administration, SR147778 displaced the ex vivo [3H]-CP 55,940 binding to mouse brain membranes (ED50 = 3.8 mg/kg) with a long duration of action, whereas it did not interact with the CB2 receptor expressed in the mouse spleen. Using different routes of administration, SR147778 (0.3-3 mg/kg) is shown to antagonize pharmacological effects (hypothermia, analgesia, and gastrointestinal transit) induced by R-(+)-(2,3-dihydro-5-methyl-3-[[4-morpholinyl]methyl] pyrol [1,2,3-de]-1,4-benzoxazin-6-yl)(1-naphthalenyl) methanone in mice. Finally, per se, SR147778 (0.3-10 mg/kg) is able to reduce ethanol or sucrose consumption in mice and rats and food intake in fasted and nondeprived rats.","author":[{"dropping-particle":"","family":"Rinaldi-Carmona","given":"M.","non-dropping-particle":"","parse-names":false,"suffix":""},{"dropping-particle":"","family":"Barth","given":"Francis","non-dropping-particle":"","parse-names":false,"suffix":""},{"dropping-particle":"","family":"Congy","given":"Christian","non-dropping-particle":"","parse-names":false,"suffix":""},{"dropping-particle":"","family":"Martinez","given":"Serge","non-dropping-particle":"","parse-names":false,"suffix":""},{"dropping-particle":"","family":"Oustric","given":"Didier","non-dropping-particle":"","parse-names":false,"suffix":""},{"dropping-particle":"","family":"Pério","given":"Alain","non-dropping-particle":"","parse-names":false,"suffix":""},{"dropping-particle":"","family":"Poncelet","given":"Mart</w:instrText>
            </w:r>
            <w:r w:rsidRPr="00DE7555">
              <w:rPr>
                <w:rFonts w:ascii="Times New Roman" w:hAnsi="Times New Roman" w:cs="Times New Roman"/>
              </w:rPr>
              <w:instrText>ine","non-dropping-particle":"","parse-names":false,"suffix":""},{"dropping-particle":"","family":"Maruani","given":"Jeanne","non-dropping-particle":"","parse-names":false,"suffix":""},{"dropping-particle":"","family":"Arnone","given":"Michèle","non-dropping-particle":"","parse-names":false,"suffix":""},{"dropping-particle":"","family":"Finance","given":"Olivier","non-dropping-particle":"","parse-names":false,"suffix":""},{"dropping-particle":"","family":"Soubrié","given":"Philippe","non-dropping-particle":"","parse-names":false,"suffix":""},{"dropping-particle":"","family":"Fur","given":"Gérard","non-dropping-particle":"Le","parse-names":false,"suffix":""}],"container-title":"Journal of Pharmacology and Experimental Therapeutics","id":"ITEM-1","issue":"3","issued":{"date-parts":[["2004","5","6"]]},"page":"905-914","title":"SR147778 [5-(4-Bromophenyl)-1-(2,4-dichlorophenyl)-4-ethyl-N-(1-piperidinyl)-1H-pyrazole-3-carboxamide], a New Potent and Selective Antagonist of the CB1 Cannabinoid Receptor: Biochemical and Pharmacological Characterization","type":"article-journal","volume":"310"},"uris":["http://www.mendeley.com/documents/?uuid=e5f71afb-ba24-305e-b1c0-c37b178907a4"]}],"mendeley":{"formattedCitation":"Rinaldi-Carmona et al., 2004","plainTextFormattedCitation":"Rinaldi-Carmona et al., 2004","previouslyFormattedCitation":"(Rinaldi-Carmona et al., 2004)"},"properties":{"noteIndex":0},"schema":"https://github.com/citation-style-language/schema/raw/master/csl-citation.json"}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rPr>
              <w:t>Rinaldi-Carmona et al., 2004</w:t>
            </w:r>
            <w:r w:rsidRPr="00DE7555">
              <w:rPr>
                <w:rFonts w:ascii="Times New Roman" w:hAnsi="Times New Roman" w:cs="Times New Roman"/>
                <w:lang w:val="en-GB"/>
              </w:rPr>
              <w:fldChar w:fldCharType="end"/>
            </w:r>
          </w:p>
        </w:tc>
      </w:tr>
      <w:tr w:rsidR="00043312" w:rsidRPr="00DE7555" w14:paraId="23E21D55" w14:textId="77777777" w:rsidTr="00DE7555">
        <w:tc>
          <w:tcPr>
            <w:tcW w:w="0" w:type="auto"/>
          </w:tcPr>
          <w:p w14:paraId="14B0EAC4" w14:textId="4BF600F7" w:rsidR="00043312" w:rsidRPr="00DE7555" w:rsidRDefault="00043312" w:rsidP="00724E70">
            <w:pPr>
              <w:rPr>
                <w:rFonts w:ascii="Times New Roman" w:hAnsi="Times New Roman" w:cs="Times New Roman"/>
              </w:rPr>
            </w:pPr>
            <w:r w:rsidRPr="00DE7555">
              <w:rPr>
                <w:rFonts w:ascii="Times New Roman" w:hAnsi="Times New Roman" w:cs="Times New Roman"/>
              </w:rPr>
              <w:t>TM-38837</w:t>
            </w:r>
          </w:p>
        </w:tc>
        <w:tc>
          <w:tcPr>
            <w:tcW w:w="0" w:type="auto"/>
          </w:tcPr>
          <w:p w14:paraId="622B0CF6" w14:textId="26450F6D" w:rsidR="00043312" w:rsidRPr="00DE7555" w:rsidRDefault="00043312" w:rsidP="00E5612A">
            <w:pPr>
              <w:jc w:val="center"/>
              <w:rPr>
                <w:rFonts w:ascii="Times New Roman" w:hAnsi="Times New Roman" w:cs="Times New Roman"/>
              </w:rPr>
            </w:pPr>
            <w:proofErr w:type="spellStart"/>
            <w:r w:rsidRPr="00DE7555">
              <w:rPr>
                <w:rFonts w:ascii="Times New Roman" w:hAnsi="Times New Roman" w:cs="Times New Roman"/>
              </w:rPr>
              <w:t>nd</w:t>
            </w:r>
            <w:proofErr w:type="spellEnd"/>
          </w:p>
        </w:tc>
        <w:tc>
          <w:tcPr>
            <w:tcW w:w="0" w:type="auto"/>
          </w:tcPr>
          <w:p w14:paraId="3488B2A8" w14:textId="00FC4E2E" w:rsidR="00043312" w:rsidRPr="00DE7555" w:rsidRDefault="00043312" w:rsidP="00E5612A">
            <w:pPr>
              <w:jc w:val="center"/>
              <w:rPr>
                <w:rFonts w:ascii="Times New Roman" w:hAnsi="Times New Roman" w:cs="Times New Roman"/>
              </w:rPr>
            </w:pPr>
            <w:r w:rsidRPr="00DE7555">
              <w:rPr>
                <w:rFonts w:ascii="Times New Roman" w:hAnsi="Times New Roman" w:cs="Times New Roman"/>
              </w:rPr>
              <w:t>7.94</w:t>
            </w:r>
          </w:p>
        </w:tc>
        <w:tc>
          <w:tcPr>
            <w:tcW w:w="0" w:type="auto"/>
          </w:tcPr>
          <w:p w14:paraId="00B588B2" w14:textId="7D722148" w:rsidR="00043312" w:rsidRPr="00DE7555" w:rsidRDefault="00043312" w:rsidP="00E5612A">
            <w:pPr>
              <w:jc w:val="center"/>
              <w:rPr>
                <w:rFonts w:ascii="Times New Roman" w:hAnsi="Times New Roman" w:cs="Times New Roman"/>
              </w:rPr>
            </w:pPr>
            <w:proofErr w:type="spellStart"/>
            <w:r w:rsidRPr="00DE7555">
              <w:rPr>
                <w:rFonts w:ascii="Times New Roman" w:hAnsi="Times New Roman" w:cs="Times New Roman"/>
              </w:rPr>
              <w:t>antagonist</w:t>
            </w:r>
            <w:proofErr w:type="spellEnd"/>
          </w:p>
        </w:tc>
        <w:tc>
          <w:tcPr>
            <w:tcW w:w="0" w:type="auto"/>
          </w:tcPr>
          <w:p w14:paraId="289D1635" w14:textId="57610C73" w:rsidR="00043312" w:rsidRPr="00DE7555" w:rsidRDefault="00043312" w:rsidP="00E5612A">
            <w:pPr>
              <w:jc w:val="center"/>
              <w:rPr>
                <w:rFonts w:ascii="Times New Roman" w:hAnsi="Times New Roman" w:cs="Times New Roman"/>
              </w:rPr>
            </w:pPr>
            <w:proofErr w:type="spellStart"/>
            <w:r w:rsidRPr="00DE7555">
              <w:rPr>
                <w:rFonts w:ascii="Times New Roman" w:hAnsi="Times New Roman" w:cs="Times New Roman"/>
              </w:rPr>
              <w:t>nd</w:t>
            </w:r>
            <w:proofErr w:type="spellEnd"/>
          </w:p>
        </w:tc>
        <w:tc>
          <w:tcPr>
            <w:tcW w:w="0" w:type="auto"/>
          </w:tcPr>
          <w:p w14:paraId="3749BA50" w14:textId="6A61F3F5" w:rsidR="00043312" w:rsidRPr="00DE7555" w:rsidRDefault="00043312" w:rsidP="00E5612A">
            <w:pPr>
              <w:jc w:val="center"/>
              <w:rPr>
                <w:rFonts w:ascii="Times New Roman" w:hAnsi="Times New Roman" w:cs="Times New Roman"/>
              </w:rPr>
            </w:pPr>
            <w:r w:rsidRPr="00DE7555">
              <w:rPr>
                <w:rFonts w:ascii="Times New Roman" w:hAnsi="Times New Roman" w:cs="Times New Roman"/>
              </w:rPr>
              <w:t>630.9</w:t>
            </w:r>
          </w:p>
        </w:tc>
        <w:tc>
          <w:tcPr>
            <w:tcW w:w="0" w:type="auto"/>
          </w:tcPr>
          <w:p w14:paraId="3647CD09" w14:textId="41DE903D" w:rsidR="00043312" w:rsidRPr="00DE7555" w:rsidRDefault="00043312" w:rsidP="00E5612A">
            <w:pPr>
              <w:jc w:val="center"/>
              <w:rPr>
                <w:rFonts w:ascii="Times New Roman" w:hAnsi="Times New Roman" w:cs="Times New Roman"/>
              </w:rPr>
            </w:pPr>
            <w:proofErr w:type="spellStart"/>
            <w:r w:rsidRPr="00DE7555">
              <w:rPr>
                <w:rFonts w:ascii="Times New Roman" w:hAnsi="Times New Roman" w:cs="Times New Roman"/>
              </w:rPr>
              <w:t>antagonist</w:t>
            </w:r>
            <w:proofErr w:type="spellEnd"/>
          </w:p>
        </w:tc>
        <w:tc>
          <w:tcPr>
            <w:tcW w:w="0" w:type="auto"/>
          </w:tcPr>
          <w:p w14:paraId="2D69A4C1" w14:textId="2EE9BADF" w:rsidR="00043312" w:rsidRPr="00DE7555" w:rsidRDefault="00043312" w:rsidP="00E5612A">
            <w:pPr>
              <w:rPr>
                <w:rFonts w:ascii="Times New Roman" w:hAnsi="Times New Roman" w:cs="Times New Roman"/>
              </w:rPr>
            </w:pPr>
            <w:proofErr w:type="spellStart"/>
            <w:r w:rsidRPr="00DE7555">
              <w:rPr>
                <w:rFonts w:ascii="Times New Roman" w:hAnsi="Times New Roman" w:cs="Times New Roman"/>
              </w:rPr>
              <w:t>nd</w:t>
            </w:r>
            <w:proofErr w:type="spellEnd"/>
          </w:p>
        </w:tc>
        <w:tc>
          <w:tcPr>
            <w:tcW w:w="0" w:type="auto"/>
          </w:tcPr>
          <w:p w14:paraId="7D8CF6B9" w14:textId="7F31C5AC"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rPr>
              <w:instrText>ADDIN CSL_CITATION {"citationItems":[{"id":"ITEM-1","itemData":{"DOI":"10.1002/cmdc.201000246","ISSN":"18607179","PMID":"20652930","author":[{"dropping-particle":"","family":"Hung","given":"Ming-Shiu","non-dropping-particle":"","parse-names":false,"suffix":""},{"dropping-particle":"","family":"Chang","given":"Chun-Ping","non-dropping-particle":"","parse-names":false,"suffix":""},{"dropping-particle":"","family":"Li","given":"Ting-Chieh","non-dropping-particle":"","parse-names":false,"suffix":""},{"dropping-particle":"","family":"Yeh","given":"Teng-Kuang","non-dropping-particle":"","parse-names":false,"suffix":""},{"dropping-particle":"","family":"Song","given":"Jen-Shin","non-dropping-particle":"","parse-names":false,"suffix":""},{"dropping-particle":"","family":"Lin","given":"Yinchiu","non-dropping-particle":"","parse-names":false,"suffix":""},{"dropping-particle":"","family":"Wu","given":"Chien-Huang","non-dropping-particle":"","parse-names":false,"suffix":""},{"dropping-particle":"","family":"Kuo","given":"Po-Chu","non-dropping-particle":"","parse-names":false,"suffix":""},{"dropping-particle":"","family":"Amancha","given":"Prashanth K.","non-dropping-particle":"","parse-names":false,"suffix":""},{"dropping-particle":"","family":"Wong","given":"Ying-Chieh","non-dropping-particle":"","parse-names":false,"suffix":""},{"dropping-particle":"","family":"Hsiao","given":"Wen-Chi","non-dropping-pa</w:instrText>
            </w:r>
            <w:r w:rsidRPr="008178CC">
              <w:rPr>
                <w:rFonts w:ascii="Times New Roman" w:hAnsi="Times New Roman" w:cs="Times New Roman"/>
              </w:rPr>
              <w:instrText>rt</w:instrText>
            </w:r>
            <w:r w:rsidRPr="00DE7555">
              <w:rPr>
                <w:rFonts w:ascii="Times New Roman" w:hAnsi="Times New Roman" w:cs="Times New Roman"/>
                <w:lang w:val="en-GB"/>
              </w:rPr>
              <w:instrText>icle":"","parse-names":false,"suffix":""},{"dropping-particle":"","family":"Chao","given":"Yu-Sheng","non-dropping-particle":"","parse-names":false,"suffix":""},{"dropping-particle":"","family":"Shia","given":"Kak-Shan","non-dropping-particle":"","parse-names":false,"suffix":""}],"container-title":"ChemMedChem","id":"ITEM-1","issue":"9","issued":{"date-parts":[["2010","9","3"]]},"page":"1439-1443","title":"Discovery of 1-(2,4-Dichlorophenyl)-4-ethyl-5-(5-(2-(4-(trifluoromethyl)phenyl)ethynyl)thiophen-2-yl)-N-(piperidin-1-yl)-1H-pyrazole-3-carboxamide as a Potential Peripheral Cannabinoid-1 Receptor Inverse Agonist","type":"article-journal","volume":"5"},"uris":["http://www.mendeley.com/documents/?uuid=e59f8580-004f-3569-87d5-1ee481f7184b"]}],"mendeley":{"formattedCitation":"Hung et al., 2010","plainTextFormattedCitation":"Hung et al., 2010","previouslyFormattedCitation":"(Hung et al., 2010)"},"properties":{"noteIndex":0},"schema":"https://github.com/citation-style-language/schema/raw/master/csl-citation.json"}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Hung et al., 2010</w:t>
            </w:r>
            <w:r w:rsidRPr="00DE7555">
              <w:rPr>
                <w:rFonts w:ascii="Times New Roman" w:hAnsi="Times New Roman" w:cs="Times New Roman"/>
                <w:lang w:val="en-GB"/>
              </w:rPr>
              <w:fldChar w:fldCharType="end"/>
            </w:r>
          </w:p>
        </w:tc>
      </w:tr>
      <w:tr w:rsidR="00043312" w:rsidRPr="00DE7555" w14:paraId="63E94637" w14:textId="77777777" w:rsidTr="00DE7555">
        <w:tc>
          <w:tcPr>
            <w:tcW w:w="0" w:type="auto"/>
          </w:tcPr>
          <w:p w14:paraId="3EB3BAAE" w14:textId="4E880AE4" w:rsidR="00043312" w:rsidRPr="00DE7555" w:rsidRDefault="00043312" w:rsidP="00724E70">
            <w:pPr>
              <w:rPr>
                <w:rFonts w:ascii="Times New Roman" w:hAnsi="Times New Roman" w:cs="Times New Roman"/>
                <w:lang w:val="en-GB"/>
              </w:rPr>
            </w:pPr>
            <w:r w:rsidRPr="00DE7555">
              <w:rPr>
                <w:rFonts w:ascii="Times New Roman" w:hAnsi="Times New Roman" w:cs="Times New Roman"/>
                <w:lang w:val="en-GB"/>
              </w:rPr>
              <w:t>VCE-004.3</w:t>
            </w:r>
          </w:p>
        </w:tc>
        <w:tc>
          <w:tcPr>
            <w:tcW w:w="0" w:type="auto"/>
          </w:tcPr>
          <w:p w14:paraId="100D79F5" w14:textId="06354694"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2511.89</w:t>
            </w:r>
          </w:p>
        </w:tc>
        <w:tc>
          <w:tcPr>
            <w:tcW w:w="0" w:type="auto"/>
          </w:tcPr>
          <w:p w14:paraId="700C7030" w14:textId="12E62C7C"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595403FF" w14:textId="31D8CC12"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antagonist</w:t>
            </w:r>
          </w:p>
        </w:tc>
        <w:tc>
          <w:tcPr>
            <w:tcW w:w="0" w:type="auto"/>
          </w:tcPr>
          <w:p w14:paraId="2838C684" w14:textId="22AB5671"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199.53</w:t>
            </w:r>
          </w:p>
        </w:tc>
        <w:tc>
          <w:tcPr>
            <w:tcW w:w="0" w:type="auto"/>
          </w:tcPr>
          <w:p w14:paraId="25249125" w14:textId="3D28FEE1" w:rsidR="00043312" w:rsidRPr="00DE7555" w:rsidRDefault="00043312"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BAD4091" w14:textId="2C609BEF" w:rsidR="00043312" w:rsidRPr="00DE7555" w:rsidRDefault="00043312" w:rsidP="00E5612A">
            <w:pPr>
              <w:jc w:val="center"/>
              <w:rPr>
                <w:rFonts w:ascii="Times New Roman" w:hAnsi="Times New Roman" w:cs="Times New Roman"/>
                <w:lang w:val="en-GB"/>
              </w:rPr>
            </w:pPr>
            <w:r w:rsidRPr="00DE7555">
              <w:rPr>
                <w:rFonts w:ascii="Times New Roman" w:hAnsi="Times New Roman" w:cs="Times New Roman"/>
                <w:lang w:val="en-GB"/>
              </w:rPr>
              <w:t>agonist</w:t>
            </w:r>
          </w:p>
        </w:tc>
        <w:tc>
          <w:tcPr>
            <w:tcW w:w="0" w:type="auto"/>
          </w:tcPr>
          <w:p w14:paraId="06E0EE18" w14:textId="0341ECFA" w:rsidR="00043312" w:rsidRPr="00DE7555" w:rsidRDefault="00043312"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E1AC44A" w14:textId="3EE48841" w:rsidR="00043312" w:rsidRPr="00DE7555" w:rsidRDefault="00043312"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{"citationItems":[{"id":"ITEM-1","itemData":{"DOI":"10.1111/bph.14450","PMID":"30033591","abstract":"BACKGROUND AND PURPOSE The endocannabinoid system and PPARγ are important targets for the development of novel compounds against fibrotic diseases such as systemic sclerosis (SSc), also called scleroderma. The aim of this study was to characterize VCE-004.3, a novel cannabidiol derivative, and study its anti-inflammatory and anti-fibrotic activities. EXPERIMENTAL APPROACH The binding of VCE-004.3 to CB1 and CB2 receptors and PPARγ and its effect on their functional activities were studied in vitro and in silico. Anti-fibrotic effects of VCE-004.3 were investigated in NIH-3T3 fibroblasts and human dermal fibroblasts. To assess its anti-inflammatory and anti-fibrotic efficacy in vivo, we used two complementary models of bleomycin-induced fibrosis. Its effect on ERK1/2 phosphorylation induced by IgG from SSc patients and PDGF was also investigated. KEY RESULTS VCE-004.3 bound to and activated PPARγ and CB2 receptors and antagonized CB1 receptors. VCE-004.3 bound to an alternative site at the PPARγ ligand binding pocket. VCE-004.3 inhibited collagen gene transcription and synthesis and prevented TGFβ-induced fibroblast migration and differentiation to myofibroblasts. It prevented skin fibrosis, myofibroblast differentiation and ERK1/2 phosphorylation in bleomycin-induced skin fibrosis. Furthermore, it reduced mast cell degranulation, macrophage activation, T-lymphocyte infiltration, and the expression of inflammatory and profibrotic factors. Topical application of VCE-004.3 also alleviated skin fibrosis. Finally, VCE-004.3 inhibited PDGF-BB- and SSc IgG-induced ERK1/2 activation in fibroblasts. CONCLUSIONS AND IMPLICATIONS VCE-004.3 is a novel semisynthetic cannabidiol derivative that behaves as a dual PPARγ/CB2 agonist and CB1 receptor modulator that could be considered for the development of novel therapies against different forms of scleroderma.","author":[{"dropping-particle":"","family":"Rio","given":"Carmen","non-dropping-particle":"del","parse-names":false,"suffix":""},{"dropping-particle":"","family":"Cantarero","given":"Irene","non-dropping-particle":"","parse-names":false,"suffix":""},{"dropping-particle":"","family":"Palomares","given":"Belén","non-dropping-particle":"","parse-names":false,"suffix":""},{"dropping-particle":"","family":"Gómez-Cañas","given":"María","non-dropping-particle":"","parse-names":false,"suffix":""},{"dropping-particle":"","family":"Fernández-Ruiz","given":"Javier","non-dropping-particle":"","parse-names":false,"suffix":""},{"dropping-particle":"","family":"Pavicic","given":"Carolina","non-dropping-particle":"","parse-names":false,"suffix":""},{"dropping-particle":"","family":"García-Martín","given":"Adela","non-dropping-particle":"","parse-names":false,"suffix":""},{"dropping-particle":"","family":"Luz Bellido","given":"Maria","non-dropping-particle":</w:instrText>
            </w:r>
            <w:r w:rsidRPr="00DE7555">
              <w:rPr>
                <w:rFonts w:ascii="Times New Roman" w:hAnsi="Times New Roman" w:cs="Times New Roman"/>
              </w:rPr>
              <w:instrText>"","parse-names":false,"suffix":""},{"dropping-particle":"","family":"Ortega-Castro","given":"Rafaela","non-dropping-particle":"","parse-names":false,"suffix":""},{"dropping-particle":"","family":"Pérez-Sánchez","given":"Carlos","non-dropping-particle":"","parse-names":false,"suffix":""},{"dropping-particle":"","family":"López-Pedrera","given":"Chary","non-dropping-particle":"","parse-names":false,"suffix":""},{"dropping-particle":"","family":"Appendino","given":"Giovanni","non-dropping-particle":"","parse-names":false,"suffix":""},{"dropping-particle":"","family":"Calzado","given":"Marco A","non-dropping-particle":"","parse-names":false,"suffix":""},{"dropping-particle":"","family":"Muñoz","given":"Eduardo","non-dropping-particle":"","parse-names":false,"suffix":""}],"container-title":"British Journal of Pharmacology","id":"ITEM-1","issue":"19","issued":{"date-parts":[["2018","10"]]},"page":"3813-3831","title":"VCE-004.3, a cannabidiol aminoquinone derivative, prevents bleomycin-induced skin fibrosis and inflammation through PPAR</w:instrText>
            </w:r>
            <w:r w:rsidRPr="00DE7555">
              <w:rPr>
                <w:rFonts w:ascii="Times New Roman" w:hAnsi="Times New Roman" w:cs="Times New Roman"/>
                <w:lang w:val="en-GB"/>
              </w:rPr>
              <w:instrText>γ</w:instrText>
            </w:r>
            <w:r w:rsidRPr="00DE7555">
              <w:rPr>
                <w:rFonts w:ascii="Times New Roman" w:hAnsi="Times New Roman" w:cs="Times New Roman"/>
              </w:rPr>
              <w:instrText>- and CB2 receptor-dependent pathways","type":"article-journal","volume":"175"},"uris":["http://www.mendeley.com/documents/?uuid=398a6640-4de7-3384-890b-0cbe1cf39175"]}],"mendeley":{"formattedCitation":"del Rio et al., 2018","plainTextFormattedCitation":"del Rio et al., 2018","previouslyFormattedCitation":"(del Rio et al., 2018)"},"properties":{"noteIndex":0},"schema":"https://github.com/citation-style-language/schema/raw/master/csl-citation.json"}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rPr>
              <w:t>del Rio et al., 2018</w:t>
            </w:r>
            <w:r w:rsidRPr="00DE7555">
              <w:rPr>
                <w:rFonts w:ascii="Times New Roman" w:hAnsi="Times New Roman" w:cs="Times New Roman"/>
                <w:lang w:val="en-GB"/>
              </w:rPr>
              <w:fldChar w:fldCharType="end"/>
            </w:r>
          </w:p>
        </w:tc>
      </w:tr>
      <w:bookmarkEnd w:id="5"/>
      <w:tr w:rsidR="00043312" w:rsidRPr="00DE7555" w14:paraId="131B66BF" w14:textId="77777777" w:rsidTr="00DE7555">
        <w:tc>
          <w:tcPr>
            <w:tcW w:w="0" w:type="auto"/>
            <w:gridSpan w:val="9"/>
          </w:tcPr>
          <w:p w14:paraId="0F82419A" w14:textId="3FEB5A56" w:rsidR="0058270E" w:rsidRPr="00DE7555" w:rsidRDefault="0058270E" w:rsidP="00724E70">
            <w:pPr>
              <w:rPr>
                <w:rFonts w:ascii="Times New Roman" w:hAnsi="Times New Roman" w:cs="Times New Roman"/>
                <w:lang w:val="en-GB"/>
              </w:rPr>
            </w:pPr>
            <w:r w:rsidRPr="00DE7555">
              <w:rPr>
                <w:rFonts w:ascii="Times New Roman" w:hAnsi="Times New Roman" w:cs="Times New Roman"/>
                <w:b/>
                <w:lang w:val="en-GB"/>
              </w:rPr>
              <w:t>Selective CB</w:t>
            </w:r>
            <w:r w:rsidRPr="00DE7555">
              <w:rPr>
                <w:rFonts w:ascii="Times New Roman" w:hAnsi="Times New Roman" w:cs="Times New Roman"/>
                <w:b/>
                <w:vertAlign w:val="subscript"/>
                <w:lang w:val="en-GB"/>
              </w:rPr>
              <w:t>2</w:t>
            </w:r>
            <w:r w:rsidRPr="00DE7555">
              <w:rPr>
                <w:rFonts w:ascii="Times New Roman" w:hAnsi="Times New Roman" w:cs="Times New Roman"/>
                <w:b/>
                <w:lang w:val="en-GB"/>
              </w:rPr>
              <w:t xml:space="preserve"> competitive antagonists</w:t>
            </w:r>
          </w:p>
        </w:tc>
      </w:tr>
      <w:tr w:rsidR="00043312" w:rsidRPr="00DE7555" w14:paraId="767A65B1" w14:textId="77777777" w:rsidTr="00DE7555">
        <w:tc>
          <w:tcPr>
            <w:tcW w:w="0" w:type="auto"/>
          </w:tcPr>
          <w:p w14:paraId="549C1EB9" w14:textId="6804AFE6" w:rsidR="0058270E" w:rsidRPr="00DE7555" w:rsidRDefault="0058270E" w:rsidP="00724E70">
            <w:pPr>
              <w:rPr>
                <w:rFonts w:ascii="Times New Roman" w:hAnsi="Times New Roman" w:cs="Times New Roman"/>
                <w:lang w:val="en-GB"/>
              </w:rPr>
            </w:pPr>
            <w:bookmarkStart w:id="6" w:name="_Hlk5628731"/>
            <w:r w:rsidRPr="00DE7555">
              <w:rPr>
                <w:rFonts w:ascii="Times New Roman" w:hAnsi="Times New Roman" w:cs="Times New Roman"/>
                <w:lang w:val="en-GB"/>
              </w:rPr>
              <w:t>AM10257</w:t>
            </w:r>
          </w:p>
        </w:tc>
        <w:tc>
          <w:tcPr>
            <w:tcW w:w="0" w:type="auto"/>
          </w:tcPr>
          <w:p w14:paraId="04537E85" w14:textId="35EA6911" w:rsidR="0058270E" w:rsidRPr="00DE7555" w:rsidRDefault="0058270E"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577EE7F" w14:textId="3462619F" w:rsidR="0058270E" w:rsidRPr="00DE7555" w:rsidRDefault="00ED0FEB"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5AD584E" w14:textId="25BAFF9B" w:rsidR="0058270E" w:rsidRPr="00DE7555" w:rsidRDefault="0058270E"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2296998" w14:textId="3B9DBF24"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0.08</w:t>
            </w:r>
          </w:p>
        </w:tc>
        <w:tc>
          <w:tcPr>
            <w:tcW w:w="0" w:type="auto"/>
          </w:tcPr>
          <w:p w14:paraId="3D28FA61" w14:textId="6A27D9F5" w:rsidR="0058270E" w:rsidRPr="00DE7555" w:rsidRDefault="0058270E"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4AE10BE0" w14:textId="061ABDF8"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antagonist</w:t>
            </w:r>
          </w:p>
        </w:tc>
        <w:tc>
          <w:tcPr>
            <w:tcW w:w="0" w:type="auto"/>
          </w:tcPr>
          <w:p w14:paraId="59C4A550" w14:textId="6D422FF8" w:rsidR="0058270E" w:rsidRPr="00DE7555" w:rsidRDefault="0058270E"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2D8E949" w14:textId="5BE63DE8" w:rsidR="0058270E" w:rsidRPr="00DE7555" w:rsidRDefault="0058270E"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{"citationItems":[{"id":"ITEM-1","itemData":{"DOI":"10.1016/J.CELL.2018.12.011","ISSN":"0092-8674","abstract":"The cannabinoid receptor CB2 is predominately expressed in the immune system, and selective modulation of CB2 without the psychoactivity of CB1 has therapeutic potential in inflammatory, fibrotic, and neurodegenerative diseases. Here, we report the crystal structure of human CB2 in complex with a rationally designed antagonist, AM10257, at 2.8 Å resolution. The CB2-AM10257 structure reveals a distinctly different binding pose compared with CB1. However, the extracellular portion of the antagonist-bound CB2 shares a high degree of conformational similarity with the agonist-bound CB1, which led to the discovery of AM10257’s unexpected opposing functional profile of CB2 antagonism versus CB1 agonism. Further structural analysis using mutagenesis studies and molecular docking revealed the molecular basis of their function and selectivity for CB2 and CB1. Additional analyses of our designed antagonist and agonist pairs provide important insight into the activation mechanism of CB2. The present findings should facilitate rational drug design toward precise modulation of the endocannabinoid system.","author":[{"dropping-particle":"","family":"Li","given":"Xiaoting","non-dropping-particle":"","parse-names":false,"suffix":""},{"dropping-particle":"","family":"Hua","given":"Tian","non-dropping-particle":"","parse-names":false,"suffix":""},{"dropping-particle":"","family":"Vemuri","given":"Kiran","non-dropping-particle":"","parse-names":false,"suffix":""},{"dropping-particle":"","family":"Ho","given":"Jo-Hao","non-dropping-particle":"","parse-names":false,"suffix":""},{"dropping-particle":"","family":"Wu","given":"Yiran","non-dropping-particle":"","parse-names":false,"suffix":""},{"dropping-particle":"","family":"Wu","given":"Lijie","non-dropping-particle":"","parse-names":false,"suffix":""},{"dropping-particle":"","family":"Popov","given":"Petr","non-dropping-particle":"","parse-names":false,"suffix":""},{"dropping-particle":"","family":"Benchama","given":"Othman","non-dropping-particle":"","parse-names":false,"suffix":""},{"dropping-particle":"","family":"Zvonok","given":"Nikolai","non-dropping-particle":"","parse-names":false,"suffix":""},{"dropping-particle":"","family":"Locke","given":"K’ara","non-dropping-particle":"","parse-names":false,"suffix":""},{"dropping-particle":"","family":"Qu","given":"Lu","non-dropping-particle":"","parse-names":false,"suffix":""},{"dropping-particle":"","family":"Han","given":"Gye Won","non-dropping-particle":"","parse-names":false,"suffix":""},{"dropping-particle":"","family":"Iyer","given":"Malliga R.","non-dropping-particle":"","parse-names":false,"suffix":""},{"dropping-particle":"","family":"Cinar","given":"Resat","non-dropping-particle":"","parse-names":false,"suffix":""},{"dropping-particle":"","family":"Coffey","given":"Nathan J.","non-dropping-particle":"","parse-names":false,"suffix":""},{"dropping-particle":"","family":"Wang","given":"Jingjing","non-dropping-particle":"","parse-names":false,"suffix":""},{"dropping-particle":"","family":"Wu","given":"Meng","non-dropping-particle":"","parse-names":false,"suffix":""},{"dropping-particle":"","family":"Katritch","given":"Vsevolod","non-dropping-particle":"","parse-names":false,"suffix":""},{"dropping-particle":"","family":"Zhao","given":"Suwen","non-dropping-particle":"","parse-names":false,"suffix":""},{"dropping-particle":"","family":"Kunos","given":"George","non-dropping-particle":"","parse-names":false,"suffix":""},{"dropping-particle":"","family":"Bohn","given":"Laura M.","non-dropping-particle":"","parse-names":false,"suffix":""},{"dropping-particle":"","family":"Makriyannis","given":"Alexandros","non-dropping-particle":"","parse-names":false,"suffix":""},{"dropping-particle":"","family":"Stevens","given":"Raymond C.","non-dropping-particle":"","parse-names":false,"suffix":""},{"dropping-particle":"","family":"Liu","given":"Zhi-Jie","non-dropping-particle":"","parse-names":false,"suffix":""}],"container-title":"Cell","id":"ITEM-1","issue":"3","issued":{"date-parts":[["2019","1","24"]]},"page":"459-467.e13","publisher":"Cell Press","title":"Crystal Structure of the Human Cannabinoid Receptor CB2","type":"article-journal","volume":"176"},"uris":["http://www.mendeley.com/documents/?uuid=2c44f049-c5fc-30a6-aa6a-55dac8c3beda"]}],"mendeley":{"formattedCitation":"Li et al., 2019","plainTextFormattedCitation":"Li et al., 2019","previouslyFormattedCitation":"(Li et al., 2019)"},"properties":{"noteIndex":0},"schema":"https://github.com/citation-style-language/schema/raw/master/csl-citation.json"}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rPr>
              <w:t>Li et al., 2019</w:t>
            </w:r>
            <w:r w:rsidRPr="00DE7555">
              <w:rPr>
                <w:rFonts w:ascii="Times New Roman" w:hAnsi="Times New Roman" w:cs="Times New Roman"/>
                <w:lang w:val="en-GB"/>
              </w:rPr>
              <w:fldChar w:fldCharType="end"/>
            </w:r>
          </w:p>
        </w:tc>
      </w:tr>
      <w:tr w:rsidR="00043312" w:rsidRPr="008178CC" w14:paraId="0F3318F7" w14:textId="77777777" w:rsidTr="00DE7555">
        <w:tc>
          <w:tcPr>
            <w:tcW w:w="0" w:type="auto"/>
          </w:tcPr>
          <w:p w14:paraId="50A18819" w14:textId="66C95519" w:rsidR="0058270E" w:rsidRPr="00DE7555" w:rsidRDefault="0058270E" w:rsidP="00724E70">
            <w:pPr>
              <w:rPr>
                <w:rFonts w:ascii="Times New Roman" w:hAnsi="Times New Roman" w:cs="Times New Roman"/>
                <w:lang w:val="en-GB"/>
              </w:rPr>
            </w:pPr>
            <w:r w:rsidRPr="00DE7555">
              <w:rPr>
                <w:rFonts w:ascii="Times New Roman" w:hAnsi="Times New Roman" w:cs="Times New Roman"/>
                <w:lang w:val="en-GB"/>
              </w:rPr>
              <w:t xml:space="preserve">AM-630 </w:t>
            </w:r>
          </w:p>
        </w:tc>
        <w:tc>
          <w:tcPr>
            <w:tcW w:w="0" w:type="auto"/>
          </w:tcPr>
          <w:p w14:paraId="5FEEFDD9" w14:textId="228282FC"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5152</w:t>
            </w:r>
          </w:p>
        </w:tc>
        <w:tc>
          <w:tcPr>
            <w:tcW w:w="0" w:type="auto"/>
          </w:tcPr>
          <w:p w14:paraId="2621851E" w14:textId="53EF3A05"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˃10,000</w:t>
            </w:r>
          </w:p>
        </w:tc>
        <w:tc>
          <w:tcPr>
            <w:tcW w:w="0" w:type="auto"/>
          </w:tcPr>
          <w:p w14:paraId="493F0710" w14:textId="406FE6D0" w:rsidR="0058270E" w:rsidRPr="00DE7555" w:rsidRDefault="0058270E"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E8D54B5" w14:textId="515C49C5"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31.2</w:t>
            </w:r>
          </w:p>
        </w:tc>
        <w:tc>
          <w:tcPr>
            <w:tcW w:w="0" w:type="auto"/>
          </w:tcPr>
          <w:p w14:paraId="4FC97991" w14:textId="402B81FA"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76.6</w:t>
            </w:r>
          </w:p>
        </w:tc>
        <w:tc>
          <w:tcPr>
            <w:tcW w:w="0" w:type="auto"/>
          </w:tcPr>
          <w:p w14:paraId="032EB6F5" w14:textId="32B2A994"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antagonist</w:t>
            </w:r>
          </w:p>
        </w:tc>
        <w:tc>
          <w:tcPr>
            <w:tcW w:w="0" w:type="auto"/>
          </w:tcPr>
          <w:p w14:paraId="3EF78CA7" w14:textId="735B45DA" w:rsidR="0058270E" w:rsidRPr="00DE7555" w:rsidRDefault="0058270E"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26546854" w14:textId="27A65AAA" w:rsidR="0058270E" w:rsidRPr="00DE7555" w:rsidRDefault="0058270E"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{"citationItems":[{"id":"ITEM-1","itemData":{"DOI":"10.1038/sj.bjp.0702351","ISSN":"00071188","PMID":"10188977","abstract":"We have tested our prediction that AM630 is a CB2 cannabinoid receptor ligand and also investigated whether L759633 and L759656, are CB2 receptor agonists. Binding assays with membranes from CHO cells stably transfected with human CB1 or CB2 receptors using [3H]-CP55940, confirmed the CB2-selectivity of L759633 and L759656 (CB2/CB1 affinity ratios = 163 and 414 respectively) and showed AM630 to have a Ki at CB2 receptors of 31.2 nM and a CB2/CB1 affinity ratio of 165. In CB2-transfected cells, L759633 and L759656 were potent inhibitors of forskolin-stimulated cyclic AMP production, with EC50 values of 8.1 and 3.1 nM respectively and CB1/CB2 EC50 ratios of &gt; 1000 and &gt; 3000 respectively. AM630 inhibited [35S]-GTPgammaS binding to CB2 receptor membranes (EC50 = 76.6 nM), enhanced forskolin-stimulated cyclic AMP production in CB2-transfected cells (5.2 fold by 1 microM), and antagonized the inhibition of forskolin-stimulated cyclic AMP production in this cell line induced by CP55940. In CB1-transfected cells, forskolin-stimulated cyclic AMP production was significantly inhibited by AM630 (22.6% at 1 microM and 45.9% at 10 microM) and by L759633 at 10 microM (48%) but not 1 microM. L759656 (10 microM) was not inhibitory. AM630 also produced a slight decrease in the mean inhibitory effect of CP55940 on cyclic AMP production which was not statistically significant. We conclude that AM630 is a CB2-selective ligand that behaves as an inverse agonist at CB2 receptors and as a weak partial agonist at CB1 receptors. L759633 and L759656 are both potent CB2-selective agonists.","author":[{"dropping-particle":"","family":"Ross","given":"Ruth A","non-dropping-particle":"","parse-names":false,"suffix":""},{"dropping-particle":"","family":"Brockie","given":"Heather C","non-dropping-particle":"","parse-names":false,"suffix":""},{"dropping-particle":"","family":"Stevenson","given":"Lesley A","non-dropping-particle":"","parse-names":false,"suffix":""},{"dropping-particle":"","family":"Murphy","given":"Vicki L","non-dropping-particle":"","parse-names":false,"suffix":""},{"dropping-particle":"","family":"Templeton","given":"Fiona","non-dropping-particle":"","parse-names":false,"suffix":""},{"dropping-particle":"","family":"Makriyannis","given":"Alexandros","non-dropping-particle":"","parse-names":false,"suffix":""},{"dropping-particle":"","family":"Pertwee","given":"Roger G","non-dropping-particle":"","parse-names":false,"suffix":""}],"container-title":"British Journal of Pharmacology","id":"ITEM-1","issue":"3","issued":{"date-parts":[["1999","2"]]},"page":"665-672","title":"Agonist-inverse agonist characterization at CB &lt;sub&gt;1&lt;/sub&gt; and CB &lt;sub&gt;2&lt;/sub&gt; cannabinoid receptors of L759633, L759656 and AM630","type":"article-journal","volume":"126"},"uris":["http://www.mendeley.com/documents/?uuid=080fc7d7-e001-3d0f-9149-d79cda6fd072"]}],"mendeley":{"formattedCitation":"Ross et al., 1999b","manualFormatting":"Ross et al., 1999","plainTextFormattedCitation":"Ross et al., 1999b","previouslyFormattedCitation":"(Ross et al., 1999b)"},"properties":{"noteIndex":0},"schema":"https://github.com/citation-style-language/schema/raw/master/csl-citation.json"}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Ross et al., 1999</w:t>
            </w:r>
            <w:r w:rsidRPr="00DE7555">
              <w:rPr>
                <w:rFonts w:ascii="Times New Roman" w:hAnsi="Times New Roman" w:cs="Times New Roman"/>
                <w:lang w:val="en-GB"/>
              </w:rPr>
              <w:fldChar w:fldCharType="end"/>
            </w:r>
          </w:p>
        </w:tc>
      </w:tr>
      <w:tr w:rsidR="00043312" w:rsidRPr="008178CC" w14:paraId="0E422067" w14:textId="77777777" w:rsidTr="00DE7555">
        <w:tc>
          <w:tcPr>
            <w:tcW w:w="0" w:type="auto"/>
          </w:tcPr>
          <w:p w14:paraId="2CDE27F3" w14:textId="646772FD" w:rsidR="0058270E" w:rsidRPr="00DE7555" w:rsidRDefault="0058270E" w:rsidP="00724E70">
            <w:pPr>
              <w:rPr>
                <w:rFonts w:ascii="Times New Roman" w:hAnsi="Times New Roman" w:cs="Times New Roman"/>
                <w:lang w:val="en-GB"/>
              </w:rPr>
            </w:pPr>
            <w:r w:rsidRPr="00DE7555">
              <w:rPr>
                <w:rFonts w:ascii="Times New Roman" w:hAnsi="Times New Roman" w:cs="Times New Roman"/>
                <w:lang w:val="en-GB"/>
              </w:rPr>
              <w:t xml:space="preserve">SR144528 </w:t>
            </w:r>
          </w:p>
        </w:tc>
        <w:tc>
          <w:tcPr>
            <w:tcW w:w="0" w:type="auto"/>
          </w:tcPr>
          <w:p w14:paraId="61AF5EDB" w14:textId="03E7BC44"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50.3–˃10,000</w:t>
            </w:r>
          </w:p>
        </w:tc>
        <w:tc>
          <w:tcPr>
            <w:tcW w:w="0" w:type="auto"/>
          </w:tcPr>
          <w:p w14:paraId="6D8FCEC3" w14:textId="50E06884" w:rsidR="0058270E" w:rsidRPr="00DE7555" w:rsidRDefault="0058270E"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74EB0EC5" w14:textId="14721093" w:rsidR="0058270E" w:rsidRPr="00DE7555" w:rsidRDefault="0058270E"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FD6DFA3" w14:textId="52B8208C"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0.28–5.6</w:t>
            </w:r>
          </w:p>
        </w:tc>
        <w:tc>
          <w:tcPr>
            <w:tcW w:w="0" w:type="auto"/>
          </w:tcPr>
          <w:p w14:paraId="450D6907" w14:textId="3DECCAC5" w:rsidR="0058270E" w:rsidRPr="00DE7555" w:rsidRDefault="0058270E" w:rsidP="00E5612A">
            <w:pPr>
              <w:jc w:val="cente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1A1B6E5E" w14:textId="67FE1797" w:rsidR="0058270E" w:rsidRPr="00DE7555" w:rsidRDefault="0058270E" w:rsidP="00E5612A">
            <w:pPr>
              <w:jc w:val="center"/>
              <w:rPr>
                <w:rFonts w:ascii="Times New Roman" w:hAnsi="Times New Roman" w:cs="Times New Roman"/>
                <w:lang w:val="en-GB"/>
              </w:rPr>
            </w:pPr>
            <w:r w:rsidRPr="00DE7555">
              <w:rPr>
                <w:rFonts w:ascii="Times New Roman" w:hAnsi="Times New Roman" w:cs="Times New Roman"/>
                <w:lang w:val="en-GB"/>
              </w:rPr>
              <w:t>antagonist</w:t>
            </w:r>
          </w:p>
        </w:tc>
        <w:tc>
          <w:tcPr>
            <w:tcW w:w="0" w:type="auto"/>
          </w:tcPr>
          <w:p w14:paraId="114E2F28" w14:textId="26BAE4A0" w:rsidR="0058270E" w:rsidRPr="00DE7555" w:rsidRDefault="0058270E" w:rsidP="00E5612A">
            <w:pPr>
              <w:rPr>
                <w:rFonts w:ascii="Times New Roman" w:hAnsi="Times New Roman" w:cs="Times New Roman"/>
                <w:lang w:val="en-GB"/>
              </w:rPr>
            </w:pPr>
            <w:proofErr w:type="spellStart"/>
            <w:r w:rsidRPr="00DE7555">
              <w:rPr>
                <w:rFonts w:ascii="Times New Roman" w:hAnsi="Times New Roman" w:cs="Times New Roman"/>
                <w:lang w:val="en-GB"/>
              </w:rPr>
              <w:t>nd</w:t>
            </w:r>
            <w:proofErr w:type="spellEnd"/>
          </w:p>
        </w:tc>
        <w:tc>
          <w:tcPr>
            <w:tcW w:w="0" w:type="auto"/>
          </w:tcPr>
          <w:p w14:paraId="6815253A" w14:textId="1E44F163" w:rsidR="0058270E" w:rsidRPr="00DE7555" w:rsidRDefault="0058270E" w:rsidP="00E5612A">
            <w:pPr>
              <w:rPr>
                <w:rFonts w:ascii="Times New Roman" w:hAnsi="Times New Roman" w:cs="Times New Roman"/>
                <w:lang w:val="en-GB"/>
              </w:rPr>
            </w:pPr>
            <w:r w:rsidRPr="00DE7555">
              <w:rPr>
                <w:rFonts w:ascii="Times New Roman" w:hAnsi="Times New Roman" w:cs="Times New Roman"/>
                <w:lang w:val="en-GB"/>
              </w:rPr>
              <w:fldChar w:fldCharType="begin" w:fldLock="1"/>
            </w:r>
            <w:r w:rsidRPr="00DE7555">
              <w:rPr>
                <w:rFonts w:ascii="Times New Roman" w:hAnsi="Times New Roman" w:cs="Times New Roman"/>
                <w:lang w:val="en-GB"/>
              </w:rPr>
              <w:instrText>ADDIN CSL_CITATION {"citationItems":[{"id":"ITEM-1","itemData":{"author":[{"dropping-particle":"","family":"Pertwee","given":"R G","non-dropping-particle":"","parse-names":false,"suffix":""}],"container-title":"HEP","id":"ITEM-1","issued":{"date-parts":[["2005"]]},"number-of-pages":"1-51","publisher":"Springer-Verlag","title":"Pharmacological Actions of Cannabinoids","type":"report","volume":"168"},"uris":["http://www.mendeley.com/documents/?uuid=8d8d4100-5521-3c8a-91fc-02214b8beb11"]}],"mendeley":{"formattedCitation":"Pertwee, 2005","plainTextFormattedCitation":"Pertwee, 2005","previouslyFormattedCitation":"(Pertwee, 2005)"},"properties":{"noteIndex":0},"schema":"https://github.com/citation-style-language/schema/raw/master/csl-citation.json"}</w:instrText>
            </w:r>
            <w:r w:rsidRPr="00DE7555">
              <w:rPr>
                <w:rFonts w:ascii="Times New Roman" w:hAnsi="Times New Roman" w:cs="Times New Roman"/>
                <w:lang w:val="en-GB"/>
              </w:rPr>
              <w:fldChar w:fldCharType="separate"/>
            </w:r>
            <w:r w:rsidRPr="00DE7555">
              <w:rPr>
                <w:rFonts w:ascii="Times New Roman" w:hAnsi="Times New Roman" w:cs="Times New Roman"/>
                <w:noProof/>
                <w:lang w:val="en-GB"/>
              </w:rPr>
              <w:t>Pertwee, 2005</w:t>
            </w:r>
            <w:r w:rsidRPr="00DE7555">
              <w:rPr>
                <w:rFonts w:ascii="Times New Roman" w:hAnsi="Times New Roman" w:cs="Times New Roman"/>
                <w:lang w:val="en-GB"/>
              </w:rPr>
              <w:fldChar w:fldCharType="end"/>
            </w:r>
          </w:p>
        </w:tc>
      </w:tr>
      <w:bookmarkEnd w:id="0"/>
      <w:bookmarkEnd w:id="6"/>
    </w:tbl>
    <w:p w14:paraId="2017A8B4" w14:textId="6ADF41E1" w:rsidR="00716F1D" w:rsidRPr="00DE7555" w:rsidRDefault="00716F1D" w:rsidP="007B5EE8">
      <w:pPr>
        <w:jc w:val="both"/>
        <w:rPr>
          <w:rFonts w:ascii="Times New Roman" w:hAnsi="Times New Roman" w:cs="Times New Roman"/>
          <w:lang w:val="en-GB"/>
        </w:rPr>
      </w:pPr>
    </w:p>
    <w:p w14:paraId="11EF443C" w14:textId="23197010" w:rsidR="00716F1D" w:rsidRPr="00DE7555" w:rsidRDefault="00716F1D" w:rsidP="007B5EE8">
      <w:pPr>
        <w:jc w:val="both"/>
        <w:rPr>
          <w:rFonts w:ascii="Times New Roman" w:hAnsi="Times New Roman" w:cs="Times New Roman"/>
          <w:lang w:val="en-GB"/>
        </w:rPr>
      </w:pPr>
    </w:p>
    <w:p w14:paraId="21ECED7B" w14:textId="195F4F18" w:rsidR="00716F1D" w:rsidRPr="00DE7555" w:rsidRDefault="00716F1D" w:rsidP="007B5EE8">
      <w:pPr>
        <w:jc w:val="both"/>
        <w:rPr>
          <w:rFonts w:ascii="Times New Roman" w:hAnsi="Times New Roman" w:cs="Times New Roman"/>
          <w:lang w:val="en-GB"/>
        </w:rPr>
      </w:pPr>
    </w:p>
    <w:p w14:paraId="786A032A" w14:textId="65E1CE45" w:rsidR="00716F1D" w:rsidRPr="00DE7555" w:rsidRDefault="00716F1D" w:rsidP="007B5EE8">
      <w:pPr>
        <w:jc w:val="both"/>
        <w:rPr>
          <w:rFonts w:ascii="Times New Roman" w:hAnsi="Times New Roman" w:cs="Times New Roman"/>
          <w:b/>
          <w:lang w:val="en-GB"/>
        </w:rPr>
      </w:pPr>
      <w:r w:rsidRPr="00DE7555">
        <w:rPr>
          <w:rFonts w:ascii="Times New Roman" w:hAnsi="Times New Roman" w:cs="Times New Roman"/>
          <w:b/>
          <w:lang w:val="en-GB"/>
        </w:rPr>
        <w:t>References</w:t>
      </w:r>
    </w:p>
    <w:p w14:paraId="50B87977"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Adam, J.M., Cairns, J., Caulfield, W., Cowley, P., Cumming, I., </w:t>
      </w:r>
      <w:proofErr w:type="spellStart"/>
      <w:r w:rsidRPr="009B565D">
        <w:rPr>
          <w:rFonts w:ascii="Times New Roman" w:hAnsi="Times New Roman" w:cs="Times New Roman"/>
          <w:lang w:val="en-GB"/>
        </w:rPr>
        <w:t>Easson</w:t>
      </w:r>
      <w:proofErr w:type="spellEnd"/>
      <w:r w:rsidRPr="009B565D">
        <w:rPr>
          <w:rFonts w:ascii="Times New Roman" w:hAnsi="Times New Roman" w:cs="Times New Roman"/>
          <w:lang w:val="en-GB"/>
        </w:rPr>
        <w:t xml:space="preserve">, M., Edwards, D., Ferguson, M., Goodwin, R., Jeremiah, F., </w:t>
      </w:r>
      <w:proofErr w:type="spellStart"/>
      <w:r w:rsidRPr="009B565D">
        <w:rPr>
          <w:rFonts w:ascii="Times New Roman" w:hAnsi="Times New Roman" w:cs="Times New Roman"/>
          <w:lang w:val="en-GB"/>
        </w:rPr>
        <w:t>Kiyoi</w:t>
      </w:r>
      <w:proofErr w:type="spellEnd"/>
      <w:r w:rsidRPr="009B565D">
        <w:rPr>
          <w:rFonts w:ascii="Times New Roman" w:hAnsi="Times New Roman" w:cs="Times New Roman"/>
          <w:lang w:val="en-GB"/>
        </w:rPr>
        <w:t xml:space="preserve">, T., Mistry, A., Moir, E., </w:t>
      </w:r>
      <w:proofErr w:type="spellStart"/>
      <w:r w:rsidRPr="009B565D">
        <w:rPr>
          <w:rFonts w:ascii="Times New Roman" w:hAnsi="Times New Roman" w:cs="Times New Roman"/>
          <w:lang w:val="en-GB"/>
        </w:rPr>
        <w:t>Morphy</w:t>
      </w:r>
      <w:proofErr w:type="spellEnd"/>
      <w:r w:rsidRPr="009B565D">
        <w:rPr>
          <w:rFonts w:ascii="Times New Roman" w:hAnsi="Times New Roman" w:cs="Times New Roman"/>
          <w:lang w:val="en-GB"/>
        </w:rPr>
        <w:t xml:space="preserve">, R., Tierney, J., York, M., Baker, J., </w:t>
      </w:r>
      <w:proofErr w:type="spellStart"/>
      <w:r w:rsidRPr="009B565D">
        <w:rPr>
          <w:rFonts w:ascii="Times New Roman" w:hAnsi="Times New Roman" w:cs="Times New Roman"/>
          <w:lang w:val="en-GB"/>
        </w:rPr>
        <w:t>Cottney</w:t>
      </w:r>
      <w:proofErr w:type="spellEnd"/>
      <w:r w:rsidRPr="009B565D">
        <w:rPr>
          <w:rFonts w:ascii="Times New Roman" w:hAnsi="Times New Roman" w:cs="Times New Roman"/>
          <w:lang w:val="en-GB"/>
        </w:rPr>
        <w:t xml:space="preserve">, J.E., Houghton, A.K., Westwood, P.J., Walker, G., 2010. Design, synthesis, </w:t>
      </w:r>
      <w:r w:rsidRPr="009B565D">
        <w:rPr>
          <w:rFonts w:ascii="Times New Roman" w:hAnsi="Times New Roman" w:cs="Times New Roman"/>
          <w:lang w:val="en-GB"/>
        </w:rPr>
        <w:lastRenderedPageBreak/>
        <w:t xml:space="preserve">and structure-activity relationships of indole-3-carboxamides as novel water soluble cannabinoid CB1 receptor agonists †. Med. Chem. </w:t>
      </w:r>
      <w:proofErr w:type="spellStart"/>
      <w:r w:rsidRPr="009B565D">
        <w:rPr>
          <w:rFonts w:ascii="Times New Roman" w:hAnsi="Times New Roman" w:cs="Times New Roman"/>
          <w:lang w:val="en-GB"/>
        </w:rPr>
        <w:t>Commun</w:t>
      </w:r>
      <w:proofErr w:type="spellEnd"/>
      <w:r w:rsidRPr="009B565D">
        <w:rPr>
          <w:rFonts w:ascii="Times New Roman" w:hAnsi="Times New Roman" w:cs="Times New Roman"/>
          <w:lang w:val="en-GB"/>
        </w:rPr>
        <w:t>. 1, 54–60. https://doi.org/10.1039/c0md00022a</w:t>
      </w:r>
    </w:p>
    <w:p w14:paraId="5018BD05"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Anavi</w:t>
      </w:r>
      <w:proofErr w:type="spellEnd"/>
      <w:r w:rsidRPr="009B565D">
        <w:rPr>
          <w:rFonts w:ascii="Times New Roman" w:hAnsi="Times New Roman" w:cs="Times New Roman"/>
          <w:lang w:val="en-GB"/>
        </w:rPr>
        <w:t xml:space="preserve">-Goffer, S., Baillie, G., Irving, A.J., </w:t>
      </w:r>
      <w:proofErr w:type="spellStart"/>
      <w:r w:rsidRPr="009B565D">
        <w:rPr>
          <w:rFonts w:ascii="Times New Roman" w:hAnsi="Times New Roman" w:cs="Times New Roman"/>
          <w:lang w:val="en-GB"/>
        </w:rPr>
        <w:t>Gertsch</w:t>
      </w:r>
      <w:proofErr w:type="spellEnd"/>
      <w:r w:rsidRPr="009B565D">
        <w:rPr>
          <w:rFonts w:ascii="Times New Roman" w:hAnsi="Times New Roman" w:cs="Times New Roman"/>
          <w:lang w:val="en-GB"/>
        </w:rPr>
        <w:t>, J., Greig, I.R., Pertwee, R.G., Ross, R.A., 2012. Modulation of L-α-</w:t>
      </w:r>
      <w:proofErr w:type="spellStart"/>
      <w:r w:rsidRPr="009B565D">
        <w:rPr>
          <w:rFonts w:ascii="Times New Roman" w:hAnsi="Times New Roman" w:cs="Times New Roman"/>
          <w:lang w:val="en-GB"/>
        </w:rPr>
        <w:t>lysophosphatidylinositol</w:t>
      </w:r>
      <w:proofErr w:type="spellEnd"/>
      <w:r w:rsidRPr="009B565D">
        <w:rPr>
          <w:rFonts w:ascii="Times New Roman" w:hAnsi="Times New Roman" w:cs="Times New Roman"/>
          <w:lang w:val="en-GB"/>
        </w:rPr>
        <w:t xml:space="preserve">/GPR55 mitogen-activated protein kinase (MAPK) </w:t>
      </w:r>
      <w:proofErr w:type="spellStart"/>
      <w:r w:rsidRPr="009B565D">
        <w:rPr>
          <w:rFonts w:ascii="Times New Roman" w:hAnsi="Times New Roman" w:cs="Times New Roman"/>
          <w:lang w:val="en-GB"/>
        </w:rPr>
        <w:t>signaling</w:t>
      </w:r>
      <w:proofErr w:type="spellEnd"/>
      <w:r w:rsidRPr="009B565D">
        <w:rPr>
          <w:rFonts w:ascii="Times New Roman" w:hAnsi="Times New Roman" w:cs="Times New Roman"/>
          <w:lang w:val="en-GB"/>
        </w:rPr>
        <w:t xml:space="preserve"> by cannabinoids. J. Biol. Chem. 287, 91–104. https://doi.org/10.1074/jbc.M111.296020</w:t>
      </w:r>
    </w:p>
    <w:p w14:paraId="60184D25"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Aung, M.M., Griffin, G., Huffman, J.W., Wu, M.-J., Keel, C., Yang, B., Showalter, V.M., </w:t>
      </w:r>
      <w:proofErr w:type="spellStart"/>
      <w:r w:rsidRPr="009B565D">
        <w:rPr>
          <w:rFonts w:ascii="Times New Roman" w:hAnsi="Times New Roman" w:cs="Times New Roman"/>
          <w:lang w:val="en-GB"/>
        </w:rPr>
        <w:t>Abood</w:t>
      </w:r>
      <w:proofErr w:type="spellEnd"/>
      <w:r w:rsidRPr="009B565D">
        <w:rPr>
          <w:rFonts w:ascii="Times New Roman" w:hAnsi="Times New Roman" w:cs="Times New Roman"/>
          <w:lang w:val="en-GB"/>
        </w:rPr>
        <w:t>, M.E., Martin, B.R., 2000. Influence of the N-1 alkyl chain length of cannabimimetic indoles upon CB1 and CB2 receptor binding. Drug Alcohol Depend. 60, 133–140. https://doi.org/10.1016/S0376-8716(99)00152-0</w:t>
      </w:r>
    </w:p>
    <w:p w14:paraId="1F54669A"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Banister, S.D., Stuart, J., Kevin, R.C., Edington, A., Longworth, M., Wilkinson, S.M., </w:t>
      </w:r>
      <w:proofErr w:type="spellStart"/>
      <w:r w:rsidRPr="009B565D">
        <w:rPr>
          <w:rFonts w:ascii="Times New Roman" w:hAnsi="Times New Roman" w:cs="Times New Roman"/>
          <w:lang w:val="en-GB"/>
        </w:rPr>
        <w:t>Beinat</w:t>
      </w:r>
      <w:proofErr w:type="spellEnd"/>
      <w:r w:rsidRPr="009B565D">
        <w:rPr>
          <w:rFonts w:ascii="Times New Roman" w:hAnsi="Times New Roman" w:cs="Times New Roman"/>
          <w:lang w:val="en-GB"/>
        </w:rPr>
        <w:t xml:space="preserve">, C., Buchanan, A.S., Hibbs, D.E., Glass, M., Connor, M., McGregor, I.S., </w:t>
      </w:r>
      <w:proofErr w:type="spellStart"/>
      <w:r w:rsidRPr="009B565D">
        <w:rPr>
          <w:rFonts w:ascii="Times New Roman" w:hAnsi="Times New Roman" w:cs="Times New Roman"/>
          <w:lang w:val="en-GB"/>
        </w:rPr>
        <w:t>Kassiou</w:t>
      </w:r>
      <w:proofErr w:type="spellEnd"/>
      <w:r w:rsidRPr="009B565D">
        <w:rPr>
          <w:rFonts w:ascii="Times New Roman" w:hAnsi="Times New Roman" w:cs="Times New Roman"/>
          <w:lang w:val="en-GB"/>
        </w:rPr>
        <w:t xml:space="preserve">, M., 2015. Effects of </w:t>
      </w:r>
      <w:proofErr w:type="spellStart"/>
      <w:r w:rsidRPr="009B565D">
        <w:rPr>
          <w:rFonts w:ascii="Times New Roman" w:hAnsi="Times New Roman" w:cs="Times New Roman"/>
          <w:lang w:val="en-GB"/>
        </w:rPr>
        <w:t>Bioisosteric</w:t>
      </w:r>
      <w:proofErr w:type="spellEnd"/>
      <w:r w:rsidRPr="009B565D">
        <w:rPr>
          <w:rFonts w:ascii="Times New Roman" w:hAnsi="Times New Roman" w:cs="Times New Roman"/>
          <w:lang w:val="en-GB"/>
        </w:rPr>
        <w:t xml:space="preserve"> Fluorine in Synthetic Cannabinoid Designer Drugs JWH-018, AM-2201, UR-144, XLR-11, PB-22, 5F-PB-22, APICA, and STS-135. ACS Chem. </w:t>
      </w:r>
      <w:proofErr w:type="spellStart"/>
      <w:r w:rsidRPr="009B565D">
        <w:rPr>
          <w:rFonts w:ascii="Times New Roman" w:hAnsi="Times New Roman" w:cs="Times New Roman"/>
          <w:lang w:val="en-GB"/>
        </w:rPr>
        <w:t>Neurosci</w:t>
      </w:r>
      <w:proofErr w:type="spellEnd"/>
      <w:r w:rsidRPr="009B565D">
        <w:rPr>
          <w:rFonts w:ascii="Times New Roman" w:hAnsi="Times New Roman" w:cs="Times New Roman"/>
          <w:lang w:val="en-GB"/>
        </w:rPr>
        <w:t>. 6, 1445–1458. https://doi.org/10.1021/acschemneuro.5b00107</w:t>
      </w:r>
    </w:p>
    <w:p w14:paraId="03F0D37A"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Barchukov</w:t>
      </w:r>
      <w:proofErr w:type="spellEnd"/>
      <w:r w:rsidRPr="009B565D">
        <w:rPr>
          <w:rFonts w:ascii="Times New Roman" w:hAnsi="Times New Roman" w:cs="Times New Roman"/>
          <w:lang w:val="en-GB"/>
        </w:rPr>
        <w:t xml:space="preserve">, V. V., </w:t>
      </w:r>
      <w:proofErr w:type="spellStart"/>
      <w:r w:rsidRPr="009B565D">
        <w:rPr>
          <w:rFonts w:ascii="Times New Roman" w:hAnsi="Times New Roman" w:cs="Times New Roman"/>
          <w:lang w:val="en-GB"/>
        </w:rPr>
        <w:t>Zhavbert</w:t>
      </w:r>
      <w:proofErr w:type="spellEnd"/>
      <w:r w:rsidRPr="009B565D">
        <w:rPr>
          <w:rFonts w:ascii="Times New Roman" w:hAnsi="Times New Roman" w:cs="Times New Roman"/>
          <w:lang w:val="en-GB"/>
        </w:rPr>
        <w:t xml:space="preserve">, E.S., </w:t>
      </w:r>
      <w:proofErr w:type="spellStart"/>
      <w:r w:rsidRPr="009B565D">
        <w:rPr>
          <w:rFonts w:ascii="Times New Roman" w:hAnsi="Times New Roman" w:cs="Times New Roman"/>
          <w:lang w:val="en-GB"/>
        </w:rPr>
        <w:t>Dugina</w:t>
      </w:r>
      <w:proofErr w:type="spellEnd"/>
      <w:r w:rsidRPr="009B565D">
        <w:rPr>
          <w:rFonts w:ascii="Times New Roman" w:hAnsi="Times New Roman" w:cs="Times New Roman"/>
          <w:lang w:val="en-GB"/>
        </w:rPr>
        <w:t>, Y.L., Epstein, O.I., 2015. The Use of Release-Active Antibody-Based Preparations for Vertigo Prevention in Adults. Bull. Exp. Biol. Med. 160, 61–63. https://doi.org/10.1007/s10517-015-3098-z</w:t>
      </w:r>
    </w:p>
    <w:p w14:paraId="48EDA545"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Bauer, M., Chicca, A., </w:t>
      </w:r>
      <w:proofErr w:type="spellStart"/>
      <w:r w:rsidRPr="009B565D">
        <w:rPr>
          <w:rFonts w:ascii="Times New Roman" w:hAnsi="Times New Roman" w:cs="Times New Roman"/>
          <w:lang w:val="en-GB"/>
        </w:rPr>
        <w:t>Tamborrini</w:t>
      </w:r>
      <w:proofErr w:type="spellEnd"/>
      <w:r w:rsidRPr="009B565D">
        <w:rPr>
          <w:rFonts w:ascii="Times New Roman" w:hAnsi="Times New Roman" w:cs="Times New Roman"/>
          <w:lang w:val="en-GB"/>
        </w:rPr>
        <w:t xml:space="preserve">, M., Eisen, D., Lerner, R., Lutz, B., </w:t>
      </w:r>
      <w:proofErr w:type="spellStart"/>
      <w:r w:rsidRPr="009B565D">
        <w:rPr>
          <w:rFonts w:ascii="Times New Roman" w:hAnsi="Times New Roman" w:cs="Times New Roman"/>
          <w:lang w:val="en-GB"/>
        </w:rPr>
        <w:t>Poetz</w:t>
      </w:r>
      <w:proofErr w:type="spellEnd"/>
      <w:r w:rsidRPr="009B565D">
        <w:rPr>
          <w:rFonts w:ascii="Times New Roman" w:hAnsi="Times New Roman" w:cs="Times New Roman"/>
          <w:lang w:val="en-GB"/>
        </w:rPr>
        <w:t xml:space="preserve">, O., </w:t>
      </w:r>
      <w:proofErr w:type="spellStart"/>
      <w:r w:rsidRPr="009B565D">
        <w:rPr>
          <w:rFonts w:ascii="Times New Roman" w:hAnsi="Times New Roman" w:cs="Times New Roman"/>
          <w:lang w:val="en-GB"/>
        </w:rPr>
        <w:t>Pluschke</w:t>
      </w:r>
      <w:proofErr w:type="spellEnd"/>
      <w:r w:rsidRPr="009B565D">
        <w:rPr>
          <w:rFonts w:ascii="Times New Roman" w:hAnsi="Times New Roman" w:cs="Times New Roman"/>
          <w:lang w:val="en-GB"/>
        </w:rPr>
        <w:t xml:space="preserve">, G., </w:t>
      </w:r>
      <w:proofErr w:type="spellStart"/>
      <w:r w:rsidRPr="009B565D">
        <w:rPr>
          <w:rFonts w:ascii="Times New Roman" w:hAnsi="Times New Roman" w:cs="Times New Roman"/>
          <w:lang w:val="en-GB"/>
        </w:rPr>
        <w:t>Gertsch</w:t>
      </w:r>
      <w:proofErr w:type="spellEnd"/>
      <w:r w:rsidRPr="009B565D">
        <w:rPr>
          <w:rFonts w:ascii="Times New Roman" w:hAnsi="Times New Roman" w:cs="Times New Roman"/>
          <w:lang w:val="en-GB"/>
        </w:rPr>
        <w:t>, J., 2012. Identification and Quantification of a New Family of Peptide Endocannabinoids (</w:t>
      </w:r>
      <w:proofErr w:type="spellStart"/>
      <w:r w:rsidRPr="009B565D">
        <w:rPr>
          <w:rFonts w:ascii="Times New Roman" w:hAnsi="Times New Roman" w:cs="Times New Roman"/>
          <w:lang w:val="en-GB"/>
        </w:rPr>
        <w:t>Pepcans</w:t>
      </w:r>
      <w:proofErr w:type="spellEnd"/>
      <w:r w:rsidRPr="009B565D">
        <w:rPr>
          <w:rFonts w:ascii="Times New Roman" w:hAnsi="Times New Roman" w:cs="Times New Roman"/>
          <w:lang w:val="en-GB"/>
        </w:rPr>
        <w:t>) Showing Negative Allosteric Modulation at CB1 Receptors. J. Biol. Chem. 287, 36944–36967. https://doi.org/10.1074/jbc.M112.382481</w:t>
      </w:r>
    </w:p>
    <w:p w14:paraId="5FEA1983"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Bowles, N.P., </w:t>
      </w:r>
      <w:proofErr w:type="spellStart"/>
      <w:r w:rsidRPr="009B565D">
        <w:rPr>
          <w:rFonts w:ascii="Times New Roman" w:hAnsi="Times New Roman" w:cs="Times New Roman"/>
          <w:lang w:val="en-GB"/>
        </w:rPr>
        <w:t>Karatsoreos</w:t>
      </w:r>
      <w:proofErr w:type="spellEnd"/>
      <w:r w:rsidRPr="009B565D">
        <w:rPr>
          <w:rFonts w:ascii="Times New Roman" w:hAnsi="Times New Roman" w:cs="Times New Roman"/>
          <w:lang w:val="en-GB"/>
        </w:rPr>
        <w:t xml:space="preserve">, I.N., Li, X., </w:t>
      </w:r>
      <w:proofErr w:type="spellStart"/>
      <w:r w:rsidRPr="009B565D">
        <w:rPr>
          <w:rFonts w:ascii="Times New Roman" w:hAnsi="Times New Roman" w:cs="Times New Roman"/>
          <w:lang w:val="en-GB"/>
        </w:rPr>
        <w:t>Vemuri</w:t>
      </w:r>
      <w:proofErr w:type="spellEnd"/>
      <w:r w:rsidRPr="009B565D">
        <w:rPr>
          <w:rFonts w:ascii="Times New Roman" w:hAnsi="Times New Roman" w:cs="Times New Roman"/>
          <w:lang w:val="en-GB"/>
        </w:rPr>
        <w:t xml:space="preserve">, V.K., Wood, J.-A., Li, Z., Tamashiro, K.L.K., Schwartz, G.J.,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xml:space="preserve">, A.M., </w:t>
      </w:r>
      <w:proofErr w:type="spellStart"/>
      <w:r w:rsidRPr="009B565D">
        <w:rPr>
          <w:rFonts w:ascii="Times New Roman" w:hAnsi="Times New Roman" w:cs="Times New Roman"/>
          <w:lang w:val="en-GB"/>
        </w:rPr>
        <w:t>Kunos</w:t>
      </w:r>
      <w:proofErr w:type="spellEnd"/>
      <w:r w:rsidRPr="009B565D">
        <w:rPr>
          <w:rFonts w:ascii="Times New Roman" w:hAnsi="Times New Roman" w:cs="Times New Roman"/>
          <w:lang w:val="en-GB"/>
        </w:rPr>
        <w:t>, G., Hillard, C.J., McEwen, B.S., Hill, M.N., 2015. A peripheral endocannabinoid mechanism contributes to glucocorticoid-mediated metabolic syndrome. Proc. Natl. Acad. Sci. 112, 285–290. https://doi.org/10.1073/pnas.1421420112</w:t>
      </w:r>
    </w:p>
    <w:p w14:paraId="32E1A170"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Breivogel</w:t>
      </w:r>
      <w:proofErr w:type="spellEnd"/>
      <w:r w:rsidRPr="009B565D">
        <w:rPr>
          <w:rFonts w:ascii="Times New Roman" w:hAnsi="Times New Roman" w:cs="Times New Roman"/>
          <w:lang w:val="en-GB"/>
        </w:rPr>
        <w:t xml:space="preserve">, C.S., Childers, S.R., 2000. Cannabinoid agonist signal transduction in rat brain: comparison of cannabinoid agonists in receptor binding, G-protein activation, and adenylyl cyclase inhibition.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295, 328–36.</w:t>
      </w:r>
    </w:p>
    <w:p w14:paraId="14FB2047"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Brown, A.J., Daniels, D.A., </w:t>
      </w:r>
      <w:proofErr w:type="spellStart"/>
      <w:r w:rsidRPr="009B565D">
        <w:rPr>
          <w:rFonts w:ascii="Times New Roman" w:hAnsi="Times New Roman" w:cs="Times New Roman"/>
          <w:lang w:val="en-GB"/>
        </w:rPr>
        <w:t>Kassim</w:t>
      </w:r>
      <w:proofErr w:type="spellEnd"/>
      <w:r w:rsidRPr="009B565D">
        <w:rPr>
          <w:rFonts w:ascii="Times New Roman" w:hAnsi="Times New Roman" w:cs="Times New Roman"/>
          <w:lang w:val="en-GB"/>
        </w:rPr>
        <w:t xml:space="preserve">, M., Brown, S., Haslam, C.P., Terrell, V.R., Brown, J., Nichols, P.L., </w:t>
      </w:r>
      <w:proofErr w:type="spellStart"/>
      <w:r w:rsidRPr="009B565D">
        <w:rPr>
          <w:rFonts w:ascii="Times New Roman" w:hAnsi="Times New Roman" w:cs="Times New Roman"/>
          <w:lang w:val="en-GB"/>
        </w:rPr>
        <w:t>Staton</w:t>
      </w:r>
      <w:proofErr w:type="spellEnd"/>
      <w:r w:rsidRPr="009B565D">
        <w:rPr>
          <w:rFonts w:ascii="Times New Roman" w:hAnsi="Times New Roman" w:cs="Times New Roman"/>
          <w:lang w:val="en-GB"/>
        </w:rPr>
        <w:t xml:space="preserve">, P.C., Wise, A., Dowell, S.J., 2011. Pharmacology of GPR55 in yeast and identification of GSK494581A as a mixed-activity glycine transporter subtype 1 inhibitor and GPR55 agonist.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337, 236–46. https://doi.org/10.1124/jpet.110.172650</w:t>
      </w:r>
    </w:p>
    <w:p w14:paraId="01120E6D"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Burns, H.D., Van </w:t>
      </w:r>
      <w:proofErr w:type="spellStart"/>
      <w:r w:rsidRPr="009B565D">
        <w:rPr>
          <w:rFonts w:ascii="Times New Roman" w:hAnsi="Times New Roman" w:cs="Times New Roman"/>
          <w:lang w:val="en-GB"/>
        </w:rPr>
        <w:t>Laere</w:t>
      </w:r>
      <w:proofErr w:type="spellEnd"/>
      <w:r w:rsidRPr="009B565D">
        <w:rPr>
          <w:rFonts w:ascii="Times New Roman" w:hAnsi="Times New Roman" w:cs="Times New Roman"/>
          <w:lang w:val="en-GB"/>
        </w:rPr>
        <w:t>, K., Sanabria-</w:t>
      </w:r>
      <w:proofErr w:type="spellStart"/>
      <w:r w:rsidRPr="009B565D">
        <w:rPr>
          <w:rFonts w:ascii="Times New Roman" w:hAnsi="Times New Roman" w:cs="Times New Roman"/>
          <w:lang w:val="en-GB"/>
        </w:rPr>
        <w:t>Bohorquez</w:t>
      </w:r>
      <w:proofErr w:type="spellEnd"/>
      <w:r w:rsidRPr="009B565D">
        <w:rPr>
          <w:rFonts w:ascii="Times New Roman" w:hAnsi="Times New Roman" w:cs="Times New Roman"/>
          <w:lang w:val="en-GB"/>
        </w:rPr>
        <w:t xml:space="preserve">, S., Hamill, T.G., </w:t>
      </w:r>
      <w:proofErr w:type="spellStart"/>
      <w:r w:rsidRPr="009B565D">
        <w:rPr>
          <w:rFonts w:ascii="Times New Roman" w:hAnsi="Times New Roman" w:cs="Times New Roman"/>
          <w:lang w:val="en-GB"/>
        </w:rPr>
        <w:t>Bormans</w:t>
      </w:r>
      <w:proofErr w:type="spellEnd"/>
      <w:r w:rsidRPr="009B565D">
        <w:rPr>
          <w:rFonts w:ascii="Times New Roman" w:hAnsi="Times New Roman" w:cs="Times New Roman"/>
          <w:lang w:val="en-GB"/>
        </w:rPr>
        <w:t xml:space="preserve">, G., </w:t>
      </w:r>
      <w:proofErr w:type="spellStart"/>
      <w:r w:rsidRPr="009B565D">
        <w:rPr>
          <w:rFonts w:ascii="Times New Roman" w:hAnsi="Times New Roman" w:cs="Times New Roman"/>
          <w:lang w:val="en-GB"/>
        </w:rPr>
        <w:t>Eng</w:t>
      </w:r>
      <w:proofErr w:type="spellEnd"/>
      <w:r w:rsidRPr="009B565D">
        <w:rPr>
          <w:rFonts w:ascii="Times New Roman" w:hAnsi="Times New Roman" w:cs="Times New Roman"/>
          <w:lang w:val="en-GB"/>
        </w:rPr>
        <w:t xml:space="preserve">, W. -s., Gibson, R., Ryan, C., Connolly, B., Patel, S., Krause, S., </w:t>
      </w:r>
      <w:proofErr w:type="spellStart"/>
      <w:r w:rsidRPr="009B565D">
        <w:rPr>
          <w:rFonts w:ascii="Times New Roman" w:hAnsi="Times New Roman" w:cs="Times New Roman"/>
          <w:lang w:val="en-GB"/>
        </w:rPr>
        <w:t>Vanko</w:t>
      </w:r>
      <w:proofErr w:type="spellEnd"/>
      <w:r w:rsidRPr="009B565D">
        <w:rPr>
          <w:rFonts w:ascii="Times New Roman" w:hAnsi="Times New Roman" w:cs="Times New Roman"/>
          <w:lang w:val="en-GB"/>
        </w:rPr>
        <w:t xml:space="preserve">, A., Van </w:t>
      </w:r>
      <w:proofErr w:type="spellStart"/>
      <w:r w:rsidRPr="009B565D">
        <w:rPr>
          <w:rFonts w:ascii="Times New Roman" w:hAnsi="Times New Roman" w:cs="Times New Roman"/>
          <w:lang w:val="en-GB"/>
        </w:rPr>
        <w:t>Hecken</w:t>
      </w:r>
      <w:proofErr w:type="spellEnd"/>
      <w:r w:rsidRPr="009B565D">
        <w:rPr>
          <w:rFonts w:ascii="Times New Roman" w:hAnsi="Times New Roman" w:cs="Times New Roman"/>
          <w:lang w:val="en-GB"/>
        </w:rPr>
        <w:t xml:space="preserve">, A., Dupont, P., De </w:t>
      </w:r>
      <w:proofErr w:type="spellStart"/>
      <w:r w:rsidRPr="009B565D">
        <w:rPr>
          <w:rFonts w:ascii="Times New Roman" w:hAnsi="Times New Roman" w:cs="Times New Roman"/>
          <w:lang w:val="en-GB"/>
        </w:rPr>
        <w:t>Lepeleire</w:t>
      </w:r>
      <w:proofErr w:type="spellEnd"/>
      <w:r w:rsidRPr="009B565D">
        <w:rPr>
          <w:rFonts w:ascii="Times New Roman" w:hAnsi="Times New Roman" w:cs="Times New Roman"/>
          <w:lang w:val="en-GB"/>
        </w:rPr>
        <w:t xml:space="preserve">, I., Rothenberg, P., Stoch, S.A., Cote, J., </w:t>
      </w:r>
      <w:proofErr w:type="spellStart"/>
      <w:r w:rsidRPr="009B565D">
        <w:rPr>
          <w:rFonts w:ascii="Times New Roman" w:hAnsi="Times New Roman" w:cs="Times New Roman"/>
          <w:lang w:val="en-GB"/>
        </w:rPr>
        <w:t>Hagmann</w:t>
      </w:r>
      <w:proofErr w:type="spellEnd"/>
      <w:r w:rsidRPr="009B565D">
        <w:rPr>
          <w:rFonts w:ascii="Times New Roman" w:hAnsi="Times New Roman" w:cs="Times New Roman"/>
          <w:lang w:val="en-GB"/>
        </w:rPr>
        <w:t xml:space="preserve">, W.K., Jewell, J.P., Lin, L.S., Liu, P., Goulet, M.T., </w:t>
      </w:r>
      <w:proofErr w:type="spellStart"/>
      <w:r w:rsidRPr="009B565D">
        <w:rPr>
          <w:rFonts w:ascii="Times New Roman" w:hAnsi="Times New Roman" w:cs="Times New Roman"/>
          <w:lang w:val="en-GB"/>
        </w:rPr>
        <w:t>Gottesdiener</w:t>
      </w:r>
      <w:proofErr w:type="spellEnd"/>
      <w:r w:rsidRPr="009B565D">
        <w:rPr>
          <w:rFonts w:ascii="Times New Roman" w:hAnsi="Times New Roman" w:cs="Times New Roman"/>
          <w:lang w:val="en-GB"/>
        </w:rPr>
        <w:t xml:space="preserve">, K., Wagner, J.A., de </w:t>
      </w:r>
      <w:proofErr w:type="spellStart"/>
      <w:r w:rsidRPr="009B565D">
        <w:rPr>
          <w:rFonts w:ascii="Times New Roman" w:hAnsi="Times New Roman" w:cs="Times New Roman"/>
          <w:lang w:val="en-GB"/>
        </w:rPr>
        <w:t>Hoon</w:t>
      </w:r>
      <w:proofErr w:type="spellEnd"/>
      <w:r w:rsidRPr="009B565D">
        <w:rPr>
          <w:rFonts w:ascii="Times New Roman" w:hAnsi="Times New Roman" w:cs="Times New Roman"/>
          <w:lang w:val="en-GB"/>
        </w:rPr>
        <w:t xml:space="preserve">, J., </w:t>
      </w:r>
      <w:proofErr w:type="spellStart"/>
      <w:r w:rsidRPr="009B565D">
        <w:rPr>
          <w:rFonts w:ascii="Times New Roman" w:hAnsi="Times New Roman" w:cs="Times New Roman"/>
          <w:lang w:val="en-GB"/>
        </w:rPr>
        <w:t>Mortelmans</w:t>
      </w:r>
      <w:proofErr w:type="spellEnd"/>
      <w:r w:rsidRPr="009B565D">
        <w:rPr>
          <w:rFonts w:ascii="Times New Roman" w:hAnsi="Times New Roman" w:cs="Times New Roman"/>
          <w:lang w:val="en-GB"/>
        </w:rPr>
        <w:t>, L., Fong, T.M., Hargreaves, R.J., 2007. [18F]MK-9470, a positron emission tomography (PET) tracer for in vivo human PET brain imaging of the cannabinoid-1 receptor. Proc. Natl. Acad. Sci. 104, 9800–9805. https://doi.org/10.1073/pnas.0703472104</w:t>
      </w:r>
    </w:p>
    <w:p w14:paraId="2CC01BC7"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Cheer, J.F., Cadogan, A.-K., Marsden, C.A., </w:t>
      </w:r>
      <w:proofErr w:type="spellStart"/>
      <w:r w:rsidRPr="009B565D">
        <w:rPr>
          <w:rFonts w:ascii="Times New Roman" w:hAnsi="Times New Roman" w:cs="Times New Roman"/>
          <w:lang w:val="en-GB"/>
        </w:rPr>
        <w:t>Fone</w:t>
      </w:r>
      <w:proofErr w:type="spellEnd"/>
      <w:r w:rsidRPr="009B565D">
        <w:rPr>
          <w:rFonts w:ascii="Times New Roman" w:hAnsi="Times New Roman" w:cs="Times New Roman"/>
          <w:lang w:val="en-GB"/>
        </w:rPr>
        <w:t>, K.C.F., Kendall, D.A., 1999. Modification of 5-HT 2 receptor mediated behaviour in the rat by oleamide and the role of cannabinoid receptors, Neuropharmacology.</w:t>
      </w:r>
    </w:p>
    <w:p w14:paraId="60F67344" w14:textId="77777777" w:rsidR="009B565D" w:rsidRPr="008178CC" w:rsidRDefault="009B565D" w:rsidP="009B565D">
      <w:pPr>
        <w:ind w:left="426" w:hanging="426"/>
        <w:jc w:val="both"/>
        <w:rPr>
          <w:rFonts w:ascii="Times New Roman" w:hAnsi="Times New Roman" w:cs="Times New Roman"/>
        </w:rPr>
      </w:pPr>
      <w:r w:rsidRPr="008178CC">
        <w:rPr>
          <w:rFonts w:ascii="Times New Roman" w:hAnsi="Times New Roman" w:cs="Times New Roman"/>
          <w:lang w:val="de-DE"/>
        </w:rPr>
        <w:t xml:space="preserve">Chen, W., Xu, C., Liu, H., Long, L., Zhang, W., Zheng, Z., Xie, Y., Wang, L., Li, S., 2011. </w:t>
      </w:r>
      <w:r w:rsidRPr="009B565D">
        <w:rPr>
          <w:rFonts w:ascii="Times New Roman" w:hAnsi="Times New Roman" w:cs="Times New Roman"/>
          <w:lang w:val="en-GB"/>
        </w:rPr>
        <w:t xml:space="preserve">Novel selective cannabinoid CB(1) receptor antagonist MJ08 with potent in vivo bioactivity and inverse agonistic effects. </w:t>
      </w:r>
      <w:r w:rsidRPr="008178CC">
        <w:rPr>
          <w:rFonts w:ascii="Times New Roman" w:hAnsi="Times New Roman" w:cs="Times New Roman"/>
        </w:rPr>
        <w:t>Acta Pharmacol. Sin. 32, 1148–58. https://doi.org/10.1038/aps.2011.80</w:t>
      </w:r>
    </w:p>
    <w:p w14:paraId="69B0D21A" w14:textId="77777777" w:rsidR="009B565D" w:rsidRPr="008178CC" w:rsidRDefault="009B565D" w:rsidP="009B565D">
      <w:pPr>
        <w:ind w:left="426" w:hanging="426"/>
        <w:jc w:val="both"/>
        <w:rPr>
          <w:rFonts w:ascii="Times New Roman" w:hAnsi="Times New Roman" w:cs="Times New Roman"/>
        </w:rPr>
      </w:pPr>
      <w:r w:rsidRPr="008178CC">
        <w:rPr>
          <w:rFonts w:ascii="Times New Roman" w:hAnsi="Times New Roman" w:cs="Times New Roman"/>
        </w:rPr>
        <w:lastRenderedPageBreak/>
        <w:t xml:space="preserve">Chicca, A., Marazzi, J., Gertsch, J., 2012. </w:t>
      </w:r>
      <w:r w:rsidRPr="009B565D">
        <w:rPr>
          <w:rFonts w:ascii="Times New Roman" w:hAnsi="Times New Roman" w:cs="Times New Roman"/>
          <w:lang w:val="en-GB"/>
        </w:rPr>
        <w:t>The antinociceptive triterpene β-</w:t>
      </w:r>
      <w:proofErr w:type="spellStart"/>
      <w:r w:rsidRPr="009B565D">
        <w:rPr>
          <w:rFonts w:ascii="Times New Roman" w:hAnsi="Times New Roman" w:cs="Times New Roman"/>
          <w:lang w:val="en-GB"/>
        </w:rPr>
        <w:t>amyrin</w:t>
      </w:r>
      <w:proofErr w:type="spellEnd"/>
      <w:r w:rsidRPr="009B565D">
        <w:rPr>
          <w:rFonts w:ascii="Times New Roman" w:hAnsi="Times New Roman" w:cs="Times New Roman"/>
          <w:lang w:val="en-GB"/>
        </w:rPr>
        <w:t xml:space="preserve"> inhibits 2-arachidonoylglycerol (2-AG) hydrolysis without directly targeting cannabinoid receptors. </w:t>
      </w:r>
      <w:r w:rsidRPr="008178CC">
        <w:rPr>
          <w:rFonts w:ascii="Times New Roman" w:hAnsi="Times New Roman" w:cs="Times New Roman"/>
        </w:rPr>
        <w:t>Br. J. Pharmacol. 167, 1596–608. https://doi.org/10.1111/j.1476-5381.2012.02059.x</w:t>
      </w:r>
    </w:p>
    <w:p w14:paraId="3F79223C" w14:textId="77777777" w:rsidR="009B565D" w:rsidRPr="009B565D" w:rsidRDefault="009B565D" w:rsidP="009B565D">
      <w:pPr>
        <w:ind w:left="426" w:hanging="426"/>
        <w:jc w:val="both"/>
        <w:rPr>
          <w:rFonts w:ascii="Times New Roman" w:hAnsi="Times New Roman" w:cs="Times New Roman"/>
          <w:lang w:val="en-GB"/>
        </w:rPr>
      </w:pPr>
      <w:r w:rsidRPr="008178CC">
        <w:rPr>
          <w:rFonts w:ascii="Times New Roman" w:hAnsi="Times New Roman" w:cs="Times New Roman"/>
        </w:rPr>
        <w:t xml:space="preserve">De Petrocellis, L., Orlando, P., Moriello, A.S., Aviello, G., Stott, C., Izzo, A.A., Di Marzo, V., 2012. </w:t>
      </w:r>
      <w:r w:rsidRPr="009B565D">
        <w:rPr>
          <w:rFonts w:ascii="Times New Roman" w:hAnsi="Times New Roman" w:cs="Times New Roman"/>
          <w:lang w:val="en-GB"/>
        </w:rPr>
        <w:t>Cannabinoid actions at TRPV channels: effects on TRPV3 and TRPV4 and their potential relevance to gastrointestinal inflammation. Acta Physiol. (</w:t>
      </w:r>
      <w:proofErr w:type="spellStart"/>
      <w:r w:rsidRPr="009B565D">
        <w:rPr>
          <w:rFonts w:ascii="Times New Roman" w:hAnsi="Times New Roman" w:cs="Times New Roman"/>
          <w:lang w:val="en-GB"/>
        </w:rPr>
        <w:t>Oxf</w:t>
      </w:r>
      <w:proofErr w:type="spellEnd"/>
      <w:r w:rsidRPr="009B565D">
        <w:rPr>
          <w:rFonts w:ascii="Times New Roman" w:hAnsi="Times New Roman" w:cs="Times New Roman"/>
          <w:lang w:val="en-GB"/>
        </w:rPr>
        <w:t>). 204, 255–266. https://doi.org/10.1111/j.1748-1716.2011.02338.x</w:t>
      </w:r>
    </w:p>
    <w:p w14:paraId="25233C21"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del Rio, C., </w:t>
      </w:r>
      <w:proofErr w:type="spellStart"/>
      <w:r w:rsidRPr="009B565D">
        <w:rPr>
          <w:rFonts w:ascii="Times New Roman" w:hAnsi="Times New Roman" w:cs="Times New Roman"/>
          <w:lang w:val="en-GB"/>
        </w:rPr>
        <w:t>Cantarero</w:t>
      </w:r>
      <w:proofErr w:type="spellEnd"/>
      <w:r w:rsidRPr="009B565D">
        <w:rPr>
          <w:rFonts w:ascii="Times New Roman" w:hAnsi="Times New Roman" w:cs="Times New Roman"/>
          <w:lang w:val="en-GB"/>
        </w:rPr>
        <w:t xml:space="preserve">, I., </w:t>
      </w:r>
      <w:proofErr w:type="spellStart"/>
      <w:r w:rsidRPr="009B565D">
        <w:rPr>
          <w:rFonts w:ascii="Times New Roman" w:hAnsi="Times New Roman" w:cs="Times New Roman"/>
          <w:lang w:val="en-GB"/>
        </w:rPr>
        <w:t>Palomares</w:t>
      </w:r>
      <w:proofErr w:type="spellEnd"/>
      <w:r w:rsidRPr="009B565D">
        <w:rPr>
          <w:rFonts w:ascii="Times New Roman" w:hAnsi="Times New Roman" w:cs="Times New Roman"/>
          <w:lang w:val="en-GB"/>
        </w:rPr>
        <w:t>, B., Gómez-</w:t>
      </w:r>
      <w:proofErr w:type="spellStart"/>
      <w:r w:rsidRPr="009B565D">
        <w:rPr>
          <w:rFonts w:ascii="Times New Roman" w:hAnsi="Times New Roman" w:cs="Times New Roman"/>
          <w:lang w:val="en-GB"/>
        </w:rPr>
        <w:t>Cañas</w:t>
      </w:r>
      <w:proofErr w:type="spellEnd"/>
      <w:r w:rsidRPr="009B565D">
        <w:rPr>
          <w:rFonts w:ascii="Times New Roman" w:hAnsi="Times New Roman" w:cs="Times New Roman"/>
          <w:lang w:val="en-GB"/>
        </w:rPr>
        <w:t xml:space="preserve">, M., Fernández-Ruiz, J., Pavicic, C., García-Martín, A., Luz </w:t>
      </w:r>
      <w:proofErr w:type="spellStart"/>
      <w:r w:rsidRPr="009B565D">
        <w:rPr>
          <w:rFonts w:ascii="Times New Roman" w:hAnsi="Times New Roman" w:cs="Times New Roman"/>
          <w:lang w:val="en-GB"/>
        </w:rPr>
        <w:t>Bellido</w:t>
      </w:r>
      <w:proofErr w:type="spellEnd"/>
      <w:r w:rsidRPr="009B565D">
        <w:rPr>
          <w:rFonts w:ascii="Times New Roman" w:hAnsi="Times New Roman" w:cs="Times New Roman"/>
          <w:lang w:val="en-GB"/>
        </w:rPr>
        <w:t xml:space="preserve">, M., Ortega-Castro, R., Pérez-Sánchez, C., López-Pedrera, C., </w:t>
      </w:r>
      <w:proofErr w:type="spellStart"/>
      <w:r w:rsidRPr="009B565D">
        <w:rPr>
          <w:rFonts w:ascii="Times New Roman" w:hAnsi="Times New Roman" w:cs="Times New Roman"/>
          <w:lang w:val="en-GB"/>
        </w:rPr>
        <w:t>Appendino</w:t>
      </w:r>
      <w:proofErr w:type="spellEnd"/>
      <w:r w:rsidRPr="009B565D">
        <w:rPr>
          <w:rFonts w:ascii="Times New Roman" w:hAnsi="Times New Roman" w:cs="Times New Roman"/>
          <w:lang w:val="en-GB"/>
        </w:rPr>
        <w:t xml:space="preserve">, G., </w:t>
      </w:r>
      <w:proofErr w:type="spellStart"/>
      <w:r w:rsidRPr="009B565D">
        <w:rPr>
          <w:rFonts w:ascii="Times New Roman" w:hAnsi="Times New Roman" w:cs="Times New Roman"/>
          <w:lang w:val="en-GB"/>
        </w:rPr>
        <w:t>Calzado</w:t>
      </w:r>
      <w:proofErr w:type="spellEnd"/>
      <w:r w:rsidRPr="009B565D">
        <w:rPr>
          <w:rFonts w:ascii="Times New Roman" w:hAnsi="Times New Roman" w:cs="Times New Roman"/>
          <w:lang w:val="en-GB"/>
        </w:rPr>
        <w:t xml:space="preserve">, M.A., Muñoz, E., 2018. VCE-004.3, a cannabidiol </w:t>
      </w:r>
      <w:proofErr w:type="spellStart"/>
      <w:r w:rsidRPr="009B565D">
        <w:rPr>
          <w:rFonts w:ascii="Times New Roman" w:hAnsi="Times New Roman" w:cs="Times New Roman"/>
          <w:lang w:val="en-GB"/>
        </w:rPr>
        <w:t>aminoquinone</w:t>
      </w:r>
      <w:proofErr w:type="spellEnd"/>
      <w:r w:rsidRPr="009B565D">
        <w:rPr>
          <w:rFonts w:ascii="Times New Roman" w:hAnsi="Times New Roman" w:cs="Times New Roman"/>
          <w:lang w:val="en-GB"/>
        </w:rPr>
        <w:t xml:space="preserve"> derivative, prevents bleomycin-induced skin fibrosis and inflammation through </w:t>
      </w:r>
      <w:proofErr w:type="spellStart"/>
      <w:r w:rsidRPr="009B565D">
        <w:rPr>
          <w:rFonts w:ascii="Times New Roman" w:hAnsi="Times New Roman" w:cs="Times New Roman"/>
          <w:lang w:val="en-GB"/>
        </w:rPr>
        <w:t>PPARγ</w:t>
      </w:r>
      <w:proofErr w:type="spellEnd"/>
      <w:r w:rsidRPr="009B565D">
        <w:rPr>
          <w:rFonts w:ascii="Times New Roman" w:hAnsi="Times New Roman" w:cs="Times New Roman"/>
          <w:lang w:val="en-GB"/>
        </w:rPr>
        <w:t xml:space="preserve">- and CB2 receptor-dependent pathways.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175, 3813–3831. https://doi.org/10.1111/bph.14450</w:t>
      </w:r>
    </w:p>
    <w:p w14:paraId="53C679C8"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Di </w:t>
      </w:r>
      <w:proofErr w:type="spellStart"/>
      <w:r w:rsidRPr="009B565D">
        <w:rPr>
          <w:rFonts w:ascii="Times New Roman" w:hAnsi="Times New Roman" w:cs="Times New Roman"/>
          <w:lang w:val="en-GB"/>
        </w:rPr>
        <w:t>Marzo</w:t>
      </w:r>
      <w:proofErr w:type="spellEnd"/>
      <w:r w:rsidRPr="009B565D">
        <w:rPr>
          <w:rFonts w:ascii="Times New Roman" w:hAnsi="Times New Roman" w:cs="Times New Roman"/>
          <w:lang w:val="en-GB"/>
        </w:rPr>
        <w:t xml:space="preserve">, V., </w:t>
      </w:r>
      <w:proofErr w:type="spellStart"/>
      <w:r w:rsidRPr="009B565D">
        <w:rPr>
          <w:rFonts w:ascii="Times New Roman" w:hAnsi="Times New Roman" w:cs="Times New Roman"/>
          <w:lang w:val="en-GB"/>
        </w:rPr>
        <w:t>Bisogno</w:t>
      </w:r>
      <w:proofErr w:type="spellEnd"/>
      <w:r w:rsidRPr="009B565D">
        <w:rPr>
          <w:rFonts w:ascii="Times New Roman" w:hAnsi="Times New Roman" w:cs="Times New Roman"/>
          <w:lang w:val="en-GB"/>
        </w:rPr>
        <w:t xml:space="preserve">, T., De </w:t>
      </w:r>
      <w:proofErr w:type="spellStart"/>
      <w:r w:rsidRPr="009B565D">
        <w:rPr>
          <w:rFonts w:ascii="Times New Roman" w:hAnsi="Times New Roman" w:cs="Times New Roman"/>
          <w:lang w:val="en-GB"/>
        </w:rPr>
        <w:t>Petrocellis</w:t>
      </w:r>
      <w:proofErr w:type="spellEnd"/>
      <w:r w:rsidRPr="009B565D">
        <w:rPr>
          <w:rFonts w:ascii="Times New Roman" w:hAnsi="Times New Roman" w:cs="Times New Roman"/>
          <w:lang w:val="en-GB"/>
        </w:rPr>
        <w:t xml:space="preserve">, L., Brandi, I., Jefferson, R.G., </w:t>
      </w:r>
      <w:proofErr w:type="spellStart"/>
      <w:r w:rsidRPr="009B565D">
        <w:rPr>
          <w:rFonts w:ascii="Times New Roman" w:hAnsi="Times New Roman" w:cs="Times New Roman"/>
          <w:lang w:val="en-GB"/>
        </w:rPr>
        <w:t>Winckler</w:t>
      </w:r>
      <w:proofErr w:type="spellEnd"/>
      <w:r w:rsidRPr="009B565D">
        <w:rPr>
          <w:rFonts w:ascii="Times New Roman" w:hAnsi="Times New Roman" w:cs="Times New Roman"/>
          <w:lang w:val="en-GB"/>
        </w:rPr>
        <w:t xml:space="preserve">, R.L., Davis, J.B., </w:t>
      </w:r>
      <w:proofErr w:type="spellStart"/>
      <w:r w:rsidRPr="009B565D">
        <w:rPr>
          <w:rFonts w:ascii="Times New Roman" w:hAnsi="Times New Roman" w:cs="Times New Roman"/>
          <w:lang w:val="en-GB"/>
        </w:rPr>
        <w:t>Dasse</w:t>
      </w:r>
      <w:proofErr w:type="spellEnd"/>
      <w:r w:rsidRPr="009B565D">
        <w:rPr>
          <w:rFonts w:ascii="Times New Roman" w:hAnsi="Times New Roman" w:cs="Times New Roman"/>
          <w:lang w:val="en-GB"/>
        </w:rPr>
        <w:t xml:space="preserve">, O., Mahadevan, A., </w:t>
      </w:r>
      <w:proofErr w:type="spellStart"/>
      <w:r w:rsidRPr="009B565D">
        <w:rPr>
          <w:rFonts w:ascii="Times New Roman" w:hAnsi="Times New Roman" w:cs="Times New Roman"/>
          <w:lang w:val="en-GB"/>
        </w:rPr>
        <w:t>Razdan</w:t>
      </w:r>
      <w:proofErr w:type="spellEnd"/>
      <w:r w:rsidRPr="009B565D">
        <w:rPr>
          <w:rFonts w:ascii="Times New Roman" w:hAnsi="Times New Roman" w:cs="Times New Roman"/>
          <w:lang w:val="en-GB"/>
        </w:rPr>
        <w:t xml:space="preserve">, R.K., Martin, B.R., 2001. Highly Selective CB1 Cannabinoid Receptor Ligands and Novel CB1/VR1 Vanilloid Receptor “Hybrid” Ligands. </w:t>
      </w:r>
      <w:proofErr w:type="spellStart"/>
      <w:r w:rsidRPr="009B565D">
        <w:rPr>
          <w:rFonts w:ascii="Times New Roman" w:hAnsi="Times New Roman" w:cs="Times New Roman"/>
          <w:lang w:val="en-GB"/>
        </w:rPr>
        <w:t>Biochem</w:t>
      </w:r>
      <w:proofErr w:type="spellEnd"/>
      <w:r w:rsidRPr="009B565D">
        <w:rPr>
          <w:rFonts w:ascii="Times New Roman" w:hAnsi="Times New Roman" w:cs="Times New Roman"/>
          <w:lang w:val="en-GB"/>
        </w:rPr>
        <w:t xml:space="preserve">. </w:t>
      </w:r>
      <w:proofErr w:type="spellStart"/>
      <w:r w:rsidRPr="009B565D">
        <w:rPr>
          <w:rFonts w:ascii="Times New Roman" w:hAnsi="Times New Roman" w:cs="Times New Roman"/>
          <w:lang w:val="en-GB"/>
        </w:rPr>
        <w:t>Biophys</w:t>
      </w:r>
      <w:proofErr w:type="spellEnd"/>
      <w:r w:rsidRPr="009B565D">
        <w:rPr>
          <w:rFonts w:ascii="Times New Roman" w:hAnsi="Times New Roman" w:cs="Times New Roman"/>
          <w:lang w:val="en-GB"/>
        </w:rPr>
        <w:t xml:space="preserve">. Res. </w:t>
      </w:r>
      <w:proofErr w:type="spellStart"/>
      <w:r w:rsidRPr="009B565D">
        <w:rPr>
          <w:rFonts w:ascii="Times New Roman" w:hAnsi="Times New Roman" w:cs="Times New Roman"/>
          <w:lang w:val="en-GB"/>
        </w:rPr>
        <w:t>Commun</w:t>
      </w:r>
      <w:proofErr w:type="spellEnd"/>
      <w:r w:rsidRPr="009B565D">
        <w:rPr>
          <w:rFonts w:ascii="Times New Roman" w:hAnsi="Times New Roman" w:cs="Times New Roman"/>
          <w:lang w:val="en-GB"/>
        </w:rPr>
        <w:t>. 281, 444–451. https://doi.org/10.1006/BBRC.2001.4354</w:t>
      </w:r>
    </w:p>
    <w:p w14:paraId="003AC58D"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Dziadulewicz</w:t>
      </w:r>
      <w:proofErr w:type="spellEnd"/>
      <w:r w:rsidRPr="009B565D">
        <w:rPr>
          <w:rFonts w:ascii="Times New Roman" w:hAnsi="Times New Roman" w:cs="Times New Roman"/>
          <w:lang w:val="en-GB"/>
        </w:rPr>
        <w:t xml:space="preserve">, E.K., Bevan, S.J., Brain, C.T., </w:t>
      </w:r>
      <w:proofErr w:type="spellStart"/>
      <w:r w:rsidRPr="009B565D">
        <w:rPr>
          <w:rFonts w:ascii="Times New Roman" w:hAnsi="Times New Roman" w:cs="Times New Roman"/>
          <w:lang w:val="en-GB"/>
        </w:rPr>
        <w:t>Coote</w:t>
      </w:r>
      <w:proofErr w:type="spellEnd"/>
      <w:r w:rsidRPr="009B565D">
        <w:rPr>
          <w:rFonts w:ascii="Times New Roman" w:hAnsi="Times New Roman" w:cs="Times New Roman"/>
          <w:lang w:val="en-GB"/>
        </w:rPr>
        <w:t xml:space="preserve">, P.R., Culshaw, A.J., Davis, A.J., Edwards, L.J., Fisher, A.J., Fox, A.J., Gentry, C., </w:t>
      </w:r>
      <w:proofErr w:type="spellStart"/>
      <w:r w:rsidRPr="009B565D">
        <w:rPr>
          <w:rFonts w:ascii="Times New Roman" w:hAnsi="Times New Roman" w:cs="Times New Roman"/>
          <w:lang w:val="en-GB"/>
        </w:rPr>
        <w:t>Groarke</w:t>
      </w:r>
      <w:proofErr w:type="spellEnd"/>
      <w:r w:rsidRPr="009B565D">
        <w:rPr>
          <w:rFonts w:ascii="Times New Roman" w:hAnsi="Times New Roman" w:cs="Times New Roman"/>
          <w:lang w:val="en-GB"/>
        </w:rPr>
        <w:t xml:space="preserve">, A., Hart, T.W., Huber, W., James, I.F., </w:t>
      </w:r>
      <w:proofErr w:type="spellStart"/>
      <w:r w:rsidRPr="009B565D">
        <w:rPr>
          <w:rFonts w:ascii="Times New Roman" w:hAnsi="Times New Roman" w:cs="Times New Roman"/>
          <w:lang w:val="en-GB"/>
        </w:rPr>
        <w:t>Kesingland</w:t>
      </w:r>
      <w:proofErr w:type="spellEnd"/>
      <w:r w:rsidRPr="009B565D">
        <w:rPr>
          <w:rFonts w:ascii="Times New Roman" w:hAnsi="Times New Roman" w:cs="Times New Roman"/>
          <w:lang w:val="en-GB"/>
        </w:rPr>
        <w:t xml:space="preserve">, A., </w:t>
      </w:r>
      <w:proofErr w:type="spellStart"/>
      <w:r w:rsidRPr="009B565D">
        <w:rPr>
          <w:rFonts w:ascii="Times New Roman" w:hAnsi="Times New Roman" w:cs="Times New Roman"/>
          <w:lang w:val="en-GB"/>
        </w:rPr>
        <w:t>Vecchia</w:t>
      </w:r>
      <w:proofErr w:type="spellEnd"/>
      <w:r w:rsidRPr="009B565D">
        <w:rPr>
          <w:rFonts w:ascii="Times New Roman" w:hAnsi="Times New Roman" w:cs="Times New Roman"/>
          <w:lang w:val="en-GB"/>
        </w:rPr>
        <w:t xml:space="preserve">, L. La, Loong, Y., </w:t>
      </w:r>
      <w:proofErr w:type="spellStart"/>
      <w:r w:rsidRPr="009B565D">
        <w:rPr>
          <w:rFonts w:ascii="Times New Roman" w:hAnsi="Times New Roman" w:cs="Times New Roman"/>
          <w:lang w:val="en-GB"/>
        </w:rPr>
        <w:t>Lyothier</w:t>
      </w:r>
      <w:proofErr w:type="spellEnd"/>
      <w:r w:rsidRPr="009B565D">
        <w:rPr>
          <w:rFonts w:ascii="Times New Roman" w:hAnsi="Times New Roman" w:cs="Times New Roman"/>
          <w:lang w:val="en-GB"/>
        </w:rPr>
        <w:t xml:space="preserve">, I., </w:t>
      </w:r>
      <w:proofErr w:type="spellStart"/>
      <w:r w:rsidRPr="009B565D">
        <w:rPr>
          <w:rFonts w:ascii="Times New Roman" w:hAnsi="Times New Roman" w:cs="Times New Roman"/>
          <w:lang w:val="en-GB"/>
        </w:rPr>
        <w:t>Mcnair</w:t>
      </w:r>
      <w:proofErr w:type="spellEnd"/>
      <w:r w:rsidRPr="009B565D">
        <w:rPr>
          <w:rFonts w:ascii="Times New Roman" w:hAnsi="Times New Roman" w:cs="Times New Roman"/>
          <w:lang w:val="en-GB"/>
        </w:rPr>
        <w:t xml:space="preserve">, K., </w:t>
      </w:r>
      <w:proofErr w:type="spellStart"/>
      <w:r w:rsidRPr="009B565D">
        <w:rPr>
          <w:rFonts w:ascii="Times New Roman" w:hAnsi="Times New Roman" w:cs="Times New Roman"/>
          <w:lang w:val="en-GB"/>
        </w:rPr>
        <w:t>O’farrell</w:t>
      </w:r>
      <w:proofErr w:type="spellEnd"/>
      <w:r w:rsidRPr="009B565D">
        <w:rPr>
          <w:rFonts w:ascii="Times New Roman" w:hAnsi="Times New Roman" w:cs="Times New Roman"/>
          <w:lang w:val="en-GB"/>
        </w:rPr>
        <w:t xml:space="preserve">, C., Peacock, M., </w:t>
      </w:r>
      <w:proofErr w:type="spellStart"/>
      <w:r w:rsidRPr="009B565D">
        <w:rPr>
          <w:rFonts w:ascii="Times New Roman" w:hAnsi="Times New Roman" w:cs="Times New Roman"/>
          <w:lang w:val="en-GB"/>
        </w:rPr>
        <w:t>Portmann</w:t>
      </w:r>
      <w:proofErr w:type="spellEnd"/>
      <w:r w:rsidRPr="009B565D">
        <w:rPr>
          <w:rFonts w:ascii="Times New Roman" w:hAnsi="Times New Roman" w:cs="Times New Roman"/>
          <w:lang w:val="en-GB"/>
        </w:rPr>
        <w:t xml:space="preserve">, R., </w:t>
      </w:r>
      <w:proofErr w:type="spellStart"/>
      <w:r w:rsidRPr="009B565D">
        <w:rPr>
          <w:rFonts w:ascii="Times New Roman" w:hAnsi="Times New Roman" w:cs="Times New Roman"/>
          <w:lang w:val="en-GB"/>
        </w:rPr>
        <w:t>Schopfer</w:t>
      </w:r>
      <w:proofErr w:type="spellEnd"/>
      <w:r w:rsidRPr="009B565D">
        <w:rPr>
          <w:rFonts w:ascii="Times New Roman" w:hAnsi="Times New Roman" w:cs="Times New Roman"/>
          <w:lang w:val="en-GB"/>
        </w:rPr>
        <w:t xml:space="preserve">, U., Yaqoob, M., </w:t>
      </w:r>
      <w:proofErr w:type="spellStart"/>
      <w:r w:rsidRPr="009B565D">
        <w:rPr>
          <w:rFonts w:ascii="Times New Roman" w:hAnsi="Times New Roman" w:cs="Times New Roman"/>
          <w:lang w:val="en-GB"/>
        </w:rPr>
        <w:t>Zadrobilek</w:t>
      </w:r>
      <w:proofErr w:type="spellEnd"/>
      <w:r w:rsidRPr="009B565D">
        <w:rPr>
          <w:rFonts w:ascii="Times New Roman" w:hAnsi="Times New Roman" w:cs="Times New Roman"/>
          <w:lang w:val="en-GB"/>
        </w:rPr>
        <w:t>, J., 2007. Naphthalen-1-yl-(4-pentyloxynaphthalen-1-yl)</w:t>
      </w:r>
      <w:proofErr w:type="spellStart"/>
      <w:r w:rsidRPr="009B565D">
        <w:rPr>
          <w:rFonts w:ascii="Times New Roman" w:hAnsi="Times New Roman" w:cs="Times New Roman"/>
          <w:lang w:val="en-GB"/>
        </w:rPr>
        <w:t>methanone</w:t>
      </w:r>
      <w:proofErr w:type="spellEnd"/>
      <w:r w:rsidRPr="009B565D">
        <w:rPr>
          <w:rFonts w:ascii="Times New Roman" w:hAnsi="Times New Roman" w:cs="Times New Roman"/>
          <w:lang w:val="en-GB"/>
        </w:rPr>
        <w:t xml:space="preserve">: A Potent, Orally Bioavailable Human CB 1 /CB 2 Dual Agonist with </w:t>
      </w:r>
      <w:proofErr w:type="spellStart"/>
      <w:r w:rsidRPr="009B565D">
        <w:rPr>
          <w:rFonts w:ascii="Times New Roman" w:hAnsi="Times New Roman" w:cs="Times New Roman"/>
          <w:lang w:val="en-GB"/>
        </w:rPr>
        <w:t>Antihyperalgesic</w:t>
      </w:r>
      <w:proofErr w:type="spellEnd"/>
      <w:r w:rsidRPr="009B565D">
        <w:rPr>
          <w:rFonts w:ascii="Times New Roman" w:hAnsi="Times New Roman" w:cs="Times New Roman"/>
          <w:lang w:val="en-GB"/>
        </w:rPr>
        <w:t xml:space="preserve"> Properties and Restricted Central Nervous System Penetration. https://doi.org/10.1021/jm070317a</w:t>
      </w:r>
    </w:p>
    <w:p w14:paraId="69B9682B"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Felder, C.C., Joyce, K.E., Briley, E.M., Glass, M., Mackie, K.P., Fahey, K.J., Cullinan, G.J., </w:t>
      </w:r>
      <w:proofErr w:type="spellStart"/>
      <w:r w:rsidRPr="009B565D">
        <w:rPr>
          <w:rFonts w:ascii="Times New Roman" w:hAnsi="Times New Roman" w:cs="Times New Roman"/>
          <w:lang w:val="en-GB"/>
        </w:rPr>
        <w:t>Hunden</w:t>
      </w:r>
      <w:proofErr w:type="spellEnd"/>
      <w:r w:rsidRPr="009B565D">
        <w:rPr>
          <w:rFonts w:ascii="Times New Roman" w:hAnsi="Times New Roman" w:cs="Times New Roman"/>
          <w:lang w:val="en-GB"/>
        </w:rPr>
        <w:t xml:space="preserve">, D.C., Johnson, D.W., Chaney, M.O., Koppel, G.A., Brownstein, M., 1998. LY320135, a novel cannabinoid CB1 receptor antagonist, unmasks coupling of the CB1 receptor to stimulation of cAMP accumulation.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284, 291–7.</w:t>
      </w:r>
    </w:p>
    <w:p w14:paraId="08DE3170"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Felder, C.C., Joyce, K.E., Briley, E.M., Mansouri, J., Mackie, K., Blond, O., Lai, Y., Ma, A.L., Mitchell, R.L., 1995. Comparison of the pharmacology and signal transduction of the human cannabinoid CB1 and CB2 receptors. Mol.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48, 443–50.</w:t>
      </w:r>
    </w:p>
    <w:p w14:paraId="4F1B4232"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Fong, T.M., Guan, X.-M., Marsh, D.J., Shen, C.-P., Stribling, D.S., Rosko, K.M., Lao, J., Yu, H., Feng, Y., Xiao, J.C., Van der Ploeg, L.H.T., Goulet, M.T., </w:t>
      </w:r>
      <w:proofErr w:type="spellStart"/>
      <w:r w:rsidRPr="009B565D">
        <w:rPr>
          <w:rFonts w:ascii="Times New Roman" w:hAnsi="Times New Roman" w:cs="Times New Roman"/>
          <w:lang w:val="en-GB"/>
        </w:rPr>
        <w:t>Hagmann</w:t>
      </w:r>
      <w:proofErr w:type="spellEnd"/>
      <w:r w:rsidRPr="009B565D">
        <w:rPr>
          <w:rFonts w:ascii="Times New Roman" w:hAnsi="Times New Roman" w:cs="Times New Roman"/>
          <w:lang w:val="en-GB"/>
        </w:rPr>
        <w:t xml:space="preserve">, W.K., Lin, L.S., Lanza, T.J., Jewell, J.P., Liu, P., Shah, S.K., Qi, H., Tong, X., Wang, J., Xu, S.S., Francis, B., </w:t>
      </w:r>
      <w:proofErr w:type="spellStart"/>
      <w:r w:rsidRPr="009B565D">
        <w:rPr>
          <w:rFonts w:ascii="Times New Roman" w:hAnsi="Times New Roman" w:cs="Times New Roman"/>
          <w:lang w:val="en-GB"/>
        </w:rPr>
        <w:t>Strack</w:t>
      </w:r>
      <w:proofErr w:type="spellEnd"/>
      <w:r w:rsidRPr="009B565D">
        <w:rPr>
          <w:rFonts w:ascii="Times New Roman" w:hAnsi="Times New Roman" w:cs="Times New Roman"/>
          <w:lang w:val="en-GB"/>
        </w:rPr>
        <w:t xml:space="preserve">, A.M., </w:t>
      </w:r>
      <w:proofErr w:type="spellStart"/>
      <w:r w:rsidRPr="009B565D">
        <w:rPr>
          <w:rFonts w:ascii="Times New Roman" w:hAnsi="Times New Roman" w:cs="Times New Roman"/>
          <w:lang w:val="en-GB"/>
        </w:rPr>
        <w:t>MacIntyre</w:t>
      </w:r>
      <w:proofErr w:type="spellEnd"/>
      <w:r w:rsidRPr="009B565D">
        <w:rPr>
          <w:rFonts w:ascii="Times New Roman" w:hAnsi="Times New Roman" w:cs="Times New Roman"/>
          <w:lang w:val="en-GB"/>
        </w:rPr>
        <w:t xml:space="preserve">, D.E., Shearman, L.P., 2007. </w:t>
      </w:r>
      <w:proofErr w:type="spellStart"/>
      <w:r w:rsidRPr="009B565D">
        <w:rPr>
          <w:rFonts w:ascii="Times New Roman" w:hAnsi="Times New Roman" w:cs="Times New Roman"/>
          <w:lang w:val="en-GB"/>
        </w:rPr>
        <w:t>Antiobesity</w:t>
      </w:r>
      <w:proofErr w:type="spellEnd"/>
      <w:r w:rsidRPr="009B565D">
        <w:rPr>
          <w:rFonts w:ascii="Times New Roman" w:hAnsi="Times New Roman" w:cs="Times New Roman"/>
          <w:lang w:val="en-GB"/>
        </w:rPr>
        <w:t xml:space="preserve"> Efficacy of a Novel Cannabinoid-1 Receptor Inverse Agonist, N-[(1S,2S)-3-(4-Chlorophenyl)-2-(3-cyanophenyl)-1-methylpropyl]-2-methyl-2- </w:t>
      </w:r>
      <w:proofErr w:type="spellStart"/>
      <w:r w:rsidRPr="009B565D">
        <w:rPr>
          <w:rFonts w:ascii="Times New Roman" w:hAnsi="Times New Roman" w:cs="Times New Roman"/>
          <w:lang w:val="en-GB"/>
        </w:rPr>
        <w:t>propanamide</w:t>
      </w:r>
      <w:proofErr w:type="spellEnd"/>
      <w:r w:rsidRPr="009B565D">
        <w:rPr>
          <w:rFonts w:ascii="Times New Roman" w:hAnsi="Times New Roman" w:cs="Times New Roman"/>
          <w:lang w:val="en-GB"/>
        </w:rPr>
        <w:t xml:space="preserve"> (MK-0364), in Rodents.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321, 1013–1022. https://doi.org/10.1124/jpet.106.118737</w:t>
      </w:r>
    </w:p>
    <w:p w14:paraId="63C74DF5"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Frost, J.M., Dart, M.J., </w:t>
      </w:r>
      <w:proofErr w:type="spellStart"/>
      <w:r w:rsidRPr="009B565D">
        <w:rPr>
          <w:rFonts w:ascii="Times New Roman" w:hAnsi="Times New Roman" w:cs="Times New Roman"/>
          <w:lang w:val="en-GB"/>
        </w:rPr>
        <w:t>Tietje</w:t>
      </w:r>
      <w:proofErr w:type="spellEnd"/>
      <w:r w:rsidRPr="009B565D">
        <w:rPr>
          <w:rFonts w:ascii="Times New Roman" w:hAnsi="Times New Roman" w:cs="Times New Roman"/>
          <w:lang w:val="en-GB"/>
        </w:rPr>
        <w:t xml:space="preserve">, K.R., Garrison, T.R., Grayson, G.K., </w:t>
      </w:r>
      <w:proofErr w:type="spellStart"/>
      <w:r w:rsidRPr="009B565D">
        <w:rPr>
          <w:rFonts w:ascii="Times New Roman" w:hAnsi="Times New Roman" w:cs="Times New Roman"/>
          <w:lang w:val="en-GB"/>
        </w:rPr>
        <w:t>Daza</w:t>
      </w:r>
      <w:proofErr w:type="spellEnd"/>
      <w:r w:rsidRPr="009B565D">
        <w:rPr>
          <w:rFonts w:ascii="Times New Roman" w:hAnsi="Times New Roman" w:cs="Times New Roman"/>
          <w:lang w:val="en-GB"/>
        </w:rPr>
        <w:t>, A. V., El-</w:t>
      </w:r>
      <w:proofErr w:type="spellStart"/>
      <w:r w:rsidRPr="009B565D">
        <w:rPr>
          <w:rFonts w:ascii="Times New Roman" w:hAnsi="Times New Roman" w:cs="Times New Roman"/>
          <w:lang w:val="en-GB"/>
        </w:rPr>
        <w:t>Kouhen</w:t>
      </w:r>
      <w:proofErr w:type="spellEnd"/>
      <w:r w:rsidRPr="009B565D">
        <w:rPr>
          <w:rFonts w:ascii="Times New Roman" w:hAnsi="Times New Roman" w:cs="Times New Roman"/>
          <w:lang w:val="en-GB"/>
        </w:rPr>
        <w:t>, O.F., Yao, B.B., Hsieh, G.C., Pai, M., Zhu, C.Z., Chandran, P., Meyer, M.D., 2010. Indol-3-ylcycloalkyl Ketones: Effects of N1 Substituted Indole Side Chain Variations on CB 2 Cannabinoid Receptor Activity. J. Med. Chem. 53, 295–315. https://doi.org/10.1021/jm901214q</w:t>
      </w:r>
    </w:p>
    <w:p w14:paraId="70068904"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Gallant, M., Dufresne, C., </w:t>
      </w:r>
      <w:proofErr w:type="spellStart"/>
      <w:r w:rsidRPr="009B565D">
        <w:rPr>
          <w:rFonts w:ascii="Times New Roman" w:hAnsi="Times New Roman" w:cs="Times New Roman"/>
          <w:lang w:val="en-GB"/>
        </w:rPr>
        <w:t>Gareau</w:t>
      </w:r>
      <w:proofErr w:type="spellEnd"/>
      <w:r w:rsidRPr="009B565D">
        <w:rPr>
          <w:rFonts w:ascii="Times New Roman" w:hAnsi="Times New Roman" w:cs="Times New Roman"/>
          <w:lang w:val="en-GB"/>
        </w:rPr>
        <w:t xml:space="preserve">, Y., </w:t>
      </w:r>
      <w:proofErr w:type="spellStart"/>
      <w:r w:rsidRPr="009B565D">
        <w:rPr>
          <w:rFonts w:ascii="Times New Roman" w:hAnsi="Times New Roman" w:cs="Times New Roman"/>
          <w:lang w:val="en-GB"/>
        </w:rPr>
        <w:t>Guay</w:t>
      </w:r>
      <w:proofErr w:type="spellEnd"/>
      <w:r w:rsidRPr="009B565D">
        <w:rPr>
          <w:rFonts w:ascii="Times New Roman" w:hAnsi="Times New Roman" w:cs="Times New Roman"/>
          <w:lang w:val="en-GB"/>
        </w:rPr>
        <w:t xml:space="preserve">, D., Leblanc, Y., Prasit, P., Rochette, C., Sawyer, N., </w:t>
      </w:r>
      <w:proofErr w:type="spellStart"/>
      <w:r w:rsidRPr="009B565D">
        <w:rPr>
          <w:rFonts w:ascii="Times New Roman" w:hAnsi="Times New Roman" w:cs="Times New Roman"/>
          <w:lang w:val="en-GB"/>
        </w:rPr>
        <w:t>Slipetz</w:t>
      </w:r>
      <w:proofErr w:type="spellEnd"/>
      <w:r w:rsidRPr="009B565D">
        <w:rPr>
          <w:rFonts w:ascii="Times New Roman" w:hAnsi="Times New Roman" w:cs="Times New Roman"/>
          <w:lang w:val="en-GB"/>
        </w:rPr>
        <w:t xml:space="preserve">, D.M., Tremblay, N., </w:t>
      </w:r>
      <w:proofErr w:type="spellStart"/>
      <w:r w:rsidRPr="009B565D">
        <w:rPr>
          <w:rFonts w:ascii="Times New Roman" w:hAnsi="Times New Roman" w:cs="Times New Roman"/>
          <w:lang w:val="en-GB"/>
        </w:rPr>
        <w:t>Metters</w:t>
      </w:r>
      <w:proofErr w:type="spellEnd"/>
      <w:r w:rsidRPr="009B565D">
        <w:rPr>
          <w:rFonts w:ascii="Times New Roman" w:hAnsi="Times New Roman" w:cs="Times New Roman"/>
          <w:lang w:val="en-GB"/>
        </w:rPr>
        <w:t xml:space="preserve">, K.M., Labelle, M., 1996. New class of potent ligands for the human peripheral cannabinoid receptor. </w:t>
      </w:r>
      <w:proofErr w:type="spellStart"/>
      <w:r w:rsidRPr="009B565D">
        <w:rPr>
          <w:rFonts w:ascii="Times New Roman" w:hAnsi="Times New Roman" w:cs="Times New Roman"/>
          <w:lang w:val="en-GB"/>
        </w:rPr>
        <w:t>Bioorg</w:t>
      </w:r>
      <w:proofErr w:type="spellEnd"/>
      <w:r w:rsidRPr="009B565D">
        <w:rPr>
          <w:rFonts w:ascii="Times New Roman" w:hAnsi="Times New Roman" w:cs="Times New Roman"/>
          <w:lang w:val="en-GB"/>
        </w:rPr>
        <w:t>. Med. Chem. Lett. 6, 2263–2268. https://doi.org/10.1016/0960-894X(96)00426-X</w:t>
      </w:r>
    </w:p>
    <w:p w14:paraId="45C35690"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lastRenderedPageBreak/>
        <w:t>Gareau</w:t>
      </w:r>
      <w:proofErr w:type="spellEnd"/>
      <w:r w:rsidRPr="009B565D">
        <w:rPr>
          <w:rFonts w:ascii="Times New Roman" w:hAnsi="Times New Roman" w:cs="Times New Roman"/>
          <w:lang w:val="en-GB"/>
        </w:rPr>
        <w:t xml:space="preserve">, Y., Dufresne, C., Gallant, M., Rochette, C., Sawyer, N., </w:t>
      </w:r>
      <w:proofErr w:type="spellStart"/>
      <w:r w:rsidRPr="009B565D">
        <w:rPr>
          <w:rFonts w:ascii="Times New Roman" w:hAnsi="Times New Roman" w:cs="Times New Roman"/>
          <w:lang w:val="en-GB"/>
        </w:rPr>
        <w:t>Slipetz</w:t>
      </w:r>
      <w:proofErr w:type="spellEnd"/>
      <w:r w:rsidRPr="009B565D">
        <w:rPr>
          <w:rFonts w:ascii="Times New Roman" w:hAnsi="Times New Roman" w:cs="Times New Roman"/>
          <w:lang w:val="en-GB"/>
        </w:rPr>
        <w:t xml:space="preserve">, D.M., Tremblay, N., </w:t>
      </w:r>
      <w:proofErr w:type="spellStart"/>
      <w:r w:rsidRPr="009B565D">
        <w:rPr>
          <w:rFonts w:ascii="Times New Roman" w:hAnsi="Times New Roman" w:cs="Times New Roman"/>
          <w:lang w:val="en-GB"/>
        </w:rPr>
        <w:t>Weech</w:t>
      </w:r>
      <w:proofErr w:type="spellEnd"/>
      <w:r w:rsidRPr="009B565D">
        <w:rPr>
          <w:rFonts w:ascii="Times New Roman" w:hAnsi="Times New Roman" w:cs="Times New Roman"/>
          <w:lang w:val="en-GB"/>
        </w:rPr>
        <w:t xml:space="preserve">, P.K., </w:t>
      </w:r>
      <w:proofErr w:type="spellStart"/>
      <w:r w:rsidRPr="009B565D">
        <w:rPr>
          <w:rFonts w:ascii="Times New Roman" w:hAnsi="Times New Roman" w:cs="Times New Roman"/>
          <w:lang w:val="en-GB"/>
        </w:rPr>
        <w:t>Metters</w:t>
      </w:r>
      <w:proofErr w:type="spellEnd"/>
      <w:r w:rsidRPr="009B565D">
        <w:rPr>
          <w:rFonts w:ascii="Times New Roman" w:hAnsi="Times New Roman" w:cs="Times New Roman"/>
          <w:lang w:val="en-GB"/>
        </w:rPr>
        <w:t xml:space="preserve">, K.M., Labelle, M., 1996. Structure activity relationships of tetrahydrocannabinol analogues on human cannabinoid receptors. </w:t>
      </w:r>
      <w:proofErr w:type="spellStart"/>
      <w:r w:rsidRPr="009B565D">
        <w:rPr>
          <w:rFonts w:ascii="Times New Roman" w:hAnsi="Times New Roman" w:cs="Times New Roman"/>
          <w:lang w:val="en-GB"/>
        </w:rPr>
        <w:t>Bioorg</w:t>
      </w:r>
      <w:proofErr w:type="spellEnd"/>
      <w:r w:rsidRPr="009B565D">
        <w:rPr>
          <w:rFonts w:ascii="Times New Roman" w:hAnsi="Times New Roman" w:cs="Times New Roman"/>
          <w:lang w:val="en-GB"/>
        </w:rPr>
        <w:t>. Med. Chem. Lett. 6, 189–194. https://doi.org/10.1016/0960-894X(95)00573-C</w:t>
      </w:r>
    </w:p>
    <w:p w14:paraId="71DCB2BE"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German, N., Decker, A.M., Gilmour, B.P., Gay, E.A., Wiley, J.L., Thomas, B.F., Zhang, Y., 2014. </w:t>
      </w:r>
      <w:proofErr w:type="spellStart"/>
      <w:r w:rsidRPr="009B565D">
        <w:rPr>
          <w:rFonts w:ascii="Times New Roman" w:hAnsi="Times New Roman" w:cs="Times New Roman"/>
          <w:lang w:val="en-GB"/>
        </w:rPr>
        <w:t>Diarylureas</w:t>
      </w:r>
      <w:proofErr w:type="spellEnd"/>
      <w:r w:rsidRPr="009B565D">
        <w:rPr>
          <w:rFonts w:ascii="Times New Roman" w:hAnsi="Times New Roman" w:cs="Times New Roman"/>
          <w:lang w:val="en-GB"/>
        </w:rPr>
        <w:t xml:space="preserve"> as allosteric modulators of the cannabinoid CB1 receptor: structure-activity relationship studies on 1-(4-chlorophenyl)-3-{3-[6-(pyrrolidin-1-yl)pyridin-2-yl]phenyl}urea (PSNCBAM-1). J. Med. Chem. 57, 7758–69. https://doi.org/10.1021/jm501042u</w:t>
      </w:r>
    </w:p>
    <w:p w14:paraId="3AC21A76"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Ghafouri</w:t>
      </w:r>
      <w:proofErr w:type="spellEnd"/>
      <w:r w:rsidRPr="009B565D">
        <w:rPr>
          <w:rFonts w:ascii="Times New Roman" w:hAnsi="Times New Roman" w:cs="Times New Roman"/>
          <w:lang w:val="en-GB"/>
        </w:rPr>
        <w:t xml:space="preserve">, N., Tiger, G., </w:t>
      </w:r>
      <w:proofErr w:type="spellStart"/>
      <w:r w:rsidRPr="009B565D">
        <w:rPr>
          <w:rFonts w:ascii="Times New Roman" w:hAnsi="Times New Roman" w:cs="Times New Roman"/>
          <w:lang w:val="en-GB"/>
        </w:rPr>
        <w:t>Razdan</w:t>
      </w:r>
      <w:proofErr w:type="spellEnd"/>
      <w:r w:rsidRPr="009B565D">
        <w:rPr>
          <w:rFonts w:ascii="Times New Roman" w:hAnsi="Times New Roman" w:cs="Times New Roman"/>
          <w:lang w:val="en-GB"/>
        </w:rPr>
        <w:t xml:space="preserve">, R.K., Mahadevan, A., Pertwee, R.G., Martin, B.R., Fowler, C.J., 2004. Inhibition of monoacylglycerol lipase and fatty acid amide hydrolase by analogues of 2-arachidonoylglycerol.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143, 774–784. https://doi.org/10.1038/sj.bjp.0705948</w:t>
      </w:r>
    </w:p>
    <w:p w14:paraId="437DE906"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Giblin, G.M.P., </w:t>
      </w:r>
      <w:proofErr w:type="spellStart"/>
      <w:r w:rsidRPr="009B565D">
        <w:rPr>
          <w:rFonts w:ascii="Times New Roman" w:hAnsi="Times New Roman" w:cs="Times New Roman"/>
          <w:lang w:val="en-GB"/>
        </w:rPr>
        <w:t>Billinton</w:t>
      </w:r>
      <w:proofErr w:type="spellEnd"/>
      <w:r w:rsidRPr="009B565D">
        <w:rPr>
          <w:rFonts w:ascii="Times New Roman" w:hAnsi="Times New Roman" w:cs="Times New Roman"/>
          <w:lang w:val="en-GB"/>
        </w:rPr>
        <w:t xml:space="preserve">, A., Briggs, M., Brown, A.J., </w:t>
      </w:r>
      <w:proofErr w:type="spellStart"/>
      <w:r w:rsidRPr="009B565D">
        <w:rPr>
          <w:rFonts w:ascii="Times New Roman" w:hAnsi="Times New Roman" w:cs="Times New Roman"/>
          <w:lang w:val="en-GB"/>
        </w:rPr>
        <w:t>Chessell</w:t>
      </w:r>
      <w:proofErr w:type="spellEnd"/>
      <w:r w:rsidRPr="009B565D">
        <w:rPr>
          <w:rFonts w:ascii="Times New Roman" w:hAnsi="Times New Roman" w:cs="Times New Roman"/>
          <w:lang w:val="en-GB"/>
        </w:rPr>
        <w:t xml:space="preserve">, I.P., Clayton, N.M., </w:t>
      </w:r>
      <w:proofErr w:type="spellStart"/>
      <w:r w:rsidRPr="009B565D">
        <w:rPr>
          <w:rFonts w:ascii="Times New Roman" w:hAnsi="Times New Roman" w:cs="Times New Roman"/>
          <w:lang w:val="en-GB"/>
        </w:rPr>
        <w:t>Eatherton</w:t>
      </w:r>
      <w:proofErr w:type="spellEnd"/>
      <w:r w:rsidRPr="009B565D">
        <w:rPr>
          <w:rFonts w:ascii="Times New Roman" w:hAnsi="Times New Roman" w:cs="Times New Roman"/>
          <w:lang w:val="en-GB"/>
        </w:rPr>
        <w:t xml:space="preserve">, A.J., Goldsmith, P., Haslam, C., Johnson, M.R., Mitchell, W.L., Naylor, A., </w:t>
      </w:r>
      <w:proofErr w:type="spellStart"/>
      <w:r w:rsidRPr="009B565D">
        <w:rPr>
          <w:rFonts w:ascii="Times New Roman" w:hAnsi="Times New Roman" w:cs="Times New Roman"/>
          <w:lang w:val="en-GB"/>
        </w:rPr>
        <w:t>Perboni</w:t>
      </w:r>
      <w:proofErr w:type="spellEnd"/>
      <w:r w:rsidRPr="009B565D">
        <w:rPr>
          <w:rFonts w:ascii="Times New Roman" w:hAnsi="Times New Roman" w:cs="Times New Roman"/>
          <w:lang w:val="en-GB"/>
        </w:rPr>
        <w:t xml:space="preserve">, A., </w:t>
      </w:r>
      <w:proofErr w:type="spellStart"/>
      <w:r w:rsidRPr="009B565D">
        <w:rPr>
          <w:rFonts w:ascii="Times New Roman" w:hAnsi="Times New Roman" w:cs="Times New Roman"/>
          <w:lang w:val="en-GB"/>
        </w:rPr>
        <w:t>Slingsby</w:t>
      </w:r>
      <w:proofErr w:type="spellEnd"/>
      <w:r w:rsidRPr="009B565D">
        <w:rPr>
          <w:rFonts w:ascii="Times New Roman" w:hAnsi="Times New Roman" w:cs="Times New Roman"/>
          <w:lang w:val="en-GB"/>
        </w:rPr>
        <w:t>, B.P., Wilson, A.W., 2009. Discovery of 1-[4-(3-Chlorophenylamino)-1-methyl-1H-pyrrolo[3,2-c]pyridin-7-yl]-1-morpholin-4-ylmethanone (GSK554418A), a Brain Penetrant 5-Azaindole CB2 Agonist for the Treatment of Chronic Pain. J. Med. Chem. 52, 5785–5788. https://doi.org/10.1021/jm9009857</w:t>
      </w:r>
    </w:p>
    <w:p w14:paraId="506161F2"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Giblin, G.M.P., O’Shaughnessy, C.T., Naylor, A., Mitchell, W.L., </w:t>
      </w:r>
      <w:proofErr w:type="spellStart"/>
      <w:r w:rsidRPr="009B565D">
        <w:rPr>
          <w:rFonts w:ascii="Times New Roman" w:hAnsi="Times New Roman" w:cs="Times New Roman"/>
          <w:lang w:val="en-GB"/>
        </w:rPr>
        <w:t>Eatherton</w:t>
      </w:r>
      <w:proofErr w:type="spellEnd"/>
      <w:r w:rsidRPr="009B565D">
        <w:rPr>
          <w:rFonts w:ascii="Times New Roman" w:hAnsi="Times New Roman" w:cs="Times New Roman"/>
          <w:lang w:val="en-GB"/>
        </w:rPr>
        <w:t xml:space="preserve">, A.J., </w:t>
      </w:r>
      <w:proofErr w:type="spellStart"/>
      <w:r w:rsidRPr="009B565D">
        <w:rPr>
          <w:rFonts w:ascii="Times New Roman" w:hAnsi="Times New Roman" w:cs="Times New Roman"/>
          <w:lang w:val="en-GB"/>
        </w:rPr>
        <w:t>Slingsby</w:t>
      </w:r>
      <w:proofErr w:type="spellEnd"/>
      <w:r w:rsidRPr="009B565D">
        <w:rPr>
          <w:rFonts w:ascii="Times New Roman" w:hAnsi="Times New Roman" w:cs="Times New Roman"/>
          <w:lang w:val="en-GB"/>
        </w:rPr>
        <w:t xml:space="preserve">, B.P., Rawlings, D.A., Goldsmith, P., Brown, A.J., Haslam, C.P., Clayton, N.M., Wilson, A.W., </w:t>
      </w:r>
      <w:proofErr w:type="spellStart"/>
      <w:r w:rsidRPr="009B565D">
        <w:rPr>
          <w:rFonts w:ascii="Times New Roman" w:hAnsi="Times New Roman" w:cs="Times New Roman"/>
          <w:lang w:val="en-GB"/>
        </w:rPr>
        <w:t>Chessell</w:t>
      </w:r>
      <w:proofErr w:type="spellEnd"/>
      <w:r w:rsidRPr="009B565D">
        <w:rPr>
          <w:rFonts w:ascii="Times New Roman" w:hAnsi="Times New Roman" w:cs="Times New Roman"/>
          <w:lang w:val="en-GB"/>
        </w:rPr>
        <w:t>, I.P., Wittington, A.R., Green, R., 2007. Discovery of 2-[(2,4-dichlorophenyl)amino]-N-[(tetrahydro- 2H-pyran-4-yl)methyl]-4-(trifluoromethyl)- 5-pyrimidinecarboxamide, a selective CB2 receptor agonist for the treatment of inflammatory pain. J. Med. Chem. 50, 2597–600. https://doi.org/10.1021/jm061195+</w:t>
      </w:r>
    </w:p>
    <w:p w14:paraId="42F767CA"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Griffith, D.A., </w:t>
      </w:r>
      <w:proofErr w:type="spellStart"/>
      <w:r w:rsidRPr="009B565D">
        <w:rPr>
          <w:rFonts w:ascii="Times New Roman" w:hAnsi="Times New Roman" w:cs="Times New Roman"/>
          <w:lang w:val="en-GB"/>
        </w:rPr>
        <w:t>Hadcock</w:t>
      </w:r>
      <w:proofErr w:type="spellEnd"/>
      <w:r w:rsidRPr="009B565D">
        <w:rPr>
          <w:rFonts w:ascii="Times New Roman" w:hAnsi="Times New Roman" w:cs="Times New Roman"/>
          <w:lang w:val="en-GB"/>
        </w:rPr>
        <w:t xml:space="preserve">, J.R., Black, S.C., </w:t>
      </w:r>
      <w:proofErr w:type="spellStart"/>
      <w:r w:rsidRPr="009B565D">
        <w:rPr>
          <w:rFonts w:ascii="Times New Roman" w:hAnsi="Times New Roman" w:cs="Times New Roman"/>
          <w:lang w:val="en-GB"/>
        </w:rPr>
        <w:t>Iredale</w:t>
      </w:r>
      <w:proofErr w:type="spellEnd"/>
      <w:r w:rsidRPr="009B565D">
        <w:rPr>
          <w:rFonts w:ascii="Times New Roman" w:hAnsi="Times New Roman" w:cs="Times New Roman"/>
          <w:lang w:val="en-GB"/>
        </w:rPr>
        <w:t xml:space="preserve">, P.A., Carpino, P.A., DaSilva-Jardine, P., Day, R., </w:t>
      </w:r>
      <w:proofErr w:type="spellStart"/>
      <w:r w:rsidRPr="009B565D">
        <w:rPr>
          <w:rFonts w:ascii="Times New Roman" w:hAnsi="Times New Roman" w:cs="Times New Roman"/>
          <w:lang w:val="en-GB"/>
        </w:rPr>
        <w:t>DiBrino</w:t>
      </w:r>
      <w:proofErr w:type="spellEnd"/>
      <w:r w:rsidRPr="009B565D">
        <w:rPr>
          <w:rFonts w:ascii="Times New Roman" w:hAnsi="Times New Roman" w:cs="Times New Roman"/>
          <w:lang w:val="en-GB"/>
        </w:rPr>
        <w:t>, J., Dow, R.L., Landis, M.S., O’Connor, R.E., Scott, D.O., 2009. Discovery of 1-[9-(4-Chlorophenyl)-8-(2-chlorophenyl)-9 H-purin-6-yl]-4-ethylaminopiperidine-4-carboxylic Acid Amide Hydrochloride (CP-945,598), a Novel, Potent, and Selective Cannabinoid Type 1 Receptor Antagonist. J. Med. Chem. 52, 234–237. https://doi.org/10.1021/jm8012932</w:t>
      </w:r>
    </w:p>
    <w:p w14:paraId="28559949"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Guzik</w:t>
      </w:r>
      <w:proofErr w:type="spellEnd"/>
      <w:r w:rsidRPr="009B565D">
        <w:rPr>
          <w:rFonts w:ascii="Times New Roman" w:hAnsi="Times New Roman" w:cs="Times New Roman"/>
          <w:lang w:val="en-GB"/>
        </w:rPr>
        <w:t xml:space="preserve">, K., Zak, K.M., </w:t>
      </w:r>
      <w:proofErr w:type="spellStart"/>
      <w:r w:rsidRPr="009B565D">
        <w:rPr>
          <w:rFonts w:ascii="Times New Roman" w:hAnsi="Times New Roman" w:cs="Times New Roman"/>
          <w:lang w:val="en-GB"/>
        </w:rPr>
        <w:t>Grudnik</w:t>
      </w:r>
      <w:proofErr w:type="spellEnd"/>
      <w:r w:rsidRPr="009B565D">
        <w:rPr>
          <w:rFonts w:ascii="Times New Roman" w:hAnsi="Times New Roman" w:cs="Times New Roman"/>
          <w:lang w:val="en-GB"/>
        </w:rPr>
        <w:t xml:space="preserve">, P., </w:t>
      </w:r>
      <w:proofErr w:type="spellStart"/>
      <w:r w:rsidRPr="009B565D">
        <w:rPr>
          <w:rFonts w:ascii="Times New Roman" w:hAnsi="Times New Roman" w:cs="Times New Roman"/>
          <w:lang w:val="en-GB"/>
        </w:rPr>
        <w:t>Magiera</w:t>
      </w:r>
      <w:proofErr w:type="spellEnd"/>
      <w:r w:rsidRPr="009B565D">
        <w:rPr>
          <w:rFonts w:ascii="Times New Roman" w:hAnsi="Times New Roman" w:cs="Times New Roman"/>
          <w:lang w:val="en-GB"/>
        </w:rPr>
        <w:t xml:space="preserve">, K., </w:t>
      </w:r>
      <w:proofErr w:type="spellStart"/>
      <w:r w:rsidRPr="009B565D">
        <w:rPr>
          <w:rFonts w:ascii="Times New Roman" w:hAnsi="Times New Roman" w:cs="Times New Roman"/>
          <w:lang w:val="en-GB"/>
        </w:rPr>
        <w:t>Musielak</w:t>
      </w:r>
      <w:proofErr w:type="spellEnd"/>
      <w:r w:rsidRPr="009B565D">
        <w:rPr>
          <w:rFonts w:ascii="Times New Roman" w:hAnsi="Times New Roman" w:cs="Times New Roman"/>
          <w:lang w:val="en-GB"/>
        </w:rPr>
        <w:t xml:space="preserve">, B., </w:t>
      </w:r>
      <w:proofErr w:type="spellStart"/>
      <w:r w:rsidRPr="009B565D">
        <w:rPr>
          <w:rFonts w:ascii="Times New Roman" w:hAnsi="Times New Roman" w:cs="Times New Roman"/>
          <w:lang w:val="en-GB"/>
        </w:rPr>
        <w:t>Törner</w:t>
      </w:r>
      <w:proofErr w:type="spellEnd"/>
      <w:r w:rsidRPr="009B565D">
        <w:rPr>
          <w:rFonts w:ascii="Times New Roman" w:hAnsi="Times New Roman" w:cs="Times New Roman"/>
          <w:lang w:val="en-GB"/>
        </w:rPr>
        <w:t xml:space="preserve">, R., </w:t>
      </w:r>
      <w:proofErr w:type="spellStart"/>
      <w:r w:rsidRPr="009B565D">
        <w:rPr>
          <w:rFonts w:ascii="Times New Roman" w:hAnsi="Times New Roman" w:cs="Times New Roman"/>
          <w:lang w:val="en-GB"/>
        </w:rPr>
        <w:t>Skalniak</w:t>
      </w:r>
      <w:proofErr w:type="spellEnd"/>
      <w:r w:rsidRPr="009B565D">
        <w:rPr>
          <w:rFonts w:ascii="Times New Roman" w:hAnsi="Times New Roman" w:cs="Times New Roman"/>
          <w:lang w:val="en-GB"/>
        </w:rPr>
        <w:t xml:space="preserve">, L., </w:t>
      </w:r>
      <w:proofErr w:type="spellStart"/>
      <w:r w:rsidRPr="009B565D">
        <w:rPr>
          <w:rFonts w:ascii="Times New Roman" w:hAnsi="Times New Roman" w:cs="Times New Roman"/>
          <w:lang w:val="en-GB"/>
        </w:rPr>
        <w:t>Dömling</w:t>
      </w:r>
      <w:proofErr w:type="spellEnd"/>
      <w:r w:rsidRPr="009B565D">
        <w:rPr>
          <w:rFonts w:ascii="Times New Roman" w:hAnsi="Times New Roman" w:cs="Times New Roman"/>
          <w:lang w:val="en-GB"/>
        </w:rPr>
        <w:t xml:space="preserve">, A., </w:t>
      </w:r>
      <w:proofErr w:type="spellStart"/>
      <w:r w:rsidRPr="009B565D">
        <w:rPr>
          <w:rFonts w:ascii="Times New Roman" w:hAnsi="Times New Roman" w:cs="Times New Roman"/>
          <w:lang w:val="en-GB"/>
        </w:rPr>
        <w:t>Dubin</w:t>
      </w:r>
      <w:proofErr w:type="spellEnd"/>
      <w:r w:rsidRPr="009B565D">
        <w:rPr>
          <w:rFonts w:ascii="Times New Roman" w:hAnsi="Times New Roman" w:cs="Times New Roman"/>
          <w:lang w:val="en-GB"/>
        </w:rPr>
        <w:t xml:space="preserve">, G., </w:t>
      </w:r>
      <w:proofErr w:type="spellStart"/>
      <w:r w:rsidRPr="009B565D">
        <w:rPr>
          <w:rFonts w:ascii="Times New Roman" w:hAnsi="Times New Roman" w:cs="Times New Roman"/>
          <w:lang w:val="en-GB"/>
        </w:rPr>
        <w:t>Holak</w:t>
      </w:r>
      <w:proofErr w:type="spellEnd"/>
      <w:r w:rsidRPr="009B565D">
        <w:rPr>
          <w:rFonts w:ascii="Times New Roman" w:hAnsi="Times New Roman" w:cs="Times New Roman"/>
          <w:lang w:val="en-GB"/>
        </w:rPr>
        <w:t>, T.A., 2017. Small-Molecule Inhibitors of the Programmed Cell Death-1/Programmed Death-Ligand 1 (PD-1/PD-L1) Interaction via Transiently Induced Protein States and Dimerization of PD-L1. J. Med. Chem. 60, 5857–5867. https://doi.org/10.1021/acs.jmedchem.7b00293</w:t>
      </w:r>
    </w:p>
    <w:p w14:paraId="76E64462"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Hadcock</w:t>
      </w:r>
      <w:proofErr w:type="spellEnd"/>
      <w:r w:rsidRPr="009B565D">
        <w:rPr>
          <w:rFonts w:ascii="Times New Roman" w:hAnsi="Times New Roman" w:cs="Times New Roman"/>
          <w:lang w:val="en-GB"/>
        </w:rPr>
        <w:t xml:space="preserve">, J.R., Griffith, D.A., </w:t>
      </w:r>
      <w:proofErr w:type="spellStart"/>
      <w:r w:rsidRPr="009B565D">
        <w:rPr>
          <w:rFonts w:ascii="Times New Roman" w:hAnsi="Times New Roman" w:cs="Times New Roman"/>
          <w:lang w:val="en-GB"/>
        </w:rPr>
        <w:t>Iredale</w:t>
      </w:r>
      <w:proofErr w:type="spellEnd"/>
      <w:r w:rsidRPr="009B565D">
        <w:rPr>
          <w:rFonts w:ascii="Times New Roman" w:hAnsi="Times New Roman" w:cs="Times New Roman"/>
          <w:lang w:val="en-GB"/>
        </w:rPr>
        <w:t xml:space="preserve">, P.A., Carpino, P.A., Dow, R.L., Black, S.C., O’Connor, R., </w:t>
      </w:r>
      <w:proofErr w:type="spellStart"/>
      <w:r w:rsidRPr="009B565D">
        <w:rPr>
          <w:rFonts w:ascii="Times New Roman" w:hAnsi="Times New Roman" w:cs="Times New Roman"/>
          <w:lang w:val="en-GB"/>
        </w:rPr>
        <w:t>Gautreau</w:t>
      </w:r>
      <w:proofErr w:type="spellEnd"/>
      <w:r w:rsidRPr="009B565D">
        <w:rPr>
          <w:rFonts w:ascii="Times New Roman" w:hAnsi="Times New Roman" w:cs="Times New Roman"/>
          <w:lang w:val="en-GB"/>
        </w:rPr>
        <w:t xml:space="preserve">, D., </w:t>
      </w:r>
      <w:proofErr w:type="spellStart"/>
      <w:r w:rsidRPr="009B565D">
        <w:rPr>
          <w:rFonts w:ascii="Times New Roman" w:hAnsi="Times New Roman" w:cs="Times New Roman"/>
          <w:lang w:val="en-GB"/>
        </w:rPr>
        <w:t>Lizano</w:t>
      </w:r>
      <w:proofErr w:type="spellEnd"/>
      <w:r w:rsidRPr="009B565D">
        <w:rPr>
          <w:rFonts w:ascii="Times New Roman" w:hAnsi="Times New Roman" w:cs="Times New Roman"/>
          <w:lang w:val="en-GB"/>
        </w:rPr>
        <w:t xml:space="preserve">, J.S., Ward, K., Hargrove, D.M., Kelly-Sullivan, D., Scott, D.O., 2010. In vitro and in vivo pharmacology of CP-945,598, a potent and selective cannabinoid CB1 receptor antagonist for the management of obesity. </w:t>
      </w:r>
      <w:proofErr w:type="spellStart"/>
      <w:r w:rsidRPr="009B565D">
        <w:rPr>
          <w:rFonts w:ascii="Times New Roman" w:hAnsi="Times New Roman" w:cs="Times New Roman"/>
          <w:lang w:val="en-GB"/>
        </w:rPr>
        <w:t>Biochem</w:t>
      </w:r>
      <w:proofErr w:type="spellEnd"/>
      <w:r w:rsidRPr="009B565D">
        <w:rPr>
          <w:rFonts w:ascii="Times New Roman" w:hAnsi="Times New Roman" w:cs="Times New Roman"/>
          <w:lang w:val="en-GB"/>
        </w:rPr>
        <w:t xml:space="preserve">. </w:t>
      </w:r>
      <w:proofErr w:type="spellStart"/>
      <w:r w:rsidRPr="009B565D">
        <w:rPr>
          <w:rFonts w:ascii="Times New Roman" w:hAnsi="Times New Roman" w:cs="Times New Roman"/>
          <w:lang w:val="en-GB"/>
        </w:rPr>
        <w:t>Biophys</w:t>
      </w:r>
      <w:proofErr w:type="spellEnd"/>
      <w:r w:rsidRPr="009B565D">
        <w:rPr>
          <w:rFonts w:ascii="Times New Roman" w:hAnsi="Times New Roman" w:cs="Times New Roman"/>
          <w:lang w:val="en-GB"/>
        </w:rPr>
        <w:t xml:space="preserve">. Res. </w:t>
      </w:r>
      <w:proofErr w:type="spellStart"/>
      <w:r w:rsidRPr="009B565D">
        <w:rPr>
          <w:rFonts w:ascii="Times New Roman" w:hAnsi="Times New Roman" w:cs="Times New Roman"/>
          <w:lang w:val="en-GB"/>
        </w:rPr>
        <w:t>Commun</w:t>
      </w:r>
      <w:proofErr w:type="spellEnd"/>
      <w:r w:rsidRPr="009B565D">
        <w:rPr>
          <w:rFonts w:ascii="Times New Roman" w:hAnsi="Times New Roman" w:cs="Times New Roman"/>
          <w:lang w:val="en-GB"/>
        </w:rPr>
        <w:t>. 394, 366–371. https://doi.org/10.1016/j.bbrc.2010.03.015</w:t>
      </w:r>
    </w:p>
    <w:p w14:paraId="7ADA4CA6"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Han, S., </w:t>
      </w:r>
      <w:proofErr w:type="spellStart"/>
      <w:r w:rsidRPr="009B565D">
        <w:rPr>
          <w:rFonts w:ascii="Times New Roman" w:hAnsi="Times New Roman" w:cs="Times New Roman"/>
          <w:lang w:val="en-GB"/>
        </w:rPr>
        <w:t>Thoresen</w:t>
      </w:r>
      <w:proofErr w:type="spellEnd"/>
      <w:r w:rsidRPr="009B565D">
        <w:rPr>
          <w:rFonts w:ascii="Times New Roman" w:hAnsi="Times New Roman" w:cs="Times New Roman"/>
          <w:lang w:val="en-GB"/>
        </w:rPr>
        <w:t xml:space="preserve">, L., Jung, J.-K., Zhu, X., </w:t>
      </w:r>
      <w:proofErr w:type="spellStart"/>
      <w:r w:rsidRPr="009B565D">
        <w:rPr>
          <w:rFonts w:ascii="Times New Roman" w:hAnsi="Times New Roman" w:cs="Times New Roman"/>
          <w:lang w:val="en-GB"/>
        </w:rPr>
        <w:t>Thatte</w:t>
      </w:r>
      <w:proofErr w:type="spellEnd"/>
      <w:r w:rsidRPr="009B565D">
        <w:rPr>
          <w:rFonts w:ascii="Times New Roman" w:hAnsi="Times New Roman" w:cs="Times New Roman"/>
          <w:lang w:val="en-GB"/>
        </w:rPr>
        <w:t xml:space="preserve">, J., Solomon, M., </w:t>
      </w:r>
      <w:proofErr w:type="spellStart"/>
      <w:r w:rsidRPr="009B565D">
        <w:rPr>
          <w:rFonts w:ascii="Times New Roman" w:hAnsi="Times New Roman" w:cs="Times New Roman"/>
          <w:lang w:val="en-GB"/>
        </w:rPr>
        <w:t>Gaidarov</w:t>
      </w:r>
      <w:proofErr w:type="spellEnd"/>
      <w:r w:rsidRPr="009B565D">
        <w:rPr>
          <w:rFonts w:ascii="Times New Roman" w:hAnsi="Times New Roman" w:cs="Times New Roman"/>
          <w:lang w:val="en-GB"/>
        </w:rPr>
        <w:t xml:space="preserve">, I., </w:t>
      </w:r>
      <w:proofErr w:type="spellStart"/>
      <w:r w:rsidRPr="009B565D">
        <w:rPr>
          <w:rFonts w:ascii="Times New Roman" w:hAnsi="Times New Roman" w:cs="Times New Roman"/>
          <w:lang w:val="en-GB"/>
        </w:rPr>
        <w:t>Unett</w:t>
      </w:r>
      <w:proofErr w:type="spellEnd"/>
      <w:r w:rsidRPr="009B565D">
        <w:rPr>
          <w:rFonts w:ascii="Times New Roman" w:hAnsi="Times New Roman" w:cs="Times New Roman"/>
          <w:lang w:val="en-GB"/>
        </w:rPr>
        <w:t xml:space="preserve">, D.J., Yoon, W.H., Barden, J., </w:t>
      </w:r>
      <w:proofErr w:type="spellStart"/>
      <w:r w:rsidRPr="009B565D">
        <w:rPr>
          <w:rFonts w:ascii="Times New Roman" w:hAnsi="Times New Roman" w:cs="Times New Roman"/>
          <w:lang w:val="en-GB"/>
        </w:rPr>
        <w:t>Sadeque</w:t>
      </w:r>
      <w:proofErr w:type="spellEnd"/>
      <w:r w:rsidRPr="009B565D">
        <w:rPr>
          <w:rFonts w:ascii="Times New Roman" w:hAnsi="Times New Roman" w:cs="Times New Roman"/>
          <w:lang w:val="en-GB"/>
        </w:rPr>
        <w:t xml:space="preserve">, A., </w:t>
      </w:r>
      <w:proofErr w:type="spellStart"/>
      <w:r w:rsidRPr="009B565D">
        <w:rPr>
          <w:rFonts w:ascii="Times New Roman" w:hAnsi="Times New Roman" w:cs="Times New Roman"/>
          <w:lang w:val="en-GB"/>
        </w:rPr>
        <w:t>Usmani</w:t>
      </w:r>
      <w:proofErr w:type="spellEnd"/>
      <w:r w:rsidRPr="009B565D">
        <w:rPr>
          <w:rFonts w:ascii="Times New Roman" w:hAnsi="Times New Roman" w:cs="Times New Roman"/>
          <w:lang w:val="en-GB"/>
        </w:rPr>
        <w:t xml:space="preserve">, A., Chen, C., Semple, G., </w:t>
      </w:r>
      <w:proofErr w:type="spellStart"/>
      <w:r w:rsidRPr="009B565D">
        <w:rPr>
          <w:rFonts w:ascii="Times New Roman" w:hAnsi="Times New Roman" w:cs="Times New Roman"/>
          <w:lang w:val="en-GB"/>
        </w:rPr>
        <w:t>Grottick</w:t>
      </w:r>
      <w:proofErr w:type="spellEnd"/>
      <w:r w:rsidRPr="009B565D">
        <w:rPr>
          <w:rFonts w:ascii="Times New Roman" w:hAnsi="Times New Roman" w:cs="Times New Roman"/>
          <w:lang w:val="en-GB"/>
        </w:rPr>
        <w:t>, A.J., Al-</w:t>
      </w:r>
      <w:proofErr w:type="spellStart"/>
      <w:r w:rsidRPr="009B565D">
        <w:rPr>
          <w:rFonts w:ascii="Times New Roman" w:hAnsi="Times New Roman" w:cs="Times New Roman"/>
          <w:lang w:val="en-GB"/>
        </w:rPr>
        <w:t>Shamma</w:t>
      </w:r>
      <w:proofErr w:type="spellEnd"/>
      <w:r w:rsidRPr="009B565D">
        <w:rPr>
          <w:rFonts w:ascii="Times New Roman" w:hAnsi="Times New Roman" w:cs="Times New Roman"/>
          <w:lang w:val="en-GB"/>
        </w:rPr>
        <w:t>, H., Christopher, R., Jones, R.M., 2017. Discovery of APD371: Identification of a Highly Potent and Selective CB 2 Agonist for the Treatment of Chronic Pain. ACS Med. Chem. Lett. 8, 1309–1313. https://doi.org/10.1021/acsmedchemlett.7b00396</w:t>
      </w:r>
    </w:p>
    <w:p w14:paraId="23BB6F9F" w14:textId="77777777" w:rsidR="009B565D" w:rsidRPr="008178CC" w:rsidRDefault="009B565D" w:rsidP="009B565D">
      <w:pPr>
        <w:ind w:left="426" w:hanging="426"/>
        <w:jc w:val="both"/>
        <w:rPr>
          <w:rFonts w:ascii="Times New Roman" w:hAnsi="Times New Roman" w:cs="Times New Roman"/>
          <w:lang w:val="de-DE"/>
        </w:rPr>
      </w:pPr>
      <w:r w:rsidRPr="009B565D">
        <w:rPr>
          <w:rFonts w:ascii="Times New Roman" w:hAnsi="Times New Roman" w:cs="Times New Roman"/>
          <w:lang w:val="en-GB"/>
        </w:rPr>
        <w:t xml:space="preserve">Henstridge, C.M., </w:t>
      </w:r>
      <w:proofErr w:type="spellStart"/>
      <w:r w:rsidRPr="009B565D">
        <w:rPr>
          <w:rFonts w:ascii="Times New Roman" w:hAnsi="Times New Roman" w:cs="Times New Roman"/>
          <w:lang w:val="en-GB"/>
        </w:rPr>
        <w:t>Balenga</w:t>
      </w:r>
      <w:proofErr w:type="spellEnd"/>
      <w:r w:rsidRPr="009B565D">
        <w:rPr>
          <w:rFonts w:ascii="Times New Roman" w:hAnsi="Times New Roman" w:cs="Times New Roman"/>
          <w:lang w:val="en-GB"/>
        </w:rPr>
        <w:t xml:space="preserve">, N.A., </w:t>
      </w:r>
      <w:proofErr w:type="spellStart"/>
      <w:r w:rsidRPr="009B565D">
        <w:rPr>
          <w:rFonts w:ascii="Times New Roman" w:hAnsi="Times New Roman" w:cs="Times New Roman"/>
          <w:lang w:val="en-GB"/>
        </w:rPr>
        <w:t>Schröder</w:t>
      </w:r>
      <w:proofErr w:type="spellEnd"/>
      <w:r w:rsidRPr="009B565D">
        <w:rPr>
          <w:rFonts w:ascii="Times New Roman" w:hAnsi="Times New Roman" w:cs="Times New Roman"/>
          <w:lang w:val="en-GB"/>
        </w:rPr>
        <w:t xml:space="preserve">, R., </w:t>
      </w:r>
      <w:proofErr w:type="spellStart"/>
      <w:r w:rsidRPr="009B565D">
        <w:rPr>
          <w:rFonts w:ascii="Times New Roman" w:hAnsi="Times New Roman" w:cs="Times New Roman"/>
          <w:lang w:val="en-GB"/>
        </w:rPr>
        <w:t>Kargl</w:t>
      </w:r>
      <w:proofErr w:type="spellEnd"/>
      <w:r w:rsidRPr="009B565D">
        <w:rPr>
          <w:rFonts w:ascii="Times New Roman" w:hAnsi="Times New Roman" w:cs="Times New Roman"/>
          <w:lang w:val="en-GB"/>
        </w:rPr>
        <w:t xml:space="preserve">, J.K., </w:t>
      </w:r>
      <w:proofErr w:type="spellStart"/>
      <w:r w:rsidRPr="009B565D">
        <w:rPr>
          <w:rFonts w:ascii="Times New Roman" w:hAnsi="Times New Roman" w:cs="Times New Roman"/>
          <w:lang w:val="en-GB"/>
        </w:rPr>
        <w:t>Platzer</w:t>
      </w:r>
      <w:proofErr w:type="spellEnd"/>
      <w:r w:rsidRPr="009B565D">
        <w:rPr>
          <w:rFonts w:ascii="Times New Roman" w:hAnsi="Times New Roman" w:cs="Times New Roman"/>
          <w:lang w:val="en-GB"/>
        </w:rPr>
        <w:t xml:space="preserve">, W., Martini, L., Arthur, S., Penman, J., Whistler, J.L., </w:t>
      </w:r>
      <w:proofErr w:type="spellStart"/>
      <w:r w:rsidRPr="009B565D">
        <w:rPr>
          <w:rFonts w:ascii="Times New Roman" w:hAnsi="Times New Roman" w:cs="Times New Roman"/>
          <w:lang w:val="en-GB"/>
        </w:rPr>
        <w:t>Kostenis</w:t>
      </w:r>
      <w:proofErr w:type="spellEnd"/>
      <w:r w:rsidRPr="009B565D">
        <w:rPr>
          <w:rFonts w:ascii="Times New Roman" w:hAnsi="Times New Roman" w:cs="Times New Roman"/>
          <w:lang w:val="en-GB"/>
        </w:rPr>
        <w:t xml:space="preserve">, E., </w:t>
      </w:r>
      <w:proofErr w:type="spellStart"/>
      <w:r w:rsidRPr="009B565D">
        <w:rPr>
          <w:rFonts w:ascii="Times New Roman" w:hAnsi="Times New Roman" w:cs="Times New Roman"/>
          <w:lang w:val="en-GB"/>
        </w:rPr>
        <w:t>Waldhoer</w:t>
      </w:r>
      <w:proofErr w:type="spellEnd"/>
      <w:r w:rsidRPr="009B565D">
        <w:rPr>
          <w:rFonts w:ascii="Times New Roman" w:hAnsi="Times New Roman" w:cs="Times New Roman"/>
          <w:lang w:val="en-GB"/>
        </w:rPr>
        <w:t xml:space="preserve">, M., Irving, A.J., 2010. GPR55 ligands promote receptor coupling to multiple signalling pathways.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w:t>
      </w:r>
      <w:r w:rsidRPr="008178CC">
        <w:rPr>
          <w:rFonts w:ascii="Times New Roman" w:hAnsi="Times New Roman" w:cs="Times New Roman"/>
          <w:lang w:val="de-DE"/>
        </w:rPr>
        <w:t>160, 604–614. https://doi.org/10.1111/j.1476-5381.2009.00625.x</w:t>
      </w:r>
    </w:p>
    <w:p w14:paraId="68B5EF37" w14:textId="77777777" w:rsidR="009B565D" w:rsidRPr="008178CC" w:rsidRDefault="009B565D" w:rsidP="009B565D">
      <w:pPr>
        <w:ind w:left="426" w:hanging="426"/>
        <w:jc w:val="both"/>
        <w:rPr>
          <w:rFonts w:ascii="Times New Roman" w:hAnsi="Times New Roman" w:cs="Times New Roman"/>
          <w:lang w:val="de-DE"/>
        </w:rPr>
      </w:pPr>
      <w:r w:rsidRPr="008178CC">
        <w:rPr>
          <w:rFonts w:ascii="Times New Roman" w:hAnsi="Times New Roman" w:cs="Times New Roman"/>
          <w:lang w:val="de-DE"/>
        </w:rPr>
        <w:lastRenderedPageBreak/>
        <w:t xml:space="preserve">Herling, A.W., Gossel, M., Haschke, G., Stengelin, S., Kuhlmann, J., Müller, G., Schmoll, D., Kramer, W., 2007. </w:t>
      </w:r>
      <w:r w:rsidRPr="009B565D">
        <w:rPr>
          <w:rFonts w:ascii="Times New Roman" w:hAnsi="Times New Roman" w:cs="Times New Roman"/>
          <w:lang w:val="en-GB"/>
        </w:rPr>
        <w:t xml:space="preserve">CB1 receptor antagonist AVE1625 affects primarily metabolic parameters independently of reduced food intake in Wistar rats. </w:t>
      </w:r>
      <w:r w:rsidRPr="008178CC">
        <w:rPr>
          <w:rFonts w:ascii="Times New Roman" w:hAnsi="Times New Roman" w:cs="Times New Roman"/>
          <w:lang w:val="de-DE"/>
        </w:rPr>
        <w:t>Am. J. Physiol. Metab. 293, E826–E832. https://doi.org/10.1152/ajpendo.00264.2007</w:t>
      </w:r>
    </w:p>
    <w:p w14:paraId="26A7039F" w14:textId="77777777" w:rsidR="009B565D" w:rsidRPr="009B565D" w:rsidRDefault="009B565D" w:rsidP="009B565D">
      <w:pPr>
        <w:ind w:left="426" w:hanging="426"/>
        <w:jc w:val="both"/>
        <w:rPr>
          <w:rFonts w:ascii="Times New Roman" w:hAnsi="Times New Roman" w:cs="Times New Roman"/>
          <w:lang w:val="en-GB"/>
        </w:rPr>
      </w:pPr>
      <w:r w:rsidRPr="008178CC">
        <w:rPr>
          <w:rFonts w:ascii="Times New Roman" w:hAnsi="Times New Roman" w:cs="Times New Roman"/>
          <w:lang w:val="de-DE"/>
        </w:rPr>
        <w:t xml:space="preserve">Hillard, C.J., Manna, S., Greenberg, M.J., DiCamelli, R., Ross, R.A., Stevenson, L.A., Murphy, V., Pertwee, R.G., Campbell, W.B., 1999. </w:t>
      </w:r>
      <w:r w:rsidRPr="009B565D">
        <w:rPr>
          <w:rFonts w:ascii="Times New Roman" w:hAnsi="Times New Roman" w:cs="Times New Roman"/>
          <w:lang w:val="en-GB"/>
        </w:rPr>
        <w:t xml:space="preserve">Synthesis and characterization of potent and selective agonists of the neuronal cannabinoid receptor (CB1).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289, 1427–33.</w:t>
      </w:r>
    </w:p>
    <w:p w14:paraId="7042C127"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Horswill</w:t>
      </w:r>
      <w:proofErr w:type="spellEnd"/>
      <w:r w:rsidRPr="009B565D">
        <w:rPr>
          <w:rFonts w:ascii="Times New Roman" w:hAnsi="Times New Roman" w:cs="Times New Roman"/>
          <w:lang w:val="en-GB"/>
        </w:rPr>
        <w:t xml:space="preserve">, J.G., Bali, U., Shaaban, S., </w:t>
      </w:r>
      <w:proofErr w:type="spellStart"/>
      <w:r w:rsidRPr="009B565D">
        <w:rPr>
          <w:rFonts w:ascii="Times New Roman" w:hAnsi="Times New Roman" w:cs="Times New Roman"/>
          <w:lang w:val="en-GB"/>
        </w:rPr>
        <w:t>Keily</w:t>
      </w:r>
      <w:proofErr w:type="spellEnd"/>
      <w:r w:rsidRPr="009B565D">
        <w:rPr>
          <w:rFonts w:ascii="Times New Roman" w:hAnsi="Times New Roman" w:cs="Times New Roman"/>
          <w:lang w:val="en-GB"/>
        </w:rPr>
        <w:t xml:space="preserve">, J.F., </w:t>
      </w:r>
      <w:proofErr w:type="spellStart"/>
      <w:r w:rsidRPr="009B565D">
        <w:rPr>
          <w:rFonts w:ascii="Times New Roman" w:hAnsi="Times New Roman" w:cs="Times New Roman"/>
          <w:lang w:val="en-GB"/>
        </w:rPr>
        <w:t>Jeevaratnam</w:t>
      </w:r>
      <w:proofErr w:type="spellEnd"/>
      <w:r w:rsidRPr="009B565D">
        <w:rPr>
          <w:rFonts w:ascii="Times New Roman" w:hAnsi="Times New Roman" w:cs="Times New Roman"/>
          <w:lang w:val="en-GB"/>
        </w:rPr>
        <w:t xml:space="preserve">, P., </w:t>
      </w:r>
      <w:proofErr w:type="spellStart"/>
      <w:r w:rsidRPr="009B565D">
        <w:rPr>
          <w:rFonts w:ascii="Times New Roman" w:hAnsi="Times New Roman" w:cs="Times New Roman"/>
          <w:lang w:val="en-GB"/>
        </w:rPr>
        <w:t>Babbs</w:t>
      </w:r>
      <w:proofErr w:type="spellEnd"/>
      <w:r w:rsidRPr="009B565D">
        <w:rPr>
          <w:rFonts w:ascii="Times New Roman" w:hAnsi="Times New Roman" w:cs="Times New Roman"/>
          <w:lang w:val="en-GB"/>
        </w:rPr>
        <w:t xml:space="preserve">, A.J., </w:t>
      </w:r>
      <w:proofErr w:type="spellStart"/>
      <w:r w:rsidRPr="009B565D">
        <w:rPr>
          <w:rFonts w:ascii="Times New Roman" w:hAnsi="Times New Roman" w:cs="Times New Roman"/>
          <w:lang w:val="en-GB"/>
        </w:rPr>
        <w:t>Reynet</w:t>
      </w:r>
      <w:proofErr w:type="spellEnd"/>
      <w:r w:rsidRPr="009B565D">
        <w:rPr>
          <w:rFonts w:ascii="Times New Roman" w:hAnsi="Times New Roman" w:cs="Times New Roman"/>
          <w:lang w:val="en-GB"/>
        </w:rPr>
        <w:t xml:space="preserve">, C., Wong Kai In, P., 2007. PSNCBAM-1, a novel allosteric antagonist at cannabinoid CB1 receptors with </w:t>
      </w:r>
      <w:proofErr w:type="spellStart"/>
      <w:r w:rsidRPr="009B565D">
        <w:rPr>
          <w:rFonts w:ascii="Times New Roman" w:hAnsi="Times New Roman" w:cs="Times New Roman"/>
          <w:lang w:val="en-GB"/>
        </w:rPr>
        <w:t>hypophagic</w:t>
      </w:r>
      <w:proofErr w:type="spellEnd"/>
      <w:r w:rsidRPr="009B565D">
        <w:rPr>
          <w:rFonts w:ascii="Times New Roman" w:hAnsi="Times New Roman" w:cs="Times New Roman"/>
          <w:lang w:val="en-GB"/>
        </w:rPr>
        <w:t xml:space="preserve"> effects in rats.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152, 805–14. https://doi.org/10.1038/sj.bjp.0707347</w:t>
      </w:r>
    </w:p>
    <w:p w14:paraId="4BF8DF91"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Hua, T., </w:t>
      </w:r>
      <w:proofErr w:type="spellStart"/>
      <w:r w:rsidRPr="009B565D">
        <w:rPr>
          <w:rFonts w:ascii="Times New Roman" w:hAnsi="Times New Roman" w:cs="Times New Roman"/>
          <w:lang w:val="en-GB"/>
        </w:rPr>
        <w:t>Vemuri</w:t>
      </w:r>
      <w:proofErr w:type="spellEnd"/>
      <w:r w:rsidRPr="009B565D">
        <w:rPr>
          <w:rFonts w:ascii="Times New Roman" w:hAnsi="Times New Roman" w:cs="Times New Roman"/>
          <w:lang w:val="en-GB"/>
        </w:rPr>
        <w:t xml:space="preserve">, K., </w:t>
      </w:r>
      <w:proofErr w:type="spellStart"/>
      <w:r w:rsidRPr="009B565D">
        <w:rPr>
          <w:rFonts w:ascii="Times New Roman" w:hAnsi="Times New Roman" w:cs="Times New Roman"/>
          <w:lang w:val="en-GB"/>
        </w:rPr>
        <w:t>Nikas</w:t>
      </w:r>
      <w:proofErr w:type="spellEnd"/>
      <w:r w:rsidRPr="009B565D">
        <w:rPr>
          <w:rFonts w:ascii="Times New Roman" w:hAnsi="Times New Roman" w:cs="Times New Roman"/>
          <w:lang w:val="en-GB"/>
        </w:rPr>
        <w:t xml:space="preserve">, S.P., </w:t>
      </w:r>
      <w:proofErr w:type="spellStart"/>
      <w:r w:rsidRPr="009B565D">
        <w:rPr>
          <w:rFonts w:ascii="Times New Roman" w:hAnsi="Times New Roman" w:cs="Times New Roman"/>
          <w:lang w:val="en-GB"/>
        </w:rPr>
        <w:t>Laprairie</w:t>
      </w:r>
      <w:proofErr w:type="spellEnd"/>
      <w:r w:rsidRPr="009B565D">
        <w:rPr>
          <w:rFonts w:ascii="Times New Roman" w:hAnsi="Times New Roman" w:cs="Times New Roman"/>
          <w:lang w:val="en-GB"/>
        </w:rPr>
        <w:t xml:space="preserve">, R.B., Wu, Y., Qu, L., Pu, M., </w:t>
      </w:r>
      <w:proofErr w:type="spellStart"/>
      <w:r w:rsidRPr="009B565D">
        <w:rPr>
          <w:rFonts w:ascii="Times New Roman" w:hAnsi="Times New Roman" w:cs="Times New Roman"/>
          <w:lang w:val="en-GB"/>
        </w:rPr>
        <w:t>Korde</w:t>
      </w:r>
      <w:proofErr w:type="spellEnd"/>
      <w:r w:rsidRPr="009B565D">
        <w:rPr>
          <w:rFonts w:ascii="Times New Roman" w:hAnsi="Times New Roman" w:cs="Times New Roman"/>
          <w:lang w:val="en-GB"/>
        </w:rPr>
        <w:t xml:space="preserve">, A., Jiang, S., Ho, J.-H., Han, G.W., Ding, K., Li, X., Liu, H., Hanson, M.A., Zhao, S., Bohn, L.M.,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A., Stevens, R.C., Liu, Z.-J., 2017. Crystal structures of agonist-bound human cannabinoid receptor CB1. Nature 547, 468–471. https://doi.org/10.1038/nature23272</w:t>
      </w:r>
    </w:p>
    <w:p w14:paraId="25A594D2"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Hua, T., </w:t>
      </w:r>
      <w:proofErr w:type="spellStart"/>
      <w:r w:rsidRPr="009B565D">
        <w:rPr>
          <w:rFonts w:ascii="Times New Roman" w:hAnsi="Times New Roman" w:cs="Times New Roman"/>
          <w:lang w:val="en-GB"/>
        </w:rPr>
        <w:t>Vemuri</w:t>
      </w:r>
      <w:proofErr w:type="spellEnd"/>
      <w:r w:rsidRPr="009B565D">
        <w:rPr>
          <w:rFonts w:ascii="Times New Roman" w:hAnsi="Times New Roman" w:cs="Times New Roman"/>
          <w:lang w:val="en-GB"/>
        </w:rPr>
        <w:t xml:space="preserve">, K., Pu, M., Qu, L., Han, G.W., Wu, Y., Zhao, S., Shui, W., Li, S., </w:t>
      </w:r>
      <w:proofErr w:type="spellStart"/>
      <w:r w:rsidRPr="009B565D">
        <w:rPr>
          <w:rFonts w:ascii="Times New Roman" w:hAnsi="Times New Roman" w:cs="Times New Roman"/>
          <w:lang w:val="en-GB"/>
        </w:rPr>
        <w:t>Korde</w:t>
      </w:r>
      <w:proofErr w:type="spellEnd"/>
      <w:r w:rsidRPr="009B565D">
        <w:rPr>
          <w:rFonts w:ascii="Times New Roman" w:hAnsi="Times New Roman" w:cs="Times New Roman"/>
          <w:lang w:val="en-GB"/>
        </w:rPr>
        <w:t xml:space="preserve">, A., </w:t>
      </w:r>
      <w:proofErr w:type="spellStart"/>
      <w:r w:rsidRPr="009B565D">
        <w:rPr>
          <w:rFonts w:ascii="Times New Roman" w:hAnsi="Times New Roman" w:cs="Times New Roman"/>
          <w:lang w:val="en-GB"/>
        </w:rPr>
        <w:t>Laprairie</w:t>
      </w:r>
      <w:proofErr w:type="spellEnd"/>
      <w:r w:rsidRPr="009B565D">
        <w:rPr>
          <w:rFonts w:ascii="Times New Roman" w:hAnsi="Times New Roman" w:cs="Times New Roman"/>
          <w:lang w:val="en-GB"/>
        </w:rPr>
        <w:t xml:space="preserve">, R.B., Stahl, E.L., Ho, J.-H., </w:t>
      </w:r>
      <w:proofErr w:type="spellStart"/>
      <w:r w:rsidRPr="009B565D">
        <w:rPr>
          <w:rFonts w:ascii="Times New Roman" w:hAnsi="Times New Roman" w:cs="Times New Roman"/>
          <w:lang w:val="en-GB"/>
        </w:rPr>
        <w:t>Zvonok</w:t>
      </w:r>
      <w:proofErr w:type="spellEnd"/>
      <w:r w:rsidRPr="009B565D">
        <w:rPr>
          <w:rFonts w:ascii="Times New Roman" w:hAnsi="Times New Roman" w:cs="Times New Roman"/>
          <w:lang w:val="en-GB"/>
        </w:rPr>
        <w:t xml:space="preserve">, N., Zhou, H., </w:t>
      </w:r>
      <w:proofErr w:type="spellStart"/>
      <w:r w:rsidRPr="009B565D">
        <w:rPr>
          <w:rFonts w:ascii="Times New Roman" w:hAnsi="Times New Roman" w:cs="Times New Roman"/>
          <w:lang w:val="en-GB"/>
        </w:rPr>
        <w:t>Kufareva</w:t>
      </w:r>
      <w:proofErr w:type="spellEnd"/>
      <w:r w:rsidRPr="009B565D">
        <w:rPr>
          <w:rFonts w:ascii="Times New Roman" w:hAnsi="Times New Roman" w:cs="Times New Roman"/>
          <w:lang w:val="en-GB"/>
        </w:rPr>
        <w:t xml:space="preserve">, I., Wu, B., Zhao, Q., Hanson, M.A., Bohn, L.M.,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A., Stevens, R.C., Liu, Z.-J., 2016. Crystal Structure of the Human Cannabinoid Receptor CB 1. Cell 167, 750-762.e14. https://doi.org/10.1016/j.cell.2016.10.004</w:t>
      </w:r>
    </w:p>
    <w:p w14:paraId="5C4AF947"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Huffman, J., Marriott, K.-S., 2008. Recent Advances in the Development of Selective Ligands for the Cannabinoid CB2 Receptor. </w:t>
      </w:r>
      <w:proofErr w:type="spellStart"/>
      <w:r w:rsidRPr="009B565D">
        <w:rPr>
          <w:rFonts w:ascii="Times New Roman" w:hAnsi="Times New Roman" w:cs="Times New Roman"/>
          <w:lang w:val="en-GB"/>
        </w:rPr>
        <w:t>Curr</w:t>
      </w:r>
      <w:proofErr w:type="spellEnd"/>
      <w:r w:rsidRPr="009B565D">
        <w:rPr>
          <w:rFonts w:ascii="Times New Roman" w:hAnsi="Times New Roman" w:cs="Times New Roman"/>
          <w:lang w:val="en-GB"/>
        </w:rPr>
        <w:t>. Top. Med. Chem. 8, 187–204. https://doi.org/10.2174/156802608783498014</w:t>
      </w:r>
    </w:p>
    <w:p w14:paraId="434A1373"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Huffman, J.W., Bushell, S.M., Miller, J.R.., Wiley, J.L., Martin, B.R., 2002. 1-Methoxy-, 1-deoxy-11-hydroxy- and 11-Hydroxy-1-methoxy-Δ8-tetrahydrocannabinols: new selective ligands for the CB2 receptor. </w:t>
      </w:r>
      <w:proofErr w:type="spellStart"/>
      <w:r w:rsidRPr="009B565D">
        <w:rPr>
          <w:rFonts w:ascii="Times New Roman" w:hAnsi="Times New Roman" w:cs="Times New Roman"/>
          <w:lang w:val="en-GB"/>
        </w:rPr>
        <w:t>Bioorg</w:t>
      </w:r>
      <w:proofErr w:type="spellEnd"/>
      <w:r w:rsidRPr="009B565D">
        <w:rPr>
          <w:rFonts w:ascii="Times New Roman" w:hAnsi="Times New Roman" w:cs="Times New Roman"/>
          <w:lang w:val="en-GB"/>
        </w:rPr>
        <w:t>. Med. Chem. 10, 4119–4129. https://doi.org/10.1016/S0968-0896(02)00331-0</w:t>
      </w:r>
    </w:p>
    <w:p w14:paraId="0BD909E2"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Huffman, J.W., Liddle, J., Yu, S., Aung, M.M., </w:t>
      </w:r>
      <w:proofErr w:type="spellStart"/>
      <w:r w:rsidRPr="009B565D">
        <w:rPr>
          <w:rFonts w:ascii="Times New Roman" w:hAnsi="Times New Roman" w:cs="Times New Roman"/>
          <w:lang w:val="en-GB"/>
        </w:rPr>
        <w:t>Abood</w:t>
      </w:r>
      <w:proofErr w:type="spellEnd"/>
      <w:r w:rsidRPr="009B565D">
        <w:rPr>
          <w:rFonts w:ascii="Times New Roman" w:hAnsi="Times New Roman" w:cs="Times New Roman"/>
          <w:lang w:val="en-GB"/>
        </w:rPr>
        <w:t xml:space="preserve">, M.E., Wiley, J.L., Martin, B.R., 1999. 3-(1’,1’-Dimethylbutyl)-1-deoxy-delta8-THC and related compounds: synthesis of selective ligands for the CB2 receptor. </w:t>
      </w:r>
      <w:proofErr w:type="spellStart"/>
      <w:r w:rsidRPr="009B565D">
        <w:rPr>
          <w:rFonts w:ascii="Times New Roman" w:hAnsi="Times New Roman" w:cs="Times New Roman"/>
          <w:lang w:val="en-GB"/>
        </w:rPr>
        <w:t>Bioorg</w:t>
      </w:r>
      <w:proofErr w:type="spellEnd"/>
      <w:r w:rsidRPr="009B565D">
        <w:rPr>
          <w:rFonts w:ascii="Times New Roman" w:hAnsi="Times New Roman" w:cs="Times New Roman"/>
          <w:lang w:val="en-GB"/>
        </w:rPr>
        <w:t>. Med. Chem. 7, 2905–14.</w:t>
      </w:r>
    </w:p>
    <w:p w14:paraId="205CD42F"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Hung, M.-S., Chang, C.-P., Li, T.-C., Yeh, T.-K., Song, J.-S., Lin, Y., Wu, C.-H., </w:t>
      </w:r>
      <w:proofErr w:type="spellStart"/>
      <w:r w:rsidRPr="009B565D">
        <w:rPr>
          <w:rFonts w:ascii="Times New Roman" w:hAnsi="Times New Roman" w:cs="Times New Roman"/>
          <w:lang w:val="en-GB"/>
        </w:rPr>
        <w:t>Kuo</w:t>
      </w:r>
      <w:proofErr w:type="spellEnd"/>
      <w:r w:rsidRPr="009B565D">
        <w:rPr>
          <w:rFonts w:ascii="Times New Roman" w:hAnsi="Times New Roman" w:cs="Times New Roman"/>
          <w:lang w:val="en-GB"/>
        </w:rPr>
        <w:t xml:space="preserve">, P.-C., </w:t>
      </w:r>
      <w:proofErr w:type="spellStart"/>
      <w:r w:rsidRPr="009B565D">
        <w:rPr>
          <w:rFonts w:ascii="Times New Roman" w:hAnsi="Times New Roman" w:cs="Times New Roman"/>
          <w:lang w:val="en-GB"/>
        </w:rPr>
        <w:t>Amancha</w:t>
      </w:r>
      <w:proofErr w:type="spellEnd"/>
      <w:r w:rsidRPr="009B565D">
        <w:rPr>
          <w:rFonts w:ascii="Times New Roman" w:hAnsi="Times New Roman" w:cs="Times New Roman"/>
          <w:lang w:val="en-GB"/>
        </w:rPr>
        <w:t xml:space="preserve">, P.K., Wong, Y.-C., Hsiao, W.-C., Chao, Y.-S., Shia, K.-S., 2010. Discovery of 1-(2,4-Dichlorophenyl)-4-ethyl-5-(5-(2-(4-(trifluoromethyl)phenyl)ethynyl)thiophen-2-yl)-N-(piperidin-1-yl)-1H-pyrazole-3-carboxamide as a Potential Peripheral Cannabinoid-1 Receptor Inverse Agonist. </w:t>
      </w:r>
      <w:proofErr w:type="spellStart"/>
      <w:r w:rsidRPr="009B565D">
        <w:rPr>
          <w:rFonts w:ascii="Times New Roman" w:hAnsi="Times New Roman" w:cs="Times New Roman"/>
          <w:lang w:val="en-GB"/>
        </w:rPr>
        <w:t>ChemMedChem</w:t>
      </w:r>
      <w:proofErr w:type="spellEnd"/>
      <w:r w:rsidRPr="009B565D">
        <w:rPr>
          <w:rFonts w:ascii="Times New Roman" w:hAnsi="Times New Roman" w:cs="Times New Roman"/>
          <w:lang w:val="en-GB"/>
        </w:rPr>
        <w:t xml:space="preserve"> 5, 1439–1443. https://doi.org/10.1002/cmdc.201000246</w:t>
      </w:r>
    </w:p>
    <w:p w14:paraId="2444C194"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Ignatowska-Jankowska</w:t>
      </w:r>
      <w:proofErr w:type="spellEnd"/>
      <w:r w:rsidRPr="009B565D">
        <w:rPr>
          <w:rFonts w:ascii="Times New Roman" w:hAnsi="Times New Roman" w:cs="Times New Roman"/>
          <w:lang w:val="en-GB"/>
        </w:rPr>
        <w:t xml:space="preserve">, B.M., Baillie, G.L., Kinsey, S., Crowe, M., Ghosh, S., Owens, R.A., </w:t>
      </w:r>
      <w:proofErr w:type="spellStart"/>
      <w:r w:rsidRPr="009B565D">
        <w:rPr>
          <w:rFonts w:ascii="Times New Roman" w:hAnsi="Times New Roman" w:cs="Times New Roman"/>
          <w:lang w:val="en-GB"/>
        </w:rPr>
        <w:t>Damaj</w:t>
      </w:r>
      <w:proofErr w:type="spellEnd"/>
      <w:r w:rsidRPr="009B565D">
        <w:rPr>
          <w:rFonts w:ascii="Times New Roman" w:hAnsi="Times New Roman" w:cs="Times New Roman"/>
          <w:lang w:val="en-GB"/>
        </w:rPr>
        <w:t xml:space="preserve">, I.M., </w:t>
      </w:r>
      <w:proofErr w:type="spellStart"/>
      <w:r w:rsidRPr="009B565D">
        <w:rPr>
          <w:rFonts w:ascii="Times New Roman" w:hAnsi="Times New Roman" w:cs="Times New Roman"/>
          <w:lang w:val="en-GB"/>
        </w:rPr>
        <w:t>Poklis</w:t>
      </w:r>
      <w:proofErr w:type="spellEnd"/>
      <w:r w:rsidRPr="009B565D">
        <w:rPr>
          <w:rFonts w:ascii="Times New Roman" w:hAnsi="Times New Roman" w:cs="Times New Roman"/>
          <w:lang w:val="en-GB"/>
        </w:rPr>
        <w:t xml:space="preserve">, J., Wiley, J.L., </w:t>
      </w:r>
      <w:proofErr w:type="spellStart"/>
      <w:r w:rsidRPr="009B565D">
        <w:rPr>
          <w:rFonts w:ascii="Times New Roman" w:hAnsi="Times New Roman" w:cs="Times New Roman"/>
          <w:lang w:val="en-GB"/>
        </w:rPr>
        <w:t>Zanda</w:t>
      </w:r>
      <w:proofErr w:type="spellEnd"/>
      <w:r w:rsidRPr="009B565D">
        <w:rPr>
          <w:rFonts w:ascii="Times New Roman" w:hAnsi="Times New Roman" w:cs="Times New Roman"/>
          <w:lang w:val="en-GB"/>
        </w:rPr>
        <w:t xml:space="preserve">, M., </w:t>
      </w:r>
      <w:proofErr w:type="spellStart"/>
      <w:r w:rsidRPr="009B565D">
        <w:rPr>
          <w:rFonts w:ascii="Times New Roman" w:hAnsi="Times New Roman" w:cs="Times New Roman"/>
          <w:lang w:val="en-GB"/>
        </w:rPr>
        <w:t>Zanato</w:t>
      </w:r>
      <w:proofErr w:type="spellEnd"/>
      <w:r w:rsidRPr="009B565D">
        <w:rPr>
          <w:rFonts w:ascii="Times New Roman" w:hAnsi="Times New Roman" w:cs="Times New Roman"/>
          <w:lang w:val="en-GB"/>
        </w:rPr>
        <w:t>, C., Greig, I.R., Lichtman, A.H., Ross, R.A., 2015. A Cannabinoid CB1 Receptor-Positive Allosteric Modulator Reduces Neuropathic Pain in the Mouse with No Psychoactive Effects. Neuropsychopharmacology 40, 2948–2959. https://doi.org/10.1038/npp.2015.148</w:t>
      </w:r>
    </w:p>
    <w:p w14:paraId="7CC30E93"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Jordt</w:t>
      </w:r>
      <w:proofErr w:type="spellEnd"/>
      <w:r w:rsidRPr="009B565D">
        <w:rPr>
          <w:rFonts w:ascii="Times New Roman" w:hAnsi="Times New Roman" w:cs="Times New Roman"/>
          <w:lang w:val="en-GB"/>
        </w:rPr>
        <w:t xml:space="preserve">, S.-E., Bautista, D.M., Chuang, H., </w:t>
      </w:r>
      <w:proofErr w:type="spellStart"/>
      <w:r w:rsidRPr="009B565D">
        <w:rPr>
          <w:rFonts w:ascii="Times New Roman" w:hAnsi="Times New Roman" w:cs="Times New Roman"/>
          <w:lang w:val="en-GB"/>
        </w:rPr>
        <w:t>McKemy</w:t>
      </w:r>
      <w:proofErr w:type="spellEnd"/>
      <w:r w:rsidRPr="009B565D">
        <w:rPr>
          <w:rFonts w:ascii="Times New Roman" w:hAnsi="Times New Roman" w:cs="Times New Roman"/>
          <w:lang w:val="en-GB"/>
        </w:rPr>
        <w:t xml:space="preserve">, D.D., Zygmunt, P.M., </w:t>
      </w:r>
      <w:proofErr w:type="spellStart"/>
      <w:r w:rsidRPr="009B565D">
        <w:rPr>
          <w:rFonts w:ascii="Times New Roman" w:hAnsi="Times New Roman" w:cs="Times New Roman"/>
          <w:lang w:val="en-GB"/>
        </w:rPr>
        <w:t>Högestätt</w:t>
      </w:r>
      <w:proofErr w:type="spellEnd"/>
      <w:r w:rsidRPr="009B565D">
        <w:rPr>
          <w:rFonts w:ascii="Times New Roman" w:hAnsi="Times New Roman" w:cs="Times New Roman"/>
          <w:lang w:val="en-GB"/>
        </w:rPr>
        <w:t>, E.D., Meng, I.D., Julius, D., 2004. Mustard oils and cannabinoids excite sensory nerve fibres through the TRP channel ANKTM1. Nature 427, 260–265. https://doi.org/10.1038/nature02282</w:t>
      </w:r>
    </w:p>
    <w:p w14:paraId="62130600"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Kapur</w:t>
      </w:r>
      <w:proofErr w:type="spellEnd"/>
      <w:r w:rsidRPr="009B565D">
        <w:rPr>
          <w:rFonts w:ascii="Times New Roman" w:hAnsi="Times New Roman" w:cs="Times New Roman"/>
          <w:lang w:val="en-GB"/>
        </w:rPr>
        <w:t xml:space="preserve">, A., Zhao, P., </w:t>
      </w:r>
      <w:proofErr w:type="spellStart"/>
      <w:r w:rsidRPr="009B565D">
        <w:rPr>
          <w:rFonts w:ascii="Times New Roman" w:hAnsi="Times New Roman" w:cs="Times New Roman"/>
          <w:lang w:val="en-GB"/>
        </w:rPr>
        <w:t>Sharir</w:t>
      </w:r>
      <w:proofErr w:type="spellEnd"/>
      <w:r w:rsidRPr="009B565D">
        <w:rPr>
          <w:rFonts w:ascii="Times New Roman" w:hAnsi="Times New Roman" w:cs="Times New Roman"/>
          <w:lang w:val="en-GB"/>
        </w:rPr>
        <w:t xml:space="preserve">, H., Bai, Y., Caron, M.G., Barak, L.S., </w:t>
      </w:r>
      <w:proofErr w:type="spellStart"/>
      <w:r w:rsidRPr="009B565D">
        <w:rPr>
          <w:rFonts w:ascii="Times New Roman" w:hAnsi="Times New Roman" w:cs="Times New Roman"/>
          <w:lang w:val="en-GB"/>
        </w:rPr>
        <w:t>Abood</w:t>
      </w:r>
      <w:proofErr w:type="spellEnd"/>
      <w:r w:rsidRPr="009B565D">
        <w:rPr>
          <w:rFonts w:ascii="Times New Roman" w:hAnsi="Times New Roman" w:cs="Times New Roman"/>
          <w:lang w:val="en-GB"/>
        </w:rPr>
        <w:t>, M.E., 2009. Atypical Responsiveness of the Orphan Receptor GPR55 to Cannabinoid Ligands. J. Biol. Chem. 284, 29817–29827. https://doi.org/10.1074/jbc.M109.050187</w:t>
      </w:r>
    </w:p>
    <w:p w14:paraId="0EDA1DB9"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Khanolkar</w:t>
      </w:r>
      <w:proofErr w:type="spellEnd"/>
      <w:r w:rsidRPr="009B565D">
        <w:rPr>
          <w:rFonts w:ascii="Times New Roman" w:hAnsi="Times New Roman" w:cs="Times New Roman"/>
          <w:lang w:val="en-GB"/>
        </w:rPr>
        <w:t xml:space="preserve">, A.D., Lu, D., Ibrahim, M., Duclos, Jr., R.I., Thakur, G.A., Malan, Jr., T.P., </w:t>
      </w:r>
      <w:proofErr w:type="spellStart"/>
      <w:r w:rsidRPr="009B565D">
        <w:rPr>
          <w:rFonts w:ascii="Times New Roman" w:hAnsi="Times New Roman" w:cs="Times New Roman"/>
          <w:lang w:val="en-GB"/>
        </w:rPr>
        <w:t>Porreca</w:t>
      </w:r>
      <w:proofErr w:type="spellEnd"/>
      <w:r w:rsidRPr="009B565D">
        <w:rPr>
          <w:rFonts w:ascii="Times New Roman" w:hAnsi="Times New Roman" w:cs="Times New Roman"/>
          <w:lang w:val="en-GB"/>
        </w:rPr>
        <w:t xml:space="preserve">, F., Veerappan, V., Tian, X., George, C., Parrish, D.A., </w:t>
      </w:r>
      <w:proofErr w:type="spellStart"/>
      <w:r w:rsidRPr="009B565D">
        <w:rPr>
          <w:rFonts w:ascii="Times New Roman" w:hAnsi="Times New Roman" w:cs="Times New Roman"/>
          <w:lang w:val="en-GB"/>
        </w:rPr>
        <w:t>Papahatjis</w:t>
      </w:r>
      <w:proofErr w:type="spellEnd"/>
      <w:r w:rsidRPr="009B565D">
        <w:rPr>
          <w:rFonts w:ascii="Times New Roman" w:hAnsi="Times New Roman" w:cs="Times New Roman"/>
          <w:lang w:val="en-GB"/>
        </w:rPr>
        <w:t xml:space="preserve">, D.P.,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xml:space="preserve">, A., 2007. </w:t>
      </w:r>
      <w:proofErr w:type="spellStart"/>
      <w:r w:rsidRPr="009B565D">
        <w:rPr>
          <w:rFonts w:ascii="Times New Roman" w:hAnsi="Times New Roman" w:cs="Times New Roman"/>
          <w:lang w:val="en-GB"/>
        </w:rPr>
        <w:t>Cannabilactones</w:t>
      </w:r>
      <w:proofErr w:type="spellEnd"/>
      <w:r w:rsidRPr="009B565D">
        <w:rPr>
          <w:rFonts w:ascii="Times New Roman" w:hAnsi="Times New Roman" w:cs="Times New Roman"/>
          <w:lang w:val="en-GB"/>
        </w:rPr>
        <w:t>: A Novel Class of CB2 Selective Agonists with Peripheral Analgesic Activity. J. Med. Chem. 50, 6493–6500. https://doi.org/10.1021/jm070441u</w:t>
      </w:r>
    </w:p>
    <w:p w14:paraId="60B2EF03"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lastRenderedPageBreak/>
        <w:t xml:space="preserve">Kulkarni, P.M., Kulkarni, A.R., </w:t>
      </w:r>
      <w:proofErr w:type="spellStart"/>
      <w:r w:rsidRPr="009B565D">
        <w:rPr>
          <w:rFonts w:ascii="Times New Roman" w:hAnsi="Times New Roman" w:cs="Times New Roman"/>
          <w:lang w:val="en-GB"/>
        </w:rPr>
        <w:t>Korde</w:t>
      </w:r>
      <w:proofErr w:type="spellEnd"/>
      <w:r w:rsidRPr="009B565D">
        <w:rPr>
          <w:rFonts w:ascii="Times New Roman" w:hAnsi="Times New Roman" w:cs="Times New Roman"/>
          <w:lang w:val="en-GB"/>
        </w:rPr>
        <w:t xml:space="preserve">, A., </w:t>
      </w:r>
      <w:proofErr w:type="spellStart"/>
      <w:r w:rsidRPr="009B565D">
        <w:rPr>
          <w:rFonts w:ascii="Times New Roman" w:hAnsi="Times New Roman" w:cs="Times New Roman"/>
          <w:lang w:val="en-GB"/>
        </w:rPr>
        <w:t>Tichkule</w:t>
      </w:r>
      <w:proofErr w:type="spellEnd"/>
      <w:r w:rsidRPr="009B565D">
        <w:rPr>
          <w:rFonts w:ascii="Times New Roman" w:hAnsi="Times New Roman" w:cs="Times New Roman"/>
          <w:lang w:val="en-GB"/>
        </w:rPr>
        <w:t xml:space="preserve">, R.B., </w:t>
      </w:r>
      <w:proofErr w:type="spellStart"/>
      <w:r w:rsidRPr="009B565D">
        <w:rPr>
          <w:rFonts w:ascii="Times New Roman" w:hAnsi="Times New Roman" w:cs="Times New Roman"/>
          <w:lang w:val="en-GB"/>
        </w:rPr>
        <w:t>Laprairie</w:t>
      </w:r>
      <w:proofErr w:type="spellEnd"/>
      <w:r w:rsidRPr="009B565D">
        <w:rPr>
          <w:rFonts w:ascii="Times New Roman" w:hAnsi="Times New Roman" w:cs="Times New Roman"/>
          <w:lang w:val="en-GB"/>
        </w:rPr>
        <w:t xml:space="preserve">, R.B., </w:t>
      </w:r>
      <w:proofErr w:type="spellStart"/>
      <w:r w:rsidRPr="009B565D">
        <w:rPr>
          <w:rFonts w:ascii="Times New Roman" w:hAnsi="Times New Roman" w:cs="Times New Roman"/>
          <w:lang w:val="en-GB"/>
        </w:rPr>
        <w:t>Denovan</w:t>
      </w:r>
      <w:proofErr w:type="spellEnd"/>
      <w:r w:rsidRPr="009B565D">
        <w:rPr>
          <w:rFonts w:ascii="Times New Roman" w:hAnsi="Times New Roman" w:cs="Times New Roman"/>
          <w:lang w:val="en-GB"/>
        </w:rPr>
        <w:t xml:space="preserve">-Wright, E.M., Zhou, H., </w:t>
      </w:r>
      <w:proofErr w:type="spellStart"/>
      <w:r w:rsidRPr="009B565D">
        <w:rPr>
          <w:rFonts w:ascii="Times New Roman" w:hAnsi="Times New Roman" w:cs="Times New Roman"/>
          <w:lang w:val="en-GB"/>
        </w:rPr>
        <w:t>Janero</w:t>
      </w:r>
      <w:proofErr w:type="spellEnd"/>
      <w:r w:rsidRPr="009B565D">
        <w:rPr>
          <w:rFonts w:ascii="Times New Roman" w:hAnsi="Times New Roman" w:cs="Times New Roman"/>
          <w:lang w:val="en-GB"/>
        </w:rPr>
        <w:t xml:space="preserve">, D.R., </w:t>
      </w:r>
      <w:proofErr w:type="spellStart"/>
      <w:r w:rsidRPr="009B565D">
        <w:rPr>
          <w:rFonts w:ascii="Times New Roman" w:hAnsi="Times New Roman" w:cs="Times New Roman"/>
          <w:lang w:val="en-GB"/>
        </w:rPr>
        <w:t>Zvonok</w:t>
      </w:r>
      <w:proofErr w:type="spellEnd"/>
      <w:r w:rsidRPr="009B565D">
        <w:rPr>
          <w:rFonts w:ascii="Times New Roman" w:hAnsi="Times New Roman" w:cs="Times New Roman"/>
          <w:lang w:val="en-GB"/>
        </w:rPr>
        <w:t xml:space="preserve">, N.,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A., Cascio, M.G., Pertwee, R.G., Thakur, G.A., 2016. Novel Electrophilic and Photoaffinity Covalent Probes for Mapping the Cannabinoid 1 Receptor Allosteric Site(s). J. Med. Chem. 59, 44–60. https://doi.org/10.1021/acs.jmedchem.5b01303</w:t>
      </w:r>
    </w:p>
    <w:p w14:paraId="4B8837C1"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Kulkarni, S., </w:t>
      </w:r>
      <w:proofErr w:type="spellStart"/>
      <w:r w:rsidRPr="009B565D">
        <w:rPr>
          <w:rFonts w:ascii="Times New Roman" w:hAnsi="Times New Roman" w:cs="Times New Roman"/>
          <w:lang w:val="en-GB"/>
        </w:rPr>
        <w:t>Nikas</w:t>
      </w:r>
      <w:proofErr w:type="spellEnd"/>
      <w:r w:rsidRPr="009B565D">
        <w:rPr>
          <w:rFonts w:ascii="Times New Roman" w:hAnsi="Times New Roman" w:cs="Times New Roman"/>
          <w:lang w:val="en-GB"/>
        </w:rPr>
        <w:t xml:space="preserve">, S.P., Sharma, R., Jiang, S., </w:t>
      </w:r>
      <w:proofErr w:type="spellStart"/>
      <w:r w:rsidRPr="009B565D">
        <w:rPr>
          <w:rFonts w:ascii="Times New Roman" w:hAnsi="Times New Roman" w:cs="Times New Roman"/>
          <w:lang w:val="en-GB"/>
        </w:rPr>
        <w:t>Paronis</w:t>
      </w:r>
      <w:proofErr w:type="spellEnd"/>
      <w:r w:rsidRPr="009B565D">
        <w:rPr>
          <w:rFonts w:ascii="Times New Roman" w:hAnsi="Times New Roman" w:cs="Times New Roman"/>
          <w:lang w:val="en-GB"/>
        </w:rPr>
        <w:t xml:space="preserve">, C.A., Leonard, M.Z., Zhang, B., </w:t>
      </w:r>
      <w:proofErr w:type="spellStart"/>
      <w:r w:rsidRPr="009B565D">
        <w:rPr>
          <w:rFonts w:ascii="Times New Roman" w:hAnsi="Times New Roman" w:cs="Times New Roman"/>
          <w:lang w:val="en-GB"/>
        </w:rPr>
        <w:t>Honrao</w:t>
      </w:r>
      <w:proofErr w:type="spellEnd"/>
      <w:r w:rsidRPr="009B565D">
        <w:rPr>
          <w:rFonts w:ascii="Times New Roman" w:hAnsi="Times New Roman" w:cs="Times New Roman"/>
          <w:lang w:val="en-GB"/>
        </w:rPr>
        <w:t xml:space="preserve">, C., </w:t>
      </w:r>
      <w:proofErr w:type="spellStart"/>
      <w:r w:rsidRPr="009B565D">
        <w:rPr>
          <w:rFonts w:ascii="Times New Roman" w:hAnsi="Times New Roman" w:cs="Times New Roman"/>
          <w:lang w:val="en-GB"/>
        </w:rPr>
        <w:t>Mallipeddi</w:t>
      </w:r>
      <w:proofErr w:type="spellEnd"/>
      <w:r w:rsidRPr="009B565D">
        <w:rPr>
          <w:rFonts w:ascii="Times New Roman" w:hAnsi="Times New Roman" w:cs="Times New Roman"/>
          <w:lang w:val="en-GB"/>
        </w:rPr>
        <w:t xml:space="preserve">, S., Raghav, J.G., </w:t>
      </w:r>
      <w:proofErr w:type="spellStart"/>
      <w:r w:rsidRPr="009B565D">
        <w:rPr>
          <w:rFonts w:ascii="Times New Roman" w:hAnsi="Times New Roman" w:cs="Times New Roman"/>
          <w:lang w:val="en-GB"/>
        </w:rPr>
        <w:t>Benchama</w:t>
      </w:r>
      <w:proofErr w:type="spellEnd"/>
      <w:r w:rsidRPr="009B565D">
        <w:rPr>
          <w:rFonts w:ascii="Times New Roman" w:hAnsi="Times New Roman" w:cs="Times New Roman"/>
          <w:lang w:val="en-GB"/>
        </w:rPr>
        <w:t xml:space="preserve">, O., </w:t>
      </w:r>
      <w:proofErr w:type="spellStart"/>
      <w:r w:rsidRPr="009B565D">
        <w:rPr>
          <w:rFonts w:ascii="Times New Roman" w:hAnsi="Times New Roman" w:cs="Times New Roman"/>
          <w:lang w:val="en-GB"/>
        </w:rPr>
        <w:t>Järbe</w:t>
      </w:r>
      <w:proofErr w:type="spellEnd"/>
      <w:r w:rsidRPr="009B565D">
        <w:rPr>
          <w:rFonts w:ascii="Times New Roman" w:hAnsi="Times New Roman" w:cs="Times New Roman"/>
          <w:lang w:val="en-GB"/>
        </w:rPr>
        <w:t xml:space="preserve">, T.U.C., Bergman, J.,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A., 2016. Novel C-Ring-Hydroxy-Substituted Controlled Deactivation Cannabinergic Analogues. J. Med. Chem. 59, 6903–6919. https://doi.org/10.1021/acs.jmedchem.6b00717</w:t>
      </w:r>
    </w:p>
    <w:p w14:paraId="43CFD602"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Lan, R, </w:t>
      </w:r>
      <w:proofErr w:type="spellStart"/>
      <w:r w:rsidRPr="009B565D">
        <w:rPr>
          <w:rFonts w:ascii="Times New Roman" w:hAnsi="Times New Roman" w:cs="Times New Roman"/>
          <w:lang w:val="en-GB"/>
        </w:rPr>
        <w:t>Gatley</w:t>
      </w:r>
      <w:proofErr w:type="spellEnd"/>
      <w:r w:rsidRPr="009B565D">
        <w:rPr>
          <w:rFonts w:ascii="Times New Roman" w:hAnsi="Times New Roman" w:cs="Times New Roman"/>
          <w:lang w:val="en-GB"/>
        </w:rPr>
        <w:t xml:space="preserve">, J., Lu, Q., Fan, P., Fernando, S.R., Volkow, N.D., Pertwee, R.,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xml:space="preserve">, A., 1999. Design and synthesis of the CB1 selective cannabinoid antagonist AM281: a potential human SPECT ligand. AAPS </w:t>
      </w:r>
      <w:proofErr w:type="spellStart"/>
      <w:r w:rsidRPr="009B565D">
        <w:rPr>
          <w:rFonts w:ascii="Times New Roman" w:hAnsi="Times New Roman" w:cs="Times New Roman"/>
          <w:lang w:val="en-GB"/>
        </w:rPr>
        <w:t>PharmSci</w:t>
      </w:r>
      <w:proofErr w:type="spellEnd"/>
      <w:r w:rsidRPr="009B565D">
        <w:rPr>
          <w:rFonts w:ascii="Times New Roman" w:hAnsi="Times New Roman" w:cs="Times New Roman"/>
          <w:lang w:val="en-GB"/>
        </w:rPr>
        <w:t xml:space="preserve"> 1, E4.</w:t>
      </w:r>
    </w:p>
    <w:p w14:paraId="1751DDFA"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Lan, </w:t>
      </w:r>
      <w:proofErr w:type="spellStart"/>
      <w:r w:rsidRPr="009B565D">
        <w:rPr>
          <w:rFonts w:ascii="Times New Roman" w:hAnsi="Times New Roman" w:cs="Times New Roman"/>
          <w:lang w:val="en-GB"/>
        </w:rPr>
        <w:t>Ruoxi</w:t>
      </w:r>
      <w:proofErr w:type="spellEnd"/>
      <w:r w:rsidRPr="009B565D">
        <w:rPr>
          <w:rFonts w:ascii="Times New Roman" w:hAnsi="Times New Roman" w:cs="Times New Roman"/>
          <w:lang w:val="en-GB"/>
        </w:rPr>
        <w:t xml:space="preserve">, Liu, Q., Fan, P., Lin, S., Fernando, S.R., McCallion, D., Pertwee, R.,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xml:space="preserve">, A., 1999. Structure−Activity Relationships of </w:t>
      </w:r>
      <w:proofErr w:type="spellStart"/>
      <w:r w:rsidRPr="009B565D">
        <w:rPr>
          <w:rFonts w:ascii="Times New Roman" w:hAnsi="Times New Roman" w:cs="Times New Roman"/>
          <w:lang w:val="en-GB"/>
        </w:rPr>
        <w:t>Pyrazole</w:t>
      </w:r>
      <w:proofErr w:type="spellEnd"/>
      <w:r w:rsidRPr="009B565D">
        <w:rPr>
          <w:rFonts w:ascii="Times New Roman" w:hAnsi="Times New Roman" w:cs="Times New Roman"/>
          <w:lang w:val="en-GB"/>
        </w:rPr>
        <w:t xml:space="preserve"> Derivatives as Cannabinoid Receptor Antagonists. J. Med. Chem. 42, 769–776. https://doi.org/10.1021/jm980363y</w:t>
      </w:r>
    </w:p>
    <w:p w14:paraId="3ABD6BBB"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Lange, J.H.M., </w:t>
      </w:r>
      <w:proofErr w:type="spellStart"/>
      <w:r w:rsidRPr="009B565D">
        <w:rPr>
          <w:rFonts w:ascii="Times New Roman" w:hAnsi="Times New Roman" w:cs="Times New Roman"/>
          <w:lang w:val="en-GB"/>
        </w:rPr>
        <w:t>Coolen</w:t>
      </w:r>
      <w:proofErr w:type="spellEnd"/>
      <w:r w:rsidRPr="009B565D">
        <w:rPr>
          <w:rFonts w:ascii="Times New Roman" w:hAnsi="Times New Roman" w:cs="Times New Roman"/>
          <w:lang w:val="en-GB"/>
        </w:rPr>
        <w:t xml:space="preserve">, H.K.A.C., van </w:t>
      </w:r>
      <w:proofErr w:type="spellStart"/>
      <w:r w:rsidRPr="009B565D">
        <w:rPr>
          <w:rFonts w:ascii="Times New Roman" w:hAnsi="Times New Roman" w:cs="Times New Roman"/>
          <w:lang w:val="en-GB"/>
        </w:rPr>
        <w:t>Stuivenberg</w:t>
      </w:r>
      <w:proofErr w:type="spellEnd"/>
      <w:r w:rsidRPr="009B565D">
        <w:rPr>
          <w:rFonts w:ascii="Times New Roman" w:hAnsi="Times New Roman" w:cs="Times New Roman"/>
          <w:lang w:val="en-GB"/>
        </w:rPr>
        <w:t xml:space="preserve">, H.H., </w:t>
      </w:r>
      <w:proofErr w:type="spellStart"/>
      <w:r w:rsidRPr="009B565D">
        <w:rPr>
          <w:rFonts w:ascii="Times New Roman" w:hAnsi="Times New Roman" w:cs="Times New Roman"/>
          <w:lang w:val="en-GB"/>
        </w:rPr>
        <w:t>Dijksman</w:t>
      </w:r>
      <w:proofErr w:type="spellEnd"/>
      <w:r w:rsidRPr="009B565D">
        <w:rPr>
          <w:rFonts w:ascii="Times New Roman" w:hAnsi="Times New Roman" w:cs="Times New Roman"/>
          <w:lang w:val="en-GB"/>
        </w:rPr>
        <w:t xml:space="preserve">, J.A.R., </w:t>
      </w:r>
      <w:proofErr w:type="spellStart"/>
      <w:r w:rsidRPr="009B565D">
        <w:rPr>
          <w:rFonts w:ascii="Times New Roman" w:hAnsi="Times New Roman" w:cs="Times New Roman"/>
          <w:lang w:val="en-GB"/>
        </w:rPr>
        <w:t>Herremans</w:t>
      </w:r>
      <w:proofErr w:type="spellEnd"/>
      <w:r w:rsidRPr="009B565D">
        <w:rPr>
          <w:rFonts w:ascii="Times New Roman" w:hAnsi="Times New Roman" w:cs="Times New Roman"/>
          <w:lang w:val="en-GB"/>
        </w:rPr>
        <w:t xml:space="preserve">, A.H.J., </w:t>
      </w:r>
      <w:proofErr w:type="spellStart"/>
      <w:r w:rsidRPr="009B565D">
        <w:rPr>
          <w:rFonts w:ascii="Times New Roman" w:hAnsi="Times New Roman" w:cs="Times New Roman"/>
          <w:lang w:val="en-GB"/>
        </w:rPr>
        <w:t>Ronken</w:t>
      </w:r>
      <w:proofErr w:type="spellEnd"/>
      <w:r w:rsidRPr="009B565D">
        <w:rPr>
          <w:rFonts w:ascii="Times New Roman" w:hAnsi="Times New Roman" w:cs="Times New Roman"/>
          <w:lang w:val="en-GB"/>
        </w:rPr>
        <w:t xml:space="preserve">, E., Keizer, H.G., </w:t>
      </w:r>
      <w:proofErr w:type="spellStart"/>
      <w:r w:rsidRPr="009B565D">
        <w:rPr>
          <w:rFonts w:ascii="Times New Roman" w:hAnsi="Times New Roman" w:cs="Times New Roman"/>
          <w:lang w:val="en-GB"/>
        </w:rPr>
        <w:t>Tipker</w:t>
      </w:r>
      <w:proofErr w:type="spellEnd"/>
      <w:r w:rsidRPr="009B565D">
        <w:rPr>
          <w:rFonts w:ascii="Times New Roman" w:hAnsi="Times New Roman" w:cs="Times New Roman"/>
          <w:lang w:val="en-GB"/>
        </w:rPr>
        <w:t xml:space="preserve">, K., McCreary, A.C., </w:t>
      </w:r>
      <w:proofErr w:type="spellStart"/>
      <w:r w:rsidRPr="009B565D">
        <w:rPr>
          <w:rFonts w:ascii="Times New Roman" w:hAnsi="Times New Roman" w:cs="Times New Roman"/>
          <w:lang w:val="en-GB"/>
        </w:rPr>
        <w:t>Veerman</w:t>
      </w:r>
      <w:proofErr w:type="spellEnd"/>
      <w:r w:rsidRPr="009B565D">
        <w:rPr>
          <w:rFonts w:ascii="Times New Roman" w:hAnsi="Times New Roman" w:cs="Times New Roman"/>
          <w:lang w:val="en-GB"/>
        </w:rPr>
        <w:t xml:space="preserve">, W., </w:t>
      </w:r>
      <w:proofErr w:type="spellStart"/>
      <w:r w:rsidRPr="009B565D">
        <w:rPr>
          <w:rFonts w:ascii="Times New Roman" w:hAnsi="Times New Roman" w:cs="Times New Roman"/>
          <w:lang w:val="en-GB"/>
        </w:rPr>
        <w:t>Wals</w:t>
      </w:r>
      <w:proofErr w:type="spellEnd"/>
      <w:r w:rsidRPr="009B565D">
        <w:rPr>
          <w:rFonts w:ascii="Times New Roman" w:hAnsi="Times New Roman" w:cs="Times New Roman"/>
          <w:lang w:val="en-GB"/>
        </w:rPr>
        <w:t xml:space="preserve">, H.C., Stork, B., </w:t>
      </w:r>
      <w:proofErr w:type="spellStart"/>
      <w:r w:rsidRPr="009B565D">
        <w:rPr>
          <w:rFonts w:ascii="Times New Roman" w:hAnsi="Times New Roman" w:cs="Times New Roman"/>
          <w:lang w:val="en-GB"/>
        </w:rPr>
        <w:t>Verveer</w:t>
      </w:r>
      <w:proofErr w:type="spellEnd"/>
      <w:r w:rsidRPr="009B565D">
        <w:rPr>
          <w:rFonts w:ascii="Times New Roman" w:hAnsi="Times New Roman" w:cs="Times New Roman"/>
          <w:lang w:val="en-GB"/>
        </w:rPr>
        <w:t xml:space="preserve">, P.C., den Hartog, A.P., de Jong, N.M.J., </w:t>
      </w:r>
      <w:proofErr w:type="spellStart"/>
      <w:r w:rsidRPr="009B565D">
        <w:rPr>
          <w:rFonts w:ascii="Times New Roman" w:hAnsi="Times New Roman" w:cs="Times New Roman"/>
          <w:lang w:val="en-GB"/>
        </w:rPr>
        <w:t>Adolfs</w:t>
      </w:r>
      <w:proofErr w:type="spellEnd"/>
      <w:r w:rsidRPr="009B565D">
        <w:rPr>
          <w:rFonts w:ascii="Times New Roman" w:hAnsi="Times New Roman" w:cs="Times New Roman"/>
          <w:lang w:val="en-GB"/>
        </w:rPr>
        <w:t xml:space="preserve">, T.J.P., </w:t>
      </w:r>
      <w:proofErr w:type="spellStart"/>
      <w:r w:rsidRPr="009B565D">
        <w:rPr>
          <w:rFonts w:ascii="Times New Roman" w:hAnsi="Times New Roman" w:cs="Times New Roman"/>
          <w:lang w:val="en-GB"/>
        </w:rPr>
        <w:t>Hoogendoorn</w:t>
      </w:r>
      <w:proofErr w:type="spellEnd"/>
      <w:r w:rsidRPr="009B565D">
        <w:rPr>
          <w:rFonts w:ascii="Times New Roman" w:hAnsi="Times New Roman" w:cs="Times New Roman"/>
          <w:lang w:val="en-GB"/>
        </w:rPr>
        <w:t xml:space="preserve">, J., Kruse, C.G., 2004. Synthesis, Biological Properties, and Molecular </w:t>
      </w:r>
      <w:proofErr w:type="spellStart"/>
      <w:r w:rsidRPr="009B565D">
        <w:rPr>
          <w:rFonts w:ascii="Times New Roman" w:hAnsi="Times New Roman" w:cs="Times New Roman"/>
          <w:lang w:val="en-GB"/>
        </w:rPr>
        <w:t>Modeling</w:t>
      </w:r>
      <w:proofErr w:type="spellEnd"/>
      <w:r w:rsidRPr="009B565D">
        <w:rPr>
          <w:rFonts w:ascii="Times New Roman" w:hAnsi="Times New Roman" w:cs="Times New Roman"/>
          <w:lang w:val="en-GB"/>
        </w:rPr>
        <w:t xml:space="preserve"> Investigations of Novel 3,4-Diarylpyrazolines as Potent and Selective CB (1) Cannabinoid Receptor Antagonists. J. Med. Chem. 47, 627–643. https://doi.org/10.1021/jm031019q</w:t>
      </w:r>
    </w:p>
    <w:p w14:paraId="0FDAA959"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Laprairie</w:t>
      </w:r>
      <w:proofErr w:type="spellEnd"/>
      <w:r w:rsidRPr="009B565D">
        <w:rPr>
          <w:rFonts w:ascii="Times New Roman" w:hAnsi="Times New Roman" w:cs="Times New Roman"/>
          <w:lang w:val="en-GB"/>
        </w:rPr>
        <w:t xml:space="preserve">, R.B., Bagher, A.M., Kelly, M.E.M., </w:t>
      </w:r>
      <w:proofErr w:type="spellStart"/>
      <w:r w:rsidRPr="009B565D">
        <w:rPr>
          <w:rFonts w:ascii="Times New Roman" w:hAnsi="Times New Roman" w:cs="Times New Roman"/>
          <w:lang w:val="en-GB"/>
        </w:rPr>
        <w:t>Denovan</w:t>
      </w:r>
      <w:proofErr w:type="spellEnd"/>
      <w:r w:rsidRPr="009B565D">
        <w:rPr>
          <w:rFonts w:ascii="Times New Roman" w:hAnsi="Times New Roman" w:cs="Times New Roman"/>
          <w:lang w:val="en-GB"/>
        </w:rPr>
        <w:t xml:space="preserve">-Wright, E.M., 2015. Cannabidiol is a negative allosteric modulator of the cannabinoid CB 1 receptor.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172, 4790–4805. https://doi.org/10.1111/bph.13250</w:t>
      </w:r>
    </w:p>
    <w:p w14:paraId="529F6897"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Laprairie</w:t>
      </w:r>
      <w:proofErr w:type="spellEnd"/>
      <w:r w:rsidRPr="009B565D">
        <w:rPr>
          <w:rFonts w:ascii="Times New Roman" w:hAnsi="Times New Roman" w:cs="Times New Roman"/>
          <w:lang w:val="en-GB"/>
        </w:rPr>
        <w:t xml:space="preserve">, R.B., Kulkarni, A.R., Kulkarni, P.M., Hurst, D.P., Lynch, D., Reggio, P.H., </w:t>
      </w:r>
      <w:proofErr w:type="spellStart"/>
      <w:r w:rsidRPr="009B565D">
        <w:rPr>
          <w:rFonts w:ascii="Times New Roman" w:hAnsi="Times New Roman" w:cs="Times New Roman"/>
          <w:lang w:val="en-GB"/>
        </w:rPr>
        <w:t>Janero</w:t>
      </w:r>
      <w:proofErr w:type="spellEnd"/>
      <w:r w:rsidRPr="009B565D">
        <w:rPr>
          <w:rFonts w:ascii="Times New Roman" w:hAnsi="Times New Roman" w:cs="Times New Roman"/>
          <w:lang w:val="en-GB"/>
        </w:rPr>
        <w:t xml:space="preserve">, D.R., Pertwee, R.G., Stevenson, L.A., Kelly, M.E.M., </w:t>
      </w:r>
      <w:proofErr w:type="spellStart"/>
      <w:r w:rsidRPr="009B565D">
        <w:rPr>
          <w:rFonts w:ascii="Times New Roman" w:hAnsi="Times New Roman" w:cs="Times New Roman"/>
          <w:lang w:val="en-GB"/>
        </w:rPr>
        <w:t>Denovan</w:t>
      </w:r>
      <w:proofErr w:type="spellEnd"/>
      <w:r w:rsidRPr="009B565D">
        <w:rPr>
          <w:rFonts w:ascii="Times New Roman" w:hAnsi="Times New Roman" w:cs="Times New Roman"/>
          <w:lang w:val="en-GB"/>
        </w:rPr>
        <w:t xml:space="preserve">-Wright, E.M., Thakur, G.A., 2016. Mapping Cannabinoid 1 Receptor Allosteric Site(s): Critical Molecular Determinant and </w:t>
      </w:r>
      <w:proofErr w:type="spellStart"/>
      <w:r w:rsidRPr="009B565D">
        <w:rPr>
          <w:rFonts w:ascii="Times New Roman" w:hAnsi="Times New Roman" w:cs="Times New Roman"/>
          <w:lang w:val="en-GB"/>
        </w:rPr>
        <w:t>Signaling</w:t>
      </w:r>
      <w:proofErr w:type="spellEnd"/>
      <w:r w:rsidRPr="009B565D">
        <w:rPr>
          <w:rFonts w:ascii="Times New Roman" w:hAnsi="Times New Roman" w:cs="Times New Roman"/>
          <w:lang w:val="en-GB"/>
        </w:rPr>
        <w:t xml:space="preserve"> Profile of GAT100, a Novel, Potent, and Irreversibly Binding Probe. ACS Chem. </w:t>
      </w:r>
      <w:proofErr w:type="spellStart"/>
      <w:r w:rsidRPr="009B565D">
        <w:rPr>
          <w:rFonts w:ascii="Times New Roman" w:hAnsi="Times New Roman" w:cs="Times New Roman"/>
          <w:lang w:val="en-GB"/>
        </w:rPr>
        <w:t>Neurosci</w:t>
      </w:r>
      <w:proofErr w:type="spellEnd"/>
      <w:r w:rsidRPr="009B565D">
        <w:rPr>
          <w:rFonts w:ascii="Times New Roman" w:hAnsi="Times New Roman" w:cs="Times New Roman"/>
          <w:lang w:val="en-GB"/>
        </w:rPr>
        <w:t>. 7, 776–798. https://doi.org/10.1021/acschemneuro.6b00041</w:t>
      </w:r>
    </w:p>
    <w:p w14:paraId="487C379B"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Lavey</w:t>
      </w:r>
      <w:proofErr w:type="spellEnd"/>
      <w:r w:rsidRPr="009B565D">
        <w:rPr>
          <w:rFonts w:ascii="Times New Roman" w:hAnsi="Times New Roman" w:cs="Times New Roman"/>
          <w:lang w:val="en-GB"/>
        </w:rPr>
        <w:t xml:space="preserve">, B.J., Kozlowski, J.A., </w:t>
      </w:r>
      <w:proofErr w:type="spellStart"/>
      <w:r w:rsidRPr="009B565D">
        <w:rPr>
          <w:rFonts w:ascii="Times New Roman" w:hAnsi="Times New Roman" w:cs="Times New Roman"/>
          <w:lang w:val="en-GB"/>
        </w:rPr>
        <w:t>Hipkin</w:t>
      </w:r>
      <w:proofErr w:type="spellEnd"/>
      <w:r w:rsidRPr="009B565D">
        <w:rPr>
          <w:rFonts w:ascii="Times New Roman" w:hAnsi="Times New Roman" w:cs="Times New Roman"/>
          <w:lang w:val="en-GB"/>
        </w:rPr>
        <w:t xml:space="preserve">, R.W., </w:t>
      </w:r>
      <w:proofErr w:type="spellStart"/>
      <w:r w:rsidRPr="009B565D">
        <w:rPr>
          <w:rFonts w:ascii="Times New Roman" w:hAnsi="Times New Roman" w:cs="Times New Roman"/>
          <w:lang w:val="en-GB"/>
        </w:rPr>
        <w:t>Gonsiorek</w:t>
      </w:r>
      <w:proofErr w:type="spellEnd"/>
      <w:r w:rsidRPr="009B565D">
        <w:rPr>
          <w:rFonts w:ascii="Times New Roman" w:hAnsi="Times New Roman" w:cs="Times New Roman"/>
          <w:lang w:val="en-GB"/>
        </w:rPr>
        <w:t xml:space="preserve">, W., </w:t>
      </w:r>
      <w:proofErr w:type="spellStart"/>
      <w:r w:rsidRPr="009B565D">
        <w:rPr>
          <w:rFonts w:ascii="Times New Roman" w:hAnsi="Times New Roman" w:cs="Times New Roman"/>
          <w:lang w:val="en-GB"/>
        </w:rPr>
        <w:t>Lundell</w:t>
      </w:r>
      <w:proofErr w:type="spellEnd"/>
      <w:r w:rsidRPr="009B565D">
        <w:rPr>
          <w:rFonts w:ascii="Times New Roman" w:hAnsi="Times New Roman" w:cs="Times New Roman"/>
          <w:lang w:val="en-GB"/>
        </w:rPr>
        <w:t xml:space="preserve">, D.J., </w:t>
      </w:r>
      <w:proofErr w:type="spellStart"/>
      <w:r w:rsidRPr="009B565D">
        <w:rPr>
          <w:rFonts w:ascii="Times New Roman" w:hAnsi="Times New Roman" w:cs="Times New Roman"/>
          <w:lang w:val="en-GB"/>
        </w:rPr>
        <w:t>Piwinski</w:t>
      </w:r>
      <w:proofErr w:type="spellEnd"/>
      <w:r w:rsidRPr="009B565D">
        <w:rPr>
          <w:rFonts w:ascii="Times New Roman" w:hAnsi="Times New Roman" w:cs="Times New Roman"/>
          <w:lang w:val="en-GB"/>
        </w:rPr>
        <w:t xml:space="preserve">, J.J., Narula, S., Lunn, C.A., 2005. Triaryl bis-sulfones as a new class of cannabinoid CB2 receptor inhibitors: identification of a lead and initial SAR studies. </w:t>
      </w:r>
      <w:proofErr w:type="spellStart"/>
      <w:r w:rsidRPr="009B565D">
        <w:rPr>
          <w:rFonts w:ascii="Times New Roman" w:hAnsi="Times New Roman" w:cs="Times New Roman"/>
          <w:lang w:val="en-GB"/>
        </w:rPr>
        <w:t>Bioorg</w:t>
      </w:r>
      <w:proofErr w:type="spellEnd"/>
      <w:r w:rsidRPr="009B565D">
        <w:rPr>
          <w:rFonts w:ascii="Times New Roman" w:hAnsi="Times New Roman" w:cs="Times New Roman"/>
          <w:lang w:val="en-GB"/>
        </w:rPr>
        <w:t>. Med. Chem. Lett. 15, 783–786. https://doi.org/10.1016/j.bmcl.2004.11.007</w:t>
      </w:r>
    </w:p>
    <w:p w14:paraId="606E0B79"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Li, X., Hua, T., </w:t>
      </w:r>
      <w:proofErr w:type="spellStart"/>
      <w:r w:rsidRPr="009B565D">
        <w:rPr>
          <w:rFonts w:ascii="Times New Roman" w:hAnsi="Times New Roman" w:cs="Times New Roman"/>
          <w:lang w:val="en-GB"/>
        </w:rPr>
        <w:t>Vemuri</w:t>
      </w:r>
      <w:proofErr w:type="spellEnd"/>
      <w:r w:rsidRPr="009B565D">
        <w:rPr>
          <w:rFonts w:ascii="Times New Roman" w:hAnsi="Times New Roman" w:cs="Times New Roman"/>
          <w:lang w:val="en-GB"/>
        </w:rPr>
        <w:t xml:space="preserve">, K., Ho, J.-H., Wu, Y., Wu, L., Popov, P., </w:t>
      </w:r>
      <w:proofErr w:type="spellStart"/>
      <w:r w:rsidRPr="009B565D">
        <w:rPr>
          <w:rFonts w:ascii="Times New Roman" w:hAnsi="Times New Roman" w:cs="Times New Roman"/>
          <w:lang w:val="en-GB"/>
        </w:rPr>
        <w:t>Benchama</w:t>
      </w:r>
      <w:proofErr w:type="spellEnd"/>
      <w:r w:rsidRPr="009B565D">
        <w:rPr>
          <w:rFonts w:ascii="Times New Roman" w:hAnsi="Times New Roman" w:cs="Times New Roman"/>
          <w:lang w:val="en-GB"/>
        </w:rPr>
        <w:t xml:space="preserve">, O., </w:t>
      </w:r>
      <w:proofErr w:type="spellStart"/>
      <w:r w:rsidRPr="009B565D">
        <w:rPr>
          <w:rFonts w:ascii="Times New Roman" w:hAnsi="Times New Roman" w:cs="Times New Roman"/>
          <w:lang w:val="en-GB"/>
        </w:rPr>
        <w:t>Zvonok</w:t>
      </w:r>
      <w:proofErr w:type="spellEnd"/>
      <w:r w:rsidRPr="009B565D">
        <w:rPr>
          <w:rFonts w:ascii="Times New Roman" w:hAnsi="Times New Roman" w:cs="Times New Roman"/>
          <w:lang w:val="en-GB"/>
        </w:rPr>
        <w:t xml:space="preserve">, N., Locke, K., Qu, L., Han, G.W., </w:t>
      </w:r>
      <w:proofErr w:type="spellStart"/>
      <w:r w:rsidRPr="009B565D">
        <w:rPr>
          <w:rFonts w:ascii="Times New Roman" w:hAnsi="Times New Roman" w:cs="Times New Roman"/>
          <w:lang w:val="en-GB"/>
        </w:rPr>
        <w:t>Iyer</w:t>
      </w:r>
      <w:proofErr w:type="spellEnd"/>
      <w:r w:rsidRPr="009B565D">
        <w:rPr>
          <w:rFonts w:ascii="Times New Roman" w:hAnsi="Times New Roman" w:cs="Times New Roman"/>
          <w:lang w:val="en-GB"/>
        </w:rPr>
        <w:t xml:space="preserve">, M.R., </w:t>
      </w:r>
      <w:proofErr w:type="spellStart"/>
      <w:r w:rsidRPr="009B565D">
        <w:rPr>
          <w:rFonts w:ascii="Times New Roman" w:hAnsi="Times New Roman" w:cs="Times New Roman"/>
          <w:lang w:val="en-GB"/>
        </w:rPr>
        <w:t>Cinar</w:t>
      </w:r>
      <w:proofErr w:type="spellEnd"/>
      <w:r w:rsidRPr="009B565D">
        <w:rPr>
          <w:rFonts w:ascii="Times New Roman" w:hAnsi="Times New Roman" w:cs="Times New Roman"/>
          <w:lang w:val="en-GB"/>
        </w:rPr>
        <w:t xml:space="preserve">, R., Coffey, N.J., Wang, J., Wu, M., </w:t>
      </w:r>
      <w:proofErr w:type="spellStart"/>
      <w:r w:rsidRPr="009B565D">
        <w:rPr>
          <w:rFonts w:ascii="Times New Roman" w:hAnsi="Times New Roman" w:cs="Times New Roman"/>
          <w:lang w:val="en-GB"/>
        </w:rPr>
        <w:t>Katritch</w:t>
      </w:r>
      <w:proofErr w:type="spellEnd"/>
      <w:r w:rsidRPr="009B565D">
        <w:rPr>
          <w:rFonts w:ascii="Times New Roman" w:hAnsi="Times New Roman" w:cs="Times New Roman"/>
          <w:lang w:val="en-GB"/>
        </w:rPr>
        <w:t xml:space="preserve">, V., Zhao, S., </w:t>
      </w:r>
      <w:proofErr w:type="spellStart"/>
      <w:r w:rsidRPr="009B565D">
        <w:rPr>
          <w:rFonts w:ascii="Times New Roman" w:hAnsi="Times New Roman" w:cs="Times New Roman"/>
          <w:lang w:val="en-GB"/>
        </w:rPr>
        <w:t>Kunos</w:t>
      </w:r>
      <w:proofErr w:type="spellEnd"/>
      <w:r w:rsidRPr="009B565D">
        <w:rPr>
          <w:rFonts w:ascii="Times New Roman" w:hAnsi="Times New Roman" w:cs="Times New Roman"/>
          <w:lang w:val="en-GB"/>
        </w:rPr>
        <w:t xml:space="preserve">, G., Bohn, L.M.,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A., Stevens, R.C., Liu, Z.-J., 2019. Crystal Structure of the Human Cannabinoid Receptor CB2. Cell 176, 459-467.e13. https://doi.org/10.1016/J.CELL.2018.12.011</w:t>
      </w:r>
    </w:p>
    <w:p w14:paraId="78BB1CCF"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Lin, S., </w:t>
      </w:r>
      <w:proofErr w:type="spellStart"/>
      <w:r w:rsidRPr="009B565D">
        <w:rPr>
          <w:rFonts w:ascii="Times New Roman" w:hAnsi="Times New Roman" w:cs="Times New Roman"/>
          <w:lang w:val="en-GB"/>
        </w:rPr>
        <w:t>Khanolkar</w:t>
      </w:r>
      <w:proofErr w:type="spellEnd"/>
      <w:r w:rsidRPr="009B565D">
        <w:rPr>
          <w:rFonts w:ascii="Times New Roman" w:hAnsi="Times New Roman" w:cs="Times New Roman"/>
          <w:lang w:val="en-GB"/>
        </w:rPr>
        <w:t xml:space="preserve">, A.D., Fan, P., </w:t>
      </w:r>
      <w:proofErr w:type="spellStart"/>
      <w:r w:rsidRPr="009B565D">
        <w:rPr>
          <w:rFonts w:ascii="Times New Roman" w:hAnsi="Times New Roman" w:cs="Times New Roman"/>
          <w:lang w:val="en-GB"/>
        </w:rPr>
        <w:t>Goutopoulos</w:t>
      </w:r>
      <w:proofErr w:type="spellEnd"/>
      <w:r w:rsidRPr="009B565D">
        <w:rPr>
          <w:rFonts w:ascii="Times New Roman" w:hAnsi="Times New Roman" w:cs="Times New Roman"/>
          <w:lang w:val="en-GB"/>
        </w:rPr>
        <w:t xml:space="preserve">, A., Qin, C., </w:t>
      </w:r>
      <w:proofErr w:type="spellStart"/>
      <w:r w:rsidRPr="009B565D">
        <w:rPr>
          <w:rFonts w:ascii="Times New Roman" w:hAnsi="Times New Roman" w:cs="Times New Roman"/>
          <w:lang w:val="en-GB"/>
        </w:rPr>
        <w:t>Papahadjis</w:t>
      </w:r>
      <w:proofErr w:type="spellEnd"/>
      <w:r w:rsidRPr="009B565D">
        <w:rPr>
          <w:rFonts w:ascii="Times New Roman" w:hAnsi="Times New Roman" w:cs="Times New Roman"/>
          <w:lang w:val="en-GB"/>
        </w:rPr>
        <w:t xml:space="preserve">, D.,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xml:space="preserve">, A., 1998. Novel Analogues of </w:t>
      </w:r>
      <w:proofErr w:type="spellStart"/>
      <w:r w:rsidRPr="009B565D">
        <w:rPr>
          <w:rFonts w:ascii="Times New Roman" w:hAnsi="Times New Roman" w:cs="Times New Roman"/>
          <w:lang w:val="en-GB"/>
        </w:rPr>
        <w:t>Arachidonylethanolamide</w:t>
      </w:r>
      <w:proofErr w:type="spellEnd"/>
      <w:r w:rsidRPr="009B565D">
        <w:rPr>
          <w:rFonts w:ascii="Times New Roman" w:hAnsi="Times New Roman" w:cs="Times New Roman"/>
          <w:lang w:val="en-GB"/>
        </w:rPr>
        <w:t xml:space="preserve"> (Anandamide):  Affinities for the CB1 and CB2 Cannabinoid Receptors and Metabolic Stability. J. Med. Chem. 41, 5353–5361. https://doi.org/10.1021/jm970257g</w:t>
      </w:r>
    </w:p>
    <w:p w14:paraId="3D4D3B11"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Lunn, C.A., Fine, J.S., Rojas-</w:t>
      </w:r>
      <w:proofErr w:type="spellStart"/>
      <w:r w:rsidRPr="009B565D">
        <w:rPr>
          <w:rFonts w:ascii="Times New Roman" w:hAnsi="Times New Roman" w:cs="Times New Roman"/>
          <w:lang w:val="en-GB"/>
        </w:rPr>
        <w:t>Triana</w:t>
      </w:r>
      <w:proofErr w:type="spellEnd"/>
      <w:r w:rsidRPr="009B565D">
        <w:rPr>
          <w:rFonts w:ascii="Times New Roman" w:hAnsi="Times New Roman" w:cs="Times New Roman"/>
          <w:lang w:val="en-GB"/>
        </w:rPr>
        <w:t xml:space="preserve">, A., Jackson, J. V, Fan, X., Kung, T.T., </w:t>
      </w:r>
      <w:proofErr w:type="spellStart"/>
      <w:r w:rsidRPr="009B565D">
        <w:rPr>
          <w:rFonts w:ascii="Times New Roman" w:hAnsi="Times New Roman" w:cs="Times New Roman"/>
          <w:lang w:val="en-GB"/>
        </w:rPr>
        <w:t>Gonsiorek</w:t>
      </w:r>
      <w:proofErr w:type="spellEnd"/>
      <w:r w:rsidRPr="009B565D">
        <w:rPr>
          <w:rFonts w:ascii="Times New Roman" w:hAnsi="Times New Roman" w:cs="Times New Roman"/>
          <w:lang w:val="en-GB"/>
        </w:rPr>
        <w:t xml:space="preserve">, W., Schwarz, M.A., </w:t>
      </w:r>
      <w:proofErr w:type="spellStart"/>
      <w:r w:rsidRPr="009B565D">
        <w:rPr>
          <w:rFonts w:ascii="Times New Roman" w:hAnsi="Times New Roman" w:cs="Times New Roman"/>
          <w:lang w:val="en-GB"/>
        </w:rPr>
        <w:t>Lavey</w:t>
      </w:r>
      <w:proofErr w:type="spellEnd"/>
      <w:r w:rsidRPr="009B565D">
        <w:rPr>
          <w:rFonts w:ascii="Times New Roman" w:hAnsi="Times New Roman" w:cs="Times New Roman"/>
          <w:lang w:val="en-GB"/>
        </w:rPr>
        <w:t xml:space="preserve">, B., Kozlowski, J.A., Narula, S.K., </w:t>
      </w:r>
      <w:proofErr w:type="spellStart"/>
      <w:r w:rsidRPr="009B565D">
        <w:rPr>
          <w:rFonts w:ascii="Times New Roman" w:hAnsi="Times New Roman" w:cs="Times New Roman"/>
          <w:lang w:val="en-GB"/>
        </w:rPr>
        <w:t>Lundell</w:t>
      </w:r>
      <w:proofErr w:type="spellEnd"/>
      <w:r w:rsidRPr="009B565D">
        <w:rPr>
          <w:rFonts w:ascii="Times New Roman" w:hAnsi="Times New Roman" w:cs="Times New Roman"/>
          <w:lang w:val="en-GB"/>
        </w:rPr>
        <w:t xml:space="preserve">, D.J., </w:t>
      </w:r>
      <w:proofErr w:type="spellStart"/>
      <w:r w:rsidRPr="009B565D">
        <w:rPr>
          <w:rFonts w:ascii="Times New Roman" w:hAnsi="Times New Roman" w:cs="Times New Roman"/>
          <w:lang w:val="en-GB"/>
        </w:rPr>
        <w:t>Hipkin</w:t>
      </w:r>
      <w:proofErr w:type="spellEnd"/>
      <w:r w:rsidRPr="009B565D">
        <w:rPr>
          <w:rFonts w:ascii="Times New Roman" w:hAnsi="Times New Roman" w:cs="Times New Roman"/>
          <w:lang w:val="en-GB"/>
        </w:rPr>
        <w:t xml:space="preserve">, R.W., </w:t>
      </w:r>
      <w:proofErr w:type="spellStart"/>
      <w:r w:rsidRPr="009B565D">
        <w:rPr>
          <w:rFonts w:ascii="Times New Roman" w:hAnsi="Times New Roman" w:cs="Times New Roman"/>
          <w:lang w:val="en-GB"/>
        </w:rPr>
        <w:t>Bober</w:t>
      </w:r>
      <w:proofErr w:type="spellEnd"/>
      <w:r w:rsidRPr="009B565D">
        <w:rPr>
          <w:rFonts w:ascii="Times New Roman" w:hAnsi="Times New Roman" w:cs="Times New Roman"/>
          <w:lang w:val="en-GB"/>
        </w:rPr>
        <w:t xml:space="preserve">, L.A., 2005. A Novel Cannabinoid Peripheral Cannabinoid Receptor-Selective Inverse Agonist Blocks Leukocyte Recruitment in Vivo.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316, 780–788. https://doi.org/10.1124/jpet.105.093500</w:t>
      </w:r>
    </w:p>
    <w:p w14:paraId="56DFDD68" w14:textId="77777777" w:rsidR="009B565D" w:rsidRPr="008178CC" w:rsidRDefault="009B565D" w:rsidP="009B565D">
      <w:pPr>
        <w:ind w:left="426" w:hanging="426"/>
        <w:jc w:val="both"/>
        <w:rPr>
          <w:rFonts w:ascii="Times New Roman" w:hAnsi="Times New Roman" w:cs="Times New Roman"/>
        </w:rPr>
      </w:pPr>
      <w:r w:rsidRPr="009B565D">
        <w:rPr>
          <w:rFonts w:ascii="Times New Roman" w:hAnsi="Times New Roman" w:cs="Times New Roman"/>
          <w:lang w:val="en-GB"/>
        </w:rPr>
        <w:lastRenderedPageBreak/>
        <w:t xml:space="preserve">Mahmoud, M.M., </w:t>
      </w:r>
      <w:proofErr w:type="spellStart"/>
      <w:r w:rsidRPr="009B565D">
        <w:rPr>
          <w:rFonts w:ascii="Times New Roman" w:hAnsi="Times New Roman" w:cs="Times New Roman"/>
          <w:lang w:val="en-GB"/>
        </w:rPr>
        <w:t>Olszewska</w:t>
      </w:r>
      <w:proofErr w:type="spellEnd"/>
      <w:r w:rsidRPr="009B565D">
        <w:rPr>
          <w:rFonts w:ascii="Times New Roman" w:hAnsi="Times New Roman" w:cs="Times New Roman"/>
          <w:lang w:val="en-GB"/>
        </w:rPr>
        <w:t xml:space="preserve">, T., Liu, H., Shore, D.M., Hurst, D.P., Reggio, P.H., Lu, D., Kendall, D.A., 2015. (4-(Bis(4-fluorophenyl)methyl)piperazin-1-yl)(cyclohexyl)methanone hydrochloride (LDK1229): a new cannabinoid CB1 receptor inverse agonist from the class of benzhydryl piperazine </w:t>
      </w:r>
      <w:proofErr w:type="spellStart"/>
      <w:r w:rsidRPr="009B565D">
        <w:rPr>
          <w:rFonts w:ascii="Times New Roman" w:hAnsi="Times New Roman" w:cs="Times New Roman"/>
          <w:lang w:val="en-GB"/>
        </w:rPr>
        <w:t>analogs</w:t>
      </w:r>
      <w:proofErr w:type="spellEnd"/>
      <w:r w:rsidRPr="009B565D">
        <w:rPr>
          <w:rFonts w:ascii="Times New Roman" w:hAnsi="Times New Roman" w:cs="Times New Roman"/>
          <w:lang w:val="en-GB"/>
        </w:rPr>
        <w:t xml:space="preserve">. </w:t>
      </w:r>
      <w:r w:rsidRPr="008178CC">
        <w:rPr>
          <w:rFonts w:ascii="Times New Roman" w:hAnsi="Times New Roman" w:cs="Times New Roman"/>
        </w:rPr>
        <w:t>Mol. Pharmacol. 87, 197–206. https://doi.org/10.1124/mol.114.095471</w:t>
      </w:r>
    </w:p>
    <w:p w14:paraId="653DBDA3" w14:textId="77777777" w:rsidR="009B565D" w:rsidRPr="009B565D" w:rsidRDefault="009B565D" w:rsidP="009B565D">
      <w:pPr>
        <w:ind w:left="426" w:hanging="426"/>
        <w:jc w:val="both"/>
        <w:rPr>
          <w:rFonts w:ascii="Times New Roman" w:hAnsi="Times New Roman" w:cs="Times New Roman"/>
          <w:lang w:val="en-GB"/>
        </w:rPr>
      </w:pPr>
      <w:r w:rsidRPr="008178CC">
        <w:rPr>
          <w:rFonts w:ascii="Times New Roman" w:hAnsi="Times New Roman" w:cs="Times New Roman"/>
        </w:rPr>
        <w:t xml:space="preserve">Makriyannis, A., Deng, H., 2001. </w:t>
      </w:r>
      <w:r w:rsidRPr="009B565D">
        <w:rPr>
          <w:rFonts w:ascii="Times New Roman" w:hAnsi="Times New Roman" w:cs="Times New Roman"/>
          <w:lang w:val="en-GB"/>
        </w:rPr>
        <w:t>Cannabimimetic indole derivatives.</w:t>
      </w:r>
    </w:p>
    <w:p w14:paraId="0CA114C6"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Mauler, F., </w:t>
      </w:r>
      <w:proofErr w:type="spellStart"/>
      <w:r w:rsidRPr="009B565D">
        <w:rPr>
          <w:rFonts w:ascii="Times New Roman" w:hAnsi="Times New Roman" w:cs="Times New Roman"/>
          <w:lang w:val="en-GB"/>
        </w:rPr>
        <w:t>Mittendorf</w:t>
      </w:r>
      <w:proofErr w:type="spellEnd"/>
      <w:r w:rsidRPr="009B565D">
        <w:rPr>
          <w:rFonts w:ascii="Times New Roman" w:hAnsi="Times New Roman" w:cs="Times New Roman"/>
          <w:lang w:val="en-GB"/>
        </w:rPr>
        <w:t xml:space="preserve">, J., </w:t>
      </w:r>
      <w:proofErr w:type="spellStart"/>
      <w:r w:rsidRPr="009B565D">
        <w:rPr>
          <w:rFonts w:ascii="Times New Roman" w:hAnsi="Times New Roman" w:cs="Times New Roman"/>
          <w:lang w:val="en-GB"/>
        </w:rPr>
        <w:t>Horváth</w:t>
      </w:r>
      <w:proofErr w:type="spellEnd"/>
      <w:r w:rsidRPr="009B565D">
        <w:rPr>
          <w:rFonts w:ascii="Times New Roman" w:hAnsi="Times New Roman" w:cs="Times New Roman"/>
          <w:lang w:val="en-GB"/>
        </w:rPr>
        <w:t xml:space="preserve">, E., De </w:t>
      </w:r>
      <w:proofErr w:type="spellStart"/>
      <w:r w:rsidRPr="009B565D">
        <w:rPr>
          <w:rFonts w:ascii="Times New Roman" w:hAnsi="Times New Roman" w:cs="Times New Roman"/>
          <w:lang w:val="en-GB"/>
        </w:rPr>
        <w:t>Vry</w:t>
      </w:r>
      <w:proofErr w:type="spellEnd"/>
      <w:r w:rsidRPr="009B565D">
        <w:rPr>
          <w:rFonts w:ascii="Times New Roman" w:hAnsi="Times New Roman" w:cs="Times New Roman"/>
          <w:lang w:val="en-GB"/>
        </w:rPr>
        <w:t xml:space="preserve">, J., 2002. Characterization of the </w:t>
      </w:r>
      <w:proofErr w:type="spellStart"/>
      <w:r w:rsidRPr="009B565D">
        <w:rPr>
          <w:rFonts w:ascii="Times New Roman" w:hAnsi="Times New Roman" w:cs="Times New Roman"/>
          <w:lang w:val="en-GB"/>
        </w:rPr>
        <w:t>diarylether</w:t>
      </w:r>
      <w:proofErr w:type="spellEnd"/>
      <w:r w:rsidRPr="009B565D">
        <w:rPr>
          <w:rFonts w:ascii="Times New Roman" w:hAnsi="Times New Roman" w:cs="Times New Roman"/>
          <w:lang w:val="en-GB"/>
        </w:rPr>
        <w:t xml:space="preserve"> </w:t>
      </w:r>
      <w:proofErr w:type="spellStart"/>
      <w:r w:rsidRPr="009B565D">
        <w:rPr>
          <w:rFonts w:ascii="Times New Roman" w:hAnsi="Times New Roman" w:cs="Times New Roman"/>
          <w:lang w:val="en-GB"/>
        </w:rPr>
        <w:t>sulfonylester</w:t>
      </w:r>
      <w:proofErr w:type="spellEnd"/>
      <w:r w:rsidRPr="009B565D">
        <w:rPr>
          <w:rFonts w:ascii="Times New Roman" w:hAnsi="Times New Roman" w:cs="Times New Roman"/>
          <w:lang w:val="en-GB"/>
        </w:rPr>
        <w:t xml:space="preserve"> (-)-(R)-3-(2-hydroxymethylindanyl-4-oxy)phenyl-4,4,4-trifluoro-1-sulfonate (BAY 38-7271) as a potent cannabinoid receptor agonist with neuroprotective properties.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302, 359–68.</w:t>
      </w:r>
    </w:p>
    <w:p w14:paraId="1AA69B64"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McHugh, D., Page, J., Dunn, E., Bradshaw, H.B., 2012a. Δ9-Tetrahydrocannabinol and N-</w:t>
      </w:r>
      <w:proofErr w:type="spellStart"/>
      <w:r w:rsidRPr="009B565D">
        <w:rPr>
          <w:rFonts w:ascii="Times New Roman" w:hAnsi="Times New Roman" w:cs="Times New Roman"/>
          <w:lang w:val="en-GB"/>
        </w:rPr>
        <w:t>arachidonyl</w:t>
      </w:r>
      <w:proofErr w:type="spellEnd"/>
      <w:r w:rsidRPr="009B565D">
        <w:rPr>
          <w:rFonts w:ascii="Times New Roman" w:hAnsi="Times New Roman" w:cs="Times New Roman"/>
          <w:lang w:val="en-GB"/>
        </w:rPr>
        <w:t xml:space="preserve"> glycine are full agonists at GPR18 receptors and induce migration in human endometrial HEC-1B cells.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165, 2414–2424. https://doi.org/10.1111/j.1476-5381.2011.01497.x</w:t>
      </w:r>
    </w:p>
    <w:p w14:paraId="04A40C4B"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McHugh, D., Page, J., Dunn, E., Bradshaw, H.B., 2012b. Δ9-Tetrahydrocannabinol and N-</w:t>
      </w:r>
      <w:proofErr w:type="spellStart"/>
      <w:r w:rsidRPr="009B565D">
        <w:rPr>
          <w:rFonts w:ascii="Times New Roman" w:hAnsi="Times New Roman" w:cs="Times New Roman"/>
          <w:lang w:val="en-GB"/>
        </w:rPr>
        <w:t>arachidonyl</w:t>
      </w:r>
      <w:proofErr w:type="spellEnd"/>
      <w:r w:rsidRPr="009B565D">
        <w:rPr>
          <w:rFonts w:ascii="Times New Roman" w:hAnsi="Times New Roman" w:cs="Times New Roman"/>
          <w:lang w:val="en-GB"/>
        </w:rPr>
        <w:t xml:space="preserve"> glycine are full agonists at GPR18 receptors and induce migration in human endometrial HEC-1B cells.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165, 2414–2424. https://doi.org/10.1111/j.1476-5381.2011.01497.x</w:t>
      </w:r>
    </w:p>
    <w:p w14:paraId="24785F3B"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Navia-Paldanius</w:t>
      </w:r>
      <w:proofErr w:type="spellEnd"/>
      <w:r w:rsidRPr="009B565D">
        <w:rPr>
          <w:rFonts w:ascii="Times New Roman" w:hAnsi="Times New Roman" w:cs="Times New Roman"/>
          <w:lang w:val="en-GB"/>
        </w:rPr>
        <w:t xml:space="preserve">, D., </w:t>
      </w:r>
      <w:proofErr w:type="spellStart"/>
      <w:r w:rsidRPr="009B565D">
        <w:rPr>
          <w:rFonts w:ascii="Times New Roman" w:hAnsi="Times New Roman" w:cs="Times New Roman"/>
          <w:lang w:val="en-GB"/>
        </w:rPr>
        <w:t>Savinainen</w:t>
      </w:r>
      <w:proofErr w:type="spellEnd"/>
      <w:r w:rsidRPr="009B565D">
        <w:rPr>
          <w:rFonts w:ascii="Times New Roman" w:hAnsi="Times New Roman" w:cs="Times New Roman"/>
          <w:lang w:val="en-GB"/>
        </w:rPr>
        <w:t xml:space="preserve">, J.R., </w:t>
      </w:r>
      <w:proofErr w:type="spellStart"/>
      <w:r w:rsidRPr="009B565D">
        <w:rPr>
          <w:rFonts w:ascii="Times New Roman" w:hAnsi="Times New Roman" w:cs="Times New Roman"/>
          <w:lang w:val="en-GB"/>
        </w:rPr>
        <w:t>Laitinen</w:t>
      </w:r>
      <w:proofErr w:type="spellEnd"/>
      <w:r w:rsidRPr="009B565D">
        <w:rPr>
          <w:rFonts w:ascii="Times New Roman" w:hAnsi="Times New Roman" w:cs="Times New Roman"/>
          <w:lang w:val="en-GB"/>
        </w:rPr>
        <w:t>, J.T., 2012. Biochemical and pharmacological characterization of human α/β-hydrolase domain containing 6 (ABHD6) and 12 (ABHD12). J. Lipid Res. 53, 2413–2424. https://doi.org/10.1194/jlr.M030411</w:t>
      </w:r>
    </w:p>
    <w:p w14:paraId="38EA26F0"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Odan</w:t>
      </w:r>
      <w:proofErr w:type="spellEnd"/>
      <w:r w:rsidRPr="009B565D">
        <w:rPr>
          <w:rFonts w:ascii="Times New Roman" w:hAnsi="Times New Roman" w:cs="Times New Roman"/>
          <w:lang w:val="en-GB"/>
        </w:rPr>
        <w:t xml:space="preserve">, M., Ishizuka, N., </w:t>
      </w:r>
      <w:proofErr w:type="spellStart"/>
      <w:r w:rsidRPr="009B565D">
        <w:rPr>
          <w:rFonts w:ascii="Times New Roman" w:hAnsi="Times New Roman" w:cs="Times New Roman"/>
          <w:lang w:val="en-GB"/>
        </w:rPr>
        <w:t>Hiramatsu</w:t>
      </w:r>
      <w:proofErr w:type="spellEnd"/>
      <w:r w:rsidRPr="009B565D">
        <w:rPr>
          <w:rFonts w:ascii="Times New Roman" w:hAnsi="Times New Roman" w:cs="Times New Roman"/>
          <w:lang w:val="en-GB"/>
        </w:rPr>
        <w:t xml:space="preserve">, Y., Inagaki, M., </w:t>
      </w:r>
      <w:proofErr w:type="spellStart"/>
      <w:r w:rsidRPr="009B565D">
        <w:rPr>
          <w:rFonts w:ascii="Times New Roman" w:hAnsi="Times New Roman" w:cs="Times New Roman"/>
          <w:lang w:val="en-GB"/>
        </w:rPr>
        <w:t>Hashizume</w:t>
      </w:r>
      <w:proofErr w:type="spellEnd"/>
      <w:r w:rsidRPr="009B565D">
        <w:rPr>
          <w:rFonts w:ascii="Times New Roman" w:hAnsi="Times New Roman" w:cs="Times New Roman"/>
          <w:lang w:val="en-GB"/>
        </w:rPr>
        <w:t xml:space="preserve">, H., </w:t>
      </w:r>
      <w:proofErr w:type="spellStart"/>
      <w:r w:rsidRPr="009B565D">
        <w:rPr>
          <w:rFonts w:ascii="Times New Roman" w:hAnsi="Times New Roman" w:cs="Times New Roman"/>
          <w:lang w:val="en-GB"/>
        </w:rPr>
        <w:t>Fujii</w:t>
      </w:r>
      <w:proofErr w:type="spellEnd"/>
      <w:r w:rsidRPr="009B565D">
        <w:rPr>
          <w:rFonts w:ascii="Times New Roman" w:hAnsi="Times New Roman" w:cs="Times New Roman"/>
          <w:lang w:val="en-GB"/>
        </w:rPr>
        <w:t xml:space="preserve">, Y., </w:t>
      </w:r>
      <w:proofErr w:type="spellStart"/>
      <w:r w:rsidRPr="009B565D">
        <w:rPr>
          <w:rFonts w:ascii="Times New Roman" w:hAnsi="Times New Roman" w:cs="Times New Roman"/>
          <w:lang w:val="en-GB"/>
        </w:rPr>
        <w:t>Mitsumori</w:t>
      </w:r>
      <w:proofErr w:type="spellEnd"/>
      <w:r w:rsidRPr="009B565D">
        <w:rPr>
          <w:rFonts w:ascii="Times New Roman" w:hAnsi="Times New Roman" w:cs="Times New Roman"/>
          <w:lang w:val="en-GB"/>
        </w:rPr>
        <w:t xml:space="preserve">, S., Morioka, Y., Soga, M., </w:t>
      </w:r>
      <w:proofErr w:type="spellStart"/>
      <w:r w:rsidRPr="009B565D">
        <w:rPr>
          <w:rFonts w:ascii="Times New Roman" w:hAnsi="Times New Roman" w:cs="Times New Roman"/>
          <w:lang w:val="en-GB"/>
        </w:rPr>
        <w:t>Deguchi</w:t>
      </w:r>
      <w:proofErr w:type="spellEnd"/>
      <w:r w:rsidRPr="009B565D">
        <w:rPr>
          <w:rFonts w:ascii="Times New Roman" w:hAnsi="Times New Roman" w:cs="Times New Roman"/>
          <w:lang w:val="en-GB"/>
        </w:rPr>
        <w:t xml:space="preserve">, M., </w:t>
      </w:r>
      <w:proofErr w:type="spellStart"/>
      <w:r w:rsidRPr="009B565D">
        <w:rPr>
          <w:rFonts w:ascii="Times New Roman" w:hAnsi="Times New Roman" w:cs="Times New Roman"/>
          <w:lang w:val="en-GB"/>
        </w:rPr>
        <w:t>Yasui</w:t>
      </w:r>
      <w:proofErr w:type="spellEnd"/>
      <w:r w:rsidRPr="009B565D">
        <w:rPr>
          <w:rFonts w:ascii="Times New Roman" w:hAnsi="Times New Roman" w:cs="Times New Roman"/>
          <w:lang w:val="en-GB"/>
        </w:rPr>
        <w:t xml:space="preserve">, K., </w:t>
      </w:r>
      <w:proofErr w:type="spellStart"/>
      <w:r w:rsidRPr="009B565D">
        <w:rPr>
          <w:rFonts w:ascii="Times New Roman" w:hAnsi="Times New Roman" w:cs="Times New Roman"/>
          <w:lang w:val="en-GB"/>
        </w:rPr>
        <w:t>Arimura</w:t>
      </w:r>
      <w:proofErr w:type="spellEnd"/>
      <w:r w:rsidRPr="009B565D">
        <w:rPr>
          <w:rFonts w:ascii="Times New Roman" w:hAnsi="Times New Roman" w:cs="Times New Roman"/>
          <w:lang w:val="en-GB"/>
        </w:rPr>
        <w:t xml:space="preserve">, A., 2012. Discovery of S-777469: An orally available CB2 agonist as an antipruritic agent. </w:t>
      </w:r>
      <w:proofErr w:type="spellStart"/>
      <w:r w:rsidRPr="009B565D">
        <w:rPr>
          <w:rFonts w:ascii="Times New Roman" w:hAnsi="Times New Roman" w:cs="Times New Roman"/>
          <w:lang w:val="en-GB"/>
        </w:rPr>
        <w:t>Bioorg</w:t>
      </w:r>
      <w:proofErr w:type="spellEnd"/>
      <w:r w:rsidRPr="009B565D">
        <w:rPr>
          <w:rFonts w:ascii="Times New Roman" w:hAnsi="Times New Roman" w:cs="Times New Roman"/>
          <w:lang w:val="en-GB"/>
        </w:rPr>
        <w:t>. Med. Chem. Lett. 22, 2803–2806. https://doi.org/10.1016/j.bmcl.2012.02.072</w:t>
      </w:r>
    </w:p>
    <w:p w14:paraId="09E48A20"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Oz, M., 2006a. Receptor-independent actions of cannabinoids on cell membranes: Focus on endocannabinoids.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111, 114–144. https://doi.org/10.1016/j.pharmthera.2005.09.009</w:t>
      </w:r>
    </w:p>
    <w:p w14:paraId="1F93A54D"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Oz, M., 2006b. Receptor-independent actions of cannabinoids on cell membranes: Focus on endocannabinoids.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111, 114–144. https://doi.org/https://doi.org/10.1016/j.pharmthera.2005.09.009</w:t>
      </w:r>
    </w:p>
    <w:p w14:paraId="7E392CDF" w14:textId="77777777" w:rsidR="009B565D" w:rsidRPr="008178CC" w:rsidRDefault="009B565D" w:rsidP="009B565D">
      <w:pPr>
        <w:ind w:left="426" w:hanging="426"/>
        <w:jc w:val="both"/>
        <w:rPr>
          <w:rFonts w:ascii="Times New Roman" w:hAnsi="Times New Roman" w:cs="Times New Roman"/>
        </w:rPr>
      </w:pPr>
      <w:r w:rsidRPr="009B565D">
        <w:rPr>
          <w:rFonts w:ascii="Times New Roman" w:hAnsi="Times New Roman" w:cs="Times New Roman"/>
          <w:lang w:val="en-GB"/>
        </w:rPr>
        <w:t xml:space="preserve">Pertwee, R.G., 2008. The diverse CB 1 and CB 2 receptor pharmacology of three plant cannabinoids: Δ 9 -tetrahydrocannabinol, cannabidiol and Δ 9 -tetrahydrocannabivarin. </w:t>
      </w:r>
      <w:r w:rsidRPr="008178CC">
        <w:rPr>
          <w:rFonts w:ascii="Times New Roman" w:hAnsi="Times New Roman" w:cs="Times New Roman"/>
        </w:rPr>
        <w:t>Br. J. Pharmacol. 153, 199–215. https://doi.org/10.1038/sj.bjp.0707442</w:t>
      </w:r>
    </w:p>
    <w:p w14:paraId="727B662A" w14:textId="77777777" w:rsidR="009B565D" w:rsidRPr="009B565D" w:rsidRDefault="009B565D" w:rsidP="009B565D">
      <w:pPr>
        <w:ind w:left="426" w:hanging="426"/>
        <w:jc w:val="both"/>
        <w:rPr>
          <w:rFonts w:ascii="Times New Roman" w:hAnsi="Times New Roman" w:cs="Times New Roman"/>
          <w:lang w:val="en-GB"/>
        </w:rPr>
      </w:pPr>
      <w:r w:rsidRPr="008178CC">
        <w:rPr>
          <w:rFonts w:ascii="Times New Roman" w:hAnsi="Times New Roman" w:cs="Times New Roman"/>
        </w:rPr>
        <w:t xml:space="preserve">Pertwee, R.G., 2005. </w:t>
      </w:r>
      <w:r w:rsidRPr="009B565D">
        <w:rPr>
          <w:rFonts w:ascii="Times New Roman" w:hAnsi="Times New Roman" w:cs="Times New Roman"/>
          <w:lang w:val="en-GB"/>
        </w:rPr>
        <w:t>Pharmacological Actions of Cannabinoids, HEP. Springer-Verlag.</w:t>
      </w:r>
    </w:p>
    <w:p w14:paraId="030B3C8B"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Pertwee, R.G., 2004. Pharmacological and therapeutic targets for Δ9- tetrahydrocannabinol and cannabidiol. </w:t>
      </w:r>
      <w:proofErr w:type="spellStart"/>
      <w:r w:rsidRPr="009B565D">
        <w:rPr>
          <w:rFonts w:ascii="Times New Roman" w:hAnsi="Times New Roman" w:cs="Times New Roman"/>
          <w:lang w:val="en-GB"/>
        </w:rPr>
        <w:t>Euphytica</w:t>
      </w:r>
      <w:proofErr w:type="spellEnd"/>
      <w:r w:rsidRPr="009B565D">
        <w:rPr>
          <w:rFonts w:ascii="Times New Roman" w:hAnsi="Times New Roman" w:cs="Times New Roman"/>
          <w:lang w:val="en-GB"/>
        </w:rPr>
        <w:t xml:space="preserve"> 140, 73–82. https://doi.org/10.1007/s10681-004-4756-9</w:t>
      </w:r>
    </w:p>
    <w:p w14:paraId="611E4788"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Pertwee, R.G., 2000. Cannabinoid receptor ligands: clinical and neuropharmacological considerations, relevant to future drug discovery and development. Expert </w:t>
      </w:r>
      <w:proofErr w:type="spellStart"/>
      <w:r w:rsidRPr="009B565D">
        <w:rPr>
          <w:rFonts w:ascii="Times New Roman" w:hAnsi="Times New Roman" w:cs="Times New Roman"/>
          <w:lang w:val="en-GB"/>
        </w:rPr>
        <w:t>Opin</w:t>
      </w:r>
      <w:proofErr w:type="spellEnd"/>
      <w:r w:rsidRPr="009B565D">
        <w:rPr>
          <w:rFonts w:ascii="Times New Roman" w:hAnsi="Times New Roman" w:cs="Times New Roman"/>
          <w:lang w:val="en-GB"/>
        </w:rPr>
        <w:t xml:space="preserve">. </w:t>
      </w:r>
      <w:proofErr w:type="spellStart"/>
      <w:r w:rsidRPr="009B565D">
        <w:rPr>
          <w:rFonts w:ascii="Times New Roman" w:hAnsi="Times New Roman" w:cs="Times New Roman"/>
          <w:lang w:val="en-GB"/>
        </w:rPr>
        <w:t>Investig</w:t>
      </w:r>
      <w:proofErr w:type="spellEnd"/>
      <w:r w:rsidRPr="009B565D">
        <w:rPr>
          <w:rFonts w:ascii="Times New Roman" w:hAnsi="Times New Roman" w:cs="Times New Roman"/>
          <w:lang w:val="en-GB"/>
        </w:rPr>
        <w:t>. Drugs 9, 1553–1571. https://doi.org/10.1517/13543784.9.7.1553</w:t>
      </w:r>
    </w:p>
    <w:p w14:paraId="61AB1E99"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Pertwee, R.G., 1999. Pharmacology of cannabinoid receptor ligands. </w:t>
      </w:r>
      <w:proofErr w:type="spellStart"/>
      <w:r w:rsidRPr="009B565D">
        <w:rPr>
          <w:rFonts w:ascii="Times New Roman" w:hAnsi="Times New Roman" w:cs="Times New Roman"/>
          <w:lang w:val="en-GB"/>
        </w:rPr>
        <w:t>Curr</w:t>
      </w:r>
      <w:proofErr w:type="spellEnd"/>
      <w:r w:rsidRPr="009B565D">
        <w:rPr>
          <w:rFonts w:ascii="Times New Roman" w:hAnsi="Times New Roman" w:cs="Times New Roman"/>
          <w:lang w:val="en-GB"/>
        </w:rPr>
        <w:t>. Med. Chem. 6, 635–64.</w:t>
      </w:r>
    </w:p>
    <w:p w14:paraId="7CC1BD87"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Pertwee, R.G., 1988. The central neuropharmacology of psychotropic cannabinoids.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36, 189–261.</w:t>
      </w:r>
    </w:p>
    <w:p w14:paraId="2F90DE1A" w14:textId="77777777" w:rsidR="009B565D" w:rsidRPr="008178CC" w:rsidRDefault="009B565D" w:rsidP="009B565D">
      <w:pPr>
        <w:ind w:left="426" w:hanging="426"/>
        <w:jc w:val="both"/>
        <w:rPr>
          <w:rFonts w:ascii="Times New Roman" w:hAnsi="Times New Roman" w:cs="Times New Roman"/>
        </w:rPr>
      </w:pPr>
      <w:r w:rsidRPr="009B565D">
        <w:rPr>
          <w:rFonts w:ascii="Times New Roman" w:hAnsi="Times New Roman" w:cs="Times New Roman"/>
          <w:lang w:val="en-GB"/>
        </w:rPr>
        <w:t xml:space="preserve">Pertwee, R.G., Howlett, A.C., </w:t>
      </w:r>
      <w:proofErr w:type="spellStart"/>
      <w:r w:rsidRPr="009B565D">
        <w:rPr>
          <w:rFonts w:ascii="Times New Roman" w:hAnsi="Times New Roman" w:cs="Times New Roman"/>
          <w:lang w:val="en-GB"/>
        </w:rPr>
        <w:t>Abood</w:t>
      </w:r>
      <w:proofErr w:type="spellEnd"/>
      <w:r w:rsidRPr="009B565D">
        <w:rPr>
          <w:rFonts w:ascii="Times New Roman" w:hAnsi="Times New Roman" w:cs="Times New Roman"/>
          <w:lang w:val="en-GB"/>
        </w:rPr>
        <w:t xml:space="preserve">, M.E., Alexander, S.P.H., Di </w:t>
      </w:r>
      <w:proofErr w:type="spellStart"/>
      <w:r w:rsidRPr="009B565D">
        <w:rPr>
          <w:rFonts w:ascii="Times New Roman" w:hAnsi="Times New Roman" w:cs="Times New Roman"/>
          <w:lang w:val="en-GB"/>
        </w:rPr>
        <w:t>Marzo</w:t>
      </w:r>
      <w:proofErr w:type="spellEnd"/>
      <w:r w:rsidRPr="009B565D">
        <w:rPr>
          <w:rFonts w:ascii="Times New Roman" w:hAnsi="Times New Roman" w:cs="Times New Roman"/>
          <w:lang w:val="en-GB"/>
        </w:rPr>
        <w:t xml:space="preserve">, V., Elphick, M.R., Greasley, P.J., Hansen, H.S., </w:t>
      </w:r>
      <w:proofErr w:type="spellStart"/>
      <w:r w:rsidRPr="009B565D">
        <w:rPr>
          <w:rFonts w:ascii="Times New Roman" w:hAnsi="Times New Roman" w:cs="Times New Roman"/>
          <w:lang w:val="en-GB"/>
        </w:rPr>
        <w:t>Kunos</w:t>
      </w:r>
      <w:proofErr w:type="spellEnd"/>
      <w:r w:rsidRPr="009B565D">
        <w:rPr>
          <w:rFonts w:ascii="Times New Roman" w:hAnsi="Times New Roman" w:cs="Times New Roman"/>
          <w:lang w:val="en-GB"/>
        </w:rPr>
        <w:t xml:space="preserve">, G., Mackie, K., </w:t>
      </w:r>
      <w:proofErr w:type="spellStart"/>
      <w:r w:rsidRPr="009B565D">
        <w:rPr>
          <w:rFonts w:ascii="Times New Roman" w:hAnsi="Times New Roman" w:cs="Times New Roman"/>
          <w:lang w:val="en-GB"/>
        </w:rPr>
        <w:t>Mechoulam</w:t>
      </w:r>
      <w:proofErr w:type="spellEnd"/>
      <w:r w:rsidRPr="009B565D">
        <w:rPr>
          <w:rFonts w:ascii="Times New Roman" w:hAnsi="Times New Roman" w:cs="Times New Roman"/>
          <w:lang w:val="en-GB"/>
        </w:rPr>
        <w:t>, R., Ross, R.A., 2010. International Union of Basic and Clinical Pharmacology. LXXIX. Cannabinoid receptors and their ligands: beyond CB</w:t>
      </w:r>
      <w:r w:rsidRPr="009B565D">
        <w:rPr>
          <w:rFonts w:ascii="Calibri" w:eastAsia="Calibri" w:hAnsi="Calibri" w:cs="Calibri"/>
          <w:lang w:val="en-GB"/>
        </w:rPr>
        <w:t>₁</w:t>
      </w:r>
      <w:r w:rsidRPr="009B565D">
        <w:rPr>
          <w:rFonts w:ascii="Times New Roman" w:hAnsi="Times New Roman" w:cs="Times New Roman"/>
          <w:lang w:val="en-GB"/>
        </w:rPr>
        <w:t xml:space="preserve"> and CB</w:t>
      </w:r>
      <w:r w:rsidRPr="009B565D">
        <w:rPr>
          <w:rFonts w:ascii="Calibri" w:eastAsia="Calibri" w:hAnsi="Calibri" w:cs="Calibri"/>
          <w:lang w:val="en-GB"/>
        </w:rPr>
        <w:t>₂</w:t>
      </w:r>
      <w:r w:rsidRPr="009B565D">
        <w:rPr>
          <w:rFonts w:ascii="Times New Roman" w:hAnsi="Times New Roman" w:cs="Times New Roman"/>
          <w:lang w:val="en-GB"/>
        </w:rPr>
        <w:t xml:space="preserve">. </w:t>
      </w:r>
      <w:r w:rsidRPr="008178CC">
        <w:rPr>
          <w:rFonts w:ascii="Times New Roman" w:hAnsi="Times New Roman" w:cs="Times New Roman"/>
        </w:rPr>
        <w:t>Pharmacol. Rev. 62, 588–631. https://doi.org/10.1124/pr.110.003004</w:t>
      </w:r>
    </w:p>
    <w:p w14:paraId="63A5613D" w14:textId="77777777" w:rsidR="009B565D" w:rsidRPr="009B565D" w:rsidRDefault="009B565D" w:rsidP="009B565D">
      <w:pPr>
        <w:ind w:left="426" w:hanging="426"/>
        <w:jc w:val="both"/>
        <w:rPr>
          <w:rFonts w:ascii="Times New Roman" w:hAnsi="Times New Roman" w:cs="Times New Roman"/>
          <w:lang w:val="en-GB"/>
        </w:rPr>
      </w:pPr>
      <w:r w:rsidRPr="008178CC">
        <w:rPr>
          <w:rFonts w:ascii="Times New Roman" w:hAnsi="Times New Roman" w:cs="Times New Roman"/>
        </w:rPr>
        <w:t xml:space="preserve">Piscitelli, F., Ligresti, A., La Regina, G., Coluccia, A., Morera, L., Allarà, M., Novellino, E., Di Marzo, V., Silvestri, R., 2012. </w:t>
      </w:r>
      <w:r w:rsidRPr="009B565D">
        <w:rPr>
          <w:rFonts w:ascii="Times New Roman" w:hAnsi="Times New Roman" w:cs="Times New Roman"/>
          <w:lang w:val="en-GB"/>
        </w:rPr>
        <w:t>Indole-2-carboxamides as Allosteric Modulators of the Cannabinoid CB1 Receptor. J. Med. Chem. 55, 5627–5631. https://doi.org/10.1021/jm201485c</w:t>
      </w:r>
    </w:p>
    <w:p w14:paraId="5A903A2C"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lastRenderedPageBreak/>
        <w:t xml:space="preserve">Qin, N., </w:t>
      </w:r>
      <w:proofErr w:type="spellStart"/>
      <w:r w:rsidRPr="009B565D">
        <w:rPr>
          <w:rFonts w:ascii="Times New Roman" w:hAnsi="Times New Roman" w:cs="Times New Roman"/>
          <w:lang w:val="en-GB"/>
        </w:rPr>
        <w:t>Neeper</w:t>
      </w:r>
      <w:proofErr w:type="spellEnd"/>
      <w:r w:rsidRPr="009B565D">
        <w:rPr>
          <w:rFonts w:ascii="Times New Roman" w:hAnsi="Times New Roman" w:cs="Times New Roman"/>
          <w:lang w:val="en-GB"/>
        </w:rPr>
        <w:t xml:space="preserve">, M.P., Liu, Y., Hutchinson, T.L., </w:t>
      </w:r>
      <w:proofErr w:type="spellStart"/>
      <w:r w:rsidRPr="009B565D">
        <w:rPr>
          <w:rFonts w:ascii="Times New Roman" w:hAnsi="Times New Roman" w:cs="Times New Roman"/>
          <w:lang w:val="en-GB"/>
        </w:rPr>
        <w:t>Lubin</w:t>
      </w:r>
      <w:proofErr w:type="spellEnd"/>
      <w:r w:rsidRPr="009B565D">
        <w:rPr>
          <w:rFonts w:ascii="Times New Roman" w:hAnsi="Times New Roman" w:cs="Times New Roman"/>
          <w:lang w:val="en-GB"/>
        </w:rPr>
        <w:t xml:space="preserve">, M.L., Flores, C.M., 2008a. TRPV2 Is Activated by Cannabidiol and Mediates CGRP Release in Cultured Rat Dorsal Root Ganglion Neurons. J. </w:t>
      </w:r>
      <w:proofErr w:type="spellStart"/>
      <w:r w:rsidRPr="009B565D">
        <w:rPr>
          <w:rFonts w:ascii="Times New Roman" w:hAnsi="Times New Roman" w:cs="Times New Roman"/>
          <w:lang w:val="en-GB"/>
        </w:rPr>
        <w:t>Neurosci</w:t>
      </w:r>
      <w:proofErr w:type="spellEnd"/>
      <w:r w:rsidRPr="009B565D">
        <w:rPr>
          <w:rFonts w:ascii="Times New Roman" w:hAnsi="Times New Roman" w:cs="Times New Roman"/>
          <w:lang w:val="en-GB"/>
        </w:rPr>
        <w:t>. 28, 6231–6238. https://doi.org/10.1523/JNEUROSCI.0504-08.2008</w:t>
      </w:r>
    </w:p>
    <w:p w14:paraId="6A14A218"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Qin, N., </w:t>
      </w:r>
      <w:proofErr w:type="spellStart"/>
      <w:r w:rsidRPr="009B565D">
        <w:rPr>
          <w:rFonts w:ascii="Times New Roman" w:hAnsi="Times New Roman" w:cs="Times New Roman"/>
          <w:lang w:val="en-GB"/>
        </w:rPr>
        <w:t>Neeper</w:t>
      </w:r>
      <w:proofErr w:type="spellEnd"/>
      <w:r w:rsidRPr="009B565D">
        <w:rPr>
          <w:rFonts w:ascii="Times New Roman" w:hAnsi="Times New Roman" w:cs="Times New Roman"/>
          <w:lang w:val="en-GB"/>
        </w:rPr>
        <w:t xml:space="preserve">, M.P., Liu, Y., Hutchinson, T.L., </w:t>
      </w:r>
      <w:proofErr w:type="spellStart"/>
      <w:r w:rsidRPr="009B565D">
        <w:rPr>
          <w:rFonts w:ascii="Times New Roman" w:hAnsi="Times New Roman" w:cs="Times New Roman"/>
          <w:lang w:val="en-GB"/>
        </w:rPr>
        <w:t>Lubin</w:t>
      </w:r>
      <w:proofErr w:type="spellEnd"/>
      <w:r w:rsidRPr="009B565D">
        <w:rPr>
          <w:rFonts w:ascii="Times New Roman" w:hAnsi="Times New Roman" w:cs="Times New Roman"/>
          <w:lang w:val="en-GB"/>
        </w:rPr>
        <w:t xml:space="preserve">, M.L., Flores, C.M., 2008b. TRPV2 Is Activated by Cannabidiol and Mediates CGRP Release in Cultured Rat Dorsal Root Ganglion Neurons. J. </w:t>
      </w:r>
      <w:proofErr w:type="spellStart"/>
      <w:r w:rsidRPr="009B565D">
        <w:rPr>
          <w:rFonts w:ascii="Times New Roman" w:hAnsi="Times New Roman" w:cs="Times New Roman"/>
          <w:lang w:val="en-GB"/>
        </w:rPr>
        <w:t>Neurosci</w:t>
      </w:r>
      <w:proofErr w:type="spellEnd"/>
      <w:r w:rsidRPr="009B565D">
        <w:rPr>
          <w:rFonts w:ascii="Times New Roman" w:hAnsi="Times New Roman" w:cs="Times New Roman"/>
          <w:lang w:val="en-GB"/>
        </w:rPr>
        <w:t>. 28, 6231–6238. https://doi.org/10.1523/JNEUROSCI.0504-08.2008</w:t>
      </w:r>
    </w:p>
    <w:p w14:paraId="349B5314"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Rhee, M.-H., Vogel, Z., </w:t>
      </w:r>
      <w:proofErr w:type="spellStart"/>
      <w:r w:rsidRPr="009B565D">
        <w:rPr>
          <w:rFonts w:ascii="Times New Roman" w:hAnsi="Times New Roman" w:cs="Times New Roman"/>
          <w:lang w:val="en-GB"/>
        </w:rPr>
        <w:t>Barg</w:t>
      </w:r>
      <w:proofErr w:type="spellEnd"/>
      <w:r w:rsidRPr="009B565D">
        <w:rPr>
          <w:rFonts w:ascii="Times New Roman" w:hAnsi="Times New Roman" w:cs="Times New Roman"/>
          <w:lang w:val="en-GB"/>
        </w:rPr>
        <w:t xml:space="preserve">, J., </w:t>
      </w:r>
      <w:proofErr w:type="spellStart"/>
      <w:r w:rsidRPr="009B565D">
        <w:rPr>
          <w:rFonts w:ascii="Times New Roman" w:hAnsi="Times New Roman" w:cs="Times New Roman"/>
          <w:lang w:val="en-GB"/>
        </w:rPr>
        <w:t>Bayewitch</w:t>
      </w:r>
      <w:proofErr w:type="spellEnd"/>
      <w:r w:rsidRPr="009B565D">
        <w:rPr>
          <w:rFonts w:ascii="Times New Roman" w:hAnsi="Times New Roman" w:cs="Times New Roman"/>
          <w:lang w:val="en-GB"/>
        </w:rPr>
        <w:t xml:space="preserve">, M., Levy, R., </w:t>
      </w:r>
      <w:proofErr w:type="spellStart"/>
      <w:r w:rsidRPr="009B565D">
        <w:rPr>
          <w:rFonts w:ascii="Times New Roman" w:hAnsi="Times New Roman" w:cs="Times New Roman"/>
          <w:lang w:val="en-GB"/>
        </w:rPr>
        <w:t>Hanuš</w:t>
      </w:r>
      <w:proofErr w:type="spellEnd"/>
      <w:r w:rsidRPr="009B565D">
        <w:rPr>
          <w:rFonts w:ascii="Times New Roman" w:hAnsi="Times New Roman" w:cs="Times New Roman"/>
          <w:lang w:val="en-GB"/>
        </w:rPr>
        <w:t xml:space="preserve">, L., Breuer, A., </w:t>
      </w:r>
      <w:proofErr w:type="spellStart"/>
      <w:r w:rsidRPr="009B565D">
        <w:rPr>
          <w:rFonts w:ascii="Times New Roman" w:hAnsi="Times New Roman" w:cs="Times New Roman"/>
          <w:lang w:val="en-GB"/>
        </w:rPr>
        <w:t>Mechoulam</w:t>
      </w:r>
      <w:proofErr w:type="spellEnd"/>
      <w:r w:rsidRPr="009B565D">
        <w:rPr>
          <w:rFonts w:ascii="Times New Roman" w:hAnsi="Times New Roman" w:cs="Times New Roman"/>
          <w:lang w:val="en-GB"/>
        </w:rPr>
        <w:t xml:space="preserve">, R., 1997. Cannabinol Derivatives:  Binding to Cannabinoid Receptors and Inhibition of </w:t>
      </w:r>
      <w:proofErr w:type="spellStart"/>
      <w:r w:rsidRPr="009B565D">
        <w:rPr>
          <w:rFonts w:ascii="Times New Roman" w:hAnsi="Times New Roman" w:cs="Times New Roman"/>
          <w:lang w:val="en-GB"/>
        </w:rPr>
        <w:t>Adenylylcyclase</w:t>
      </w:r>
      <w:proofErr w:type="spellEnd"/>
      <w:r w:rsidRPr="009B565D">
        <w:rPr>
          <w:rFonts w:ascii="Times New Roman" w:hAnsi="Times New Roman" w:cs="Times New Roman"/>
          <w:lang w:val="en-GB"/>
        </w:rPr>
        <w:t>. J. Med. Chem. 40, 3228–3233. https://doi.org/10.1021/jm970126f</w:t>
      </w:r>
    </w:p>
    <w:p w14:paraId="45CEF05F"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Rinaldi-Carmona, M., Barth, F., </w:t>
      </w:r>
      <w:proofErr w:type="spellStart"/>
      <w:r w:rsidRPr="009B565D">
        <w:rPr>
          <w:rFonts w:ascii="Times New Roman" w:hAnsi="Times New Roman" w:cs="Times New Roman"/>
          <w:lang w:val="en-GB"/>
        </w:rPr>
        <w:t>Congy</w:t>
      </w:r>
      <w:proofErr w:type="spellEnd"/>
      <w:r w:rsidRPr="009B565D">
        <w:rPr>
          <w:rFonts w:ascii="Times New Roman" w:hAnsi="Times New Roman" w:cs="Times New Roman"/>
          <w:lang w:val="en-GB"/>
        </w:rPr>
        <w:t xml:space="preserve">, C., Martinez, S., </w:t>
      </w:r>
      <w:proofErr w:type="spellStart"/>
      <w:r w:rsidRPr="009B565D">
        <w:rPr>
          <w:rFonts w:ascii="Times New Roman" w:hAnsi="Times New Roman" w:cs="Times New Roman"/>
          <w:lang w:val="en-GB"/>
        </w:rPr>
        <w:t>Oustric</w:t>
      </w:r>
      <w:proofErr w:type="spellEnd"/>
      <w:r w:rsidRPr="009B565D">
        <w:rPr>
          <w:rFonts w:ascii="Times New Roman" w:hAnsi="Times New Roman" w:cs="Times New Roman"/>
          <w:lang w:val="en-GB"/>
        </w:rPr>
        <w:t xml:space="preserve">, D., </w:t>
      </w:r>
      <w:proofErr w:type="spellStart"/>
      <w:r w:rsidRPr="009B565D">
        <w:rPr>
          <w:rFonts w:ascii="Times New Roman" w:hAnsi="Times New Roman" w:cs="Times New Roman"/>
          <w:lang w:val="en-GB"/>
        </w:rPr>
        <w:t>Pério</w:t>
      </w:r>
      <w:proofErr w:type="spellEnd"/>
      <w:r w:rsidRPr="009B565D">
        <w:rPr>
          <w:rFonts w:ascii="Times New Roman" w:hAnsi="Times New Roman" w:cs="Times New Roman"/>
          <w:lang w:val="en-GB"/>
        </w:rPr>
        <w:t xml:space="preserve">, A., Poncelet, M., </w:t>
      </w:r>
      <w:proofErr w:type="spellStart"/>
      <w:r w:rsidRPr="009B565D">
        <w:rPr>
          <w:rFonts w:ascii="Times New Roman" w:hAnsi="Times New Roman" w:cs="Times New Roman"/>
          <w:lang w:val="en-GB"/>
        </w:rPr>
        <w:t>Maruani</w:t>
      </w:r>
      <w:proofErr w:type="spellEnd"/>
      <w:r w:rsidRPr="009B565D">
        <w:rPr>
          <w:rFonts w:ascii="Times New Roman" w:hAnsi="Times New Roman" w:cs="Times New Roman"/>
          <w:lang w:val="en-GB"/>
        </w:rPr>
        <w:t xml:space="preserve">, J., Arnone, M., Finance, O., </w:t>
      </w:r>
      <w:proofErr w:type="spellStart"/>
      <w:r w:rsidRPr="009B565D">
        <w:rPr>
          <w:rFonts w:ascii="Times New Roman" w:hAnsi="Times New Roman" w:cs="Times New Roman"/>
          <w:lang w:val="en-GB"/>
        </w:rPr>
        <w:t>Soubrié</w:t>
      </w:r>
      <w:proofErr w:type="spellEnd"/>
      <w:r w:rsidRPr="009B565D">
        <w:rPr>
          <w:rFonts w:ascii="Times New Roman" w:hAnsi="Times New Roman" w:cs="Times New Roman"/>
          <w:lang w:val="en-GB"/>
        </w:rPr>
        <w:t xml:space="preserve">, P., Le Fur, G., 2004. SR147778 [5-(4-Bromophenyl)-1-(2,4-dichlorophenyl)-4-ethyl-N-(1-piperidinyl)-1H-pyrazole-3-carboxamide], a New Potent and Selective Antagonist of the CB1 Cannabinoid Receptor: Biochemical and Pharmacological Characterization.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310, 905–914. https://doi.org/10.1124/jpet.104.067884</w:t>
      </w:r>
    </w:p>
    <w:p w14:paraId="2EE838A4"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Rinaldi-Carmona, M., Barth, F., </w:t>
      </w:r>
      <w:proofErr w:type="spellStart"/>
      <w:r w:rsidRPr="009B565D">
        <w:rPr>
          <w:rFonts w:ascii="Times New Roman" w:hAnsi="Times New Roman" w:cs="Times New Roman"/>
          <w:lang w:val="en-GB"/>
        </w:rPr>
        <w:t>Héaulme</w:t>
      </w:r>
      <w:proofErr w:type="spellEnd"/>
      <w:r w:rsidRPr="009B565D">
        <w:rPr>
          <w:rFonts w:ascii="Times New Roman" w:hAnsi="Times New Roman" w:cs="Times New Roman"/>
          <w:lang w:val="en-GB"/>
        </w:rPr>
        <w:t xml:space="preserve">, M., Shire, D., Calandra, B., </w:t>
      </w:r>
      <w:proofErr w:type="spellStart"/>
      <w:r w:rsidRPr="009B565D">
        <w:rPr>
          <w:rFonts w:ascii="Times New Roman" w:hAnsi="Times New Roman" w:cs="Times New Roman"/>
          <w:lang w:val="en-GB"/>
        </w:rPr>
        <w:t>Congy</w:t>
      </w:r>
      <w:proofErr w:type="spellEnd"/>
      <w:r w:rsidRPr="009B565D">
        <w:rPr>
          <w:rFonts w:ascii="Times New Roman" w:hAnsi="Times New Roman" w:cs="Times New Roman"/>
          <w:lang w:val="en-GB"/>
        </w:rPr>
        <w:t xml:space="preserve">, C., Martinez, S., </w:t>
      </w:r>
      <w:proofErr w:type="spellStart"/>
      <w:r w:rsidRPr="009B565D">
        <w:rPr>
          <w:rFonts w:ascii="Times New Roman" w:hAnsi="Times New Roman" w:cs="Times New Roman"/>
          <w:lang w:val="en-GB"/>
        </w:rPr>
        <w:t>Maruani</w:t>
      </w:r>
      <w:proofErr w:type="spellEnd"/>
      <w:r w:rsidRPr="009B565D">
        <w:rPr>
          <w:rFonts w:ascii="Times New Roman" w:hAnsi="Times New Roman" w:cs="Times New Roman"/>
          <w:lang w:val="en-GB"/>
        </w:rPr>
        <w:t xml:space="preserve">, J., </w:t>
      </w:r>
      <w:proofErr w:type="spellStart"/>
      <w:r w:rsidRPr="009B565D">
        <w:rPr>
          <w:rFonts w:ascii="Times New Roman" w:hAnsi="Times New Roman" w:cs="Times New Roman"/>
          <w:lang w:val="en-GB"/>
        </w:rPr>
        <w:t>Néliat</w:t>
      </w:r>
      <w:proofErr w:type="spellEnd"/>
      <w:r w:rsidRPr="009B565D">
        <w:rPr>
          <w:rFonts w:ascii="Times New Roman" w:hAnsi="Times New Roman" w:cs="Times New Roman"/>
          <w:lang w:val="en-GB"/>
        </w:rPr>
        <w:t xml:space="preserve">, G., Caput, D., Ferrara, P., </w:t>
      </w:r>
      <w:proofErr w:type="spellStart"/>
      <w:r w:rsidRPr="009B565D">
        <w:rPr>
          <w:rFonts w:ascii="Times New Roman" w:hAnsi="Times New Roman" w:cs="Times New Roman"/>
          <w:lang w:val="en-GB"/>
        </w:rPr>
        <w:t>Soubrié</w:t>
      </w:r>
      <w:proofErr w:type="spellEnd"/>
      <w:r w:rsidRPr="009B565D">
        <w:rPr>
          <w:rFonts w:ascii="Times New Roman" w:hAnsi="Times New Roman" w:cs="Times New Roman"/>
          <w:lang w:val="en-GB"/>
        </w:rPr>
        <w:t xml:space="preserve">, P., </w:t>
      </w:r>
      <w:proofErr w:type="spellStart"/>
      <w:r w:rsidRPr="009B565D">
        <w:rPr>
          <w:rFonts w:ascii="Times New Roman" w:hAnsi="Times New Roman" w:cs="Times New Roman"/>
          <w:lang w:val="en-GB"/>
        </w:rPr>
        <w:t>Brelière</w:t>
      </w:r>
      <w:proofErr w:type="spellEnd"/>
      <w:r w:rsidRPr="009B565D">
        <w:rPr>
          <w:rFonts w:ascii="Times New Roman" w:hAnsi="Times New Roman" w:cs="Times New Roman"/>
          <w:lang w:val="en-GB"/>
        </w:rPr>
        <w:t>, J.C., Le Fur, G., 1994. SR141716A, a potent and selective antagonist of the brain cannabinoid receptor. FEBS Lett. 350, 240–244. https://doi.org/10.1016/0014-5793(94)00773-X</w:t>
      </w:r>
    </w:p>
    <w:p w14:paraId="1DD1B409"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Ross, R.A., Brockie, H.C., Stevenson, L.A., Murphy, V.L., Templeton, F.,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xml:space="preserve">, A., Pertwee, R.G., 1999a. Agonist-inverse agonist characterization at CB 1 and CB 2 cannabinoid receptors of L759633, L759656 and AM630.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126, 665–672. https://doi.org/10.1038/sj.bjp.0702351</w:t>
      </w:r>
    </w:p>
    <w:p w14:paraId="10F4898D" w14:textId="77777777" w:rsidR="009B565D" w:rsidRPr="008178CC" w:rsidRDefault="009B565D" w:rsidP="009B565D">
      <w:pPr>
        <w:ind w:left="426" w:hanging="426"/>
        <w:jc w:val="both"/>
        <w:rPr>
          <w:rFonts w:ascii="Times New Roman" w:hAnsi="Times New Roman" w:cs="Times New Roman"/>
        </w:rPr>
      </w:pPr>
      <w:r w:rsidRPr="009B565D">
        <w:rPr>
          <w:rFonts w:ascii="Times New Roman" w:hAnsi="Times New Roman" w:cs="Times New Roman"/>
          <w:lang w:val="en-GB"/>
        </w:rPr>
        <w:t xml:space="preserve">Ross, R.A., Brockie, H.C., Stevenson, L.A., Murphy, V.L., Templeton, F., </w:t>
      </w:r>
      <w:proofErr w:type="spellStart"/>
      <w:r w:rsidRPr="009B565D">
        <w:rPr>
          <w:rFonts w:ascii="Times New Roman" w:hAnsi="Times New Roman" w:cs="Times New Roman"/>
          <w:lang w:val="en-GB"/>
        </w:rPr>
        <w:t>Makriyannis</w:t>
      </w:r>
      <w:proofErr w:type="spellEnd"/>
      <w:r w:rsidRPr="009B565D">
        <w:rPr>
          <w:rFonts w:ascii="Times New Roman" w:hAnsi="Times New Roman" w:cs="Times New Roman"/>
          <w:lang w:val="en-GB"/>
        </w:rPr>
        <w:t xml:space="preserve">, A., Pertwee, R.G., 1999b. Agonist-inverse agonist characterization at CB 1 and CB 2 cannabinoid receptors of L759633, L759656 and AM630. </w:t>
      </w:r>
      <w:r w:rsidRPr="008178CC">
        <w:rPr>
          <w:rFonts w:ascii="Times New Roman" w:hAnsi="Times New Roman" w:cs="Times New Roman"/>
        </w:rPr>
        <w:t>Br. J. Pharmacol. 126, 665–672. https://doi.org/10.1038/sj.bjp.0702351</w:t>
      </w:r>
    </w:p>
    <w:p w14:paraId="104D9641" w14:textId="77777777" w:rsidR="009B565D" w:rsidRPr="009B565D" w:rsidRDefault="009B565D" w:rsidP="009B565D">
      <w:pPr>
        <w:ind w:left="426" w:hanging="426"/>
        <w:jc w:val="both"/>
        <w:rPr>
          <w:rFonts w:ascii="Times New Roman" w:hAnsi="Times New Roman" w:cs="Times New Roman"/>
          <w:lang w:val="en-GB"/>
        </w:rPr>
      </w:pPr>
      <w:r w:rsidRPr="008178CC">
        <w:rPr>
          <w:rFonts w:ascii="Times New Roman" w:hAnsi="Times New Roman" w:cs="Times New Roman"/>
        </w:rPr>
        <w:t xml:space="preserve">Ruiu, S., Pinna, G.A., Marchese, G., Mussinu, J.-M., Saba, P., Tambaro, S., Casti, P., Vargiu, R., Pani, L., 2003. </w:t>
      </w:r>
      <w:r w:rsidRPr="009B565D">
        <w:rPr>
          <w:rFonts w:ascii="Times New Roman" w:hAnsi="Times New Roman" w:cs="Times New Roman"/>
          <w:lang w:val="en-GB"/>
        </w:rPr>
        <w:t xml:space="preserve">Synthesis and Characterization of NESS 0327: A Novel Putative Antagonist of the CB1 Cannabinoid Receptor.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306, 363–370. https://doi.org/10.1124/jpet.103.049924</w:t>
      </w:r>
    </w:p>
    <w:p w14:paraId="0B89FFA7"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Ryberg</w:t>
      </w:r>
      <w:proofErr w:type="spellEnd"/>
      <w:r w:rsidRPr="009B565D">
        <w:rPr>
          <w:rFonts w:ascii="Times New Roman" w:hAnsi="Times New Roman" w:cs="Times New Roman"/>
          <w:lang w:val="en-GB"/>
        </w:rPr>
        <w:t xml:space="preserve">, E., Larsson, N., </w:t>
      </w:r>
      <w:proofErr w:type="spellStart"/>
      <w:r w:rsidRPr="009B565D">
        <w:rPr>
          <w:rFonts w:ascii="Times New Roman" w:hAnsi="Times New Roman" w:cs="Times New Roman"/>
          <w:lang w:val="en-GB"/>
        </w:rPr>
        <w:t>Sjögren</w:t>
      </w:r>
      <w:proofErr w:type="spellEnd"/>
      <w:r w:rsidRPr="009B565D">
        <w:rPr>
          <w:rFonts w:ascii="Times New Roman" w:hAnsi="Times New Roman" w:cs="Times New Roman"/>
          <w:lang w:val="en-GB"/>
        </w:rPr>
        <w:t xml:space="preserve">, S., Hjorth, S., </w:t>
      </w:r>
      <w:proofErr w:type="spellStart"/>
      <w:r w:rsidRPr="009B565D">
        <w:rPr>
          <w:rFonts w:ascii="Times New Roman" w:hAnsi="Times New Roman" w:cs="Times New Roman"/>
          <w:lang w:val="en-GB"/>
        </w:rPr>
        <w:t>Hermansson</w:t>
      </w:r>
      <w:proofErr w:type="spellEnd"/>
      <w:r w:rsidRPr="009B565D">
        <w:rPr>
          <w:rFonts w:ascii="Times New Roman" w:hAnsi="Times New Roman" w:cs="Times New Roman"/>
          <w:lang w:val="en-GB"/>
        </w:rPr>
        <w:t xml:space="preserve">, N.-O., </w:t>
      </w:r>
      <w:proofErr w:type="spellStart"/>
      <w:r w:rsidRPr="009B565D">
        <w:rPr>
          <w:rFonts w:ascii="Times New Roman" w:hAnsi="Times New Roman" w:cs="Times New Roman"/>
          <w:lang w:val="en-GB"/>
        </w:rPr>
        <w:t>Leonova</w:t>
      </w:r>
      <w:proofErr w:type="spellEnd"/>
      <w:r w:rsidRPr="009B565D">
        <w:rPr>
          <w:rFonts w:ascii="Times New Roman" w:hAnsi="Times New Roman" w:cs="Times New Roman"/>
          <w:lang w:val="en-GB"/>
        </w:rPr>
        <w:t xml:space="preserve">, J., </w:t>
      </w:r>
      <w:proofErr w:type="spellStart"/>
      <w:r w:rsidRPr="009B565D">
        <w:rPr>
          <w:rFonts w:ascii="Times New Roman" w:hAnsi="Times New Roman" w:cs="Times New Roman"/>
          <w:lang w:val="en-GB"/>
        </w:rPr>
        <w:t>Elebring</w:t>
      </w:r>
      <w:proofErr w:type="spellEnd"/>
      <w:r w:rsidRPr="009B565D">
        <w:rPr>
          <w:rFonts w:ascii="Times New Roman" w:hAnsi="Times New Roman" w:cs="Times New Roman"/>
          <w:lang w:val="en-GB"/>
        </w:rPr>
        <w:t xml:space="preserve">, T., Nilsson, K., </w:t>
      </w:r>
      <w:proofErr w:type="spellStart"/>
      <w:r w:rsidRPr="009B565D">
        <w:rPr>
          <w:rFonts w:ascii="Times New Roman" w:hAnsi="Times New Roman" w:cs="Times New Roman"/>
          <w:lang w:val="en-GB"/>
        </w:rPr>
        <w:t>Drmota</w:t>
      </w:r>
      <w:proofErr w:type="spellEnd"/>
      <w:r w:rsidRPr="009B565D">
        <w:rPr>
          <w:rFonts w:ascii="Times New Roman" w:hAnsi="Times New Roman" w:cs="Times New Roman"/>
          <w:lang w:val="en-GB"/>
        </w:rPr>
        <w:t xml:space="preserve">, T., Greasley, P.J., 2009a. The orphan receptor GPR55 is a novel cannabinoid receptor.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152, 1092–1101. https://doi.org/10.1038/sj.bjp.0707460</w:t>
      </w:r>
    </w:p>
    <w:p w14:paraId="48215A72"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Ryberg</w:t>
      </w:r>
      <w:proofErr w:type="spellEnd"/>
      <w:r w:rsidRPr="009B565D">
        <w:rPr>
          <w:rFonts w:ascii="Times New Roman" w:hAnsi="Times New Roman" w:cs="Times New Roman"/>
          <w:lang w:val="en-GB"/>
        </w:rPr>
        <w:t xml:space="preserve">, E., Larsson, N., </w:t>
      </w:r>
      <w:proofErr w:type="spellStart"/>
      <w:r w:rsidRPr="009B565D">
        <w:rPr>
          <w:rFonts w:ascii="Times New Roman" w:hAnsi="Times New Roman" w:cs="Times New Roman"/>
          <w:lang w:val="en-GB"/>
        </w:rPr>
        <w:t>Sjögren</w:t>
      </w:r>
      <w:proofErr w:type="spellEnd"/>
      <w:r w:rsidRPr="009B565D">
        <w:rPr>
          <w:rFonts w:ascii="Times New Roman" w:hAnsi="Times New Roman" w:cs="Times New Roman"/>
          <w:lang w:val="en-GB"/>
        </w:rPr>
        <w:t xml:space="preserve">, S., Hjorth, S., </w:t>
      </w:r>
      <w:proofErr w:type="spellStart"/>
      <w:r w:rsidRPr="009B565D">
        <w:rPr>
          <w:rFonts w:ascii="Times New Roman" w:hAnsi="Times New Roman" w:cs="Times New Roman"/>
          <w:lang w:val="en-GB"/>
        </w:rPr>
        <w:t>Hermansson</w:t>
      </w:r>
      <w:proofErr w:type="spellEnd"/>
      <w:r w:rsidRPr="009B565D">
        <w:rPr>
          <w:rFonts w:ascii="Times New Roman" w:hAnsi="Times New Roman" w:cs="Times New Roman"/>
          <w:lang w:val="en-GB"/>
        </w:rPr>
        <w:t xml:space="preserve">, N.-O., </w:t>
      </w:r>
      <w:proofErr w:type="spellStart"/>
      <w:r w:rsidRPr="009B565D">
        <w:rPr>
          <w:rFonts w:ascii="Times New Roman" w:hAnsi="Times New Roman" w:cs="Times New Roman"/>
          <w:lang w:val="en-GB"/>
        </w:rPr>
        <w:t>Leonova</w:t>
      </w:r>
      <w:proofErr w:type="spellEnd"/>
      <w:r w:rsidRPr="009B565D">
        <w:rPr>
          <w:rFonts w:ascii="Times New Roman" w:hAnsi="Times New Roman" w:cs="Times New Roman"/>
          <w:lang w:val="en-GB"/>
        </w:rPr>
        <w:t xml:space="preserve">, J., </w:t>
      </w:r>
      <w:proofErr w:type="spellStart"/>
      <w:r w:rsidRPr="009B565D">
        <w:rPr>
          <w:rFonts w:ascii="Times New Roman" w:hAnsi="Times New Roman" w:cs="Times New Roman"/>
          <w:lang w:val="en-GB"/>
        </w:rPr>
        <w:t>Elebring</w:t>
      </w:r>
      <w:proofErr w:type="spellEnd"/>
      <w:r w:rsidRPr="009B565D">
        <w:rPr>
          <w:rFonts w:ascii="Times New Roman" w:hAnsi="Times New Roman" w:cs="Times New Roman"/>
          <w:lang w:val="en-GB"/>
        </w:rPr>
        <w:t xml:space="preserve">, T., Nilsson, K., </w:t>
      </w:r>
      <w:proofErr w:type="spellStart"/>
      <w:r w:rsidRPr="009B565D">
        <w:rPr>
          <w:rFonts w:ascii="Times New Roman" w:hAnsi="Times New Roman" w:cs="Times New Roman"/>
          <w:lang w:val="en-GB"/>
        </w:rPr>
        <w:t>Drmota</w:t>
      </w:r>
      <w:proofErr w:type="spellEnd"/>
      <w:r w:rsidRPr="009B565D">
        <w:rPr>
          <w:rFonts w:ascii="Times New Roman" w:hAnsi="Times New Roman" w:cs="Times New Roman"/>
          <w:lang w:val="en-GB"/>
        </w:rPr>
        <w:t xml:space="preserve">, T., Greasley, P.J., 2009b. The orphan receptor GPR55 is a novel cannabinoid receptor.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152, 1092–1101. https://doi.org/10.1038/sj.bjp.0707460</w:t>
      </w:r>
    </w:p>
    <w:p w14:paraId="4297AAC5" w14:textId="77777777" w:rsidR="009B565D" w:rsidRPr="008178CC" w:rsidRDefault="009B565D" w:rsidP="009B565D">
      <w:pPr>
        <w:ind w:left="426" w:hanging="426"/>
        <w:jc w:val="both"/>
        <w:rPr>
          <w:rFonts w:ascii="Times New Roman" w:hAnsi="Times New Roman" w:cs="Times New Roman"/>
          <w:lang w:val="de-DE"/>
        </w:rPr>
      </w:pPr>
      <w:proofErr w:type="spellStart"/>
      <w:r w:rsidRPr="009B565D">
        <w:rPr>
          <w:rFonts w:ascii="Times New Roman" w:hAnsi="Times New Roman" w:cs="Times New Roman"/>
          <w:lang w:val="en-GB"/>
        </w:rPr>
        <w:t>Ryberg</w:t>
      </w:r>
      <w:proofErr w:type="spellEnd"/>
      <w:r w:rsidRPr="009B565D">
        <w:rPr>
          <w:rFonts w:ascii="Times New Roman" w:hAnsi="Times New Roman" w:cs="Times New Roman"/>
          <w:lang w:val="en-GB"/>
        </w:rPr>
        <w:t xml:space="preserve">, E., Larsson, N., </w:t>
      </w:r>
      <w:proofErr w:type="spellStart"/>
      <w:r w:rsidRPr="009B565D">
        <w:rPr>
          <w:rFonts w:ascii="Times New Roman" w:hAnsi="Times New Roman" w:cs="Times New Roman"/>
          <w:lang w:val="en-GB"/>
        </w:rPr>
        <w:t>Sjögren</w:t>
      </w:r>
      <w:proofErr w:type="spellEnd"/>
      <w:r w:rsidRPr="009B565D">
        <w:rPr>
          <w:rFonts w:ascii="Times New Roman" w:hAnsi="Times New Roman" w:cs="Times New Roman"/>
          <w:lang w:val="en-GB"/>
        </w:rPr>
        <w:t xml:space="preserve">, S., Hjorth, S., </w:t>
      </w:r>
      <w:proofErr w:type="spellStart"/>
      <w:r w:rsidRPr="009B565D">
        <w:rPr>
          <w:rFonts w:ascii="Times New Roman" w:hAnsi="Times New Roman" w:cs="Times New Roman"/>
          <w:lang w:val="en-GB"/>
        </w:rPr>
        <w:t>Hermansson</w:t>
      </w:r>
      <w:proofErr w:type="spellEnd"/>
      <w:r w:rsidRPr="009B565D">
        <w:rPr>
          <w:rFonts w:ascii="Times New Roman" w:hAnsi="Times New Roman" w:cs="Times New Roman"/>
          <w:lang w:val="en-GB"/>
        </w:rPr>
        <w:t xml:space="preserve">, N.-O., </w:t>
      </w:r>
      <w:proofErr w:type="spellStart"/>
      <w:r w:rsidRPr="009B565D">
        <w:rPr>
          <w:rFonts w:ascii="Times New Roman" w:hAnsi="Times New Roman" w:cs="Times New Roman"/>
          <w:lang w:val="en-GB"/>
        </w:rPr>
        <w:t>Leonova</w:t>
      </w:r>
      <w:proofErr w:type="spellEnd"/>
      <w:r w:rsidRPr="009B565D">
        <w:rPr>
          <w:rFonts w:ascii="Times New Roman" w:hAnsi="Times New Roman" w:cs="Times New Roman"/>
          <w:lang w:val="en-GB"/>
        </w:rPr>
        <w:t xml:space="preserve">, J., </w:t>
      </w:r>
      <w:proofErr w:type="spellStart"/>
      <w:r w:rsidRPr="009B565D">
        <w:rPr>
          <w:rFonts w:ascii="Times New Roman" w:hAnsi="Times New Roman" w:cs="Times New Roman"/>
          <w:lang w:val="en-GB"/>
        </w:rPr>
        <w:t>Elebring</w:t>
      </w:r>
      <w:proofErr w:type="spellEnd"/>
      <w:r w:rsidRPr="009B565D">
        <w:rPr>
          <w:rFonts w:ascii="Times New Roman" w:hAnsi="Times New Roman" w:cs="Times New Roman"/>
          <w:lang w:val="en-GB"/>
        </w:rPr>
        <w:t xml:space="preserve">, T., Nilsson, K., </w:t>
      </w:r>
      <w:proofErr w:type="spellStart"/>
      <w:r w:rsidRPr="009B565D">
        <w:rPr>
          <w:rFonts w:ascii="Times New Roman" w:hAnsi="Times New Roman" w:cs="Times New Roman"/>
          <w:lang w:val="en-GB"/>
        </w:rPr>
        <w:t>Drmota</w:t>
      </w:r>
      <w:proofErr w:type="spellEnd"/>
      <w:r w:rsidRPr="009B565D">
        <w:rPr>
          <w:rFonts w:ascii="Times New Roman" w:hAnsi="Times New Roman" w:cs="Times New Roman"/>
          <w:lang w:val="en-GB"/>
        </w:rPr>
        <w:t xml:space="preserve">, T., Greasley, P.J., 2007. The orphan receptor GPR55 is a novel cannabinoid receptor. Br.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w:t>
      </w:r>
      <w:r w:rsidRPr="008178CC">
        <w:rPr>
          <w:rFonts w:ascii="Times New Roman" w:hAnsi="Times New Roman" w:cs="Times New Roman"/>
          <w:lang w:val="de-DE"/>
        </w:rPr>
        <w:t>152, 1092–101. https://doi.org/10.1038/sj.bjp.0707460</w:t>
      </w:r>
    </w:p>
    <w:p w14:paraId="4F7F1BDC" w14:textId="77777777" w:rsidR="009B565D" w:rsidRPr="009B565D" w:rsidRDefault="009B565D" w:rsidP="009B565D">
      <w:pPr>
        <w:ind w:left="426" w:hanging="426"/>
        <w:jc w:val="both"/>
        <w:rPr>
          <w:rFonts w:ascii="Times New Roman" w:hAnsi="Times New Roman" w:cs="Times New Roman"/>
          <w:lang w:val="en-GB"/>
        </w:rPr>
      </w:pPr>
      <w:r w:rsidRPr="008178CC">
        <w:rPr>
          <w:rFonts w:ascii="Times New Roman" w:hAnsi="Times New Roman" w:cs="Times New Roman"/>
          <w:lang w:val="de-DE"/>
        </w:rPr>
        <w:t xml:space="preserve">Schoeder, C.T., Hess, C., Madea, B., Meiler, J., Müller, C.E., 2018. </w:t>
      </w:r>
      <w:r w:rsidRPr="009B565D">
        <w:rPr>
          <w:rFonts w:ascii="Times New Roman" w:hAnsi="Times New Roman" w:cs="Times New Roman"/>
          <w:lang w:val="en-GB"/>
        </w:rPr>
        <w:t xml:space="preserve">Pharmacological evaluation of new constituents of “Spice”: synthetic cannabinoids based on indole, indazole, benzimidazole and carbazole scaffolds. Forensic </w:t>
      </w:r>
      <w:proofErr w:type="spellStart"/>
      <w:r w:rsidRPr="009B565D">
        <w:rPr>
          <w:rFonts w:ascii="Times New Roman" w:hAnsi="Times New Roman" w:cs="Times New Roman"/>
          <w:lang w:val="en-GB"/>
        </w:rPr>
        <w:t>Toxicol</w:t>
      </w:r>
      <w:proofErr w:type="spellEnd"/>
      <w:r w:rsidRPr="009B565D">
        <w:rPr>
          <w:rFonts w:ascii="Times New Roman" w:hAnsi="Times New Roman" w:cs="Times New Roman"/>
          <w:lang w:val="en-GB"/>
        </w:rPr>
        <w:t>. 36, 385–403. https://doi.org/10.1007/s11419-018-0415-z</w:t>
      </w:r>
    </w:p>
    <w:p w14:paraId="5A5CAE06" w14:textId="77777777" w:rsidR="009B565D" w:rsidRPr="009B565D" w:rsidRDefault="009B565D" w:rsidP="009B565D">
      <w:pPr>
        <w:ind w:left="426" w:hanging="426"/>
        <w:jc w:val="both"/>
        <w:rPr>
          <w:rFonts w:ascii="Times New Roman" w:hAnsi="Times New Roman" w:cs="Times New Roman"/>
          <w:lang w:val="en-GB"/>
        </w:rPr>
      </w:pPr>
      <w:proofErr w:type="spellStart"/>
      <w:r w:rsidRPr="009B565D">
        <w:rPr>
          <w:rFonts w:ascii="Times New Roman" w:hAnsi="Times New Roman" w:cs="Times New Roman"/>
          <w:lang w:val="en-GB"/>
        </w:rPr>
        <w:t>Schou</w:t>
      </w:r>
      <w:proofErr w:type="spellEnd"/>
      <w:r w:rsidRPr="009B565D">
        <w:rPr>
          <w:rFonts w:ascii="Times New Roman" w:hAnsi="Times New Roman" w:cs="Times New Roman"/>
          <w:lang w:val="en-GB"/>
        </w:rPr>
        <w:t xml:space="preserve">, M., </w:t>
      </w:r>
      <w:proofErr w:type="spellStart"/>
      <w:r w:rsidRPr="009B565D">
        <w:rPr>
          <w:rFonts w:ascii="Times New Roman" w:hAnsi="Times New Roman" w:cs="Times New Roman"/>
          <w:lang w:val="en-GB"/>
        </w:rPr>
        <w:t>Varnäs</w:t>
      </w:r>
      <w:proofErr w:type="spellEnd"/>
      <w:r w:rsidRPr="009B565D">
        <w:rPr>
          <w:rFonts w:ascii="Times New Roman" w:hAnsi="Times New Roman" w:cs="Times New Roman"/>
          <w:lang w:val="en-GB"/>
        </w:rPr>
        <w:t xml:space="preserve">, K., </w:t>
      </w:r>
      <w:proofErr w:type="spellStart"/>
      <w:r w:rsidRPr="009B565D">
        <w:rPr>
          <w:rFonts w:ascii="Times New Roman" w:hAnsi="Times New Roman" w:cs="Times New Roman"/>
          <w:lang w:val="en-GB"/>
        </w:rPr>
        <w:t>Jucaite</w:t>
      </w:r>
      <w:proofErr w:type="spellEnd"/>
      <w:r w:rsidRPr="009B565D">
        <w:rPr>
          <w:rFonts w:ascii="Times New Roman" w:hAnsi="Times New Roman" w:cs="Times New Roman"/>
          <w:lang w:val="en-GB"/>
        </w:rPr>
        <w:t xml:space="preserve">, A., </w:t>
      </w:r>
      <w:proofErr w:type="spellStart"/>
      <w:r w:rsidRPr="009B565D">
        <w:rPr>
          <w:rFonts w:ascii="Times New Roman" w:hAnsi="Times New Roman" w:cs="Times New Roman"/>
          <w:lang w:val="en-GB"/>
        </w:rPr>
        <w:t>Gulyás</w:t>
      </w:r>
      <w:proofErr w:type="spellEnd"/>
      <w:r w:rsidRPr="009B565D">
        <w:rPr>
          <w:rFonts w:ascii="Times New Roman" w:hAnsi="Times New Roman" w:cs="Times New Roman"/>
          <w:lang w:val="en-GB"/>
        </w:rPr>
        <w:t xml:space="preserve">, B., </w:t>
      </w:r>
      <w:proofErr w:type="spellStart"/>
      <w:r w:rsidRPr="009B565D">
        <w:rPr>
          <w:rFonts w:ascii="Times New Roman" w:hAnsi="Times New Roman" w:cs="Times New Roman"/>
          <w:lang w:val="en-GB"/>
        </w:rPr>
        <w:t>Halldin</w:t>
      </w:r>
      <w:proofErr w:type="spellEnd"/>
      <w:r w:rsidRPr="009B565D">
        <w:rPr>
          <w:rFonts w:ascii="Times New Roman" w:hAnsi="Times New Roman" w:cs="Times New Roman"/>
          <w:lang w:val="en-GB"/>
        </w:rPr>
        <w:t xml:space="preserve">, C., </w:t>
      </w:r>
      <w:proofErr w:type="spellStart"/>
      <w:r w:rsidRPr="009B565D">
        <w:rPr>
          <w:rFonts w:ascii="Times New Roman" w:hAnsi="Times New Roman" w:cs="Times New Roman"/>
          <w:lang w:val="en-GB"/>
        </w:rPr>
        <w:t>Farde</w:t>
      </w:r>
      <w:proofErr w:type="spellEnd"/>
      <w:r w:rsidRPr="009B565D">
        <w:rPr>
          <w:rFonts w:ascii="Times New Roman" w:hAnsi="Times New Roman" w:cs="Times New Roman"/>
          <w:lang w:val="en-GB"/>
        </w:rPr>
        <w:t xml:space="preserve">, L., 2013. Radiolabeling of the cannabinoid receptor agonist AZD1940 with carbon-11 and PET </w:t>
      </w:r>
      <w:proofErr w:type="spellStart"/>
      <w:r w:rsidRPr="009B565D">
        <w:rPr>
          <w:rFonts w:ascii="Times New Roman" w:hAnsi="Times New Roman" w:cs="Times New Roman"/>
          <w:lang w:val="en-GB"/>
        </w:rPr>
        <w:t>microdosing</w:t>
      </w:r>
      <w:proofErr w:type="spellEnd"/>
      <w:r w:rsidRPr="009B565D">
        <w:rPr>
          <w:rFonts w:ascii="Times New Roman" w:hAnsi="Times New Roman" w:cs="Times New Roman"/>
          <w:lang w:val="en-GB"/>
        </w:rPr>
        <w:t xml:space="preserve"> in non-human primate. </w:t>
      </w:r>
      <w:proofErr w:type="spellStart"/>
      <w:r w:rsidRPr="009B565D">
        <w:rPr>
          <w:rFonts w:ascii="Times New Roman" w:hAnsi="Times New Roman" w:cs="Times New Roman"/>
          <w:lang w:val="en-GB"/>
        </w:rPr>
        <w:t>Nucl</w:t>
      </w:r>
      <w:proofErr w:type="spellEnd"/>
      <w:r w:rsidRPr="009B565D">
        <w:rPr>
          <w:rFonts w:ascii="Times New Roman" w:hAnsi="Times New Roman" w:cs="Times New Roman"/>
          <w:lang w:val="en-GB"/>
        </w:rPr>
        <w:t>. Med. Biol. 40, 410–414. https://doi.org/10.1016/j.nucmedbio.2012.10.011</w:t>
      </w:r>
    </w:p>
    <w:p w14:paraId="308CF39F"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lastRenderedPageBreak/>
        <w:t xml:space="preserve">Seely, K.A., </w:t>
      </w:r>
      <w:proofErr w:type="spellStart"/>
      <w:r w:rsidRPr="009B565D">
        <w:rPr>
          <w:rFonts w:ascii="Times New Roman" w:hAnsi="Times New Roman" w:cs="Times New Roman"/>
          <w:lang w:val="en-GB"/>
        </w:rPr>
        <w:t>Brents</w:t>
      </w:r>
      <w:proofErr w:type="spellEnd"/>
      <w:r w:rsidRPr="009B565D">
        <w:rPr>
          <w:rFonts w:ascii="Times New Roman" w:hAnsi="Times New Roman" w:cs="Times New Roman"/>
          <w:lang w:val="en-GB"/>
        </w:rPr>
        <w:t xml:space="preserve">, L.K., Franks, L.N., </w:t>
      </w:r>
      <w:proofErr w:type="spellStart"/>
      <w:r w:rsidRPr="009B565D">
        <w:rPr>
          <w:rFonts w:ascii="Times New Roman" w:hAnsi="Times New Roman" w:cs="Times New Roman"/>
          <w:lang w:val="en-GB"/>
        </w:rPr>
        <w:t>Rajasekaran</w:t>
      </w:r>
      <w:proofErr w:type="spellEnd"/>
      <w:r w:rsidRPr="009B565D">
        <w:rPr>
          <w:rFonts w:ascii="Times New Roman" w:hAnsi="Times New Roman" w:cs="Times New Roman"/>
          <w:lang w:val="en-GB"/>
        </w:rPr>
        <w:t xml:space="preserve">, M., Zimmerman, S.M., </w:t>
      </w:r>
      <w:proofErr w:type="spellStart"/>
      <w:r w:rsidRPr="009B565D">
        <w:rPr>
          <w:rFonts w:ascii="Times New Roman" w:hAnsi="Times New Roman" w:cs="Times New Roman"/>
          <w:lang w:val="en-GB"/>
        </w:rPr>
        <w:t>Fantegrossi</w:t>
      </w:r>
      <w:proofErr w:type="spellEnd"/>
      <w:r w:rsidRPr="009B565D">
        <w:rPr>
          <w:rFonts w:ascii="Times New Roman" w:hAnsi="Times New Roman" w:cs="Times New Roman"/>
          <w:lang w:val="en-GB"/>
        </w:rPr>
        <w:t>, W.E., Prather, P.L., 2012. AM-251 and rimonabant act as direct antagonists at mu-opioid receptors: Implications for opioid/cannabinoid interaction studies. Neuropharmacology 63, 905–915. https://doi.org/10.1016/j.neuropharm.2012.06.046</w:t>
      </w:r>
    </w:p>
    <w:p w14:paraId="2A6AF3A1"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Sharma, M.K., </w:t>
      </w:r>
      <w:proofErr w:type="spellStart"/>
      <w:r w:rsidRPr="009B565D">
        <w:rPr>
          <w:rFonts w:ascii="Times New Roman" w:hAnsi="Times New Roman" w:cs="Times New Roman"/>
          <w:lang w:val="en-GB"/>
        </w:rPr>
        <w:t>Murumkar</w:t>
      </w:r>
      <w:proofErr w:type="spellEnd"/>
      <w:r w:rsidRPr="009B565D">
        <w:rPr>
          <w:rFonts w:ascii="Times New Roman" w:hAnsi="Times New Roman" w:cs="Times New Roman"/>
          <w:lang w:val="en-GB"/>
        </w:rPr>
        <w:t xml:space="preserve">, P.R., Barmade, M.A., </w:t>
      </w:r>
      <w:proofErr w:type="spellStart"/>
      <w:r w:rsidRPr="009B565D">
        <w:rPr>
          <w:rFonts w:ascii="Times New Roman" w:hAnsi="Times New Roman" w:cs="Times New Roman"/>
          <w:lang w:val="en-GB"/>
        </w:rPr>
        <w:t>Giridhar</w:t>
      </w:r>
      <w:proofErr w:type="spellEnd"/>
      <w:r w:rsidRPr="009B565D">
        <w:rPr>
          <w:rFonts w:ascii="Times New Roman" w:hAnsi="Times New Roman" w:cs="Times New Roman"/>
          <w:lang w:val="en-GB"/>
        </w:rPr>
        <w:t xml:space="preserve">, R., Yadav, M.R., 2015. A comprehensive patents review on cannabinoid 1 receptor antagonists as </w:t>
      </w:r>
      <w:proofErr w:type="spellStart"/>
      <w:r w:rsidRPr="009B565D">
        <w:rPr>
          <w:rFonts w:ascii="Times New Roman" w:hAnsi="Times New Roman" w:cs="Times New Roman"/>
          <w:lang w:val="en-GB"/>
        </w:rPr>
        <w:t>antiobesity</w:t>
      </w:r>
      <w:proofErr w:type="spellEnd"/>
      <w:r w:rsidRPr="009B565D">
        <w:rPr>
          <w:rFonts w:ascii="Times New Roman" w:hAnsi="Times New Roman" w:cs="Times New Roman"/>
          <w:lang w:val="en-GB"/>
        </w:rPr>
        <w:t xml:space="preserve"> agents. Expert </w:t>
      </w:r>
      <w:proofErr w:type="spellStart"/>
      <w:r w:rsidRPr="009B565D">
        <w:rPr>
          <w:rFonts w:ascii="Times New Roman" w:hAnsi="Times New Roman" w:cs="Times New Roman"/>
          <w:lang w:val="en-GB"/>
        </w:rPr>
        <w:t>Opin</w:t>
      </w:r>
      <w:proofErr w:type="spellEnd"/>
      <w:r w:rsidRPr="009B565D">
        <w:rPr>
          <w:rFonts w:ascii="Times New Roman" w:hAnsi="Times New Roman" w:cs="Times New Roman"/>
          <w:lang w:val="en-GB"/>
        </w:rPr>
        <w:t xml:space="preserve">.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Pat. 25, 1093–1116. https://doi.org/10.1517/13543776.2015.1064898</w:t>
      </w:r>
    </w:p>
    <w:p w14:paraId="64112B4C"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Showalter, V.M., Compton, D.R., Martin, B.R., </w:t>
      </w:r>
      <w:proofErr w:type="spellStart"/>
      <w:r w:rsidRPr="009B565D">
        <w:rPr>
          <w:rFonts w:ascii="Times New Roman" w:hAnsi="Times New Roman" w:cs="Times New Roman"/>
          <w:lang w:val="en-GB"/>
        </w:rPr>
        <w:t>Abood</w:t>
      </w:r>
      <w:proofErr w:type="spellEnd"/>
      <w:r w:rsidRPr="009B565D">
        <w:rPr>
          <w:rFonts w:ascii="Times New Roman" w:hAnsi="Times New Roman" w:cs="Times New Roman"/>
          <w:lang w:val="en-GB"/>
        </w:rPr>
        <w:t xml:space="preserve">, M.E., 1996a. Evaluation of binding in a transfected cell line expressing a peripheral cannabinoid receptor (CB2): identification of cannabinoid receptor subtype selective ligands.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278, 989–99.</w:t>
      </w:r>
    </w:p>
    <w:p w14:paraId="01B6EB37"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Showalter, V.M., Compton, D.R., Martin, B.R., </w:t>
      </w:r>
      <w:proofErr w:type="spellStart"/>
      <w:r w:rsidRPr="009B565D">
        <w:rPr>
          <w:rFonts w:ascii="Times New Roman" w:hAnsi="Times New Roman" w:cs="Times New Roman"/>
          <w:lang w:val="en-GB"/>
        </w:rPr>
        <w:t>Abood</w:t>
      </w:r>
      <w:proofErr w:type="spellEnd"/>
      <w:r w:rsidRPr="009B565D">
        <w:rPr>
          <w:rFonts w:ascii="Times New Roman" w:hAnsi="Times New Roman" w:cs="Times New Roman"/>
          <w:lang w:val="en-GB"/>
        </w:rPr>
        <w:t xml:space="preserve">, M.E., 1996b. Evaluation of binding in a transfected cell line expressing a peripheral cannabinoid receptor (CB2): identification of cannabinoid receptor subtype selective ligands. J.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xml:space="preserve">. Exp. </w:t>
      </w:r>
      <w:proofErr w:type="spellStart"/>
      <w:r w:rsidRPr="009B565D">
        <w:rPr>
          <w:rFonts w:ascii="Times New Roman" w:hAnsi="Times New Roman" w:cs="Times New Roman"/>
          <w:lang w:val="en-GB"/>
        </w:rPr>
        <w:t>Ther</w:t>
      </w:r>
      <w:proofErr w:type="spellEnd"/>
      <w:r w:rsidRPr="009B565D">
        <w:rPr>
          <w:rFonts w:ascii="Times New Roman" w:hAnsi="Times New Roman" w:cs="Times New Roman"/>
          <w:lang w:val="en-GB"/>
        </w:rPr>
        <w:t>. 278, 989–99.</w:t>
      </w:r>
    </w:p>
    <w:p w14:paraId="616A3FF8" w14:textId="77777777" w:rsidR="009B565D" w:rsidRPr="008178CC" w:rsidRDefault="009B565D" w:rsidP="009B565D">
      <w:pPr>
        <w:ind w:left="426" w:hanging="426"/>
        <w:jc w:val="both"/>
        <w:rPr>
          <w:rFonts w:ascii="Times New Roman" w:hAnsi="Times New Roman" w:cs="Times New Roman"/>
          <w:lang w:val="de-DE"/>
        </w:rPr>
      </w:pPr>
      <w:r w:rsidRPr="009B565D">
        <w:rPr>
          <w:rFonts w:ascii="Times New Roman" w:hAnsi="Times New Roman" w:cs="Times New Roman"/>
          <w:lang w:val="en-GB"/>
        </w:rPr>
        <w:t xml:space="preserve">Tam, J., </w:t>
      </w:r>
      <w:proofErr w:type="spellStart"/>
      <w:r w:rsidRPr="009B565D">
        <w:rPr>
          <w:rFonts w:ascii="Times New Roman" w:hAnsi="Times New Roman" w:cs="Times New Roman"/>
          <w:lang w:val="en-GB"/>
        </w:rPr>
        <w:t>Cinar</w:t>
      </w:r>
      <w:proofErr w:type="spellEnd"/>
      <w:r w:rsidRPr="009B565D">
        <w:rPr>
          <w:rFonts w:ascii="Times New Roman" w:hAnsi="Times New Roman" w:cs="Times New Roman"/>
          <w:lang w:val="en-GB"/>
        </w:rPr>
        <w:t xml:space="preserve">, R., Liu, J., </w:t>
      </w:r>
      <w:proofErr w:type="spellStart"/>
      <w:r w:rsidRPr="009B565D">
        <w:rPr>
          <w:rFonts w:ascii="Times New Roman" w:hAnsi="Times New Roman" w:cs="Times New Roman"/>
          <w:lang w:val="en-GB"/>
        </w:rPr>
        <w:t>Godlewski</w:t>
      </w:r>
      <w:proofErr w:type="spellEnd"/>
      <w:r w:rsidRPr="009B565D">
        <w:rPr>
          <w:rFonts w:ascii="Times New Roman" w:hAnsi="Times New Roman" w:cs="Times New Roman"/>
          <w:lang w:val="en-GB"/>
        </w:rPr>
        <w:t xml:space="preserve">, G., Wesley, D., Jourdan, T., </w:t>
      </w:r>
      <w:proofErr w:type="spellStart"/>
      <w:r w:rsidRPr="009B565D">
        <w:rPr>
          <w:rFonts w:ascii="Times New Roman" w:hAnsi="Times New Roman" w:cs="Times New Roman"/>
          <w:lang w:val="en-GB"/>
        </w:rPr>
        <w:t>Szanda</w:t>
      </w:r>
      <w:proofErr w:type="spellEnd"/>
      <w:r w:rsidRPr="009B565D">
        <w:rPr>
          <w:rFonts w:ascii="Times New Roman" w:hAnsi="Times New Roman" w:cs="Times New Roman"/>
          <w:lang w:val="en-GB"/>
        </w:rPr>
        <w:t xml:space="preserve">, G., Mukhopadhyay, B., </w:t>
      </w:r>
      <w:proofErr w:type="spellStart"/>
      <w:r w:rsidRPr="009B565D">
        <w:rPr>
          <w:rFonts w:ascii="Times New Roman" w:hAnsi="Times New Roman" w:cs="Times New Roman"/>
          <w:lang w:val="en-GB"/>
        </w:rPr>
        <w:t>Chedester</w:t>
      </w:r>
      <w:proofErr w:type="spellEnd"/>
      <w:r w:rsidRPr="009B565D">
        <w:rPr>
          <w:rFonts w:ascii="Times New Roman" w:hAnsi="Times New Roman" w:cs="Times New Roman"/>
          <w:lang w:val="en-GB"/>
        </w:rPr>
        <w:t xml:space="preserve">, L., </w:t>
      </w:r>
      <w:proofErr w:type="spellStart"/>
      <w:r w:rsidRPr="009B565D">
        <w:rPr>
          <w:rFonts w:ascii="Times New Roman" w:hAnsi="Times New Roman" w:cs="Times New Roman"/>
          <w:lang w:val="en-GB"/>
        </w:rPr>
        <w:t>Liow</w:t>
      </w:r>
      <w:proofErr w:type="spellEnd"/>
      <w:r w:rsidRPr="009B565D">
        <w:rPr>
          <w:rFonts w:ascii="Times New Roman" w:hAnsi="Times New Roman" w:cs="Times New Roman"/>
          <w:lang w:val="en-GB"/>
        </w:rPr>
        <w:t xml:space="preserve">, J.-S., Innis, R.B., Cheng, K., Rice, K.C., Deschamps, J.R., </w:t>
      </w:r>
      <w:proofErr w:type="spellStart"/>
      <w:r w:rsidRPr="009B565D">
        <w:rPr>
          <w:rFonts w:ascii="Times New Roman" w:hAnsi="Times New Roman" w:cs="Times New Roman"/>
          <w:lang w:val="en-GB"/>
        </w:rPr>
        <w:t>Chorvat</w:t>
      </w:r>
      <w:proofErr w:type="spellEnd"/>
      <w:r w:rsidRPr="009B565D">
        <w:rPr>
          <w:rFonts w:ascii="Times New Roman" w:hAnsi="Times New Roman" w:cs="Times New Roman"/>
          <w:lang w:val="en-GB"/>
        </w:rPr>
        <w:t xml:space="preserve">, R.J., McElroy, J.F., </w:t>
      </w:r>
      <w:proofErr w:type="spellStart"/>
      <w:r w:rsidRPr="009B565D">
        <w:rPr>
          <w:rFonts w:ascii="Times New Roman" w:hAnsi="Times New Roman" w:cs="Times New Roman"/>
          <w:lang w:val="en-GB"/>
        </w:rPr>
        <w:t>Kunos</w:t>
      </w:r>
      <w:proofErr w:type="spellEnd"/>
      <w:r w:rsidRPr="009B565D">
        <w:rPr>
          <w:rFonts w:ascii="Times New Roman" w:hAnsi="Times New Roman" w:cs="Times New Roman"/>
          <w:lang w:val="en-GB"/>
        </w:rPr>
        <w:t xml:space="preserve">, G., 2012. Peripheral Cannabinoid-1 Receptor Inverse Agonism Reduces Obesity by Reversing Leptin Resistance. </w:t>
      </w:r>
      <w:r w:rsidRPr="008178CC">
        <w:rPr>
          <w:rFonts w:ascii="Times New Roman" w:hAnsi="Times New Roman" w:cs="Times New Roman"/>
          <w:lang w:val="de-DE"/>
        </w:rPr>
        <w:t>Cell Metab. 16, 167–179. https://doi.org/10.1016/J.CMET.2012.07.002</w:t>
      </w:r>
    </w:p>
    <w:p w14:paraId="442506A1" w14:textId="77777777" w:rsidR="009B565D" w:rsidRPr="009B565D" w:rsidRDefault="009B565D" w:rsidP="009B565D">
      <w:pPr>
        <w:ind w:left="426" w:hanging="426"/>
        <w:jc w:val="both"/>
        <w:rPr>
          <w:rFonts w:ascii="Times New Roman" w:hAnsi="Times New Roman" w:cs="Times New Roman"/>
          <w:lang w:val="en-GB"/>
        </w:rPr>
      </w:pPr>
      <w:r w:rsidRPr="008178CC">
        <w:rPr>
          <w:rFonts w:ascii="Times New Roman" w:hAnsi="Times New Roman" w:cs="Times New Roman"/>
          <w:lang w:val="de-DE"/>
        </w:rPr>
        <w:t xml:space="preserve">Tepper, M.A., Zurier, R.B., Burstein, S.H., 2014. </w:t>
      </w:r>
      <w:r w:rsidRPr="009B565D">
        <w:rPr>
          <w:rFonts w:ascii="Times New Roman" w:hAnsi="Times New Roman" w:cs="Times New Roman"/>
          <w:lang w:val="en-GB"/>
        </w:rPr>
        <w:t xml:space="preserve">Ultrapure </w:t>
      </w:r>
      <w:proofErr w:type="spellStart"/>
      <w:r w:rsidRPr="009B565D">
        <w:rPr>
          <w:rFonts w:ascii="Times New Roman" w:hAnsi="Times New Roman" w:cs="Times New Roman"/>
          <w:lang w:val="en-GB"/>
        </w:rPr>
        <w:t>ajulemic</w:t>
      </w:r>
      <w:proofErr w:type="spellEnd"/>
      <w:r w:rsidRPr="009B565D">
        <w:rPr>
          <w:rFonts w:ascii="Times New Roman" w:hAnsi="Times New Roman" w:cs="Times New Roman"/>
          <w:lang w:val="en-GB"/>
        </w:rPr>
        <w:t xml:space="preserve"> acid has improved CB2 selectivity with reduced CB1 activity. </w:t>
      </w:r>
      <w:proofErr w:type="spellStart"/>
      <w:r w:rsidRPr="009B565D">
        <w:rPr>
          <w:rFonts w:ascii="Times New Roman" w:hAnsi="Times New Roman" w:cs="Times New Roman"/>
          <w:lang w:val="en-GB"/>
        </w:rPr>
        <w:t>Bioorg</w:t>
      </w:r>
      <w:proofErr w:type="spellEnd"/>
      <w:r w:rsidRPr="009B565D">
        <w:rPr>
          <w:rFonts w:ascii="Times New Roman" w:hAnsi="Times New Roman" w:cs="Times New Roman"/>
          <w:lang w:val="en-GB"/>
        </w:rPr>
        <w:t>. Med. Chem. 22, 3245–3251. https://doi.org/10.1016/j.bmc.2014.04.062</w:t>
      </w:r>
    </w:p>
    <w:p w14:paraId="5B7C30CB"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Yang, Z., Aubrey, K.R., </w:t>
      </w:r>
      <w:proofErr w:type="spellStart"/>
      <w:r w:rsidRPr="009B565D">
        <w:rPr>
          <w:rFonts w:ascii="Times New Roman" w:hAnsi="Times New Roman" w:cs="Times New Roman"/>
          <w:lang w:val="en-GB"/>
        </w:rPr>
        <w:t>Alroy</w:t>
      </w:r>
      <w:proofErr w:type="spellEnd"/>
      <w:r w:rsidRPr="009B565D">
        <w:rPr>
          <w:rFonts w:ascii="Times New Roman" w:hAnsi="Times New Roman" w:cs="Times New Roman"/>
          <w:lang w:val="en-GB"/>
        </w:rPr>
        <w:t>, I., Harvey, R.J., Vandenberg, R.J., Lynch, J.W., 2008. Subunit-specific modulation of glycine receptors by cannabinoids and N-</w:t>
      </w:r>
      <w:proofErr w:type="spellStart"/>
      <w:r w:rsidRPr="009B565D">
        <w:rPr>
          <w:rFonts w:ascii="Times New Roman" w:hAnsi="Times New Roman" w:cs="Times New Roman"/>
          <w:lang w:val="en-GB"/>
        </w:rPr>
        <w:t>arachidonyl</w:t>
      </w:r>
      <w:proofErr w:type="spellEnd"/>
      <w:r w:rsidRPr="009B565D">
        <w:rPr>
          <w:rFonts w:ascii="Times New Roman" w:hAnsi="Times New Roman" w:cs="Times New Roman"/>
          <w:lang w:val="en-GB"/>
        </w:rPr>
        <w:t xml:space="preserve">-glycine. </w:t>
      </w:r>
      <w:proofErr w:type="spellStart"/>
      <w:r w:rsidRPr="009B565D">
        <w:rPr>
          <w:rFonts w:ascii="Times New Roman" w:hAnsi="Times New Roman" w:cs="Times New Roman"/>
          <w:lang w:val="en-GB"/>
        </w:rPr>
        <w:t>Biochem</w:t>
      </w:r>
      <w:proofErr w:type="spellEnd"/>
      <w:r w:rsidRPr="009B565D">
        <w:rPr>
          <w:rFonts w:ascii="Times New Roman" w:hAnsi="Times New Roman" w:cs="Times New Roman"/>
          <w:lang w:val="en-GB"/>
        </w:rPr>
        <w:t xml:space="preserve">. </w:t>
      </w:r>
      <w:proofErr w:type="spellStart"/>
      <w:r w:rsidRPr="009B565D">
        <w:rPr>
          <w:rFonts w:ascii="Times New Roman" w:hAnsi="Times New Roman" w:cs="Times New Roman"/>
          <w:lang w:val="en-GB"/>
        </w:rPr>
        <w:t>Pharmacol</w:t>
      </w:r>
      <w:proofErr w:type="spellEnd"/>
      <w:r w:rsidRPr="009B565D">
        <w:rPr>
          <w:rFonts w:ascii="Times New Roman" w:hAnsi="Times New Roman" w:cs="Times New Roman"/>
          <w:lang w:val="en-GB"/>
        </w:rPr>
        <w:t>. 76, 1014–1023. https://doi.org/10.1016/j.bcp.2008.07.037</w:t>
      </w:r>
    </w:p>
    <w:p w14:paraId="4668C193" w14:textId="77777777"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Zhou, L., Zhou, S., Yang, P., Tian, Y., Feng, Z., </w:t>
      </w:r>
      <w:proofErr w:type="spellStart"/>
      <w:r w:rsidRPr="009B565D">
        <w:rPr>
          <w:rFonts w:ascii="Times New Roman" w:hAnsi="Times New Roman" w:cs="Times New Roman"/>
          <w:lang w:val="en-GB"/>
        </w:rPr>
        <w:t>Xie</w:t>
      </w:r>
      <w:proofErr w:type="spellEnd"/>
      <w:r w:rsidRPr="009B565D">
        <w:rPr>
          <w:rFonts w:ascii="Times New Roman" w:hAnsi="Times New Roman" w:cs="Times New Roman"/>
          <w:lang w:val="en-GB"/>
        </w:rPr>
        <w:t>, X.-Q., Liu, Y., 2018. Targeted inhibition of the type 2 cannabinoid receptor is a novel approach to reduce renal fibrosis. Kidney Int. 94, 756–772. https://doi.org/10.1016/j.kint.2018.05.023</w:t>
      </w:r>
    </w:p>
    <w:p w14:paraId="41070C27" w14:textId="466A17F9" w:rsidR="009B565D" w:rsidRPr="009B565D" w:rsidRDefault="009B565D" w:rsidP="009B565D">
      <w:pPr>
        <w:ind w:left="426" w:hanging="426"/>
        <w:jc w:val="both"/>
        <w:rPr>
          <w:rFonts w:ascii="Times New Roman" w:hAnsi="Times New Roman" w:cs="Times New Roman"/>
          <w:lang w:val="en-GB"/>
        </w:rPr>
      </w:pPr>
      <w:r w:rsidRPr="009B565D">
        <w:rPr>
          <w:rFonts w:ascii="Times New Roman" w:hAnsi="Times New Roman" w:cs="Times New Roman"/>
          <w:lang w:val="en-GB"/>
        </w:rPr>
        <w:t xml:space="preserve">Zygmunt, P.M., Andersson, D.A., </w:t>
      </w:r>
      <w:proofErr w:type="spellStart"/>
      <w:r w:rsidRPr="009B565D">
        <w:rPr>
          <w:rFonts w:ascii="Times New Roman" w:hAnsi="Times New Roman" w:cs="Times New Roman"/>
          <w:lang w:val="en-GB"/>
        </w:rPr>
        <w:t>Hogestatt</w:t>
      </w:r>
      <w:proofErr w:type="spellEnd"/>
      <w:r w:rsidRPr="009B565D">
        <w:rPr>
          <w:rFonts w:ascii="Times New Roman" w:hAnsi="Times New Roman" w:cs="Times New Roman"/>
          <w:lang w:val="en-GB"/>
        </w:rPr>
        <w:t xml:space="preserve">, E.D., 2002. Delta 9-tetrahydrocannabinol and cannabinol activate capsaicin-sensitive sensory nerves via a CB1 and CB2 cannabinoid receptor-independent mechanism. J. </w:t>
      </w:r>
      <w:proofErr w:type="spellStart"/>
      <w:r w:rsidRPr="009B565D">
        <w:rPr>
          <w:rFonts w:ascii="Times New Roman" w:hAnsi="Times New Roman" w:cs="Times New Roman"/>
          <w:lang w:val="en-GB"/>
        </w:rPr>
        <w:t>Neurosci</w:t>
      </w:r>
      <w:proofErr w:type="spellEnd"/>
      <w:r w:rsidRPr="009B565D">
        <w:rPr>
          <w:rFonts w:ascii="Times New Roman" w:hAnsi="Times New Roman" w:cs="Times New Roman"/>
          <w:lang w:val="en-GB"/>
        </w:rPr>
        <w:t>. 22, 4720–7. https://doi.org/20026430</w:t>
      </w:r>
    </w:p>
    <w:p w14:paraId="22B32CF9" w14:textId="6DAA35FF" w:rsidR="00716F1D" w:rsidRPr="00DE7555" w:rsidRDefault="00716F1D" w:rsidP="007B5EE8">
      <w:pPr>
        <w:jc w:val="both"/>
        <w:rPr>
          <w:rFonts w:ascii="Times New Roman" w:hAnsi="Times New Roman" w:cs="Times New Roman"/>
          <w:lang w:val="en-GB"/>
        </w:rPr>
      </w:pPr>
    </w:p>
    <w:sectPr w:rsidR="00716F1D" w:rsidRPr="00DE7555" w:rsidSect="006A0916">
      <w:footerReference w:type="even" r:id="rId8"/>
      <w:footerReference w:type="default" r:id="rId9"/>
      <w:pgSz w:w="16817" w:h="11901" w:orient="landscape"/>
      <w:pgMar w:top="1134" w:right="1134" w:bottom="1134" w:left="1134"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362FA1" w14:textId="77777777" w:rsidR="00842386" w:rsidRDefault="00842386" w:rsidP="00E5612A">
      <w:r>
        <w:separator/>
      </w:r>
    </w:p>
  </w:endnote>
  <w:endnote w:type="continuationSeparator" w:id="0">
    <w:p w14:paraId="24A8213F" w14:textId="77777777" w:rsidR="00842386" w:rsidRDefault="00842386" w:rsidP="00E56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auto"/>
    <w:pitch w:val="variable"/>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89CF3" w14:textId="77777777" w:rsidR="00E5612A" w:rsidRDefault="00E5612A" w:rsidP="00E5612A">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DC5F80" w14:textId="77777777" w:rsidR="00E5612A" w:rsidRDefault="00E561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68BF2" w14:textId="77777777" w:rsidR="00E5612A" w:rsidRPr="00E5612A" w:rsidRDefault="00E5612A" w:rsidP="00E5612A">
    <w:pPr>
      <w:pStyle w:val="Footer"/>
      <w:framePr w:wrap="none" w:vAnchor="text" w:hAnchor="margin" w:xAlign="center" w:y="1"/>
      <w:rPr>
        <w:rStyle w:val="PageNumber"/>
        <w:rFonts w:ascii="Times New Roman" w:hAnsi="Times New Roman" w:cs="Times New Roman"/>
      </w:rPr>
    </w:pPr>
    <w:r w:rsidRPr="00E5612A">
      <w:rPr>
        <w:rStyle w:val="PageNumber"/>
        <w:rFonts w:ascii="Times New Roman" w:hAnsi="Times New Roman" w:cs="Times New Roman"/>
      </w:rPr>
      <w:fldChar w:fldCharType="begin"/>
    </w:r>
    <w:r w:rsidRPr="00E5612A">
      <w:rPr>
        <w:rStyle w:val="PageNumber"/>
        <w:rFonts w:ascii="Times New Roman" w:hAnsi="Times New Roman" w:cs="Times New Roman"/>
      </w:rPr>
      <w:instrText xml:space="preserve">PAGE  </w:instrText>
    </w:r>
    <w:r w:rsidRPr="00E5612A">
      <w:rPr>
        <w:rStyle w:val="PageNumber"/>
        <w:rFonts w:ascii="Times New Roman" w:hAnsi="Times New Roman" w:cs="Times New Roman"/>
      </w:rPr>
      <w:fldChar w:fldCharType="separate"/>
    </w:r>
    <w:r w:rsidR="0003261D">
      <w:rPr>
        <w:rStyle w:val="PageNumber"/>
        <w:rFonts w:ascii="Times New Roman" w:hAnsi="Times New Roman" w:cs="Times New Roman"/>
        <w:noProof/>
      </w:rPr>
      <w:t>16</w:t>
    </w:r>
    <w:r w:rsidRPr="00E5612A">
      <w:rPr>
        <w:rStyle w:val="PageNumber"/>
        <w:rFonts w:ascii="Times New Roman" w:hAnsi="Times New Roman" w:cs="Times New Roman"/>
      </w:rPr>
      <w:fldChar w:fldCharType="end"/>
    </w:r>
  </w:p>
  <w:p w14:paraId="4335637D" w14:textId="77777777" w:rsidR="00E5612A" w:rsidRDefault="00E56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E2371F" w14:textId="77777777" w:rsidR="00842386" w:rsidRDefault="00842386" w:rsidP="00E5612A">
      <w:r>
        <w:separator/>
      </w:r>
    </w:p>
  </w:footnote>
  <w:footnote w:type="continuationSeparator" w:id="0">
    <w:p w14:paraId="061DFCE5" w14:textId="77777777" w:rsidR="00842386" w:rsidRDefault="00842386" w:rsidP="00E56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CA5392"/>
    <w:multiLevelType w:val="multilevel"/>
    <w:tmpl w:val="7BAC0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396694"/>
    <w:multiLevelType w:val="multilevel"/>
    <w:tmpl w:val="EC7E3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AD540F"/>
    <w:multiLevelType w:val="multilevel"/>
    <w:tmpl w:val="072C5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56F1E4C"/>
    <w:multiLevelType w:val="multilevel"/>
    <w:tmpl w:val="F2C2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7647"/>
    <w:rsid w:val="00016E46"/>
    <w:rsid w:val="00020D59"/>
    <w:rsid w:val="000251A9"/>
    <w:rsid w:val="00026B61"/>
    <w:rsid w:val="000323BD"/>
    <w:rsid w:val="0003261D"/>
    <w:rsid w:val="00034EC6"/>
    <w:rsid w:val="00040208"/>
    <w:rsid w:val="00043312"/>
    <w:rsid w:val="0005224F"/>
    <w:rsid w:val="00053C97"/>
    <w:rsid w:val="00061BC8"/>
    <w:rsid w:val="000676EF"/>
    <w:rsid w:val="00075745"/>
    <w:rsid w:val="00077DFA"/>
    <w:rsid w:val="00081B2F"/>
    <w:rsid w:val="000873A6"/>
    <w:rsid w:val="000A05E8"/>
    <w:rsid w:val="000B22DB"/>
    <w:rsid w:val="000C4C04"/>
    <w:rsid w:val="000C4F42"/>
    <w:rsid w:val="000D7FD1"/>
    <w:rsid w:val="000E2150"/>
    <w:rsid w:val="000F1720"/>
    <w:rsid w:val="000F2D89"/>
    <w:rsid w:val="001136B4"/>
    <w:rsid w:val="00115896"/>
    <w:rsid w:val="00131673"/>
    <w:rsid w:val="001351E7"/>
    <w:rsid w:val="0013529E"/>
    <w:rsid w:val="001354B5"/>
    <w:rsid w:val="00140E50"/>
    <w:rsid w:val="00144BF3"/>
    <w:rsid w:val="001452FB"/>
    <w:rsid w:val="001505F2"/>
    <w:rsid w:val="0015477E"/>
    <w:rsid w:val="00173368"/>
    <w:rsid w:val="001770AF"/>
    <w:rsid w:val="00180E13"/>
    <w:rsid w:val="001819CB"/>
    <w:rsid w:val="00184C0A"/>
    <w:rsid w:val="00184CF9"/>
    <w:rsid w:val="00193DBC"/>
    <w:rsid w:val="00195B76"/>
    <w:rsid w:val="00196204"/>
    <w:rsid w:val="001A6A66"/>
    <w:rsid w:val="001A6D68"/>
    <w:rsid w:val="001B0884"/>
    <w:rsid w:val="001B26C7"/>
    <w:rsid w:val="001B3CC3"/>
    <w:rsid w:val="001C574C"/>
    <w:rsid w:val="00202C3E"/>
    <w:rsid w:val="002073DA"/>
    <w:rsid w:val="00214155"/>
    <w:rsid w:val="00216524"/>
    <w:rsid w:val="00220928"/>
    <w:rsid w:val="00224323"/>
    <w:rsid w:val="002245F3"/>
    <w:rsid w:val="002265DF"/>
    <w:rsid w:val="00230FD4"/>
    <w:rsid w:val="0023162A"/>
    <w:rsid w:val="00235F76"/>
    <w:rsid w:val="002364F5"/>
    <w:rsid w:val="00242894"/>
    <w:rsid w:val="00246E3E"/>
    <w:rsid w:val="00247F43"/>
    <w:rsid w:val="00250691"/>
    <w:rsid w:val="00252D71"/>
    <w:rsid w:val="00263A6F"/>
    <w:rsid w:val="00283D9A"/>
    <w:rsid w:val="002928EB"/>
    <w:rsid w:val="002944F5"/>
    <w:rsid w:val="002B2187"/>
    <w:rsid w:val="002B5B0A"/>
    <w:rsid w:val="002D6442"/>
    <w:rsid w:val="002D6610"/>
    <w:rsid w:val="002D69FC"/>
    <w:rsid w:val="002E19D0"/>
    <w:rsid w:val="002E2822"/>
    <w:rsid w:val="002F177E"/>
    <w:rsid w:val="002F49B7"/>
    <w:rsid w:val="002F4C72"/>
    <w:rsid w:val="00303282"/>
    <w:rsid w:val="00310DA9"/>
    <w:rsid w:val="00312926"/>
    <w:rsid w:val="00312B94"/>
    <w:rsid w:val="003237E2"/>
    <w:rsid w:val="0032754A"/>
    <w:rsid w:val="00335294"/>
    <w:rsid w:val="0035757A"/>
    <w:rsid w:val="00363197"/>
    <w:rsid w:val="003672BE"/>
    <w:rsid w:val="00367903"/>
    <w:rsid w:val="00370E34"/>
    <w:rsid w:val="003727BB"/>
    <w:rsid w:val="00376C19"/>
    <w:rsid w:val="003828D9"/>
    <w:rsid w:val="00382D7F"/>
    <w:rsid w:val="003904BE"/>
    <w:rsid w:val="003A4256"/>
    <w:rsid w:val="003B13D5"/>
    <w:rsid w:val="003C4AD0"/>
    <w:rsid w:val="003D10F8"/>
    <w:rsid w:val="003D1ABC"/>
    <w:rsid w:val="003E6536"/>
    <w:rsid w:val="003F4FD5"/>
    <w:rsid w:val="00402F7B"/>
    <w:rsid w:val="00405BA1"/>
    <w:rsid w:val="004179DC"/>
    <w:rsid w:val="00432D58"/>
    <w:rsid w:val="0043436D"/>
    <w:rsid w:val="00435E54"/>
    <w:rsid w:val="00440080"/>
    <w:rsid w:val="004432F6"/>
    <w:rsid w:val="00461AD3"/>
    <w:rsid w:val="00461B10"/>
    <w:rsid w:val="00464E90"/>
    <w:rsid w:val="0046553E"/>
    <w:rsid w:val="00467E4C"/>
    <w:rsid w:val="004872A6"/>
    <w:rsid w:val="004A15F3"/>
    <w:rsid w:val="004A3175"/>
    <w:rsid w:val="004B0ADC"/>
    <w:rsid w:val="004B174B"/>
    <w:rsid w:val="004B43A2"/>
    <w:rsid w:val="004B4E92"/>
    <w:rsid w:val="004E0025"/>
    <w:rsid w:val="004E5D23"/>
    <w:rsid w:val="004E7BF1"/>
    <w:rsid w:val="004F230F"/>
    <w:rsid w:val="004F3B6F"/>
    <w:rsid w:val="004F7186"/>
    <w:rsid w:val="004F7A49"/>
    <w:rsid w:val="00502874"/>
    <w:rsid w:val="005201C0"/>
    <w:rsid w:val="005275DA"/>
    <w:rsid w:val="0053033A"/>
    <w:rsid w:val="005323B9"/>
    <w:rsid w:val="0053575D"/>
    <w:rsid w:val="00536F16"/>
    <w:rsid w:val="00551572"/>
    <w:rsid w:val="00554850"/>
    <w:rsid w:val="0055684F"/>
    <w:rsid w:val="005619BB"/>
    <w:rsid w:val="005623DD"/>
    <w:rsid w:val="0058270E"/>
    <w:rsid w:val="00583422"/>
    <w:rsid w:val="00591B5C"/>
    <w:rsid w:val="00592C3D"/>
    <w:rsid w:val="00594D21"/>
    <w:rsid w:val="00597619"/>
    <w:rsid w:val="005A527F"/>
    <w:rsid w:val="005B4565"/>
    <w:rsid w:val="005D411F"/>
    <w:rsid w:val="005D4200"/>
    <w:rsid w:val="005D75C4"/>
    <w:rsid w:val="005E3945"/>
    <w:rsid w:val="005E40FB"/>
    <w:rsid w:val="005F58B4"/>
    <w:rsid w:val="005F7F2E"/>
    <w:rsid w:val="00603A85"/>
    <w:rsid w:val="00606372"/>
    <w:rsid w:val="0062450F"/>
    <w:rsid w:val="006311C6"/>
    <w:rsid w:val="006359DB"/>
    <w:rsid w:val="00642B8B"/>
    <w:rsid w:val="00647AAC"/>
    <w:rsid w:val="00647E85"/>
    <w:rsid w:val="00652A18"/>
    <w:rsid w:val="006544DA"/>
    <w:rsid w:val="00654619"/>
    <w:rsid w:val="00654F61"/>
    <w:rsid w:val="00660265"/>
    <w:rsid w:val="00664FED"/>
    <w:rsid w:val="00670130"/>
    <w:rsid w:val="00670F04"/>
    <w:rsid w:val="0067256F"/>
    <w:rsid w:val="00674B62"/>
    <w:rsid w:val="00687B93"/>
    <w:rsid w:val="00691167"/>
    <w:rsid w:val="00691A45"/>
    <w:rsid w:val="00695CF2"/>
    <w:rsid w:val="006A0916"/>
    <w:rsid w:val="006A58CB"/>
    <w:rsid w:val="006B1B49"/>
    <w:rsid w:val="006B2149"/>
    <w:rsid w:val="006D70AF"/>
    <w:rsid w:val="006E05A3"/>
    <w:rsid w:val="00706F46"/>
    <w:rsid w:val="007070E3"/>
    <w:rsid w:val="00715486"/>
    <w:rsid w:val="00716F1D"/>
    <w:rsid w:val="007176F2"/>
    <w:rsid w:val="00724E70"/>
    <w:rsid w:val="00734164"/>
    <w:rsid w:val="00740238"/>
    <w:rsid w:val="00764A71"/>
    <w:rsid w:val="00773070"/>
    <w:rsid w:val="007740A7"/>
    <w:rsid w:val="00784E6A"/>
    <w:rsid w:val="007861ED"/>
    <w:rsid w:val="00794232"/>
    <w:rsid w:val="007A0C91"/>
    <w:rsid w:val="007A7884"/>
    <w:rsid w:val="007B1E95"/>
    <w:rsid w:val="007B5EE8"/>
    <w:rsid w:val="007C182B"/>
    <w:rsid w:val="007D3909"/>
    <w:rsid w:val="007E4C9C"/>
    <w:rsid w:val="007E5A0D"/>
    <w:rsid w:val="007E6A65"/>
    <w:rsid w:val="007F079C"/>
    <w:rsid w:val="007F1037"/>
    <w:rsid w:val="00803739"/>
    <w:rsid w:val="008178CC"/>
    <w:rsid w:val="00823B99"/>
    <w:rsid w:val="0082484E"/>
    <w:rsid w:val="0083641B"/>
    <w:rsid w:val="00836559"/>
    <w:rsid w:val="00842386"/>
    <w:rsid w:val="00846B4E"/>
    <w:rsid w:val="00851E7E"/>
    <w:rsid w:val="00861719"/>
    <w:rsid w:val="0086627D"/>
    <w:rsid w:val="00874346"/>
    <w:rsid w:val="0087436C"/>
    <w:rsid w:val="00883213"/>
    <w:rsid w:val="0089149B"/>
    <w:rsid w:val="00896CBF"/>
    <w:rsid w:val="00897AC1"/>
    <w:rsid w:val="008A670E"/>
    <w:rsid w:val="008C1260"/>
    <w:rsid w:val="008C7879"/>
    <w:rsid w:val="008D7F09"/>
    <w:rsid w:val="008E03B4"/>
    <w:rsid w:val="008E28F8"/>
    <w:rsid w:val="008E4011"/>
    <w:rsid w:val="00906796"/>
    <w:rsid w:val="00910130"/>
    <w:rsid w:val="0091372E"/>
    <w:rsid w:val="00914525"/>
    <w:rsid w:val="00927BAB"/>
    <w:rsid w:val="009331CE"/>
    <w:rsid w:val="009352D7"/>
    <w:rsid w:val="0094439F"/>
    <w:rsid w:val="009458D0"/>
    <w:rsid w:val="0095256C"/>
    <w:rsid w:val="00956A22"/>
    <w:rsid w:val="0096046F"/>
    <w:rsid w:val="009642AD"/>
    <w:rsid w:val="00965312"/>
    <w:rsid w:val="00965C48"/>
    <w:rsid w:val="00965CBB"/>
    <w:rsid w:val="00973281"/>
    <w:rsid w:val="0097489C"/>
    <w:rsid w:val="00974EB6"/>
    <w:rsid w:val="0097676B"/>
    <w:rsid w:val="00985C3B"/>
    <w:rsid w:val="009A0F9F"/>
    <w:rsid w:val="009B565D"/>
    <w:rsid w:val="009C538E"/>
    <w:rsid w:val="009E0DBC"/>
    <w:rsid w:val="009E18B0"/>
    <w:rsid w:val="009E4555"/>
    <w:rsid w:val="009E5350"/>
    <w:rsid w:val="009F1EF0"/>
    <w:rsid w:val="009F6D32"/>
    <w:rsid w:val="00A0300E"/>
    <w:rsid w:val="00A12605"/>
    <w:rsid w:val="00A2739E"/>
    <w:rsid w:val="00A3011B"/>
    <w:rsid w:val="00A32F2A"/>
    <w:rsid w:val="00A341DB"/>
    <w:rsid w:val="00A416C4"/>
    <w:rsid w:val="00A51876"/>
    <w:rsid w:val="00A559FF"/>
    <w:rsid w:val="00A615D5"/>
    <w:rsid w:val="00A66DFB"/>
    <w:rsid w:val="00A725F2"/>
    <w:rsid w:val="00A73C53"/>
    <w:rsid w:val="00AA08B8"/>
    <w:rsid w:val="00AA13EC"/>
    <w:rsid w:val="00AB34AA"/>
    <w:rsid w:val="00AB4534"/>
    <w:rsid w:val="00AC3C74"/>
    <w:rsid w:val="00AD2588"/>
    <w:rsid w:val="00AD72BC"/>
    <w:rsid w:val="00AF1318"/>
    <w:rsid w:val="00B02664"/>
    <w:rsid w:val="00B10ADA"/>
    <w:rsid w:val="00B22B8F"/>
    <w:rsid w:val="00B33DDE"/>
    <w:rsid w:val="00B50D0C"/>
    <w:rsid w:val="00B558EE"/>
    <w:rsid w:val="00B57667"/>
    <w:rsid w:val="00B60114"/>
    <w:rsid w:val="00B63BA7"/>
    <w:rsid w:val="00B72565"/>
    <w:rsid w:val="00B750C0"/>
    <w:rsid w:val="00B776B0"/>
    <w:rsid w:val="00B804C2"/>
    <w:rsid w:val="00B825C5"/>
    <w:rsid w:val="00B845CD"/>
    <w:rsid w:val="00B93DE7"/>
    <w:rsid w:val="00B947E8"/>
    <w:rsid w:val="00B94C99"/>
    <w:rsid w:val="00BA0378"/>
    <w:rsid w:val="00BB43DB"/>
    <w:rsid w:val="00BB7384"/>
    <w:rsid w:val="00BC0A9A"/>
    <w:rsid w:val="00BC58A5"/>
    <w:rsid w:val="00BD125B"/>
    <w:rsid w:val="00BD3C89"/>
    <w:rsid w:val="00BD5328"/>
    <w:rsid w:val="00BD74E2"/>
    <w:rsid w:val="00BE3B3C"/>
    <w:rsid w:val="00BF021E"/>
    <w:rsid w:val="00C00333"/>
    <w:rsid w:val="00C05621"/>
    <w:rsid w:val="00C11875"/>
    <w:rsid w:val="00C17067"/>
    <w:rsid w:val="00C3427D"/>
    <w:rsid w:val="00C43466"/>
    <w:rsid w:val="00C45488"/>
    <w:rsid w:val="00C51C3C"/>
    <w:rsid w:val="00C5607E"/>
    <w:rsid w:val="00C6390C"/>
    <w:rsid w:val="00C654DB"/>
    <w:rsid w:val="00C70F18"/>
    <w:rsid w:val="00C86175"/>
    <w:rsid w:val="00C9517D"/>
    <w:rsid w:val="00CA363A"/>
    <w:rsid w:val="00CA6BE7"/>
    <w:rsid w:val="00CC0A23"/>
    <w:rsid w:val="00CD1AEF"/>
    <w:rsid w:val="00CD1E28"/>
    <w:rsid w:val="00CE080A"/>
    <w:rsid w:val="00CE3EDB"/>
    <w:rsid w:val="00CE3FD2"/>
    <w:rsid w:val="00CF4648"/>
    <w:rsid w:val="00CF662D"/>
    <w:rsid w:val="00D05CB1"/>
    <w:rsid w:val="00D17C65"/>
    <w:rsid w:val="00D2004E"/>
    <w:rsid w:val="00D2139B"/>
    <w:rsid w:val="00D22DD3"/>
    <w:rsid w:val="00D31A6E"/>
    <w:rsid w:val="00D36E95"/>
    <w:rsid w:val="00D37689"/>
    <w:rsid w:val="00D47399"/>
    <w:rsid w:val="00D52FA6"/>
    <w:rsid w:val="00D6041B"/>
    <w:rsid w:val="00D610DE"/>
    <w:rsid w:val="00D722B7"/>
    <w:rsid w:val="00D7433E"/>
    <w:rsid w:val="00D815ED"/>
    <w:rsid w:val="00D862BB"/>
    <w:rsid w:val="00D954B8"/>
    <w:rsid w:val="00DB74A2"/>
    <w:rsid w:val="00DB78AE"/>
    <w:rsid w:val="00DD0488"/>
    <w:rsid w:val="00DD15B6"/>
    <w:rsid w:val="00DD23E0"/>
    <w:rsid w:val="00DD42C3"/>
    <w:rsid w:val="00DD67D2"/>
    <w:rsid w:val="00DE7555"/>
    <w:rsid w:val="00DE78D0"/>
    <w:rsid w:val="00DF0284"/>
    <w:rsid w:val="00DF7647"/>
    <w:rsid w:val="00E203E1"/>
    <w:rsid w:val="00E243E6"/>
    <w:rsid w:val="00E33EE5"/>
    <w:rsid w:val="00E40F3B"/>
    <w:rsid w:val="00E45231"/>
    <w:rsid w:val="00E456A2"/>
    <w:rsid w:val="00E53E4C"/>
    <w:rsid w:val="00E5612A"/>
    <w:rsid w:val="00E562BF"/>
    <w:rsid w:val="00E605B5"/>
    <w:rsid w:val="00E63AED"/>
    <w:rsid w:val="00E701A7"/>
    <w:rsid w:val="00E71141"/>
    <w:rsid w:val="00E81131"/>
    <w:rsid w:val="00E901AB"/>
    <w:rsid w:val="00E93812"/>
    <w:rsid w:val="00E972C0"/>
    <w:rsid w:val="00EA3F6E"/>
    <w:rsid w:val="00EA61FE"/>
    <w:rsid w:val="00EA638C"/>
    <w:rsid w:val="00EB5DCE"/>
    <w:rsid w:val="00EC3AF3"/>
    <w:rsid w:val="00EC51C0"/>
    <w:rsid w:val="00EC5D76"/>
    <w:rsid w:val="00EC7F10"/>
    <w:rsid w:val="00ED0FEB"/>
    <w:rsid w:val="00ED2C8E"/>
    <w:rsid w:val="00ED61BF"/>
    <w:rsid w:val="00ED6F07"/>
    <w:rsid w:val="00EE0117"/>
    <w:rsid w:val="00EE4058"/>
    <w:rsid w:val="00EE4E4A"/>
    <w:rsid w:val="00EE6810"/>
    <w:rsid w:val="00EE709B"/>
    <w:rsid w:val="00EE7DB8"/>
    <w:rsid w:val="00EF1A37"/>
    <w:rsid w:val="00EF7B84"/>
    <w:rsid w:val="00F07A64"/>
    <w:rsid w:val="00F16B4E"/>
    <w:rsid w:val="00F21D2A"/>
    <w:rsid w:val="00F2417F"/>
    <w:rsid w:val="00F36635"/>
    <w:rsid w:val="00F57C7F"/>
    <w:rsid w:val="00F66EE7"/>
    <w:rsid w:val="00F70969"/>
    <w:rsid w:val="00F84F86"/>
    <w:rsid w:val="00F861A7"/>
    <w:rsid w:val="00F93A88"/>
    <w:rsid w:val="00F940B1"/>
    <w:rsid w:val="00F94BE4"/>
    <w:rsid w:val="00FC3C43"/>
    <w:rsid w:val="00FC6306"/>
    <w:rsid w:val="00FC6E78"/>
    <w:rsid w:val="00FC70F5"/>
    <w:rsid w:val="00FC7906"/>
    <w:rsid w:val="00FD6FEA"/>
    <w:rsid w:val="00FE0A61"/>
    <w:rsid w:val="00FE1807"/>
    <w:rsid w:val="00FE32F4"/>
    <w:rsid w:val="00FE377D"/>
    <w:rsid w:val="00FF1FFC"/>
    <w:rsid w:val="00FF568D"/>
    <w:rsid w:val="00FF7C2A"/>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E8DEADF"/>
  <w14:defaultImageDpi w14:val="300"/>
  <w15:docId w15:val="{2AD924A5-0951-4ADA-90A8-B9706BF78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76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96204"/>
    <w:rPr>
      <w:color w:val="0000FF"/>
      <w:u w:val="single"/>
    </w:rPr>
  </w:style>
  <w:style w:type="paragraph" w:styleId="Footer">
    <w:name w:val="footer"/>
    <w:basedOn w:val="Normal"/>
    <w:link w:val="FooterChar"/>
    <w:uiPriority w:val="99"/>
    <w:unhideWhenUsed/>
    <w:rsid w:val="00E5612A"/>
    <w:pPr>
      <w:tabs>
        <w:tab w:val="center" w:pos="4819"/>
        <w:tab w:val="right" w:pos="9638"/>
      </w:tabs>
    </w:pPr>
  </w:style>
  <w:style w:type="character" w:customStyle="1" w:styleId="FooterChar">
    <w:name w:val="Footer Char"/>
    <w:basedOn w:val="DefaultParagraphFont"/>
    <w:link w:val="Footer"/>
    <w:uiPriority w:val="99"/>
    <w:rsid w:val="00E5612A"/>
  </w:style>
  <w:style w:type="character" w:styleId="PageNumber">
    <w:name w:val="page number"/>
    <w:basedOn w:val="DefaultParagraphFont"/>
    <w:uiPriority w:val="99"/>
    <w:semiHidden/>
    <w:unhideWhenUsed/>
    <w:rsid w:val="00E5612A"/>
  </w:style>
  <w:style w:type="paragraph" w:styleId="Header">
    <w:name w:val="header"/>
    <w:basedOn w:val="Normal"/>
    <w:link w:val="HeaderChar"/>
    <w:uiPriority w:val="99"/>
    <w:unhideWhenUsed/>
    <w:rsid w:val="00E5612A"/>
    <w:pPr>
      <w:tabs>
        <w:tab w:val="center" w:pos="4819"/>
        <w:tab w:val="right" w:pos="9638"/>
      </w:tabs>
    </w:pPr>
  </w:style>
  <w:style w:type="character" w:customStyle="1" w:styleId="HeaderChar">
    <w:name w:val="Header Char"/>
    <w:basedOn w:val="DefaultParagraphFont"/>
    <w:link w:val="Header"/>
    <w:uiPriority w:val="99"/>
    <w:rsid w:val="00E56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420675">
      <w:bodyDiv w:val="1"/>
      <w:marLeft w:val="0"/>
      <w:marRight w:val="0"/>
      <w:marTop w:val="0"/>
      <w:marBottom w:val="0"/>
      <w:divBdr>
        <w:top w:val="none" w:sz="0" w:space="0" w:color="auto"/>
        <w:left w:val="none" w:sz="0" w:space="0" w:color="auto"/>
        <w:bottom w:val="none" w:sz="0" w:space="0" w:color="auto"/>
        <w:right w:val="none" w:sz="0" w:space="0" w:color="auto"/>
      </w:divBdr>
    </w:div>
    <w:div w:id="103769581">
      <w:bodyDiv w:val="1"/>
      <w:marLeft w:val="0"/>
      <w:marRight w:val="0"/>
      <w:marTop w:val="0"/>
      <w:marBottom w:val="0"/>
      <w:divBdr>
        <w:top w:val="none" w:sz="0" w:space="0" w:color="auto"/>
        <w:left w:val="none" w:sz="0" w:space="0" w:color="auto"/>
        <w:bottom w:val="none" w:sz="0" w:space="0" w:color="auto"/>
        <w:right w:val="none" w:sz="0" w:space="0" w:color="auto"/>
      </w:divBdr>
      <w:divsChild>
        <w:div w:id="39985867">
          <w:marLeft w:val="0"/>
          <w:marRight w:val="0"/>
          <w:marTop w:val="0"/>
          <w:marBottom w:val="0"/>
          <w:divBdr>
            <w:top w:val="none" w:sz="0" w:space="0" w:color="auto"/>
            <w:left w:val="none" w:sz="0" w:space="0" w:color="auto"/>
            <w:bottom w:val="none" w:sz="0" w:space="0" w:color="auto"/>
            <w:right w:val="none" w:sz="0" w:space="0" w:color="auto"/>
          </w:divBdr>
        </w:div>
        <w:div w:id="901329378">
          <w:marLeft w:val="0"/>
          <w:marRight w:val="0"/>
          <w:marTop w:val="0"/>
          <w:marBottom w:val="0"/>
          <w:divBdr>
            <w:top w:val="none" w:sz="0" w:space="0" w:color="auto"/>
            <w:left w:val="none" w:sz="0" w:space="0" w:color="auto"/>
            <w:bottom w:val="none" w:sz="0" w:space="0" w:color="auto"/>
            <w:right w:val="none" w:sz="0" w:space="0" w:color="auto"/>
          </w:divBdr>
        </w:div>
      </w:divsChild>
    </w:div>
    <w:div w:id="109595043">
      <w:bodyDiv w:val="1"/>
      <w:marLeft w:val="0"/>
      <w:marRight w:val="0"/>
      <w:marTop w:val="0"/>
      <w:marBottom w:val="0"/>
      <w:divBdr>
        <w:top w:val="none" w:sz="0" w:space="0" w:color="auto"/>
        <w:left w:val="none" w:sz="0" w:space="0" w:color="auto"/>
        <w:bottom w:val="none" w:sz="0" w:space="0" w:color="auto"/>
        <w:right w:val="none" w:sz="0" w:space="0" w:color="auto"/>
      </w:divBdr>
    </w:div>
    <w:div w:id="207958032">
      <w:bodyDiv w:val="1"/>
      <w:marLeft w:val="0"/>
      <w:marRight w:val="0"/>
      <w:marTop w:val="0"/>
      <w:marBottom w:val="0"/>
      <w:divBdr>
        <w:top w:val="none" w:sz="0" w:space="0" w:color="auto"/>
        <w:left w:val="none" w:sz="0" w:space="0" w:color="auto"/>
        <w:bottom w:val="none" w:sz="0" w:space="0" w:color="auto"/>
        <w:right w:val="none" w:sz="0" w:space="0" w:color="auto"/>
      </w:divBdr>
    </w:div>
    <w:div w:id="304045921">
      <w:bodyDiv w:val="1"/>
      <w:marLeft w:val="0"/>
      <w:marRight w:val="0"/>
      <w:marTop w:val="0"/>
      <w:marBottom w:val="0"/>
      <w:divBdr>
        <w:top w:val="none" w:sz="0" w:space="0" w:color="auto"/>
        <w:left w:val="none" w:sz="0" w:space="0" w:color="auto"/>
        <w:bottom w:val="none" w:sz="0" w:space="0" w:color="auto"/>
        <w:right w:val="none" w:sz="0" w:space="0" w:color="auto"/>
      </w:divBdr>
    </w:div>
    <w:div w:id="337268923">
      <w:bodyDiv w:val="1"/>
      <w:marLeft w:val="0"/>
      <w:marRight w:val="0"/>
      <w:marTop w:val="0"/>
      <w:marBottom w:val="0"/>
      <w:divBdr>
        <w:top w:val="none" w:sz="0" w:space="0" w:color="auto"/>
        <w:left w:val="none" w:sz="0" w:space="0" w:color="auto"/>
        <w:bottom w:val="none" w:sz="0" w:space="0" w:color="auto"/>
        <w:right w:val="none" w:sz="0" w:space="0" w:color="auto"/>
      </w:divBdr>
    </w:div>
    <w:div w:id="344207721">
      <w:bodyDiv w:val="1"/>
      <w:marLeft w:val="0"/>
      <w:marRight w:val="0"/>
      <w:marTop w:val="0"/>
      <w:marBottom w:val="0"/>
      <w:divBdr>
        <w:top w:val="none" w:sz="0" w:space="0" w:color="auto"/>
        <w:left w:val="none" w:sz="0" w:space="0" w:color="auto"/>
        <w:bottom w:val="none" w:sz="0" w:space="0" w:color="auto"/>
        <w:right w:val="none" w:sz="0" w:space="0" w:color="auto"/>
      </w:divBdr>
    </w:div>
    <w:div w:id="418866739">
      <w:bodyDiv w:val="1"/>
      <w:marLeft w:val="0"/>
      <w:marRight w:val="0"/>
      <w:marTop w:val="0"/>
      <w:marBottom w:val="0"/>
      <w:divBdr>
        <w:top w:val="none" w:sz="0" w:space="0" w:color="auto"/>
        <w:left w:val="none" w:sz="0" w:space="0" w:color="auto"/>
        <w:bottom w:val="none" w:sz="0" w:space="0" w:color="auto"/>
        <w:right w:val="none" w:sz="0" w:space="0" w:color="auto"/>
      </w:divBdr>
    </w:div>
    <w:div w:id="472524463">
      <w:bodyDiv w:val="1"/>
      <w:marLeft w:val="0"/>
      <w:marRight w:val="0"/>
      <w:marTop w:val="0"/>
      <w:marBottom w:val="0"/>
      <w:divBdr>
        <w:top w:val="none" w:sz="0" w:space="0" w:color="auto"/>
        <w:left w:val="none" w:sz="0" w:space="0" w:color="auto"/>
        <w:bottom w:val="none" w:sz="0" w:space="0" w:color="auto"/>
        <w:right w:val="none" w:sz="0" w:space="0" w:color="auto"/>
      </w:divBdr>
    </w:div>
    <w:div w:id="906719406">
      <w:bodyDiv w:val="1"/>
      <w:marLeft w:val="0"/>
      <w:marRight w:val="0"/>
      <w:marTop w:val="0"/>
      <w:marBottom w:val="0"/>
      <w:divBdr>
        <w:top w:val="none" w:sz="0" w:space="0" w:color="auto"/>
        <w:left w:val="none" w:sz="0" w:space="0" w:color="auto"/>
        <w:bottom w:val="none" w:sz="0" w:space="0" w:color="auto"/>
        <w:right w:val="none" w:sz="0" w:space="0" w:color="auto"/>
      </w:divBdr>
    </w:div>
    <w:div w:id="943880703">
      <w:bodyDiv w:val="1"/>
      <w:marLeft w:val="0"/>
      <w:marRight w:val="0"/>
      <w:marTop w:val="0"/>
      <w:marBottom w:val="0"/>
      <w:divBdr>
        <w:top w:val="none" w:sz="0" w:space="0" w:color="auto"/>
        <w:left w:val="none" w:sz="0" w:space="0" w:color="auto"/>
        <w:bottom w:val="none" w:sz="0" w:space="0" w:color="auto"/>
        <w:right w:val="none" w:sz="0" w:space="0" w:color="auto"/>
      </w:divBdr>
    </w:div>
    <w:div w:id="1066219539">
      <w:bodyDiv w:val="1"/>
      <w:marLeft w:val="0"/>
      <w:marRight w:val="0"/>
      <w:marTop w:val="0"/>
      <w:marBottom w:val="0"/>
      <w:divBdr>
        <w:top w:val="none" w:sz="0" w:space="0" w:color="auto"/>
        <w:left w:val="none" w:sz="0" w:space="0" w:color="auto"/>
        <w:bottom w:val="none" w:sz="0" w:space="0" w:color="auto"/>
        <w:right w:val="none" w:sz="0" w:space="0" w:color="auto"/>
      </w:divBdr>
    </w:div>
    <w:div w:id="1116173386">
      <w:bodyDiv w:val="1"/>
      <w:marLeft w:val="0"/>
      <w:marRight w:val="0"/>
      <w:marTop w:val="0"/>
      <w:marBottom w:val="0"/>
      <w:divBdr>
        <w:top w:val="none" w:sz="0" w:space="0" w:color="auto"/>
        <w:left w:val="none" w:sz="0" w:space="0" w:color="auto"/>
        <w:bottom w:val="none" w:sz="0" w:space="0" w:color="auto"/>
        <w:right w:val="none" w:sz="0" w:space="0" w:color="auto"/>
      </w:divBdr>
    </w:div>
    <w:div w:id="1301226067">
      <w:bodyDiv w:val="1"/>
      <w:marLeft w:val="0"/>
      <w:marRight w:val="0"/>
      <w:marTop w:val="0"/>
      <w:marBottom w:val="0"/>
      <w:divBdr>
        <w:top w:val="none" w:sz="0" w:space="0" w:color="auto"/>
        <w:left w:val="none" w:sz="0" w:space="0" w:color="auto"/>
        <w:bottom w:val="none" w:sz="0" w:space="0" w:color="auto"/>
        <w:right w:val="none" w:sz="0" w:space="0" w:color="auto"/>
      </w:divBdr>
    </w:div>
    <w:div w:id="1324973279">
      <w:bodyDiv w:val="1"/>
      <w:marLeft w:val="0"/>
      <w:marRight w:val="0"/>
      <w:marTop w:val="0"/>
      <w:marBottom w:val="0"/>
      <w:divBdr>
        <w:top w:val="none" w:sz="0" w:space="0" w:color="auto"/>
        <w:left w:val="none" w:sz="0" w:space="0" w:color="auto"/>
        <w:bottom w:val="none" w:sz="0" w:space="0" w:color="auto"/>
        <w:right w:val="none" w:sz="0" w:space="0" w:color="auto"/>
      </w:divBdr>
    </w:div>
    <w:div w:id="1346984051">
      <w:bodyDiv w:val="1"/>
      <w:marLeft w:val="0"/>
      <w:marRight w:val="0"/>
      <w:marTop w:val="0"/>
      <w:marBottom w:val="0"/>
      <w:divBdr>
        <w:top w:val="none" w:sz="0" w:space="0" w:color="auto"/>
        <w:left w:val="none" w:sz="0" w:space="0" w:color="auto"/>
        <w:bottom w:val="none" w:sz="0" w:space="0" w:color="auto"/>
        <w:right w:val="none" w:sz="0" w:space="0" w:color="auto"/>
      </w:divBdr>
    </w:div>
    <w:div w:id="1477525143">
      <w:bodyDiv w:val="1"/>
      <w:marLeft w:val="0"/>
      <w:marRight w:val="0"/>
      <w:marTop w:val="0"/>
      <w:marBottom w:val="0"/>
      <w:divBdr>
        <w:top w:val="none" w:sz="0" w:space="0" w:color="auto"/>
        <w:left w:val="none" w:sz="0" w:space="0" w:color="auto"/>
        <w:bottom w:val="none" w:sz="0" w:space="0" w:color="auto"/>
        <w:right w:val="none" w:sz="0" w:space="0" w:color="auto"/>
      </w:divBdr>
    </w:div>
    <w:div w:id="1496074008">
      <w:bodyDiv w:val="1"/>
      <w:marLeft w:val="0"/>
      <w:marRight w:val="0"/>
      <w:marTop w:val="0"/>
      <w:marBottom w:val="0"/>
      <w:divBdr>
        <w:top w:val="none" w:sz="0" w:space="0" w:color="auto"/>
        <w:left w:val="none" w:sz="0" w:space="0" w:color="auto"/>
        <w:bottom w:val="none" w:sz="0" w:space="0" w:color="auto"/>
        <w:right w:val="none" w:sz="0" w:space="0" w:color="auto"/>
      </w:divBdr>
    </w:div>
    <w:div w:id="1655449184">
      <w:bodyDiv w:val="1"/>
      <w:marLeft w:val="0"/>
      <w:marRight w:val="0"/>
      <w:marTop w:val="0"/>
      <w:marBottom w:val="0"/>
      <w:divBdr>
        <w:top w:val="none" w:sz="0" w:space="0" w:color="auto"/>
        <w:left w:val="none" w:sz="0" w:space="0" w:color="auto"/>
        <w:bottom w:val="none" w:sz="0" w:space="0" w:color="auto"/>
        <w:right w:val="none" w:sz="0" w:space="0" w:color="auto"/>
      </w:divBdr>
    </w:div>
    <w:div w:id="1788041507">
      <w:bodyDiv w:val="1"/>
      <w:marLeft w:val="0"/>
      <w:marRight w:val="0"/>
      <w:marTop w:val="0"/>
      <w:marBottom w:val="0"/>
      <w:divBdr>
        <w:top w:val="none" w:sz="0" w:space="0" w:color="auto"/>
        <w:left w:val="none" w:sz="0" w:space="0" w:color="auto"/>
        <w:bottom w:val="none" w:sz="0" w:space="0" w:color="auto"/>
        <w:right w:val="none" w:sz="0" w:space="0" w:color="auto"/>
      </w:divBdr>
    </w:div>
    <w:div w:id="1926644760">
      <w:bodyDiv w:val="1"/>
      <w:marLeft w:val="0"/>
      <w:marRight w:val="0"/>
      <w:marTop w:val="0"/>
      <w:marBottom w:val="0"/>
      <w:divBdr>
        <w:top w:val="none" w:sz="0" w:space="0" w:color="auto"/>
        <w:left w:val="none" w:sz="0" w:space="0" w:color="auto"/>
        <w:bottom w:val="none" w:sz="0" w:space="0" w:color="auto"/>
        <w:right w:val="none" w:sz="0" w:space="0" w:color="auto"/>
      </w:divBdr>
    </w:div>
    <w:div w:id="1993561572">
      <w:bodyDiv w:val="1"/>
      <w:marLeft w:val="0"/>
      <w:marRight w:val="0"/>
      <w:marTop w:val="0"/>
      <w:marBottom w:val="0"/>
      <w:divBdr>
        <w:top w:val="none" w:sz="0" w:space="0" w:color="auto"/>
        <w:left w:val="none" w:sz="0" w:space="0" w:color="auto"/>
        <w:bottom w:val="none" w:sz="0" w:space="0" w:color="auto"/>
        <w:right w:val="none" w:sz="0" w:space="0" w:color="auto"/>
      </w:divBdr>
    </w:div>
    <w:div w:id="2044667284">
      <w:bodyDiv w:val="1"/>
      <w:marLeft w:val="0"/>
      <w:marRight w:val="0"/>
      <w:marTop w:val="0"/>
      <w:marBottom w:val="0"/>
      <w:divBdr>
        <w:top w:val="none" w:sz="0" w:space="0" w:color="auto"/>
        <w:left w:val="none" w:sz="0" w:space="0" w:color="auto"/>
        <w:bottom w:val="none" w:sz="0" w:space="0" w:color="auto"/>
        <w:right w:val="none" w:sz="0" w:space="0" w:color="auto"/>
      </w:divBdr>
    </w:div>
    <w:div w:id="2061198779">
      <w:bodyDiv w:val="1"/>
      <w:marLeft w:val="0"/>
      <w:marRight w:val="0"/>
      <w:marTop w:val="0"/>
      <w:marBottom w:val="0"/>
      <w:divBdr>
        <w:top w:val="none" w:sz="0" w:space="0" w:color="auto"/>
        <w:left w:val="none" w:sz="0" w:space="0" w:color="auto"/>
        <w:bottom w:val="none" w:sz="0" w:space="0" w:color="auto"/>
        <w:right w:val="none" w:sz="0" w:space="0" w:color="auto"/>
      </w:divBdr>
    </w:div>
    <w:div w:id="20851797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0727E-A9CA-FB40-854B-58EC87FE5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62008</Words>
  <Characters>353448</Characters>
  <Application>Microsoft Office Word</Application>
  <DocSecurity>0</DocSecurity>
  <Lines>2945</Lines>
  <Paragraphs>829</Paragraphs>
  <ScaleCrop>false</ScaleCrop>
  <HeadingPairs>
    <vt:vector size="2" baseType="variant">
      <vt:variant>
        <vt:lpstr>Titolo</vt:lpstr>
      </vt:variant>
      <vt:variant>
        <vt:i4>1</vt:i4>
      </vt:variant>
    </vt:vector>
  </HeadingPairs>
  <TitlesOfParts>
    <vt:vector size="1" baseType="lpstr">
      <vt:lpstr/>
    </vt:vector>
  </TitlesOfParts>
  <Company>Università degli Studi dell'Insubria</Company>
  <LinksUpToDate>false</LinksUpToDate>
  <CharactersWithSpaces>414627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Cosentino</dc:creator>
  <cp:keywords/>
  <dc:description/>
  <cp:lastModifiedBy>PP</cp:lastModifiedBy>
  <cp:revision>2</cp:revision>
  <cp:lastPrinted>2019-04-29T16:27:00Z</cp:lastPrinted>
  <dcterms:created xsi:type="dcterms:W3CDTF">2020-09-16T13:23:00Z</dcterms:created>
  <dcterms:modified xsi:type="dcterms:W3CDTF">2020-09-16T13:23:00Z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8f2c6488-ba9d-3fa1-bb64-61767b50acf1</vt:lpwstr>
  </property>
  <property fmtid="{D5CDD505-2E9C-101B-9397-08002B2CF9AE}" pid="4" name="Mendeley Citation Style_1">
    <vt:lpwstr>http://csl.mendeley.com/styles/493033281/ALEXTAB</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http://csl.mendeley.com/styles/493033281/ALEXTAB</vt:lpwstr>
  </property>
  <property fmtid="{D5CDD505-2E9C-101B-9397-08002B2CF9AE}" pid="18" name="Mendeley Recent Style Name 6_1">
    <vt:lpwstr>Elsevier - Harvard (with titles) - Alex Mabou Tagne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http://www.zotero.org/styles/journal-of-ethnopharmacology</vt:lpwstr>
  </property>
  <property fmtid="{D5CDD505-2E9C-101B-9397-08002B2CF9AE}" pid="22" name="Mendeley Recent Style Name 8_1">
    <vt:lpwstr>Journal of Ethnopharmacology</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