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E9E6D" w14:textId="4DEDCC6A" w:rsidR="008478E6" w:rsidRPr="008478E6" w:rsidRDefault="008478E6" w:rsidP="008478E6">
      <w:pPr>
        <w:rPr>
          <w:rFonts w:ascii="Times New Roman" w:hAnsi="Times New Roman" w:cs="Times New Roman"/>
          <w:b/>
          <w:bCs/>
        </w:rPr>
      </w:pPr>
      <w:proofErr w:type="spellStart"/>
      <w:r w:rsidRPr="008478E6">
        <w:rPr>
          <w:rFonts w:ascii="Times New Roman" w:hAnsi="Times New Roman" w:cs="Times New Roman"/>
          <w:b/>
          <w:bCs/>
        </w:rPr>
        <w:t>Supplementary</w:t>
      </w:r>
      <w:proofErr w:type="spellEnd"/>
      <w:r w:rsidRPr="008478E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478E6">
        <w:rPr>
          <w:rFonts w:ascii="Times New Roman" w:hAnsi="Times New Roman" w:cs="Times New Roman"/>
          <w:b/>
          <w:bCs/>
        </w:rPr>
        <w:t>Table</w:t>
      </w:r>
      <w:proofErr w:type="spellEnd"/>
      <w:r w:rsidRPr="008478E6">
        <w:rPr>
          <w:rFonts w:ascii="Times New Roman" w:hAnsi="Times New Roman" w:cs="Times New Roman"/>
          <w:b/>
          <w:bCs/>
        </w:rPr>
        <w:t xml:space="preserve"> S3</w:t>
      </w:r>
    </w:p>
    <w:tbl>
      <w:tblPr>
        <w:tblStyle w:val="Tabellaelenco2"/>
        <w:tblW w:w="0" w:type="auto"/>
        <w:tblLook w:val="04A0" w:firstRow="1" w:lastRow="0" w:firstColumn="1" w:lastColumn="0" w:noHBand="0" w:noVBand="1"/>
      </w:tblPr>
      <w:tblGrid>
        <w:gridCol w:w="4607"/>
        <w:gridCol w:w="213"/>
        <w:gridCol w:w="4394"/>
      </w:tblGrid>
      <w:tr w:rsidR="008478E6" w:rsidRPr="00881A02" w14:paraId="2D4CA382" w14:textId="77777777" w:rsidTr="009265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4" w:type="dxa"/>
            <w:gridSpan w:val="3"/>
          </w:tcPr>
          <w:p w14:paraId="05D090B8" w14:textId="77777777" w:rsidR="008478E6" w:rsidRPr="003101D2" w:rsidRDefault="008478E6" w:rsidP="009265E4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A) Cell Survival Rate (%) – RTX</w:t>
            </w:r>
          </w:p>
        </w:tc>
      </w:tr>
      <w:tr w:rsidR="008478E6" w:rsidRPr="00410461" w14:paraId="10295EF7" w14:textId="77777777" w:rsidTr="009265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gridSpan w:val="2"/>
          </w:tcPr>
          <w:p w14:paraId="702982B2" w14:textId="77777777" w:rsidR="008478E6" w:rsidRPr="003101D2" w:rsidRDefault="008478E6" w:rsidP="009265E4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NT</w:t>
            </w:r>
          </w:p>
        </w:tc>
        <w:tc>
          <w:tcPr>
            <w:tcW w:w="4394" w:type="dxa"/>
          </w:tcPr>
          <w:p w14:paraId="0387EA04" w14:textId="77777777" w:rsidR="008478E6" w:rsidRPr="003101D2" w:rsidRDefault="008478E6" w:rsidP="0092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4"/>
              </w:rPr>
            </w:pPr>
            <w:r w:rsidRPr="003665B6">
              <w:rPr>
                <w:rFonts w:ascii="Times New Roman" w:hAnsi="Times New Roman" w:cs="Times New Roman"/>
                <w:sz w:val="20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± </w:t>
            </w:r>
            <w:r w:rsidRPr="00305615">
              <w:rPr>
                <w:rFonts w:ascii="Times New Roman" w:hAnsi="Times New Roman" w:cs="Times New Roman"/>
                <w:sz w:val="20"/>
                <w:szCs w:val="24"/>
              </w:rPr>
              <w:t>0,12</w:t>
            </w:r>
          </w:p>
        </w:tc>
      </w:tr>
      <w:tr w:rsidR="008478E6" w:rsidRPr="00410461" w14:paraId="649AC1A4" w14:textId="77777777" w:rsidTr="009265E4">
        <w:trPr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gridSpan w:val="2"/>
          </w:tcPr>
          <w:p w14:paraId="1E2CF676" w14:textId="77777777" w:rsidR="008478E6" w:rsidRPr="003101D2" w:rsidRDefault="008478E6" w:rsidP="009265E4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RTX [1 µM]</w:t>
            </w:r>
          </w:p>
        </w:tc>
        <w:tc>
          <w:tcPr>
            <w:tcW w:w="4394" w:type="dxa"/>
          </w:tcPr>
          <w:p w14:paraId="3DF7C058" w14:textId="77777777" w:rsidR="008478E6" w:rsidRPr="003101D2" w:rsidRDefault="008478E6" w:rsidP="0092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4"/>
              </w:rPr>
            </w:pPr>
            <w:r w:rsidRPr="003665B6">
              <w:rPr>
                <w:rFonts w:ascii="Times New Roman" w:hAnsi="Times New Roman" w:cs="Times New Roman"/>
                <w:sz w:val="20"/>
                <w:szCs w:val="24"/>
              </w:rPr>
              <w:t>98,8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± </w:t>
            </w:r>
            <w:r w:rsidRPr="00305615">
              <w:rPr>
                <w:rFonts w:ascii="Times New Roman" w:hAnsi="Times New Roman" w:cs="Times New Roman"/>
                <w:sz w:val="20"/>
                <w:szCs w:val="24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2</w:t>
            </w:r>
          </w:p>
        </w:tc>
      </w:tr>
      <w:tr w:rsidR="008478E6" w:rsidRPr="00410461" w14:paraId="5CFBBE8A" w14:textId="77777777" w:rsidTr="009265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gridSpan w:val="2"/>
          </w:tcPr>
          <w:p w14:paraId="200389F8" w14:textId="77777777" w:rsidR="008478E6" w:rsidRPr="003101D2" w:rsidRDefault="008478E6" w:rsidP="009265E4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RTX [2,5 µM]</w:t>
            </w:r>
          </w:p>
        </w:tc>
        <w:tc>
          <w:tcPr>
            <w:tcW w:w="4394" w:type="dxa"/>
          </w:tcPr>
          <w:p w14:paraId="42D0BD52" w14:textId="77777777" w:rsidR="008478E6" w:rsidRPr="003101D2" w:rsidRDefault="008478E6" w:rsidP="0092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4"/>
              </w:rPr>
            </w:pPr>
            <w:r w:rsidRPr="003665B6">
              <w:rPr>
                <w:rFonts w:ascii="Times New Roman" w:hAnsi="Times New Roman" w:cs="Times New Roman"/>
                <w:sz w:val="20"/>
                <w:szCs w:val="24"/>
              </w:rPr>
              <w:t>97,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6 ± </w:t>
            </w:r>
            <w:r w:rsidRPr="00305615">
              <w:rPr>
                <w:rFonts w:ascii="Times New Roman" w:hAnsi="Times New Roman" w:cs="Times New Roman"/>
                <w:sz w:val="20"/>
                <w:szCs w:val="24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7</w:t>
            </w:r>
          </w:p>
        </w:tc>
      </w:tr>
      <w:tr w:rsidR="008478E6" w:rsidRPr="00410461" w14:paraId="279E1CA0" w14:textId="77777777" w:rsidTr="009265E4">
        <w:trPr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gridSpan w:val="2"/>
          </w:tcPr>
          <w:p w14:paraId="40C9A679" w14:textId="77777777" w:rsidR="008478E6" w:rsidRPr="003101D2" w:rsidRDefault="008478E6" w:rsidP="009265E4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RTX [5 µM]</w:t>
            </w:r>
          </w:p>
        </w:tc>
        <w:tc>
          <w:tcPr>
            <w:tcW w:w="4394" w:type="dxa"/>
          </w:tcPr>
          <w:p w14:paraId="130450D8" w14:textId="77777777" w:rsidR="008478E6" w:rsidRPr="003101D2" w:rsidRDefault="008478E6" w:rsidP="0092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4"/>
              </w:rPr>
            </w:pPr>
            <w:r w:rsidRPr="003665B6">
              <w:rPr>
                <w:rFonts w:ascii="Times New Roman" w:hAnsi="Times New Roman" w:cs="Times New Roman"/>
                <w:sz w:val="20"/>
                <w:szCs w:val="24"/>
              </w:rPr>
              <w:t>94,9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± </w:t>
            </w:r>
            <w:r w:rsidRPr="00305615">
              <w:rPr>
                <w:rFonts w:ascii="Times New Roman" w:hAnsi="Times New Roman" w:cs="Times New Roman"/>
                <w:sz w:val="20"/>
                <w:szCs w:val="24"/>
              </w:rPr>
              <w:t>0,01</w:t>
            </w:r>
          </w:p>
        </w:tc>
      </w:tr>
      <w:tr w:rsidR="008478E6" w:rsidRPr="00410461" w14:paraId="0F14B715" w14:textId="77777777" w:rsidTr="009265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gridSpan w:val="2"/>
          </w:tcPr>
          <w:p w14:paraId="77BCFBC4" w14:textId="77777777" w:rsidR="008478E6" w:rsidRPr="003101D2" w:rsidRDefault="008478E6" w:rsidP="009265E4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RTX [10 µM]</w:t>
            </w:r>
          </w:p>
        </w:tc>
        <w:tc>
          <w:tcPr>
            <w:tcW w:w="4394" w:type="dxa"/>
          </w:tcPr>
          <w:p w14:paraId="28137FA5" w14:textId="77777777" w:rsidR="008478E6" w:rsidRPr="003101D2" w:rsidRDefault="008478E6" w:rsidP="0092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4"/>
              </w:rPr>
            </w:pPr>
            <w:r w:rsidRPr="003665B6">
              <w:rPr>
                <w:rFonts w:ascii="Times New Roman" w:hAnsi="Times New Roman" w:cs="Times New Roman"/>
                <w:sz w:val="20"/>
                <w:szCs w:val="24"/>
              </w:rPr>
              <w:t>87,6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± </w:t>
            </w:r>
            <w:r w:rsidRPr="00305615">
              <w:rPr>
                <w:rFonts w:ascii="Times New Roman" w:hAnsi="Times New Roman" w:cs="Times New Roman"/>
                <w:sz w:val="20"/>
                <w:szCs w:val="24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4</w:t>
            </w:r>
          </w:p>
        </w:tc>
      </w:tr>
      <w:tr w:rsidR="008478E6" w:rsidRPr="00881A02" w14:paraId="785B5F77" w14:textId="77777777" w:rsidTr="009265E4">
        <w:trPr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4" w:type="dxa"/>
            <w:gridSpan w:val="3"/>
          </w:tcPr>
          <w:p w14:paraId="28C067D0" w14:textId="7282A1C1" w:rsidR="008478E6" w:rsidRPr="008478E6" w:rsidRDefault="008478E6" w:rsidP="008478E6">
            <w:pPr>
              <w:pStyle w:val="Paragrafoelenco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0"/>
              </w:rPr>
            </w:pPr>
            <w:r w:rsidRPr="008478E6">
              <w:rPr>
                <w:rFonts w:ascii="Times New Roman" w:hAnsi="Times New Roman" w:cs="Times New Roman"/>
                <w:sz w:val="20"/>
              </w:rPr>
              <w:t>Cell Survival Rate (%) – I-RTX</w:t>
            </w:r>
          </w:p>
        </w:tc>
      </w:tr>
      <w:tr w:rsidR="008478E6" w:rsidRPr="00410461" w14:paraId="2F4D17CA" w14:textId="77777777" w:rsidTr="009265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7" w:type="dxa"/>
          </w:tcPr>
          <w:p w14:paraId="646A4E51" w14:textId="77777777" w:rsidR="008478E6" w:rsidRDefault="008478E6" w:rsidP="009265E4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NT</w:t>
            </w:r>
          </w:p>
        </w:tc>
        <w:tc>
          <w:tcPr>
            <w:tcW w:w="4607" w:type="dxa"/>
            <w:gridSpan w:val="2"/>
          </w:tcPr>
          <w:p w14:paraId="5D4B5D74" w14:textId="77777777" w:rsidR="008478E6" w:rsidRDefault="008478E6" w:rsidP="0092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4"/>
              </w:rPr>
            </w:pPr>
            <w:r w:rsidRPr="00AC2805">
              <w:rPr>
                <w:rFonts w:ascii="Times New Roman" w:hAnsi="Times New Roman" w:cs="Times New Roman"/>
                <w:sz w:val="20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± </w:t>
            </w:r>
            <w:r w:rsidRPr="00AC2805">
              <w:rPr>
                <w:rFonts w:ascii="Times New Roman" w:hAnsi="Times New Roman" w:cs="Times New Roman"/>
                <w:sz w:val="20"/>
                <w:szCs w:val="24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5</w:t>
            </w:r>
          </w:p>
        </w:tc>
      </w:tr>
      <w:tr w:rsidR="008478E6" w:rsidRPr="00410461" w14:paraId="09460F67" w14:textId="77777777" w:rsidTr="009265E4">
        <w:trPr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7" w:type="dxa"/>
          </w:tcPr>
          <w:p w14:paraId="3B966265" w14:textId="77777777" w:rsidR="008478E6" w:rsidRDefault="008478E6" w:rsidP="009265E4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I-RTX [1 µM]</w:t>
            </w:r>
          </w:p>
        </w:tc>
        <w:tc>
          <w:tcPr>
            <w:tcW w:w="4607" w:type="dxa"/>
            <w:gridSpan w:val="2"/>
          </w:tcPr>
          <w:p w14:paraId="13499782" w14:textId="77777777" w:rsidR="008478E6" w:rsidRDefault="008478E6" w:rsidP="0092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4"/>
              </w:rPr>
            </w:pPr>
            <w:r w:rsidRPr="00AC2805">
              <w:rPr>
                <w:rFonts w:ascii="Times New Roman" w:hAnsi="Times New Roman" w:cs="Times New Roman"/>
                <w:sz w:val="20"/>
                <w:szCs w:val="24"/>
              </w:rPr>
              <w:t>94,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2 ± </w:t>
            </w:r>
            <w:r w:rsidRPr="00AC2805">
              <w:rPr>
                <w:rFonts w:ascii="Times New Roman" w:hAnsi="Times New Roman" w:cs="Times New Roman"/>
                <w:sz w:val="20"/>
                <w:szCs w:val="24"/>
              </w:rPr>
              <w:t>0,14</w:t>
            </w:r>
          </w:p>
        </w:tc>
      </w:tr>
      <w:tr w:rsidR="008478E6" w:rsidRPr="00410461" w14:paraId="2623DB87" w14:textId="77777777" w:rsidTr="009265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7" w:type="dxa"/>
          </w:tcPr>
          <w:p w14:paraId="5FC9863B" w14:textId="77777777" w:rsidR="008478E6" w:rsidRDefault="008478E6" w:rsidP="009265E4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I-RTX [2,5 µM]</w:t>
            </w:r>
          </w:p>
        </w:tc>
        <w:tc>
          <w:tcPr>
            <w:tcW w:w="4607" w:type="dxa"/>
            <w:gridSpan w:val="2"/>
          </w:tcPr>
          <w:p w14:paraId="512F7EE4" w14:textId="77777777" w:rsidR="008478E6" w:rsidRDefault="008478E6" w:rsidP="0092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4"/>
              </w:rPr>
            </w:pPr>
            <w:r w:rsidRPr="00AC2805">
              <w:rPr>
                <w:rFonts w:ascii="Times New Roman" w:hAnsi="Times New Roman" w:cs="Times New Roman"/>
                <w:sz w:val="20"/>
                <w:szCs w:val="24"/>
              </w:rPr>
              <w:t>91,8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± </w:t>
            </w:r>
            <w:r w:rsidRPr="00AC2805">
              <w:rPr>
                <w:rFonts w:ascii="Times New Roman" w:hAnsi="Times New Roman" w:cs="Times New Roman"/>
                <w:sz w:val="20"/>
                <w:szCs w:val="24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8</w:t>
            </w:r>
          </w:p>
        </w:tc>
      </w:tr>
      <w:tr w:rsidR="008478E6" w:rsidRPr="00410461" w14:paraId="00394691" w14:textId="77777777" w:rsidTr="009265E4">
        <w:trPr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7" w:type="dxa"/>
          </w:tcPr>
          <w:p w14:paraId="48A996B2" w14:textId="77777777" w:rsidR="008478E6" w:rsidRDefault="008478E6" w:rsidP="009265E4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I-RTX [5 µM]</w:t>
            </w:r>
          </w:p>
        </w:tc>
        <w:tc>
          <w:tcPr>
            <w:tcW w:w="4607" w:type="dxa"/>
            <w:gridSpan w:val="2"/>
          </w:tcPr>
          <w:p w14:paraId="2D06FD89" w14:textId="77777777" w:rsidR="008478E6" w:rsidRDefault="008478E6" w:rsidP="009265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4"/>
              </w:rPr>
            </w:pPr>
            <w:r w:rsidRPr="00AC2805">
              <w:rPr>
                <w:rFonts w:ascii="Times New Roman" w:hAnsi="Times New Roman" w:cs="Times New Roman"/>
                <w:sz w:val="20"/>
                <w:szCs w:val="24"/>
              </w:rPr>
              <w:t>86,0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± </w:t>
            </w:r>
            <w:r w:rsidRPr="00AC2805">
              <w:rPr>
                <w:rFonts w:ascii="Times New Roman" w:hAnsi="Times New Roman" w:cs="Times New Roman"/>
                <w:sz w:val="20"/>
                <w:szCs w:val="24"/>
              </w:rPr>
              <w:t>0,1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6</w:t>
            </w:r>
          </w:p>
        </w:tc>
      </w:tr>
      <w:tr w:rsidR="008478E6" w:rsidRPr="00410461" w14:paraId="3610B416" w14:textId="77777777" w:rsidTr="009265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7" w:type="dxa"/>
          </w:tcPr>
          <w:p w14:paraId="3054DB54" w14:textId="77777777" w:rsidR="008478E6" w:rsidRDefault="008478E6" w:rsidP="009265E4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I-RTX [10 µM]</w:t>
            </w:r>
          </w:p>
        </w:tc>
        <w:tc>
          <w:tcPr>
            <w:tcW w:w="4607" w:type="dxa"/>
            <w:gridSpan w:val="2"/>
          </w:tcPr>
          <w:p w14:paraId="426EF744" w14:textId="77777777" w:rsidR="008478E6" w:rsidRDefault="008478E6" w:rsidP="009265E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4"/>
              </w:rPr>
            </w:pPr>
            <w:r w:rsidRPr="00AC2805">
              <w:rPr>
                <w:rFonts w:ascii="Times New Roman" w:hAnsi="Times New Roman" w:cs="Times New Roman"/>
                <w:sz w:val="20"/>
                <w:szCs w:val="24"/>
              </w:rPr>
              <w:t>82,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4 ± </w:t>
            </w:r>
            <w:r w:rsidRPr="00AC2805">
              <w:rPr>
                <w:rFonts w:ascii="Times New Roman" w:hAnsi="Times New Roman" w:cs="Times New Roman"/>
                <w:sz w:val="20"/>
                <w:szCs w:val="24"/>
              </w:rPr>
              <w:t>0,04</w:t>
            </w:r>
          </w:p>
        </w:tc>
      </w:tr>
    </w:tbl>
    <w:p w14:paraId="39D9754D" w14:textId="77777777" w:rsidR="008478E6" w:rsidRDefault="008478E6" w:rsidP="008478E6">
      <w:pPr>
        <w:pStyle w:val="Didascalia"/>
        <w:spacing w:after="0"/>
        <w:jc w:val="both"/>
        <w:rPr>
          <w:rFonts w:ascii="Times New Roman" w:hAnsi="Times New Roman" w:cs="Times New Roman"/>
          <w:b/>
          <w:i w:val="0"/>
          <w:color w:val="auto"/>
          <w:sz w:val="20"/>
          <w:szCs w:val="24"/>
        </w:rPr>
      </w:pPr>
    </w:p>
    <w:p w14:paraId="6675E57C" w14:textId="703C3AB0" w:rsidR="008478E6" w:rsidRDefault="008478E6" w:rsidP="008478E6">
      <w:pPr>
        <w:pStyle w:val="Didascalia"/>
        <w:spacing w:after="0"/>
        <w:jc w:val="both"/>
        <w:rPr>
          <w:rFonts w:ascii="Times New Roman" w:hAnsi="Times New Roman" w:cs="Times New Roman"/>
          <w:b/>
          <w:i w:val="0"/>
          <w:color w:val="auto"/>
          <w:sz w:val="20"/>
          <w:szCs w:val="24"/>
        </w:rPr>
      </w:pPr>
      <w:r>
        <w:rPr>
          <w:rFonts w:ascii="Times New Roman" w:hAnsi="Times New Roman" w:cs="Times New Roman"/>
          <w:b/>
          <w:i w:val="0"/>
          <w:color w:val="auto"/>
          <w:sz w:val="20"/>
          <w:szCs w:val="24"/>
        </w:rPr>
        <w:t xml:space="preserve">Supplementary Table S3. </w:t>
      </w:r>
      <w:r w:rsidRPr="00AC2805">
        <w:rPr>
          <w:rFonts w:ascii="Times New Roman" w:hAnsi="Times New Roman" w:cs="Times New Roman"/>
          <w:bCs/>
          <w:i w:val="0"/>
          <w:color w:val="auto"/>
          <w:sz w:val="20"/>
          <w:szCs w:val="24"/>
        </w:rPr>
        <w:t>Cell survival rate in Sickle Cell Disease (</w:t>
      </w:r>
      <w:r w:rsidR="00881A02">
        <w:rPr>
          <w:rFonts w:ascii="Times New Roman" w:hAnsi="Times New Roman" w:cs="Times New Roman"/>
          <w:bCs/>
          <w:i w:val="0"/>
          <w:color w:val="auto"/>
          <w:sz w:val="20"/>
          <w:szCs w:val="24"/>
        </w:rPr>
        <w:t>SCD</w:t>
      </w:r>
      <w:r w:rsidRPr="00AC2805">
        <w:rPr>
          <w:rFonts w:ascii="Times New Roman" w:hAnsi="Times New Roman" w:cs="Times New Roman"/>
          <w:bCs/>
          <w:i w:val="0"/>
          <w:color w:val="auto"/>
          <w:sz w:val="20"/>
          <w:szCs w:val="24"/>
        </w:rPr>
        <w:t xml:space="preserve">) patients’ macrophages after treatment with </w:t>
      </w:r>
      <w:r>
        <w:rPr>
          <w:rFonts w:ascii="Times New Roman" w:hAnsi="Times New Roman" w:cs="Times New Roman"/>
          <w:bCs/>
          <w:i w:val="0"/>
          <w:color w:val="auto"/>
          <w:sz w:val="20"/>
          <w:szCs w:val="24"/>
        </w:rPr>
        <w:t>TRPV1 selective agonist, RTX,</w:t>
      </w:r>
      <w:r w:rsidRPr="00AC2805">
        <w:rPr>
          <w:rFonts w:ascii="Times New Roman" w:hAnsi="Times New Roman" w:cs="Times New Roman"/>
          <w:bCs/>
          <w:i w:val="0"/>
          <w:color w:val="auto"/>
          <w:sz w:val="20"/>
          <w:szCs w:val="24"/>
        </w:rPr>
        <w:t xml:space="preserve"> at different concentrations (1 µM, 2</w:t>
      </w:r>
      <w:r>
        <w:rPr>
          <w:rFonts w:ascii="Times New Roman" w:hAnsi="Times New Roman" w:cs="Times New Roman"/>
          <w:bCs/>
          <w:i w:val="0"/>
          <w:color w:val="auto"/>
          <w:sz w:val="20"/>
          <w:szCs w:val="24"/>
        </w:rPr>
        <w:t>,</w:t>
      </w:r>
      <w:r w:rsidRPr="00AC2805">
        <w:rPr>
          <w:rFonts w:ascii="Times New Roman" w:hAnsi="Times New Roman" w:cs="Times New Roman"/>
          <w:bCs/>
          <w:i w:val="0"/>
          <w:color w:val="auto"/>
          <w:sz w:val="20"/>
          <w:szCs w:val="24"/>
        </w:rPr>
        <w:t>5 µM, 5 µM,</w:t>
      </w:r>
      <w:r>
        <w:rPr>
          <w:rFonts w:ascii="Times New Roman" w:hAnsi="Times New Roman" w:cs="Times New Roman"/>
          <w:bCs/>
          <w:i w:val="0"/>
          <w:color w:val="auto"/>
          <w:sz w:val="20"/>
          <w:szCs w:val="24"/>
        </w:rPr>
        <w:t xml:space="preserve"> and</w:t>
      </w:r>
      <w:r w:rsidRPr="00AC2805">
        <w:rPr>
          <w:rFonts w:ascii="Times New Roman" w:hAnsi="Times New Roman" w:cs="Times New Roman"/>
          <w:bCs/>
          <w:i w:val="0"/>
          <w:color w:val="auto"/>
          <w:sz w:val="20"/>
          <w:szCs w:val="24"/>
        </w:rPr>
        <w:t xml:space="preserve"> 10 µM) </w:t>
      </w:r>
      <w:r>
        <w:rPr>
          <w:rFonts w:ascii="Times New Roman" w:hAnsi="Times New Roman" w:cs="Times New Roman"/>
          <w:bCs/>
          <w:i w:val="0"/>
          <w:color w:val="auto"/>
          <w:sz w:val="20"/>
          <w:szCs w:val="24"/>
        </w:rPr>
        <w:t>(</w:t>
      </w:r>
      <w:r w:rsidRPr="00AC2805">
        <w:rPr>
          <w:rFonts w:ascii="Times New Roman" w:hAnsi="Times New Roman" w:cs="Times New Roman"/>
          <w:b/>
          <w:i w:val="0"/>
          <w:color w:val="auto"/>
          <w:sz w:val="20"/>
          <w:szCs w:val="24"/>
        </w:rPr>
        <w:t>A</w:t>
      </w:r>
      <w:r>
        <w:rPr>
          <w:rFonts w:ascii="Times New Roman" w:hAnsi="Times New Roman" w:cs="Times New Roman"/>
          <w:bCs/>
          <w:i w:val="0"/>
          <w:color w:val="auto"/>
          <w:sz w:val="20"/>
          <w:szCs w:val="24"/>
        </w:rPr>
        <w:t xml:space="preserve">) </w:t>
      </w:r>
      <w:r w:rsidRPr="00AC2805">
        <w:rPr>
          <w:rFonts w:ascii="Times New Roman" w:hAnsi="Times New Roman" w:cs="Times New Roman"/>
          <w:bCs/>
          <w:i w:val="0"/>
          <w:color w:val="auto"/>
          <w:sz w:val="20"/>
          <w:szCs w:val="24"/>
        </w:rPr>
        <w:t xml:space="preserve">and </w:t>
      </w:r>
      <w:r>
        <w:rPr>
          <w:rFonts w:ascii="Times New Roman" w:hAnsi="Times New Roman" w:cs="Times New Roman"/>
          <w:bCs/>
          <w:i w:val="0"/>
          <w:color w:val="auto"/>
          <w:sz w:val="20"/>
          <w:szCs w:val="24"/>
        </w:rPr>
        <w:t>its antagonist, I-RTX</w:t>
      </w:r>
      <w:r w:rsidRPr="00AC2805">
        <w:rPr>
          <w:rFonts w:ascii="Times New Roman" w:hAnsi="Times New Roman" w:cs="Times New Roman"/>
          <w:bCs/>
          <w:i w:val="0"/>
          <w:color w:val="auto"/>
          <w:sz w:val="20"/>
          <w:szCs w:val="24"/>
        </w:rPr>
        <w:t xml:space="preserve"> (1 µM, 2</w:t>
      </w:r>
      <w:r>
        <w:rPr>
          <w:rFonts w:ascii="Times New Roman" w:hAnsi="Times New Roman" w:cs="Times New Roman"/>
          <w:bCs/>
          <w:i w:val="0"/>
          <w:color w:val="auto"/>
          <w:sz w:val="20"/>
          <w:szCs w:val="24"/>
        </w:rPr>
        <w:t>,</w:t>
      </w:r>
      <w:r w:rsidRPr="00AC2805">
        <w:rPr>
          <w:rFonts w:ascii="Times New Roman" w:hAnsi="Times New Roman" w:cs="Times New Roman"/>
          <w:bCs/>
          <w:i w:val="0"/>
          <w:color w:val="auto"/>
          <w:sz w:val="20"/>
          <w:szCs w:val="24"/>
        </w:rPr>
        <w:t>5 µM, 5 µM,</w:t>
      </w:r>
      <w:r>
        <w:rPr>
          <w:rFonts w:ascii="Times New Roman" w:hAnsi="Times New Roman" w:cs="Times New Roman"/>
          <w:bCs/>
          <w:i w:val="0"/>
          <w:color w:val="auto"/>
          <w:sz w:val="20"/>
          <w:szCs w:val="24"/>
        </w:rPr>
        <w:t xml:space="preserve"> and</w:t>
      </w:r>
      <w:r w:rsidRPr="00AC2805">
        <w:rPr>
          <w:rFonts w:ascii="Times New Roman" w:hAnsi="Times New Roman" w:cs="Times New Roman"/>
          <w:bCs/>
          <w:i w:val="0"/>
          <w:color w:val="auto"/>
          <w:sz w:val="20"/>
          <w:szCs w:val="24"/>
        </w:rPr>
        <w:t xml:space="preserve"> 10 µM)</w:t>
      </w:r>
      <w:r>
        <w:rPr>
          <w:rFonts w:ascii="Times New Roman" w:hAnsi="Times New Roman" w:cs="Times New Roman"/>
          <w:bCs/>
          <w:i w:val="0"/>
          <w:color w:val="auto"/>
          <w:sz w:val="20"/>
          <w:szCs w:val="24"/>
        </w:rPr>
        <w:t xml:space="preserve"> (</w:t>
      </w:r>
      <w:r w:rsidRPr="00AC2805">
        <w:rPr>
          <w:rFonts w:ascii="Times New Roman" w:hAnsi="Times New Roman" w:cs="Times New Roman"/>
          <w:b/>
          <w:i w:val="0"/>
          <w:color w:val="auto"/>
          <w:sz w:val="20"/>
          <w:szCs w:val="24"/>
        </w:rPr>
        <w:t>B</w:t>
      </w:r>
      <w:r>
        <w:rPr>
          <w:rFonts w:ascii="Times New Roman" w:hAnsi="Times New Roman" w:cs="Times New Roman"/>
          <w:bCs/>
          <w:i w:val="0"/>
          <w:color w:val="auto"/>
          <w:sz w:val="20"/>
          <w:szCs w:val="24"/>
        </w:rPr>
        <w:t>)</w:t>
      </w:r>
      <w:r w:rsidRPr="00AC2805">
        <w:rPr>
          <w:rFonts w:ascii="Times New Roman" w:hAnsi="Times New Roman" w:cs="Times New Roman"/>
          <w:bCs/>
          <w:i w:val="0"/>
          <w:color w:val="auto"/>
          <w:sz w:val="20"/>
          <w:szCs w:val="24"/>
        </w:rPr>
        <w:t xml:space="preserve">. The results are presented as the mean percentage ± standard deviation percentage (SD). For statistical analysis, a Shapiro-Wilk Normality test was used to </w:t>
      </w:r>
      <w:proofErr w:type="spellStart"/>
      <w:r w:rsidRPr="00AC2805">
        <w:rPr>
          <w:rFonts w:ascii="Times New Roman" w:hAnsi="Times New Roman" w:cs="Times New Roman"/>
          <w:bCs/>
          <w:i w:val="0"/>
          <w:color w:val="auto"/>
          <w:sz w:val="20"/>
          <w:szCs w:val="24"/>
        </w:rPr>
        <w:t>asses</w:t>
      </w:r>
      <w:proofErr w:type="spellEnd"/>
      <w:r w:rsidRPr="00AC2805">
        <w:rPr>
          <w:rFonts w:ascii="Times New Roman" w:hAnsi="Times New Roman" w:cs="Times New Roman"/>
          <w:bCs/>
          <w:i w:val="0"/>
          <w:color w:val="auto"/>
          <w:sz w:val="20"/>
          <w:szCs w:val="24"/>
        </w:rPr>
        <w:t xml:space="preserve"> whether the distribution of our samples </w:t>
      </w:r>
      <w:proofErr w:type="gramStart"/>
      <w:r w:rsidRPr="00AC2805">
        <w:rPr>
          <w:rFonts w:ascii="Times New Roman" w:hAnsi="Times New Roman" w:cs="Times New Roman"/>
          <w:bCs/>
          <w:i w:val="0"/>
          <w:color w:val="auto"/>
          <w:sz w:val="20"/>
          <w:szCs w:val="24"/>
        </w:rPr>
        <w:t>were</w:t>
      </w:r>
      <w:proofErr w:type="gramEnd"/>
      <w:r w:rsidRPr="00AC2805">
        <w:rPr>
          <w:rFonts w:ascii="Times New Roman" w:hAnsi="Times New Roman" w:cs="Times New Roman"/>
          <w:bCs/>
          <w:i w:val="0"/>
          <w:color w:val="auto"/>
          <w:sz w:val="20"/>
          <w:szCs w:val="24"/>
        </w:rPr>
        <w:t xml:space="preserve"> normal or not. For samples with normal distribution (</w:t>
      </w:r>
      <w:r>
        <w:rPr>
          <w:rFonts w:ascii="Times New Roman" w:hAnsi="Times New Roman" w:cs="Times New Roman"/>
          <w:bCs/>
          <w:i w:val="0"/>
          <w:color w:val="auto"/>
          <w:sz w:val="20"/>
          <w:szCs w:val="24"/>
        </w:rPr>
        <w:t>B</w:t>
      </w:r>
      <w:r w:rsidRPr="00AC2805">
        <w:rPr>
          <w:rFonts w:ascii="Times New Roman" w:hAnsi="Times New Roman" w:cs="Times New Roman"/>
          <w:bCs/>
          <w:i w:val="0"/>
          <w:color w:val="auto"/>
          <w:sz w:val="20"/>
          <w:szCs w:val="24"/>
        </w:rPr>
        <w:t>), we performed one way ANOVA test followed by Tukey HSD as post hoc. For samples without a normal distribution (</w:t>
      </w:r>
      <w:r>
        <w:rPr>
          <w:rFonts w:ascii="Times New Roman" w:hAnsi="Times New Roman" w:cs="Times New Roman"/>
          <w:bCs/>
          <w:i w:val="0"/>
          <w:color w:val="auto"/>
          <w:sz w:val="20"/>
          <w:szCs w:val="24"/>
        </w:rPr>
        <w:t>A</w:t>
      </w:r>
      <w:r w:rsidRPr="00AC2805">
        <w:rPr>
          <w:rFonts w:ascii="Times New Roman" w:hAnsi="Times New Roman" w:cs="Times New Roman"/>
          <w:bCs/>
          <w:i w:val="0"/>
          <w:color w:val="auto"/>
          <w:sz w:val="20"/>
          <w:szCs w:val="24"/>
        </w:rPr>
        <w:t>), we employed a Kruskal-Wallis Test, followed by the Dunn’s Test as post hoc.  *, p ≤ 0.05 compared to NT</w:t>
      </w:r>
      <w:r w:rsidRPr="00AC2805">
        <w:rPr>
          <w:rFonts w:ascii="Times New Roman" w:hAnsi="Times New Roman" w:cs="Times New Roman"/>
          <w:b/>
          <w:i w:val="0"/>
          <w:color w:val="auto"/>
          <w:sz w:val="20"/>
          <w:szCs w:val="24"/>
        </w:rPr>
        <w:t>.</w:t>
      </w:r>
    </w:p>
    <w:p w14:paraId="0F35EC80" w14:textId="77777777" w:rsidR="008478E6" w:rsidRPr="008478E6" w:rsidRDefault="008478E6">
      <w:pPr>
        <w:rPr>
          <w:b/>
          <w:bCs/>
        </w:rPr>
      </w:pPr>
    </w:p>
    <w:sectPr w:rsidR="008478E6" w:rsidRPr="008478E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FA7150"/>
    <w:multiLevelType w:val="hybridMultilevel"/>
    <w:tmpl w:val="60D41CB0"/>
    <w:lvl w:ilvl="0" w:tplc="BD7E0C3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B72A48"/>
    <w:multiLevelType w:val="hybridMultilevel"/>
    <w:tmpl w:val="94E803B0"/>
    <w:lvl w:ilvl="0" w:tplc="21181EBC">
      <w:start w:val="2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2073708">
    <w:abstractNumId w:val="0"/>
  </w:num>
  <w:num w:numId="2" w16cid:durableId="12984869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5B0"/>
    <w:rsid w:val="008478E6"/>
    <w:rsid w:val="00881A02"/>
    <w:rsid w:val="009C0833"/>
    <w:rsid w:val="00B00EC4"/>
    <w:rsid w:val="00DB0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B5B14"/>
  <w15:chartTrackingRefBased/>
  <w15:docId w15:val="{1A209855-1F8F-48E4-818A-75FE52AC2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B05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B05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B05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B05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B05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B05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B05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B05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B05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B05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B05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B05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B05B0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B05B0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B05B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B05B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B05B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B05B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B05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B05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B05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B05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B05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B05B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B05B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B05B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B05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B05B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B05B0"/>
    <w:rPr>
      <w:b/>
      <w:bCs/>
      <w:smallCaps/>
      <w:color w:val="2F5496" w:themeColor="accent1" w:themeShade="BF"/>
      <w:spacing w:val="5"/>
    </w:rPr>
  </w:style>
  <w:style w:type="table" w:styleId="Tabellaelenco2">
    <w:name w:val="List Table 2"/>
    <w:basedOn w:val="Tabellanormale"/>
    <w:uiPriority w:val="47"/>
    <w:rsid w:val="008478E6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Didascalia">
    <w:name w:val="caption"/>
    <w:basedOn w:val="Normale"/>
    <w:next w:val="Normale"/>
    <w:uiPriority w:val="35"/>
    <w:unhideWhenUsed/>
    <w:qFormat/>
    <w:rsid w:val="008478E6"/>
    <w:pPr>
      <w:spacing w:after="200" w:line="240" w:lineRule="auto"/>
    </w:pPr>
    <w:rPr>
      <w:i/>
      <w:iCs/>
      <w:color w:val="44546A" w:themeColor="text2"/>
      <w:kern w:val="0"/>
      <w:sz w:val="18"/>
      <w:szCs w:val="1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161</Words>
  <Characters>919</Characters>
  <Application>Microsoft Office Word</Application>
  <DocSecurity>0</DocSecurity>
  <Lines>7</Lines>
  <Paragraphs>2</Paragraphs>
  <ScaleCrop>false</ScaleCrop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Di Paola</dc:creator>
  <cp:keywords/>
  <dc:description/>
  <cp:lastModifiedBy>Alessandra Di Paola</cp:lastModifiedBy>
  <cp:revision>4</cp:revision>
  <dcterms:created xsi:type="dcterms:W3CDTF">2025-04-11T18:00:00Z</dcterms:created>
  <dcterms:modified xsi:type="dcterms:W3CDTF">2025-04-11T20:16:00Z</dcterms:modified>
</cp:coreProperties>
</file>