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D2465" w14:textId="77777777" w:rsidR="0039304C" w:rsidRPr="00BE0F70" w:rsidRDefault="0039304C" w:rsidP="0039304C">
      <w:pPr>
        <w:spacing w:line="480" w:lineRule="auto"/>
        <w:rPr>
          <w:b/>
          <w:lang w:val="en-US"/>
        </w:rPr>
      </w:pPr>
      <w:r w:rsidRPr="00BE0F70">
        <w:rPr>
          <w:b/>
          <w:lang w:val="en-US"/>
        </w:rPr>
        <w:t>Cannabinoid-induced increase of quantal size</w:t>
      </w:r>
      <w:r w:rsidRPr="00BE0F70">
        <w:rPr>
          <w:rFonts w:eastAsia="Times New Roman"/>
          <w:b/>
          <w:lang w:val="en-US"/>
        </w:rPr>
        <w:t xml:space="preserve"> </w:t>
      </w:r>
      <w:r w:rsidRPr="00BE0F70">
        <w:rPr>
          <w:b/>
          <w:lang w:val="en-US"/>
        </w:rPr>
        <w:t xml:space="preserve">and enhanced neuromuscular transmission </w:t>
      </w:r>
    </w:p>
    <w:p w14:paraId="5CEA2941" w14:textId="77777777" w:rsidR="0039304C" w:rsidRDefault="0039304C" w:rsidP="0039304C">
      <w:pPr>
        <w:spacing w:line="480" w:lineRule="auto"/>
        <w:rPr>
          <w:lang w:val="en-US"/>
        </w:rPr>
      </w:pPr>
    </w:p>
    <w:p w14:paraId="32679B10" w14:textId="77777777" w:rsidR="0039304C" w:rsidRPr="00BE0F70" w:rsidRDefault="0039304C" w:rsidP="0039304C">
      <w:pPr>
        <w:spacing w:line="480" w:lineRule="auto"/>
        <w:rPr>
          <w:lang w:val="en-US"/>
        </w:rPr>
      </w:pPr>
      <w:r w:rsidRPr="00BE0F70">
        <w:rPr>
          <w:lang w:val="en-US"/>
        </w:rPr>
        <w:t>Marco Morsch</w:t>
      </w:r>
      <w:r w:rsidRPr="00BE0F70">
        <w:rPr>
          <w:vertAlign w:val="superscript"/>
          <w:lang w:val="en-US"/>
        </w:rPr>
        <w:t>1,2*</w:t>
      </w:r>
      <w:r w:rsidRPr="00BE0F70">
        <w:rPr>
          <w:lang w:val="en-US"/>
        </w:rPr>
        <w:t>, Dario A. Protti</w:t>
      </w:r>
      <w:r w:rsidRPr="00BE0F70">
        <w:rPr>
          <w:vertAlign w:val="superscript"/>
          <w:lang w:val="en-US"/>
        </w:rPr>
        <w:t>2</w:t>
      </w:r>
      <w:r w:rsidRPr="00BE0F70">
        <w:rPr>
          <w:lang w:val="en-US"/>
        </w:rPr>
        <w:t>, Delfine Cheng</w:t>
      </w:r>
      <w:r w:rsidRPr="00BE0F70">
        <w:rPr>
          <w:vertAlign w:val="superscript"/>
          <w:lang w:val="en-US"/>
        </w:rPr>
        <w:t>3</w:t>
      </w:r>
      <w:r w:rsidRPr="00BE0F70">
        <w:rPr>
          <w:lang w:val="en-US"/>
        </w:rPr>
        <w:t>, Filip Braet</w:t>
      </w:r>
      <w:r w:rsidRPr="00BE0F70">
        <w:rPr>
          <w:vertAlign w:val="superscript"/>
          <w:lang w:val="en-US"/>
        </w:rPr>
        <w:t>3,4</w:t>
      </w:r>
      <w:r w:rsidRPr="00BE0F70">
        <w:rPr>
          <w:lang w:val="en-US"/>
        </w:rPr>
        <w:t>, Roger Chung</w:t>
      </w:r>
      <w:r w:rsidRPr="00BE0F70">
        <w:rPr>
          <w:vertAlign w:val="superscript"/>
          <w:lang w:val="en-US"/>
        </w:rPr>
        <w:t>1</w:t>
      </w:r>
      <w:r w:rsidRPr="00BE0F70">
        <w:rPr>
          <w:lang w:val="en-US"/>
        </w:rPr>
        <w:t>, Stephen W. Reddel</w:t>
      </w:r>
      <w:r w:rsidRPr="00BE0F70">
        <w:rPr>
          <w:vertAlign w:val="superscript"/>
          <w:lang w:val="en-US"/>
        </w:rPr>
        <w:t>5</w:t>
      </w:r>
      <w:r w:rsidRPr="00BE0F70">
        <w:rPr>
          <w:lang w:val="en-US"/>
        </w:rPr>
        <w:t>, William D. Phillips</w:t>
      </w:r>
      <w:r w:rsidRPr="00BE0F70">
        <w:rPr>
          <w:vertAlign w:val="superscript"/>
          <w:lang w:val="en-US"/>
        </w:rPr>
        <w:t>2*</w:t>
      </w:r>
    </w:p>
    <w:p w14:paraId="4BB475B3" w14:textId="77777777" w:rsidR="0039304C" w:rsidRPr="00BE0F70" w:rsidRDefault="0039304C" w:rsidP="0039304C">
      <w:pPr>
        <w:spacing w:line="480" w:lineRule="auto"/>
        <w:rPr>
          <w:lang w:val="en-US"/>
        </w:rPr>
      </w:pPr>
    </w:p>
    <w:p w14:paraId="65143967" w14:textId="77777777" w:rsidR="0039304C" w:rsidRPr="00BE0F70" w:rsidRDefault="0039304C" w:rsidP="0039304C">
      <w:pPr>
        <w:spacing w:line="480" w:lineRule="auto"/>
        <w:rPr>
          <w:lang w:val="en-US"/>
        </w:rPr>
      </w:pPr>
      <w:r w:rsidRPr="00BE0F70">
        <w:rPr>
          <w:vertAlign w:val="superscript"/>
          <w:lang w:val="en-US"/>
        </w:rPr>
        <w:t>1</w:t>
      </w:r>
      <w:r w:rsidRPr="00BE0F70">
        <w:rPr>
          <w:lang w:val="en-US"/>
        </w:rPr>
        <w:t xml:space="preserve"> Department of Biomedical Sciences, Faculty of Medicine &amp; Health Sciences, Macquarie University, Sydney</w:t>
      </w:r>
      <w:r>
        <w:rPr>
          <w:lang w:val="en-US"/>
        </w:rPr>
        <w:t xml:space="preserve">, </w:t>
      </w:r>
      <w:r w:rsidRPr="00BE0F70">
        <w:rPr>
          <w:lang w:val="en-US"/>
        </w:rPr>
        <w:t xml:space="preserve">NSW, </w:t>
      </w:r>
      <w:r>
        <w:rPr>
          <w:lang w:val="en-US"/>
        </w:rPr>
        <w:t>2109</w:t>
      </w:r>
      <w:r w:rsidRPr="00BE0F70">
        <w:rPr>
          <w:lang w:val="en-US"/>
        </w:rPr>
        <w:t>, Australia.</w:t>
      </w:r>
    </w:p>
    <w:p w14:paraId="53EB1B67" w14:textId="77777777" w:rsidR="0039304C" w:rsidRPr="00BE0F70" w:rsidRDefault="0039304C" w:rsidP="0039304C">
      <w:pPr>
        <w:spacing w:line="480" w:lineRule="auto"/>
        <w:rPr>
          <w:lang w:val="en-US"/>
        </w:rPr>
      </w:pPr>
      <w:r w:rsidRPr="00BE0F70">
        <w:rPr>
          <w:vertAlign w:val="superscript"/>
          <w:lang w:val="en-US"/>
        </w:rPr>
        <w:t>2</w:t>
      </w:r>
      <w:r w:rsidRPr="00BE0F70">
        <w:rPr>
          <w:lang w:val="en-US"/>
        </w:rPr>
        <w:t xml:space="preserve"> Discipline of Physiology and Bosch Institute, The University of Sydney, NSW, </w:t>
      </w:r>
      <w:r>
        <w:rPr>
          <w:lang w:val="en-US"/>
        </w:rPr>
        <w:t xml:space="preserve">2006, </w:t>
      </w:r>
      <w:r w:rsidRPr="00BE0F70">
        <w:rPr>
          <w:lang w:val="en-US"/>
        </w:rPr>
        <w:t>Australia.</w:t>
      </w:r>
    </w:p>
    <w:p w14:paraId="7D872956" w14:textId="77777777" w:rsidR="0039304C" w:rsidRPr="00BE0F70" w:rsidRDefault="0039304C" w:rsidP="0039304C">
      <w:pPr>
        <w:spacing w:line="480" w:lineRule="auto"/>
        <w:rPr>
          <w:lang w:val="en-US"/>
        </w:rPr>
      </w:pPr>
      <w:r w:rsidRPr="00BE0F70">
        <w:rPr>
          <w:vertAlign w:val="superscript"/>
          <w:lang w:val="en-US"/>
        </w:rPr>
        <w:t xml:space="preserve">3 </w:t>
      </w:r>
      <w:r w:rsidRPr="00BE0F70">
        <w:rPr>
          <w:lang w:val="en-US"/>
        </w:rPr>
        <w:t>School of Medical Sciences (Discipline of Anatomy and Histology), The Bosch Institute, The Univer</w:t>
      </w:r>
      <w:r>
        <w:rPr>
          <w:lang w:val="en-US"/>
        </w:rPr>
        <w:t>sity of Sydney, NSW, 2006, Australia.</w:t>
      </w:r>
    </w:p>
    <w:p w14:paraId="4549D02A" w14:textId="77777777" w:rsidR="0039304C" w:rsidRPr="00BE0F70" w:rsidRDefault="0039304C" w:rsidP="0039304C">
      <w:pPr>
        <w:spacing w:line="480" w:lineRule="auto"/>
        <w:rPr>
          <w:lang w:val="en-US"/>
        </w:rPr>
      </w:pPr>
      <w:r w:rsidRPr="00BE0F70">
        <w:rPr>
          <w:vertAlign w:val="superscript"/>
          <w:lang w:val="en-US"/>
        </w:rPr>
        <w:t xml:space="preserve">4 </w:t>
      </w:r>
      <w:r w:rsidRPr="00BE0F70">
        <w:rPr>
          <w:lang w:val="en-US"/>
        </w:rPr>
        <w:t>Australian Centre for Microscopy &amp; Microanalysis (ACMM), The Univer</w:t>
      </w:r>
      <w:r>
        <w:rPr>
          <w:lang w:val="en-US"/>
        </w:rPr>
        <w:t>sity of Sydney, NSW, 2006, Australia.</w:t>
      </w:r>
    </w:p>
    <w:p w14:paraId="3BC3A1EA" w14:textId="77777777" w:rsidR="0039304C" w:rsidRPr="00BE0F70" w:rsidRDefault="0039304C" w:rsidP="0039304C">
      <w:pPr>
        <w:spacing w:line="480" w:lineRule="auto"/>
        <w:rPr>
          <w:lang w:val="en-US"/>
        </w:rPr>
      </w:pPr>
      <w:r w:rsidRPr="00BE0F70">
        <w:rPr>
          <w:vertAlign w:val="superscript"/>
          <w:lang w:val="en-US"/>
        </w:rPr>
        <w:t>5</w:t>
      </w:r>
      <w:r w:rsidRPr="00BE0F70">
        <w:rPr>
          <w:lang w:val="en-US"/>
        </w:rPr>
        <w:t xml:space="preserve"> Departments of Molecular Medicine &amp; Neurology, Concord Clinical School, The University of Sydney, NSW, </w:t>
      </w:r>
      <w:r>
        <w:rPr>
          <w:lang w:val="en-US"/>
        </w:rPr>
        <w:t xml:space="preserve">2006, </w:t>
      </w:r>
      <w:r w:rsidRPr="00BE0F70">
        <w:rPr>
          <w:lang w:val="en-US"/>
        </w:rPr>
        <w:t>Australia.</w:t>
      </w:r>
    </w:p>
    <w:p w14:paraId="7E978981" w14:textId="77777777" w:rsidR="0039304C" w:rsidRDefault="0039304C">
      <w:pPr>
        <w:spacing w:after="160" w:line="259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14:paraId="156212E8" w14:textId="5EC9CBAD" w:rsidR="00D527B6" w:rsidRPr="008D71E7" w:rsidRDefault="001D0EDA" w:rsidP="00D527B6">
      <w:pPr>
        <w:spacing w:line="36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 xml:space="preserve">Morsch et al.   </w:t>
      </w:r>
      <w:r w:rsidR="00D527B6" w:rsidRPr="008D71E7">
        <w:rPr>
          <w:b/>
          <w:lang w:val="en-US"/>
        </w:rPr>
        <w:t xml:space="preserve">Supplementary material </w:t>
      </w:r>
    </w:p>
    <w:p w14:paraId="6E7C15C3" w14:textId="77777777" w:rsidR="00D527B6" w:rsidRDefault="00D527B6" w:rsidP="00D527B6">
      <w:pPr>
        <w:spacing w:line="360" w:lineRule="auto"/>
        <w:jc w:val="both"/>
        <w:rPr>
          <w:b/>
          <w:lang w:val="en-US"/>
        </w:rPr>
      </w:pPr>
      <w:r w:rsidRPr="00D527B6">
        <w:rPr>
          <w:b/>
          <w:noProof/>
          <w:lang w:val="en-AU" w:eastAsia="en-AU"/>
        </w:rPr>
        <w:drawing>
          <wp:inline distT="0" distB="0" distL="0" distR="0" wp14:anchorId="3617C24C" wp14:editId="48859D26">
            <wp:extent cx="5270500" cy="4743450"/>
            <wp:effectExtent l="0" t="0" r="635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49"/>
                    <a:stretch/>
                  </pic:blipFill>
                  <pic:spPr>
                    <a:xfrm>
                      <a:off x="0" y="0"/>
                      <a:ext cx="5270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BBE9F" w14:textId="77777777" w:rsidR="00D527B6" w:rsidRPr="008D71E7" w:rsidRDefault="00D527B6" w:rsidP="00D527B6">
      <w:pPr>
        <w:spacing w:line="360" w:lineRule="auto"/>
        <w:jc w:val="both"/>
        <w:rPr>
          <w:b/>
          <w:lang w:val="en-US"/>
        </w:rPr>
      </w:pPr>
      <w:r w:rsidRPr="008D71E7">
        <w:rPr>
          <w:b/>
          <w:lang w:val="en-US"/>
        </w:rPr>
        <w:t>Supplementary Fig. S1:</w:t>
      </w:r>
      <w:r w:rsidRPr="008D71E7">
        <w:rPr>
          <w:lang w:val="en-US"/>
        </w:rPr>
        <w:t xml:space="preserve"> </w:t>
      </w:r>
      <w:r w:rsidRPr="008D71E7">
        <w:rPr>
          <w:b/>
          <w:lang w:val="en-US"/>
        </w:rPr>
        <w:t>Acetylcholine receptor density did not change with cannabinoid treatment</w:t>
      </w:r>
    </w:p>
    <w:p w14:paraId="3FAC9914" w14:textId="45D70F0A" w:rsidR="00D527B6" w:rsidRDefault="00D527B6" w:rsidP="00D527B6">
      <w:pPr>
        <w:spacing w:line="360" w:lineRule="auto"/>
        <w:jc w:val="both"/>
        <w:rPr>
          <w:lang w:val="en-US"/>
        </w:rPr>
      </w:pPr>
      <w:r w:rsidRPr="008D71E7">
        <w:rPr>
          <w:b/>
          <w:lang w:val="en-US"/>
        </w:rPr>
        <w:t>(a)</w:t>
      </w:r>
      <w:r w:rsidRPr="008D71E7">
        <w:rPr>
          <w:lang w:val="en-US"/>
        </w:rPr>
        <w:t xml:space="preserve"> Representative enface image of postsynaptic AChR at motor endplates. Longitudinal sections of the diaphragm muscle were labeled with Alexa-555-α-bungarotoxin. Confocal microscope image stacks of endplates were collected and projected to two-dimensional maximum projection images. </w:t>
      </w:r>
      <w:r w:rsidRPr="008D71E7">
        <w:rPr>
          <w:b/>
          <w:lang w:val="en-US"/>
        </w:rPr>
        <w:t>(b)</w:t>
      </w:r>
      <w:r w:rsidRPr="008D71E7">
        <w:rPr>
          <w:lang w:val="en-US"/>
        </w:rPr>
        <w:t xml:space="preserve"> Binary image generated by </w:t>
      </w:r>
      <w:r w:rsidRPr="00C3650A">
        <w:rPr>
          <w:lang w:val="en-US"/>
        </w:rPr>
        <w:t xml:space="preserve">thresholding the image in panel a, illustrating how area was measured. </w:t>
      </w:r>
      <w:r w:rsidRPr="00C3650A">
        <w:rPr>
          <w:b/>
          <w:lang w:val="en-US"/>
        </w:rPr>
        <w:t>(c)</w:t>
      </w:r>
      <w:r w:rsidRPr="00C3650A">
        <w:rPr>
          <w:lang w:val="en-US"/>
        </w:rPr>
        <w:t xml:space="preserve"> Average intensity of fluorescent labeling for AChR </w:t>
      </w:r>
      <w:r w:rsidR="00EB6675" w:rsidRPr="00C3650A">
        <w:rPr>
          <w:lang w:val="en-US"/>
        </w:rPr>
        <w:t xml:space="preserve">at endplates </w:t>
      </w:r>
      <w:r w:rsidR="00AA0CE0" w:rsidRPr="00C3650A">
        <w:rPr>
          <w:lang w:val="en-US"/>
        </w:rPr>
        <w:t xml:space="preserve">sampled from </w:t>
      </w:r>
      <w:r w:rsidRPr="00C3650A">
        <w:rPr>
          <w:lang w:val="en-US"/>
        </w:rPr>
        <w:t>muscles treated with either AM630 or WIN</w:t>
      </w:r>
      <w:r w:rsidR="00EB6675" w:rsidRPr="00C3650A">
        <w:rPr>
          <w:lang w:val="en-US"/>
        </w:rPr>
        <w:t xml:space="preserve"> compared to untreated control endplates</w:t>
      </w:r>
      <w:r w:rsidRPr="00C3650A">
        <w:rPr>
          <w:lang w:val="en-US"/>
        </w:rPr>
        <w:t xml:space="preserve">. Fluorescence intensity is expressed as a percentage of untreated control endplates (horizontal line). </w:t>
      </w:r>
      <w:r w:rsidRPr="00C3650A">
        <w:rPr>
          <w:b/>
          <w:lang w:val="en-US"/>
        </w:rPr>
        <w:t>(d)</w:t>
      </w:r>
      <w:r w:rsidRPr="00C3650A">
        <w:rPr>
          <w:lang w:val="en-US"/>
        </w:rPr>
        <w:t xml:space="preserve"> Principle of </w:t>
      </w:r>
      <w:r w:rsidRPr="008D71E7">
        <w:rPr>
          <w:lang w:val="en-US"/>
        </w:rPr>
        <w:t xml:space="preserve">our FRET approach to quantify postsynaptic receptor density. In this assay, efficient FRET is detected </w:t>
      </w:r>
      <w:r w:rsidRPr="008D71E7">
        <w:rPr>
          <w:lang w:val="en-US"/>
        </w:rPr>
        <w:lastRenderedPageBreak/>
        <w:t xml:space="preserve">when adjacent pentameric </w:t>
      </w:r>
      <w:proofErr w:type="spellStart"/>
      <w:r w:rsidRPr="008D71E7">
        <w:rPr>
          <w:lang w:val="en-US"/>
        </w:rPr>
        <w:t>AChRs</w:t>
      </w:r>
      <w:proofErr w:type="spellEnd"/>
      <w:r w:rsidRPr="008D71E7">
        <w:rPr>
          <w:lang w:val="en-US"/>
        </w:rPr>
        <w:t xml:space="preserve"> are closely packed in the postsynaptic membrane. </w:t>
      </w:r>
      <w:r w:rsidRPr="008D71E7">
        <w:rPr>
          <w:b/>
          <w:lang w:val="en-US"/>
        </w:rPr>
        <w:t>(e)</w:t>
      </w:r>
      <w:r w:rsidRPr="008D71E7">
        <w:rPr>
          <w:lang w:val="en-US"/>
        </w:rPr>
        <w:t xml:space="preserve"> Representative FRET examples for the treatment with WIN and AM630 (CB</w:t>
      </w:r>
      <w:r w:rsidRPr="008D71E7">
        <w:rPr>
          <w:vertAlign w:val="subscript"/>
          <w:lang w:val="en-US"/>
        </w:rPr>
        <w:t>2</w:t>
      </w:r>
      <w:r w:rsidRPr="008D71E7">
        <w:rPr>
          <w:lang w:val="en-US"/>
        </w:rPr>
        <w:t xml:space="preserve"> anta). AChRs were labeled with a mixture of TRITC-α-BGT (red) and Alexa647-α-BGT (blue). The photobleaching of acceptor method was used to assess FRET efficiency </w:t>
      </w:r>
      <w:r w:rsidR="00BB1DDC">
        <w:rPr>
          <w:lang w:val="en-US"/>
        </w:rPr>
        <w:t>and</w:t>
      </w:r>
      <w:r w:rsidRPr="008D71E7">
        <w:rPr>
          <w:lang w:val="en-US"/>
        </w:rPr>
        <w:t xml:space="preserve"> was calculated from the increase of the fluorescence intensity of the donor after the acceptor fluorophor was selectively photobleached</w:t>
      </w:r>
      <w:r w:rsidRPr="008D71E7">
        <w:rPr>
          <w:lang w:val="en-US"/>
        </w:rPr>
        <w:fldChar w:fldCharType="begin"/>
      </w:r>
      <w:r w:rsidRPr="008D71E7">
        <w:rPr>
          <w:lang w:val="en-US"/>
        </w:rPr>
        <w:instrText xml:space="preserve"> ADDIN EN.CITE &lt;EndNote&gt;&lt;Cite&gt;&lt;Author&gt;Gervasio&lt;/Author&gt;&lt;Year&gt;2007&lt;/Year&gt;&lt;RecNum&gt;80&lt;/RecNum&gt;&lt;DisplayText&gt;&lt;style face="superscript"&gt;21&lt;/style&gt;&lt;/DisplayText&gt;&lt;record&gt;&lt;rec-number&gt;80&lt;/rec-number&gt;&lt;foreign-keys&gt;&lt;key app="EN" db-id="5pfx2xdvyzfevheap0gv2rrhwdd9t20tdtdx" timestamp="1415856220"&gt;80&lt;/key&gt;&lt;/foreign-keys&gt;&lt;ref-type name="Journal Article"&gt;17&lt;/ref-type&gt;&lt;contributors&gt;&lt;authors&gt;&lt;author&gt;Gervasio, O. L.&lt;/author&gt;&lt;author&gt;Armson, P. F.&lt;/author&gt;&lt;author&gt;Phillips, W. D.&lt;/author&gt;&lt;/authors&gt;&lt;/contributors&gt;&lt;auth-address&gt;School of Medical Sciences (Physiology), Bosch Institute, University of Sydney, Sydney, Australia.&lt;/auth-address&gt;&lt;titles&gt;&lt;title&gt;Developmental increase in the amount of rapsyn per acetylcholine receptor promotes postsynaptic receptor packing and stability&lt;/title&gt;&lt;secondary-title&gt;Dev Biol&lt;/secondary-title&gt;&lt;alt-title&gt;Developmental biology&lt;/alt-title&gt;&lt;/titles&gt;&lt;periodical&gt;&lt;full-title&gt;Dev Biol&lt;/full-title&gt;&lt;abbr-1&gt;Developmental biology&lt;/abbr-1&gt;&lt;/periodical&gt;&lt;alt-periodical&gt;&lt;full-title&gt;Dev Biol&lt;/full-title&gt;&lt;abbr-1&gt;Developmental biology&lt;/abbr-1&gt;&lt;/alt-periodical&gt;&lt;pages&gt;262-75&lt;/pages&gt;&lt;volume&gt;305&lt;/volume&gt;&lt;number&gt;1&lt;/number&gt;&lt;keywords&gt;&lt;keyword&gt;Animals&lt;/keyword&gt;&lt;keyword&gt;Female&lt;/keyword&gt;&lt;keyword&gt;Fluorescence Resonance Energy Transfer/*methods&lt;/keyword&gt;&lt;keyword&gt;Mice&lt;/keyword&gt;&lt;keyword&gt;Mice, Mutant Strains&lt;/keyword&gt;&lt;keyword&gt;Muscle Proteins/*metabolism&lt;/keyword&gt;&lt;keyword&gt;Muscle, Skeletal/metabolism&lt;/keyword&gt;&lt;keyword&gt;Neuromuscular Junction/*growth &amp;amp; development/*metabolism&lt;/keyword&gt;&lt;keyword&gt;Receptor Aggregation/*physiology&lt;/keyword&gt;&lt;keyword&gt;Receptors, Nicotinic/*metabolism&lt;/keyword&gt;&lt;keyword&gt;Synaptic Transmission/*physiology&lt;/keyword&gt;&lt;/keywords&gt;&lt;dates&gt;&lt;year&gt;2007&lt;/year&gt;&lt;pub-dates&gt;&lt;date&gt;May 1&lt;/date&gt;&lt;/pub-dates&gt;&lt;/dates&gt;&lt;isbn&gt;0012-1606 (Print)&amp;#xD;0012-1606 (Linking)&lt;/isbn&gt;&lt;accession-num&gt;17362913&lt;/accession-num&gt;&lt;urls&gt;&lt;related-urls&gt;&lt;url&gt;http://www.ncbi.nlm.nih.gov/pubmed/17362913&lt;/url&gt;&lt;/related-urls&gt;&lt;/urls&gt;&lt;electronic-resource-num&gt;10.1016/j.ydbio.2007.02.008&lt;/electronic-resource-num&gt;&lt;/record&gt;&lt;/Cite&gt;&lt;/EndNote&gt;</w:instrText>
      </w:r>
      <w:r w:rsidRPr="008D71E7">
        <w:rPr>
          <w:lang w:val="en-US"/>
        </w:rPr>
        <w:fldChar w:fldCharType="separate"/>
      </w:r>
      <w:r w:rsidRPr="008D71E7">
        <w:rPr>
          <w:noProof/>
          <w:vertAlign w:val="superscript"/>
          <w:lang w:val="en-US"/>
        </w:rPr>
        <w:t>21</w:t>
      </w:r>
      <w:r w:rsidRPr="008D71E7">
        <w:rPr>
          <w:lang w:val="en-US"/>
        </w:rPr>
        <w:fldChar w:fldCharType="end"/>
      </w:r>
      <w:r w:rsidRPr="008D71E7">
        <w:rPr>
          <w:lang w:val="en-US"/>
        </w:rPr>
        <w:t>.</w:t>
      </w:r>
    </w:p>
    <w:p w14:paraId="5B795A66" w14:textId="69F70C40" w:rsidR="00D527B6" w:rsidRDefault="00CA4268" w:rsidP="004348A1">
      <w:pPr>
        <w:spacing w:after="160" w:line="259" w:lineRule="auto"/>
        <w:rPr>
          <w:b/>
          <w:lang w:val="en-US"/>
        </w:rPr>
      </w:pPr>
      <w:r>
        <w:rPr>
          <w:lang w:val="en-US"/>
        </w:rPr>
        <w:br w:type="page"/>
      </w:r>
    </w:p>
    <w:p w14:paraId="598DD57E" w14:textId="1C3F43B4" w:rsidR="00D527B6" w:rsidRDefault="002A7992" w:rsidP="00D527B6">
      <w:pPr>
        <w:spacing w:line="360" w:lineRule="auto"/>
        <w:jc w:val="both"/>
        <w:rPr>
          <w:b/>
          <w:lang w:val="en-US"/>
        </w:rPr>
      </w:pPr>
      <w:r>
        <w:rPr>
          <w:b/>
          <w:noProof/>
          <w:lang w:val="en-AU" w:eastAsia="en-AU"/>
        </w:rPr>
        <w:lastRenderedPageBreak/>
        <w:drawing>
          <wp:inline distT="0" distB="0" distL="0" distR="0" wp14:anchorId="42150B82" wp14:editId="156050AB">
            <wp:extent cx="4346575" cy="40874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4_Pyrido effect_v9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30"/>
                    <a:stretch/>
                  </pic:blipFill>
                  <pic:spPr bwMode="auto">
                    <a:xfrm>
                      <a:off x="0" y="0"/>
                      <a:ext cx="4346575" cy="408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C14CD" w14:textId="77777777" w:rsidR="00D527B6" w:rsidRPr="008D71E7" w:rsidRDefault="00D527B6" w:rsidP="00D527B6">
      <w:pPr>
        <w:spacing w:line="360" w:lineRule="auto"/>
        <w:jc w:val="both"/>
        <w:rPr>
          <w:lang w:val="en-US"/>
        </w:rPr>
      </w:pPr>
      <w:r w:rsidRPr="008D71E7">
        <w:rPr>
          <w:b/>
          <w:lang w:val="en-US"/>
        </w:rPr>
        <w:t>Supplementary Fig. S2:</w:t>
      </w:r>
      <w:r w:rsidRPr="008D71E7">
        <w:rPr>
          <w:lang w:val="en-US"/>
        </w:rPr>
        <w:t xml:space="preserve"> </w:t>
      </w:r>
      <w:r w:rsidRPr="008D71E7">
        <w:rPr>
          <w:b/>
          <w:lang w:val="en-US"/>
        </w:rPr>
        <w:t>WIN does not increase mEPP amplitude by inhibiting acetylcholinesterase</w:t>
      </w:r>
      <w:r w:rsidRPr="008D71E7">
        <w:rPr>
          <w:lang w:val="en-US"/>
        </w:rPr>
        <w:t xml:space="preserve">. </w:t>
      </w:r>
    </w:p>
    <w:p w14:paraId="667F4A0E" w14:textId="718A24D1" w:rsidR="00D527B6" w:rsidRPr="008D71E7" w:rsidRDefault="00EA735E" w:rsidP="006F2C0F">
      <w:pPr>
        <w:spacing w:line="360" w:lineRule="auto"/>
        <w:jc w:val="both"/>
        <w:rPr>
          <w:lang w:val="en-US"/>
        </w:rPr>
      </w:pPr>
      <w:r w:rsidRPr="00C3650A">
        <w:rPr>
          <w:b/>
          <w:lang w:val="en-US"/>
        </w:rPr>
        <w:t>(a)</w:t>
      </w:r>
      <w:r w:rsidRPr="00C3650A">
        <w:rPr>
          <w:lang w:val="en-US"/>
        </w:rPr>
        <w:t xml:space="preserve"> </w:t>
      </w:r>
      <w:r w:rsidR="00CD3A12" w:rsidRPr="00C3650A">
        <w:rPr>
          <w:lang w:val="en-US"/>
        </w:rPr>
        <w:t xml:space="preserve">Representative mEPP traces </w:t>
      </w:r>
      <w:r w:rsidR="00FF6786" w:rsidRPr="00C3650A">
        <w:rPr>
          <w:lang w:val="en-US"/>
        </w:rPr>
        <w:t xml:space="preserve">illustrating </w:t>
      </w:r>
      <w:r w:rsidR="00CD3A12" w:rsidRPr="00C3650A">
        <w:rPr>
          <w:lang w:val="en-US"/>
        </w:rPr>
        <w:t xml:space="preserve">the increase in amplitude after WIN treatment </w:t>
      </w:r>
      <w:r w:rsidR="002A7992" w:rsidRPr="00C3650A">
        <w:rPr>
          <w:lang w:val="en-US"/>
        </w:rPr>
        <w:t xml:space="preserve">in the presence of 10µM pyridostigmine </w:t>
      </w:r>
      <w:r w:rsidR="00CD3A12" w:rsidRPr="00C3650A">
        <w:rPr>
          <w:lang w:val="en-US"/>
        </w:rPr>
        <w:t xml:space="preserve">(black trace </w:t>
      </w:r>
      <w:r w:rsidR="002A7992" w:rsidRPr="00C3650A">
        <w:rPr>
          <w:lang w:val="en-US"/>
        </w:rPr>
        <w:t>pyrido</w:t>
      </w:r>
      <w:r w:rsidR="00C66709" w:rsidRPr="00C3650A">
        <w:rPr>
          <w:lang w:val="en-US"/>
        </w:rPr>
        <w:t>stigmine</w:t>
      </w:r>
      <w:r w:rsidR="00CD3A12" w:rsidRPr="00C3650A">
        <w:rPr>
          <w:lang w:val="en-US"/>
        </w:rPr>
        <w:t xml:space="preserve">; red trace </w:t>
      </w:r>
      <w:r w:rsidR="002A7992" w:rsidRPr="00C3650A">
        <w:rPr>
          <w:lang w:val="en-US"/>
        </w:rPr>
        <w:t>pyrido</w:t>
      </w:r>
      <w:r w:rsidR="00C66709" w:rsidRPr="00C3650A">
        <w:rPr>
          <w:lang w:val="en-US"/>
        </w:rPr>
        <w:t>stigmine</w:t>
      </w:r>
      <w:r w:rsidR="002A7992" w:rsidRPr="00C3650A">
        <w:rPr>
          <w:lang w:val="en-US"/>
        </w:rPr>
        <w:t xml:space="preserve"> + </w:t>
      </w:r>
      <w:r w:rsidR="00CD3A12" w:rsidRPr="00C3650A">
        <w:rPr>
          <w:lang w:val="en-US"/>
        </w:rPr>
        <w:t>10 µM W</w:t>
      </w:r>
      <w:r w:rsidR="00C66709" w:rsidRPr="00C3650A">
        <w:rPr>
          <w:lang w:val="en-US"/>
        </w:rPr>
        <w:t>IN</w:t>
      </w:r>
      <w:r w:rsidR="00CD3A12" w:rsidRPr="00C3650A">
        <w:rPr>
          <w:lang w:val="en-US"/>
        </w:rPr>
        <w:t xml:space="preserve">). </w:t>
      </w:r>
      <w:r w:rsidR="00CD3A12" w:rsidRPr="00C3650A">
        <w:rPr>
          <w:b/>
          <w:lang w:val="en-US"/>
        </w:rPr>
        <w:t>(b)</w:t>
      </w:r>
      <w:r w:rsidR="00CD3A12" w:rsidRPr="00C3650A">
        <w:rPr>
          <w:lang w:val="en-US"/>
        </w:rPr>
        <w:t xml:space="preserve"> </w:t>
      </w:r>
      <w:r w:rsidRPr="00C3650A">
        <w:rPr>
          <w:lang w:val="en-US"/>
        </w:rPr>
        <w:t>Mean mEPP amplitude</w:t>
      </w:r>
      <w:r w:rsidR="00CD3A12" w:rsidRPr="00C3650A">
        <w:rPr>
          <w:lang w:val="en-US"/>
        </w:rPr>
        <w:t xml:space="preserve"> analysis</w:t>
      </w:r>
      <w:r w:rsidRPr="00C3650A">
        <w:rPr>
          <w:lang w:val="en-US"/>
        </w:rPr>
        <w:t xml:space="preserve">. The presence of 10 µM pyridostigmine did not block a WIN-induced </w:t>
      </w:r>
      <w:r w:rsidR="006633B3" w:rsidRPr="00C3650A">
        <w:rPr>
          <w:lang w:val="en-US"/>
        </w:rPr>
        <w:t>1.4-fold</w:t>
      </w:r>
      <w:r w:rsidRPr="00C3650A">
        <w:rPr>
          <w:lang w:val="en-US"/>
        </w:rPr>
        <w:t xml:space="preserve"> increase in the average mEPP amplitude (*P&lt;0.05). </w:t>
      </w:r>
      <w:r w:rsidR="00D527B6" w:rsidRPr="00C3650A">
        <w:rPr>
          <w:b/>
          <w:lang w:val="en-US"/>
        </w:rPr>
        <w:t>(</w:t>
      </w:r>
      <w:r w:rsidRPr="00C3650A">
        <w:rPr>
          <w:b/>
          <w:lang w:val="en-US"/>
        </w:rPr>
        <w:t>c</w:t>
      </w:r>
      <w:r w:rsidR="00D527B6" w:rsidRPr="00C3650A">
        <w:rPr>
          <w:b/>
          <w:lang w:val="en-US"/>
        </w:rPr>
        <w:t>)</w:t>
      </w:r>
      <w:r w:rsidR="00D527B6" w:rsidRPr="00C3650A">
        <w:rPr>
          <w:lang w:val="en-US"/>
        </w:rPr>
        <w:t xml:space="preserve"> </w:t>
      </w:r>
      <w:r w:rsidR="00381FBE" w:rsidRPr="00C3650A">
        <w:rPr>
          <w:lang w:val="en-US"/>
        </w:rPr>
        <w:t xml:space="preserve">Examples of </w:t>
      </w:r>
      <w:r w:rsidR="00D527B6" w:rsidRPr="00C3650A">
        <w:rPr>
          <w:lang w:val="en-US"/>
        </w:rPr>
        <w:t xml:space="preserve">mEPP traces recorded from fibers in an untreated diaphragm muscle (black trace) and after exposure of </w:t>
      </w:r>
      <w:r w:rsidR="00D527B6" w:rsidRPr="008D71E7">
        <w:rPr>
          <w:lang w:val="en-US"/>
        </w:rPr>
        <w:t xml:space="preserve">the muscle to bath-applied 10 µM WIN (red trace), 10 µM pyridostigmine (blue </w:t>
      </w:r>
      <w:r w:rsidR="00D527B6" w:rsidRPr="00C3650A">
        <w:rPr>
          <w:lang w:val="en-US"/>
        </w:rPr>
        <w:t xml:space="preserve">trace), or pyridostigmine plus WIN (green trace). </w:t>
      </w:r>
      <w:r w:rsidR="00381FBE" w:rsidRPr="00C3650A">
        <w:rPr>
          <w:lang w:val="en-US"/>
        </w:rPr>
        <w:t>For the purpose of illustrating the prolonged mEPP decay that was consistently observed in the presence of pyridostigmine</w:t>
      </w:r>
      <w:r w:rsidR="00601ED0" w:rsidRPr="00C3650A">
        <w:rPr>
          <w:lang w:val="en-US"/>
        </w:rPr>
        <w:t>,</w:t>
      </w:r>
      <w:r w:rsidR="00381FBE" w:rsidRPr="00C3650A">
        <w:rPr>
          <w:lang w:val="en-US"/>
        </w:rPr>
        <w:t xml:space="preserve"> t</w:t>
      </w:r>
      <w:r w:rsidR="00D527B6" w:rsidRPr="00C3650A">
        <w:rPr>
          <w:lang w:val="en-US"/>
        </w:rPr>
        <w:t xml:space="preserve">races of similar amplitude were </w:t>
      </w:r>
      <w:r w:rsidR="00381FBE" w:rsidRPr="00C3650A">
        <w:rPr>
          <w:lang w:val="en-US"/>
        </w:rPr>
        <w:t>superimposed</w:t>
      </w:r>
      <w:r w:rsidR="00D527B6" w:rsidRPr="00C3650A">
        <w:rPr>
          <w:lang w:val="en-US"/>
        </w:rPr>
        <w:t xml:space="preserve">. </w:t>
      </w:r>
      <w:r w:rsidR="00CD3A12" w:rsidRPr="00C3650A">
        <w:rPr>
          <w:b/>
          <w:lang w:val="en-US"/>
        </w:rPr>
        <w:t>(d)</w:t>
      </w:r>
      <w:r w:rsidR="00CD3A12" w:rsidRPr="00C3650A">
        <w:rPr>
          <w:lang w:val="en-US"/>
        </w:rPr>
        <w:t xml:space="preserve"> Mean decay time (90-10%) </w:t>
      </w:r>
      <w:r w:rsidR="007B25C6" w:rsidRPr="00C3650A">
        <w:rPr>
          <w:lang w:val="en-US"/>
        </w:rPr>
        <w:t xml:space="preserve">for all sampled traces (irrespective of amplitude) </w:t>
      </w:r>
      <w:r w:rsidR="00CD3A12" w:rsidRPr="00C3650A">
        <w:rPr>
          <w:lang w:val="en-US"/>
        </w:rPr>
        <w:t xml:space="preserve">was significantly prolonged by pyridostigmine while WIN had no significant effect upon decay time. </w:t>
      </w:r>
      <w:r w:rsidR="00CD3A12" w:rsidRPr="008D71E7">
        <w:rPr>
          <w:lang w:val="en-US"/>
        </w:rPr>
        <w:t xml:space="preserve">Bar graphs represent the mean ± SEM for n=3-4 mice and measurements of 8 to </w:t>
      </w:r>
      <w:r w:rsidR="00CD3A12" w:rsidRPr="008D71E7">
        <w:rPr>
          <w:lang w:val="en-US"/>
        </w:rPr>
        <w:lastRenderedPageBreak/>
        <w:t>17 fibers for each mouse (*P&lt;0.05; paired Student's t-test in B and one-way ANOVA in C).</w:t>
      </w:r>
      <w:r w:rsidR="00381FBE">
        <w:rPr>
          <w:lang w:val="en-US"/>
        </w:rPr>
        <w:br w:type="page"/>
      </w:r>
    </w:p>
    <w:p w14:paraId="09DA5044" w14:textId="6181CB76" w:rsidR="00D527B6" w:rsidRDefault="00E84E10" w:rsidP="00D527B6">
      <w:pPr>
        <w:spacing w:line="360" w:lineRule="auto"/>
        <w:jc w:val="both"/>
        <w:rPr>
          <w:b/>
          <w:lang w:val="en-US"/>
        </w:rPr>
      </w:pPr>
      <w:r>
        <w:rPr>
          <w:b/>
          <w:noProof/>
          <w:lang w:val="en-AU" w:eastAsia="en-AU"/>
        </w:rPr>
        <w:lastRenderedPageBreak/>
        <w:drawing>
          <wp:inline distT="0" distB="0" distL="0" distR="0" wp14:anchorId="4B6769E0" wp14:editId="1AC8497C">
            <wp:extent cx="2790825" cy="5500482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 S2 Vesamicol &amp; Bafilomycin_v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719" cy="550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E3D9" w14:textId="77777777" w:rsidR="00D527B6" w:rsidRDefault="00D527B6" w:rsidP="00D527B6">
      <w:pPr>
        <w:spacing w:line="360" w:lineRule="auto"/>
        <w:jc w:val="both"/>
        <w:rPr>
          <w:b/>
          <w:lang w:val="en-US"/>
        </w:rPr>
      </w:pPr>
    </w:p>
    <w:p w14:paraId="6F42B693" w14:textId="77777777" w:rsidR="00D527B6" w:rsidRPr="008D71E7" w:rsidRDefault="00D527B6" w:rsidP="00D527B6">
      <w:pPr>
        <w:spacing w:line="360" w:lineRule="auto"/>
        <w:jc w:val="both"/>
        <w:rPr>
          <w:lang w:val="en-US"/>
        </w:rPr>
      </w:pPr>
      <w:r w:rsidRPr="008D71E7">
        <w:rPr>
          <w:b/>
          <w:lang w:val="en-US"/>
        </w:rPr>
        <w:t>Supplementary Fig. S3:</w:t>
      </w:r>
      <w:r w:rsidRPr="008D71E7">
        <w:rPr>
          <w:lang w:val="en-US"/>
        </w:rPr>
        <w:t xml:space="preserve"> </w:t>
      </w:r>
      <w:r w:rsidRPr="008D71E7">
        <w:rPr>
          <w:b/>
          <w:lang w:val="en-US"/>
        </w:rPr>
        <w:t>Effects of blockers of presynaptic vesicle filling upon synaptic potentials</w:t>
      </w:r>
    </w:p>
    <w:p w14:paraId="6D630ED3" w14:textId="090B3093" w:rsidR="00D527B6" w:rsidRPr="008D71E7" w:rsidRDefault="00D527B6" w:rsidP="00D527B6">
      <w:pPr>
        <w:spacing w:line="360" w:lineRule="auto"/>
        <w:jc w:val="both"/>
        <w:rPr>
          <w:lang w:val="en-US"/>
        </w:rPr>
      </w:pPr>
      <w:r w:rsidRPr="00C3650A">
        <w:rPr>
          <w:lang w:val="en-US"/>
        </w:rPr>
        <w:t xml:space="preserve">Paired bars </w:t>
      </w:r>
      <w:r w:rsidR="00517D82" w:rsidRPr="00C3650A">
        <w:rPr>
          <w:lang w:val="en-US"/>
        </w:rPr>
        <w:t xml:space="preserve">show </w:t>
      </w:r>
      <w:r w:rsidRPr="00C3650A">
        <w:rPr>
          <w:lang w:val="en-US"/>
        </w:rPr>
        <w:t xml:space="preserve">the effect of </w:t>
      </w:r>
      <w:r w:rsidR="002A6116" w:rsidRPr="00C3650A">
        <w:rPr>
          <w:lang w:val="en-US"/>
        </w:rPr>
        <w:t xml:space="preserve">the vesicular proton pump inhibitor bafilomycin (0.1 µM) and </w:t>
      </w:r>
      <w:r w:rsidRPr="00C3650A">
        <w:rPr>
          <w:lang w:val="en-US"/>
        </w:rPr>
        <w:t>the vesicular ACh transporter inhibitor vesamicol (4 µM)</w:t>
      </w:r>
      <w:r w:rsidR="00517D82" w:rsidRPr="00C3650A">
        <w:rPr>
          <w:lang w:val="en-US"/>
        </w:rPr>
        <w:t>,</w:t>
      </w:r>
      <w:r w:rsidRPr="00C3650A">
        <w:rPr>
          <w:lang w:val="en-US"/>
        </w:rPr>
        <w:t xml:space="preserve"> </w:t>
      </w:r>
      <w:r w:rsidR="00517D82" w:rsidRPr="00C3650A">
        <w:rPr>
          <w:lang w:val="en-US"/>
        </w:rPr>
        <w:t xml:space="preserve">compared </w:t>
      </w:r>
      <w:r w:rsidRPr="00C3650A">
        <w:rPr>
          <w:lang w:val="en-US"/>
        </w:rPr>
        <w:t xml:space="preserve">to untreated controls. </w:t>
      </w:r>
      <w:r w:rsidRPr="00C3650A">
        <w:rPr>
          <w:b/>
          <w:lang w:val="en-US"/>
        </w:rPr>
        <w:t xml:space="preserve">(a) </w:t>
      </w:r>
      <w:r w:rsidR="002A6116" w:rsidRPr="00C3650A">
        <w:rPr>
          <w:lang w:val="en-US"/>
        </w:rPr>
        <w:t>As previously reported</w:t>
      </w:r>
      <w:r w:rsidR="002A6116" w:rsidRPr="00C3650A">
        <w:rPr>
          <w:b/>
          <w:lang w:val="en-US"/>
        </w:rPr>
        <w:t xml:space="preserve"> </w:t>
      </w:r>
      <w:r w:rsidR="003A2F2E" w:rsidRPr="00C3650A">
        <w:rPr>
          <w:lang w:val="en-US"/>
        </w:rPr>
        <w:t>n</w:t>
      </w:r>
      <w:r w:rsidRPr="00C3650A">
        <w:rPr>
          <w:lang w:val="en-US"/>
        </w:rPr>
        <w:t xml:space="preserve">either </w:t>
      </w:r>
      <w:r w:rsidR="002A6116" w:rsidRPr="00C3650A">
        <w:rPr>
          <w:lang w:val="en-US"/>
        </w:rPr>
        <w:t xml:space="preserve">bafilomycin nor </w:t>
      </w:r>
      <w:r w:rsidRPr="00C3650A">
        <w:rPr>
          <w:lang w:val="en-US"/>
        </w:rPr>
        <w:t>L-+/--vesamicol had any significant effect on mEPP amplitude when applied on their own</w:t>
      </w:r>
      <w:r w:rsidR="00066ADA" w:rsidRPr="00C3650A">
        <w:rPr>
          <w:lang w:val="en-US"/>
        </w:rPr>
        <w:t xml:space="preserve"> (n=11-14 fibers </w:t>
      </w:r>
      <w:r w:rsidR="00517D82" w:rsidRPr="00C3650A">
        <w:rPr>
          <w:lang w:val="en-US"/>
        </w:rPr>
        <w:t>from 1</w:t>
      </w:r>
      <w:r w:rsidR="00066ADA" w:rsidRPr="00C3650A">
        <w:rPr>
          <w:lang w:val="en-US"/>
        </w:rPr>
        <w:t xml:space="preserve"> mouse)</w:t>
      </w:r>
      <w:r w:rsidRPr="00C3650A">
        <w:rPr>
          <w:lang w:val="en-US"/>
        </w:rPr>
        <w:t xml:space="preserve">. </w:t>
      </w:r>
      <w:bookmarkStart w:id="0" w:name="OLE_LINK14"/>
      <w:bookmarkStart w:id="1" w:name="OLE_LINK15"/>
      <w:r w:rsidRPr="00C3650A">
        <w:rPr>
          <w:b/>
          <w:lang w:val="en-US"/>
        </w:rPr>
        <w:t>(b)</w:t>
      </w:r>
      <w:bookmarkEnd w:id="0"/>
      <w:bookmarkEnd w:id="1"/>
      <w:r w:rsidRPr="00C3650A">
        <w:rPr>
          <w:b/>
          <w:lang w:val="en-US"/>
        </w:rPr>
        <w:t xml:space="preserve"> </w:t>
      </w:r>
      <w:r w:rsidRPr="00C3650A">
        <w:rPr>
          <w:lang w:val="en-US"/>
        </w:rPr>
        <w:t xml:space="preserve">In the presence of </w:t>
      </w:r>
      <w:r w:rsidR="003A2F2E" w:rsidRPr="00C3650A">
        <w:rPr>
          <w:lang w:val="en-US"/>
        </w:rPr>
        <w:t xml:space="preserve">bafilomycin </w:t>
      </w:r>
      <w:r w:rsidR="00933EA8" w:rsidRPr="00C3650A">
        <w:rPr>
          <w:lang w:val="en-US"/>
        </w:rPr>
        <w:t xml:space="preserve">WIN produced no change in EPP amplitude while </w:t>
      </w:r>
      <w:r w:rsidRPr="00C3650A">
        <w:rPr>
          <w:lang w:val="en-US"/>
        </w:rPr>
        <w:t>L-+/--vesamicol</w:t>
      </w:r>
      <w:r w:rsidR="00933EA8" w:rsidRPr="00C3650A">
        <w:rPr>
          <w:lang w:val="en-US"/>
        </w:rPr>
        <w:t xml:space="preserve"> produced a decrease in EPP amplitude </w:t>
      </w:r>
      <w:r w:rsidR="00933EA8" w:rsidRPr="00C3650A">
        <w:rPr>
          <w:b/>
          <w:lang w:val="en-US"/>
        </w:rPr>
        <w:t xml:space="preserve">(b). </w:t>
      </w:r>
      <w:r w:rsidRPr="00C3650A">
        <w:rPr>
          <w:b/>
          <w:lang w:val="en-US"/>
        </w:rPr>
        <w:t>(d-e)</w:t>
      </w:r>
      <w:r w:rsidRPr="00C3650A">
        <w:rPr>
          <w:lang w:val="en-US"/>
        </w:rPr>
        <w:t xml:space="preserve"> </w:t>
      </w:r>
      <w:r w:rsidR="00517D82" w:rsidRPr="00C3650A">
        <w:rPr>
          <w:lang w:val="en-US"/>
        </w:rPr>
        <w:t xml:space="preserve">Quantal content was not altered by the combination of </w:t>
      </w:r>
      <w:r w:rsidRPr="00C3650A">
        <w:rPr>
          <w:lang w:val="en-US"/>
        </w:rPr>
        <w:t>WIN 55,212 (10 µM)</w:t>
      </w:r>
      <w:r w:rsidR="00517D82" w:rsidRPr="00C3650A">
        <w:rPr>
          <w:lang w:val="en-US"/>
        </w:rPr>
        <w:t xml:space="preserve"> plus bafilomycin (0.1 µM) or WIN (10 µM) plus vesamicol </w:t>
      </w:r>
      <w:r w:rsidR="00517D82" w:rsidRPr="00C3650A">
        <w:rPr>
          <w:lang w:val="en-US"/>
        </w:rPr>
        <w:lastRenderedPageBreak/>
        <w:t>(4 µM)</w:t>
      </w:r>
      <w:r w:rsidRPr="00C3650A">
        <w:rPr>
          <w:lang w:val="en-US"/>
        </w:rPr>
        <w:t xml:space="preserve">. </w:t>
      </w:r>
      <w:r w:rsidRPr="00C3650A">
        <w:rPr>
          <w:b/>
          <w:lang w:val="en-US"/>
        </w:rPr>
        <w:t>(f-g)</w:t>
      </w:r>
      <w:r w:rsidRPr="00C3650A" w:rsidDel="00340458">
        <w:rPr>
          <w:b/>
          <w:lang w:val="en-US"/>
        </w:rPr>
        <w:t xml:space="preserve"> </w:t>
      </w:r>
      <w:r w:rsidR="00FA60EE" w:rsidRPr="00C3650A">
        <w:rPr>
          <w:lang w:val="en-US"/>
        </w:rPr>
        <w:t xml:space="preserve">The frequency of spontaneous </w:t>
      </w:r>
      <w:proofErr w:type="spellStart"/>
      <w:r w:rsidR="00FA60EE" w:rsidRPr="00C3650A">
        <w:rPr>
          <w:lang w:val="en-US"/>
        </w:rPr>
        <w:t>mEPPs</w:t>
      </w:r>
      <w:proofErr w:type="spellEnd"/>
      <w:r w:rsidR="00FA60EE" w:rsidRPr="00C3650A">
        <w:rPr>
          <w:lang w:val="en-US"/>
        </w:rPr>
        <w:t xml:space="preserve"> was significantly increased by the combination of WIN</w:t>
      </w:r>
      <w:r w:rsidR="00A61003" w:rsidRPr="00C3650A">
        <w:rPr>
          <w:lang w:val="en-US"/>
        </w:rPr>
        <w:t xml:space="preserve"> </w:t>
      </w:r>
      <w:r w:rsidR="00FA60EE" w:rsidRPr="00C3650A">
        <w:rPr>
          <w:lang w:val="en-US"/>
        </w:rPr>
        <w:t xml:space="preserve">plus </w:t>
      </w:r>
      <w:r w:rsidR="00933EA8" w:rsidRPr="00C3650A">
        <w:rPr>
          <w:lang w:val="en-US"/>
        </w:rPr>
        <w:t xml:space="preserve">Bafilomycin and </w:t>
      </w:r>
      <w:r w:rsidR="00FA60EE" w:rsidRPr="00C3650A">
        <w:rPr>
          <w:lang w:val="en-US"/>
        </w:rPr>
        <w:t xml:space="preserve">WIN plus </w:t>
      </w:r>
      <w:r w:rsidRPr="00C3650A">
        <w:rPr>
          <w:lang w:val="en-US"/>
        </w:rPr>
        <w:t>L-+/--vesamicol</w:t>
      </w:r>
      <w:r w:rsidR="00C279D5" w:rsidRPr="00C3650A">
        <w:rPr>
          <w:lang w:val="en-US"/>
        </w:rPr>
        <w:t xml:space="preserve">. </w:t>
      </w:r>
      <w:r w:rsidR="00933EA8" w:rsidRPr="00C3650A">
        <w:rPr>
          <w:lang w:val="en-US"/>
        </w:rPr>
        <w:t>In b-g e</w:t>
      </w:r>
      <w:r w:rsidR="00C279D5" w:rsidRPr="00C3650A">
        <w:rPr>
          <w:lang w:val="en-US"/>
        </w:rPr>
        <w:t>ach bar represents the mean ± SEM</w:t>
      </w:r>
      <w:r w:rsidRPr="00C3650A">
        <w:rPr>
          <w:lang w:val="en-US"/>
        </w:rPr>
        <w:t xml:space="preserve"> with measurements </w:t>
      </w:r>
      <w:r w:rsidR="00C279D5" w:rsidRPr="00C3650A">
        <w:rPr>
          <w:lang w:val="en-US"/>
        </w:rPr>
        <w:t>n=</w:t>
      </w:r>
      <w:r w:rsidR="00933EA8" w:rsidRPr="00C3650A">
        <w:rPr>
          <w:lang w:val="en-US"/>
        </w:rPr>
        <w:t>3</w:t>
      </w:r>
      <w:r w:rsidRPr="00C3650A">
        <w:rPr>
          <w:lang w:val="en-US"/>
        </w:rPr>
        <w:t xml:space="preserve"> </w:t>
      </w:r>
      <w:r w:rsidR="00FA60EE" w:rsidRPr="00C3650A">
        <w:rPr>
          <w:lang w:val="en-US"/>
        </w:rPr>
        <w:t xml:space="preserve">muscles with 12 to 16 fibers sampled from each muscle </w:t>
      </w:r>
      <w:r w:rsidRPr="00C3650A">
        <w:rPr>
          <w:lang w:val="en-US"/>
        </w:rPr>
        <w:t xml:space="preserve">(*P&lt;0.05; **P&lt;0.01; ***P&lt;0.001; paired </w:t>
      </w:r>
      <w:r w:rsidRPr="008D71E7">
        <w:rPr>
          <w:lang w:val="en-US"/>
        </w:rPr>
        <w:t xml:space="preserve">Student's t-test). </w:t>
      </w:r>
    </w:p>
    <w:p w14:paraId="0C3CA460" w14:textId="77777777" w:rsidR="00D527B6" w:rsidRPr="008D71E7" w:rsidRDefault="00D527B6" w:rsidP="00D527B6">
      <w:pPr>
        <w:spacing w:line="360" w:lineRule="auto"/>
        <w:jc w:val="both"/>
        <w:rPr>
          <w:b/>
          <w:lang w:val="en-US"/>
        </w:rPr>
      </w:pPr>
    </w:p>
    <w:p w14:paraId="0D7AA3C3" w14:textId="77777777" w:rsidR="00D527B6" w:rsidRPr="008D71E7" w:rsidRDefault="00D527B6" w:rsidP="00D527B6">
      <w:pPr>
        <w:spacing w:after="0"/>
        <w:jc w:val="both"/>
        <w:rPr>
          <w:b/>
          <w:lang w:val="en-US"/>
        </w:rPr>
        <w:sectPr w:rsidR="00D527B6" w:rsidRPr="008D71E7" w:rsidSect="00811C93">
          <w:footerReference w:type="even" r:id="rId9"/>
          <w:footerReference w:type="default" r:id="rId10"/>
          <w:pgSz w:w="11900" w:h="16840"/>
          <w:pgMar w:top="1440" w:right="1800" w:bottom="1440" w:left="1800" w:header="708" w:footer="708" w:gutter="0"/>
          <w:cols w:space="708"/>
        </w:sectPr>
      </w:pPr>
    </w:p>
    <w:p w14:paraId="34E91BC0" w14:textId="77777777" w:rsidR="00D527B6" w:rsidRPr="008D71E7" w:rsidRDefault="00D527B6" w:rsidP="00D527B6">
      <w:pPr>
        <w:spacing w:after="0"/>
        <w:rPr>
          <w:b/>
          <w:lang w:val="en-US"/>
        </w:rPr>
      </w:pPr>
      <w:bookmarkStart w:id="2" w:name="OLE_LINK1"/>
      <w:bookmarkStart w:id="3" w:name="OLE_LINK2"/>
      <w:bookmarkStart w:id="4" w:name="OLE_LINK3"/>
      <w:bookmarkStart w:id="5" w:name="OLE_LINK4"/>
      <w:r w:rsidRPr="008D71E7">
        <w:rPr>
          <w:b/>
          <w:lang w:val="en-US"/>
        </w:rPr>
        <w:lastRenderedPageBreak/>
        <w:t>Supplementary Table 1:</w:t>
      </w:r>
      <w:r w:rsidRPr="008D71E7">
        <w:rPr>
          <w:lang w:val="en-US"/>
        </w:rPr>
        <w:t xml:space="preserve"> </w:t>
      </w:r>
      <w:r w:rsidRPr="008D71E7">
        <w:rPr>
          <w:b/>
          <w:lang w:val="en-US"/>
        </w:rPr>
        <w:t>Quantitative data analysis on vesicle diameters and volumes as determined by electron microscopy.</w:t>
      </w:r>
      <w:r w:rsidRPr="008D71E7" w:rsidDel="00497876">
        <w:rPr>
          <w:b/>
          <w:lang w:val="en-US"/>
        </w:rPr>
        <w:t xml:space="preserve"> </w:t>
      </w:r>
    </w:p>
    <w:bookmarkEnd w:id="2"/>
    <w:bookmarkEnd w:id="3"/>
    <w:p w14:paraId="6DDA5928" w14:textId="77777777" w:rsidR="00D527B6" w:rsidRPr="008D71E7" w:rsidRDefault="00D527B6" w:rsidP="00D527B6">
      <w:pPr>
        <w:spacing w:after="0"/>
        <w:jc w:val="both"/>
        <w:rPr>
          <w:b/>
          <w:lang w:val="en-US"/>
        </w:rPr>
      </w:pPr>
    </w:p>
    <w:p w14:paraId="1CF98FB5" w14:textId="342292B6" w:rsidR="00D527B6" w:rsidRPr="008D71E7" w:rsidRDefault="00D527B6" w:rsidP="00424D3E">
      <w:pPr>
        <w:spacing w:line="360" w:lineRule="auto"/>
        <w:jc w:val="both"/>
        <w:rPr>
          <w:lang w:val="en-US"/>
        </w:rPr>
        <w:sectPr w:rsidR="00D527B6" w:rsidRPr="008D71E7" w:rsidSect="005015E6">
          <w:pgSz w:w="16840" w:h="11900" w:orient="landscape"/>
          <w:pgMar w:top="1800" w:right="1440" w:bottom="1800" w:left="1440" w:header="708" w:footer="708" w:gutter="0"/>
          <w:cols w:space="708"/>
        </w:sectPr>
      </w:pPr>
      <w:r w:rsidRPr="008D71E7">
        <w:rPr>
          <w:noProof/>
          <w:lang w:val="en-AU" w:eastAsia="en-AU"/>
        </w:rPr>
        <w:drawing>
          <wp:inline distT="0" distB="0" distL="0" distR="0" wp14:anchorId="52D3824F" wp14:editId="173AEC57">
            <wp:extent cx="7258050" cy="478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bookmarkEnd w:id="5"/>
    <w:p w14:paraId="3B48CC92" w14:textId="04DDDB07" w:rsidR="008D09E6" w:rsidRPr="00C3650A" w:rsidRDefault="008D09E6" w:rsidP="008D09E6">
      <w:pPr>
        <w:rPr>
          <w:b/>
        </w:rPr>
      </w:pPr>
      <w:r w:rsidRPr="00C3650A">
        <w:rPr>
          <w:b/>
        </w:rPr>
        <w:lastRenderedPageBreak/>
        <w:t xml:space="preserve">Supplementary Table </w:t>
      </w:r>
      <w:r w:rsidR="001D0EDA" w:rsidRPr="00C3650A">
        <w:rPr>
          <w:b/>
        </w:rPr>
        <w:t>S2</w:t>
      </w:r>
      <w:r w:rsidRPr="00C3650A">
        <w:rPr>
          <w:b/>
        </w:rPr>
        <w:t>: Effects of WIN, AN251 and AM630 on synaptic potentials</w:t>
      </w:r>
      <w:bookmarkStart w:id="6" w:name="_GoBack"/>
      <w:bookmarkEnd w:id="6"/>
    </w:p>
    <w:tbl>
      <w:tblPr>
        <w:tblW w:w="5000" w:type="pct"/>
        <w:tblLook w:val="04A0" w:firstRow="1" w:lastRow="0" w:firstColumn="1" w:lastColumn="0" w:noHBand="0" w:noVBand="1"/>
      </w:tblPr>
      <w:tblGrid>
        <w:gridCol w:w="3419"/>
        <w:gridCol w:w="1444"/>
        <w:gridCol w:w="957"/>
        <w:gridCol w:w="292"/>
        <w:gridCol w:w="1444"/>
        <w:gridCol w:w="861"/>
        <w:gridCol w:w="1478"/>
        <w:gridCol w:w="278"/>
        <w:gridCol w:w="1444"/>
        <w:gridCol w:w="861"/>
        <w:gridCol w:w="1482"/>
      </w:tblGrid>
      <w:tr w:rsidR="00C3650A" w:rsidRPr="00C3650A" w14:paraId="5E34F43C" w14:textId="77777777" w:rsidTr="003F1EF1">
        <w:trPr>
          <w:trHeight w:val="280"/>
        </w:trPr>
        <w:tc>
          <w:tcPr>
            <w:tcW w:w="2085" w:type="pct"/>
            <w:gridSpan w:val="3"/>
            <w:shd w:val="clear" w:color="auto" w:fill="auto"/>
            <w:noWrap/>
            <w:vAlign w:val="bottom"/>
          </w:tcPr>
          <w:p w14:paraId="5CC2141D" w14:textId="4C039051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5" w:type="pct"/>
            <w:shd w:val="clear" w:color="auto" w:fill="auto"/>
            <w:noWrap/>
            <w:vAlign w:val="bottom"/>
          </w:tcPr>
          <w:p w14:paraId="1C8A751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06BB34C0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shd w:val="clear" w:color="auto" w:fill="auto"/>
            <w:noWrap/>
            <w:vAlign w:val="bottom"/>
            <w:hideMark/>
          </w:tcPr>
          <w:p w14:paraId="56E3561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shd w:val="clear" w:color="auto" w:fill="auto"/>
            <w:noWrap/>
            <w:vAlign w:val="bottom"/>
            <w:hideMark/>
          </w:tcPr>
          <w:p w14:paraId="6A6B380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shd w:val="clear" w:color="auto" w:fill="auto"/>
            <w:noWrap/>
            <w:vAlign w:val="bottom"/>
            <w:hideMark/>
          </w:tcPr>
          <w:p w14:paraId="2E5145CD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7EEF9A7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shd w:val="clear" w:color="auto" w:fill="auto"/>
            <w:noWrap/>
            <w:vAlign w:val="bottom"/>
            <w:hideMark/>
          </w:tcPr>
          <w:p w14:paraId="4905D4FF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FC90796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  <w:tr w:rsidR="003F1EF1" w:rsidRPr="00C3650A" w14:paraId="06AD0A91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E2FBE" w14:textId="77777777" w:rsidR="003F1EF1" w:rsidRPr="00C3650A" w:rsidRDefault="003F1EF1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u w:val="single"/>
                <w:lang w:val="en-AU"/>
              </w:rPr>
            </w:pPr>
          </w:p>
        </w:tc>
        <w:tc>
          <w:tcPr>
            <w:tcW w:w="377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8DD42" w14:textId="10AD852C" w:rsidR="003F1EF1" w:rsidRPr="00C80F78" w:rsidRDefault="003F1EF1" w:rsidP="00793903">
            <w:pPr>
              <w:spacing w:after="0"/>
              <w:rPr>
                <w:rFonts w:ascii="Arial" w:eastAsia="Times New Roman" w:hAnsi="Arial" w:cs="Arial"/>
                <w:bCs/>
                <w:sz w:val="20"/>
                <w:szCs w:val="20"/>
                <w:lang w:val="en-AU"/>
              </w:rPr>
            </w:pPr>
            <w:r w:rsidRPr="00C80F78">
              <w:rPr>
                <w:rFonts w:ascii="Calibri" w:eastAsia="Times New Roman" w:hAnsi="Calibri"/>
                <w:bCs/>
                <w:sz w:val="22"/>
                <w:szCs w:val="22"/>
                <w:lang w:val="en-AU"/>
              </w:rPr>
              <w:t>Treatment</w:t>
            </w:r>
          </w:p>
        </w:tc>
      </w:tr>
      <w:tr w:rsidR="00C3650A" w:rsidRPr="00C3650A" w14:paraId="4AE5D9A4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3FD1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u w:val="single"/>
                <w:lang w:val="en-AU"/>
              </w:rPr>
            </w:pPr>
            <w:proofErr w:type="spellStart"/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u w:val="single"/>
                <w:lang w:val="en-AU"/>
              </w:rPr>
              <w:t>mEPPs</w:t>
            </w:r>
            <w:proofErr w:type="spellEnd"/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EE5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  <w:t>Naive control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9EDF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  <w:t>WIN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BE1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FDA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  <w:t>Naive control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F1F0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  <w:t>AM251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65F8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  <w:t>AM251 + WIN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B68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63C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  <w:t>Naive control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BF3A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  <w:t>AM630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1086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  <w:t>AM630 + WIN</w:t>
            </w:r>
          </w:p>
        </w:tc>
      </w:tr>
      <w:tr w:rsidR="00C3650A" w:rsidRPr="00C3650A" w14:paraId="34E11578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573F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Number of fibres recorded (mice)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F096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140 (10)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AF7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142 (10)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382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558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44 (4)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17F1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46 (4)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6FD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50 (4)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452C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A06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30 (3)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176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30 (3)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2E2C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30 (3)</w:t>
            </w:r>
          </w:p>
        </w:tc>
      </w:tr>
      <w:tr w:rsidR="00C3650A" w:rsidRPr="00C3650A" w14:paraId="347C7C46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5B0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Frequency (Hz)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4154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1.336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190B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1.627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998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BF45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1.177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7602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0.9844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108F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0.9313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EBA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5E3A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0.8638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BAE0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0.8751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FB1E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1.094</w:t>
            </w:r>
          </w:p>
        </w:tc>
      </w:tr>
      <w:tr w:rsidR="00C3650A" w:rsidRPr="00C3650A" w14:paraId="21A9329D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631F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Resting Membrane Potential (mV)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6000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-65.97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9B44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-65.31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738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6E71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-65.48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C1D1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-65.2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1D75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-64.72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E3A1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4DF7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-64.27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B23A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-65.23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4F6F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-66.63</w:t>
            </w:r>
          </w:p>
        </w:tc>
      </w:tr>
      <w:tr w:rsidR="00C3650A" w:rsidRPr="00C3650A" w14:paraId="5140FFDD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69F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proofErr w:type="spellStart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mEPP</w:t>
            </w:r>
            <w:proofErr w:type="spellEnd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 xml:space="preserve"> rise time (</w:t>
            </w:r>
            <w:proofErr w:type="spellStart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ms</w:t>
            </w:r>
            <w:proofErr w:type="spellEnd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9DD1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1.118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60D3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1.099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48E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C658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0.9166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048B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0.9528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3BF6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1.133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22C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56DF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0.8913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A685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1.17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F961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0.8725</w:t>
            </w:r>
          </w:p>
        </w:tc>
      </w:tr>
      <w:tr w:rsidR="00C3650A" w:rsidRPr="00C3650A" w14:paraId="15A90265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A46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proofErr w:type="spellStart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mEPP</w:t>
            </w:r>
            <w:proofErr w:type="spellEnd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 xml:space="preserve"> fall time (</w:t>
            </w:r>
            <w:proofErr w:type="spellStart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ms</w:t>
            </w:r>
            <w:proofErr w:type="spellEnd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5C42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4.067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4371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4.117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1C5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2594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3.795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7A07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3.745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4185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4.032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897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A27B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3.31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1E40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3.559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67BA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3.36</w:t>
            </w:r>
          </w:p>
        </w:tc>
      </w:tr>
      <w:tr w:rsidR="00C3650A" w:rsidRPr="00C3650A" w14:paraId="24EBEABB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9C8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DDF4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BD9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55E6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1EC4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0040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4FD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0A7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AB7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4F1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3B84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  <w:tr w:rsidR="00C3650A" w:rsidRPr="00C3650A" w14:paraId="39626EF8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CF1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7AC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008F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51F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D07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4D9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0E1F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9AC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A4E4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3FF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4484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  <w:tr w:rsidR="00C3650A" w:rsidRPr="00C3650A" w14:paraId="777FF562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F2F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u w:val="single"/>
                <w:lang w:val="en-AU"/>
              </w:rPr>
            </w:pPr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u w:val="single"/>
                <w:lang w:val="en-AU"/>
              </w:rPr>
              <w:t>EPPs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C386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  <w:t>Naive control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C4B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b/>
                <w:bCs/>
                <w:sz w:val="22"/>
                <w:szCs w:val="22"/>
                <w:lang w:val="en-AU"/>
              </w:rPr>
              <w:t>WIN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B26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4681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8CF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D23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9D2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208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FE2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554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  <w:tr w:rsidR="00C3650A" w:rsidRPr="00C3650A" w14:paraId="574BA0A4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BA5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Number of fibres recorded (mice)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9B03C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65 (5)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BC7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76 (5)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542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797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C80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B40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D020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5C6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A4B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595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  <w:tr w:rsidR="00C3650A" w:rsidRPr="00C3650A" w14:paraId="412065E9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851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Resting Membrane Potential (mV)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01E6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-66.34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AB05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-64.02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D030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6E1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727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769F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B19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C333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511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F03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  <w:tr w:rsidR="00C3650A" w:rsidRPr="00C3650A" w14:paraId="545EC102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7AE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EPP rise time (</w:t>
            </w:r>
            <w:proofErr w:type="spellStart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ms</w:t>
            </w:r>
            <w:proofErr w:type="spellEnd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DE67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0.8517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1F5C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0.8969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F5B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8F60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03F5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9CAD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8E68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2BD5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748E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2DD2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  <w:tr w:rsidR="00C3650A" w:rsidRPr="00C3650A" w14:paraId="7EB8C046" w14:textId="77777777" w:rsidTr="003F1EF1">
        <w:trPr>
          <w:trHeight w:val="28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3CF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EPP fall time (</w:t>
            </w:r>
            <w:proofErr w:type="spellStart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ms</w:t>
            </w:r>
            <w:proofErr w:type="spellEnd"/>
            <w:r w:rsidRPr="00C3650A">
              <w:rPr>
                <w:rFonts w:ascii="Calibri" w:eastAsia="Times New Roman" w:hAnsi="Calibri"/>
                <w:sz w:val="22"/>
                <w:szCs w:val="22"/>
                <w:lang w:val="en-AU"/>
              </w:rPr>
              <w:t>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EEBB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5.051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4058" w14:textId="77777777" w:rsidR="008D09E6" w:rsidRPr="00C3650A" w:rsidRDefault="008D09E6" w:rsidP="0079390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C3650A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4.744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439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C69B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FE7A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63D0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0611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9C69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20B7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EBA5" w14:textId="77777777" w:rsidR="008D09E6" w:rsidRPr="00C3650A" w:rsidRDefault="008D09E6" w:rsidP="00793903">
            <w:pPr>
              <w:spacing w:after="0"/>
              <w:rPr>
                <w:rFonts w:ascii="Calibri" w:eastAsia="Times New Roman" w:hAnsi="Calibri"/>
                <w:sz w:val="22"/>
                <w:szCs w:val="22"/>
                <w:lang w:val="en-AU"/>
              </w:rPr>
            </w:pPr>
          </w:p>
        </w:tc>
      </w:tr>
    </w:tbl>
    <w:p w14:paraId="7A387119" w14:textId="77777777" w:rsidR="008D09E6" w:rsidRDefault="008D09E6" w:rsidP="008D09E6"/>
    <w:p w14:paraId="72DCC2DF" w14:textId="77777777" w:rsidR="008D09E6" w:rsidRDefault="008D09E6" w:rsidP="008D09E6">
      <w:pPr>
        <w:spacing w:line="360" w:lineRule="auto"/>
        <w:jc w:val="both"/>
        <w:rPr>
          <w:lang w:val="en-US"/>
        </w:rPr>
      </w:pPr>
    </w:p>
    <w:p w14:paraId="04524995" w14:textId="1A2CC9F1" w:rsidR="008D09E6" w:rsidRPr="008D71E7" w:rsidRDefault="008D09E6" w:rsidP="008D09E6">
      <w:pPr>
        <w:spacing w:line="360" w:lineRule="auto"/>
        <w:jc w:val="both"/>
        <w:rPr>
          <w:lang w:val="en-US"/>
        </w:rPr>
        <w:sectPr w:rsidR="008D09E6" w:rsidRPr="008D71E7" w:rsidSect="00811C93">
          <w:pgSz w:w="16840" w:h="11900" w:orient="landscape"/>
          <w:pgMar w:top="1800" w:right="1440" w:bottom="1800" w:left="1440" w:header="708" w:footer="708" w:gutter="0"/>
          <w:cols w:space="708"/>
        </w:sectPr>
      </w:pPr>
    </w:p>
    <w:p w14:paraId="71F77C85" w14:textId="77777777" w:rsidR="00B94B33" w:rsidRDefault="00B94B33" w:rsidP="008D09E6"/>
    <w:sectPr w:rsidR="00B94B33" w:rsidSect="00811C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CB67A" w14:textId="77777777" w:rsidR="00F65361" w:rsidRDefault="00F65361">
      <w:pPr>
        <w:spacing w:after="0"/>
      </w:pPr>
      <w:r>
        <w:separator/>
      </w:r>
    </w:p>
  </w:endnote>
  <w:endnote w:type="continuationSeparator" w:id="0">
    <w:p w14:paraId="639F661A" w14:textId="77777777" w:rsidR="00F65361" w:rsidRDefault="00F653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695E0" w14:textId="77777777" w:rsidR="00FF6786" w:rsidRDefault="00FF6786" w:rsidP="002A61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708252" w14:textId="77777777" w:rsidR="00FF6786" w:rsidRDefault="00FF67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1A5A4" w14:textId="33ECB967" w:rsidR="00FF6786" w:rsidRDefault="00FF6786" w:rsidP="002A61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0F78">
      <w:rPr>
        <w:rStyle w:val="PageNumber"/>
        <w:noProof/>
      </w:rPr>
      <w:t>10</w:t>
    </w:r>
    <w:r>
      <w:rPr>
        <w:rStyle w:val="PageNumber"/>
      </w:rPr>
      <w:fldChar w:fldCharType="end"/>
    </w:r>
  </w:p>
  <w:p w14:paraId="71EC55A6" w14:textId="77777777" w:rsidR="00FF6786" w:rsidRDefault="00FF6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D0AE6" w14:textId="77777777" w:rsidR="00F65361" w:rsidRDefault="00F65361">
      <w:pPr>
        <w:spacing w:after="0"/>
      </w:pPr>
      <w:r>
        <w:separator/>
      </w:r>
    </w:p>
  </w:footnote>
  <w:footnote w:type="continuationSeparator" w:id="0">
    <w:p w14:paraId="2B677155" w14:textId="77777777" w:rsidR="00F65361" w:rsidRDefault="00F653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7B6"/>
    <w:rsid w:val="00066ADA"/>
    <w:rsid w:val="00067784"/>
    <w:rsid w:val="00074087"/>
    <w:rsid w:val="00082637"/>
    <w:rsid w:val="000F761B"/>
    <w:rsid w:val="00102E4B"/>
    <w:rsid w:val="0010753A"/>
    <w:rsid w:val="001942B7"/>
    <w:rsid w:val="001B20DB"/>
    <w:rsid w:val="001C6521"/>
    <w:rsid w:val="001D0EDA"/>
    <w:rsid w:val="00295F9A"/>
    <w:rsid w:val="002A1D7B"/>
    <w:rsid w:val="002A6116"/>
    <w:rsid w:val="002A7992"/>
    <w:rsid w:val="002C3359"/>
    <w:rsid w:val="002D177F"/>
    <w:rsid w:val="00344F09"/>
    <w:rsid w:val="00351743"/>
    <w:rsid w:val="00355637"/>
    <w:rsid w:val="00381FBE"/>
    <w:rsid w:val="0039304C"/>
    <w:rsid w:val="003A2F2E"/>
    <w:rsid w:val="003B7F36"/>
    <w:rsid w:val="003F1EF1"/>
    <w:rsid w:val="00424D3E"/>
    <w:rsid w:val="004348A1"/>
    <w:rsid w:val="00475E28"/>
    <w:rsid w:val="004A2C57"/>
    <w:rsid w:val="004D17E5"/>
    <w:rsid w:val="005015E6"/>
    <w:rsid w:val="00517D82"/>
    <w:rsid w:val="00555F16"/>
    <w:rsid w:val="005A1C56"/>
    <w:rsid w:val="00601ED0"/>
    <w:rsid w:val="006042C1"/>
    <w:rsid w:val="00605EDE"/>
    <w:rsid w:val="00630188"/>
    <w:rsid w:val="006633B3"/>
    <w:rsid w:val="006A689D"/>
    <w:rsid w:val="006F2C0F"/>
    <w:rsid w:val="00712770"/>
    <w:rsid w:val="007453E4"/>
    <w:rsid w:val="00793903"/>
    <w:rsid w:val="007B25C6"/>
    <w:rsid w:val="007D5638"/>
    <w:rsid w:val="00811C93"/>
    <w:rsid w:val="00814FA6"/>
    <w:rsid w:val="008D09E6"/>
    <w:rsid w:val="008F722B"/>
    <w:rsid w:val="009313FE"/>
    <w:rsid w:val="00933EA8"/>
    <w:rsid w:val="009765EB"/>
    <w:rsid w:val="009F11D8"/>
    <w:rsid w:val="00A22602"/>
    <w:rsid w:val="00A273FD"/>
    <w:rsid w:val="00A61003"/>
    <w:rsid w:val="00AA0CE0"/>
    <w:rsid w:val="00AC7BC1"/>
    <w:rsid w:val="00B243DF"/>
    <w:rsid w:val="00B262AC"/>
    <w:rsid w:val="00B65CD6"/>
    <w:rsid w:val="00B718B4"/>
    <w:rsid w:val="00B7581D"/>
    <w:rsid w:val="00B94B33"/>
    <w:rsid w:val="00BA6F49"/>
    <w:rsid w:val="00BB1DDC"/>
    <w:rsid w:val="00C279D5"/>
    <w:rsid w:val="00C3650A"/>
    <w:rsid w:val="00C66709"/>
    <w:rsid w:val="00C80F78"/>
    <w:rsid w:val="00CA4268"/>
    <w:rsid w:val="00CD3A12"/>
    <w:rsid w:val="00D527B6"/>
    <w:rsid w:val="00D80E0B"/>
    <w:rsid w:val="00E84E10"/>
    <w:rsid w:val="00EA735E"/>
    <w:rsid w:val="00EB6675"/>
    <w:rsid w:val="00ED047A"/>
    <w:rsid w:val="00F65361"/>
    <w:rsid w:val="00FA60EE"/>
    <w:rsid w:val="00FC1062"/>
    <w:rsid w:val="00FC1A74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EE6CC6"/>
  <w15:docId w15:val="{C0759532-137D-4F0B-8303-EEFFC802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09E6"/>
    <w:pPr>
      <w:spacing w:after="200" w:line="240" w:lineRule="auto"/>
    </w:pPr>
    <w:rPr>
      <w:rFonts w:ascii="Cambria" w:eastAsia="Cambria" w:hAnsi="Cambria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D527B6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D527B6"/>
    <w:rPr>
      <w:rFonts w:ascii="Cambria" w:eastAsia="Cambria" w:hAnsi="Cambria" w:cs="Times New Roman"/>
      <w:sz w:val="24"/>
      <w:szCs w:val="24"/>
      <w:lang w:val="en-GB"/>
    </w:rPr>
  </w:style>
  <w:style w:type="character" w:styleId="PageNumber">
    <w:name w:val="page number"/>
    <w:semiHidden/>
    <w:unhideWhenUsed/>
    <w:rsid w:val="00D527B6"/>
  </w:style>
  <w:style w:type="paragraph" w:styleId="BalloonText">
    <w:name w:val="Balloon Text"/>
    <w:basedOn w:val="Normal"/>
    <w:link w:val="BalloonTextChar"/>
    <w:uiPriority w:val="99"/>
    <w:semiHidden/>
    <w:unhideWhenUsed/>
    <w:rsid w:val="0035563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637"/>
    <w:rPr>
      <w:rFonts w:ascii="Lucida Grande" w:eastAsia="Cambria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A426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26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4268"/>
    <w:rPr>
      <w:rFonts w:ascii="Cambria" w:eastAsia="Cambria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26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268"/>
    <w:rPr>
      <w:rFonts w:ascii="Cambria" w:eastAsia="Cambria" w:hAnsi="Cambria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7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Morsch</dc:creator>
  <cp:keywords/>
  <dc:description/>
  <cp:lastModifiedBy>Marco Morsch</cp:lastModifiedBy>
  <cp:revision>8</cp:revision>
  <dcterms:created xsi:type="dcterms:W3CDTF">2018-02-20T01:08:00Z</dcterms:created>
  <dcterms:modified xsi:type="dcterms:W3CDTF">2018-02-27T22:28:00Z</dcterms:modified>
</cp:coreProperties>
</file>