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376F2" w14:textId="7D49E18A" w:rsidR="00A01047" w:rsidRPr="00B63DF7" w:rsidRDefault="003C4806" w:rsidP="00E46AB7">
      <w:pPr>
        <w:jc w:val="center"/>
        <w:rPr>
          <w:rFonts w:ascii="Arial" w:hAnsi="Arial" w:cs="Arial"/>
          <w:b/>
          <w:bCs/>
          <w:sz w:val="32"/>
          <w:szCs w:val="32"/>
        </w:rPr>
      </w:pPr>
      <w:r w:rsidRPr="00B63DF7">
        <w:rPr>
          <w:rFonts w:ascii="Arial" w:hAnsi="Arial" w:cs="Arial"/>
          <w:b/>
          <w:bCs/>
          <w:sz w:val="32"/>
          <w:szCs w:val="32"/>
        </w:rPr>
        <w:t>Supplementary material</w:t>
      </w:r>
    </w:p>
    <w:p w14:paraId="23985EA9" w14:textId="77777777" w:rsidR="00E46AB7" w:rsidRPr="00B63DF7" w:rsidRDefault="00E46AB7" w:rsidP="00E46AB7">
      <w:pPr>
        <w:rPr>
          <w:rFonts w:ascii="Arial" w:hAnsi="Arial" w:cs="Arial"/>
          <w:b/>
          <w:bCs/>
          <w:szCs w:val="24"/>
        </w:rPr>
      </w:pPr>
    </w:p>
    <w:p w14:paraId="441E1B8A" w14:textId="77777777" w:rsidR="00FC40FD" w:rsidRDefault="00E46AB7" w:rsidP="005158AC">
      <w:pPr>
        <w:rPr>
          <w:rFonts w:ascii="Arial" w:hAnsi="Arial" w:cs="Arial"/>
          <w:b/>
          <w:bCs/>
          <w:szCs w:val="24"/>
        </w:rPr>
      </w:pPr>
      <w:r w:rsidRPr="00B63DF7">
        <w:rPr>
          <w:rFonts w:ascii="Arial" w:hAnsi="Arial" w:cs="Arial"/>
          <w:b/>
          <w:bCs/>
          <w:szCs w:val="24"/>
        </w:rPr>
        <w:t>MATERIALS AND METHODS</w:t>
      </w:r>
    </w:p>
    <w:p w14:paraId="69D1D700" w14:textId="4AD40DB1" w:rsidR="00A01047" w:rsidRPr="00B63DF7" w:rsidRDefault="00A01047" w:rsidP="005158AC">
      <w:pPr>
        <w:rPr>
          <w:rFonts w:ascii="Arial" w:hAnsi="Arial" w:cs="Arial"/>
          <w:b/>
          <w:bCs/>
        </w:rPr>
      </w:pPr>
      <w:r w:rsidRPr="00B63DF7">
        <w:rPr>
          <w:rFonts w:ascii="Arial" w:hAnsi="Arial" w:cs="Arial"/>
          <w:b/>
          <w:bCs/>
        </w:rPr>
        <w:t>Experimental design and greenhouse setup:</w:t>
      </w:r>
    </w:p>
    <w:p w14:paraId="3232070C" w14:textId="3E57809F" w:rsidR="00A01047" w:rsidRPr="00B63DF7" w:rsidRDefault="003A6AF2" w:rsidP="005158AC">
      <w:pPr>
        <w:rPr>
          <w:rFonts w:ascii="Arial" w:hAnsi="Arial" w:cs="Arial"/>
          <w:sz w:val="18"/>
          <w:szCs w:val="18"/>
        </w:rPr>
      </w:pPr>
      <w:r w:rsidRPr="00B63DF7">
        <w:rPr>
          <w:rFonts w:ascii="Arial" w:hAnsi="Arial" w:cs="Arial"/>
          <w:noProof/>
        </w:rPr>
        <w:drawing>
          <wp:inline distT="0" distB="0" distL="0" distR="0" wp14:anchorId="568A41B9" wp14:editId="4E70D96F">
            <wp:extent cx="6208395" cy="4966970"/>
            <wp:effectExtent l="0" t="0" r="1905" b="5080"/>
            <wp:docPr id="2134204481" name="Picture 1" descr="A close-up of a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04481" name="Picture 1" descr="A close-up of a plan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08395" cy="4966970"/>
                    </a:xfrm>
                    <a:prstGeom prst="rect">
                      <a:avLst/>
                    </a:prstGeom>
                    <a:noFill/>
                    <a:ln>
                      <a:noFill/>
                    </a:ln>
                  </pic:spPr>
                </pic:pic>
              </a:graphicData>
            </a:graphic>
          </wp:inline>
        </w:drawing>
      </w:r>
      <w:r w:rsidR="00671708" w:rsidRPr="00B63DF7">
        <w:rPr>
          <w:rFonts w:ascii="Arial" w:hAnsi="Arial" w:cs="Arial"/>
        </w:rPr>
        <w:t>Figure S1</w:t>
      </w:r>
      <w:r w:rsidR="00B0162C" w:rsidRPr="00B63DF7">
        <w:rPr>
          <w:rFonts w:ascii="Arial" w:hAnsi="Arial" w:cs="Arial"/>
        </w:rPr>
        <w:t>. (</w:t>
      </w:r>
      <w:r w:rsidR="00B0162C" w:rsidRPr="00B63DF7">
        <w:rPr>
          <w:rFonts w:ascii="Arial" w:hAnsi="Arial" w:cs="Arial"/>
          <w:b/>
          <w:bCs/>
        </w:rPr>
        <w:t>A</w:t>
      </w:r>
      <w:r w:rsidR="00B0162C" w:rsidRPr="00B63DF7">
        <w:rPr>
          <w:rFonts w:ascii="Arial" w:hAnsi="Arial" w:cs="Arial"/>
        </w:rPr>
        <w:t>) Schematic representation showing the twelve plots (rectangles) with two LED fixtures per plot (purple lines), one solenoid valve, and 20 pots per plot (circles). Each light treatment was aleatorily assigned to three plots (n=3). Plot# from low to high light levels and their PPFD±SD (µmol of light m</w:t>
      </w:r>
      <w:r w:rsidR="00B0162C" w:rsidRPr="00B63DF7">
        <w:rPr>
          <w:rFonts w:ascii="Arial" w:hAnsi="Arial" w:cs="Arial"/>
          <w:vertAlign w:val="superscript"/>
        </w:rPr>
        <w:t>-2</w:t>
      </w:r>
      <w:r w:rsidR="00B0162C" w:rsidRPr="00B63DF7">
        <w:rPr>
          <w:rFonts w:ascii="Arial" w:hAnsi="Arial" w:cs="Arial"/>
        </w:rPr>
        <w:t xml:space="preserve"> s</w:t>
      </w:r>
      <w:r w:rsidR="00B0162C" w:rsidRPr="00B63DF7">
        <w:rPr>
          <w:rFonts w:ascii="Arial" w:hAnsi="Arial" w:cs="Arial"/>
          <w:vertAlign w:val="superscript"/>
        </w:rPr>
        <w:t>-1</w:t>
      </w:r>
      <w:r w:rsidR="00B0162C" w:rsidRPr="00B63DF7">
        <w:rPr>
          <w:rFonts w:ascii="Arial" w:hAnsi="Arial" w:cs="Arial"/>
        </w:rPr>
        <w:t>) were as follow: #4, 151±6; #7, 151±5; #9, 151±6; #2, 298±8; #8, 301±11; #12, 300±13; #1: 499±14; #6: 502±12; #11, 503±13; #3, 701±18; #5, 702±18; #10, 706±17. (</w:t>
      </w:r>
      <w:r w:rsidR="00B0162C" w:rsidRPr="00B63DF7">
        <w:rPr>
          <w:rFonts w:ascii="Arial" w:hAnsi="Arial" w:cs="Arial"/>
          <w:b/>
          <w:bCs/>
        </w:rPr>
        <w:t>B</w:t>
      </w:r>
      <w:r w:rsidR="00B0162C" w:rsidRPr="00B63DF7">
        <w:rPr>
          <w:rFonts w:ascii="Arial" w:hAnsi="Arial" w:cs="Arial"/>
        </w:rPr>
        <w:t>) A picture of the experimental layout and greenhouse. (</w:t>
      </w:r>
      <w:r w:rsidR="00B0162C" w:rsidRPr="00B63DF7">
        <w:rPr>
          <w:rFonts w:ascii="Arial" w:hAnsi="Arial" w:cs="Arial"/>
          <w:b/>
        </w:rPr>
        <w:t>C</w:t>
      </w:r>
      <w:r w:rsidR="00B0162C" w:rsidRPr="00B63DF7">
        <w:rPr>
          <w:rFonts w:ascii="Arial" w:hAnsi="Arial" w:cs="Arial"/>
        </w:rPr>
        <w:t>) A graphical representation, and (</w:t>
      </w:r>
      <w:r w:rsidR="00B0162C" w:rsidRPr="00B63DF7">
        <w:rPr>
          <w:rFonts w:ascii="Arial" w:hAnsi="Arial" w:cs="Arial"/>
          <w:b/>
          <w:bCs/>
        </w:rPr>
        <w:t>D</w:t>
      </w:r>
      <w:r w:rsidR="00B0162C" w:rsidRPr="00B63DF7">
        <w:rPr>
          <w:rFonts w:ascii="Arial" w:hAnsi="Arial" w:cs="Arial"/>
        </w:rPr>
        <w:t>) a picture of the sensors used at each plot: I) a thermocouple, II) a quantum sensor, III) two soil moisture sensors, and IV) two load cells.</w:t>
      </w:r>
    </w:p>
    <w:p w14:paraId="3F9D0650" w14:textId="1ECE7B9F" w:rsidR="00A01047" w:rsidRPr="00B63DF7" w:rsidRDefault="00A01047" w:rsidP="005158AC">
      <w:pPr>
        <w:rPr>
          <w:rFonts w:ascii="Arial" w:hAnsi="Arial" w:cs="Arial"/>
        </w:rPr>
      </w:pPr>
      <w:r w:rsidRPr="00B63DF7">
        <w:rPr>
          <w:rFonts w:ascii="Arial" w:hAnsi="Arial" w:cs="Arial"/>
          <w:b/>
          <w:bCs/>
        </w:rPr>
        <w:t>Solar and LED spectrums by wavelength:</w:t>
      </w:r>
    </w:p>
    <w:p w14:paraId="1FAFB784" w14:textId="2A48B86D" w:rsidR="000E73FF" w:rsidRPr="00B63DF7" w:rsidRDefault="000E73FF" w:rsidP="005158AC">
      <w:pPr>
        <w:rPr>
          <w:rFonts w:ascii="Arial" w:hAnsi="Arial" w:cs="Arial"/>
        </w:rPr>
      </w:pPr>
      <w:r w:rsidRPr="00B63DF7">
        <w:rPr>
          <w:rFonts w:ascii="Arial" w:hAnsi="Arial" w:cs="Arial"/>
          <w:noProof/>
        </w:rPr>
        <w:lastRenderedPageBreak/>
        <w:drawing>
          <wp:inline distT="0" distB="0" distL="0" distR="0" wp14:anchorId="38EF5699" wp14:editId="64209338">
            <wp:extent cx="3333750" cy="2667137"/>
            <wp:effectExtent l="0" t="0" r="0" b="0"/>
            <wp:docPr id="532102604" name="Picture 2" descr="A graph of a light sour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102604" name="Picture 2" descr="A graph of a light sourc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42199" cy="2673896"/>
                    </a:xfrm>
                    <a:prstGeom prst="rect">
                      <a:avLst/>
                    </a:prstGeom>
                    <a:noFill/>
                    <a:ln>
                      <a:noFill/>
                    </a:ln>
                  </pic:spPr>
                </pic:pic>
              </a:graphicData>
            </a:graphic>
          </wp:inline>
        </w:drawing>
      </w:r>
    </w:p>
    <w:p w14:paraId="550C1959" w14:textId="3BC9B01D" w:rsidR="004B50CF" w:rsidRPr="00B63DF7" w:rsidRDefault="004B50CF" w:rsidP="005158AC">
      <w:pPr>
        <w:rPr>
          <w:rFonts w:ascii="Arial" w:hAnsi="Arial" w:cs="Arial"/>
        </w:rPr>
      </w:pPr>
      <w:r w:rsidRPr="00B63DF7">
        <w:rPr>
          <w:rFonts w:ascii="Arial" w:hAnsi="Arial" w:cs="Arial"/>
        </w:rPr>
        <w:t>Figure S2</w:t>
      </w:r>
      <w:r w:rsidR="00855205" w:rsidRPr="00B63DF7">
        <w:rPr>
          <w:rFonts w:ascii="Arial" w:hAnsi="Arial" w:cs="Arial"/>
        </w:rPr>
        <w:t>. Average photon flux density (PFD) by nanometer of the electromagnetic spectrum between 300 and 800 nm from supplemental LED lighting (dotted line) and early in the afternoon clear sky sunlight (solid line) in the greenhouse. For comparison purposes, sunlight intensity was adjusted to align with an average PPFD of 144 µmol m</w:t>
      </w:r>
      <w:r w:rsidR="00855205" w:rsidRPr="00B63DF7">
        <w:rPr>
          <w:rFonts w:ascii="Arial" w:hAnsi="Arial" w:cs="Arial"/>
          <w:vertAlign w:val="superscript"/>
        </w:rPr>
        <w:t>-2</w:t>
      </w:r>
      <w:r w:rsidR="00855205" w:rsidRPr="00B63DF7">
        <w:rPr>
          <w:rFonts w:ascii="Arial" w:hAnsi="Arial" w:cs="Arial"/>
        </w:rPr>
        <w:t xml:space="preserve"> s</w:t>
      </w:r>
      <w:r w:rsidR="00855205" w:rsidRPr="00B63DF7">
        <w:rPr>
          <w:rFonts w:ascii="Arial" w:hAnsi="Arial" w:cs="Arial"/>
          <w:vertAlign w:val="superscript"/>
        </w:rPr>
        <w:t>-1</w:t>
      </w:r>
      <w:r w:rsidR="00855205" w:rsidRPr="00B63DF7">
        <w:rPr>
          <w:rFonts w:ascii="Arial" w:hAnsi="Arial" w:cs="Arial"/>
        </w:rPr>
        <w:t>, based on the LED photoperiod of 18 hours and the average solar daily light integral of 9.3 mol m</w:t>
      </w:r>
      <w:r w:rsidR="00855205" w:rsidRPr="00B63DF7">
        <w:rPr>
          <w:rFonts w:ascii="Arial" w:hAnsi="Arial" w:cs="Arial"/>
          <w:vertAlign w:val="superscript"/>
        </w:rPr>
        <w:t>-2</w:t>
      </w:r>
      <w:r w:rsidR="00855205" w:rsidRPr="00B63DF7">
        <w:rPr>
          <w:rFonts w:ascii="Arial" w:hAnsi="Arial" w:cs="Arial"/>
        </w:rPr>
        <w:t xml:space="preserve"> d</w:t>
      </w:r>
      <w:r w:rsidR="00855205" w:rsidRPr="00B63DF7">
        <w:rPr>
          <w:rFonts w:ascii="Arial" w:hAnsi="Arial" w:cs="Arial"/>
          <w:vertAlign w:val="superscript"/>
        </w:rPr>
        <w:t>-1</w:t>
      </w:r>
      <w:r w:rsidR="00855205" w:rsidRPr="00B63DF7">
        <w:rPr>
          <w:rFonts w:ascii="Arial" w:hAnsi="Arial" w:cs="Arial"/>
        </w:rPr>
        <w:t>.</w:t>
      </w:r>
    </w:p>
    <w:p w14:paraId="7CF8C05A" w14:textId="348C01B9" w:rsidR="00A01047" w:rsidRPr="00B63DF7" w:rsidRDefault="00A01047" w:rsidP="005158AC">
      <w:pPr>
        <w:rPr>
          <w:rFonts w:ascii="Arial" w:hAnsi="Arial" w:cs="Arial"/>
        </w:rPr>
      </w:pPr>
      <w:r w:rsidRPr="00B63DF7">
        <w:rPr>
          <w:rFonts w:ascii="Arial" w:hAnsi="Arial" w:cs="Arial"/>
          <w:b/>
          <w:bCs/>
        </w:rPr>
        <w:t xml:space="preserve">Supplemental light calibration and control: </w:t>
      </w:r>
      <w:r w:rsidRPr="00B63DF7">
        <w:rPr>
          <w:rFonts w:ascii="Arial" w:hAnsi="Arial" w:cs="Arial"/>
        </w:rPr>
        <w:t>The supplemental light levels were measured horizontally and vertically for calibration using a Li-191R line quantum sensor connected to a Li-1500 (Li-Cor, Lincoln, NE, USA). The line quantum sensor measured the entire length of the treatment area, including measurements on and between plant locations for the area width. To maintain constant light levels at the top of the crop canopy, the LED light output of each plot was digitally reduced based on the plot's average plant height every 2 to 4 days. To accomplish this, linear equations between the target light level and height were fitted for each plot before the experiment (R</w:t>
      </w:r>
      <w:r w:rsidRPr="00B63DF7">
        <w:rPr>
          <w:rFonts w:ascii="Arial" w:hAnsi="Arial" w:cs="Arial"/>
          <w:vertAlign w:val="superscript"/>
        </w:rPr>
        <w:t>2</w:t>
      </w:r>
      <w:r w:rsidRPr="00B63DF7">
        <w:rPr>
          <w:rFonts w:ascii="Arial" w:hAnsi="Arial" w:cs="Arial"/>
        </w:rPr>
        <w:t xml:space="preserve"> 0.991). Errors associated with the LED light distribution and dimming control were small (2.6 ± 1.7%, average light distribution deviation ± SD, and ≤ 5 µmol m</w:t>
      </w:r>
      <w:r w:rsidRPr="00B63DF7">
        <w:rPr>
          <w:rFonts w:ascii="Arial" w:hAnsi="Arial" w:cs="Arial"/>
          <w:vertAlign w:val="superscript"/>
        </w:rPr>
        <w:t>-2</w:t>
      </w:r>
      <w:r w:rsidRPr="00B63DF7">
        <w:rPr>
          <w:rFonts w:ascii="Arial" w:hAnsi="Arial" w:cs="Arial"/>
        </w:rPr>
        <w:t xml:space="preserve"> s</w:t>
      </w:r>
      <w:r w:rsidRPr="00B63DF7">
        <w:rPr>
          <w:rFonts w:ascii="Arial" w:hAnsi="Arial" w:cs="Arial"/>
          <w:vertAlign w:val="superscript"/>
        </w:rPr>
        <w:t>-1</w:t>
      </w:r>
      <w:r w:rsidRPr="00B63DF7">
        <w:rPr>
          <w:rFonts w:ascii="Arial" w:hAnsi="Arial" w:cs="Arial"/>
        </w:rPr>
        <w:t>, respectively).</w:t>
      </w:r>
    </w:p>
    <w:p w14:paraId="6DF84882" w14:textId="6084DF45" w:rsidR="00A01047" w:rsidRPr="00B63DF7" w:rsidRDefault="00A01047" w:rsidP="005158AC">
      <w:pPr>
        <w:ind w:firstLine="720"/>
        <w:rPr>
          <w:rFonts w:ascii="Arial" w:hAnsi="Arial" w:cs="Arial"/>
        </w:rPr>
      </w:pPr>
      <w:r w:rsidRPr="00B63DF7">
        <w:rPr>
          <w:rFonts w:ascii="Arial" w:hAnsi="Arial" w:cs="Arial"/>
        </w:rPr>
        <w:t>The Li-191R line sensor was a brand-new sensor adapted to measure 91.5 cm (treatment area length) instead of 100 cm. Corroboration measurements were taken against a Li-190R and a PS-200 spectroradiometer (Apogee, Logan</w:t>
      </w:r>
      <w:r w:rsidR="0045039D">
        <w:rPr>
          <w:rFonts w:ascii="Arial" w:hAnsi="Arial" w:cs="Arial"/>
        </w:rPr>
        <w:t>,</w:t>
      </w:r>
      <w:r w:rsidRPr="00B63DF7">
        <w:rPr>
          <w:rFonts w:ascii="Arial" w:hAnsi="Arial" w:cs="Arial"/>
        </w:rPr>
        <w:t xml:space="preserve"> UT, USA) in an open field. No errors from the quantum line sensor were observed.</w:t>
      </w:r>
    </w:p>
    <w:p w14:paraId="6902A154" w14:textId="77777777" w:rsidR="00A01047" w:rsidRPr="00B63DF7" w:rsidRDefault="00A01047" w:rsidP="005158AC">
      <w:pPr>
        <w:rPr>
          <w:rFonts w:ascii="Arial" w:hAnsi="Arial" w:cs="Arial"/>
          <w:b/>
          <w:bCs/>
        </w:rPr>
      </w:pPr>
      <w:r w:rsidRPr="00B63DF7">
        <w:rPr>
          <w:rFonts w:ascii="Arial" w:hAnsi="Arial" w:cs="Arial"/>
          <w:b/>
          <w:bCs/>
        </w:rPr>
        <w:t>Irrigation and pot nutrient solutions:</w:t>
      </w:r>
    </w:p>
    <w:p w14:paraId="12D7F5B3" w14:textId="7A2ADA8A" w:rsidR="00BE725A" w:rsidRPr="00B63DF7" w:rsidRDefault="00BE725A" w:rsidP="00BE725A">
      <w:pPr>
        <w:rPr>
          <w:rFonts w:ascii="Arial" w:hAnsi="Arial" w:cs="Arial"/>
        </w:rPr>
      </w:pPr>
      <w:r w:rsidRPr="00B63DF7">
        <w:rPr>
          <w:rFonts w:ascii="Arial" w:hAnsi="Arial" w:cs="Arial"/>
        </w:rPr>
        <w:t>Table S1: pour-thru (</w:t>
      </w:r>
      <w:proofErr w:type="spellStart"/>
      <w:r w:rsidRPr="00B63DF7">
        <w:rPr>
          <w:rFonts w:ascii="Arial" w:hAnsi="Arial" w:cs="Arial"/>
          <w:color w:val="000000" w:themeColor="text1"/>
        </w:rPr>
        <w:t>LeBude</w:t>
      </w:r>
      <w:proofErr w:type="spellEnd"/>
      <w:r w:rsidRPr="00B63DF7">
        <w:rPr>
          <w:rFonts w:ascii="Arial" w:hAnsi="Arial" w:cs="Arial"/>
          <w:color w:val="000000" w:themeColor="text1"/>
        </w:rPr>
        <w:t xml:space="preserve"> and </w:t>
      </w:r>
      <w:proofErr w:type="spellStart"/>
      <w:r w:rsidRPr="00B63DF7">
        <w:rPr>
          <w:rFonts w:ascii="Arial" w:hAnsi="Arial" w:cs="Arial"/>
          <w:color w:val="000000" w:themeColor="text1"/>
        </w:rPr>
        <w:t>Bilderback</w:t>
      </w:r>
      <w:proofErr w:type="spellEnd"/>
      <w:r w:rsidRPr="00B63DF7">
        <w:rPr>
          <w:rFonts w:ascii="Arial" w:hAnsi="Arial" w:cs="Arial"/>
          <w:color w:val="000000" w:themeColor="text1"/>
        </w:rPr>
        <w:t>, 2009</w:t>
      </w:r>
      <w:r w:rsidRPr="00B63DF7">
        <w:rPr>
          <w:rFonts w:ascii="Arial" w:hAnsi="Arial" w:cs="Arial"/>
        </w:rPr>
        <w:t>) and irrigation nutrient solution analyses. The pour-thru samples among treatments were combined for nutrient analysis; pH and EC differences due to treatment effects were not observed before combining the samples. EC = electric conductivity. Tap water (pH 7.2, EC 0.2 dS m</w:t>
      </w:r>
      <w:r w:rsidRPr="00B63DF7">
        <w:rPr>
          <w:rFonts w:ascii="Arial" w:hAnsi="Arial" w:cs="Arial"/>
          <w:vertAlign w:val="superscript"/>
        </w:rPr>
        <w:t>-1</w:t>
      </w:r>
      <w:r w:rsidRPr="00B63DF7">
        <w:rPr>
          <w:rFonts w:ascii="Arial" w:hAnsi="Arial" w:cs="Arial"/>
        </w:rPr>
        <w:t>) was used biweekly and followed immediately by a nutrient solution cycle.</w:t>
      </w:r>
    </w:p>
    <w:p w14:paraId="76AEB02C" w14:textId="77777777" w:rsidR="00C65313" w:rsidRPr="00B63DF7" w:rsidRDefault="00C65313" w:rsidP="00BE725A">
      <w:pPr>
        <w:rPr>
          <w:rFonts w:ascii="Arial" w:hAnsi="Arial" w:cs="Arial"/>
        </w:rPr>
      </w:pPr>
    </w:p>
    <w:tbl>
      <w:tblPr>
        <w:tblpPr w:leftFromText="180" w:rightFromText="180" w:vertAnchor="text" w:horzAnchor="margin" w:tblpXSpec="right" w:tblpY="242"/>
        <w:tblW w:w="9540" w:type="dxa"/>
        <w:shd w:val="clear" w:color="auto" w:fill="FFFFFF" w:themeFill="background1"/>
        <w:tblCellMar>
          <w:left w:w="0" w:type="dxa"/>
          <w:right w:w="0" w:type="dxa"/>
        </w:tblCellMar>
        <w:tblLook w:val="0600" w:firstRow="0" w:lastRow="0" w:firstColumn="0" w:lastColumn="0" w:noHBand="1" w:noVBand="1"/>
      </w:tblPr>
      <w:tblGrid>
        <w:gridCol w:w="938"/>
        <w:gridCol w:w="758"/>
        <w:gridCol w:w="457"/>
        <w:gridCol w:w="477"/>
        <w:gridCol w:w="457"/>
        <w:gridCol w:w="539"/>
        <w:gridCol w:w="377"/>
        <w:gridCol w:w="378"/>
        <w:gridCol w:w="378"/>
        <w:gridCol w:w="359"/>
        <w:gridCol w:w="318"/>
        <w:gridCol w:w="437"/>
        <w:gridCol w:w="458"/>
        <w:gridCol w:w="458"/>
        <w:gridCol w:w="458"/>
        <w:gridCol w:w="458"/>
        <w:gridCol w:w="458"/>
        <w:gridCol w:w="299"/>
        <w:gridCol w:w="279"/>
        <w:gridCol w:w="799"/>
      </w:tblGrid>
      <w:tr w:rsidR="00CD7F2D" w:rsidRPr="00B63DF7" w14:paraId="690BB7EB" w14:textId="77777777" w:rsidTr="003E2307">
        <w:trPr>
          <w:trHeight w:val="432"/>
        </w:trPr>
        <w:tc>
          <w:tcPr>
            <w:tcW w:w="93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hideMark/>
          </w:tcPr>
          <w:p w14:paraId="0F4F909B" w14:textId="77777777" w:rsidR="00CD7F2D" w:rsidRPr="00B63DF7" w:rsidRDefault="00CD7F2D" w:rsidP="00CD7F2D">
            <w:pPr>
              <w:spacing w:before="0" w:after="0"/>
              <w:ind w:left="144"/>
              <w:textAlignment w:val="center"/>
              <w:rPr>
                <w:rFonts w:ascii="Arial" w:eastAsia="Times New Roman" w:hAnsi="Arial" w:cs="Arial"/>
                <w:sz w:val="36"/>
                <w:szCs w:val="36"/>
              </w:rPr>
            </w:pPr>
            <w:r w:rsidRPr="00B63DF7">
              <w:rPr>
                <w:rFonts w:ascii="Arial" w:eastAsia="Times New Roman" w:hAnsi="Arial" w:cs="Arial"/>
                <w:b/>
                <w:bCs/>
                <w:color w:val="000000"/>
                <w:kern w:val="24"/>
                <w:sz w:val="16"/>
                <w:szCs w:val="16"/>
              </w:rPr>
              <w:lastRenderedPageBreak/>
              <w:t>Solution source</w:t>
            </w:r>
          </w:p>
        </w:tc>
        <w:tc>
          <w:tcPr>
            <w:tcW w:w="75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hideMark/>
          </w:tcPr>
          <w:p w14:paraId="7A6B553C"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Sampling date</w:t>
            </w:r>
          </w:p>
        </w:tc>
        <w:tc>
          <w:tcPr>
            <w:tcW w:w="457"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hideMark/>
          </w:tcPr>
          <w:p w14:paraId="02B1D137"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pH</w:t>
            </w:r>
          </w:p>
        </w:tc>
        <w:tc>
          <w:tcPr>
            <w:tcW w:w="477" w:type="dxa"/>
            <w:tcBorders>
              <w:top w:val="single" w:sz="4" w:space="0" w:color="auto"/>
              <w:left w:val="single" w:sz="8" w:space="0" w:color="FFFFFF"/>
              <w:bottom w:val="single" w:sz="4" w:space="0" w:color="auto"/>
              <w:right w:val="single" w:sz="8" w:space="0" w:color="FFFFFF"/>
            </w:tcBorders>
            <w:shd w:val="clear" w:color="auto" w:fill="FFFFFF" w:themeFill="background1"/>
          </w:tcPr>
          <w:p w14:paraId="7AB3EC8A" w14:textId="77777777" w:rsidR="00CD7F2D" w:rsidRPr="00B63DF7" w:rsidRDefault="00CD7F2D" w:rsidP="00CD7F2D">
            <w:pPr>
              <w:spacing w:before="0" w:after="0"/>
              <w:jc w:val="center"/>
              <w:textAlignment w:val="center"/>
              <w:rPr>
                <w:rFonts w:ascii="Arial" w:eastAsia="Times New Roman" w:hAnsi="Arial" w:cs="Arial"/>
                <w:b/>
                <w:bCs/>
                <w:color w:val="000000" w:themeColor="dark1"/>
                <w:kern w:val="24"/>
                <w:sz w:val="16"/>
                <w:szCs w:val="16"/>
              </w:rPr>
            </w:pPr>
            <w:r w:rsidRPr="00B63DF7">
              <w:rPr>
                <w:rFonts w:ascii="Arial" w:eastAsia="Times New Roman" w:hAnsi="Arial" w:cs="Arial"/>
                <w:b/>
                <w:bCs/>
                <w:color w:val="000000" w:themeColor="dark1"/>
                <w:kern w:val="24"/>
                <w:sz w:val="16"/>
                <w:szCs w:val="16"/>
              </w:rPr>
              <w:t>EC</w:t>
            </w:r>
          </w:p>
        </w:tc>
        <w:tc>
          <w:tcPr>
            <w:tcW w:w="457"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hideMark/>
          </w:tcPr>
          <w:p w14:paraId="638667DD"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N (NH4)</w:t>
            </w:r>
          </w:p>
        </w:tc>
        <w:tc>
          <w:tcPr>
            <w:tcW w:w="539"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hideMark/>
          </w:tcPr>
          <w:p w14:paraId="364B7243"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N (NO3)</w:t>
            </w:r>
          </w:p>
        </w:tc>
        <w:tc>
          <w:tcPr>
            <w:tcW w:w="377"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hideMark/>
          </w:tcPr>
          <w:p w14:paraId="076B3A2D"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P</w:t>
            </w:r>
          </w:p>
        </w:tc>
        <w:tc>
          <w:tcPr>
            <w:tcW w:w="37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hideMark/>
          </w:tcPr>
          <w:p w14:paraId="37A38EEA"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K</w:t>
            </w:r>
          </w:p>
        </w:tc>
        <w:tc>
          <w:tcPr>
            <w:tcW w:w="37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hideMark/>
          </w:tcPr>
          <w:p w14:paraId="18AE7430"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Ca</w:t>
            </w:r>
          </w:p>
        </w:tc>
        <w:tc>
          <w:tcPr>
            <w:tcW w:w="359"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hideMark/>
          </w:tcPr>
          <w:p w14:paraId="77AC0C5B"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Mg</w:t>
            </w:r>
          </w:p>
        </w:tc>
        <w:tc>
          <w:tcPr>
            <w:tcW w:w="31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hideMark/>
          </w:tcPr>
          <w:p w14:paraId="1E6304BC"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S</w:t>
            </w:r>
          </w:p>
        </w:tc>
        <w:tc>
          <w:tcPr>
            <w:tcW w:w="437"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hideMark/>
          </w:tcPr>
          <w:p w14:paraId="57B95592"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Fe</w:t>
            </w:r>
          </w:p>
        </w:tc>
        <w:tc>
          <w:tcPr>
            <w:tcW w:w="45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hideMark/>
          </w:tcPr>
          <w:p w14:paraId="7C14A17F"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Mn</w:t>
            </w:r>
          </w:p>
        </w:tc>
        <w:tc>
          <w:tcPr>
            <w:tcW w:w="45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hideMark/>
          </w:tcPr>
          <w:p w14:paraId="3E846EB6"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Zn</w:t>
            </w:r>
          </w:p>
        </w:tc>
        <w:tc>
          <w:tcPr>
            <w:tcW w:w="45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hideMark/>
          </w:tcPr>
          <w:p w14:paraId="79981368"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Cu</w:t>
            </w:r>
          </w:p>
        </w:tc>
        <w:tc>
          <w:tcPr>
            <w:tcW w:w="45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hideMark/>
          </w:tcPr>
          <w:p w14:paraId="5A2D6E12"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B</w:t>
            </w:r>
          </w:p>
        </w:tc>
        <w:tc>
          <w:tcPr>
            <w:tcW w:w="45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hideMark/>
          </w:tcPr>
          <w:p w14:paraId="1BE49AF5"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Mo</w:t>
            </w:r>
          </w:p>
        </w:tc>
        <w:tc>
          <w:tcPr>
            <w:tcW w:w="299"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hideMark/>
          </w:tcPr>
          <w:p w14:paraId="2C196A7E"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Na</w:t>
            </w:r>
          </w:p>
        </w:tc>
        <w:tc>
          <w:tcPr>
            <w:tcW w:w="279"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hideMark/>
          </w:tcPr>
          <w:p w14:paraId="6617342B"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Cl</w:t>
            </w:r>
          </w:p>
        </w:tc>
        <w:tc>
          <w:tcPr>
            <w:tcW w:w="799"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hideMark/>
          </w:tcPr>
          <w:p w14:paraId="23395201"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 xml:space="preserve">Alkalinity </w:t>
            </w:r>
            <w:r w:rsidRPr="00B63DF7">
              <w:rPr>
                <w:rFonts w:ascii="Arial" w:eastAsia="Times New Roman" w:hAnsi="Arial" w:cs="Arial"/>
                <w:b/>
                <w:bCs/>
                <w:color w:val="000000" w:themeColor="dark1"/>
                <w:kern w:val="24"/>
                <w:sz w:val="16"/>
                <w:szCs w:val="16"/>
              </w:rPr>
              <w:br/>
              <w:t>(CaCO</w:t>
            </w:r>
            <w:r w:rsidRPr="00B63DF7">
              <w:rPr>
                <w:rFonts w:ascii="Arial" w:eastAsia="Times New Roman" w:hAnsi="Arial" w:cs="Arial"/>
                <w:b/>
                <w:bCs/>
                <w:color w:val="000000" w:themeColor="dark1"/>
                <w:kern w:val="24"/>
                <w:position w:val="-4"/>
                <w:sz w:val="16"/>
                <w:szCs w:val="16"/>
                <w:vertAlign w:val="subscript"/>
              </w:rPr>
              <w:t>3</w:t>
            </w:r>
            <w:r w:rsidRPr="00B63DF7">
              <w:rPr>
                <w:rFonts w:ascii="Arial" w:eastAsia="Times New Roman" w:hAnsi="Arial" w:cs="Arial"/>
                <w:b/>
                <w:bCs/>
                <w:color w:val="000000" w:themeColor="dark1"/>
                <w:kern w:val="24"/>
                <w:sz w:val="16"/>
                <w:szCs w:val="16"/>
              </w:rPr>
              <w:t>)</w:t>
            </w:r>
          </w:p>
        </w:tc>
      </w:tr>
      <w:tr w:rsidR="00CD7F2D" w:rsidRPr="00B63DF7" w14:paraId="7BBB4488" w14:textId="77777777" w:rsidTr="003E2307">
        <w:trPr>
          <w:trHeight w:val="399"/>
        </w:trPr>
        <w:tc>
          <w:tcPr>
            <w:tcW w:w="938" w:type="dxa"/>
            <w:vMerge w:val="restart"/>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5" w:type="dxa"/>
              <w:bottom w:w="0" w:type="dxa"/>
              <w:right w:w="15" w:type="dxa"/>
            </w:tcMar>
            <w:vAlign w:val="center"/>
            <w:hideMark/>
          </w:tcPr>
          <w:p w14:paraId="019B9E1F" w14:textId="77777777" w:rsidR="00CD7F2D" w:rsidRPr="00B63DF7" w:rsidRDefault="00CD7F2D" w:rsidP="00CD7F2D">
            <w:pPr>
              <w:spacing w:before="0" w:after="0"/>
              <w:ind w:left="144"/>
              <w:textAlignment w:val="center"/>
              <w:rPr>
                <w:rFonts w:ascii="Arial" w:eastAsia="Times New Roman" w:hAnsi="Arial" w:cs="Arial"/>
                <w:b/>
                <w:bCs/>
                <w:sz w:val="36"/>
                <w:szCs w:val="36"/>
              </w:rPr>
            </w:pPr>
            <w:r w:rsidRPr="00B63DF7">
              <w:rPr>
                <w:rFonts w:ascii="Arial" w:eastAsia="Times New Roman" w:hAnsi="Arial" w:cs="Arial"/>
                <w:b/>
                <w:bCs/>
                <w:color w:val="000000" w:themeColor="dark1"/>
                <w:kern w:val="24"/>
                <w:sz w:val="16"/>
                <w:szCs w:val="16"/>
              </w:rPr>
              <w:t>Irrigation</w:t>
            </w:r>
          </w:p>
        </w:tc>
        <w:tc>
          <w:tcPr>
            <w:tcW w:w="758"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5" w:type="dxa"/>
              <w:bottom w:w="0" w:type="dxa"/>
              <w:right w:w="15" w:type="dxa"/>
            </w:tcMar>
            <w:vAlign w:val="center"/>
            <w:hideMark/>
          </w:tcPr>
          <w:p w14:paraId="4A0DC661"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10/09/20</w:t>
            </w:r>
          </w:p>
        </w:tc>
        <w:tc>
          <w:tcPr>
            <w:tcW w:w="457"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5" w:type="dxa"/>
              <w:bottom w:w="0" w:type="dxa"/>
              <w:right w:w="15" w:type="dxa"/>
            </w:tcMar>
            <w:vAlign w:val="center"/>
            <w:hideMark/>
          </w:tcPr>
          <w:p w14:paraId="0D805D25"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6.1</w:t>
            </w:r>
          </w:p>
        </w:tc>
        <w:tc>
          <w:tcPr>
            <w:tcW w:w="477" w:type="dxa"/>
            <w:tcBorders>
              <w:top w:val="single" w:sz="4" w:space="0" w:color="auto"/>
              <w:left w:val="single" w:sz="8" w:space="0" w:color="FFFFFF"/>
              <w:bottom w:val="single" w:sz="8" w:space="0" w:color="FFFFFF"/>
              <w:right w:val="single" w:sz="8" w:space="0" w:color="FFFFFF"/>
            </w:tcBorders>
            <w:shd w:val="clear" w:color="auto" w:fill="FFFFFF" w:themeFill="background1"/>
            <w:vAlign w:val="center"/>
          </w:tcPr>
          <w:p w14:paraId="10821495" w14:textId="77777777" w:rsidR="00CD7F2D" w:rsidRPr="00B63DF7" w:rsidRDefault="00CD7F2D" w:rsidP="00CD7F2D">
            <w:pPr>
              <w:spacing w:before="0" w:after="0"/>
              <w:jc w:val="center"/>
              <w:textAlignment w:val="center"/>
              <w:rPr>
                <w:rFonts w:ascii="Arial" w:eastAsia="Times New Roman" w:hAnsi="Arial" w:cs="Arial"/>
                <w:color w:val="000000" w:themeColor="dark1"/>
                <w:kern w:val="24"/>
                <w:sz w:val="16"/>
                <w:szCs w:val="16"/>
              </w:rPr>
            </w:pPr>
            <w:r w:rsidRPr="00B63DF7">
              <w:rPr>
                <w:rFonts w:ascii="Arial" w:eastAsia="Times New Roman" w:hAnsi="Arial" w:cs="Arial"/>
                <w:color w:val="000000" w:themeColor="dark1"/>
                <w:kern w:val="24"/>
                <w:sz w:val="16"/>
                <w:szCs w:val="16"/>
              </w:rPr>
              <w:t>1.9</w:t>
            </w:r>
          </w:p>
        </w:tc>
        <w:tc>
          <w:tcPr>
            <w:tcW w:w="457"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5" w:type="dxa"/>
              <w:bottom w:w="0" w:type="dxa"/>
              <w:right w:w="15" w:type="dxa"/>
            </w:tcMar>
            <w:vAlign w:val="center"/>
            <w:hideMark/>
          </w:tcPr>
          <w:p w14:paraId="695C5E2F"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17</w:t>
            </w:r>
          </w:p>
        </w:tc>
        <w:tc>
          <w:tcPr>
            <w:tcW w:w="539"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5" w:type="dxa"/>
              <w:bottom w:w="0" w:type="dxa"/>
              <w:right w:w="15" w:type="dxa"/>
            </w:tcMar>
            <w:vAlign w:val="center"/>
            <w:hideMark/>
          </w:tcPr>
          <w:p w14:paraId="17962AE9"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177</w:t>
            </w:r>
          </w:p>
        </w:tc>
        <w:tc>
          <w:tcPr>
            <w:tcW w:w="377"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5" w:type="dxa"/>
              <w:bottom w:w="0" w:type="dxa"/>
              <w:right w:w="15" w:type="dxa"/>
            </w:tcMar>
            <w:vAlign w:val="center"/>
            <w:hideMark/>
          </w:tcPr>
          <w:p w14:paraId="76F8ED74"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42</w:t>
            </w:r>
          </w:p>
        </w:tc>
        <w:tc>
          <w:tcPr>
            <w:tcW w:w="378"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5" w:type="dxa"/>
              <w:bottom w:w="0" w:type="dxa"/>
              <w:right w:w="15" w:type="dxa"/>
            </w:tcMar>
            <w:vAlign w:val="center"/>
            <w:hideMark/>
          </w:tcPr>
          <w:p w14:paraId="46BA7FEA"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185</w:t>
            </w:r>
          </w:p>
        </w:tc>
        <w:tc>
          <w:tcPr>
            <w:tcW w:w="378"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5" w:type="dxa"/>
              <w:bottom w:w="0" w:type="dxa"/>
              <w:right w:w="15" w:type="dxa"/>
            </w:tcMar>
            <w:vAlign w:val="center"/>
            <w:hideMark/>
          </w:tcPr>
          <w:p w14:paraId="7BCA08C0"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93</w:t>
            </w:r>
          </w:p>
        </w:tc>
        <w:tc>
          <w:tcPr>
            <w:tcW w:w="359"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5" w:type="dxa"/>
              <w:bottom w:w="0" w:type="dxa"/>
              <w:right w:w="15" w:type="dxa"/>
            </w:tcMar>
            <w:vAlign w:val="center"/>
            <w:hideMark/>
          </w:tcPr>
          <w:p w14:paraId="10BE984D"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42</w:t>
            </w:r>
          </w:p>
        </w:tc>
        <w:tc>
          <w:tcPr>
            <w:tcW w:w="318"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5" w:type="dxa"/>
              <w:bottom w:w="0" w:type="dxa"/>
              <w:right w:w="15" w:type="dxa"/>
            </w:tcMar>
            <w:vAlign w:val="center"/>
            <w:hideMark/>
          </w:tcPr>
          <w:p w14:paraId="7AE580D6"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14</w:t>
            </w:r>
          </w:p>
        </w:tc>
        <w:tc>
          <w:tcPr>
            <w:tcW w:w="437"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5" w:type="dxa"/>
              <w:bottom w:w="0" w:type="dxa"/>
              <w:right w:w="15" w:type="dxa"/>
            </w:tcMar>
            <w:vAlign w:val="center"/>
            <w:hideMark/>
          </w:tcPr>
          <w:p w14:paraId="518C7ACA"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5</w:t>
            </w:r>
          </w:p>
        </w:tc>
        <w:tc>
          <w:tcPr>
            <w:tcW w:w="458"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5" w:type="dxa"/>
              <w:bottom w:w="0" w:type="dxa"/>
              <w:right w:w="15" w:type="dxa"/>
            </w:tcMar>
            <w:vAlign w:val="center"/>
            <w:hideMark/>
          </w:tcPr>
          <w:p w14:paraId="154F8AB3"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0.71</w:t>
            </w:r>
          </w:p>
        </w:tc>
        <w:tc>
          <w:tcPr>
            <w:tcW w:w="458"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5" w:type="dxa"/>
              <w:bottom w:w="0" w:type="dxa"/>
              <w:right w:w="15" w:type="dxa"/>
            </w:tcMar>
            <w:vAlign w:val="center"/>
            <w:hideMark/>
          </w:tcPr>
          <w:p w14:paraId="2788BD69"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0.45</w:t>
            </w:r>
          </w:p>
        </w:tc>
        <w:tc>
          <w:tcPr>
            <w:tcW w:w="458"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5" w:type="dxa"/>
              <w:bottom w:w="0" w:type="dxa"/>
              <w:right w:w="15" w:type="dxa"/>
            </w:tcMar>
            <w:vAlign w:val="center"/>
            <w:hideMark/>
          </w:tcPr>
          <w:p w14:paraId="43D72A74"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0.07</w:t>
            </w:r>
          </w:p>
        </w:tc>
        <w:tc>
          <w:tcPr>
            <w:tcW w:w="458"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5" w:type="dxa"/>
              <w:bottom w:w="0" w:type="dxa"/>
              <w:right w:w="15" w:type="dxa"/>
            </w:tcMar>
            <w:vAlign w:val="center"/>
            <w:hideMark/>
          </w:tcPr>
          <w:p w14:paraId="30847EA8"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0.97</w:t>
            </w:r>
          </w:p>
        </w:tc>
        <w:tc>
          <w:tcPr>
            <w:tcW w:w="458"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5" w:type="dxa"/>
              <w:bottom w:w="0" w:type="dxa"/>
              <w:right w:w="15" w:type="dxa"/>
            </w:tcMar>
            <w:vAlign w:val="center"/>
            <w:hideMark/>
          </w:tcPr>
          <w:p w14:paraId="65FBB6B1"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0.07</w:t>
            </w:r>
          </w:p>
        </w:tc>
        <w:tc>
          <w:tcPr>
            <w:tcW w:w="299"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5" w:type="dxa"/>
              <w:bottom w:w="0" w:type="dxa"/>
              <w:right w:w="15" w:type="dxa"/>
            </w:tcMar>
            <w:vAlign w:val="center"/>
            <w:hideMark/>
          </w:tcPr>
          <w:p w14:paraId="049C7EF8"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29</w:t>
            </w:r>
          </w:p>
        </w:tc>
        <w:tc>
          <w:tcPr>
            <w:tcW w:w="279"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5" w:type="dxa"/>
              <w:bottom w:w="0" w:type="dxa"/>
              <w:right w:w="15" w:type="dxa"/>
            </w:tcMar>
            <w:vAlign w:val="center"/>
            <w:hideMark/>
          </w:tcPr>
          <w:p w14:paraId="02BF9B55"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14</w:t>
            </w:r>
          </w:p>
        </w:tc>
        <w:tc>
          <w:tcPr>
            <w:tcW w:w="799"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5" w:type="dxa"/>
              <w:bottom w:w="0" w:type="dxa"/>
              <w:right w:w="15" w:type="dxa"/>
            </w:tcMar>
            <w:vAlign w:val="center"/>
            <w:hideMark/>
          </w:tcPr>
          <w:p w14:paraId="0BB6B7F1"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21</w:t>
            </w:r>
          </w:p>
        </w:tc>
      </w:tr>
      <w:tr w:rsidR="00CD7F2D" w:rsidRPr="00B63DF7" w14:paraId="6B830F33" w14:textId="77777777" w:rsidTr="003E2307">
        <w:trPr>
          <w:trHeight w:val="459"/>
        </w:trPr>
        <w:tc>
          <w:tcPr>
            <w:tcW w:w="0" w:type="auto"/>
            <w:vMerge/>
            <w:tcBorders>
              <w:top w:val="single" w:sz="8" w:space="0" w:color="FFFFFF"/>
              <w:left w:val="single" w:sz="8" w:space="0" w:color="FFFFFF"/>
              <w:bottom w:val="single" w:sz="4" w:space="0" w:color="auto"/>
              <w:right w:val="single" w:sz="8" w:space="0" w:color="FFFFFF"/>
            </w:tcBorders>
            <w:shd w:val="clear" w:color="auto" w:fill="FFFFFF" w:themeFill="background1"/>
            <w:vAlign w:val="center"/>
            <w:hideMark/>
          </w:tcPr>
          <w:p w14:paraId="5A411E24" w14:textId="77777777" w:rsidR="00CD7F2D" w:rsidRPr="00B63DF7" w:rsidRDefault="00CD7F2D" w:rsidP="00CD7F2D">
            <w:pPr>
              <w:spacing w:before="0" w:after="0"/>
              <w:rPr>
                <w:rFonts w:ascii="Arial" w:eastAsia="Times New Roman" w:hAnsi="Arial" w:cs="Arial"/>
                <w:sz w:val="36"/>
                <w:szCs w:val="36"/>
              </w:rPr>
            </w:pPr>
          </w:p>
        </w:tc>
        <w:tc>
          <w:tcPr>
            <w:tcW w:w="758"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0F2E28AB"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10/24/20</w:t>
            </w:r>
          </w:p>
        </w:tc>
        <w:tc>
          <w:tcPr>
            <w:tcW w:w="457"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78DAD693"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6.2</w:t>
            </w:r>
          </w:p>
        </w:tc>
        <w:tc>
          <w:tcPr>
            <w:tcW w:w="477" w:type="dxa"/>
            <w:tcBorders>
              <w:top w:val="single" w:sz="8" w:space="0" w:color="FFFFFF"/>
              <w:left w:val="single" w:sz="8" w:space="0" w:color="FFFFFF"/>
              <w:bottom w:val="single" w:sz="4" w:space="0" w:color="auto"/>
              <w:right w:val="single" w:sz="8" w:space="0" w:color="FFFFFF"/>
            </w:tcBorders>
            <w:shd w:val="clear" w:color="auto" w:fill="FFFFFF" w:themeFill="background1"/>
            <w:vAlign w:val="center"/>
          </w:tcPr>
          <w:p w14:paraId="7E66B6EA" w14:textId="77777777" w:rsidR="00CD7F2D" w:rsidRPr="00B63DF7" w:rsidRDefault="00CD7F2D" w:rsidP="00CD7F2D">
            <w:pPr>
              <w:spacing w:before="0" w:after="0"/>
              <w:jc w:val="center"/>
              <w:textAlignment w:val="center"/>
              <w:rPr>
                <w:rFonts w:ascii="Arial" w:eastAsia="Times New Roman" w:hAnsi="Arial" w:cs="Arial"/>
                <w:color w:val="000000" w:themeColor="dark1"/>
                <w:kern w:val="24"/>
                <w:sz w:val="16"/>
                <w:szCs w:val="16"/>
              </w:rPr>
            </w:pPr>
            <w:r w:rsidRPr="00B63DF7">
              <w:rPr>
                <w:rFonts w:ascii="Arial" w:eastAsia="Times New Roman" w:hAnsi="Arial" w:cs="Arial"/>
                <w:color w:val="000000" w:themeColor="dark1"/>
                <w:kern w:val="24"/>
                <w:sz w:val="16"/>
                <w:szCs w:val="16"/>
              </w:rPr>
              <w:t>1.8</w:t>
            </w:r>
          </w:p>
        </w:tc>
        <w:tc>
          <w:tcPr>
            <w:tcW w:w="457"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45843667"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16</w:t>
            </w:r>
          </w:p>
        </w:tc>
        <w:tc>
          <w:tcPr>
            <w:tcW w:w="539"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7C27EFF2"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169</w:t>
            </w:r>
          </w:p>
        </w:tc>
        <w:tc>
          <w:tcPr>
            <w:tcW w:w="377"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232D11A6"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45</w:t>
            </w:r>
          </w:p>
        </w:tc>
        <w:tc>
          <w:tcPr>
            <w:tcW w:w="378"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130AD52A"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173</w:t>
            </w:r>
          </w:p>
        </w:tc>
        <w:tc>
          <w:tcPr>
            <w:tcW w:w="378"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21A06727"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93</w:t>
            </w:r>
          </w:p>
        </w:tc>
        <w:tc>
          <w:tcPr>
            <w:tcW w:w="359"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21A2142B"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41</w:t>
            </w:r>
          </w:p>
        </w:tc>
        <w:tc>
          <w:tcPr>
            <w:tcW w:w="318"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61EC76A8"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16</w:t>
            </w:r>
          </w:p>
        </w:tc>
        <w:tc>
          <w:tcPr>
            <w:tcW w:w="437"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4790FE59"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5</w:t>
            </w:r>
          </w:p>
        </w:tc>
        <w:tc>
          <w:tcPr>
            <w:tcW w:w="458"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207A64B7"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0.70</w:t>
            </w:r>
          </w:p>
        </w:tc>
        <w:tc>
          <w:tcPr>
            <w:tcW w:w="458"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127685CB"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0.40</w:t>
            </w:r>
          </w:p>
        </w:tc>
        <w:tc>
          <w:tcPr>
            <w:tcW w:w="458"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67F770E5"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0.06</w:t>
            </w:r>
          </w:p>
        </w:tc>
        <w:tc>
          <w:tcPr>
            <w:tcW w:w="458"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1AB2EB38"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1.01</w:t>
            </w:r>
          </w:p>
        </w:tc>
        <w:tc>
          <w:tcPr>
            <w:tcW w:w="458"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5CF677A4"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0.07</w:t>
            </w:r>
          </w:p>
        </w:tc>
        <w:tc>
          <w:tcPr>
            <w:tcW w:w="299"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7658C689"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29</w:t>
            </w:r>
          </w:p>
        </w:tc>
        <w:tc>
          <w:tcPr>
            <w:tcW w:w="279"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46C56E8E"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14</w:t>
            </w:r>
          </w:p>
        </w:tc>
        <w:tc>
          <w:tcPr>
            <w:tcW w:w="799"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1F2F0FEF"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21</w:t>
            </w:r>
          </w:p>
        </w:tc>
      </w:tr>
      <w:tr w:rsidR="00CD7F2D" w:rsidRPr="00B63DF7" w14:paraId="12F30789" w14:textId="77777777" w:rsidTr="003E2307">
        <w:trPr>
          <w:trHeight w:val="468"/>
        </w:trPr>
        <w:tc>
          <w:tcPr>
            <w:tcW w:w="93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1DEB0D64" w14:textId="77777777" w:rsidR="00CD7F2D" w:rsidRPr="00B63DF7" w:rsidRDefault="00CD7F2D" w:rsidP="00CD7F2D">
            <w:pPr>
              <w:spacing w:before="0" w:after="0"/>
              <w:ind w:left="144"/>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Pour thru</w:t>
            </w:r>
            <w:r w:rsidRPr="00B63DF7">
              <w:rPr>
                <w:rFonts w:ascii="Arial" w:eastAsia="Times New Roman" w:hAnsi="Arial" w:cs="Arial"/>
                <w:color w:val="000000" w:themeColor="dark1"/>
                <w:kern w:val="24"/>
                <w:sz w:val="16"/>
                <w:szCs w:val="16"/>
              </w:rPr>
              <w:br/>
              <w:t>(before Irrigation)</w:t>
            </w:r>
          </w:p>
        </w:tc>
        <w:tc>
          <w:tcPr>
            <w:tcW w:w="75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5D6D8487"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10/24/20</w:t>
            </w:r>
          </w:p>
        </w:tc>
        <w:tc>
          <w:tcPr>
            <w:tcW w:w="457"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4D8208A8"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5.9</w:t>
            </w:r>
          </w:p>
        </w:tc>
        <w:tc>
          <w:tcPr>
            <w:tcW w:w="477" w:type="dxa"/>
            <w:tcBorders>
              <w:top w:val="single" w:sz="4" w:space="0" w:color="auto"/>
              <w:left w:val="single" w:sz="8" w:space="0" w:color="FFFFFF"/>
              <w:bottom w:val="single" w:sz="4" w:space="0" w:color="auto"/>
              <w:right w:val="single" w:sz="8" w:space="0" w:color="FFFFFF"/>
            </w:tcBorders>
            <w:shd w:val="clear" w:color="auto" w:fill="FFFFFF" w:themeFill="background1"/>
            <w:vAlign w:val="center"/>
          </w:tcPr>
          <w:p w14:paraId="1092F82A" w14:textId="77777777" w:rsidR="00CD7F2D" w:rsidRPr="00B63DF7" w:rsidRDefault="00CD7F2D" w:rsidP="00CD7F2D">
            <w:pPr>
              <w:spacing w:before="0" w:after="0"/>
              <w:jc w:val="center"/>
              <w:textAlignment w:val="center"/>
              <w:rPr>
                <w:rFonts w:ascii="Arial" w:eastAsia="Times New Roman" w:hAnsi="Arial" w:cs="Arial"/>
                <w:color w:val="000000" w:themeColor="dark1"/>
                <w:kern w:val="24"/>
                <w:sz w:val="16"/>
                <w:szCs w:val="16"/>
              </w:rPr>
            </w:pPr>
            <w:r w:rsidRPr="00B63DF7">
              <w:rPr>
                <w:rFonts w:ascii="Arial" w:eastAsia="Times New Roman" w:hAnsi="Arial" w:cs="Arial"/>
                <w:color w:val="000000" w:themeColor="dark1"/>
                <w:kern w:val="24"/>
                <w:sz w:val="16"/>
                <w:szCs w:val="16"/>
              </w:rPr>
              <w:t>2.3</w:t>
            </w:r>
          </w:p>
        </w:tc>
        <w:tc>
          <w:tcPr>
            <w:tcW w:w="457"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714722A5"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2</w:t>
            </w:r>
          </w:p>
        </w:tc>
        <w:tc>
          <w:tcPr>
            <w:tcW w:w="539"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51090768"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200</w:t>
            </w:r>
          </w:p>
        </w:tc>
        <w:tc>
          <w:tcPr>
            <w:tcW w:w="377"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626DF72C"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38</w:t>
            </w:r>
          </w:p>
        </w:tc>
        <w:tc>
          <w:tcPr>
            <w:tcW w:w="37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2FB03D62"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147</w:t>
            </w:r>
          </w:p>
        </w:tc>
        <w:tc>
          <w:tcPr>
            <w:tcW w:w="37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172FAFBF"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188</w:t>
            </w:r>
          </w:p>
        </w:tc>
        <w:tc>
          <w:tcPr>
            <w:tcW w:w="359"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1B75EF62"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61</w:t>
            </w:r>
          </w:p>
        </w:tc>
        <w:tc>
          <w:tcPr>
            <w:tcW w:w="31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166D3089"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81</w:t>
            </w:r>
          </w:p>
        </w:tc>
        <w:tc>
          <w:tcPr>
            <w:tcW w:w="437"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75EBB881"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4</w:t>
            </w:r>
          </w:p>
        </w:tc>
        <w:tc>
          <w:tcPr>
            <w:tcW w:w="45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6F122AAA"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0.15</w:t>
            </w:r>
          </w:p>
        </w:tc>
        <w:tc>
          <w:tcPr>
            <w:tcW w:w="45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26FBBB10"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1.20</w:t>
            </w:r>
          </w:p>
        </w:tc>
        <w:tc>
          <w:tcPr>
            <w:tcW w:w="45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22441FAB"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0.33</w:t>
            </w:r>
          </w:p>
        </w:tc>
        <w:tc>
          <w:tcPr>
            <w:tcW w:w="45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2A7FA835"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0.27</w:t>
            </w:r>
          </w:p>
        </w:tc>
        <w:tc>
          <w:tcPr>
            <w:tcW w:w="45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7E64BEDC"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0.00</w:t>
            </w:r>
          </w:p>
        </w:tc>
        <w:tc>
          <w:tcPr>
            <w:tcW w:w="299"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79FAF44E"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40</w:t>
            </w:r>
          </w:p>
        </w:tc>
        <w:tc>
          <w:tcPr>
            <w:tcW w:w="279"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2B7B543D"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20</w:t>
            </w:r>
          </w:p>
        </w:tc>
        <w:tc>
          <w:tcPr>
            <w:tcW w:w="799"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355B8466"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24</w:t>
            </w:r>
          </w:p>
        </w:tc>
      </w:tr>
      <w:tr w:rsidR="00CD7F2D" w:rsidRPr="00B63DF7" w14:paraId="0924A3D9" w14:textId="77777777" w:rsidTr="003E2307">
        <w:trPr>
          <w:trHeight w:val="408"/>
        </w:trPr>
        <w:tc>
          <w:tcPr>
            <w:tcW w:w="93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1074DB61" w14:textId="77777777" w:rsidR="00CD7F2D" w:rsidRPr="00B63DF7" w:rsidRDefault="00CD7F2D" w:rsidP="00CD7F2D">
            <w:pPr>
              <w:spacing w:before="0" w:after="0"/>
              <w:ind w:left="144"/>
              <w:textAlignment w:val="center"/>
              <w:rPr>
                <w:rFonts w:ascii="Arial" w:eastAsia="Times New Roman" w:hAnsi="Arial" w:cs="Arial"/>
                <w:sz w:val="36"/>
                <w:szCs w:val="36"/>
              </w:rPr>
            </w:pPr>
            <w:r w:rsidRPr="00B63DF7">
              <w:rPr>
                <w:rFonts w:ascii="Arial" w:eastAsia="Times New Roman" w:hAnsi="Arial" w:cs="Arial"/>
                <w:b/>
                <w:bCs/>
                <w:color w:val="000000" w:themeColor="dark1"/>
                <w:kern w:val="24"/>
                <w:sz w:val="16"/>
                <w:szCs w:val="16"/>
              </w:rPr>
              <w:t>Pour thru</w:t>
            </w:r>
            <w:r w:rsidRPr="00B63DF7">
              <w:rPr>
                <w:rFonts w:ascii="Arial" w:eastAsia="Times New Roman" w:hAnsi="Arial" w:cs="Arial"/>
                <w:color w:val="000000" w:themeColor="dark1"/>
                <w:kern w:val="24"/>
                <w:sz w:val="16"/>
                <w:szCs w:val="16"/>
              </w:rPr>
              <w:br/>
              <w:t>(after Irrigation)</w:t>
            </w:r>
          </w:p>
        </w:tc>
        <w:tc>
          <w:tcPr>
            <w:tcW w:w="75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6E10CC16"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11/02/20</w:t>
            </w:r>
          </w:p>
        </w:tc>
        <w:tc>
          <w:tcPr>
            <w:tcW w:w="457"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15725C82"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6.3</w:t>
            </w:r>
          </w:p>
        </w:tc>
        <w:tc>
          <w:tcPr>
            <w:tcW w:w="477" w:type="dxa"/>
            <w:tcBorders>
              <w:top w:val="single" w:sz="4" w:space="0" w:color="auto"/>
              <w:left w:val="single" w:sz="8" w:space="0" w:color="FFFFFF"/>
              <w:bottom w:val="single" w:sz="4" w:space="0" w:color="auto"/>
              <w:right w:val="single" w:sz="8" w:space="0" w:color="FFFFFF"/>
            </w:tcBorders>
            <w:shd w:val="clear" w:color="auto" w:fill="FFFFFF" w:themeFill="background1"/>
            <w:vAlign w:val="center"/>
          </w:tcPr>
          <w:p w14:paraId="5F53AC16" w14:textId="77777777" w:rsidR="00CD7F2D" w:rsidRPr="00B63DF7" w:rsidRDefault="00CD7F2D" w:rsidP="00CD7F2D">
            <w:pPr>
              <w:spacing w:before="0" w:after="0"/>
              <w:jc w:val="center"/>
              <w:textAlignment w:val="center"/>
              <w:rPr>
                <w:rFonts w:ascii="Arial" w:eastAsia="Times New Roman" w:hAnsi="Arial" w:cs="Arial"/>
                <w:color w:val="000000" w:themeColor="dark1"/>
                <w:kern w:val="24"/>
                <w:sz w:val="16"/>
                <w:szCs w:val="16"/>
              </w:rPr>
            </w:pPr>
            <w:r w:rsidRPr="00B63DF7">
              <w:rPr>
                <w:rFonts w:ascii="Arial" w:eastAsia="Times New Roman" w:hAnsi="Arial" w:cs="Arial"/>
                <w:color w:val="000000" w:themeColor="dark1"/>
                <w:kern w:val="24"/>
                <w:sz w:val="16"/>
                <w:szCs w:val="16"/>
              </w:rPr>
              <w:t>1.9</w:t>
            </w:r>
          </w:p>
        </w:tc>
        <w:tc>
          <w:tcPr>
            <w:tcW w:w="457"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27FD9F10"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w:t>
            </w:r>
          </w:p>
        </w:tc>
        <w:tc>
          <w:tcPr>
            <w:tcW w:w="539"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47CBDED6"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170</w:t>
            </w:r>
          </w:p>
        </w:tc>
        <w:tc>
          <w:tcPr>
            <w:tcW w:w="377"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73309028"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50</w:t>
            </w:r>
          </w:p>
        </w:tc>
        <w:tc>
          <w:tcPr>
            <w:tcW w:w="37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29173542"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131</w:t>
            </w:r>
          </w:p>
        </w:tc>
        <w:tc>
          <w:tcPr>
            <w:tcW w:w="37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7A630003"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124</w:t>
            </w:r>
          </w:p>
        </w:tc>
        <w:tc>
          <w:tcPr>
            <w:tcW w:w="359"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43046787"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42</w:t>
            </w:r>
          </w:p>
        </w:tc>
        <w:tc>
          <w:tcPr>
            <w:tcW w:w="31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1B048A60"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35</w:t>
            </w:r>
          </w:p>
        </w:tc>
        <w:tc>
          <w:tcPr>
            <w:tcW w:w="437"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183D40AC"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7</w:t>
            </w:r>
          </w:p>
        </w:tc>
        <w:tc>
          <w:tcPr>
            <w:tcW w:w="45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00E6B804"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0.04</w:t>
            </w:r>
          </w:p>
        </w:tc>
        <w:tc>
          <w:tcPr>
            <w:tcW w:w="45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2E2E2767"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1.32</w:t>
            </w:r>
          </w:p>
        </w:tc>
        <w:tc>
          <w:tcPr>
            <w:tcW w:w="45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3BAA6BDE"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0.16</w:t>
            </w:r>
          </w:p>
        </w:tc>
        <w:tc>
          <w:tcPr>
            <w:tcW w:w="45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13F8F3A3"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0.45</w:t>
            </w:r>
          </w:p>
        </w:tc>
        <w:tc>
          <w:tcPr>
            <w:tcW w:w="45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50A7770D"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0.00</w:t>
            </w:r>
          </w:p>
        </w:tc>
        <w:tc>
          <w:tcPr>
            <w:tcW w:w="299"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438F0876"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61</w:t>
            </w:r>
          </w:p>
        </w:tc>
        <w:tc>
          <w:tcPr>
            <w:tcW w:w="279"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61446F6E"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27</w:t>
            </w:r>
          </w:p>
        </w:tc>
        <w:tc>
          <w:tcPr>
            <w:tcW w:w="799"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1973C3A1"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34</w:t>
            </w:r>
          </w:p>
        </w:tc>
      </w:tr>
      <w:tr w:rsidR="00CD7F2D" w:rsidRPr="00B63DF7" w14:paraId="1A6340FA" w14:textId="77777777" w:rsidTr="003E2307">
        <w:trPr>
          <w:trHeight w:val="288"/>
        </w:trPr>
        <w:tc>
          <w:tcPr>
            <w:tcW w:w="93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5DAE83B0" w14:textId="77777777" w:rsidR="00CD7F2D" w:rsidRPr="00B63DF7" w:rsidRDefault="00CD7F2D" w:rsidP="00CD7F2D">
            <w:pPr>
              <w:spacing w:before="0" w:after="0"/>
              <w:ind w:left="144"/>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Units:</w:t>
            </w:r>
          </w:p>
        </w:tc>
        <w:tc>
          <w:tcPr>
            <w:tcW w:w="758"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0AFED833" w14:textId="77777777" w:rsidR="00CD7F2D" w:rsidRPr="00B63DF7" w:rsidRDefault="00CD7F2D" w:rsidP="00CD7F2D">
            <w:pPr>
              <w:spacing w:before="0" w:after="0"/>
              <w:rPr>
                <w:rFonts w:ascii="Arial" w:eastAsia="Times New Roman" w:hAnsi="Arial" w:cs="Arial"/>
                <w:sz w:val="36"/>
                <w:szCs w:val="36"/>
              </w:rPr>
            </w:pPr>
          </w:p>
        </w:tc>
        <w:tc>
          <w:tcPr>
            <w:tcW w:w="457" w:type="dxa"/>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6DB8C729"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 xml:space="preserve"> </w:t>
            </w:r>
          </w:p>
        </w:tc>
        <w:tc>
          <w:tcPr>
            <w:tcW w:w="477" w:type="dxa"/>
            <w:tcBorders>
              <w:top w:val="single" w:sz="4" w:space="0" w:color="auto"/>
              <w:left w:val="single" w:sz="8" w:space="0" w:color="FFFFFF"/>
              <w:bottom w:val="single" w:sz="4" w:space="0" w:color="auto"/>
              <w:right w:val="single" w:sz="8" w:space="0" w:color="FFFFFF"/>
            </w:tcBorders>
            <w:shd w:val="clear" w:color="auto" w:fill="FFFFFF" w:themeFill="background1"/>
            <w:vAlign w:val="center"/>
          </w:tcPr>
          <w:p w14:paraId="64BD574B" w14:textId="77777777" w:rsidR="00CD7F2D" w:rsidRPr="00B63DF7" w:rsidRDefault="00CD7F2D" w:rsidP="00CD7F2D">
            <w:pPr>
              <w:spacing w:before="0" w:after="0"/>
              <w:jc w:val="center"/>
              <w:textAlignment w:val="center"/>
              <w:rPr>
                <w:rFonts w:ascii="Arial" w:eastAsia="Times New Roman" w:hAnsi="Arial" w:cs="Arial"/>
                <w:color w:val="000000" w:themeColor="dark1"/>
                <w:kern w:val="24"/>
                <w:sz w:val="16"/>
                <w:szCs w:val="16"/>
              </w:rPr>
            </w:pPr>
            <w:r w:rsidRPr="00B63DF7">
              <w:rPr>
                <w:rFonts w:ascii="Arial" w:eastAsia="Times New Roman" w:hAnsi="Arial" w:cs="Arial"/>
                <w:color w:val="000000" w:themeColor="dark1"/>
                <w:kern w:val="24"/>
                <w:sz w:val="16"/>
                <w:szCs w:val="16"/>
              </w:rPr>
              <w:t>dS</w:t>
            </w:r>
          </w:p>
          <w:p w14:paraId="4ECACB8F" w14:textId="77777777" w:rsidR="00CD7F2D" w:rsidRPr="00B63DF7" w:rsidRDefault="00CD7F2D" w:rsidP="00CD7F2D">
            <w:pPr>
              <w:spacing w:before="0" w:after="0"/>
              <w:jc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m</w:t>
            </w:r>
            <w:r w:rsidRPr="00B63DF7">
              <w:rPr>
                <w:rFonts w:ascii="Arial" w:eastAsia="Times New Roman" w:hAnsi="Arial" w:cs="Arial"/>
                <w:color w:val="000000" w:themeColor="dark1"/>
                <w:kern w:val="24"/>
                <w:position w:val="5"/>
                <w:sz w:val="16"/>
                <w:szCs w:val="16"/>
                <w:vertAlign w:val="superscript"/>
              </w:rPr>
              <w:t>-1</w:t>
            </w:r>
          </w:p>
        </w:tc>
        <w:tc>
          <w:tcPr>
            <w:tcW w:w="6910" w:type="dxa"/>
            <w:gridSpan w:val="16"/>
            <w:tcBorders>
              <w:top w:val="single" w:sz="4" w:space="0" w:color="auto"/>
              <w:left w:val="single" w:sz="8" w:space="0" w:color="FFFFFF"/>
              <w:bottom w:val="single" w:sz="4" w:space="0" w:color="auto"/>
              <w:right w:val="single" w:sz="8" w:space="0" w:color="FFFFFF"/>
            </w:tcBorders>
            <w:shd w:val="clear" w:color="auto" w:fill="FFFFFF" w:themeFill="background1"/>
            <w:tcMar>
              <w:top w:w="15" w:type="dxa"/>
              <w:left w:w="15" w:type="dxa"/>
              <w:bottom w:w="0" w:type="dxa"/>
              <w:right w:w="15" w:type="dxa"/>
            </w:tcMar>
            <w:vAlign w:val="center"/>
            <w:hideMark/>
          </w:tcPr>
          <w:p w14:paraId="54F01BB1" w14:textId="77777777" w:rsidR="00CD7F2D" w:rsidRPr="00B63DF7" w:rsidRDefault="00CD7F2D" w:rsidP="00CD7F2D">
            <w:pPr>
              <w:spacing w:before="0" w:after="0"/>
              <w:jc w:val="center"/>
              <w:textAlignment w:val="center"/>
              <w:rPr>
                <w:rFonts w:ascii="Arial" w:eastAsia="Times New Roman" w:hAnsi="Arial" w:cs="Arial"/>
                <w:sz w:val="36"/>
                <w:szCs w:val="36"/>
              </w:rPr>
            </w:pPr>
            <w:r w:rsidRPr="00B63DF7">
              <w:rPr>
                <w:rFonts w:ascii="Arial" w:eastAsia="Times New Roman" w:hAnsi="Arial" w:cs="Arial"/>
                <w:color w:val="000000" w:themeColor="dark1"/>
                <w:kern w:val="24"/>
                <w:sz w:val="16"/>
                <w:szCs w:val="16"/>
              </w:rPr>
              <w:t>ppm</w:t>
            </w:r>
          </w:p>
        </w:tc>
      </w:tr>
    </w:tbl>
    <w:p w14:paraId="40F05F2C" w14:textId="01F99D03" w:rsidR="00A01047" w:rsidRPr="00B63DF7" w:rsidRDefault="00A01047" w:rsidP="005158AC">
      <w:pPr>
        <w:rPr>
          <w:rFonts w:ascii="Arial" w:hAnsi="Arial" w:cs="Arial"/>
        </w:rPr>
      </w:pPr>
    </w:p>
    <w:p w14:paraId="608000F6" w14:textId="11F34A5D" w:rsidR="00A01047" w:rsidRPr="00B63DF7" w:rsidRDefault="00A01047" w:rsidP="005158AC">
      <w:pPr>
        <w:rPr>
          <w:rFonts w:ascii="Arial" w:hAnsi="Arial" w:cs="Arial"/>
          <w:b/>
          <w:bCs/>
        </w:rPr>
      </w:pPr>
      <w:r w:rsidRPr="00B63DF7">
        <w:rPr>
          <w:rFonts w:ascii="Arial" w:hAnsi="Arial" w:cs="Arial"/>
          <w:b/>
          <w:bCs/>
        </w:rPr>
        <w:t xml:space="preserve">Plot sensing and controlling hardware specifications: </w:t>
      </w:r>
      <w:r w:rsidRPr="00B63DF7">
        <w:rPr>
          <w:rFonts w:ascii="Arial" w:hAnsi="Arial" w:cs="Arial"/>
        </w:rPr>
        <w:t xml:space="preserve">Current Lighting Solutions (Greenville, SC, USA) provided the LED lights model L1000PPB. Soil moisture sensors, model ECH 10HS, were supplied by Meter Group (Pullman, WA, USA). Load cells, model RL1040-30KG, were from Rice Lake W.S. (Rice Lake, WI, USA). Fine thermocouples, model 5TC-TT-T-36-36, were from Omega (Norwalk, CT, USA). SQ-500 quantum sensors were provided by Apogee (Logan, UT, USA). The data acquisition and controlling system </w:t>
      </w:r>
      <w:r w:rsidR="00E362AC" w:rsidRPr="00B63DF7">
        <w:rPr>
          <w:rFonts w:ascii="Arial" w:hAnsi="Arial" w:cs="Arial"/>
        </w:rPr>
        <w:t>from Campbell Scientific devices (Logan, UT, USA)</w:t>
      </w:r>
      <w:r w:rsidR="00613DC8" w:rsidRPr="00B63DF7">
        <w:rPr>
          <w:rFonts w:ascii="Arial" w:hAnsi="Arial" w:cs="Arial"/>
        </w:rPr>
        <w:t xml:space="preserve"> </w:t>
      </w:r>
      <w:r w:rsidRPr="00B63DF7">
        <w:rPr>
          <w:rFonts w:ascii="Arial" w:hAnsi="Arial" w:cs="Arial"/>
        </w:rPr>
        <w:t xml:space="preserve">included a datalogger and controller (model CR1000), </w:t>
      </w:r>
      <w:r w:rsidR="008D7571" w:rsidRPr="00B63DF7">
        <w:rPr>
          <w:rFonts w:ascii="Arial" w:hAnsi="Arial" w:cs="Arial"/>
        </w:rPr>
        <w:t xml:space="preserve">four </w:t>
      </w:r>
      <w:r w:rsidRPr="00B63DF7">
        <w:rPr>
          <w:rFonts w:ascii="Arial" w:hAnsi="Arial" w:cs="Arial"/>
        </w:rPr>
        <w:t>multiplexers (model AM16/32), and a relay driver (model SDM16AC/DC)</w:t>
      </w:r>
      <w:r w:rsidR="00613DC8" w:rsidRPr="00B63DF7">
        <w:rPr>
          <w:rFonts w:ascii="Arial" w:hAnsi="Arial" w:cs="Arial"/>
        </w:rPr>
        <w:t>.</w:t>
      </w:r>
    </w:p>
    <w:p w14:paraId="29B1BF60" w14:textId="77777777" w:rsidR="00A01047" w:rsidRPr="00B63DF7" w:rsidRDefault="00A01047" w:rsidP="005158AC">
      <w:pPr>
        <w:rPr>
          <w:rFonts w:ascii="Arial" w:hAnsi="Arial" w:cs="Arial"/>
        </w:rPr>
      </w:pPr>
      <w:r w:rsidRPr="00B63DF7">
        <w:rPr>
          <w:rFonts w:ascii="Arial" w:hAnsi="Arial" w:cs="Arial"/>
          <w:b/>
          <w:bCs/>
        </w:rPr>
        <w:t xml:space="preserve">Substrate information and moisture calibration: </w:t>
      </w:r>
      <w:r w:rsidRPr="00B63DF7">
        <w:rPr>
          <w:rFonts w:ascii="Arial" w:hAnsi="Arial" w:cs="Arial"/>
        </w:rPr>
        <w:t>The commercial substrate mix utilized in this study (Pro-Line C/P, Jolly Gardener) has been detailed by Noah et al. (2022). A container with a substrate volume of 9.6 L from Elite Nursery Containers, model Classic 1200, with a top diameter of 10.5 inches and a height of 10 inches, was employed. All pots were filled with the same substrate fresh mass (3500 ± 1 g). Additionally, three extra pots were subjected to drying at 69°C for ten days to determine substrate dry mass (1.988 ± 0.056 kg, mean ± SD) and to calibrate the 10HS soil moisture sensors according to our experimental conditions. For calibration, known quantities of the irrigation solution were uniformly and cumulatively added, and voltage readings from multiple sensors were recorded in millivolts (mV). The volumetric water content equation, 6e</w:t>
      </w:r>
      <w:r w:rsidRPr="00B63DF7">
        <w:rPr>
          <w:rFonts w:ascii="Arial" w:hAnsi="Arial" w:cs="Arial"/>
          <w:vertAlign w:val="superscript"/>
        </w:rPr>
        <w:t>-07</w:t>
      </w:r>
      <w:r w:rsidRPr="00B63DF7">
        <w:rPr>
          <w:rFonts w:ascii="Arial" w:hAnsi="Arial" w:cs="Arial"/>
        </w:rPr>
        <w:t>*mV</w:t>
      </w:r>
      <w:r w:rsidRPr="00B63DF7">
        <w:rPr>
          <w:rFonts w:ascii="Arial" w:hAnsi="Arial" w:cs="Arial"/>
          <w:vertAlign w:val="superscript"/>
        </w:rPr>
        <w:t>2</w:t>
      </w:r>
      <w:r w:rsidRPr="00B63DF7">
        <w:rPr>
          <w:rFonts w:ascii="Arial" w:hAnsi="Arial" w:cs="Arial"/>
        </w:rPr>
        <w:t xml:space="preserve"> - 0.000123*mV - 0.0303, was used to control the irrigation in every plot. Throughout the experiment and calibration processes, the sensors were vertically inserted into the media with their tips positioned at 17.2 cm from the surface (sensor length 16.3 cm) and placed between the pot center and the wall. The larger sensing area of the 10HS sensors was oriented to face the center of the pots (for further details, see METER Environment).</w:t>
      </w:r>
    </w:p>
    <w:p w14:paraId="23078FD5" w14:textId="178FD4EA" w:rsidR="00A01047" w:rsidRPr="00B63DF7" w:rsidRDefault="00A01047" w:rsidP="005158AC">
      <w:pPr>
        <w:rPr>
          <w:rFonts w:ascii="Arial" w:hAnsi="Arial" w:cs="Arial"/>
        </w:rPr>
      </w:pPr>
      <w:r w:rsidRPr="00B63DF7">
        <w:rPr>
          <w:rFonts w:ascii="Arial" w:hAnsi="Arial" w:cs="Arial"/>
          <w:b/>
          <w:bCs/>
        </w:rPr>
        <w:t xml:space="preserve">Load cells calibration, readings, and measurements: </w:t>
      </w:r>
      <w:r w:rsidRPr="00B63DF7">
        <w:rPr>
          <w:rFonts w:ascii="Arial" w:hAnsi="Arial" w:cs="Arial"/>
        </w:rPr>
        <w:t>Load cells were calibrated using precision weights (Troemner, Class U, NJ, USA). Evaporated and transpired water was calculated from the cumulative differences between measurements after the excess water from irrigation drained and just before the next irrigation cycle. The small plant mass increment and the water used by the plants around the irrigation cycle were not considered. See Figure S</w:t>
      </w:r>
      <w:r w:rsidR="00E57AFB" w:rsidRPr="00B63DF7">
        <w:rPr>
          <w:rFonts w:ascii="Arial" w:hAnsi="Arial" w:cs="Arial"/>
        </w:rPr>
        <w:t>3</w:t>
      </w:r>
      <w:r w:rsidRPr="00B63DF7">
        <w:rPr>
          <w:rFonts w:ascii="Arial" w:hAnsi="Arial" w:cs="Arial"/>
        </w:rPr>
        <w:t>a for more details.</w:t>
      </w:r>
    </w:p>
    <w:p w14:paraId="143F8899" w14:textId="2AA4366D" w:rsidR="00672394" w:rsidRPr="00B63DF7" w:rsidRDefault="00193460" w:rsidP="005158AC">
      <w:pPr>
        <w:rPr>
          <w:rFonts w:ascii="Arial" w:hAnsi="Arial" w:cs="Arial"/>
        </w:rPr>
      </w:pPr>
      <w:r w:rsidRPr="00193460">
        <w:rPr>
          <w:rFonts w:ascii="Arial" w:hAnsi="Arial" w:cs="Arial"/>
        </w:rPr>
        <w:lastRenderedPageBreak/>
        <w:t xml:space="preserve"> </w:t>
      </w:r>
      <w:r w:rsidRPr="00193460">
        <w:rPr>
          <w:noProof/>
        </w:rPr>
        <w:drawing>
          <wp:inline distT="0" distB="0" distL="0" distR="0" wp14:anchorId="2BFD6FE3" wp14:editId="0036AE58">
            <wp:extent cx="4308763" cy="2889696"/>
            <wp:effectExtent l="0" t="0" r="0" b="6350"/>
            <wp:docPr id="6141104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13471" cy="2892853"/>
                    </a:xfrm>
                    <a:prstGeom prst="rect">
                      <a:avLst/>
                    </a:prstGeom>
                    <a:noFill/>
                    <a:ln>
                      <a:noFill/>
                    </a:ln>
                  </pic:spPr>
                </pic:pic>
              </a:graphicData>
            </a:graphic>
          </wp:inline>
        </w:drawing>
      </w:r>
    </w:p>
    <w:p w14:paraId="61F45DBC" w14:textId="739FA72A" w:rsidR="00A01047" w:rsidRPr="00B63DF7" w:rsidRDefault="008F2A4F" w:rsidP="005158AC">
      <w:pPr>
        <w:rPr>
          <w:rFonts w:ascii="Arial" w:hAnsi="Arial" w:cs="Arial"/>
        </w:rPr>
      </w:pPr>
      <w:r w:rsidRPr="00B63DF7">
        <w:rPr>
          <w:rFonts w:ascii="Arial" w:hAnsi="Arial" w:cs="Arial"/>
        </w:rPr>
        <w:t xml:space="preserve">Figure </w:t>
      </w:r>
      <w:r w:rsidR="002774B2" w:rsidRPr="00B63DF7">
        <w:rPr>
          <w:rFonts w:ascii="Arial" w:hAnsi="Arial" w:cs="Arial"/>
        </w:rPr>
        <w:t>S</w:t>
      </w:r>
      <w:r w:rsidRPr="00B63DF7">
        <w:rPr>
          <w:rFonts w:ascii="Arial" w:hAnsi="Arial" w:cs="Arial"/>
        </w:rPr>
        <w:t>3</w:t>
      </w:r>
      <w:r w:rsidR="00090FC5" w:rsidRPr="00B63DF7">
        <w:rPr>
          <w:rFonts w:ascii="Arial" w:hAnsi="Arial" w:cs="Arial"/>
        </w:rPr>
        <w:t>. (</w:t>
      </w:r>
      <w:r w:rsidR="00090FC5" w:rsidRPr="00B63DF7">
        <w:rPr>
          <w:rFonts w:ascii="Arial" w:hAnsi="Arial" w:cs="Arial"/>
          <w:b/>
          <w:bCs/>
        </w:rPr>
        <w:t>A</w:t>
      </w:r>
      <w:r w:rsidR="00090FC5" w:rsidRPr="00B63DF7">
        <w:rPr>
          <w:rFonts w:ascii="Arial" w:hAnsi="Arial" w:cs="Arial"/>
        </w:rPr>
        <w:t>) Load cell measurements for evaporation and evapotranspiration around an irrigation run time after 15 and 16 days in the greenhouse, sunny and cloudy days, respectively. Minimum and maximum values represent measurements to calculate water loss from evaporation and evapotranspiration. (</w:t>
      </w:r>
      <w:r w:rsidR="00090FC5" w:rsidRPr="00B63DF7">
        <w:rPr>
          <w:rFonts w:ascii="Arial" w:hAnsi="Arial" w:cs="Arial"/>
          <w:b/>
          <w:bCs/>
        </w:rPr>
        <w:t>B</w:t>
      </w:r>
      <w:r w:rsidR="00090FC5" w:rsidRPr="00B63DF7">
        <w:rPr>
          <w:rFonts w:ascii="Arial" w:hAnsi="Arial" w:cs="Arial"/>
        </w:rPr>
        <w:t>) Supplemental plus solar radiation PPFD corresponds with the plant-pot evapotranspiration. Measurements are plotted every 5 minutes.</w:t>
      </w:r>
    </w:p>
    <w:p w14:paraId="75D13C28" w14:textId="0D77C7F5" w:rsidR="00EA4C86" w:rsidRPr="00B63DF7" w:rsidRDefault="00276D86" w:rsidP="005158AC">
      <w:pPr>
        <w:rPr>
          <w:rFonts w:ascii="Arial" w:hAnsi="Arial" w:cs="Arial"/>
        </w:rPr>
      </w:pPr>
      <w:r w:rsidRPr="00B63DF7">
        <w:rPr>
          <w:rFonts w:ascii="Arial" w:hAnsi="Arial" w:cs="Arial"/>
          <w:b/>
          <w:bCs/>
        </w:rPr>
        <w:t>AI use</w:t>
      </w:r>
      <w:r w:rsidR="00EA4C86" w:rsidRPr="00B63DF7">
        <w:rPr>
          <w:rFonts w:ascii="Arial" w:hAnsi="Arial" w:cs="Arial"/>
          <w:b/>
          <w:bCs/>
        </w:rPr>
        <w:t xml:space="preserve">: </w:t>
      </w:r>
      <w:r w:rsidRPr="00B63DF7">
        <w:rPr>
          <w:rFonts w:ascii="Arial" w:hAnsi="Arial" w:cs="Arial"/>
        </w:rPr>
        <w:t xml:space="preserve">ChatGPT </w:t>
      </w:r>
      <w:r w:rsidR="00D75DA6" w:rsidRPr="00B63DF7">
        <w:rPr>
          <w:rFonts w:ascii="Arial" w:hAnsi="Arial" w:cs="Arial"/>
        </w:rPr>
        <w:t xml:space="preserve">3.5 </w:t>
      </w:r>
      <w:r w:rsidR="00201B75" w:rsidRPr="00B63DF7">
        <w:rPr>
          <w:rFonts w:ascii="Arial" w:hAnsi="Arial" w:cs="Arial"/>
        </w:rPr>
        <w:t xml:space="preserve">was used for </w:t>
      </w:r>
      <w:r w:rsidR="00B53122" w:rsidRPr="00B63DF7">
        <w:rPr>
          <w:rFonts w:ascii="Arial" w:hAnsi="Arial" w:cs="Arial"/>
        </w:rPr>
        <w:t xml:space="preserve">language </w:t>
      </w:r>
      <w:r w:rsidR="00CD2B72" w:rsidRPr="00B63DF7">
        <w:rPr>
          <w:rFonts w:ascii="Arial" w:hAnsi="Arial" w:cs="Arial"/>
        </w:rPr>
        <w:t>edi</w:t>
      </w:r>
      <w:r w:rsidR="00A471C4" w:rsidRPr="00B63DF7">
        <w:rPr>
          <w:rFonts w:ascii="Arial" w:hAnsi="Arial" w:cs="Arial"/>
        </w:rPr>
        <w:t>ting</w:t>
      </w:r>
      <w:r w:rsidR="002F5356" w:rsidRPr="00B63DF7">
        <w:rPr>
          <w:rFonts w:ascii="Arial" w:hAnsi="Arial" w:cs="Arial"/>
        </w:rPr>
        <w:t>, e.g.,</w:t>
      </w:r>
      <w:r w:rsidR="00605EDD" w:rsidRPr="00B63DF7">
        <w:rPr>
          <w:rFonts w:ascii="Arial" w:hAnsi="Arial" w:cs="Arial"/>
        </w:rPr>
        <w:t xml:space="preserve"> </w:t>
      </w:r>
      <w:r w:rsidR="002F5356" w:rsidRPr="00B63DF7">
        <w:rPr>
          <w:rFonts w:ascii="Arial" w:hAnsi="Arial" w:cs="Arial"/>
        </w:rPr>
        <w:t>p</w:t>
      </w:r>
      <w:r w:rsidR="008A323D" w:rsidRPr="00B63DF7">
        <w:rPr>
          <w:rFonts w:ascii="Arial" w:hAnsi="Arial" w:cs="Arial"/>
        </w:rPr>
        <w:t>rompt:</w:t>
      </w:r>
      <w:r w:rsidR="005F76D3" w:rsidRPr="00B63DF7">
        <w:rPr>
          <w:rFonts w:ascii="Arial" w:hAnsi="Arial" w:cs="Arial"/>
        </w:rPr>
        <w:t xml:space="preserve"> </w:t>
      </w:r>
      <w:r w:rsidR="007051EC" w:rsidRPr="00B63DF7">
        <w:rPr>
          <w:rFonts w:ascii="Arial" w:hAnsi="Arial" w:cs="Arial"/>
        </w:rPr>
        <w:t>“Please revise the grammar of the following text</w:t>
      </w:r>
      <w:r w:rsidR="00182436" w:rsidRPr="00B63DF7">
        <w:rPr>
          <w:rFonts w:ascii="Arial" w:hAnsi="Arial" w:cs="Arial"/>
        </w:rPr>
        <w:t xml:space="preserve"> and show chan</w:t>
      </w:r>
      <w:r w:rsidR="002D04E9" w:rsidRPr="00B63DF7">
        <w:rPr>
          <w:rFonts w:ascii="Arial" w:hAnsi="Arial" w:cs="Arial"/>
        </w:rPr>
        <w:t>ges in bold</w:t>
      </w:r>
      <w:r w:rsidR="007051EC" w:rsidRPr="00B63DF7">
        <w:rPr>
          <w:rFonts w:ascii="Arial" w:hAnsi="Arial" w:cs="Arial"/>
        </w:rPr>
        <w:t>:</w:t>
      </w:r>
      <w:r w:rsidR="006B7FDF" w:rsidRPr="00B63DF7">
        <w:rPr>
          <w:rFonts w:ascii="Arial" w:hAnsi="Arial" w:cs="Arial"/>
        </w:rPr>
        <w:t xml:space="preserve"> [text]”</w:t>
      </w:r>
      <w:r w:rsidR="00A471C4" w:rsidRPr="00B63DF7">
        <w:rPr>
          <w:rFonts w:ascii="Arial" w:hAnsi="Arial" w:cs="Arial"/>
        </w:rPr>
        <w:t>.</w:t>
      </w:r>
    </w:p>
    <w:p w14:paraId="4895A7C0" w14:textId="77777777" w:rsidR="00D66685" w:rsidRDefault="00D66685" w:rsidP="002774B2">
      <w:pPr>
        <w:rPr>
          <w:rFonts w:ascii="Arial" w:hAnsi="Arial" w:cs="Arial"/>
          <w:b/>
          <w:bCs/>
          <w:szCs w:val="24"/>
        </w:rPr>
      </w:pPr>
    </w:p>
    <w:p w14:paraId="4ED0C6B5" w14:textId="1459FBC0" w:rsidR="00D66685" w:rsidRDefault="002774B2" w:rsidP="00D2177A">
      <w:pPr>
        <w:rPr>
          <w:rFonts w:ascii="Arial" w:hAnsi="Arial" w:cs="Arial"/>
          <w:b/>
          <w:bCs/>
        </w:rPr>
      </w:pPr>
      <w:r w:rsidRPr="00B63DF7">
        <w:rPr>
          <w:rFonts w:ascii="Arial" w:hAnsi="Arial" w:cs="Arial"/>
          <w:b/>
          <w:bCs/>
          <w:szCs w:val="24"/>
        </w:rPr>
        <w:t>RESULTS</w:t>
      </w:r>
    </w:p>
    <w:p w14:paraId="1845947F" w14:textId="4BCE9256" w:rsidR="00A24C95" w:rsidRPr="00B63DF7" w:rsidRDefault="00A24C95" w:rsidP="00A24C95">
      <w:pPr>
        <w:tabs>
          <w:tab w:val="left" w:pos="518"/>
        </w:tabs>
        <w:rPr>
          <w:rFonts w:ascii="Arial" w:hAnsi="Arial" w:cs="Arial"/>
          <w:b/>
          <w:bCs/>
        </w:rPr>
      </w:pPr>
      <w:r w:rsidRPr="00B63DF7">
        <w:rPr>
          <w:rFonts w:ascii="Arial" w:hAnsi="Arial" w:cs="Arial"/>
          <w:b/>
          <w:bCs/>
        </w:rPr>
        <w:t xml:space="preserve">Supplemental lighting effects on cutting production economic </w:t>
      </w:r>
      <w:proofErr w:type="gramStart"/>
      <w:r w:rsidRPr="00B63DF7">
        <w:rPr>
          <w:rFonts w:ascii="Arial" w:hAnsi="Arial" w:cs="Arial"/>
          <w:b/>
          <w:bCs/>
        </w:rPr>
        <w:t>feasibility</w:t>
      </w:r>
      <w:proofErr w:type="gramEnd"/>
    </w:p>
    <w:p w14:paraId="405E8CE0" w14:textId="77777777" w:rsidR="00A24C95" w:rsidRDefault="00A24C95" w:rsidP="00A24C95">
      <w:pPr>
        <w:tabs>
          <w:tab w:val="left" w:pos="518"/>
        </w:tabs>
        <w:rPr>
          <w:rFonts w:ascii="Arial" w:hAnsi="Arial" w:cs="Arial"/>
        </w:rPr>
      </w:pPr>
      <w:r w:rsidRPr="00B63DF7">
        <w:rPr>
          <w:rFonts w:ascii="Arial" w:hAnsi="Arial" w:cs="Arial"/>
        </w:rPr>
        <w:t>Given disease pressures and challenges with rooting cuttings in older plants (personal communication with nurseries), cannabis is frequently a seasonal crop in plant nurseries. For this reason, it is crucial for growers to have a dependable and expedited source of cuttings and cloned plants to enable year-round production and reduce order lead times. Consequently, the development of branches represents a critical morphological response for cannabis nursery production, with each branch offering the potential for conversion into a rooted cutting, thereby creating economic value. For instance, with a cost of approximately $2 per cutting (personal communication with a California nursery), an average U.S. electricity cost of $0.11 kWh, a light fixture efficiency of 3.1 μmol J</w:t>
      </w:r>
      <w:r w:rsidRPr="00B63DF7">
        <w:rPr>
          <w:rFonts w:ascii="Arial" w:hAnsi="Arial" w:cs="Arial"/>
          <w:vertAlign w:val="superscript"/>
        </w:rPr>
        <w:t>-1</w:t>
      </w:r>
      <w:r w:rsidRPr="00B63DF7">
        <w:rPr>
          <w:rFonts w:ascii="Arial" w:hAnsi="Arial" w:cs="Arial"/>
        </w:rPr>
        <w:t xml:space="preserve"> or higher (Current, 2023), and employing Huber et al. (2021) methodology and our findings of 0.41 branch mol</w:t>
      </w:r>
      <w:r w:rsidRPr="00B63DF7">
        <w:rPr>
          <w:rFonts w:ascii="Arial" w:hAnsi="Arial" w:cs="Arial"/>
          <w:vertAlign w:val="superscript"/>
        </w:rPr>
        <w:t>-1</w:t>
      </w:r>
      <w:r w:rsidRPr="00B63DF7">
        <w:rPr>
          <w:rFonts w:ascii="Arial" w:hAnsi="Arial" w:cs="Arial"/>
        </w:rPr>
        <w:t xml:space="preserve"> m</w:t>
      </w:r>
      <w:r w:rsidRPr="00B63DF7">
        <w:rPr>
          <w:rFonts w:ascii="Arial" w:hAnsi="Arial" w:cs="Arial"/>
          <w:vertAlign w:val="superscript"/>
        </w:rPr>
        <w:t>-2</w:t>
      </w:r>
      <w:r w:rsidRPr="00B63DF7">
        <w:rPr>
          <w:rFonts w:ascii="Arial" w:hAnsi="Arial" w:cs="Arial"/>
        </w:rPr>
        <w:t>, growers could make a revenue of $0.82 (0.41 cuttings * $2 per cutting) from the extra cutting production between 18 and 52 mol m</w:t>
      </w:r>
      <w:r w:rsidRPr="00B63DF7">
        <w:rPr>
          <w:rFonts w:ascii="Arial" w:hAnsi="Arial" w:cs="Arial"/>
          <w:vertAlign w:val="superscript"/>
        </w:rPr>
        <w:t>-2</w:t>
      </w:r>
      <w:r w:rsidRPr="00B63DF7">
        <w:rPr>
          <w:rFonts w:ascii="Arial" w:hAnsi="Arial" w:cs="Arial"/>
        </w:rPr>
        <w:t xml:space="preserve"> d</w:t>
      </w:r>
      <w:r w:rsidRPr="00B63DF7">
        <w:rPr>
          <w:rFonts w:ascii="Arial" w:hAnsi="Arial" w:cs="Arial"/>
          <w:vertAlign w:val="superscript"/>
        </w:rPr>
        <w:t>-1</w:t>
      </w:r>
      <w:r w:rsidRPr="00B63DF7">
        <w:rPr>
          <w:rFonts w:ascii="Arial" w:hAnsi="Arial" w:cs="Arial"/>
        </w:rPr>
        <w:t>, while spending on electricity about $0.01 per mole of supplemental light. It is important to note that the rate of 0.41 branch mol</w:t>
      </w:r>
      <w:r w:rsidRPr="00B63DF7">
        <w:rPr>
          <w:rFonts w:ascii="Arial" w:hAnsi="Arial" w:cs="Arial"/>
          <w:vertAlign w:val="superscript"/>
        </w:rPr>
        <w:t>-1</w:t>
      </w:r>
      <w:r w:rsidRPr="00B63DF7">
        <w:rPr>
          <w:rFonts w:ascii="Arial" w:hAnsi="Arial" w:cs="Arial"/>
        </w:rPr>
        <w:t xml:space="preserve"> m</w:t>
      </w:r>
      <w:r w:rsidRPr="00B63DF7">
        <w:rPr>
          <w:rFonts w:ascii="Arial" w:hAnsi="Arial" w:cs="Arial"/>
          <w:vertAlign w:val="superscript"/>
        </w:rPr>
        <w:t xml:space="preserve">-2 </w:t>
      </w:r>
      <w:r w:rsidRPr="00B63DF7">
        <w:rPr>
          <w:rFonts w:ascii="Arial" w:hAnsi="Arial" w:cs="Arial"/>
        </w:rPr>
        <w:t xml:space="preserve">will diminish while moving further out of this study’s DLI range. </w:t>
      </w:r>
      <w:r w:rsidRPr="00B63DF7">
        <w:rPr>
          <w:rFonts w:ascii="Arial" w:hAnsi="Arial" w:cs="Arial"/>
        </w:rPr>
        <w:lastRenderedPageBreak/>
        <w:t xml:space="preserve">Moreover, the branch per mol rate can vary depending on the cultivar; as a reference, research by Suchoff et al. (2021) suggests that 'Suver Haze' is an average-yielding </w:t>
      </w:r>
      <w:r w:rsidRPr="00B63DF7">
        <w:rPr>
          <w:rFonts w:ascii="Arial" w:hAnsi="Arial" w:cs="Arial"/>
          <w:i/>
          <w:iCs/>
        </w:rPr>
        <w:t>Cannabis sativa</w:t>
      </w:r>
      <w:r w:rsidRPr="00B63DF7">
        <w:rPr>
          <w:rFonts w:ascii="Arial" w:hAnsi="Arial" w:cs="Arial"/>
        </w:rPr>
        <w:t xml:space="preserve"> cultivar. Consequently, the rate of branches per mole of light could still be lower or higher than the one reported here. Nonetheless, based on this study’s findings and growing conditions, as well as the current price per cutting, increasing light intensity would not result in diminishing returns for cutting production.</w:t>
      </w:r>
    </w:p>
    <w:p w14:paraId="29053F6D" w14:textId="5E6E128A" w:rsidR="005147FE" w:rsidRPr="00B63DF7" w:rsidRDefault="005147FE" w:rsidP="00A24C95">
      <w:pPr>
        <w:tabs>
          <w:tab w:val="left" w:pos="518"/>
        </w:tabs>
        <w:rPr>
          <w:rFonts w:ascii="Arial" w:hAnsi="Arial" w:cs="Arial"/>
        </w:rPr>
      </w:pPr>
      <w:r w:rsidRPr="00B63DF7">
        <w:rPr>
          <w:rFonts w:ascii="Arial" w:hAnsi="Arial" w:cs="Arial"/>
          <w:b/>
          <w:bCs/>
        </w:rPr>
        <w:t>Supplemental lighting effects on</w:t>
      </w:r>
      <w:r w:rsidR="007D65B3">
        <w:rPr>
          <w:rFonts w:ascii="Arial" w:hAnsi="Arial" w:cs="Arial"/>
          <w:b/>
          <w:bCs/>
        </w:rPr>
        <w:t xml:space="preserve"> internal carbon dioxide (C</w:t>
      </w:r>
      <w:r w:rsidR="007D65B3" w:rsidRPr="00EE5C29">
        <w:rPr>
          <w:rFonts w:ascii="Arial" w:hAnsi="Arial" w:cs="Arial"/>
          <w:b/>
          <w:bCs/>
          <w:vertAlign w:val="subscript"/>
        </w:rPr>
        <w:t>i</w:t>
      </w:r>
      <w:r w:rsidR="007D65B3">
        <w:rPr>
          <w:rFonts w:ascii="Arial" w:hAnsi="Arial" w:cs="Arial"/>
          <w:b/>
          <w:bCs/>
        </w:rPr>
        <w:t>) and leaf temperature</w:t>
      </w:r>
    </w:p>
    <w:p w14:paraId="5102E728" w14:textId="48DB73BB" w:rsidR="00A24C95" w:rsidRPr="00B63DF7" w:rsidRDefault="00FF530A" w:rsidP="002774B2">
      <w:pPr>
        <w:rPr>
          <w:rFonts w:ascii="Arial" w:hAnsi="Arial" w:cs="Arial"/>
          <w:b/>
          <w:bCs/>
          <w:szCs w:val="24"/>
        </w:rPr>
      </w:pPr>
      <w:r w:rsidRPr="00FF530A">
        <w:rPr>
          <w:rFonts w:ascii="Arial" w:hAnsi="Arial" w:cs="Arial"/>
          <w:b/>
          <w:bCs/>
          <w:szCs w:val="24"/>
        </w:rPr>
        <w:t xml:space="preserve"> </w:t>
      </w:r>
      <w:r w:rsidRPr="00FF530A">
        <w:rPr>
          <w:noProof/>
        </w:rPr>
        <w:drawing>
          <wp:inline distT="0" distB="0" distL="0" distR="0" wp14:anchorId="0D963482" wp14:editId="488FE75D">
            <wp:extent cx="3747654" cy="4047500"/>
            <wp:effectExtent l="0" t="0" r="5715" b="0"/>
            <wp:docPr id="1787928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9484" r="3142"/>
                    <a:stretch/>
                  </pic:blipFill>
                  <pic:spPr bwMode="auto">
                    <a:xfrm>
                      <a:off x="0" y="0"/>
                      <a:ext cx="3751557" cy="4051715"/>
                    </a:xfrm>
                    <a:prstGeom prst="rect">
                      <a:avLst/>
                    </a:prstGeom>
                    <a:noFill/>
                    <a:ln>
                      <a:noFill/>
                    </a:ln>
                    <a:extLst>
                      <a:ext uri="{53640926-AAD7-44D8-BBD7-CCE9431645EC}">
                        <a14:shadowObscured xmlns:a14="http://schemas.microsoft.com/office/drawing/2010/main"/>
                      </a:ext>
                    </a:extLst>
                  </pic:spPr>
                </pic:pic>
              </a:graphicData>
            </a:graphic>
          </wp:inline>
        </w:drawing>
      </w:r>
    </w:p>
    <w:p w14:paraId="69162518" w14:textId="4F22C231" w:rsidR="006E71D7" w:rsidRDefault="00D22BD7" w:rsidP="00CD7F2D">
      <w:pPr>
        <w:rPr>
          <w:rFonts w:ascii="Arial" w:hAnsi="Arial" w:cs="Arial"/>
        </w:rPr>
      </w:pPr>
      <w:r w:rsidRPr="00B63DF7">
        <w:rPr>
          <w:rFonts w:ascii="Arial" w:hAnsi="Arial" w:cs="Arial"/>
        </w:rPr>
        <w:t>Figure S4</w:t>
      </w:r>
      <w:r w:rsidR="00037261" w:rsidRPr="00B63DF7">
        <w:rPr>
          <w:rFonts w:ascii="Arial" w:hAnsi="Arial" w:cs="Arial"/>
        </w:rPr>
        <w:t>. (</w:t>
      </w:r>
      <w:r w:rsidR="00193460">
        <w:rPr>
          <w:rFonts w:ascii="Arial" w:hAnsi="Arial" w:cs="Arial"/>
          <w:b/>
          <w:bCs/>
        </w:rPr>
        <w:t>A</w:t>
      </w:r>
      <w:r w:rsidR="00037261" w:rsidRPr="00B63DF7">
        <w:rPr>
          <w:rFonts w:ascii="Arial" w:hAnsi="Arial" w:cs="Arial"/>
        </w:rPr>
        <w:t>) Leaf internal carbon dioxide concentration and (</w:t>
      </w:r>
      <w:r w:rsidR="00193460">
        <w:rPr>
          <w:rFonts w:ascii="Arial" w:hAnsi="Arial" w:cs="Arial"/>
          <w:b/>
          <w:bCs/>
        </w:rPr>
        <w:t>B</w:t>
      </w:r>
      <w:r w:rsidR="00037261" w:rsidRPr="00B63DF7">
        <w:rPr>
          <w:rFonts w:ascii="Arial" w:hAnsi="Arial" w:cs="Arial"/>
        </w:rPr>
        <w:t>) leaf and air temperatures from 150 to 2000 µmol m</w:t>
      </w:r>
      <w:r w:rsidR="00037261" w:rsidRPr="00B63DF7">
        <w:rPr>
          <w:rFonts w:ascii="Cambria Math" w:hAnsi="Cambria Math" w:cs="Cambria Math"/>
        </w:rPr>
        <w:t>⁻</w:t>
      </w:r>
      <w:r w:rsidR="00037261" w:rsidRPr="00B63DF7">
        <w:rPr>
          <w:rFonts w:ascii="Arial" w:hAnsi="Arial" w:cs="Arial"/>
        </w:rPr>
        <w:t>² s</w:t>
      </w:r>
      <w:r w:rsidR="00037261" w:rsidRPr="00B63DF7">
        <w:rPr>
          <w:rFonts w:ascii="Cambria Math" w:hAnsi="Cambria Math" w:cs="Cambria Math"/>
        </w:rPr>
        <w:t>⁻</w:t>
      </w:r>
      <w:r w:rsidR="00037261" w:rsidRPr="00B63DF7">
        <w:rPr>
          <w:rFonts w:ascii="Arial" w:hAnsi="Arial" w:cs="Arial"/>
        </w:rPr>
        <w:t>¹ (PPFD). The leaf chamber CO</w:t>
      </w:r>
      <w:r w:rsidR="00037261" w:rsidRPr="00B63DF7">
        <w:rPr>
          <w:rFonts w:ascii="Arial" w:hAnsi="Arial" w:cs="Arial"/>
          <w:vertAlign w:val="subscript"/>
        </w:rPr>
        <w:t>2</w:t>
      </w:r>
      <w:r w:rsidR="00037261" w:rsidRPr="00B63DF7">
        <w:rPr>
          <w:rFonts w:ascii="Arial" w:hAnsi="Arial" w:cs="Arial"/>
        </w:rPr>
        <w:t xml:space="preserve"> was maintained at greenhouse levels of 404 (µmol mol</w:t>
      </w:r>
      <w:r w:rsidR="00037261" w:rsidRPr="00B63DF7">
        <w:rPr>
          <w:rFonts w:ascii="Arial" w:hAnsi="Arial" w:cs="Arial"/>
          <w:vertAlign w:val="superscript"/>
        </w:rPr>
        <w:t>-1</w:t>
      </w:r>
      <w:r w:rsidR="00037261" w:rsidRPr="00B63DF7">
        <w:rPr>
          <w:rFonts w:ascii="Arial" w:hAnsi="Arial" w:cs="Arial"/>
        </w:rPr>
        <w:t>). Error bars represent the standard errors.</w:t>
      </w:r>
    </w:p>
    <w:p w14:paraId="79D878BA" w14:textId="77777777" w:rsidR="00911A03" w:rsidRDefault="00911A03" w:rsidP="00CD7F2D">
      <w:pPr>
        <w:rPr>
          <w:rFonts w:ascii="Arial" w:hAnsi="Arial" w:cs="Arial"/>
        </w:rPr>
      </w:pPr>
    </w:p>
    <w:p w14:paraId="0C320C78" w14:textId="05F00B8B" w:rsidR="00D2177A" w:rsidRPr="00B63DF7" w:rsidRDefault="0059737F" w:rsidP="0059737F">
      <w:pPr>
        <w:rPr>
          <w:rFonts w:ascii="Arial" w:hAnsi="Arial" w:cs="Arial"/>
          <w:b/>
          <w:bCs/>
          <w:szCs w:val="24"/>
        </w:rPr>
      </w:pPr>
      <w:r w:rsidRPr="00B63DF7">
        <w:rPr>
          <w:rFonts w:ascii="Arial" w:hAnsi="Arial" w:cs="Arial"/>
          <w:b/>
          <w:bCs/>
          <w:szCs w:val="24"/>
        </w:rPr>
        <w:t>RE</w:t>
      </w:r>
      <w:r>
        <w:rPr>
          <w:rFonts w:ascii="Arial" w:hAnsi="Arial" w:cs="Arial"/>
          <w:b/>
          <w:bCs/>
          <w:szCs w:val="24"/>
        </w:rPr>
        <w:t>FERENCES</w:t>
      </w:r>
    </w:p>
    <w:p w14:paraId="003E26B8" w14:textId="77777777" w:rsidR="00A05E43" w:rsidRDefault="00A05E43" w:rsidP="00A05E43">
      <w:pPr>
        <w:ind w:firstLine="540"/>
        <w:rPr>
          <w:rFonts w:ascii="Arial" w:hAnsi="Arial" w:cs="Arial"/>
        </w:rPr>
      </w:pPr>
      <w:r w:rsidRPr="00A05E43">
        <w:rPr>
          <w:rFonts w:ascii="Arial" w:hAnsi="Arial" w:cs="Arial"/>
        </w:rPr>
        <w:t xml:space="preserve">Huber, B. M., </w:t>
      </w:r>
      <w:proofErr w:type="spellStart"/>
      <w:r w:rsidRPr="00A05E43">
        <w:rPr>
          <w:rFonts w:ascii="Arial" w:hAnsi="Arial" w:cs="Arial"/>
        </w:rPr>
        <w:t>Louws</w:t>
      </w:r>
      <w:proofErr w:type="spellEnd"/>
      <w:r w:rsidRPr="00A05E43">
        <w:rPr>
          <w:rFonts w:ascii="Arial" w:hAnsi="Arial" w:cs="Arial"/>
        </w:rPr>
        <w:t xml:space="preserve">, F. J., and Hernández, R. (2021). Impact of Different Daily Light Integrals and Carbon Dioxide Concentrations on the Growth, Morphology, and Production Efficiency of Tomato Seedlings. Front. Plant Sci. 12, 615853. </w:t>
      </w:r>
      <w:proofErr w:type="spellStart"/>
      <w:r w:rsidRPr="00A05E43">
        <w:rPr>
          <w:rFonts w:ascii="Arial" w:hAnsi="Arial" w:cs="Arial"/>
        </w:rPr>
        <w:t>doi</w:t>
      </w:r>
      <w:proofErr w:type="spellEnd"/>
      <w:r w:rsidRPr="00A05E43">
        <w:rPr>
          <w:rFonts w:ascii="Arial" w:hAnsi="Arial" w:cs="Arial"/>
        </w:rPr>
        <w:t>: 10.3389/fpls.2021.615853</w:t>
      </w:r>
    </w:p>
    <w:p w14:paraId="0E1EB382" w14:textId="77777777" w:rsidR="00911A03" w:rsidRDefault="00911A03" w:rsidP="00CD7F2D">
      <w:pPr>
        <w:rPr>
          <w:rFonts w:ascii="Arial" w:hAnsi="Arial" w:cs="Arial"/>
        </w:rPr>
      </w:pPr>
    </w:p>
    <w:p w14:paraId="09333FF9" w14:textId="70231477" w:rsidR="00911A03" w:rsidRDefault="00911A03" w:rsidP="00537D8D">
      <w:pPr>
        <w:ind w:firstLine="540"/>
        <w:rPr>
          <w:rFonts w:ascii="Arial" w:hAnsi="Arial" w:cs="Arial"/>
        </w:rPr>
      </w:pPr>
      <w:proofErr w:type="spellStart"/>
      <w:r w:rsidRPr="00911A03">
        <w:rPr>
          <w:rFonts w:ascii="Arial" w:hAnsi="Arial" w:cs="Arial"/>
        </w:rPr>
        <w:t>LeBude</w:t>
      </w:r>
      <w:proofErr w:type="spellEnd"/>
      <w:r w:rsidRPr="00911A03">
        <w:rPr>
          <w:rFonts w:ascii="Arial" w:hAnsi="Arial" w:cs="Arial"/>
        </w:rPr>
        <w:t xml:space="preserve">, A.V., and </w:t>
      </w:r>
      <w:proofErr w:type="spellStart"/>
      <w:r w:rsidRPr="00911A03">
        <w:rPr>
          <w:rFonts w:ascii="Arial" w:hAnsi="Arial" w:cs="Arial"/>
        </w:rPr>
        <w:t>Bilderback</w:t>
      </w:r>
      <w:proofErr w:type="spellEnd"/>
      <w:r w:rsidRPr="00911A03">
        <w:rPr>
          <w:rFonts w:ascii="Arial" w:hAnsi="Arial" w:cs="Arial"/>
        </w:rPr>
        <w:t xml:space="preserve"> T.E. (2009). The Pour-Through Extraction Procedure: A Nutrient Management Tool for Nursery Crops. North Carolina Cooperative Extension, 1–8. </w:t>
      </w:r>
      <w:r w:rsidRPr="00911A03">
        <w:rPr>
          <w:rFonts w:ascii="Arial" w:hAnsi="Arial" w:cs="Arial"/>
        </w:rPr>
        <w:lastRenderedPageBreak/>
        <w:t xml:space="preserve">Available at: </w:t>
      </w:r>
      <w:hyperlink r:id="rId16" w:history="1">
        <w:r w:rsidR="002A3BAB" w:rsidRPr="009946D5">
          <w:rPr>
            <w:rStyle w:val="Hyperlink"/>
            <w:rFonts w:ascii="Arial" w:hAnsi="Arial" w:cs="Arial"/>
          </w:rPr>
          <w:t>https://content.ces.ncsu.edu/the-pour-through-extraction-procedure-a-nutrient-management-tool-for-nursery-crops</w:t>
        </w:r>
      </w:hyperlink>
      <w:r w:rsidRPr="00911A03">
        <w:rPr>
          <w:rFonts w:ascii="Arial" w:hAnsi="Arial" w:cs="Arial"/>
        </w:rPr>
        <w:t>.</w:t>
      </w:r>
    </w:p>
    <w:p w14:paraId="54D969FB" w14:textId="16005C98" w:rsidR="00537D8D" w:rsidRPr="00B63DF7" w:rsidRDefault="002A3BAB" w:rsidP="00A05E43">
      <w:pPr>
        <w:ind w:firstLine="540"/>
        <w:rPr>
          <w:rFonts w:ascii="Arial" w:hAnsi="Arial" w:cs="Arial"/>
        </w:rPr>
      </w:pPr>
      <w:proofErr w:type="spellStart"/>
      <w:r w:rsidRPr="002A3BAB">
        <w:rPr>
          <w:rFonts w:ascii="Arial" w:hAnsi="Arial" w:cs="Arial"/>
        </w:rPr>
        <w:t>Suchoff</w:t>
      </w:r>
      <w:proofErr w:type="spellEnd"/>
      <w:r w:rsidRPr="002A3BAB">
        <w:rPr>
          <w:rFonts w:ascii="Arial" w:hAnsi="Arial" w:cs="Arial"/>
        </w:rPr>
        <w:t>, D., Bloomquist, M., Davis, J., Henriquez Inoa, S., Learn K. (2021). NC State Floral Hemp Variety Trial. North Carolina Extension 2021. Available at: https://hemp.ces.ncsu.edu/wp-content/uploads/2021/11/2021-NC-State-Variety-Trial-Report.pdf?fwd=no [Accessed January 7, 2024].</w:t>
      </w:r>
    </w:p>
    <w:sectPr w:rsidR="00537D8D" w:rsidRPr="00B63DF7" w:rsidSect="00E807B5">
      <w:headerReference w:type="even" r:id="rId17"/>
      <w:footerReference w:type="even" r:id="rId18"/>
      <w:footerReference w:type="default" r:id="rId19"/>
      <w:headerReference w:type="first" r:id="rId20"/>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65C79" w14:textId="77777777" w:rsidR="00276453" w:rsidRDefault="00276453" w:rsidP="00117666">
      <w:pPr>
        <w:spacing w:after="0"/>
      </w:pPr>
      <w:r>
        <w:separator/>
      </w:r>
    </w:p>
  </w:endnote>
  <w:endnote w:type="continuationSeparator" w:id="0">
    <w:p w14:paraId="0365A432" w14:textId="77777777" w:rsidR="00276453" w:rsidRDefault="00276453"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tone Sans">
    <w:altName w:val="Calibri"/>
    <w:panose1 w:val="020B06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4AB28" w14:textId="77777777" w:rsidR="003660E0"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00A152CD" wp14:editId="47F23114">
              <wp:simplePos x="0" y="0"/>
              <wp:positionH relativeFrom="margin">
                <wp:align>right</wp:align>
              </wp:positionH>
              <wp:positionV relativeFrom="bottomMargin">
                <wp:align>top</wp:align>
              </wp:positionV>
              <wp:extent cx="1508760" cy="395605"/>
              <wp:effectExtent l="0" t="0" r="0" b="0"/>
              <wp:wrapNone/>
              <wp:docPr id="1" name="Text Box 5"/>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14:textId="77777777" w:rsidR="003660E0"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00A152CD" id="_x0000_t202" coordsize="21600,21600" o:spt="202" path="m,l,21600r21600,l21600,xe">
              <v:stroke joinstyle="miter"/>
              <v:path gradientshapeok="t" o:connecttype="rect"/>
            </v:shapetype>
            <v:shape id="Text Box 5"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4D054D26" w14:textId="77777777" w:rsidR="003660E0"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2FF27" w14:textId="77777777" w:rsidR="003660E0"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3151A55C" wp14:editId="2441783D">
              <wp:simplePos x="0" y="0"/>
              <wp:positionH relativeFrom="margin">
                <wp:align>right</wp:align>
              </wp:positionH>
              <wp:positionV relativeFrom="bottomMargin">
                <wp:align>top</wp:align>
              </wp:positionV>
              <wp:extent cx="1508760" cy="395605"/>
              <wp:effectExtent l="0" t="0" r="0" b="0"/>
              <wp:wrapNone/>
              <wp:docPr id="56" name="Text Box 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14:textId="77777777" w:rsidR="003660E0"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3151A55C" id="_x0000_t202" coordsize="21600,21600" o:spt="202" path="m,l,21600r21600,l21600,xe">
              <v:stroke joinstyle="miter"/>
              <v:path gradientshapeok="t" o:connecttype="rect"/>
            </v:shapetype>
            <v:shape id="Text Box 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085E15EB" w14:textId="77777777" w:rsidR="003660E0"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ECEBF" w14:textId="77777777" w:rsidR="00276453" w:rsidRDefault="00276453" w:rsidP="00117666">
      <w:pPr>
        <w:spacing w:after="0"/>
      </w:pPr>
      <w:r>
        <w:separator/>
      </w:r>
    </w:p>
  </w:footnote>
  <w:footnote w:type="continuationSeparator" w:id="0">
    <w:p w14:paraId="10919A29" w14:textId="77777777" w:rsidR="00276453" w:rsidRDefault="00276453"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1EDBA" w14:textId="77777777" w:rsidR="003660E0"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11A5B" w14:textId="77777777" w:rsidR="003660E0" w:rsidRDefault="0093429D" w:rsidP="0093429D">
    <w:r w:rsidRPr="005A1D84">
      <w:rPr>
        <w:b/>
        <w:noProof/>
        <w:color w:val="A6A6A6" w:themeColor="background1" w:themeShade="A6"/>
        <w:lang w:val="en-GB" w:eastAsia="en-GB"/>
      </w:rPr>
      <w:drawing>
        <wp:inline distT="0" distB="0" distL="0" distR="0" wp14:anchorId="7EAE9060" wp14:editId="09E5B960">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1821115517">
    <w:abstractNumId w:val="0"/>
  </w:num>
  <w:num w:numId="2" w16cid:durableId="1683165481">
    <w:abstractNumId w:val="4"/>
  </w:num>
  <w:num w:numId="3" w16cid:durableId="615480040">
    <w:abstractNumId w:val="1"/>
  </w:num>
  <w:num w:numId="4" w16cid:durableId="1566183234">
    <w:abstractNumId w:val="5"/>
  </w:num>
  <w:num w:numId="5" w16cid:durableId="1807702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9223692">
    <w:abstractNumId w:val="3"/>
  </w:num>
  <w:num w:numId="7" w16cid:durableId="1359550598">
    <w:abstractNumId w:val="6"/>
  </w:num>
  <w:num w:numId="8" w16cid:durableId="1559510671">
    <w:abstractNumId w:val="6"/>
  </w:num>
  <w:num w:numId="9" w16cid:durableId="1734543462">
    <w:abstractNumId w:val="6"/>
  </w:num>
  <w:num w:numId="10" w16cid:durableId="708839681">
    <w:abstractNumId w:val="6"/>
  </w:num>
  <w:num w:numId="11" w16cid:durableId="2046978920">
    <w:abstractNumId w:val="6"/>
  </w:num>
  <w:num w:numId="12" w16cid:durableId="2124614653">
    <w:abstractNumId w:val="6"/>
  </w:num>
  <w:num w:numId="13" w16cid:durableId="150105246">
    <w:abstractNumId w:val="3"/>
  </w:num>
  <w:num w:numId="14" w16cid:durableId="515769853">
    <w:abstractNumId w:val="2"/>
  </w:num>
  <w:num w:numId="15" w16cid:durableId="1753046014">
    <w:abstractNumId w:val="2"/>
  </w:num>
  <w:num w:numId="16" w16cid:durableId="665939894">
    <w:abstractNumId w:val="2"/>
  </w:num>
  <w:num w:numId="17" w16cid:durableId="2078749421">
    <w:abstractNumId w:val="2"/>
  </w:num>
  <w:num w:numId="18" w16cid:durableId="825047625">
    <w:abstractNumId w:val="2"/>
  </w:num>
  <w:num w:numId="19" w16cid:durableId="8038104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trackRevision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A2MTW3MDO3sDA2trBQ0lEKTi0uzszPAykwNKwFAJtWZJ0tAAAA"/>
  </w:docVars>
  <w:rsids>
    <w:rsidRoot w:val="00803D24"/>
    <w:rsid w:val="00000C39"/>
    <w:rsid w:val="000035FD"/>
    <w:rsid w:val="0001436A"/>
    <w:rsid w:val="00014B7E"/>
    <w:rsid w:val="000208E3"/>
    <w:rsid w:val="00033EC0"/>
    <w:rsid w:val="00034304"/>
    <w:rsid w:val="00035434"/>
    <w:rsid w:val="00037261"/>
    <w:rsid w:val="00052A14"/>
    <w:rsid w:val="00066C44"/>
    <w:rsid w:val="000718B2"/>
    <w:rsid w:val="00077D53"/>
    <w:rsid w:val="00090FC5"/>
    <w:rsid w:val="000910F6"/>
    <w:rsid w:val="000929AC"/>
    <w:rsid w:val="000D3495"/>
    <w:rsid w:val="000D72BA"/>
    <w:rsid w:val="000E3F4A"/>
    <w:rsid w:val="000E5966"/>
    <w:rsid w:val="000E73FF"/>
    <w:rsid w:val="00105FD9"/>
    <w:rsid w:val="00117666"/>
    <w:rsid w:val="0012590C"/>
    <w:rsid w:val="001549D3"/>
    <w:rsid w:val="00160065"/>
    <w:rsid w:val="001650EF"/>
    <w:rsid w:val="00170E2D"/>
    <w:rsid w:val="00177D84"/>
    <w:rsid w:val="00182436"/>
    <w:rsid w:val="00193460"/>
    <w:rsid w:val="001979F0"/>
    <w:rsid w:val="001A357E"/>
    <w:rsid w:val="001A5EBA"/>
    <w:rsid w:val="001A688B"/>
    <w:rsid w:val="001B634F"/>
    <w:rsid w:val="001C622D"/>
    <w:rsid w:val="00201B75"/>
    <w:rsid w:val="00227AF7"/>
    <w:rsid w:val="00267D18"/>
    <w:rsid w:val="0027519E"/>
    <w:rsid w:val="00276453"/>
    <w:rsid w:val="00276D86"/>
    <w:rsid w:val="002774B2"/>
    <w:rsid w:val="002804A2"/>
    <w:rsid w:val="00286037"/>
    <w:rsid w:val="002868E2"/>
    <w:rsid w:val="002869C3"/>
    <w:rsid w:val="0028730B"/>
    <w:rsid w:val="002936E4"/>
    <w:rsid w:val="002A2727"/>
    <w:rsid w:val="002A3BAB"/>
    <w:rsid w:val="002B0509"/>
    <w:rsid w:val="002B4A57"/>
    <w:rsid w:val="002C74CA"/>
    <w:rsid w:val="002D04E9"/>
    <w:rsid w:val="002D3A7A"/>
    <w:rsid w:val="002E0A4E"/>
    <w:rsid w:val="002E77D3"/>
    <w:rsid w:val="002F5356"/>
    <w:rsid w:val="00336B98"/>
    <w:rsid w:val="00340DE5"/>
    <w:rsid w:val="00341B5F"/>
    <w:rsid w:val="003544FB"/>
    <w:rsid w:val="00364B90"/>
    <w:rsid w:val="003660E0"/>
    <w:rsid w:val="003A6AF2"/>
    <w:rsid w:val="003C4806"/>
    <w:rsid w:val="003D2D47"/>
    <w:rsid w:val="003D2F2D"/>
    <w:rsid w:val="003E0DDE"/>
    <w:rsid w:val="003E2307"/>
    <w:rsid w:val="003E27CC"/>
    <w:rsid w:val="00401590"/>
    <w:rsid w:val="00401ACE"/>
    <w:rsid w:val="00413E92"/>
    <w:rsid w:val="0043075B"/>
    <w:rsid w:val="00447801"/>
    <w:rsid w:val="00447B5E"/>
    <w:rsid w:val="0045039D"/>
    <w:rsid w:val="00452E9C"/>
    <w:rsid w:val="00455E53"/>
    <w:rsid w:val="004735C8"/>
    <w:rsid w:val="00477367"/>
    <w:rsid w:val="0048077B"/>
    <w:rsid w:val="004915AD"/>
    <w:rsid w:val="004961FF"/>
    <w:rsid w:val="004B50CF"/>
    <w:rsid w:val="004C578A"/>
    <w:rsid w:val="004E2431"/>
    <w:rsid w:val="005147FE"/>
    <w:rsid w:val="005158AC"/>
    <w:rsid w:val="00517A89"/>
    <w:rsid w:val="005250F2"/>
    <w:rsid w:val="00537D8D"/>
    <w:rsid w:val="00556F9E"/>
    <w:rsid w:val="0058649C"/>
    <w:rsid w:val="005900B9"/>
    <w:rsid w:val="00593EEA"/>
    <w:rsid w:val="0059737F"/>
    <w:rsid w:val="00597776"/>
    <w:rsid w:val="005A5EEE"/>
    <w:rsid w:val="005C6580"/>
    <w:rsid w:val="005E1010"/>
    <w:rsid w:val="005E1245"/>
    <w:rsid w:val="005F76D3"/>
    <w:rsid w:val="00605EDD"/>
    <w:rsid w:val="00613DC8"/>
    <w:rsid w:val="00631208"/>
    <w:rsid w:val="006375C7"/>
    <w:rsid w:val="00654E8F"/>
    <w:rsid w:val="00657C63"/>
    <w:rsid w:val="00660D05"/>
    <w:rsid w:val="00663A2B"/>
    <w:rsid w:val="006658A5"/>
    <w:rsid w:val="00671708"/>
    <w:rsid w:val="00672394"/>
    <w:rsid w:val="006743D0"/>
    <w:rsid w:val="00681403"/>
    <w:rsid w:val="006820B1"/>
    <w:rsid w:val="00693238"/>
    <w:rsid w:val="00695C1A"/>
    <w:rsid w:val="006A4147"/>
    <w:rsid w:val="006B7D14"/>
    <w:rsid w:val="006B7FDF"/>
    <w:rsid w:val="006D6834"/>
    <w:rsid w:val="006E29FB"/>
    <w:rsid w:val="006E71D7"/>
    <w:rsid w:val="00701727"/>
    <w:rsid w:val="007051EC"/>
    <w:rsid w:val="0070566C"/>
    <w:rsid w:val="00714C50"/>
    <w:rsid w:val="00724028"/>
    <w:rsid w:val="00725A7D"/>
    <w:rsid w:val="007366AA"/>
    <w:rsid w:val="007410C6"/>
    <w:rsid w:val="007501BE"/>
    <w:rsid w:val="007641CC"/>
    <w:rsid w:val="00764C93"/>
    <w:rsid w:val="00771FEB"/>
    <w:rsid w:val="00790BB3"/>
    <w:rsid w:val="007A4E8B"/>
    <w:rsid w:val="007A4EE1"/>
    <w:rsid w:val="007C206C"/>
    <w:rsid w:val="007C25F1"/>
    <w:rsid w:val="007C63CC"/>
    <w:rsid w:val="007D65B3"/>
    <w:rsid w:val="00803D24"/>
    <w:rsid w:val="00817DD6"/>
    <w:rsid w:val="00827CE6"/>
    <w:rsid w:val="00841521"/>
    <w:rsid w:val="0084375C"/>
    <w:rsid w:val="00855205"/>
    <w:rsid w:val="0086319C"/>
    <w:rsid w:val="008739F4"/>
    <w:rsid w:val="00885156"/>
    <w:rsid w:val="008877A2"/>
    <w:rsid w:val="008914CC"/>
    <w:rsid w:val="00894B59"/>
    <w:rsid w:val="008A2677"/>
    <w:rsid w:val="008A2FEC"/>
    <w:rsid w:val="008A323D"/>
    <w:rsid w:val="008A42DD"/>
    <w:rsid w:val="008B1A9A"/>
    <w:rsid w:val="008B2996"/>
    <w:rsid w:val="008B4EAD"/>
    <w:rsid w:val="008C2B63"/>
    <w:rsid w:val="008D7571"/>
    <w:rsid w:val="008F2A4F"/>
    <w:rsid w:val="00911A03"/>
    <w:rsid w:val="009151AA"/>
    <w:rsid w:val="0093429D"/>
    <w:rsid w:val="00943573"/>
    <w:rsid w:val="00970F7D"/>
    <w:rsid w:val="0098121F"/>
    <w:rsid w:val="00981CE5"/>
    <w:rsid w:val="00994A3D"/>
    <w:rsid w:val="009B438B"/>
    <w:rsid w:val="009C2B12"/>
    <w:rsid w:val="009C70F3"/>
    <w:rsid w:val="009D47CF"/>
    <w:rsid w:val="009D5777"/>
    <w:rsid w:val="009E14E5"/>
    <w:rsid w:val="009E6D77"/>
    <w:rsid w:val="00A01047"/>
    <w:rsid w:val="00A05E43"/>
    <w:rsid w:val="00A174D9"/>
    <w:rsid w:val="00A24C95"/>
    <w:rsid w:val="00A471C4"/>
    <w:rsid w:val="00A53830"/>
    <w:rsid w:val="00A569CD"/>
    <w:rsid w:val="00A64B7C"/>
    <w:rsid w:val="00A651CA"/>
    <w:rsid w:val="00AB2B93"/>
    <w:rsid w:val="00AB5EE2"/>
    <w:rsid w:val="00AB6715"/>
    <w:rsid w:val="00AD6757"/>
    <w:rsid w:val="00B0162C"/>
    <w:rsid w:val="00B02401"/>
    <w:rsid w:val="00B1671E"/>
    <w:rsid w:val="00B24869"/>
    <w:rsid w:val="00B24BA6"/>
    <w:rsid w:val="00B25EB8"/>
    <w:rsid w:val="00B354E1"/>
    <w:rsid w:val="00B37F4D"/>
    <w:rsid w:val="00B46549"/>
    <w:rsid w:val="00B53122"/>
    <w:rsid w:val="00B53236"/>
    <w:rsid w:val="00B63DF7"/>
    <w:rsid w:val="00B93864"/>
    <w:rsid w:val="00B97905"/>
    <w:rsid w:val="00BD24EE"/>
    <w:rsid w:val="00BE725A"/>
    <w:rsid w:val="00BF60F1"/>
    <w:rsid w:val="00BF745E"/>
    <w:rsid w:val="00C225AD"/>
    <w:rsid w:val="00C236E4"/>
    <w:rsid w:val="00C43049"/>
    <w:rsid w:val="00C45593"/>
    <w:rsid w:val="00C46956"/>
    <w:rsid w:val="00C52A7B"/>
    <w:rsid w:val="00C56BAF"/>
    <w:rsid w:val="00C604DB"/>
    <w:rsid w:val="00C60D49"/>
    <w:rsid w:val="00C65313"/>
    <w:rsid w:val="00C679AA"/>
    <w:rsid w:val="00C733D7"/>
    <w:rsid w:val="00C75972"/>
    <w:rsid w:val="00C764C1"/>
    <w:rsid w:val="00C84E2C"/>
    <w:rsid w:val="00C9167F"/>
    <w:rsid w:val="00CA2197"/>
    <w:rsid w:val="00CC0A3A"/>
    <w:rsid w:val="00CD066B"/>
    <w:rsid w:val="00CD2B72"/>
    <w:rsid w:val="00CD7F2D"/>
    <w:rsid w:val="00CE4FEE"/>
    <w:rsid w:val="00D2177A"/>
    <w:rsid w:val="00D22BD7"/>
    <w:rsid w:val="00D54061"/>
    <w:rsid w:val="00D6233F"/>
    <w:rsid w:val="00D66685"/>
    <w:rsid w:val="00D75DA6"/>
    <w:rsid w:val="00D81F7D"/>
    <w:rsid w:val="00D91B9E"/>
    <w:rsid w:val="00DA0AD0"/>
    <w:rsid w:val="00DB59C3"/>
    <w:rsid w:val="00DB7843"/>
    <w:rsid w:val="00DC259A"/>
    <w:rsid w:val="00DE23E8"/>
    <w:rsid w:val="00DE4BF3"/>
    <w:rsid w:val="00E22BE8"/>
    <w:rsid w:val="00E3530C"/>
    <w:rsid w:val="00E362AC"/>
    <w:rsid w:val="00E4494C"/>
    <w:rsid w:val="00E46AB7"/>
    <w:rsid w:val="00E52377"/>
    <w:rsid w:val="00E57AFB"/>
    <w:rsid w:val="00E64E17"/>
    <w:rsid w:val="00E7630E"/>
    <w:rsid w:val="00E807B5"/>
    <w:rsid w:val="00E866C9"/>
    <w:rsid w:val="00E9331C"/>
    <w:rsid w:val="00EA3D3C"/>
    <w:rsid w:val="00EA4C86"/>
    <w:rsid w:val="00EA6E9D"/>
    <w:rsid w:val="00EA762E"/>
    <w:rsid w:val="00ED2A61"/>
    <w:rsid w:val="00EE5C29"/>
    <w:rsid w:val="00F07C11"/>
    <w:rsid w:val="00F177EE"/>
    <w:rsid w:val="00F21B8C"/>
    <w:rsid w:val="00F46900"/>
    <w:rsid w:val="00F61D89"/>
    <w:rsid w:val="00F62C5E"/>
    <w:rsid w:val="00FA5AA8"/>
    <w:rsid w:val="00FC40FD"/>
    <w:rsid w:val="00FE3ABF"/>
    <w:rsid w:val="00FF530A"/>
    <w:rsid w:val="31106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4487BD"/>
  <w15:docId w15:val="{133E554D-C33E-435D-A5BC-605DF70A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unhideWhenUsed/>
    <w:rsid w:val="00AB6715"/>
    <w:rPr>
      <w:sz w:val="20"/>
      <w:szCs w:val="20"/>
    </w:rPr>
  </w:style>
  <w:style w:type="character" w:customStyle="1" w:styleId="CommentTextChar">
    <w:name w:val="Comment Text Char"/>
    <w:basedOn w:val="DefaultParagraphFont"/>
    <w:link w:val="CommentText"/>
    <w:uiPriority w:val="99"/>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styleId="Revision">
    <w:name w:val="Revision"/>
    <w:hidden/>
    <w:uiPriority w:val="99"/>
    <w:semiHidden/>
    <w:rsid w:val="00803D24"/>
    <w:pPr>
      <w:spacing w:after="0" w:line="240" w:lineRule="auto"/>
    </w:pPr>
    <w:rPr>
      <w:rFonts w:ascii="Times New Roman" w:hAnsi="Times New Roman"/>
      <w:sz w:val="24"/>
    </w:rPr>
  </w:style>
  <w:style w:type="paragraph" w:customStyle="1" w:styleId="Pa19">
    <w:name w:val="Pa19"/>
    <w:basedOn w:val="Normal"/>
    <w:next w:val="Normal"/>
    <w:uiPriority w:val="99"/>
    <w:rsid w:val="00D81F7D"/>
    <w:pPr>
      <w:autoSpaceDE w:val="0"/>
      <w:autoSpaceDN w:val="0"/>
      <w:adjustRightInd w:val="0"/>
      <w:spacing w:before="0" w:after="0" w:line="201" w:lineRule="atLeast"/>
    </w:pPr>
    <w:rPr>
      <w:rFonts w:ascii="Stone Sans" w:hAnsi="Stone Sans"/>
      <w:szCs w:val="24"/>
    </w:rPr>
  </w:style>
  <w:style w:type="character" w:styleId="Mention">
    <w:name w:val="Mention"/>
    <w:basedOn w:val="DefaultParagraphFont"/>
    <w:uiPriority w:val="99"/>
    <w:unhideWhenUsed/>
    <w:rsid w:val="00D81F7D"/>
    <w:rPr>
      <w:color w:val="2B579A"/>
      <w:shd w:val="clear" w:color="auto" w:fill="E6E6E6"/>
    </w:rPr>
  </w:style>
  <w:style w:type="character" w:styleId="UnresolvedMention">
    <w:name w:val="Unresolved Mention"/>
    <w:basedOn w:val="DefaultParagraphFont"/>
    <w:uiPriority w:val="99"/>
    <w:semiHidden/>
    <w:unhideWhenUsed/>
    <w:rsid w:val="002A3B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349016810">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 w:id="214107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ontent.ces.ncsu.edu/the-pour-through-extraction-procedure-a-nutrient-management-tool-for-nursery-crop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emf"/><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CHICAGO.XSL" StyleName="Chicago"/>
</file>

<file path=customXml/item5.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2.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3.xml><?xml version="1.0" encoding="utf-8"?>
<ds:datastoreItem xmlns:ds="http://schemas.openxmlformats.org/officeDocument/2006/customXml" ds:itemID="{2558679B-78FB-42CD-A1EA-A99096AF5568}">
  <ds:schemaRefs>
    <ds:schemaRef ds:uri="http://schemas.microsoft.com/sharepoint/events"/>
  </ds:schemaRefs>
</ds:datastoreItem>
</file>

<file path=customXml/itemProps4.xml><?xml version="1.0" encoding="utf-8"?>
<ds:datastoreItem xmlns:ds="http://schemas.openxmlformats.org/officeDocument/2006/customXml" ds:itemID="{114314AF-3C36-4C2C-B599-40A76C6FFFC1}">
  <ds:schemaRefs>
    <ds:schemaRef ds:uri="http://schemas.openxmlformats.org/officeDocument/2006/bibliography"/>
  </ds:schemaRefs>
</ds:datastoreItem>
</file>

<file path=customXml/itemProps5.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C:\Users\hannah.eccles\OneDrive - Frontiers Media SA\Documents\Latex work\Sep 2022_link updates\Supplementary_Material.dotx</Template>
  <TotalTime>1</TotalTime>
  <Pages>6</Pages>
  <Words>1432</Words>
  <Characters>8166</Characters>
  <Application>Microsoft Office Word</Application>
  <DocSecurity>0</DocSecurity>
  <Lines>68</Lines>
  <Paragraphs>19</Paragraphs>
  <ScaleCrop>false</ScaleCrop>
  <Company/>
  <LinksUpToDate>false</LinksUpToDate>
  <CharactersWithSpaces>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dc:creator>
  <cp:lastModifiedBy>Ricardo Hernandez</cp:lastModifiedBy>
  <cp:revision>2</cp:revision>
  <cp:lastPrinted>2013-10-03T12:51:00Z</cp:lastPrinted>
  <dcterms:created xsi:type="dcterms:W3CDTF">2024-05-28T15:06:00Z</dcterms:created>
  <dcterms:modified xsi:type="dcterms:W3CDTF">2024-05-28T15:06:00Z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GrammarlyDocumentId">
    <vt:lpwstr>5a347e0baa5c8852be28b97151f39d0e6b95755db2b42b0553474886d3854661</vt:lpwstr>
  </property>
</Properties>
</file>