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22A2D" w14:textId="77777777" w:rsidR="00FD764C" w:rsidRPr="00263AA5" w:rsidRDefault="00000000">
      <w:pPr>
        <w:spacing w:line="480" w:lineRule="auto"/>
        <w:rPr>
          <w:rFonts w:ascii="Times New Roman" w:hAnsi="Times New Roman" w:cs="Times New Roman"/>
          <w:b/>
          <w:bCs/>
          <w:sz w:val="36"/>
          <w:szCs w:val="36"/>
        </w:rPr>
      </w:pPr>
      <w:r w:rsidRPr="00263AA5">
        <w:rPr>
          <w:rFonts w:ascii="Times New Roman" w:hAnsi="Times New Roman" w:cs="Times New Roman"/>
          <w:b/>
          <w:bCs/>
          <w:sz w:val="36"/>
          <w:szCs w:val="40"/>
        </w:rPr>
        <w:t>Supplementary Information</w:t>
      </w:r>
    </w:p>
    <w:p w14:paraId="1D8750FC" w14:textId="6EA0C95A" w:rsidR="00494D78" w:rsidRPr="00263AA5" w:rsidRDefault="00A30320">
      <w:pPr>
        <w:autoSpaceDE w:val="0"/>
        <w:autoSpaceDN w:val="0"/>
        <w:adjustRightInd w:val="0"/>
        <w:snapToGrid w:val="0"/>
        <w:spacing w:before="240" w:after="240" w:line="480" w:lineRule="auto"/>
        <w:jc w:val="center"/>
        <w:rPr>
          <w:rFonts w:ascii="Times New Roman" w:hAnsi="Times New Roman" w:cs="Times New Roman"/>
          <w:b/>
          <w:bCs/>
          <w:sz w:val="28"/>
          <w:szCs w:val="28"/>
        </w:rPr>
      </w:pPr>
      <w:bookmarkStart w:id="0" w:name="_Hlk210334763"/>
      <w:r w:rsidRPr="00A30320">
        <w:rPr>
          <w:rFonts w:ascii="Times New Roman" w:hAnsi="Times New Roman" w:cs="Times New Roman" w:hint="eastAsia"/>
          <w:b/>
          <w:bCs/>
          <w:sz w:val="28"/>
          <w:szCs w:val="28"/>
        </w:rPr>
        <w:t>MetaReact: A Reaction-Aware Transformer for End-to-End Prediction of Drug Metabolism</w:t>
      </w:r>
    </w:p>
    <w:p w14:paraId="7F333B5F" w14:textId="60B761E0" w:rsidR="00FD764C" w:rsidRPr="00263AA5" w:rsidRDefault="00000000" w:rsidP="00E80328">
      <w:pPr>
        <w:autoSpaceDE w:val="0"/>
        <w:autoSpaceDN w:val="0"/>
        <w:adjustRightInd w:val="0"/>
        <w:snapToGrid w:val="0"/>
        <w:spacing w:before="240" w:after="240" w:line="480" w:lineRule="auto"/>
        <w:jc w:val="center"/>
        <w:rPr>
          <w:rFonts w:ascii="Times New Roman" w:hAnsi="Times New Roman" w:cs="Times New Roman"/>
        </w:rPr>
      </w:pPr>
      <w:r w:rsidRPr="00263AA5">
        <w:rPr>
          <w:rFonts w:ascii="Times New Roman" w:hAnsi="Times New Roman" w:cs="Times New Roman"/>
        </w:rPr>
        <w:t>Yitian Wang</w:t>
      </w:r>
      <w:r w:rsidRPr="00263AA5">
        <w:rPr>
          <w:rFonts w:ascii="Times New Roman" w:hAnsi="Times New Roman" w:cs="Times New Roman"/>
          <w:kern w:val="0"/>
          <w:vertAlign w:val="superscript"/>
        </w:rPr>
        <w:t>a</w:t>
      </w:r>
      <w:r w:rsidRPr="00263AA5">
        <w:rPr>
          <w:rFonts w:ascii="Times New Roman" w:hAnsi="Times New Roman" w:cs="Times New Roman"/>
          <w:vertAlign w:val="superscript"/>
        </w:rPr>
        <w:t>,b#</w:t>
      </w:r>
      <w:r w:rsidRPr="00263AA5">
        <w:rPr>
          <w:rFonts w:ascii="Times New Roman" w:hAnsi="Times New Roman" w:cs="Times New Roman"/>
        </w:rPr>
        <w:t>, Jingxin Rao</w:t>
      </w:r>
      <w:r w:rsidRPr="00263AA5">
        <w:rPr>
          <w:rFonts w:ascii="Times New Roman" w:hAnsi="Times New Roman" w:cs="Times New Roman"/>
          <w:kern w:val="0"/>
          <w:vertAlign w:val="superscript"/>
        </w:rPr>
        <w:t>a</w:t>
      </w:r>
      <w:r w:rsidRPr="00263AA5">
        <w:rPr>
          <w:rFonts w:ascii="Times New Roman" w:hAnsi="Times New Roman" w:cs="Times New Roman"/>
          <w:vertAlign w:val="superscript"/>
        </w:rPr>
        <w:t>,b#</w:t>
      </w:r>
      <w:bookmarkStart w:id="1" w:name="_Hlk81381416"/>
      <w:bookmarkEnd w:id="1"/>
      <w:r w:rsidRPr="00263AA5">
        <w:rPr>
          <w:rFonts w:ascii="Times New Roman" w:hAnsi="Times New Roman" w:cs="Times New Roman"/>
        </w:rPr>
        <w:t xml:space="preserve">, </w:t>
      </w:r>
      <w:bookmarkStart w:id="2" w:name="_Hlk210335686"/>
      <w:r w:rsidRPr="00263AA5">
        <w:rPr>
          <w:rFonts w:ascii="Times New Roman" w:hAnsi="Times New Roman" w:cs="Times New Roman"/>
        </w:rPr>
        <w:t>Wei Zhang</w:t>
      </w:r>
      <w:bookmarkStart w:id="3" w:name="OLE_LINK16"/>
      <w:bookmarkStart w:id="4" w:name="OLE_LINK11"/>
      <w:bookmarkEnd w:id="2"/>
      <w:r w:rsidRPr="00263AA5">
        <w:rPr>
          <w:rFonts w:ascii="Times New Roman" w:hAnsi="Times New Roman" w:cs="Times New Roman"/>
          <w:kern w:val="0"/>
          <w:vertAlign w:val="superscript"/>
        </w:rPr>
        <w:t>a</w:t>
      </w:r>
      <w:r w:rsidRPr="00263AA5">
        <w:rPr>
          <w:rFonts w:ascii="Times New Roman" w:hAnsi="Times New Roman" w:cs="Times New Roman"/>
          <w:vertAlign w:val="superscript"/>
        </w:rPr>
        <w:t>,b</w:t>
      </w:r>
      <w:bookmarkEnd w:id="3"/>
      <w:bookmarkEnd w:id="4"/>
      <w:r w:rsidRPr="00263AA5">
        <w:rPr>
          <w:rFonts w:ascii="Times New Roman" w:hAnsi="Times New Roman" w:cs="Times New Roman"/>
        </w:rPr>
        <w:t xml:space="preserve">, </w:t>
      </w:r>
      <w:bookmarkStart w:id="5" w:name="_Hlk81924730"/>
      <w:r w:rsidRPr="00263AA5">
        <w:rPr>
          <w:rFonts w:ascii="Times New Roman" w:hAnsi="Times New Roman" w:cs="Times New Roman"/>
        </w:rPr>
        <w:t>Yuqi Shi</w:t>
      </w:r>
      <w:bookmarkStart w:id="6" w:name="OLE_LINK27"/>
      <w:bookmarkStart w:id="7" w:name="OLE_LINK20"/>
      <w:r w:rsidRPr="00263AA5">
        <w:rPr>
          <w:rFonts w:ascii="Times New Roman" w:hAnsi="Times New Roman" w:cs="Times New Roman"/>
          <w:kern w:val="0"/>
          <w:vertAlign w:val="superscript"/>
        </w:rPr>
        <w:t>a</w:t>
      </w:r>
      <w:r w:rsidRPr="00263AA5">
        <w:rPr>
          <w:rFonts w:ascii="Times New Roman" w:hAnsi="Times New Roman" w:cs="Times New Roman"/>
          <w:vertAlign w:val="superscript"/>
        </w:rPr>
        <w:t>,b</w:t>
      </w:r>
      <w:bookmarkEnd w:id="5"/>
      <w:bookmarkEnd w:id="6"/>
      <w:bookmarkEnd w:id="7"/>
      <w:r w:rsidRPr="00263AA5">
        <w:rPr>
          <w:rFonts w:ascii="Times New Roman" w:hAnsi="Times New Roman" w:cs="Times New Roman"/>
        </w:rPr>
        <w:t xml:space="preserve">, </w:t>
      </w:r>
      <w:r w:rsidR="00E80328" w:rsidRPr="00263AA5">
        <w:rPr>
          <w:rFonts w:ascii="Times New Roman" w:hAnsi="Times New Roman" w:cs="Times New Roman"/>
        </w:rPr>
        <w:t>Chuanlong Zeng</w:t>
      </w:r>
      <w:r w:rsidR="00E80328" w:rsidRPr="00263AA5">
        <w:rPr>
          <w:rFonts w:ascii="Times New Roman" w:hAnsi="Times New Roman" w:cs="Times New Roman"/>
          <w:kern w:val="0"/>
          <w:vertAlign w:val="superscript"/>
        </w:rPr>
        <w:t>a</w:t>
      </w:r>
      <w:r w:rsidR="00E80328" w:rsidRPr="00263AA5">
        <w:rPr>
          <w:rFonts w:ascii="Times New Roman" w:hAnsi="Times New Roman" w:cs="Times New Roman"/>
          <w:vertAlign w:val="superscript"/>
        </w:rPr>
        <w:t>,b</w:t>
      </w:r>
      <w:r w:rsidR="00E80328" w:rsidRPr="00263AA5">
        <w:rPr>
          <w:rFonts w:ascii="Times New Roman" w:hAnsi="Times New Roman" w:cs="Times New Roman"/>
        </w:rPr>
        <w:t xml:space="preserve">, </w:t>
      </w:r>
      <w:r w:rsidR="0043216A">
        <w:rPr>
          <w:rFonts w:ascii="Times New Roman" w:hAnsi="Times New Roman" w:cs="Times New Roman" w:hint="eastAsia"/>
        </w:rPr>
        <w:t>Rongrong Cui</w:t>
      </w:r>
      <w:r w:rsidR="0043216A" w:rsidRPr="00263AA5">
        <w:rPr>
          <w:rFonts w:ascii="Times New Roman" w:hAnsi="Times New Roman" w:cs="Times New Roman"/>
          <w:kern w:val="0"/>
          <w:vertAlign w:val="superscript"/>
        </w:rPr>
        <w:t>a</w:t>
      </w:r>
      <w:r w:rsidR="0043216A" w:rsidRPr="00263AA5">
        <w:rPr>
          <w:rFonts w:ascii="Times New Roman" w:hAnsi="Times New Roman" w:cs="Times New Roman"/>
          <w:vertAlign w:val="superscript"/>
        </w:rPr>
        <w:t>,b</w:t>
      </w:r>
      <w:r w:rsidR="0043216A" w:rsidRPr="00263AA5">
        <w:rPr>
          <w:rFonts w:ascii="Times New Roman" w:hAnsi="Times New Roman" w:cs="Times New Roman"/>
        </w:rPr>
        <w:t xml:space="preserve">, </w:t>
      </w:r>
      <w:r w:rsidR="0043216A">
        <w:rPr>
          <w:rFonts w:ascii="Times New Roman" w:hAnsi="Times New Roman" w:cs="Times New Roman" w:hint="eastAsia"/>
        </w:rPr>
        <w:t>Yinquan Wang</w:t>
      </w:r>
      <w:r w:rsidR="0043216A" w:rsidRPr="00263AA5">
        <w:rPr>
          <w:rFonts w:ascii="Times New Roman" w:hAnsi="Times New Roman" w:cs="Times New Roman"/>
          <w:kern w:val="0"/>
          <w:vertAlign w:val="superscript"/>
        </w:rPr>
        <w:t>a</w:t>
      </w:r>
      <w:r w:rsidR="0043216A" w:rsidRPr="00263AA5">
        <w:rPr>
          <w:rFonts w:ascii="Times New Roman" w:hAnsi="Times New Roman" w:cs="Times New Roman"/>
          <w:vertAlign w:val="superscript"/>
        </w:rPr>
        <w:t>,b</w:t>
      </w:r>
      <w:r w:rsidR="00FB7707">
        <w:rPr>
          <w:rFonts w:ascii="Times New Roman" w:hAnsi="Times New Roman" w:cs="Times New Roman" w:hint="eastAsia"/>
          <w:vertAlign w:val="superscript"/>
        </w:rPr>
        <w:t>,c</w:t>
      </w:r>
      <w:r w:rsidR="0043216A" w:rsidRPr="00263AA5">
        <w:rPr>
          <w:rFonts w:ascii="Times New Roman" w:hAnsi="Times New Roman" w:cs="Times New Roman"/>
        </w:rPr>
        <w:t xml:space="preserve">, </w:t>
      </w:r>
      <w:r w:rsidR="00E80328" w:rsidRPr="00263AA5">
        <w:rPr>
          <w:rFonts w:ascii="Times New Roman" w:hAnsi="Times New Roman" w:cs="Times New Roman"/>
        </w:rPr>
        <w:t>Jiacheng Xiong</w:t>
      </w:r>
      <w:r w:rsidR="00E80328" w:rsidRPr="00263AA5">
        <w:rPr>
          <w:rFonts w:ascii="Times New Roman" w:hAnsi="Times New Roman" w:cs="Times New Roman"/>
          <w:vertAlign w:val="superscript"/>
        </w:rPr>
        <w:t>a,b*</w:t>
      </w:r>
      <w:r w:rsidR="00E80328" w:rsidRPr="00263AA5">
        <w:rPr>
          <w:rFonts w:ascii="Times New Roman" w:hAnsi="Times New Roman" w:cs="Times New Roman"/>
        </w:rPr>
        <w:t xml:space="preserve">, </w:t>
      </w:r>
      <w:r w:rsidRPr="00263AA5">
        <w:rPr>
          <w:rFonts w:ascii="Times New Roman" w:hAnsi="Times New Roman" w:cs="Times New Roman"/>
        </w:rPr>
        <w:t>Xutong Li</w:t>
      </w:r>
      <w:r w:rsidRPr="00263AA5">
        <w:rPr>
          <w:rFonts w:ascii="Times New Roman" w:hAnsi="Times New Roman" w:cs="Times New Roman"/>
          <w:vertAlign w:val="superscript"/>
        </w:rPr>
        <w:t>a,b*</w:t>
      </w:r>
      <w:r w:rsidRPr="00263AA5">
        <w:rPr>
          <w:rFonts w:ascii="Times New Roman" w:hAnsi="Times New Roman" w:cs="Times New Roman"/>
        </w:rPr>
        <w:t>, Mingyue Zheng</w:t>
      </w:r>
      <w:r w:rsidRPr="00263AA5">
        <w:rPr>
          <w:rFonts w:ascii="Times New Roman" w:hAnsi="Times New Roman" w:cs="Times New Roman"/>
          <w:kern w:val="0"/>
          <w:vertAlign w:val="superscript"/>
        </w:rPr>
        <w:t>a,b</w:t>
      </w:r>
      <w:r w:rsidRPr="00263AA5">
        <w:rPr>
          <w:rFonts w:ascii="Times New Roman" w:hAnsi="Times New Roman" w:cs="Times New Roman"/>
          <w:vertAlign w:val="superscript"/>
        </w:rPr>
        <w:t>*</w:t>
      </w:r>
    </w:p>
    <w:bookmarkEnd w:id="0"/>
    <w:p w14:paraId="6B799CCD" w14:textId="0F32B260" w:rsidR="00FD764C" w:rsidRPr="00263AA5" w:rsidRDefault="00000000">
      <w:pPr>
        <w:autoSpaceDE w:val="0"/>
        <w:autoSpaceDN w:val="0"/>
        <w:adjustRightInd w:val="0"/>
        <w:snapToGrid w:val="0"/>
        <w:spacing w:before="240" w:after="240" w:line="480" w:lineRule="auto"/>
        <w:rPr>
          <w:rFonts w:ascii="Times New Roman" w:eastAsia="等线" w:hAnsi="Times New Roman" w:cs="Times New Roman"/>
          <w:kern w:val="0"/>
        </w:rPr>
      </w:pPr>
      <w:r w:rsidRPr="00263AA5">
        <w:rPr>
          <w:rFonts w:ascii="Times New Roman" w:eastAsia="等线" w:hAnsi="Times New Roman" w:cs="Times New Roman"/>
          <w:kern w:val="0"/>
          <w:vertAlign w:val="superscript"/>
        </w:rPr>
        <w:t xml:space="preserve">a </w:t>
      </w:r>
      <w:r w:rsidRPr="00263AA5">
        <w:rPr>
          <w:rFonts w:ascii="Times New Roman" w:eastAsia="等线" w:hAnsi="Times New Roman" w:cs="Times New Roman"/>
          <w:kern w:val="0"/>
        </w:rPr>
        <w:t>Drug Discovery and Design Center, State Key Laboratory of Drug Research, Shanghai Institute of Materia Medica</w:t>
      </w:r>
      <w:r w:rsidR="005B053A">
        <w:rPr>
          <w:rFonts w:ascii="Times New Roman" w:eastAsia="等线" w:hAnsi="Times New Roman" w:cs="Times New Roman" w:hint="eastAsia"/>
          <w:kern w:val="0"/>
        </w:rPr>
        <w:t>,</w:t>
      </w:r>
      <w:r w:rsidRPr="00263AA5">
        <w:rPr>
          <w:rFonts w:ascii="Times New Roman" w:eastAsia="等线" w:hAnsi="Times New Roman" w:cs="Times New Roman"/>
          <w:kern w:val="0"/>
        </w:rPr>
        <w:t xml:space="preserve"> Chinese Academy of Sciences, 555 Zuchongzhi Road, Shanghai 201103, China</w:t>
      </w:r>
    </w:p>
    <w:p w14:paraId="338156E4" w14:textId="77777777" w:rsidR="00FD764C" w:rsidRDefault="00000000">
      <w:pPr>
        <w:autoSpaceDE w:val="0"/>
        <w:autoSpaceDN w:val="0"/>
        <w:adjustRightInd w:val="0"/>
        <w:snapToGrid w:val="0"/>
        <w:spacing w:before="240" w:after="240" w:line="480" w:lineRule="auto"/>
        <w:rPr>
          <w:rFonts w:ascii="Times New Roman" w:eastAsia="等线" w:hAnsi="Times New Roman" w:cs="Times New Roman"/>
          <w:kern w:val="0"/>
        </w:rPr>
      </w:pPr>
      <w:r w:rsidRPr="00263AA5">
        <w:rPr>
          <w:rFonts w:ascii="Times New Roman" w:eastAsia="等线" w:hAnsi="Times New Roman" w:cs="Times New Roman"/>
          <w:kern w:val="0"/>
          <w:vertAlign w:val="superscript"/>
        </w:rPr>
        <w:t>b</w:t>
      </w:r>
      <w:r w:rsidRPr="00263AA5">
        <w:rPr>
          <w:rFonts w:ascii="Times New Roman" w:eastAsia="等线" w:hAnsi="Times New Roman" w:cs="Times New Roman"/>
          <w:kern w:val="0"/>
        </w:rPr>
        <w:t xml:space="preserve"> University of Chinese Academy of Sciences, No.19A Yuquan Road, Beijing 100049, China</w:t>
      </w:r>
    </w:p>
    <w:p w14:paraId="74055D30" w14:textId="579076DC" w:rsidR="00FB7707" w:rsidRPr="00FB7707" w:rsidRDefault="00FB7707">
      <w:pPr>
        <w:autoSpaceDE w:val="0"/>
        <w:autoSpaceDN w:val="0"/>
        <w:adjustRightInd w:val="0"/>
        <w:snapToGrid w:val="0"/>
        <w:spacing w:before="240" w:after="240" w:line="480" w:lineRule="auto"/>
        <w:rPr>
          <w:rFonts w:ascii="Times New Roman" w:eastAsia="等线" w:hAnsi="Times New Roman" w:cs="Times New Roman"/>
          <w:kern w:val="0"/>
        </w:rPr>
      </w:pPr>
      <w:r>
        <w:rPr>
          <w:rFonts w:ascii="Times New Roman" w:eastAsia="等线" w:hAnsi="Times New Roman" w:cs="Times New Roman" w:hint="eastAsia"/>
          <w:kern w:val="0"/>
          <w:vertAlign w:val="superscript"/>
        </w:rPr>
        <w:t>c</w:t>
      </w:r>
      <w:r w:rsidRPr="00263AA5">
        <w:rPr>
          <w:rFonts w:ascii="Times New Roman" w:eastAsia="等线" w:hAnsi="Times New Roman" w:cs="Times New Roman"/>
          <w:kern w:val="0"/>
        </w:rPr>
        <w:t xml:space="preserve"> </w:t>
      </w:r>
      <w:r w:rsidRPr="00FB7707">
        <w:rPr>
          <w:rFonts w:ascii="Times New Roman" w:eastAsia="等线" w:hAnsi="Times New Roman" w:cs="Times New Roman" w:hint="eastAsia"/>
          <w:kern w:val="0"/>
        </w:rPr>
        <w:t>Department of Medicinal Chemistry, School of Pharmacy, Fudan University, Shanghai 20</w:t>
      </w:r>
      <w:r w:rsidR="00BC723E">
        <w:rPr>
          <w:rFonts w:ascii="Times New Roman" w:eastAsia="等线" w:hAnsi="Times New Roman" w:cs="Times New Roman" w:hint="eastAsia"/>
          <w:kern w:val="0"/>
        </w:rPr>
        <w:t>1203</w:t>
      </w:r>
      <w:r w:rsidRPr="00FB7707">
        <w:rPr>
          <w:rFonts w:ascii="Times New Roman" w:eastAsia="等线" w:hAnsi="Times New Roman" w:cs="Times New Roman" w:hint="eastAsia"/>
          <w:kern w:val="0"/>
        </w:rPr>
        <w:t>, China</w:t>
      </w:r>
    </w:p>
    <w:p w14:paraId="03EF2A65" w14:textId="77777777" w:rsidR="00FD764C" w:rsidRPr="00263AA5" w:rsidRDefault="00000000">
      <w:pPr>
        <w:autoSpaceDE w:val="0"/>
        <w:autoSpaceDN w:val="0"/>
        <w:adjustRightInd w:val="0"/>
        <w:snapToGrid w:val="0"/>
        <w:spacing w:before="240" w:after="240" w:line="480" w:lineRule="auto"/>
        <w:rPr>
          <w:rFonts w:ascii="Times New Roman" w:eastAsia="等线" w:hAnsi="Times New Roman" w:cs="Times New Roman"/>
          <w:kern w:val="0"/>
        </w:rPr>
      </w:pPr>
      <w:r w:rsidRPr="00263AA5">
        <w:rPr>
          <w:rFonts w:ascii="Times New Roman" w:eastAsia="等线" w:hAnsi="Times New Roman" w:cs="Times New Roman"/>
          <w:kern w:val="0"/>
          <w:vertAlign w:val="superscript"/>
        </w:rPr>
        <w:t>#</w:t>
      </w:r>
      <w:r w:rsidRPr="00263AA5">
        <w:rPr>
          <w:rFonts w:ascii="Times New Roman" w:eastAsia="等线" w:hAnsi="Times New Roman" w:cs="Times New Roman"/>
          <w:kern w:val="0"/>
        </w:rPr>
        <w:t xml:space="preserve"> Yitian Wang and Jingxin Rao have contributed equally to this work</w:t>
      </w:r>
    </w:p>
    <w:p w14:paraId="093A15B3" w14:textId="0F74C85C" w:rsidR="00FD764C" w:rsidRPr="00263AA5" w:rsidRDefault="00000000">
      <w:pPr>
        <w:autoSpaceDE w:val="0"/>
        <w:autoSpaceDN w:val="0"/>
        <w:adjustRightInd w:val="0"/>
        <w:snapToGrid w:val="0"/>
        <w:spacing w:before="240" w:after="240" w:line="480" w:lineRule="auto"/>
        <w:rPr>
          <w:rFonts w:ascii="Times New Roman" w:eastAsia="等线" w:hAnsi="Times New Roman" w:cs="Times New Roman"/>
          <w:kern w:val="0"/>
        </w:rPr>
      </w:pPr>
      <w:r w:rsidRPr="00263AA5">
        <w:rPr>
          <w:rFonts w:ascii="Times New Roman" w:eastAsia="等线" w:hAnsi="Times New Roman" w:cs="Times New Roman"/>
          <w:kern w:val="0"/>
          <w:vertAlign w:val="superscript"/>
        </w:rPr>
        <w:t>*</w:t>
      </w:r>
      <w:r w:rsidRPr="00263AA5">
        <w:rPr>
          <w:rFonts w:ascii="Times New Roman" w:eastAsia="等线" w:hAnsi="Times New Roman" w:cs="Times New Roman"/>
          <w:kern w:val="0"/>
        </w:rPr>
        <w:t xml:space="preserve"> Corresponding author: </w:t>
      </w:r>
      <w:r w:rsidR="00F12C20" w:rsidRPr="00263AA5">
        <w:rPr>
          <w:rFonts w:ascii="Times New Roman" w:eastAsia="等线" w:hAnsi="Times New Roman" w:cs="Times New Roman"/>
          <w:kern w:val="0"/>
        </w:rPr>
        <w:t xml:space="preserve">Tel: +86-18251823321 (Jiacheng Xiong), </w:t>
      </w:r>
      <w:r w:rsidRPr="00263AA5">
        <w:rPr>
          <w:rFonts w:ascii="Times New Roman" w:eastAsia="等线" w:hAnsi="Times New Roman" w:cs="Times New Roman"/>
          <w:kern w:val="0"/>
        </w:rPr>
        <w:t>Tel: +86-13821547729 (Xutong Li), Tel: +21-68077843 (Mingyue Zheng)</w:t>
      </w:r>
    </w:p>
    <w:p w14:paraId="145F1F90" w14:textId="44370246" w:rsidR="00FD764C" w:rsidRPr="00263AA5" w:rsidRDefault="00000000">
      <w:pPr>
        <w:autoSpaceDE w:val="0"/>
        <w:autoSpaceDN w:val="0"/>
        <w:adjustRightInd w:val="0"/>
        <w:snapToGrid w:val="0"/>
        <w:spacing w:before="240" w:after="240" w:line="480" w:lineRule="auto"/>
        <w:rPr>
          <w:rFonts w:ascii="Times New Roman" w:hAnsi="Times New Roman" w:cs="Times New Roman"/>
          <w:i/>
          <w:iCs/>
          <w:vertAlign w:val="superscript"/>
        </w:rPr>
      </w:pPr>
      <w:r w:rsidRPr="00263AA5">
        <w:rPr>
          <w:rFonts w:ascii="Times New Roman" w:eastAsia="等线" w:hAnsi="Times New Roman" w:cs="Times New Roman"/>
          <w:kern w:val="0"/>
        </w:rPr>
        <w:t xml:space="preserve">E-mail addresses: </w:t>
      </w:r>
      <w:r w:rsidR="000260EF" w:rsidRPr="00263AA5">
        <w:rPr>
          <w:rFonts w:ascii="Times New Roman" w:eastAsia="等线" w:hAnsi="Times New Roman" w:cs="Times New Roman"/>
          <w:kern w:val="0"/>
        </w:rPr>
        <w:t xml:space="preserve">s19-xiongjiacheng@simm.ac.cn (Jiacheng Xiong), </w:t>
      </w:r>
      <w:r w:rsidRPr="00263AA5">
        <w:rPr>
          <w:rFonts w:ascii="Times New Roman" w:eastAsia="等线" w:hAnsi="Times New Roman" w:cs="Times New Roman"/>
          <w:kern w:val="0"/>
        </w:rPr>
        <w:t>lixutong@simm.ac.cn (Xutong Li), myzheng@simm.ac.cn (Mingyue Zheng)</w:t>
      </w:r>
    </w:p>
    <w:p w14:paraId="204A9F3F" w14:textId="77777777" w:rsidR="00FD764C" w:rsidRPr="00263AA5" w:rsidRDefault="00000000">
      <w:pPr>
        <w:rPr>
          <w:rFonts w:ascii="Times New Roman" w:hAnsi="Times New Roman" w:cs="Times New Roman"/>
          <w:b/>
          <w:bCs/>
          <w:sz w:val="28"/>
          <w:szCs w:val="32"/>
        </w:rPr>
      </w:pPr>
      <w:r w:rsidRPr="00263AA5">
        <w:rPr>
          <w:rFonts w:ascii="Times New Roman" w:hAnsi="Times New Roman" w:cs="Times New Roman"/>
          <w:b/>
          <w:bCs/>
          <w:sz w:val="28"/>
          <w:szCs w:val="32"/>
        </w:rPr>
        <w:br w:type="page"/>
      </w:r>
    </w:p>
    <w:sdt>
      <w:sdtPr>
        <w:rPr>
          <w:rFonts w:ascii="Times New Roman" w:eastAsia="宋体" w:hAnsi="Times New Roman" w:cs="Times New Roman"/>
          <w:sz w:val="21"/>
        </w:rPr>
        <w:id w:val="147465224"/>
        <w15:color w:val="DBDBDB"/>
        <w:docPartObj>
          <w:docPartGallery w:val="Table of Contents"/>
          <w:docPartUnique/>
        </w:docPartObj>
      </w:sdtPr>
      <w:sdtContent>
        <w:p w14:paraId="69CBF5BF" w14:textId="77777777" w:rsidR="00FD764C" w:rsidRPr="00263AA5" w:rsidRDefault="00000000">
          <w:pPr>
            <w:spacing w:after="0" w:line="240" w:lineRule="auto"/>
            <w:jc w:val="center"/>
            <w:rPr>
              <w:rFonts w:ascii="Times New Roman" w:hAnsi="Times New Roman" w:cs="Times New Roman"/>
            </w:rPr>
          </w:pPr>
          <w:r w:rsidRPr="00263AA5">
            <w:rPr>
              <w:rFonts w:ascii="Times New Roman" w:eastAsia="宋体" w:hAnsi="Times New Roman" w:cs="Times New Roman"/>
              <w:sz w:val="28"/>
              <w:szCs w:val="28"/>
            </w:rPr>
            <w:t>Table of Contents</w:t>
          </w:r>
        </w:p>
        <w:p w14:paraId="1B580AF5" w14:textId="3354568E" w:rsidR="00263AA5" w:rsidRPr="00263AA5" w:rsidRDefault="00000000">
          <w:pPr>
            <w:pStyle w:val="TOC1"/>
            <w:tabs>
              <w:tab w:val="left" w:pos="840"/>
              <w:tab w:val="right" w:leader="dot" w:pos="8296"/>
            </w:tabs>
            <w:rPr>
              <w:rFonts w:ascii="Times New Roman" w:hAnsi="Times New Roman" w:cs="Times New Roman"/>
              <w:noProof/>
            </w:rPr>
          </w:pPr>
          <w:r w:rsidRPr="00263AA5">
            <w:rPr>
              <w:rFonts w:ascii="Times New Roman" w:hAnsi="Times New Roman" w:cs="Times New Roman"/>
            </w:rPr>
            <w:fldChar w:fldCharType="begin"/>
          </w:r>
          <w:r w:rsidRPr="00263AA5">
            <w:rPr>
              <w:rFonts w:ascii="Times New Roman" w:hAnsi="Times New Roman" w:cs="Times New Roman"/>
            </w:rPr>
            <w:instrText xml:space="preserve">TOC \o "1-3" \h \u </w:instrText>
          </w:r>
          <w:r w:rsidRPr="00263AA5">
            <w:rPr>
              <w:rFonts w:ascii="Times New Roman" w:hAnsi="Times New Roman" w:cs="Times New Roman"/>
            </w:rPr>
            <w:fldChar w:fldCharType="separate"/>
          </w:r>
          <w:hyperlink w:anchor="_Toc214302284" w:history="1">
            <w:r w:rsidR="00263AA5" w:rsidRPr="00263AA5">
              <w:rPr>
                <w:rStyle w:val="afa"/>
                <w:rFonts w:ascii="Times New Roman" w:hAnsi="Times New Roman" w:cs="Times New Roman"/>
                <w:b/>
                <w:bCs/>
                <w:noProof/>
              </w:rPr>
              <w:t>A.</w:t>
            </w:r>
            <w:r w:rsidR="00263AA5" w:rsidRPr="00263AA5">
              <w:rPr>
                <w:rFonts w:ascii="Times New Roman" w:hAnsi="Times New Roman" w:cs="Times New Roman"/>
                <w:noProof/>
              </w:rPr>
              <w:tab/>
            </w:r>
            <w:r w:rsidR="00263AA5" w:rsidRPr="00263AA5">
              <w:rPr>
                <w:rStyle w:val="afa"/>
                <w:rFonts w:ascii="Times New Roman" w:hAnsi="Times New Roman" w:cs="Times New Roman"/>
                <w:b/>
                <w:bCs/>
                <w:noProof/>
              </w:rPr>
              <w:t>Supplementary Methods</w:t>
            </w:r>
            <w:r w:rsidR="00263AA5" w:rsidRPr="00263AA5">
              <w:rPr>
                <w:rFonts w:ascii="Times New Roman" w:hAnsi="Times New Roman" w:cs="Times New Roman"/>
                <w:noProof/>
              </w:rPr>
              <w:tab/>
            </w:r>
            <w:r w:rsidR="00263AA5" w:rsidRPr="00263AA5">
              <w:rPr>
                <w:rFonts w:ascii="Times New Roman" w:hAnsi="Times New Roman" w:cs="Times New Roman"/>
                <w:noProof/>
              </w:rPr>
              <w:fldChar w:fldCharType="begin"/>
            </w:r>
            <w:r w:rsidR="00263AA5" w:rsidRPr="00263AA5">
              <w:rPr>
                <w:rFonts w:ascii="Times New Roman" w:hAnsi="Times New Roman" w:cs="Times New Roman"/>
                <w:noProof/>
              </w:rPr>
              <w:instrText xml:space="preserve"> PAGEREF _Toc214302284 \h </w:instrText>
            </w:r>
            <w:r w:rsidR="00263AA5" w:rsidRPr="00263AA5">
              <w:rPr>
                <w:rFonts w:ascii="Times New Roman" w:hAnsi="Times New Roman" w:cs="Times New Roman"/>
                <w:noProof/>
              </w:rPr>
            </w:r>
            <w:r w:rsidR="00263AA5" w:rsidRPr="00263AA5">
              <w:rPr>
                <w:rFonts w:ascii="Times New Roman" w:hAnsi="Times New Roman" w:cs="Times New Roman"/>
                <w:noProof/>
              </w:rPr>
              <w:fldChar w:fldCharType="separate"/>
            </w:r>
            <w:r w:rsidR="00263AA5" w:rsidRPr="00263AA5">
              <w:rPr>
                <w:rFonts w:ascii="Times New Roman" w:hAnsi="Times New Roman" w:cs="Times New Roman"/>
                <w:noProof/>
              </w:rPr>
              <w:t>3</w:t>
            </w:r>
            <w:r w:rsidR="00263AA5" w:rsidRPr="00263AA5">
              <w:rPr>
                <w:rFonts w:ascii="Times New Roman" w:hAnsi="Times New Roman" w:cs="Times New Roman"/>
                <w:noProof/>
              </w:rPr>
              <w:fldChar w:fldCharType="end"/>
            </w:r>
          </w:hyperlink>
        </w:p>
        <w:p w14:paraId="1BA92941" w14:textId="3FBA65D1" w:rsidR="00263AA5" w:rsidRPr="00263AA5" w:rsidRDefault="00263AA5">
          <w:pPr>
            <w:pStyle w:val="TOC2"/>
            <w:tabs>
              <w:tab w:val="right" w:leader="dot" w:pos="8296"/>
            </w:tabs>
            <w:ind w:left="440"/>
            <w:rPr>
              <w:rFonts w:ascii="Times New Roman" w:hAnsi="Times New Roman" w:cs="Times New Roman"/>
              <w:noProof/>
            </w:rPr>
          </w:pPr>
          <w:hyperlink w:anchor="_Toc214302285" w:history="1">
            <w:r w:rsidRPr="00263AA5">
              <w:rPr>
                <w:rStyle w:val="afa"/>
                <w:rFonts w:ascii="Times New Roman" w:hAnsi="Times New Roman" w:cs="Times New Roman"/>
                <w:b/>
                <w:bCs/>
                <w:noProof/>
              </w:rPr>
              <w:t>A.1 Data augmentation</w:t>
            </w:r>
            <w:r w:rsidRPr="00263AA5">
              <w:rPr>
                <w:rFonts w:ascii="Times New Roman" w:hAnsi="Times New Roman" w:cs="Times New Roman"/>
                <w:noProof/>
              </w:rPr>
              <w:tab/>
            </w:r>
            <w:r w:rsidRPr="00263AA5">
              <w:rPr>
                <w:rFonts w:ascii="Times New Roman" w:hAnsi="Times New Roman" w:cs="Times New Roman"/>
                <w:noProof/>
              </w:rPr>
              <w:fldChar w:fldCharType="begin"/>
            </w:r>
            <w:r w:rsidRPr="00263AA5">
              <w:rPr>
                <w:rFonts w:ascii="Times New Roman" w:hAnsi="Times New Roman" w:cs="Times New Roman"/>
                <w:noProof/>
              </w:rPr>
              <w:instrText xml:space="preserve"> PAGEREF _Toc214302285 \h </w:instrText>
            </w:r>
            <w:r w:rsidRPr="00263AA5">
              <w:rPr>
                <w:rFonts w:ascii="Times New Roman" w:hAnsi="Times New Roman" w:cs="Times New Roman"/>
                <w:noProof/>
              </w:rPr>
            </w:r>
            <w:r w:rsidRPr="00263AA5">
              <w:rPr>
                <w:rFonts w:ascii="Times New Roman" w:hAnsi="Times New Roman" w:cs="Times New Roman"/>
                <w:noProof/>
              </w:rPr>
              <w:fldChar w:fldCharType="separate"/>
            </w:r>
            <w:r w:rsidRPr="00263AA5">
              <w:rPr>
                <w:rFonts w:ascii="Times New Roman" w:hAnsi="Times New Roman" w:cs="Times New Roman"/>
                <w:noProof/>
              </w:rPr>
              <w:t>3</w:t>
            </w:r>
            <w:r w:rsidRPr="00263AA5">
              <w:rPr>
                <w:rFonts w:ascii="Times New Roman" w:hAnsi="Times New Roman" w:cs="Times New Roman"/>
                <w:noProof/>
              </w:rPr>
              <w:fldChar w:fldCharType="end"/>
            </w:r>
          </w:hyperlink>
        </w:p>
        <w:p w14:paraId="43A06AB2" w14:textId="08C1858B" w:rsidR="00263AA5" w:rsidRPr="00263AA5" w:rsidRDefault="00263AA5">
          <w:pPr>
            <w:pStyle w:val="TOC2"/>
            <w:tabs>
              <w:tab w:val="right" w:leader="dot" w:pos="8296"/>
            </w:tabs>
            <w:ind w:left="440"/>
            <w:rPr>
              <w:rFonts w:ascii="Times New Roman" w:hAnsi="Times New Roman" w:cs="Times New Roman"/>
              <w:noProof/>
            </w:rPr>
          </w:pPr>
          <w:hyperlink w:anchor="_Toc214302286" w:history="1">
            <w:r w:rsidRPr="00263AA5">
              <w:rPr>
                <w:rStyle w:val="afa"/>
                <w:rFonts w:ascii="Times New Roman" w:hAnsi="Times New Roman" w:cs="Times New Roman"/>
                <w:b/>
                <w:bCs/>
                <w:noProof/>
              </w:rPr>
              <w:t>A.2 Model Architecture and Training Pipeline</w:t>
            </w:r>
            <w:r w:rsidRPr="00263AA5">
              <w:rPr>
                <w:rFonts w:ascii="Times New Roman" w:hAnsi="Times New Roman" w:cs="Times New Roman"/>
                <w:noProof/>
              </w:rPr>
              <w:tab/>
            </w:r>
            <w:r w:rsidRPr="00263AA5">
              <w:rPr>
                <w:rFonts w:ascii="Times New Roman" w:hAnsi="Times New Roman" w:cs="Times New Roman"/>
                <w:noProof/>
              </w:rPr>
              <w:fldChar w:fldCharType="begin"/>
            </w:r>
            <w:r w:rsidRPr="00263AA5">
              <w:rPr>
                <w:rFonts w:ascii="Times New Roman" w:hAnsi="Times New Roman" w:cs="Times New Roman"/>
                <w:noProof/>
              </w:rPr>
              <w:instrText xml:space="preserve"> PAGEREF _Toc214302286 \h </w:instrText>
            </w:r>
            <w:r w:rsidRPr="00263AA5">
              <w:rPr>
                <w:rFonts w:ascii="Times New Roman" w:hAnsi="Times New Roman" w:cs="Times New Roman"/>
                <w:noProof/>
              </w:rPr>
            </w:r>
            <w:r w:rsidRPr="00263AA5">
              <w:rPr>
                <w:rFonts w:ascii="Times New Roman" w:hAnsi="Times New Roman" w:cs="Times New Roman"/>
                <w:noProof/>
              </w:rPr>
              <w:fldChar w:fldCharType="separate"/>
            </w:r>
            <w:r w:rsidRPr="00263AA5">
              <w:rPr>
                <w:rFonts w:ascii="Times New Roman" w:hAnsi="Times New Roman" w:cs="Times New Roman"/>
                <w:noProof/>
              </w:rPr>
              <w:t>3</w:t>
            </w:r>
            <w:r w:rsidRPr="00263AA5">
              <w:rPr>
                <w:rFonts w:ascii="Times New Roman" w:hAnsi="Times New Roman" w:cs="Times New Roman"/>
                <w:noProof/>
              </w:rPr>
              <w:fldChar w:fldCharType="end"/>
            </w:r>
          </w:hyperlink>
        </w:p>
        <w:p w14:paraId="7C29FE76" w14:textId="6BA08DB6" w:rsidR="00263AA5" w:rsidRPr="00263AA5" w:rsidRDefault="00263AA5">
          <w:pPr>
            <w:pStyle w:val="TOC2"/>
            <w:tabs>
              <w:tab w:val="right" w:leader="dot" w:pos="8296"/>
            </w:tabs>
            <w:ind w:left="440"/>
            <w:rPr>
              <w:rFonts w:ascii="Times New Roman" w:hAnsi="Times New Roman" w:cs="Times New Roman"/>
              <w:noProof/>
            </w:rPr>
          </w:pPr>
          <w:hyperlink w:anchor="_Toc214302287" w:history="1">
            <w:r w:rsidRPr="00263AA5">
              <w:rPr>
                <w:rStyle w:val="afa"/>
                <w:rFonts w:ascii="Times New Roman" w:hAnsi="Times New Roman" w:cs="Times New Roman"/>
                <w:b/>
                <w:bCs/>
                <w:noProof/>
              </w:rPr>
              <w:t>A.3 Baseline methods and evaluation protocols</w:t>
            </w:r>
            <w:r w:rsidRPr="00263AA5">
              <w:rPr>
                <w:rFonts w:ascii="Times New Roman" w:hAnsi="Times New Roman" w:cs="Times New Roman"/>
                <w:noProof/>
              </w:rPr>
              <w:tab/>
            </w:r>
            <w:r w:rsidRPr="00263AA5">
              <w:rPr>
                <w:rFonts w:ascii="Times New Roman" w:hAnsi="Times New Roman" w:cs="Times New Roman"/>
                <w:noProof/>
              </w:rPr>
              <w:fldChar w:fldCharType="begin"/>
            </w:r>
            <w:r w:rsidRPr="00263AA5">
              <w:rPr>
                <w:rFonts w:ascii="Times New Roman" w:hAnsi="Times New Roman" w:cs="Times New Roman"/>
                <w:noProof/>
              </w:rPr>
              <w:instrText xml:space="preserve"> PAGEREF _Toc214302287 \h </w:instrText>
            </w:r>
            <w:r w:rsidRPr="00263AA5">
              <w:rPr>
                <w:rFonts w:ascii="Times New Roman" w:hAnsi="Times New Roman" w:cs="Times New Roman"/>
                <w:noProof/>
              </w:rPr>
            </w:r>
            <w:r w:rsidRPr="00263AA5">
              <w:rPr>
                <w:rFonts w:ascii="Times New Roman" w:hAnsi="Times New Roman" w:cs="Times New Roman"/>
                <w:noProof/>
              </w:rPr>
              <w:fldChar w:fldCharType="separate"/>
            </w:r>
            <w:r w:rsidRPr="00263AA5">
              <w:rPr>
                <w:rFonts w:ascii="Times New Roman" w:hAnsi="Times New Roman" w:cs="Times New Roman"/>
                <w:noProof/>
              </w:rPr>
              <w:t>5</w:t>
            </w:r>
            <w:r w:rsidRPr="00263AA5">
              <w:rPr>
                <w:rFonts w:ascii="Times New Roman" w:hAnsi="Times New Roman" w:cs="Times New Roman"/>
                <w:noProof/>
              </w:rPr>
              <w:fldChar w:fldCharType="end"/>
            </w:r>
          </w:hyperlink>
        </w:p>
        <w:p w14:paraId="7213DFDD" w14:textId="2D692AEF" w:rsidR="00263AA5" w:rsidRPr="00263AA5" w:rsidRDefault="00263AA5">
          <w:pPr>
            <w:pStyle w:val="TOC1"/>
            <w:tabs>
              <w:tab w:val="left" w:pos="840"/>
              <w:tab w:val="right" w:leader="dot" w:pos="8296"/>
            </w:tabs>
            <w:rPr>
              <w:rFonts w:ascii="Times New Roman" w:hAnsi="Times New Roman" w:cs="Times New Roman"/>
              <w:noProof/>
            </w:rPr>
          </w:pPr>
          <w:hyperlink w:anchor="_Toc214302288" w:history="1">
            <w:r w:rsidRPr="00263AA5">
              <w:rPr>
                <w:rStyle w:val="afa"/>
                <w:rFonts w:ascii="Times New Roman" w:hAnsi="Times New Roman" w:cs="Times New Roman"/>
                <w:b/>
                <w:bCs/>
                <w:noProof/>
              </w:rPr>
              <w:t>B.</w:t>
            </w:r>
            <w:r w:rsidRPr="00263AA5">
              <w:rPr>
                <w:rFonts w:ascii="Times New Roman" w:hAnsi="Times New Roman" w:cs="Times New Roman"/>
                <w:noProof/>
              </w:rPr>
              <w:tab/>
            </w:r>
            <w:r w:rsidRPr="00263AA5">
              <w:rPr>
                <w:rStyle w:val="afa"/>
                <w:rFonts w:ascii="Times New Roman" w:hAnsi="Times New Roman" w:cs="Times New Roman"/>
                <w:b/>
                <w:bCs/>
                <w:noProof/>
              </w:rPr>
              <w:t>Supplementary Results</w:t>
            </w:r>
            <w:r w:rsidRPr="00263AA5">
              <w:rPr>
                <w:rFonts w:ascii="Times New Roman" w:hAnsi="Times New Roman" w:cs="Times New Roman"/>
                <w:noProof/>
              </w:rPr>
              <w:tab/>
            </w:r>
            <w:r w:rsidRPr="00263AA5">
              <w:rPr>
                <w:rFonts w:ascii="Times New Roman" w:hAnsi="Times New Roman" w:cs="Times New Roman"/>
                <w:noProof/>
              </w:rPr>
              <w:fldChar w:fldCharType="begin"/>
            </w:r>
            <w:r w:rsidRPr="00263AA5">
              <w:rPr>
                <w:rFonts w:ascii="Times New Roman" w:hAnsi="Times New Roman" w:cs="Times New Roman"/>
                <w:noProof/>
              </w:rPr>
              <w:instrText xml:space="preserve"> PAGEREF _Toc214302288 \h </w:instrText>
            </w:r>
            <w:r w:rsidRPr="00263AA5">
              <w:rPr>
                <w:rFonts w:ascii="Times New Roman" w:hAnsi="Times New Roman" w:cs="Times New Roman"/>
                <w:noProof/>
              </w:rPr>
            </w:r>
            <w:r w:rsidRPr="00263AA5">
              <w:rPr>
                <w:rFonts w:ascii="Times New Roman" w:hAnsi="Times New Roman" w:cs="Times New Roman"/>
                <w:noProof/>
              </w:rPr>
              <w:fldChar w:fldCharType="separate"/>
            </w:r>
            <w:r w:rsidRPr="00263AA5">
              <w:rPr>
                <w:rFonts w:ascii="Times New Roman" w:hAnsi="Times New Roman" w:cs="Times New Roman"/>
                <w:noProof/>
              </w:rPr>
              <w:t>6</w:t>
            </w:r>
            <w:r w:rsidRPr="00263AA5">
              <w:rPr>
                <w:rFonts w:ascii="Times New Roman" w:hAnsi="Times New Roman" w:cs="Times New Roman"/>
                <w:noProof/>
              </w:rPr>
              <w:fldChar w:fldCharType="end"/>
            </w:r>
          </w:hyperlink>
        </w:p>
        <w:p w14:paraId="7F8009CE" w14:textId="543FC2FA" w:rsidR="00263AA5" w:rsidRPr="00263AA5" w:rsidRDefault="00263AA5">
          <w:pPr>
            <w:pStyle w:val="TOC2"/>
            <w:tabs>
              <w:tab w:val="right" w:leader="dot" w:pos="8296"/>
            </w:tabs>
            <w:ind w:left="440"/>
            <w:rPr>
              <w:rFonts w:ascii="Times New Roman" w:hAnsi="Times New Roman" w:cs="Times New Roman"/>
              <w:noProof/>
            </w:rPr>
          </w:pPr>
          <w:hyperlink w:anchor="_Toc214302289" w:history="1">
            <w:r w:rsidRPr="00263AA5">
              <w:rPr>
                <w:rStyle w:val="afa"/>
                <w:rFonts w:ascii="Times New Roman" w:hAnsi="Times New Roman" w:cs="Times New Roman"/>
                <w:b/>
                <w:bCs/>
                <w:noProof/>
              </w:rPr>
              <w:t>B.1 SOM cases</w:t>
            </w:r>
            <w:r w:rsidRPr="00263AA5">
              <w:rPr>
                <w:rFonts w:ascii="Times New Roman" w:hAnsi="Times New Roman" w:cs="Times New Roman"/>
                <w:noProof/>
              </w:rPr>
              <w:tab/>
            </w:r>
            <w:r w:rsidRPr="00263AA5">
              <w:rPr>
                <w:rFonts w:ascii="Times New Roman" w:hAnsi="Times New Roman" w:cs="Times New Roman"/>
                <w:noProof/>
              </w:rPr>
              <w:fldChar w:fldCharType="begin"/>
            </w:r>
            <w:r w:rsidRPr="00263AA5">
              <w:rPr>
                <w:rFonts w:ascii="Times New Roman" w:hAnsi="Times New Roman" w:cs="Times New Roman"/>
                <w:noProof/>
              </w:rPr>
              <w:instrText xml:space="preserve"> PAGEREF _Toc214302289 \h </w:instrText>
            </w:r>
            <w:r w:rsidRPr="00263AA5">
              <w:rPr>
                <w:rFonts w:ascii="Times New Roman" w:hAnsi="Times New Roman" w:cs="Times New Roman"/>
                <w:noProof/>
              </w:rPr>
            </w:r>
            <w:r w:rsidRPr="00263AA5">
              <w:rPr>
                <w:rFonts w:ascii="Times New Roman" w:hAnsi="Times New Roman" w:cs="Times New Roman"/>
                <w:noProof/>
              </w:rPr>
              <w:fldChar w:fldCharType="separate"/>
            </w:r>
            <w:r w:rsidRPr="00263AA5">
              <w:rPr>
                <w:rFonts w:ascii="Times New Roman" w:hAnsi="Times New Roman" w:cs="Times New Roman"/>
                <w:noProof/>
              </w:rPr>
              <w:t>6</w:t>
            </w:r>
            <w:r w:rsidRPr="00263AA5">
              <w:rPr>
                <w:rFonts w:ascii="Times New Roman" w:hAnsi="Times New Roman" w:cs="Times New Roman"/>
                <w:noProof/>
              </w:rPr>
              <w:fldChar w:fldCharType="end"/>
            </w:r>
          </w:hyperlink>
        </w:p>
        <w:p w14:paraId="6E053305" w14:textId="69D5EFBB" w:rsidR="00263AA5" w:rsidRPr="00263AA5" w:rsidRDefault="00263AA5">
          <w:pPr>
            <w:pStyle w:val="TOC1"/>
            <w:tabs>
              <w:tab w:val="left" w:pos="840"/>
              <w:tab w:val="right" w:leader="dot" w:pos="8296"/>
            </w:tabs>
            <w:rPr>
              <w:rFonts w:ascii="Times New Roman" w:hAnsi="Times New Roman" w:cs="Times New Roman"/>
              <w:noProof/>
            </w:rPr>
          </w:pPr>
          <w:hyperlink w:anchor="_Toc214302290" w:history="1">
            <w:r w:rsidRPr="00263AA5">
              <w:rPr>
                <w:rStyle w:val="afa"/>
                <w:rFonts w:ascii="Times New Roman" w:hAnsi="Times New Roman" w:cs="Times New Roman"/>
                <w:b/>
                <w:bCs/>
                <w:noProof/>
              </w:rPr>
              <w:t>C.</w:t>
            </w:r>
            <w:r w:rsidRPr="00263AA5">
              <w:rPr>
                <w:rFonts w:ascii="Times New Roman" w:hAnsi="Times New Roman" w:cs="Times New Roman"/>
                <w:noProof/>
              </w:rPr>
              <w:tab/>
            </w:r>
            <w:r w:rsidRPr="00263AA5">
              <w:rPr>
                <w:rStyle w:val="afa"/>
                <w:rFonts w:ascii="Times New Roman" w:hAnsi="Times New Roman" w:cs="Times New Roman"/>
                <w:b/>
                <w:bCs/>
                <w:noProof/>
              </w:rPr>
              <w:t>Supplementary Figures and Tables</w:t>
            </w:r>
            <w:r w:rsidRPr="00263AA5">
              <w:rPr>
                <w:rFonts w:ascii="Times New Roman" w:hAnsi="Times New Roman" w:cs="Times New Roman"/>
                <w:noProof/>
              </w:rPr>
              <w:tab/>
            </w:r>
            <w:r w:rsidRPr="00263AA5">
              <w:rPr>
                <w:rFonts w:ascii="Times New Roman" w:hAnsi="Times New Roman" w:cs="Times New Roman"/>
                <w:noProof/>
              </w:rPr>
              <w:fldChar w:fldCharType="begin"/>
            </w:r>
            <w:r w:rsidRPr="00263AA5">
              <w:rPr>
                <w:rFonts w:ascii="Times New Roman" w:hAnsi="Times New Roman" w:cs="Times New Roman"/>
                <w:noProof/>
              </w:rPr>
              <w:instrText xml:space="preserve"> PAGEREF _Toc214302290 \h </w:instrText>
            </w:r>
            <w:r w:rsidRPr="00263AA5">
              <w:rPr>
                <w:rFonts w:ascii="Times New Roman" w:hAnsi="Times New Roman" w:cs="Times New Roman"/>
                <w:noProof/>
              </w:rPr>
            </w:r>
            <w:r w:rsidRPr="00263AA5">
              <w:rPr>
                <w:rFonts w:ascii="Times New Roman" w:hAnsi="Times New Roman" w:cs="Times New Roman"/>
                <w:noProof/>
              </w:rPr>
              <w:fldChar w:fldCharType="separate"/>
            </w:r>
            <w:r w:rsidRPr="00263AA5">
              <w:rPr>
                <w:rFonts w:ascii="Times New Roman" w:hAnsi="Times New Roman" w:cs="Times New Roman"/>
                <w:noProof/>
              </w:rPr>
              <w:t>7</w:t>
            </w:r>
            <w:r w:rsidRPr="00263AA5">
              <w:rPr>
                <w:rFonts w:ascii="Times New Roman" w:hAnsi="Times New Roman" w:cs="Times New Roman"/>
                <w:noProof/>
              </w:rPr>
              <w:fldChar w:fldCharType="end"/>
            </w:r>
          </w:hyperlink>
        </w:p>
        <w:p w14:paraId="58834B83" w14:textId="669A3B50" w:rsidR="00263AA5" w:rsidRPr="00263AA5" w:rsidRDefault="00263AA5">
          <w:pPr>
            <w:pStyle w:val="TOC3"/>
            <w:tabs>
              <w:tab w:val="right" w:leader="dot" w:pos="8296"/>
            </w:tabs>
            <w:ind w:left="880"/>
            <w:rPr>
              <w:rFonts w:ascii="Times New Roman" w:hAnsi="Times New Roman" w:cs="Times New Roman"/>
              <w:noProof/>
            </w:rPr>
          </w:pPr>
          <w:hyperlink w:anchor="_Toc214302291" w:history="1">
            <w:r w:rsidRPr="00263AA5">
              <w:rPr>
                <w:rStyle w:val="afa"/>
                <w:rFonts w:ascii="Times New Roman" w:hAnsi="Times New Roman" w:cs="Times New Roman"/>
                <w:noProof/>
              </w:rPr>
              <w:t>Figure S 1. Illustration of TTA strategy</w:t>
            </w:r>
            <w:r w:rsidRPr="00263AA5">
              <w:rPr>
                <w:rFonts w:ascii="Times New Roman" w:hAnsi="Times New Roman" w:cs="Times New Roman"/>
                <w:noProof/>
              </w:rPr>
              <w:tab/>
            </w:r>
            <w:r w:rsidRPr="00263AA5">
              <w:rPr>
                <w:rFonts w:ascii="Times New Roman" w:hAnsi="Times New Roman" w:cs="Times New Roman"/>
                <w:noProof/>
              </w:rPr>
              <w:fldChar w:fldCharType="begin"/>
            </w:r>
            <w:r w:rsidRPr="00263AA5">
              <w:rPr>
                <w:rFonts w:ascii="Times New Roman" w:hAnsi="Times New Roman" w:cs="Times New Roman"/>
                <w:noProof/>
              </w:rPr>
              <w:instrText xml:space="preserve"> PAGEREF _Toc214302291 \h </w:instrText>
            </w:r>
            <w:r w:rsidRPr="00263AA5">
              <w:rPr>
                <w:rFonts w:ascii="Times New Roman" w:hAnsi="Times New Roman" w:cs="Times New Roman"/>
                <w:noProof/>
              </w:rPr>
            </w:r>
            <w:r w:rsidRPr="00263AA5">
              <w:rPr>
                <w:rFonts w:ascii="Times New Roman" w:hAnsi="Times New Roman" w:cs="Times New Roman"/>
                <w:noProof/>
              </w:rPr>
              <w:fldChar w:fldCharType="separate"/>
            </w:r>
            <w:r w:rsidRPr="00263AA5">
              <w:rPr>
                <w:rFonts w:ascii="Times New Roman" w:hAnsi="Times New Roman" w:cs="Times New Roman"/>
                <w:noProof/>
              </w:rPr>
              <w:t>7</w:t>
            </w:r>
            <w:r w:rsidRPr="00263AA5">
              <w:rPr>
                <w:rFonts w:ascii="Times New Roman" w:hAnsi="Times New Roman" w:cs="Times New Roman"/>
                <w:noProof/>
              </w:rPr>
              <w:fldChar w:fldCharType="end"/>
            </w:r>
          </w:hyperlink>
        </w:p>
        <w:p w14:paraId="3FF4D4CE" w14:textId="19212CBC" w:rsidR="00263AA5" w:rsidRPr="00263AA5" w:rsidRDefault="00263AA5">
          <w:pPr>
            <w:pStyle w:val="TOC3"/>
            <w:tabs>
              <w:tab w:val="right" w:leader="dot" w:pos="8296"/>
            </w:tabs>
            <w:ind w:left="880"/>
            <w:rPr>
              <w:rFonts w:ascii="Times New Roman" w:hAnsi="Times New Roman" w:cs="Times New Roman"/>
              <w:noProof/>
            </w:rPr>
          </w:pPr>
          <w:hyperlink w:anchor="_Toc214302292" w:history="1">
            <w:r w:rsidRPr="00263AA5">
              <w:rPr>
                <w:rStyle w:val="afa"/>
                <w:rFonts w:ascii="Times New Roman" w:eastAsia="宋体" w:hAnsi="Times New Roman" w:cs="Times New Roman"/>
                <w:noProof/>
                <w:kern w:val="0"/>
                <w14:ligatures w14:val="none"/>
              </w:rPr>
              <w:t>Figure S 2. Types and distribution of enzymes in the D-data dataset</w:t>
            </w:r>
            <w:r w:rsidRPr="00263AA5">
              <w:rPr>
                <w:rFonts w:ascii="Times New Roman" w:hAnsi="Times New Roman" w:cs="Times New Roman"/>
                <w:noProof/>
              </w:rPr>
              <w:tab/>
            </w:r>
            <w:r w:rsidRPr="00263AA5">
              <w:rPr>
                <w:rFonts w:ascii="Times New Roman" w:hAnsi="Times New Roman" w:cs="Times New Roman"/>
                <w:noProof/>
              </w:rPr>
              <w:fldChar w:fldCharType="begin"/>
            </w:r>
            <w:r w:rsidRPr="00263AA5">
              <w:rPr>
                <w:rFonts w:ascii="Times New Roman" w:hAnsi="Times New Roman" w:cs="Times New Roman"/>
                <w:noProof/>
              </w:rPr>
              <w:instrText xml:space="preserve"> PAGEREF _Toc214302292 \h </w:instrText>
            </w:r>
            <w:r w:rsidRPr="00263AA5">
              <w:rPr>
                <w:rFonts w:ascii="Times New Roman" w:hAnsi="Times New Roman" w:cs="Times New Roman"/>
                <w:noProof/>
              </w:rPr>
            </w:r>
            <w:r w:rsidRPr="00263AA5">
              <w:rPr>
                <w:rFonts w:ascii="Times New Roman" w:hAnsi="Times New Roman" w:cs="Times New Roman"/>
                <w:noProof/>
              </w:rPr>
              <w:fldChar w:fldCharType="separate"/>
            </w:r>
            <w:r w:rsidRPr="00263AA5">
              <w:rPr>
                <w:rFonts w:ascii="Times New Roman" w:hAnsi="Times New Roman" w:cs="Times New Roman"/>
                <w:noProof/>
              </w:rPr>
              <w:t>7</w:t>
            </w:r>
            <w:r w:rsidRPr="00263AA5">
              <w:rPr>
                <w:rFonts w:ascii="Times New Roman" w:hAnsi="Times New Roman" w:cs="Times New Roman"/>
                <w:noProof/>
              </w:rPr>
              <w:fldChar w:fldCharType="end"/>
            </w:r>
          </w:hyperlink>
        </w:p>
        <w:p w14:paraId="2E94B21D" w14:textId="1623B26D" w:rsidR="00263AA5" w:rsidRPr="00263AA5" w:rsidRDefault="00263AA5">
          <w:pPr>
            <w:pStyle w:val="TOC3"/>
            <w:tabs>
              <w:tab w:val="right" w:leader="dot" w:pos="8296"/>
            </w:tabs>
            <w:ind w:left="880"/>
            <w:rPr>
              <w:rFonts w:ascii="Times New Roman" w:hAnsi="Times New Roman" w:cs="Times New Roman"/>
              <w:noProof/>
            </w:rPr>
          </w:pPr>
          <w:hyperlink w:anchor="_Toc214302293" w:history="1">
            <w:r w:rsidRPr="00263AA5">
              <w:rPr>
                <w:rStyle w:val="afa"/>
                <w:rFonts w:ascii="Times New Roman" w:eastAsia="宋体" w:hAnsi="Times New Roman" w:cs="Times New Roman"/>
                <w:noProof/>
                <w:kern w:val="0"/>
                <w14:ligatures w14:val="none"/>
              </w:rPr>
              <w:t>Figure S 3. Types and distribution of enzymes in the internal test set</w:t>
            </w:r>
            <w:r w:rsidRPr="00263AA5">
              <w:rPr>
                <w:rFonts w:ascii="Times New Roman" w:hAnsi="Times New Roman" w:cs="Times New Roman"/>
                <w:noProof/>
              </w:rPr>
              <w:tab/>
            </w:r>
            <w:r w:rsidRPr="00263AA5">
              <w:rPr>
                <w:rFonts w:ascii="Times New Roman" w:hAnsi="Times New Roman" w:cs="Times New Roman"/>
                <w:noProof/>
              </w:rPr>
              <w:fldChar w:fldCharType="begin"/>
            </w:r>
            <w:r w:rsidRPr="00263AA5">
              <w:rPr>
                <w:rFonts w:ascii="Times New Roman" w:hAnsi="Times New Roman" w:cs="Times New Roman"/>
                <w:noProof/>
              </w:rPr>
              <w:instrText xml:space="preserve"> PAGEREF _Toc214302293 \h </w:instrText>
            </w:r>
            <w:r w:rsidRPr="00263AA5">
              <w:rPr>
                <w:rFonts w:ascii="Times New Roman" w:hAnsi="Times New Roman" w:cs="Times New Roman"/>
                <w:noProof/>
              </w:rPr>
            </w:r>
            <w:r w:rsidRPr="00263AA5">
              <w:rPr>
                <w:rFonts w:ascii="Times New Roman" w:hAnsi="Times New Roman" w:cs="Times New Roman"/>
                <w:noProof/>
              </w:rPr>
              <w:fldChar w:fldCharType="separate"/>
            </w:r>
            <w:r w:rsidRPr="00263AA5">
              <w:rPr>
                <w:rFonts w:ascii="Times New Roman" w:hAnsi="Times New Roman" w:cs="Times New Roman"/>
                <w:noProof/>
              </w:rPr>
              <w:t>8</w:t>
            </w:r>
            <w:r w:rsidRPr="00263AA5">
              <w:rPr>
                <w:rFonts w:ascii="Times New Roman" w:hAnsi="Times New Roman" w:cs="Times New Roman"/>
                <w:noProof/>
              </w:rPr>
              <w:fldChar w:fldCharType="end"/>
            </w:r>
          </w:hyperlink>
        </w:p>
        <w:p w14:paraId="1981BCC2" w14:textId="4D5D1D58" w:rsidR="00263AA5" w:rsidRPr="00263AA5" w:rsidRDefault="00263AA5">
          <w:pPr>
            <w:pStyle w:val="TOC3"/>
            <w:tabs>
              <w:tab w:val="right" w:leader="dot" w:pos="8296"/>
            </w:tabs>
            <w:ind w:left="880"/>
            <w:rPr>
              <w:rFonts w:ascii="Times New Roman" w:hAnsi="Times New Roman" w:cs="Times New Roman"/>
              <w:noProof/>
            </w:rPr>
          </w:pPr>
          <w:hyperlink w:anchor="_Toc214302294" w:history="1">
            <w:r w:rsidRPr="00263AA5">
              <w:rPr>
                <w:rStyle w:val="afa"/>
                <w:rFonts w:ascii="Times New Roman" w:hAnsi="Times New Roman" w:cs="Times New Roman"/>
                <w:noProof/>
              </w:rPr>
              <w:t>Figure S 4. Distribution of eight representative CYP enzyme isoforms in the SOM external test set</w:t>
            </w:r>
            <w:r w:rsidRPr="00263AA5">
              <w:rPr>
                <w:rFonts w:ascii="Times New Roman" w:hAnsi="Times New Roman" w:cs="Times New Roman"/>
                <w:noProof/>
              </w:rPr>
              <w:tab/>
            </w:r>
            <w:r w:rsidRPr="00263AA5">
              <w:rPr>
                <w:rFonts w:ascii="Times New Roman" w:hAnsi="Times New Roman" w:cs="Times New Roman"/>
                <w:noProof/>
              </w:rPr>
              <w:fldChar w:fldCharType="begin"/>
            </w:r>
            <w:r w:rsidRPr="00263AA5">
              <w:rPr>
                <w:rFonts w:ascii="Times New Roman" w:hAnsi="Times New Roman" w:cs="Times New Roman"/>
                <w:noProof/>
              </w:rPr>
              <w:instrText xml:space="preserve"> PAGEREF _Toc214302294 \h </w:instrText>
            </w:r>
            <w:r w:rsidRPr="00263AA5">
              <w:rPr>
                <w:rFonts w:ascii="Times New Roman" w:hAnsi="Times New Roman" w:cs="Times New Roman"/>
                <w:noProof/>
              </w:rPr>
            </w:r>
            <w:r w:rsidRPr="00263AA5">
              <w:rPr>
                <w:rFonts w:ascii="Times New Roman" w:hAnsi="Times New Roman" w:cs="Times New Roman"/>
                <w:noProof/>
              </w:rPr>
              <w:fldChar w:fldCharType="separate"/>
            </w:r>
            <w:r w:rsidRPr="00263AA5">
              <w:rPr>
                <w:rFonts w:ascii="Times New Roman" w:hAnsi="Times New Roman" w:cs="Times New Roman"/>
                <w:noProof/>
              </w:rPr>
              <w:t>8</w:t>
            </w:r>
            <w:r w:rsidRPr="00263AA5">
              <w:rPr>
                <w:rFonts w:ascii="Times New Roman" w:hAnsi="Times New Roman" w:cs="Times New Roman"/>
                <w:noProof/>
              </w:rPr>
              <w:fldChar w:fldCharType="end"/>
            </w:r>
          </w:hyperlink>
        </w:p>
        <w:p w14:paraId="21331720" w14:textId="6F22F063" w:rsidR="00263AA5" w:rsidRPr="00263AA5" w:rsidRDefault="00263AA5">
          <w:pPr>
            <w:pStyle w:val="TOC3"/>
            <w:tabs>
              <w:tab w:val="right" w:leader="dot" w:pos="8296"/>
            </w:tabs>
            <w:ind w:left="880"/>
            <w:rPr>
              <w:rFonts w:ascii="Times New Roman" w:hAnsi="Times New Roman" w:cs="Times New Roman"/>
              <w:noProof/>
            </w:rPr>
          </w:pPr>
          <w:hyperlink w:anchor="_Toc214302295" w:history="1">
            <w:r w:rsidRPr="00263AA5">
              <w:rPr>
                <w:rStyle w:val="afa"/>
                <w:rFonts w:ascii="Times New Roman" w:hAnsi="Times New Roman" w:cs="Times New Roman"/>
                <w:noProof/>
              </w:rPr>
              <w:t>Table S 1. Comparative performance of different models on M-data by enzyme family</w:t>
            </w:r>
            <w:r w:rsidRPr="00263AA5">
              <w:rPr>
                <w:rFonts w:ascii="Times New Roman" w:hAnsi="Times New Roman" w:cs="Times New Roman"/>
                <w:noProof/>
              </w:rPr>
              <w:tab/>
            </w:r>
            <w:r w:rsidRPr="00263AA5">
              <w:rPr>
                <w:rFonts w:ascii="Times New Roman" w:hAnsi="Times New Roman" w:cs="Times New Roman"/>
                <w:noProof/>
              </w:rPr>
              <w:fldChar w:fldCharType="begin"/>
            </w:r>
            <w:r w:rsidRPr="00263AA5">
              <w:rPr>
                <w:rFonts w:ascii="Times New Roman" w:hAnsi="Times New Roman" w:cs="Times New Roman"/>
                <w:noProof/>
              </w:rPr>
              <w:instrText xml:space="preserve"> PAGEREF _Toc214302295 \h </w:instrText>
            </w:r>
            <w:r w:rsidRPr="00263AA5">
              <w:rPr>
                <w:rFonts w:ascii="Times New Roman" w:hAnsi="Times New Roman" w:cs="Times New Roman"/>
                <w:noProof/>
              </w:rPr>
            </w:r>
            <w:r w:rsidRPr="00263AA5">
              <w:rPr>
                <w:rFonts w:ascii="Times New Roman" w:hAnsi="Times New Roman" w:cs="Times New Roman"/>
                <w:noProof/>
              </w:rPr>
              <w:fldChar w:fldCharType="separate"/>
            </w:r>
            <w:r w:rsidRPr="00263AA5">
              <w:rPr>
                <w:rFonts w:ascii="Times New Roman" w:hAnsi="Times New Roman" w:cs="Times New Roman"/>
                <w:noProof/>
              </w:rPr>
              <w:t>9</w:t>
            </w:r>
            <w:r w:rsidRPr="00263AA5">
              <w:rPr>
                <w:rFonts w:ascii="Times New Roman" w:hAnsi="Times New Roman" w:cs="Times New Roman"/>
                <w:noProof/>
              </w:rPr>
              <w:fldChar w:fldCharType="end"/>
            </w:r>
          </w:hyperlink>
        </w:p>
        <w:p w14:paraId="400AE664" w14:textId="32E03963" w:rsidR="00263AA5" w:rsidRPr="00263AA5" w:rsidRDefault="00263AA5">
          <w:pPr>
            <w:pStyle w:val="TOC3"/>
            <w:tabs>
              <w:tab w:val="right" w:leader="dot" w:pos="8296"/>
            </w:tabs>
            <w:ind w:left="880"/>
            <w:rPr>
              <w:rFonts w:ascii="Times New Roman" w:hAnsi="Times New Roman" w:cs="Times New Roman"/>
              <w:noProof/>
            </w:rPr>
          </w:pPr>
          <w:hyperlink w:anchor="_Toc214302296" w:history="1">
            <w:r w:rsidRPr="00263AA5">
              <w:rPr>
                <w:rStyle w:val="afa"/>
                <w:rFonts w:ascii="Times New Roman" w:hAnsi="Times New Roman" w:cs="Times New Roman"/>
                <w:noProof/>
              </w:rPr>
              <w:t xml:space="preserve">Table S 2. Comparative performance of different models on M-data in the </w:t>
            </w:r>
            <w:r w:rsidRPr="00263AA5">
              <w:rPr>
                <w:rStyle w:val="afa"/>
                <w:rFonts w:ascii="Times New Roman" w:hAnsi="Times New Roman" w:cs="Times New Roman"/>
                <w:i/>
                <w:iCs/>
                <w:noProof/>
              </w:rPr>
              <w:t>enzyme-agnostic</w:t>
            </w:r>
            <w:r w:rsidRPr="00263AA5">
              <w:rPr>
                <w:rStyle w:val="afa"/>
                <w:rFonts w:ascii="Times New Roman" w:hAnsi="Times New Roman" w:cs="Times New Roman"/>
                <w:noProof/>
              </w:rPr>
              <w:t xml:space="preserve"> setting</w:t>
            </w:r>
            <w:r w:rsidRPr="00263AA5">
              <w:rPr>
                <w:rFonts w:ascii="Times New Roman" w:hAnsi="Times New Roman" w:cs="Times New Roman"/>
                <w:noProof/>
              </w:rPr>
              <w:tab/>
            </w:r>
            <w:r w:rsidRPr="00263AA5">
              <w:rPr>
                <w:rFonts w:ascii="Times New Roman" w:hAnsi="Times New Roman" w:cs="Times New Roman"/>
                <w:noProof/>
              </w:rPr>
              <w:fldChar w:fldCharType="begin"/>
            </w:r>
            <w:r w:rsidRPr="00263AA5">
              <w:rPr>
                <w:rFonts w:ascii="Times New Roman" w:hAnsi="Times New Roman" w:cs="Times New Roman"/>
                <w:noProof/>
              </w:rPr>
              <w:instrText xml:space="preserve"> PAGEREF _Toc214302296 \h </w:instrText>
            </w:r>
            <w:r w:rsidRPr="00263AA5">
              <w:rPr>
                <w:rFonts w:ascii="Times New Roman" w:hAnsi="Times New Roman" w:cs="Times New Roman"/>
                <w:noProof/>
              </w:rPr>
            </w:r>
            <w:r w:rsidRPr="00263AA5">
              <w:rPr>
                <w:rFonts w:ascii="Times New Roman" w:hAnsi="Times New Roman" w:cs="Times New Roman"/>
                <w:noProof/>
              </w:rPr>
              <w:fldChar w:fldCharType="separate"/>
            </w:r>
            <w:r w:rsidRPr="00263AA5">
              <w:rPr>
                <w:rFonts w:ascii="Times New Roman" w:hAnsi="Times New Roman" w:cs="Times New Roman"/>
                <w:noProof/>
              </w:rPr>
              <w:t>9</w:t>
            </w:r>
            <w:r w:rsidRPr="00263AA5">
              <w:rPr>
                <w:rFonts w:ascii="Times New Roman" w:hAnsi="Times New Roman" w:cs="Times New Roman"/>
                <w:noProof/>
              </w:rPr>
              <w:fldChar w:fldCharType="end"/>
            </w:r>
          </w:hyperlink>
        </w:p>
        <w:p w14:paraId="7D3553E8" w14:textId="125BEFC3" w:rsidR="00263AA5" w:rsidRPr="00263AA5" w:rsidRDefault="00263AA5">
          <w:pPr>
            <w:pStyle w:val="TOC1"/>
            <w:tabs>
              <w:tab w:val="right" w:leader="dot" w:pos="8296"/>
            </w:tabs>
            <w:rPr>
              <w:rFonts w:ascii="Times New Roman" w:hAnsi="Times New Roman" w:cs="Times New Roman"/>
              <w:noProof/>
            </w:rPr>
          </w:pPr>
          <w:hyperlink w:anchor="_Toc214302297" w:history="1">
            <w:r w:rsidRPr="00263AA5">
              <w:rPr>
                <w:rStyle w:val="afa"/>
                <w:rFonts w:ascii="Times New Roman" w:hAnsi="Times New Roman" w:cs="Times New Roman"/>
                <w:b/>
                <w:bCs/>
                <w:noProof/>
              </w:rPr>
              <w:t>References</w:t>
            </w:r>
            <w:r w:rsidRPr="00263AA5">
              <w:rPr>
                <w:rFonts w:ascii="Times New Roman" w:hAnsi="Times New Roman" w:cs="Times New Roman"/>
                <w:noProof/>
              </w:rPr>
              <w:tab/>
            </w:r>
            <w:r w:rsidRPr="00263AA5">
              <w:rPr>
                <w:rFonts w:ascii="Times New Roman" w:hAnsi="Times New Roman" w:cs="Times New Roman"/>
                <w:noProof/>
              </w:rPr>
              <w:fldChar w:fldCharType="begin"/>
            </w:r>
            <w:r w:rsidRPr="00263AA5">
              <w:rPr>
                <w:rFonts w:ascii="Times New Roman" w:hAnsi="Times New Roman" w:cs="Times New Roman"/>
                <w:noProof/>
              </w:rPr>
              <w:instrText xml:space="preserve"> PAGEREF _Toc214302297 \h </w:instrText>
            </w:r>
            <w:r w:rsidRPr="00263AA5">
              <w:rPr>
                <w:rFonts w:ascii="Times New Roman" w:hAnsi="Times New Roman" w:cs="Times New Roman"/>
                <w:noProof/>
              </w:rPr>
            </w:r>
            <w:r w:rsidRPr="00263AA5">
              <w:rPr>
                <w:rFonts w:ascii="Times New Roman" w:hAnsi="Times New Roman" w:cs="Times New Roman"/>
                <w:noProof/>
              </w:rPr>
              <w:fldChar w:fldCharType="separate"/>
            </w:r>
            <w:r w:rsidRPr="00263AA5">
              <w:rPr>
                <w:rFonts w:ascii="Times New Roman" w:hAnsi="Times New Roman" w:cs="Times New Roman"/>
                <w:noProof/>
              </w:rPr>
              <w:t>10</w:t>
            </w:r>
            <w:r w:rsidRPr="00263AA5">
              <w:rPr>
                <w:rFonts w:ascii="Times New Roman" w:hAnsi="Times New Roman" w:cs="Times New Roman"/>
                <w:noProof/>
              </w:rPr>
              <w:fldChar w:fldCharType="end"/>
            </w:r>
          </w:hyperlink>
        </w:p>
        <w:p w14:paraId="2B57DD5C" w14:textId="01E0D35C" w:rsidR="00FD764C" w:rsidRPr="00263AA5" w:rsidRDefault="00000000">
          <w:pPr>
            <w:rPr>
              <w:rFonts w:ascii="Times New Roman" w:hAnsi="Times New Roman" w:cs="Times New Roman"/>
            </w:rPr>
          </w:pPr>
          <w:r w:rsidRPr="00263AA5">
            <w:rPr>
              <w:rFonts w:ascii="Times New Roman" w:hAnsi="Times New Roman" w:cs="Times New Roman"/>
            </w:rPr>
            <w:fldChar w:fldCharType="end"/>
          </w:r>
        </w:p>
      </w:sdtContent>
    </w:sdt>
    <w:p w14:paraId="64D3DEEC" w14:textId="77777777" w:rsidR="00FD764C" w:rsidRPr="00263AA5" w:rsidRDefault="00FD764C">
      <w:pPr>
        <w:rPr>
          <w:rFonts w:ascii="Times New Roman" w:hAnsi="Times New Roman" w:cs="Times New Roman"/>
        </w:rPr>
      </w:pPr>
    </w:p>
    <w:p w14:paraId="2F1BEF08" w14:textId="77777777" w:rsidR="00FD764C" w:rsidRPr="00263AA5" w:rsidRDefault="00000000">
      <w:pPr>
        <w:rPr>
          <w:rFonts w:ascii="Times New Roman" w:hAnsi="Times New Roman" w:cs="Times New Roman"/>
          <w:b/>
          <w:bCs/>
          <w:sz w:val="28"/>
          <w:szCs w:val="32"/>
        </w:rPr>
      </w:pPr>
      <w:r w:rsidRPr="00263AA5">
        <w:rPr>
          <w:rFonts w:ascii="Times New Roman" w:hAnsi="Times New Roman" w:cs="Times New Roman"/>
          <w:b/>
          <w:bCs/>
          <w:sz w:val="28"/>
          <w:szCs w:val="32"/>
        </w:rPr>
        <w:br w:type="page"/>
      </w:r>
    </w:p>
    <w:p w14:paraId="5DADE3F1" w14:textId="7AE6AC9D" w:rsidR="00FD764C" w:rsidRPr="00263AA5" w:rsidRDefault="00000000" w:rsidP="00EC6637">
      <w:pPr>
        <w:pStyle w:val="af5"/>
        <w:numPr>
          <w:ilvl w:val="0"/>
          <w:numId w:val="5"/>
        </w:numPr>
        <w:jc w:val="both"/>
        <w:outlineLvl w:val="0"/>
        <w:rPr>
          <w:rFonts w:ascii="Times New Roman" w:hAnsi="Times New Roman" w:cs="Times New Roman"/>
          <w:b/>
          <w:bCs/>
          <w:sz w:val="28"/>
          <w:szCs w:val="32"/>
        </w:rPr>
      </w:pPr>
      <w:bookmarkStart w:id="8" w:name="_Toc214302284"/>
      <w:r w:rsidRPr="00263AA5">
        <w:rPr>
          <w:rFonts w:ascii="Times New Roman" w:hAnsi="Times New Roman" w:cs="Times New Roman"/>
          <w:b/>
          <w:bCs/>
          <w:sz w:val="28"/>
          <w:szCs w:val="32"/>
        </w:rPr>
        <w:lastRenderedPageBreak/>
        <w:t>Supplementary Methods</w:t>
      </w:r>
      <w:bookmarkEnd w:id="8"/>
    </w:p>
    <w:p w14:paraId="730E6CD0" w14:textId="4AF555E3" w:rsidR="00FD764C" w:rsidRPr="00263AA5" w:rsidRDefault="00E71F4A" w:rsidP="00E71F4A">
      <w:pPr>
        <w:jc w:val="both"/>
        <w:outlineLvl w:val="1"/>
        <w:rPr>
          <w:rFonts w:ascii="Times New Roman" w:hAnsi="Times New Roman" w:cs="Times New Roman"/>
          <w:b/>
          <w:bCs/>
          <w:sz w:val="24"/>
          <w:szCs w:val="28"/>
        </w:rPr>
      </w:pPr>
      <w:bookmarkStart w:id="9" w:name="_Toc214302285"/>
      <w:r w:rsidRPr="00263AA5">
        <w:rPr>
          <w:rFonts w:ascii="Times New Roman" w:hAnsi="Times New Roman" w:cs="Times New Roman"/>
          <w:b/>
          <w:bCs/>
          <w:sz w:val="24"/>
          <w:szCs w:val="28"/>
        </w:rPr>
        <w:t>A.1 Data augmentation</w:t>
      </w:r>
      <w:bookmarkEnd w:id="9"/>
    </w:p>
    <w:p w14:paraId="0B7166B8" w14:textId="77777777" w:rsidR="00FD764C" w:rsidRPr="00263AA5" w:rsidRDefault="00000000">
      <w:pPr>
        <w:jc w:val="both"/>
        <w:rPr>
          <w:rFonts w:ascii="Times New Roman" w:hAnsi="Times New Roman" w:cs="Times New Roman"/>
        </w:rPr>
      </w:pPr>
      <w:r w:rsidRPr="00263AA5">
        <w:rPr>
          <w:rFonts w:ascii="Times New Roman" w:hAnsi="Times New Roman" w:cs="Times New Roman"/>
        </w:rPr>
        <w:t>We employed a data augmentation strategy to improve model training. During training, both the pretraining reaction dataset and the metabolic reaction dataset were augmented by randomizing the initial atom ordering in SMILES strings. The corresponding aligned ReactSeq representations were then generated, yielding a 10-fold augmentation based on different atom index permutations. This procedure was designed to facilitate the learning of reactant–product transformations in ReactSeq.</w:t>
      </w:r>
    </w:p>
    <w:p w14:paraId="187E5DC3" w14:textId="395961B1" w:rsidR="00FD764C" w:rsidRPr="00263AA5" w:rsidRDefault="00000000">
      <w:pPr>
        <w:ind w:firstLine="420"/>
        <w:jc w:val="both"/>
        <w:rPr>
          <w:rFonts w:ascii="Times New Roman" w:hAnsi="Times New Roman" w:cs="Times New Roman"/>
        </w:rPr>
      </w:pPr>
      <w:r w:rsidRPr="00263AA5">
        <w:rPr>
          <w:rFonts w:ascii="Times New Roman" w:hAnsi="Times New Roman" w:cs="Times New Roman"/>
        </w:rPr>
        <w:t>At the inference stage, we adopted test-time augmentation (TTA). Specifically, the atom ordering of input SMILES was randomized to produce 10 augmented variants per reactant. Beam search, a heuristic search algorithm that retains the top-ranked candidates at each decoding step, was then applied. The beam width (b) controls the number of candidates preserved per step. For each augmented input, beam search generated 20 candidate products, ranked in descending order of their cumulative probabilities. The resulting ReactSeq predictions were converted into standardi</w:t>
      </w:r>
      <w:r w:rsidR="005E2B40">
        <w:rPr>
          <w:rFonts w:ascii="Times New Roman" w:hAnsi="Times New Roman" w:cs="Times New Roman" w:hint="eastAsia"/>
        </w:rPr>
        <w:t>z</w:t>
      </w:r>
      <w:r w:rsidRPr="00263AA5">
        <w:rPr>
          <w:rFonts w:ascii="Times New Roman" w:hAnsi="Times New Roman" w:cs="Times New Roman"/>
        </w:rPr>
        <w:t xml:space="preserve">ed metabolite SMILES, with invalid and duplicate strings removed. </w:t>
      </w:r>
      <w:r w:rsidR="00C13DAD">
        <w:rPr>
          <w:rFonts w:ascii="Times New Roman" w:hAnsi="Times New Roman" w:cs="Times New Roman"/>
        </w:rPr>
        <w:t>Figure</w:t>
      </w:r>
      <w:r w:rsidRPr="00263AA5">
        <w:rPr>
          <w:rFonts w:ascii="Times New Roman" w:hAnsi="Times New Roman" w:cs="Times New Roman"/>
        </w:rPr>
        <w:t xml:space="preserve"> S</w:t>
      </w:r>
      <w:r w:rsidR="00357FF1" w:rsidRPr="00263AA5">
        <w:rPr>
          <w:rFonts w:ascii="Times New Roman" w:hAnsi="Times New Roman" w:cs="Times New Roman"/>
        </w:rPr>
        <w:t>1</w:t>
      </w:r>
      <w:r w:rsidRPr="00263AA5">
        <w:rPr>
          <w:rFonts w:ascii="Times New Roman" w:hAnsi="Times New Roman" w:cs="Times New Roman"/>
        </w:rPr>
        <w:t xml:space="preserve"> illustrates the TTA procedure, using an example with t = 3 and b = 5.</w:t>
      </w:r>
    </w:p>
    <w:p w14:paraId="1F1B697C" w14:textId="47DD032E" w:rsidR="00FD764C" w:rsidRDefault="00000000" w:rsidP="00E13602">
      <w:pPr>
        <w:ind w:firstLine="227"/>
        <w:jc w:val="both"/>
        <w:rPr>
          <w:rFonts w:ascii="Times New Roman" w:hAnsi="Times New Roman" w:cs="Times New Roman"/>
        </w:rPr>
      </w:pPr>
      <w:r w:rsidRPr="00263AA5">
        <w:rPr>
          <w:rFonts w:ascii="Times New Roman" w:hAnsi="Times New Roman" w:cs="Times New Roman"/>
        </w:rPr>
        <w:t>Given 10 augmented inputs per reactant and a beam width of 20, a total of 200 candidate products were obtained. To score these candidates, we combined their beam-search ranking positions with their frequencies of occurrence across augmentations, as formalized in the following equation:</w:t>
      </w:r>
    </w:p>
    <w:p w14:paraId="24D974CE" w14:textId="33EE4637" w:rsidR="00E13602" w:rsidRPr="00E13602" w:rsidRDefault="00E13602" w:rsidP="00E13602">
      <w:pPr>
        <w:ind w:firstLine="227"/>
        <w:jc w:val="both"/>
        <w:rPr>
          <w:rFonts w:ascii="Times New Roman" w:hAnsi="Times New Roman" w:cs="Times New Roman"/>
        </w:rPr>
      </w:pPr>
      <m:oMathPara>
        <m:oMath>
          <m:r>
            <m:rPr>
              <m:sty m:val="p"/>
            </m:rPr>
            <w:rPr>
              <w:rFonts w:ascii="Cambria Math" w:hAnsi="Cambria Math" w:cs="Times New Roman" w:hint="eastAsia"/>
            </w:rPr>
            <m:t>Score</m:t>
          </m:r>
          <m:r>
            <m:rPr>
              <m:sty m:val="p"/>
            </m:rPr>
            <w:rPr>
              <w:rFonts w:ascii="Cambria Math" w:eastAsia="Cambria Math" w:hAnsi="Cambria Math" w:cs="Times New Roman"/>
            </w:rPr>
            <m:t>(</m:t>
          </m:r>
          <m:r>
            <w:rPr>
              <w:rFonts w:ascii="Cambria Math" w:hAnsi="Cambria Math" w:cs="Times New Roman"/>
            </w:rPr>
            <m:t>output)=</m:t>
          </m:r>
          <m:nary>
            <m:naryPr>
              <m:chr m:val="∑"/>
              <m:ctrlPr>
                <w:rPr>
                  <w:rFonts w:ascii="Cambria Math" w:eastAsia="Cambria Math" w:hAnsi="Cambria Math" w:cs="Times New Roman"/>
                </w:rPr>
              </m:ctrlPr>
            </m:naryPr>
            <m:sub>
              <m:r>
                <w:rPr>
                  <w:rFonts w:ascii="Cambria Math" w:hAnsi="Cambria Math" w:cs="Times New Roman"/>
                </w:rPr>
                <m:t>n=1</m:t>
              </m:r>
            </m:sub>
            <m:sup>
              <m:r>
                <w:rPr>
                  <w:rFonts w:ascii="Cambria Math" w:hAnsi="Cambria Math" w:cs="Times New Roman"/>
                </w:rPr>
                <m:t>t</m:t>
              </m:r>
            </m:sup>
            <m:e>
              <m:nary>
                <m:naryPr>
                  <m:chr m:val="∑"/>
                  <m:limLoc m:val="undOvr"/>
                  <m:ctrlPr>
                    <w:rPr>
                      <w:rFonts w:ascii="Cambria Math" w:eastAsia="Cambria Math" w:hAnsi="Cambria Math" w:cs="Times New Roman"/>
                      <w:i/>
                    </w:rPr>
                  </m:ctrlPr>
                </m:naryPr>
                <m:sub>
                  <m:r>
                    <w:rPr>
                      <w:rFonts w:ascii="Cambria Math" w:eastAsia="Cambria Math" w:hAnsi="Cambria Math" w:cs="Times New Roman"/>
                    </w:rPr>
                    <m:t>k</m:t>
                  </m:r>
                  <m:r>
                    <w:rPr>
                      <w:rFonts w:ascii="Cambria Math" w:hAnsi="Cambria Math" w:cs="Times New Roman"/>
                    </w:rPr>
                    <m:t>=1</m:t>
                  </m:r>
                </m:sub>
                <m:sup>
                  <m:r>
                    <w:rPr>
                      <w:rFonts w:ascii="Cambria Math" w:eastAsia="Cambria Math" w:hAnsi="Cambria Math" w:cs="Times New Roman"/>
                    </w:rPr>
                    <m:t>b</m:t>
                  </m:r>
                </m:sup>
                <m:e>
                  <m:f>
                    <m:fPr>
                      <m:ctrlPr>
                        <w:rPr>
                          <w:rFonts w:ascii="Cambria Math" w:eastAsia="Cambria Math" w:hAnsi="Cambria Math" w:cs="Times New Roman"/>
                          <w:i/>
                        </w:rPr>
                      </m:ctrlPr>
                    </m:fPr>
                    <m:num>
                      <m:r>
                        <w:rPr>
                          <w:rFonts w:ascii="Cambria Math" w:eastAsia="Cambria Math" w:hAnsi="Cambria Math" w:cs="Times New Roman"/>
                        </w:rPr>
                        <m:t>1</m:t>
                      </m:r>
                    </m:num>
                    <m:den>
                      <m:sSup>
                        <m:sSupPr>
                          <m:ctrlPr>
                            <w:rPr>
                              <w:rFonts w:ascii="Cambria Math" w:eastAsia="Cambria Math" w:hAnsi="Cambria Math" w:cs="Times New Roman"/>
                              <w:i/>
                            </w:rPr>
                          </m:ctrlPr>
                        </m:sSupPr>
                        <m:e>
                          <m:r>
                            <w:rPr>
                              <w:rFonts w:ascii="Cambria Math" w:eastAsia="Cambria Math" w:hAnsi="Cambria Math" w:cs="Times New Roman"/>
                            </w:rPr>
                            <m:t>k</m:t>
                          </m:r>
                        </m:e>
                        <m:sup>
                          <m:r>
                            <w:rPr>
                              <w:rFonts w:ascii="Cambria Math" w:eastAsia="Cambria Math" w:hAnsi="Cambria Math" w:cs="Times New Roman"/>
                            </w:rPr>
                            <m:t>2</m:t>
                          </m:r>
                        </m:sup>
                      </m:sSup>
                    </m:den>
                  </m:f>
                </m:e>
              </m:nary>
            </m:e>
          </m:nary>
        </m:oMath>
      </m:oMathPara>
    </w:p>
    <w:p w14:paraId="79AA6ABF" w14:textId="77777777" w:rsidR="00FD764C" w:rsidRPr="00263AA5" w:rsidRDefault="00000000">
      <w:pPr>
        <w:ind w:firstLine="227"/>
        <w:jc w:val="both"/>
        <w:rPr>
          <w:rFonts w:ascii="Times New Roman" w:hAnsi="Times New Roman" w:cs="Times New Roman"/>
        </w:rPr>
      </w:pPr>
      <w:r w:rsidRPr="00263AA5">
        <w:rPr>
          <w:rFonts w:ascii="Times New Roman" w:hAnsi="Times New Roman" w:cs="Times New Roman"/>
        </w:rPr>
        <w:t xml:space="preserve">In this framework, </w:t>
      </w:r>
      <w:r w:rsidRPr="00263AA5">
        <w:rPr>
          <w:rFonts w:ascii="Times New Roman" w:hAnsi="Times New Roman" w:cs="Times New Roman"/>
          <w:i/>
          <w:iCs/>
        </w:rPr>
        <w:t>t</w:t>
      </w:r>
      <w:r w:rsidRPr="00263AA5">
        <w:rPr>
          <w:rFonts w:ascii="Times New Roman" w:hAnsi="Times New Roman" w:cs="Times New Roman"/>
        </w:rPr>
        <w:t xml:space="preserve"> denotes the augmentation factor and </w:t>
      </w:r>
      <w:r w:rsidRPr="00263AA5">
        <w:rPr>
          <w:rFonts w:ascii="Times New Roman" w:hAnsi="Times New Roman" w:cs="Times New Roman"/>
          <w:i/>
          <w:iCs/>
        </w:rPr>
        <w:t>b</w:t>
      </w:r>
      <w:r w:rsidRPr="00263AA5">
        <w:rPr>
          <w:rFonts w:ascii="Times New Roman" w:hAnsi="Times New Roman" w:cs="Times New Roman"/>
        </w:rPr>
        <w:t xml:space="preserve"> denotes the beam width. Predictions ranked higher in beam search received larger weights, while candidates appearing more frequently accumulated higher scores. The final predictions were then selected based on the overall scores in descending order.</w:t>
      </w:r>
    </w:p>
    <w:p w14:paraId="19CE2424" w14:textId="3AA7AFE8" w:rsidR="00FD764C" w:rsidRPr="00263AA5" w:rsidRDefault="00E71F4A" w:rsidP="00E71F4A">
      <w:pPr>
        <w:jc w:val="both"/>
        <w:outlineLvl w:val="1"/>
        <w:rPr>
          <w:rFonts w:ascii="Times New Roman" w:hAnsi="Times New Roman" w:cs="Times New Roman"/>
          <w:b/>
          <w:bCs/>
          <w:sz w:val="24"/>
          <w:szCs w:val="28"/>
        </w:rPr>
      </w:pPr>
      <w:bookmarkStart w:id="10" w:name="_Toc214302286"/>
      <w:r w:rsidRPr="00263AA5">
        <w:rPr>
          <w:rFonts w:ascii="Times New Roman" w:hAnsi="Times New Roman" w:cs="Times New Roman"/>
          <w:b/>
          <w:bCs/>
          <w:sz w:val="24"/>
          <w:szCs w:val="28"/>
        </w:rPr>
        <w:t>A.2 Model Architecture and Training Pipeline</w:t>
      </w:r>
      <w:bookmarkEnd w:id="10"/>
    </w:p>
    <w:p w14:paraId="144D2B35" w14:textId="77777777" w:rsidR="00FD764C" w:rsidRPr="00263AA5" w:rsidRDefault="00000000">
      <w:pPr>
        <w:jc w:val="both"/>
        <w:rPr>
          <w:rFonts w:ascii="Times New Roman" w:hAnsi="Times New Roman" w:cs="Times New Roman"/>
        </w:rPr>
      </w:pPr>
      <w:r w:rsidRPr="00263AA5">
        <w:rPr>
          <w:rFonts w:ascii="Times New Roman" w:hAnsi="Times New Roman" w:cs="Times New Roman"/>
        </w:rPr>
        <w:t xml:space="preserve">We constructed MetaReact based on a sequence-to-sequence Transformer architecture. The model is composed of an attention-based Transformer backbone comprising an encoder and a decoder. The encoder employs self-attention to process the input sequence and generate context-aware representations, with each layer capturing progressively abstract features of the </w:t>
      </w:r>
      <w:r w:rsidRPr="00263AA5">
        <w:rPr>
          <w:rFonts w:ascii="Times New Roman" w:hAnsi="Times New Roman" w:cs="Times New Roman"/>
        </w:rPr>
        <w:lastRenderedPageBreak/>
        <w:t>molecular input. The decoder follows an autoregressive strategy, where each token is generated sequentially based on self-attention over the previously generated tokens. Additionally, cross-attention mechanisms allow the decoder to dynamically integrate contextual information from the encoder, enabling token-by-token generation of the metabolic output sequence.</w:t>
      </w:r>
    </w:p>
    <w:p w14:paraId="6F7F5795" w14:textId="77777777" w:rsidR="00FD764C" w:rsidRPr="00263AA5" w:rsidRDefault="00000000">
      <w:pPr>
        <w:ind w:firstLine="420"/>
        <w:jc w:val="both"/>
        <w:rPr>
          <w:rFonts w:ascii="Times New Roman" w:hAnsi="Times New Roman" w:cs="Times New Roman"/>
        </w:rPr>
      </w:pPr>
      <w:r w:rsidRPr="00263AA5">
        <w:rPr>
          <w:rFonts w:ascii="Times New Roman" w:hAnsi="Times New Roman" w:cs="Times New Roman"/>
        </w:rPr>
        <w:t>In our implementation, we adopted the OpenNMT-py framework (version 3.2.0)</w:t>
      </w:r>
      <w:r w:rsidRPr="00263AA5">
        <w:rPr>
          <w:rFonts w:ascii="Times New Roman" w:hAnsi="Times New Roman" w:cs="Times New Roman"/>
          <w:sz w:val="24"/>
        </w:rPr>
        <w:fldChar w:fldCharType="begin"/>
      </w:r>
      <w:r w:rsidRPr="00263AA5">
        <w:rPr>
          <w:rFonts w:ascii="Times New Roman" w:hAnsi="Times New Roman" w:cs="Times New Roman"/>
          <w:sz w:val="24"/>
        </w:rPr>
        <w:instrText xml:space="preserve"> ADDIN EN.CITE &lt;EndNote&gt;&lt;Cite&gt;&lt;Author&gt;Klein&lt;/Author&gt;&lt;Year&gt;2017&lt;/Year&gt;&lt;RecNum&gt;227&lt;/RecNum&gt;&lt;DisplayText&gt;&lt;style face="superscript"&gt;1&lt;/style&gt;&lt;/DisplayText&gt;&lt;record&gt;&lt;rec-number&gt;227&lt;/rec-number&gt;&lt;foreign-keys&gt;&lt;key app="EN" db-id="da0f9w5wjp2srbe5wfwpxsvo55st592serax" timestamp="1740025986"&gt;227&lt;/key&gt;&lt;/foreign-keys&gt;&lt;ref-type name="Journal Article"&gt;17&lt;/ref-type&gt;&lt;contributors&gt;&lt;authors&gt;&lt;author&gt;Klein, Guillaume&lt;/author&gt;&lt;author&gt;Kim, Yoon&lt;/author&gt;&lt;author&gt;Deng, Yuntian&lt;/author&gt;&lt;author&gt;Senellart, Jean&lt;/author&gt;&lt;author&gt;Rush, Alexander M&lt;/author&gt;&lt;/authors&gt;&lt;/contributors&gt;&lt;titles&gt;&lt;title&gt;Opennmt: Open-source toolkit for neural machine translation&lt;/title&gt;&lt;secondary-title&gt;arXiv preprint arXiv:1701.02810&lt;/secondary-title&gt;&lt;/titles&gt;&lt;periodical&gt;&lt;full-title&gt;arXiv preprint arXiv:1701.02810&lt;/full-title&gt;&lt;/periodical&gt;&lt;dates&gt;&lt;year&gt;2017&lt;/year&gt;&lt;/dates&gt;&lt;urls&gt;&lt;/urls&gt;&lt;/record&gt;&lt;/Cite&gt;&lt;/EndNote&gt;</w:instrText>
      </w:r>
      <w:r w:rsidRPr="00263AA5">
        <w:rPr>
          <w:rFonts w:ascii="Times New Roman" w:hAnsi="Times New Roman" w:cs="Times New Roman"/>
          <w:sz w:val="24"/>
        </w:rPr>
        <w:fldChar w:fldCharType="separate"/>
      </w:r>
      <w:r w:rsidRPr="00263AA5">
        <w:rPr>
          <w:rFonts w:ascii="Times New Roman" w:hAnsi="Times New Roman" w:cs="Times New Roman"/>
          <w:sz w:val="24"/>
          <w:vertAlign w:val="superscript"/>
        </w:rPr>
        <w:t>1</w:t>
      </w:r>
      <w:r w:rsidRPr="00263AA5">
        <w:rPr>
          <w:rFonts w:ascii="Times New Roman" w:hAnsi="Times New Roman" w:cs="Times New Roman"/>
          <w:sz w:val="24"/>
        </w:rPr>
        <w:fldChar w:fldCharType="end"/>
      </w:r>
      <w:r w:rsidRPr="00263AA5">
        <w:rPr>
          <w:rFonts w:ascii="Times New Roman" w:hAnsi="Times New Roman" w:cs="Times New Roman"/>
        </w:rPr>
        <w:t xml:space="preserve"> with a character-level tokenizer, which encodes each character in a SMILES string as its corresponding ASCII value. Enzyme name abbreviations were also incorporated into the vocabulary. For entries lacking enzyme information, which represent the majority of the dataset, we inserted a special placeholder token ("&lt;blank&gt;") at the enzyme position. These padding tokens were ignored during model training. The final vocabulary size was 366. The tokenizer splits input strings into discrete tokens, which are then mapped to unique numerical indices through the vocabulary. These indices are passed into the Transformer model and embedded into high-dimensional vectors for further processing. The model architecture was configured with a word vector size (word_vec_size) and hidden size (hidden_size) of 256, six layers in both the encoder and decoder, eight attention heads, and a feed-forward dimension (transformer_ff) of 2048. Optimization was performed using the Adam optimizer with an initial learning rate of 1, coupled with the Noam learning rate scheduler (β₁ = 0.9, β₂ = 0.998, warm-up steps = 8000). During training, we set the batch size to 64 and applied a 30% dropout rate to mitigate overfitting. The batch type was set to sents, meaning batches were organized by sentence count. For model inference, beam search was employed with a configurable beam width (beam_size) and the number of returned hypotheses (n_best) to retrieve the top-ranked candidate sequences.</w:t>
      </w:r>
    </w:p>
    <w:p w14:paraId="034FEC57" w14:textId="77777777" w:rsidR="00FD764C" w:rsidRPr="00263AA5" w:rsidRDefault="00000000">
      <w:pPr>
        <w:ind w:firstLine="420"/>
        <w:jc w:val="both"/>
        <w:rPr>
          <w:rFonts w:ascii="Times New Roman" w:hAnsi="Times New Roman" w:cs="Times New Roman"/>
        </w:rPr>
      </w:pPr>
      <w:r w:rsidRPr="00263AA5">
        <w:rPr>
          <w:rFonts w:ascii="Times New Roman" w:hAnsi="Times New Roman" w:cs="Times New Roman"/>
        </w:rPr>
        <w:t>As to the training pipeline of MetaReact, we first pretrained the model on a reverse reaction dataset represented in ReactSeq format, derived from general organic chemical reactions. The learned weights were then transferred as initialization for the downstream metabolite prediction model. This pre-trained model was subsequently fine-tuned on a curated dataset of drug metabolism reactions, also represented using the ReactSeq scheme, resulting in the final MetaReact model. During pre-training, the model was trained for 500,000 epochs with model checkpoints saved every 1,000 epochs. Fine-tuning was conducted over 10,000 epochs, with model parameters saved every 100 epochs and evaluation on the validation set performed every 200 epochs. The final model weights used for external testing were selected based on the best validation performance.</w:t>
      </w:r>
    </w:p>
    <w:p w14:paraId="2C2A66CD" w14:textId="77777777" w:rsidR="00FD764C" w:rsidRPr="00263AA5" w:rsidRDefault="00000000">
      <w:pPr>
        <w:ind w:firstLine="360"/>
        <w:jc w:val="both"/>
        <w:rPr>
          <w:rFonts w:ascii="Times New Roman" w:hAnsi="Times New Roman" w:cs="Times New Roman"/>
        </w:rPr>
      </w:pPr>
      <w:r w:rsidRPr="00263AA5">
        <w:rPr>
          <w:rFonts w:ascii="Times New Roman" w:hAnsi="Times New Roman" w:cs="Times New Roman"/>
        </w:rPr>
        <w:t xml:space="preserve">Task-specific prompts were applied to guide the model in handling distinct prediction scenarios. The enzyme-agnostic prompt enables metabolite prediction without providing any enzyme information. The enzyme-completion setting allows the model to simultaneously predict both the enzyme and the corresponding metabolite. The enzyme-conditional prompt is </w:t>
      </w:r>
      <w:r w:rsidRPr="00263AA5">
        <w:rPr>
          <w:rFonts w:ascii="Times New Roman" w:hAnsi="Times New Roman" w:cs="Times New Roman"/>
        </w:rPr>
        <w:lastRenderedPageBreak/>
        <w:t>used when the enzyme is known and the task is to predict the associated metabolite. This unified prompting strategy allows a single model architecture to flexibly address multiple tasks without requiring task-specific retraining, significantly enhancing both the versatility and practical usability of the model.</w:t>
      </w:r>
    </w:p>
    <w:p w14:paraId="71B68BDB" w14:textId="1FF8DACE" w:rsidR="00FD764C" w:rsidRPr="00263AA5" w:rsidRDefault="00E71F4A" w:rsidP="00E71F4A">
      <w:pPr>
        <w:jc w:val="both"/>
        <w:outlineLvl w:val="1"/>
        <w:rPr>
          <w:rFonts w:ascii="Times New Roman" w:hAnsi="Times New Roman" w:cs="Times New Roman"/>
          <w:b/>
          <w:bCs/>
          <w:sz w:val="24"/>
          <w:szCs w:val="28"/>
        </w:rPr>
      </w:pPr>
      <w:bookmarkStart w:id="11" w:name="_Toc214302287"/>
      <w:r w:rsidRPr="00263AA5">
        <w:rPr>
          <w:rFonts w:ascii="Times New Roman" w:hAnsi="Times New Roman" w:cs="Times New Roman"/>
          <w:b/>
          <w:bCs/>
          <w:sz w:val="24"/>
          <w:szCs w:val="28"/>
        </w:rPr>
        <w:t>A.3 Baseline methods and evaluation protocols</w:t>
      </w:r>
      <w:bookmarkEnd w:id="11"/>
    </w:p>
    <w:p w14:paraId="0320490C" w14:textId="77777777" w:rsidR="00FD764C" w:rsidRPr="00263AA5" w:rsidRDefault="00000000" w:rsidP="007753AC">
      <w:pPr>
        <w:jc w:val="both"/>
        <w:rPr>
          <w:rFonts w:ascii="Times New Roman" w:hAnsi="Times New Roman" w:cs="Times New Roman"/>
        </w:rPr>
      </w:pPr>
      <w:r w:rsidRPr="00263AA5">
        <w:rPr>
          <w:rFonts w:ascii="Times New Roman" w:hAnsi="Times New Roman" w:cs="Times New Roman"/>
        </w:rPr>
        <w:t>Rule-based approaches – SyGMa</w:t>
      </w:r>
      <w:r w:rsidRPr="00263AA5">
        <w:rPr>
          <w:rFonts w:ascii="Times New Roman" w:hAnsi="Times New Roman" w:cs="Times New Roman"/>
          <w:sz w:val="24"/>
        </w:rPr>
        <w:fldChar w:fldCharType="begin"/>
      </w:r>
      <w:r w:rsidRPr="00263AA5">
        <w:rPr>
          <w:rFonts w:ascii="Times New Roman" w:hAnsi="Times New Roman" w:cs="Times New Roman"/>
          <w:sz w:val="24"/>
        </w:rPr>
        <w:instrText xml:space="preserve"> ADDIN EN.CITE &lt;EndNote&gt;&lt;Cite&gt;&lt;Author&gt;Ridder&lt;/Author&gt;&lt;Year&gt;2008&lt;/Year&gt;&lt;RecNum&gt;249&lt;/RecNum&gt;&lt;DisplayText&gt;&lt;style face="superscript"&gt;2&lt;/style&gt;&lt;/DisplayText&gt;&lt;record&gt;&lt;rec-number&gt;249&lt;/rec-number&gt;&lt;foreign-keys&gt;&lt;key app="EN" db-id="55rr0vs959svwqedva75p25mpvxse595f2vd" timestamp="1739955317"&gt;249&lt;/key&gt;&lt;/foreign-keys&gt;&lt;ref-type name="Journal Article"&gt;17&lt;/ref-type&gt;&lt;contributors&gt;&lt;authors&gt;&lt;author&gt;Ridder, Lars&lt;/author&gt;&lt;author&gt;Wagener, Markus&lt;/author&gt;&lt;/authors&gt;&lt;/contributors&gt;&lt;titles&gt;&lt;title&gt;SyGMa: combining expert knowledge and empirical scoring in the prediction of metabolites&lt;/title&gt;&lt;secondary-title&gt;ChemMedChem: Chemistry Enabling Drug Discovery&lt;/secondary-title&gt;&lt;/titles&gt;&lt;periodical&gt;&lt;full-title&gt;ChemMedChem: Chemistry Enabling Drug Discovery&lt;/full-title&gt;&lt;/periodical&gt;&lt;pages&gt;821-832&lt;/pages&gt;&lt;volume&gt;3&lt;/volume&gt;&lt;number&gt;5&lt;/number&gt;&lt;dates&gt;&lt;year&gt;2008&lt;/year&gt;&lt;/dates&gt;&lt;isbn&gt;1860-7179&lt;/isbn&gt;&lt;urls&gt;&lt;/urls&gt;&lt;/record&gt;&lt;/Cite&gt;&lt;/EndNote&gt;</w:instrText>
      </w:r>
      <w:r w:rsidRPr="00263AA5">
        <w:rPr>
          <w:rFonts w:ascii="Times New Roman" w:hAnsi="Times New Roman" w:cs="Times New Roman"/>
          <w:sz w:val="24"/>
        </w:rPr>
        <w:fldChar w:fldCharType="separate"/>
      </w:r>
      <w:r w:rsidRPr="00263AA5">
        <w:rPr>
          <w:rFonts w:ascii="Times New Roman" w:hAnsi="Times New Roman" w:cs="Times New Roman"/>
          <w:sz w:val="24"/>
          <w:vertAlign w:val="superscript"/>
        </w:rPr>
        <w:t>2</w:t>
      </w:r>
      <w:r w:rsidRPr="00263AA5">
        <w:rPr>
          <w:rFonts w:ascii="Times New Roman" w:hAnsi="Times New Roman" w:cs="Times New Roman"/>
          <w:sz w:val="24"/>
        </w:rPr>
        <w:fldChar w:fldCharType="end"/>
      </w:r>
      <w:r w:rsidRPr="00263AA5">
        <w:rPr>
          <w:rFonts w:ascii="Times New Roman" w:hAnsi="Times New Roman" w:cs="Times New Roman"/>
        </w:rPr>
        <w:t xml:space="preserve"> applies Phase I and II transformation rules curated from 6,187 reactions in the MDL Metabolite Database and ranks metabolites by empirical likelihood scores. GLORYx</w:t>
      </w:r>
      <w:r w:rsidRPr="00263AA5">
        <w:rPr>
          <w:rFonts w:ascii="Times New Roman" w:hAnsi="Times New Roman" w:cs="Times New Roman"/>
          <w:sz w:val="24"/>
        </w:rPr>
        <w:fldChar w:fldCharType="begin"/>
      </w:r>
      <w:r w:rsidRPr="00263AA5">
        <w:rPr>
          <w:rFonts w:ascii="Times New Roman" w:hAnsi="Times New Roman" w:cs="Times New Roman"/>
          <w:sz w:val="24"/>
        </w:rPr>
        <w:instrText xml:space="preserve"> ADDIN EN.CITE &lt;EndNote&gt;&lt;Cite&gt;&lt;Author&gt;de Bruyn Kops&lt;/Author&gt;&lt;Year&gt;2020&lt;/Year&gt;&lt;RecNum&gt;181&lt;/RecNum&gt;&lt;DisplayText&gt;&lt;style face="superscript"&gt;3&lt;/style&gt;&lt;/DisplayText&gt;&lt;record&gt;&lt;rec-number&gt;181&lt;/rec-number&gt;&lt;foreign-keys&gt;&lt;key app="EN" db-id="55rr0vs959svwqedva75p25mpvxse595f2vd" timestamp="1739777850"&gt;181&lt;/key&gt;&lt;/foreign-keys&gt;&lt;ref-type name="Journal Article"&gt;17&lt;/ref-type&gt;&lt;contributors&gt;&lt;authors&gt;&lt;author&gt;de Bruyn Kops, Christina&lt;/author&gt;&lt;author&gt;Šícho, Martin&lt;/author&gt;&lt;author&gt;Mazzolari, Angelica&lt;/author&gt;&lt;author&gt;Kirchmair, Johannes&lt;/author&gt;&lt;/authors&gt;&lt;/contributors&gt;&lt;titles&gt;&lt;title&gt;GLORYx: prediction of the metabolites resulting from phase 1 and phase 2 biotransformations of xenobiotics&lt;/title&gt;&lt;secondary-title&gt;Chemical research in toxicology&lt;/secondary-title&gt;&lt;/titles&gt;&lt;periodical&gt;&lt;full-title&gt;Chemical Research in Toxicology&lt;/full-title&gt;&lt;/periodical&gt;&lt;pages&gt;286-299&lt;/pages&gt;&lt;volume&gt;34&lt;/volume&gt;&lt;number&gt;2&lt;/number&gt;&lt;dates&gt;&lt;year&gt;2020&lt;/year&gt;&lt;/dates&gt;&lt;isbn&gt;0893-228X&lt;/isbn&gt;&lt;urls&gt;&lt;/urls&gt;&lt;/record&gt;&lt;/Cite&gt;&lt;/EndNote&gt;</w:instrText>
      </w:r>
      <w:r w:rsidRPr="00263AA5">
        <w:rPr>
          <w:rFonts w:ascii="Times New Roman" w:hAnsi="Times New Roman" w:cs="Times New Roman"/>
          <w:sz w:val="24"/>
        </w:rPr>
        <w:fldChar w:fldCharType="separate"/>
      </w:r>
      <w:r w:rsidRPr="00263AA5">
        <w:rPr>
          <w:rFonts w:ascii="Times New Roman" w:hAnsi="Times New Roman" w:cs="Times New Roman"/>
          <w:sz w:val="24"/>
          <w:vertAlign w:val="superscript"/>
        </w:rPr>
        <w:t>3</w:t>
      </w:r>
      <w:r w:rsidRPr="00263AA5">
        <w:rPr>
          <w:rFonts w:ascii="Times New Roman" w:hAnsi="Times New Roman" w:cs="Times New Roman"/>
          <w:sz w:val="24"/>
        </w:rPr>
        <w:fldChar w:fldCharType="end"/>
      </w:r>
      <w:r w:rsidRPr="00263AA5">
        <w:rPr>
          <w:rFonts w:ascii="Times New Roman" w:hAnsi="Times New Roman" w:cs="Times New Roman"/>
        </w:rPr>
        <w:t xml:space="preserve"> integrates the random forest-based FAME3</w:t>
      </w:r>
      <w:r w:rsidRPr="00263AA5">
        <w:rPr>
          <w:rFonts w:ascii="Times New Roman" w:hAnsi="Times New Roman" w:cs="Times New Roman"/>
          <w:sz w:val="24"/>
        </w:rPr>
        <w:fldChar w:fldCharType="begin"/>
      </w:r>
      <w:r w:rsidRPr="00263AA5">
        <w:rPr>
          <w:rFonts w:ascii="Times New Roman" w:hAnsi="Times New Roman" w:cs="Times New Roman"/>
          <w:sz w:val="24"/>
        </w:rPr>
        <w:instrText xml:space="preserve"> ADDIN EN.CITE &lt;EndNote&gt;&lt;Cite&gt;&lt;Author&gt;Šícho&lt;/Author&gt;&lt;Year&gt;2019&lt;/Year&gt;&lt;RecNum&gt;243&lt;/RecNum&gt;&lt;DisplayText&gt;&lt;style face="superscript"&gt;4&lt;/style&gt;&lt;/DisplayText&gt;&lt;record&gt;&lt;rec-number&gt;243&lt;/rec-number&gt;&lt;foreign-keys&gt;&lt;key app="EN" db-id="55rr0vs959svwqedva75p25mpvxse595f2vd" timestamp="1739954978"&gt;243&lt;/key&gt;&lt;/foreign-keys&gt;&lt;ref-type name="Journal Article"&gt;17&lt;/ref-type&gt;&lt;contributors&gt;&lt;authors&gt;&lt;author&gt;Šícho, Martin&lt;/author&gt;&lt;author&gt;Stork, Conrad&lt;/author&gt;&lt;author&gt;Mazzolari, Angelica&lt;/author&gt;&lt;author&gt;de Bruyn Kops, Christina&lt;/author&gt;&lt;author&gt;Pedretti, Alessandro&lt;/author&gt;&lt;author&gt;Testa, Bernard&lt;/author&gt;&lt;author&gt;Vistoli, Giulio&lt;/author&gt;&lt;author&gt;Svozil, Daniel&lt;/author&gt;&lt;author&gt;Kirchmair, Johannes&lt;/author&gt;&lt;/authors&gt;&lt;/contributors&gt;&lt;titles&gt;&lt;title&gt;FAME 3: predicting the sites of metabolism in synthetic compounds and natural products for phase 1 and phase 2 metabolic enzymes&lt;/title&gt;&lt;secondary-title&gt;Journal of chemical information and modeling&lt;/secondary-title&gt;&lt;/titles&gt;&lt;periodical&gt;&lt;full-title&gt;Journal of Chemical Information and Modeling&lt;/full-title&gt;&lt;abbr-1&gt;J Chem Inf Model&lt;/abbr-1&gt;&lt;/periodical&gt;&lt;pages&gt;3400-3412&lt;/pages&gt;&lt;volume&gt;59&lt;/volume&gt;&lt;number&gt;8&lt;/number&gt;&lt;dates&gt;&lt;year&gt;2019&lt;/year&gt;&lt;/dates&gt;&lt;isbn&gt;1549-9596&lt;/isbn&gt;&lt;urls&gt;&lt;/urls&gt;&lt;/record&gt;&lt;/Cite&gt;&lt;/EndNote&gt;</w:instrText>
      </w:r>
      <w:r w:rsidRPr="00263AA5">
        <w:rPr>
          <w:rFonts w:ascii="Times New Roman" w:hAnsi="Times New Roman" w:cs="Times New Roman"/>
          <w:sz w:val="24"/>
        </w:rPr>
        <w:fldChar w:fldCharType="separate"/>
      </w:r>
      <w:r w:rsidRPr="00263AA5">
        <w:rPr>
          <w:rFonts w:ascii="Times New Roman" w:hAnsi="Times New Roman" w:cs="Times New Roman"/>
          <w:sz w:val="24"/>
          <w:vertAlign w:val="superscript"/>
        </w:rPr>
        <w:t>4</w:t>
      </w:r>
      <w:r w:rsidRPr="00263AA5">
        <w:rPr>
          <w:rFonts w:ascii="Times New Roman" w:hAnsi="Times New Roman" w:cs="Times New Roman"/>
          <w:sz w:val="24"/>
        </w:rPr>
        <w:fldChar w:fldCharType="end"/>
      </w:r>
      <w:r w:rsidRPr="00263AA5">
        <w:rPr>
          <w:rFonts w:ascii="Times New Roman" w:hAnsi="Times New Roman" w:cs="Times New Roman"/>
        </w:rPr>
        <w:t xml:space="preserve"> model for SOM prediction with rule-based metabolite generation. BioTransformer</w:t>
      </w:r>
      <w:r w:rsidRPr="00263AA5">
        <w:rPr>
          <w:rFonts w:ascii="Times New Roman" w:hAnsi="Times New Roman" w:cs="Times New Roman"/>
          <w:sz w:val="24"/>
        </w:rPr>
        <w:fldChar w:fldCharType="begin"/>
      </w:r>
      <w:r w:rsidRPr="00263AA5">
        <w:rPr>
          <w:rFonts w:ascii="Times New Roman" w:hAnsi="Times New Roman" w:cs="Times New Roman"/>
          <w:sz w:val="24"/>
        </w:rPr>
        <w:instrText xml:space="preserve"> ADDIN EN.CITE &lt;EndNote&gt;&lt;Cite&gt;&lt;Author&gt;Djoumbou-Feunang&lt;/Author&gt;&lt;Year&gt;2019&lt;/Year&gt;&lt;RecNum&gt;136&lt;/RecNum&gt;&lt;DisplayText&gt;&lt;style face="superscript"&gt;5&lt;/style&gt;&lt;/DisplayText&gt;&lt;record&gt;&lt;rec-number&gt;136&lt;/rec-number&gt;&lt;foreign-keys&gt;&lt;key app="EN" db-id="da0f9w5wjp2srbe5wfwpxsvo55st592serax" timestamp="1740025979"&gt;136&lt;/key&gt;&lt;/foreign-keys&gt;&lt;ref-type name="Journal Article"&gt;17&lt;/ref-type&gt;&lt;contributors&gt;&lt;authors&gt;&lt;author&gt;Djoumbou-Feunang, Yannick&lt;/author&gt;&lt;author&gt;Fiamoncini, Jarlei&lt;/author&gt;&lt;author&gt;Gil-de-la-Fuente, Alberto&lt;/author&gt;&lt;author&gt;Greiner, Russell&lt;/author&gt;&lt;author&gt;Manach, Claudine&lt;/author&gt;&lt;author&gt;Wishart, David S&lt;/author&gt;&lt;/authors&gt;&lt;/contributors&gt;&lt;titles&gt;&lt;title&gt;BioTransformer: a comprehensive computational tool for small molecule metabolism prediction and metabolite identification&lt;/title&gt;&lt;secondary-title&gt;Journal of Cheminformatics&lt;/secondary-title&gt;&lt;/titles&gt;&lt;periodical&gt;&lt;full-title&gt;Journal of Cheminformatics&lt;/full-title&gt;&lt;/periodical&gt;&lt;pages&gt;1-25&lt;/pages&gt;&lt;volume&gt;11&lt;/volume&gt;&lt;dates&gt;&lt;year&gt;2019&lt;/year&gt;&lt;/dates&gt;&lt;urls&gt;&lt;/urls&gt;&lt;/record&gt;&lt;/Cite&gt;&lt;/EndNote&gt;</w:instrText>
      </w:r>
      <w:r w:rsidRPr="00263AA5">
        <w:rPr>
          <w:rFonts w:ascii="Times New Roman" w:hAnsi="Times New Roman" w:cs="Times New Roman"/>
          <w:sz w:val="24"/>
        </w:rPr>
        <w:fldChar w:fldCharType="separate"/>
      </w:r>
      <w:r w:rsidRPr="00263AA5">
        <w:rPr>
          <w:rFonts w:ascii="Times New Roman" w:hAnsi="Times New Roman" w:cs="Times New Roman"/>
          <w:sz w:val="24"/>
          <w:vertAlign w:val="superscript"/>
        </w:rPr>
        <w:t>5</w:t>
      </w:r>
      <w:r w:rsidRPr="00263AA5">
        <w:rPr>
          <w:rFonts w:ascii="Times New Roman" w:hAnsi="Times New Roman" w:cs="Times New Roman"/>
          <w:sz w:val="24"/>
        </w:rPr>
        <w:fldChar w:fldCharType="end"/>
      </w:r>
      <w:r w:rsidRPr="00263AA5">
        <w:rPr>
          <w:rFonts w:ascii="Times New Roman" w:hAnsi="Times New Roman" w:cs="Times New Roman"/>
        </w:rPr>
        <w:t xml:space="preserve"> combines expert-derived rules with machine learning components (e.g., random forests) for small-molecule metabolism prediction.</w:t>
      </w:r>
    </w:p>
    <w:p w14:paraId="089F07D6" w14:textId="77777777" w:rsidR="00FD764C" w:rsidRPr="00263AA5" w:rsidRDefault="00000000">
      <w:pPr>
        <w:ind w:firstLine="420"/>
        <w:jc w:val="both"/>
        <w:rPr>
          <w:rFonts w:ascii="Times New Roman" w:hAnsi="Times New Roman" w:cs="Times New Roman"/>
        </w:rPr>
      </w:pPr>
      <w:r w:rsidRPr="00263AA5">
        <w:rPr>
          <w:rFonts w:ascii="Times New Roman" w:hAnsi="Times New Roman" w:cs="Times New Roman"/>
        </w:rPr>
        <w:t>Transformer-based approaches – MetaTrans</w:t>
      </w:r>
      <w:r w:rsidRPr="00263AA5">
        <w:rPr>
          <w:rFonts w:ascii="Times New Roman" w:hAnsi="Times New Roman" w:cs="Times New Roman"/>
          <w:sz w:val="24"/>
        </w:rPr>
        <w:fldChar w:fldCharType="begin"/>
      </w:r>
      <w:r w:rsidRPr="00263AA5">
        <w:rPr>
          <w:rFonts w:ascii="Times New Roman" w:hAnsi="Times New Roman" w:cs="Times New Roman"/>
          <w:sz w:val="24"/>
        </w:rPr>
        <w:instrText xml:space="preserve"> ADDIN EN.CITE &lt;EndNote&gt;&lt;Cite&gt;&lt;Author&gt;Litsa&lt;/Author&gt;&lt;Year&gt;2020&lt;/Year&gt;&lt;RecNum&gt;185&lt;/RecNum&gt;&lt;DisplayText&gt;&lt;style face="superscript"&gt;6&lt;/style&gt;&lt;/DisplayText&gt;&lt;record&gt;&lt;rec-number&gt;185&lt;/rec-number&gt;&lt;foreign-keys&gt;&lt;key app="EN" db-id="55rr0vs959svwqedva75p25mpvxse595f2vd" timestamp="1739778140"&gt;185&lt;/key&gt;&lt;/foreign-keys&gt;&lt;ref-type name="Journal Article"&gt;17&lt;/ref-type&gt;&lt;contributors&gt;&lt;authors&gt;&lt;author&gt;Litsa, Eleni E&lt;/author&gt;&lt;author&gt;Das, Payel&lt;/author&gt;&lt;author&gt;Kavraki, Lydia E&lt;/author&gt;&lt;/authors&gt;&lt;/contributors&gt;&lt;titles&gt;&lt;title&gt;Prediction of drug metabolites using neural machine translation&lt;/title&gt;&lt;secondary-title&gt;Chemical science&lt;/secondary-title&gt;&lt;/titles&gt;&lt;periodical&gt;&lt;full-title&gt;Chemical Science&lt;/full-title&gt;&lt;abbr-1&gt;Chem Sci&lt;/abbr-1&gt;&lt;/periodical&gt;&lt;pages&gt;12777-12788&lt;/pages&gt;&lt;volume&gt;11&lt;/volume&gt;&lt;number&gt;47&lt;/number&gt;&lt;dates&gt;&lt;year&gt;2020&lt;/year&gt;&lt;/dates&gt;&lt;urls&gt;&lt;/urls&gt;&lt;/record&gt;&lt;/Cite&gt;&lt;/EndNote&gt;</w:instrText>
      </w:r>
      <w:r w:rsidRPr="00263AA5">
        <w:rPr>
          <w:rFonts w:ascii="Times New Roman" w:hAnsi="Times New Roman" w:cs="Times New Roman"/>
          <w:sz w:val="24"/>
        </w:rPr>
        <w:fldChar w:fldCharType="separate"/>
      </w:r>
      <w:r w:rsidRPr="00263AA5">
        <w:rPr>
          <w:rFonts w:ascii="Times New Roman" w:hAnsi="Times New Roman" w:cs="Times New Roman"/>
          <w:sz w:val="24"/>
          <w:vertAlign w:val="superscript"/>
        </w:rPr>
        <w:t>6</w:t>
      </w:r>
      <w:r w:rsidRPr="00263AA5">
        <w:rPr>
          <w:rFonts w:ascii="Times New Roman" w:hAnsi="Times New Roman" w:cs="Times New Roman"/>
          <w:sz w:val="24"/>
        </w:rPr>
        <w:fldChar w:fldCharType="end"/>
      </w:r>
      <w:r w:rsidRPr="00263AA5">
        <w:rPr>
          <w:rFonts w:ascii="Times New Roman" w:hAnsi="Times New Roman" w:cs="Times New Roman"/>
        </w:rPr>
        <w:t xml:space="preserve"> and MetaPredictor</w:t>
      </w:r>
      <w:r w:rsidRPr="00263AA5">
        <w:rPr>
          <w:rFonts w:ascii="Times New Roman" w:hAnsi="Times New Roman" w:cs="Times New Roman"/>
          <w:sz w:val="24"/>
        </w:rPr>
        <w:fldChar w:fldCharType="begin"/>
      </w:r>
      <w:r w:rsidRPr="00263AA5">
        <w:rPr>
          <w:rFonts w:ascii="Times New Roman" w:hAnsi="Times New Roman" w:cs="Times New Roman"/>
          <w:sz w:val="24"/>
        </w:rPr>
        <w:instrText xml:space="preserve"> ADDIN EN.CITE &lt;EndNote&gt;&lt;Cite&gt;&lt;Author&gt;Zhu&lt;/Author&gt;&lt;Year&gt;2024&lt;/Year&gt;&lt;RecNum&gt;190&lt;/RecNum&gt;&lt;DisplayText&gt;&lt;style face="superscript"&gt;7&lt;/style&gt;&lt;/DisplayText&gt;&lt;record&gt;&lt;rec-number&gt;190&lt;/rec-number&gt;&lt;foreign-keys&gt;&lt;key app="EN" db-id="da0f9w5wjp2srbe5wfwpxsvo55st592serax" timestamp="1740025984"&gt;190&lt;/key&gt;&lt;/foreign-keys&gt;&lt;ref-type name="Journal Article"&gt;17&lt;/ref-type&gt;&lt;contributors&gt;&lt;authors&gt;&lt;author&gt;Zhu, Keyun&lt;/author&gt;&lt;author&gt;Huang, Mengting&lt;/author&gt;&lt;author&gt;Wang, Yimeng&lt;/author&gt;&lt;author&gt;Gu, Yaxin&lt;/author&gt;&lt;author&gt;Li, Weihua&lt;/author&gt;&lt;author&gt;Liu, Guixia&lt;/author&gt;&lt;author&gt;Tang, Yun&lt;/author&gt;&lt;/authors&gt;&lt;/contributors&gt;&lt;titles&gt;&lt;title&gt;MetaPredictor: in silico prediction of drug metabolites based on deep language models with prompt engineering&lt;/title&gt;&lt;secondary-title&gt;Briefings in Bioinformatics&lt;/secondary-title&gt;&lt;/titles&gt;&lt;periodical&gt;&lt;full-title&gt;Briefings in Bioinformatics&lt;/full-title&gt;&lt;/periodical&gt;&lt;pages&gt;bbae374&lt;/pages&gt;&lt;volume&gt;25&lt;/volume&gt;&lt;number&gt;5&lt;/number&gt;&lt;dates&gt;&lt;year&gt;2024&lt;/year&gt;&lt;/dates&gt;&lt;isbn&gt;1467-5463&lt;/isbn&gt;&lt;urls&gt;&lt;/urls&gt;&lt;/record&gt;&lt;/Cite&gt;&lt;/EndNote&gt;</w:instrText>
      </w:r>
      <w:r w:rsidRPr="00263AA5">
        <w:rPr>
          <w:rFonts w:ascii="Times New Roman" w:hAnsi="Times New Roman" w:cs="Times New Roman"/>
          <w:sz w:val="24"/>
        </w:rPr>
        <w:fldChar w:fldCharType="separate"/>
      </w:r>
      <w:r w:rsidRPr="00263AA5">
        <w:rPr>
          <w:rFonts w:ascii="Times New Roman" w:hAnsi="Times New Roman" w:cs="Times New Roman"/>
          <w:sz w:val="24"/>
          <w:vertAlign w:val="superscript"/>
        </w:rPr>
        <w:t>7</w:t>
      </w:r>
      <w:r w:rsidRPr="00263AA5">
        <w:rPr>
          <w:rFonts w:ascii="Times New Roman" w:hAnsi="Times New Roman" w:cs="Times New Roman"/>
          <w:sz w:val="24"/>
        </w:rPr>
        <w:fldChar w:fldCharType="end"/>
      </w:r>
      <w:r w:rsidRPr="00263AA5">
        <w:rPr>
          <w:rFonts w:ascii="Times New Roman" w:hAnsi="Times New Roman" w:cs="Times New Roman"/>
        </w:rPr>
        <w:t xml:space="preserve"> adopt Transformer architectures and employ beam search to generate and rank candidate metabolites.</w:t>
      </w:r>
    </w:p>
    <w:p w14:paraId="57FC523E" w14:textId="77777777" w:rsidR="00FD764C" w:rsidRPr="00263AA5" w:rsidRDefault="00000000">
      <w:pPr>
        <w:ind w:firstLine="420"/>
        <w:jc w:val="both"/>
        <w:rPr>
          <w:rFonts w:ascii="Times New Roman" w:hAnsi="Times New Roman" w:cs="Times New Roman"/>
        </w:rPr>
      </w:pPr>
      <w:r w:rsidRPr="00263AA5">
        <w:rPr>
          <w:rFonts w:ascii="Times New Roman" w:hAnsi="Times New Roman" w:cs="Times New Roman"/>
        </w:rPr>
        <w:t>For ranking-enabled models (GLORYx, SyGMa, MetaReact, MetaPredictor, MetaTrans), predictions were sorted by model scores, and evaluation was performed at multiple cutoffs (Top-5, Top-10, Top-13, and Top-20). At each cutoff, accuracy was assessed using three reaction coverage metrics: (i) at least one correct metabolite recovered; (ii) at least half of the reference metabolites recovered; and (iii) all reference metabolites recovered. In addition, recall and precision were computed at each cutoff to evaluate retrieval and ranking quality.</w:t>
      </w:r>
    </w:p>
    <w:p w14:paraId="05EBF985" w14:textId="77777777" w:rsidR="00FD764C" w:rsidRPr="00263AA5" w:rsidRDefault="00000000">
      <w:pPr>
        <w:ind w:firstLine="420"/>
        <w:jc w:val="both"/>
        <w:rPr>
          <w:rFonts w:ascii="Times New Roman" w:hAnsi="Times New Roman" w:cs="Times New Roman"/>
        </w:rPr>
      </w:pPr>
      <w:r w:rsidRPr="00263AA5">
        <w:rPr>
          <w:rFonts w:ascii="Times New Roman" w:hAnsi="Times New Roman" w:cs="Times New Roman"/>
        </w:rPr>
        <w:t>For BioTransformer, which lacks a native ranking mechanism, predictions are returned as an unranked set, and the number of predicted metabolites varies by input. Across the 65 substrates in M-data, the average output size is 13 candidates. To enable fair comparison with ranked models, BioTransformer’s accuracy and recall were calculated using this average output size, aligning it with the Top-13 evaluation point.</w:t>
      </w:r>
    </w:p>
    <w:p w14:paraId="48D0282D" w14:textId="77777777" w:rsidR="00FD764C" w:rsidRPr="00263AA5" w:rsidRDefault="00000000">
      <w:pPr>
        <w:ind w:firstLine="420"/>
        <w:jc w:val="both"/>
        <w:rPr>
          <w:rFonts w:ascii="Times New Roman" w:hAnsi="Times New Roman" w:cs="Times New Roman"/>
        </w:rPr>
      </w:pPr>
      <w:r w:rsidRPr="00263AA5">
        <w:rPr>
          <w:rFonts w:ascii="Times New Roman" w:hAnsi="Times New Roman" w:cs="Times New Roman"/>
        </w:rPr>
        <w:t>In addition to M-data benchmarking, we conducted an external evaluation using a benchmark dataset (L-data) specifically curated to assess model performance in ranking major metabolites. Each entry in L-data contains a single, manually annotated major metabolite for a given drug. Model performance was evaluated using recall at Top-1, Top-3, and Top-5 thresholds. Since BioTransformer does not generate ranked outputs and GLORYx was temporarily inaccessible, the comparison was restricted to MetaReact, MetaPredictor3 MetaTrans, and SyGMa.</w:t>
      </w:r>
    </w:p>
    <w:p w14:paraId="74A21D69" w14:textId="77777777" w:rsidR="00FD764C" w:rsidRPr="00263AA5" w:rsidRDefault="00000000">
      <w:pPr>
        <w:widowControl/>
        <w:rPr>
          <w:rFonts w:ascii="Times New Roman" w:hAnsi="Times New Roman" w:cs="Times New Roman"/>
        </w:rPr>
      </w:pPr>
      <w:r w:rsidRPr="00263AA5">
        <w:rPr>
          <w:rFonts w:ascii="Times New Roman" w:hAnsi="Times New Roman" w:cs="Times New Roman"/>
        </w:rPr>
        <w:br w:type="page"/>
      </w:r>
    </w:p>
    <w:p w14:paraId="0A4F47E6" w14:textId="42339F49" w:rsidR="00FD764C" w:rsidRPr="00263AA5" w:rsidRDefault="00000000" w:rsidP="00EC6637">
      <w:pPr>
        <w:pStyle w:val="af5"/>
        <w:numPr>
          <w:ilvl w:val="0"/>
          <w:numId w:val="5"/>
        </w:numPr>
        <w:jc w:val="both"/>
        <w:outlineLvl w:val="0"/>
        <w:rPr>
          <w:rFonts w:ascii="Times New Roman" w:hAnsi="Times New Roman" w:cs="Times New Roman"/>
          <w:b/>
          <w:bCs/>
          <w:sz w:val="28"/>
          <w:szCs w:val="32"/>
        </w:rPr>
      </w:pPr>
      <w:bookmarkStart w:id="12" w:name="_Toc214302288"/>
      <w:r w:rsidRPr="00263AA5">
        <w:rPr>
          <w:rFonts w:ascii="Times New Roman" w:hAnsi="Times New Roman" w:cs="Times New Roman"/>
          <w:b/>
          <w:bCs/>
          <w:sz w:val="28"/>
          <w:szCs w:val="32"/>
        </w:rPr>
        <w:lastRenderedPageBreak/>
        <w:t>Supplementary Results</w:t>
      </w:r>
      <w:bookmarkEnd w:id="12"/>
    </w:p>
    <w:p w14:paraId="1E85F4AF" w14:textId="68539A27" w:rsidR="00FD764C" w:rsidRPr="00263AA5" w:rsidRDefault="00E71F4A" w:rsidP="00E71F4A">
      <w:pPr>
        <w:jc w:val="both"/>
        <w:outlineLvl w:val="1"/>
        <w:rPr>
          <w:rFonts w:ascii="Times New Roman" w:hAnsi="Times New Roman" w:cs="Times New Roman"/>
          <w:b/>
          <w:bCs/>
          <w:sz w:val="24"/>
          <w:szCs w:val="28"/>
        </w:rPr>
      </w:pPr>
      <w:bookmarkStart w:id="13" w:name="_Toc214302289"/>
      <w:r w:rsidRPr="00263AA5">
        <w:rPr>
          <w:rFonts w:ascii="Times New Roman" w:hAnsi="Times New Roman" w:cs="Times New Roman"/>
          <w:b/>
          <w:bCs/>
          <w:sz w:val="24"/>
          <w:szCs w:val="28"/>
        </w:rPr>
        <w:t>B.1</w:t>
      </w:r>
      <w:r w:rsidR="003839E3" w:rsidRPr="00263AA5">
        <w:rPr>
          <w:rFonts w:ascii="Times New Roman" w:hAnsi="Times New Roman" w:cs="Times New Roman"/>
          <w:b/>
          <w:bCs/>
          <w:sz w:val="24"/>
          <w:szCs w:val="28"/>
        </w:rPr>
        <w:t xml:space="preserve"> </w:t>
      </w:r>
      <w:r w:rsidRPr="00263AA5">
        <w:rPr>
          <w:rFonts w:ascii="Times New Roman" w:hAnsi="Times New Roman" w:cs="Times New Roman"/>
          <w:b/>
          <w:bCs/>
          <w:sz w:val="24"/>
          <w:szCs w:val="28"/>
        </w:rPr>
        <w:t>SOM cases</w:t>
      </w:r>
      <w:bookmarkEnd w:id="13"/>
    </w:p>
    <w:p w14:paraId="1408A4E9" w14:textId="77777777" w:rsidR="00FD764C" w:rsidRPr="00263AA5" w:rsidRDefault="00000000">
      <w:pPr>
        <w:jc w:val="both"/>
        <w:rPr>
          <w:rFonts w:ascii="Times New Roman" w:hAnsi="Times New Roman" w:cs="Times New Roman"/>
        </w:rPr>
      </w:pPr>
      <w:r w:rsidRPr="00263AA5">
        <w:rPr>
          <w:rFonts w:ascii="Times New Roman" w:hAnsi="Times New Roman" w:cs="Times New Roman"/>
        </w:rPr>
        <w:t>TIQ-15, a CXCR4 antagonist, exhibited poor metabolic stability in mouse liver microsomes (</w:t>
      </w:r>
      <w:r w:rsidRPr="00263AA5">
        <w:rPr>
          <w:rFonts w:ascii="Times New Roman" w:hAnsi="Times New Roman" w:cs="Times New Roman"/>
          <w:sz w:val="24"/>
        </w:rPr>
        <w:t>MLM Cl</w:t>
      </w:r>
      <w:r w:rsidRPr="00263AA5">
        <w:rPr>
          <w:rFonts w:ascii="Times New Roman" w:hAnsi="Times New Roman" w:cs="Times New Roman"/>
          <w:sz w:val="24"/>
          <w:vertAlign w:val="subscript"/>
        </w:rPr>
        <w:t>int</w:t>
      </w:r>
      <w:r w:rsidRPr="00263AA5">
        <w:rPr>
          <w:rFonts w:ascii="Times New Roman" w:hAnsi="Times New Roman" w:cs="Times New Roman"/>
          <w:sz w:val="24"/>
        </w:rPr>
        <w:t xml:space="preserve"> </w:t>
      </w:r>
      <w:r w:rsidRPr="00263AA5">
        <w:rPr>
          <w:rFonts w:ascii="Times New Roman" w:hAnsi="Times New Roman" w:cs="Times New Roman"/>
        </w:rPr>
        <w:t>= 15%). LC–MS/MS analysis revealed rapid oxidation on the 5,6,7,8-tetrahydroquinoline (THQ) ring.</w:t>
      </w:r>
      <w:r w:rsidRPr="00263AA5">
        <w:rPr>
          <w:rFonts w:ascii="Times New Roman" w:hAnsi="Times New Roman" w:cs="Times New Roman"/>
          <w:sz w:val="24"/>
        </w:rPr>
        <w:fldChar w:fldCharType="begin"/>
      </w:r>
      <w:r w:rsidRPr="00263AA5">
        <w:rPr>
          <w:rFonts w:ascii="Times New Roman" w:hAnsi="Times New Roman" w:cs="Times New Roman"/>
          <w:sz w:val="24"/>
        </w:rPr>
        <w:instrText xml:space="preserve"> ADDIN EN.CITE &lt;EndNote&gt;&lt;Cite&gt;&lt;Author&gt;Wilson&lt;/Author&gt;&lt;Year&gt;2018&lt;/Year&gt;&lt;RecNum&gt;510&lt;/RecNum&gt;&lt;DisplayText&gt;&lt;style face="superscript"&gt;8&lt;/style&gt;&lt;/DisplayText&gt;&lt;record&gt;&lt;rec-number&gt;510&lt;/rec-number&gt;&lt;foreign-keys&gt;&lt;key app="EN" db-id="da0f9w5wjp2srbe5wfwpxsvo55st592serax" timestamp="1741355490"&gt;510&lt;/key&gt;&lt;/foreign-keys&gt;&lt;ref-type name="Journal Article"&gt;17&lt;/ref-type&gt;&lt;contributors&gt;&lt;authors&gt;&lt;author&gt;Wilson, Robert J.&lt;/author&gt;&lt;author&gt;Jecs, Edgars&lt;/author&gt;&lt;author&gt;Miller, Eric J.&lt;/author&gt;&lt;author&gt;Nguyen, Huy H.&lt;/author&gt;&lt;author&gt;Tahirovic, Yesim A.&lt;/author&gt;&lt;author&gt;Truax, Valarie M.&lt;/author&gt;&lt;author&gt;Kim, Michelle B.&lt;/author&gt;&lt;author&gt;Kuo, Katie M.&lt;/author&gt;&lt;author&gt;Wang, Tao&lt;/author&gt;&lt;author&gt;Sum, Chi Shing&lt;/author&gt;&lt;author&gt;Cvijic, Mary E.&lt;/author&gt;&lt;author&gt;Paiva, Anthony A.&lt;/author&gt;&lt;author&gt;Schroeder, Gretchen M.&lt;/author&gt;&lt;author&gt;Wilson, Lawrence J.&lt;/author&gt;&lt;author&gt;Liotta, Dennis C.&lt;/author&gt;&lt;/authors&gt;&lt;/contributors&gt;&lt;titles&gt;&lt;title&gt;Synthesis and SAR of 1,2,3,4-Tetrahydroisoquinoline-Based CXCR4 Antagonists&lt;/title&gt;&lt;secondary-title&gt;ACS Medicinal Chemistry Letters&lt;/secondary-title&gt;&lt;/titles&gt;&lt;periodical&gt;&lt;full-title&gt;ACS Medicinal Chemistry Letters&lt;/full-title&gt;&lt;/periodical&gt;&lt;pages&gt;17-22&lt;/pages&gt;&lt;volume&gt;9&lt;/volume&gt;&lt;number&gt;1&lt;/number&gt;&lt;dates&gt;&lt;year&gt;2018&lt;/year&gt;&lt;pub-dates&gt;&lt;date&gt;2018/01/11&lt;/date&gt;&lt;/pub-dates&gt;&lt;/dates&gt;&lt;publisher&gt;American Chemical Society&lt;/publisher&gt;&lt;urls&gt;&lt;related-urls&gt;&lt;url&gt;https://doi.org/10.1021/acsmedchemlett.7b00381&lt;/url&gt;&lt;/related-urls&gt;&lt;/urls&gt;&lt;electronic-resource-num&gt;10.1021/acsmedchemlett.7b00381&lt;/electronic-resource-num&gt;&lt;/record&gt;&lt;/Cite&gt;&lt;/EndNote&gt;</w:instrText>
      </w:r>
      <w:r w:rsidRPr="00263AA5">
        <w:rPr>
          <w:rFonts w:ascii="Times New Roman" w:hAnsi="Times New Roman" w:cs="Times New Roman"/>
          <w:sz w:val="24"/>
        </w:rPr>
        <w:fldChar w:fldCharType="separate"/>
      </w:r>
      <w:r w:rsidRPr="00263AA5">
        <w:rPr>
          <w:rFonts w:ascii="Times New Roman" w:hAnsi="Times New Roman" w:cs="Times New Roman"/>
          <w:sz w:val="24"/>
          <w:vertAlign w:val="superscript"/>
        </w:rPr>
        <w:t>8</w:t>
      </w:r>
      <w:r w:rsidRPr="00263AA5">
        <w:rPr>
          <w:rFonts w:ascii="Times New Roman" w:hAnsi="Times New Roman" w:cs="Times New Roman"/>
          <w:sz w:val="24"/>
        </w:rPr>
        <w:fldChar w:fldCharType="end"/>
      </w:r>
      <w:r w:rsidRPr="00263AA5">
        <w:rPr>
          <w:rFonts w:ascii="Times New Roman" w:hAnsi="Times New Roman" w:cs="Times New Roman"/>
        </w:rPr>
        <w:t xml:space="preserve"> MetaReact accurately predicted THQ hydroxylation consistent with experiment and further suggested potential oxidative ring opening on the 1,2,3,4-tetrahydroisoquinoline (THIQ) moiety. Introduction of an oxygen atom into THQ (Cmpd 8) improved stability (</w:t>
      </w:r>
      <w:r w:rsidRPr="00263AA5">
        <w:rPr>
          <w:rFonts w:ascii="Times New Roman" w:hAnsi="Times New Roman" w:cs="Times New Roman"/>
          <w:sz w:val="24"/>
        </w:rPr>
        <w:t>MLM Cl</w:t>
      </w:r>
      <w:r w:rsidRPr="00263AA5">
        <w:rPr>
          <w:rFonts w:ascii="Times New Roman" w:hAnsi="Times New Roman" w:cs="Times New Roman"/>
          <w:sz w:val="24"/>
          <w:vertAlign w:val="subscript"/>
        </w:rPr>
        <w:t>int</w:t>
      </w:r>
      <w:r w:rsidRPr="00263AA5">
        <w:rPr>
          <w:rFonts w:ascii="Times New Roman" w:hAnsi="Times New Roman" w:cs="Times New Roman"/>
        </w:rPr>
        <w:t xml:space="preserve"> = 39%) but shifted metabolism to THIQ, forming oxidation/dehydrogenation and N-dealkylation metabolites, both correctly captured by the model. Methyl substitution (Cmpd 13) reduced stability (</w:t>
      </w:r>
      <w:r w:rsidRPr="00263AA5">
        <w:rPr>
          <w:rFonts w:ascii="Times New Roman" w:hAnsi="Times New Roman" w:cs="Times New Roman"/>
          <w:sz w:val="24"/>
        </w:rPr>
        <w:t>MLM Cl</w:t>
      </w:r>
      <w:r w:rsidRPr="00263AA5">
        <w:rPr>
          <w:rFonts w:ascii="Times New Roman" w:hAnsi="Times New Roman" w:cs="Times New Roman"/>
          <w:sz w:val="24"/>
          <w:vertAlign w:val="subscript"/>
        </w:rPr>
        <w:t>int</w:t>
      </w:r>
      <w:r w:rsidRPr="00263AA5">
        <w:rPr>
          <w:rFonts w:ascii="Times New Roman" w:hAnsi="Times New Roman" w:cs="Times New Roman"/>
        </w:rPr>
        <w:t xml:space="preserve"> = 2%) due to newly exposed THQ and side-chain oxidation sites, whereas THQ ring opening (Cmpd 16) enhanced stability (</w:t>
      </w:r>
      <w:r w:rsidRPr="00263AA5">
        <w:rPr>
          <w:rFonts w:ascii="Times New Roman" w:hAnsi="Times New Roman" w:cs="Times New Roman"/>
          <w:sz w:val="24"/>
        </w:rPr>
        <w:t>MLM Cl</w:t>
      </w:r>
      <w:r w:rsidRPr="00263AA5">
        <w:rPr>
          <w:rFonts w:ascii="Times New Roman" w:hAnsi="Times New Roman" w:cs="Times New Roman"/>
          <w:sz w:val="24"/>
          <w:vertAlign w:val="subscript"/>
        </w:rPr>
        <w:t>int</w:t>
      </w:r>
      <w:r w:rsidRPr="00263AA5">
        <w:rPr>
          <w:rFonts w:ascii="Times New Roman" w:hAnsi="Times New Roman" w:cs="Times New Roman"/>
        </w:rPr>
        <w:t xml:space="preserve"> = 79%) by eliminating all THQ liabilities, leaving only THIQ oxidation predicted.</w:t>
      </w:r>
    </w:p>
    <w:p w14:paraId="2AAB2F20" w14:textId="77777777" w:rsidR="00FD764C" w:rsidRPr="00263AA5" w:rsidRDefault="00000000">
      <w:pPr>
        <w:ind w:firstLine="420"/>
        <w:jc w:val="both"/>
        <w:rPr>
          <w:rFonts w:ascii="Times New Roman" w:hAnsi="Times New Roman" w:cs="Times New Roman"/>
        </w:rPr>
      </w:pPr>
      <w:r w:rsidRPr="00263AA5">
        <w:rPr>
          <w:rFonts w:ascii="Times New Roman" w:hAnsi="Times New Roman" w:cs="Times New Roman"/>
        </w:rPr>
        <w:t>Cmpd1 (MDM2), as an MDM2 inhibitor, showed high clearance in human liver microsomes (18.7 mL/min/kg).</w:t>
      </w:r>
      <w:r w:rsidRPr="00263AA5">
        <w:rPr>
          <w:rFonts w:ascii="Times New Roman" w:hAnsi="Times New Roman" w:cs="Times New Roman"/>
        </w:rPr>
        <w:fldChar w:fldCharType="begin"/>
      </w:r>
      <w:r w:rsidRPr="00263AA5">
        <w:rPr>
          <w:rFonts w:ascii="Times New Roman" w:hAnsi="Times New Roman" w:cs="Times New Roman"/>
        </w:rPr>
        <w:instrText xml:space="preserve"> ADDIN EN.CITE &lt;EndNote&gt;&lt;Cite&gt;&lt;Author&gt;Ding&lt;/Author&gt;&lt;Year&gt;2013&lt;/Year&gt;&lt;RecNum&gt;511&lt;/RecNum&gt;&lt;DisplayText&gt;&lt;style face="superscript"&gt;9&lt;/style&gt;&lt;/DisplayText&gt;&lt;record&gt;&lt;rec-number&gt;511&lt;/rec-number&gt;&lt;foreign-keys&gt;&lt;key app="EN" db-id="da0f9w5wjp2srbe5wfwpxsvo55st592serax" timestamp="1741355752"&gt;511&lt;/key&gt;&lt;/foreign-keys&gt;&lt;ref-type name="Journal Article"&gt;17&lt;/ref-type&gt;&lt;contributors&gt;&lt;authors&gt;&lt;author&gt;Ding, Qingjie&lt;/author&gt;&lt;author&gt;Zhang, Zhuming&lt;/author&gt;&lt;author&gt;Liu, Jin-Jun&lt;/author&gt;&lt;author&gt;Jiang, Nan&lt;/author&gt;&lt;author&gt;Zhang, Jing&lt;/author&gt;&lt;author&gt;Ross, Tina M.&lt;/author&gt;&lt;author&gt;Chu, Xin-Jie&lt;/author&gt;&lt;author&gt;Bartkovitz, David&lt;/author&gt;&lt;author&gt;Podlaski, Frank&lt;/author&gt;&lt;author&gt;Janson, Cheryl&lt;/author&gt;&lt;author&gt;Tovar, Christian&lt;/author&gt;&lt;author&gt;Filipovic, Zoran M.&lt;/author&gt;&lt;author&gt;Higgins, Brian&lt;/author&gt;&lt;author&gt;Glenn, Kelli&lt;/author&gt;&lt;author&gt;Packman, Kathryn&lt;/author&gt;&lt;author&gt;Vassilev, Lyubomir T.&lt;/author&gt;&lt;author&gt;Graves, Bradford&lt;/author&gt;&lt;/authors&gt;&lt;/contributors&gt;&lt;titles&gt;&lt;title&gt;Discovery of RG7388, a Potent and Selective p53–MDM2 Inhibitor in Clinical Development&lt;/title&gt;&lt;secondary-title&gt;Journal of Medicinal Chemistry&lt;/secondary-title&gt;&lt;/titles&gt;&lt;periodical&gt;&lt;full-title&gt;Journal of Medicinal Chemistry&lt;/full-title&gt;&lt;/periodical&gt;&lt;pages&gt;5979-5983&lt;/pages&gt;&lt;volume&gt;56&lt;/volume&gt;&lt;number&gt;14&lt;/number&gt;&lt;dates&gt;&lt;year&gt;2013&lt;/year&gt;&lt;pub-dates&gt;&lt;date&gt;2013/07/25&lt;/date&gt;&lt;/pub-dates&gt;&lt;/dates&gt;&lt;publisher&gt;American Chemical Society&lt;/publisher&gt;&lt;isbn&gt;0022-2623&lt;/isbn&gt;&lt;urls&gt;&lt;related-urls&gt;&lt;url&gt;https://doi.org/10.1021/jm400487c&lt;/url&gt;&lt;/related-urls&gt;&lt;/urls&gt;&lt;electronic-resource-num&gt;10.1021/jm400487c&lt;/electronic-resource-num&gt;&lt;/record&gt;&lt;/Cite&gt;&lt;/EndNote&gt;</w:instrText>
      </w:r>
      <w:r w:rsidRPr="00263AA5">
        <w:rPr>
          <w:rFonts w:ascii="Times New Roman" w:hAnsi="Times New Roman" w:cs="Times New Roman"/>
        </w:rPr>
        <w:fldChar w:fldCharType="separate"/>
      </w:r>
      <w:r w:rsidRPr="00263AA5">
        <w:rPr>
          <w:rFonts w:ascii="Times New Roman" w:hAnsi="Times New Roman" w:cs="Times New Roman"/>
          <w:vertAlign w:val="superscript"/>
        </w:rPr>
        <w:t>9</w:t>
      </w:r>
      <w:r w:rsidRPr="00263AA5">
        <w:rPr>
          <w:rFonts w:ascii="Times New Roman" w:hAnsi="Times New Roman" w:cs="Times New Roman"/>
        </w:rPr>
        <w:fldChar w:fldCharType="end"/>
      </w:r>
      <w:r w:rsidRPr="00263AA5">
        <w:rPr>
          <w:rFonts w:ascii="Times New Roman" w:hAnsi="Times New Roman" w:cs="Times New Roman"/>
        </w:rPr>
        <w:t xml:space="preserve"> The model predicted oxidation on the diol hydroxyl groups and N-dealkylation on the side chain, consistent with experimental confirmation that the diol side chain was a major metabolic site. Substituting the diol with a terephthalic acid moiety yielded Cmpd6, reducing clearance to 4.9 mL/min/kg, with the model predicting effective blocking of the side-chain reactive sites.</w:t>
      </w:r>
    </w:p>
    <w:p w14:paraId="043BA61C" w14:textId="77777777" w:rsidR="00FD764C" w:rsidRPr="00263AA5" w:rsidRDefault="00000000">
      <w:pPr>
        <w:ind w:firstLine="420"/>
        <w:jc w:val="both"/>
        <w:rPr>
          <w:rFonts w:ascii="Times New Roman" w:hAnsi="Times New Roman" w:cs="Times New Roman"/>
        </w:rPr>
      </w:pPr>
      <w:r w:rsidRPr="00263AA5">
        <w:rPr>
          <w:rFonts w:ascii="Times New Roman" w:hAnsi="Times New Roman" w:cs="Times New Roman"/>
        </w:rPr>
        <w:t>Poor oral bioavailability has been attributed to rapid hepatic microsomal clearance. Cmpd1 (CXCR4) showed high intrinsic clearance in rat liver microsomes (1567 mL/min/kg), with the THQ moiety primarily responsible.</w:t>
      </w:r>
      <w:r w:rsidRPr="00263AA5">
        <w:rPr>
          <w:rFonts w:ascii="Times New Roman" w:hAnsi="Times New Roman" w:cs="Times New Roman"/>
        </w:rPr>
        <w:fldChar w:fldCharType="begin">
          <w:fldData xml:space="preserve">PEVuZE5vdGU+PENpdGU+PEF1dGhvcj5MaTwvQXV0aG9yPjxZZWFyPjIwMjA8L1llYXI+PFJlY051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</w:fldData>
        </w:fldChar>
      </w:r>
      <w:r w:rsidRPr="00263AA5">
        <w:rPr>
          <w:rFonts w:ascii="Times New Roman" w:hAnsi="Times New Roman" w:cs="Times New Roman"/>
        </w:rPr>
        <w:instrText xml:space="preserve"> ADDIN EN.CITE </w:instrText>
      </w:r>
      <w:r w:rsidRPr="00263AA5">
        <w:rPr>
          <w:rFonts w:ascii="Times New Roman" w:hAnsi="Times New Roman" w:cs="Times New Roman"/>
        </w:rPr>
        <w:fldChar w:fldCharType="begin">
          <w:fldData xml:space="preserve">PEVuZE5vdGU+PENpdGU+PEF1dGhvcj5MaTwvQXV0aG9yPjxZZWFyPjIwMjA8L1llYXI+PFJlY051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</w:fldData>
        </w:fldChar>
      </w:r>
      <w:r w:rsidRPr="00263AA5">
        <w:rPr>
          <w:rFonts w:ascii="Times New Roman" w:hAnsi="Times New Roman" w:cs="Times New Roman"/>
        </w:rPr>
        <w:instrText xml:space="preserve"> ADDIN EN.CITE.DATA </w:instrText>
      </w:r>
      <w:r w:rsidRPr="00263AA5">
        <w:rPr>
          <w:rFonts w:ascii="Times New Roman" w:hAnsi="Times New Roman" w:cs="Times New Roman"/>
        </w:rPr>
      </w:r>
      <w:r w:rsidRPr="00263AA5">
        <w:rPr>
          <w:rFonts w:ascii="Times New Roman" w:hAnsi="Times New Roman" w:cs="Times New Roman"/>
        </w:rPr>
        <w:fldChar w:fldCharType="end"/>
      </w:r>
      <w:r w:rsidRPr="00263AA5">
        <w:rPr>
          <w:rFonts w:ascii="Times New Roman" w:hAnsi="Times New Roman" w:cs="Times New Roman"/>
        </w:rPr>
      </w:r>
      <w:r w:rsidRPr="00263AA5">
        <w:rPr>
          <w:rFonts w:ascii="Times New Roman" w:hAnsi="Times New Roman" w:cs="Times New Roman"/>
        </w:rPr>
        <w:fldChar w:fldCharType="separate"/>
      </w:r>
      <w:r w:rsidRPr="00263AA5">
        <w:rPr>
          <w:rFonts w:ascii="Times New Roman" w:hAnsi="Times New Roman" w:cs="Times New Roman"/>
          <w:vertAlign w:val="superscript"/>
        </w:rPr>
        <w:t>10</w:t>
      </w:r>
      <w:r w:rsidRPr="00263AA5">
        <w:rPr>
          <w:rFonts w:ascii="Times New Roman" w:hAnsi="Times New Roman" w:cs="Times New Roman"/>
        </w:rPr>
        <w:fldChar w:fldCharType="end"/>
      </w:r>
      <w:r w:rsidRPr="00263AA5">
        <w:rPr>
          <w:rFonts w:ascii="Times New Roman" w:hAnsi="Times New Roman" w:cs="Times New Roman"/>
        </w:rPr>
        <w:t xml:space="preserve"> The model predicted multiple hydroxylation reactions on the THQ ring. Ring opening of the THQ moiety produced Cmpd46, decreasing intrinsic clearance to 123 mL/min/kg, with model predictions confirming that the original THQ reactive sites were blocked, accounting for improved metabolic stability.</w:t>
      </w:r>
    </w:p>
    <w:p w14:paraId="7F603E95" w14:textId="77777777" w:rsidR="00FD764C" w:rsidRPr="00263AA5" w:rsidRDefault="00000000">
      <w:pPr>
        <w:widowControl/>
        <w:rPr>
          <w:rFonts w:ascii="Times New Roman" w:hAnsi="Times New Roman" w:cs="Times New Roman"/>
        </w:rPr>
      </w:pPr>
      <w:r w:rsidRPr="00263AA5">
        <w:rPr>
          <w:rFonts w:ascii="Times New Roman" w:hAnsi="Times New Roman" w:cs="Times New Roman"/>
        </w:rPr>
        <w:br w:type="page"/>
      </w:r>
    </w:p>
    <w:p w14:paraId="2C710246" w14:textId="2BCC6B0A" w:rsidR="00201CBA" w:rsidRPr="00201CBA" w:rsidRDefault="00EC6637" w:rsidP="00201CBA">
      <w:pPr>
        <w:pStyle w:val="af5"/>
        <w:numPr>
          <w:ilvl w:val="0"/>
          <w:numId w:val="5"/>
        </w:numPr>
        <w:jc w:val="both"/>
        <w:outlineLvl w:val="0"/>
        <w:rPr>
          <w:rFonts w:ascii="Times New Roman" w:hAnsi="Times New Roman" w:cs="Times New Roman"/>
          <w:b/>
          <w:bCs/>
          <w:sz w:val="28"/>
          <w:szCs w:val="32"/>
        </w:rPr>
      </w:pPr>
      <w:bookmarkStart w:id="14" w:name="_Toc214302290"/>
      <w:r w:rsidRPr="00263AA5">
        <w:rPr>
          <w:rFonts w:ascii="Times New Roman" w:hAnsi="Times New Roman" w:cs="Times New Roman"/>
          <w:b/>
          <w:bCs/>
          <w:sz w:val="28"/>
          <w:szCs w:val="32"/>
        </w:rPr>
        <w:lastRenderedPageBreak/>
        <w:t>Supplementary Figures and Tables</w:t>
      </w:r>
      <w:bookmarkEnd w:id="14"/>
    </w:p>
    <w:p w14:paraId="2A4DE619" w14:textId="1D6AA9BE" w:rsidR="00FD764C" w:rsidRPr="00263AA5" w:rsidRDefault="00BF4FD5" w:rsidP="00B94070">
      <w:pPr>
        <w:jc w:val="center"/>
        <w:rPr>
          <w:rFonts w:ascii="Times New Roman" w:hAnsi="Times New Roman" w:cs="Times New Roman"/>
          <w:b/>
          <w:bCs/>
        </w:rPr>
      </w:pPr>
      <w:r>
        <w:rPr>
          <w:rFonts w:ascii="Times New Roman" w:hAnsi="Times New Roman" w:cs="Times New Roman"/>
          <w:b/>
          <w:bCs/>
          <w:noProof/>
          <w14:ligatures w14:val="none"/>
        </w:rPr>
        <w:drawing>
          <wp:inline distT="0" distB="0" distL="0" distR="0" wp14:anchorId="1FFEA5E2" wp14:editId="26986C91">
            <wp:extent cx="5274310" cy="2217420"/>
            <wp:effectExtent l="0" t="0" r="2540" b="0"/>
            <wp:docPr id="212206438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064384" name="图片 2122064384"/>
                    <pic:cNvPicPr/>
                  </pic:nvPicPr>
                  <pic:blipFill>
                    <a:blip r:embed="rId8"/>
                    <a:stretch>
                      <a:fillRect/>
                    </a:stretch>
                  </pic:blipFill>
                  <pic:spPr>
                    <a:xfrm>
                      <a:off x="0" y="0"/>
                      <a:ext cx="5274310" cy="2217420"/>
                    </a:xfrm>
                    <a:prstGeom prst="rect">
                      <a:avLst/>
                    </a:prstGeom>
                  </pic:spPr>
                </pic:pic>
              </a:graphicData>
            </a:graphic>
          </wp:inline>
        </w:drawing>
      </w:r>
    </w:p>
    <w:p w14:paraId="09810C40" w14:textId="58E8E8E6" w:rsidR="00FD764C" w:rsidRDefault="00000000">
      <w:pPr>
        <w:pStyle w:val="a3"/>
        <w:outlineLvl w:val="2"/>
      </w:pPr>
      <w:bookmarkStart w:id="15" w:name="_Toc214302291"/>
      <w:r w:rsidRPr="00263AA5">
        <w:t xml:space="preserve">Figure S </w:t>
      </w:r>
      <w:r w:rsidR="00357FF1" w:rsidRPr="00263AA5">
        <w:t>1</w:t>
      </w:r>
      <w:r w:rsidRPr="00263AA5">
        <w:t>. Illustration of TTA strategy</w:t>
      </w:r>
      <w:bookmarkEnd w:id="15"/>
    </w:p>
    <w:p w14:paraId="0FDA823D" w14:textId="77777777" w:rsidR="00B94070" w:rsidRPr="00B94070" w:rsidRDefault="00B94070" w:rsidP="00B94070">
      <w:pPr>
        <w:rPr>
          <w:rFonts w:hint="eastAsia"/>
        </w:rPr>
      </w:pPr>
    </w:p>
    <w:p w14:paraId="36BFAB72" w14:textId="096057FE" w:rsidR="00FD764C" w:rsidRPr="00263AA5" w:rsidRDefault="00BF4FD5" w:rsidP="00BF4FD5">
      <w:pPr>
        <w:jc w:val="center"/>
        <w:rPr>
          <w:rFonts w:ascii="Times New Roman" w:hAnsi="Times New Roman" w:cs="Times New Roman"/>
        </w:rPr>
      </w:pPr>
      <w:r>
        <w:rPr>
          <w:rFonts w:ascii="Times New Roman" w:hAnsi="Times New Roman" w:cs="Times New Roman"/>
          <w:noProof/>
          <w14:ligatures w14:val="none"/>
        </w:rPr>
        <w:drawing>
          <wp:inline distT="0" distB="0" distL="0" distR="0" wp14:anchorId="501C6EEF" wp14:editId="41558106">
            <wp:extent cx="5274310" cy="3047365"/>
            <wp:effectExtent l="0" t="0" r="2540" b="635"/>
            <wp:docPr id="12113337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333725" name="图片 1211333725"/>
                    <pic:cNvPicPr/>
                  </pic:nvPicPr>
                  <pic:blipFill>
                    <a:blip r:embed="rId9"/>
                    <a:stretch>
                      <a:fillRect/>
                    </a:stretch>
                  </pic:blipFill>
                  <pic:spPr>
                    <a:xfrm>
                      <a:off x="0" y="0"/>
                      <a:ext cx="5274310" cy="3047365"/>
                    </a:xfrm>
                    <a:prstGeom prst="rect">
                      <a:avLst/>
                    </a:prstGeom>
                  </pic:spPr>
                </pic:pic>
              </a:graphicData>
            </a:graphic>
          </wp:inline>
        </w:drawing>
      </w:r>
    </w:p>
    <w:p w14:paraId="72211718" w14:textId="1E310065" w:rsidR="00FD764C" w:rsidRPr="00263AA5" w:rsidRDefault="00000000">
      <w:pPr>
        <w:pStyle w:val="a3"/>
        <w:outlineLvl w:val="2"/>
        <w:rPr>
          <w:rFonts w:eastAsia="宋体"/>
          <w:kern w:val="0"/>
          <w:szCs w:val="36"/>
          <w14:ligatures w14:val="none"/>
        </w:rPr>
      </w:pPr>
      <w:bookmarkStart w:id="16" w:name="_Toc214302292"/>
      <w:r w:rsidRPr="00263AA5">
        <w:rPr>
          <w:rFonts w:eastAsia="宋体"/>
          <w:kern w:val="0"/>
          <w:szCs w:val="36"/>
          <w14:ligatures w14:val="none"/>
        </w:rPr>
        <w:t xml:space="preserve">Figure S </w:t>
      </w:r>
      <w:r w:rsidR="00357FF1" w:rsidRPr="00263AA5">
        <w:rPr>
          <w:rFonts w:eastAsia="宋体"/>
          <w:kern w:val="0"/>
          <w:szCs w:val="36"/>
          <w14:ligatures w14:val="none"/>
        </w:rPr>
        <w:t>2</w:t>
      </w:r>
      <w:r w:rsidRPr="00263AA5">
        <w:rPr>
          <w:rFonts w:eastAsia="宋体"/>
          <w:kern w:val="0"/>
          <w:szCs w:val="36"/>
          <w14:ligatures w14:val="none"/>
        </w:rPr>
        <w:t>. Types and distribution of enzymes in the D-data dataset</w:t>
      </w:r>
      <w:bookmarkEnd w:id="16"/>
    </w:p>
    <w:p w14:paraId="7A7FD605" w14:textId="77777777" w:rsidR="00FD764C" w:rsidRPr="00263AA5" w:rsidRDefault="00000000">
      <w:pPr>
        <w:jc w:val="both"/>
        <w:rPr>
          <w:rFonts w:ascii="Times New Roman" w:eastAsia="宋体" w:hAnsi="Times New Roman" w:cs="Times New Roman"/>
          <w:kern w:val="0"/>
          <w:sz w:val="21"/>
          <w:szCs w:val="32"/>
          <w14:ligatures w14:val="none"/>
        </w:rPr>
      </w:pPr>
      <w:r w:rsidRPr="00263AA5">
        <w:rPr>
          <w:rFonts w:ascii="Times New Roman" w:eastAsia="宋体" w:hAnsi="Times New Roman" w:cs="Times New Roman"/>
          <w:b/>
          <w:bCs/>
          <w:kern w:val="0"/>
          <w:sz w:val="21"/>
          <w:szCs w:val="32"/>
          <w14:ligatures w14:val="none"/>
        </w:rPr>
        <w:t>(A)</w:t>
      </w:r>
      <w:r w:rsidRPr="00263AA5">
        <w:rPr>
          <w:rFonts w:ascii="Times New Roman" w:eastAsia="宋体" w:hAnsi="Times New Roman" w:cs="Times New Roman"/>
          <w:kern w:val="0"/>
          <w:sz w:val="21"/>
          <w:szCs w:val="32"/>
          <w14:ligatures w14:val="none"/>
        </w:rPr>
        <w:t xml:space="preserve"> Distribution of enzyme families and subtypes. </w:t>
      </w:r>
      <w:r w:rsidRPr="00263AA5">
        <w:rPr>
          <w:rFonts w:ascii="Times New Roman" w:eastAsia="宋体" w:hAnsi="Times New Roman" w:cs="Times New Roman"/>
          <w:b/>
          <w:bCs/>
          <w:kern w:val="0"/>
          <w:sz w:val="21"/>
          <w:szCs w:val="32"/>
          <w14:ligatures w14:val="none"/>
        </w:rPr>
        <w:t>(B–C)</w:t>
      </w:r>
      <w:r w:rsidRPr="00263AA5">
        <w:rPr>
          <w:rFonts w:ascii="Times New Roman" w:eastAsia="宋体" w:hAnsi="Times New Roman" w:cs="Times New Roman"/>
          <w:kern w:val="0"/>
          <w:sz w:val="21"/>
          <w:szCs w:val="32"/>
          <w14:ligatures w14:val="none"/>
        </w:rPr>
        <w:t xml:space="preserve"> Number of enzyme families (B) and subtypes (C) associated with each substrate.</w:t>
      </w:r>
    </w:p>
    <w:p w14:paraId="168FC327" w14:textId="77777777" w:rsidR="00201CBA" w:rsidRDefault="00201CBA" w:rsidP="004D3FB2">
      <w:pPr>
        <w:rPr>
          <w:rFonts w:ascii="Times New Roman" w:hAnsi="Times New Roman" w:cs="Times New Roman"/>
          <w:noProof/>
          <w14:ligatures w14:val="none"/>
        </w:rPr>
      </w:pPr>
    </w:p>
    <w:p w14:paraId="34B542DF" w14:textId="40783FA8" w:rsidR="00FD764C" w:rsidRDefault="00FD764C" w:rsidP="00B94070">
      <w:pPr>
        <w:jc w:val="center"/>
        <w:rPr>
          <w:rFonts w:ascii="Times New Roman" w:hAnsi="Times New Roman" w:cs="Times New Roman"/>
        </w:rPr>
      </w:pPr>
    </w:p>
    <w:p w14:paraId="3B5463A6" w14:textId="00BB199D" w:rsidR="00BF4FD5" w:rsidRPr="00263AA5" w:rsidRDefault="00BF4FD5" w:rsidP="00B94070">
      <w:pPr>
        <w:jc w:val="center"/>
        <w:rPr>
          <w:rFonts w:ascii="Times New Roman" w:hAnsi="Times New Roman" w:cs="Times New Roman"/>
        </w:rPr>
      </w:pPr>
      <w:r>
        <w:rPr>
          <w:rFonts w:ascii="Times New Roman" w:hAnsi="Times New Roman" w:cs="Times New Roman" w:hint="eastAsia"/>
          <w:noProof/>
          <w14:ligatures w14:val="none"/>
        </w:rPr>
        <w:lastRenderedPageBreak/>
        <w:drawing>
          <wp:inline distT="0" distB="0" distL="0" distR="0" wp14:anchorId="24D24A31" wp14:editId="1081B0B5">
            <wp:extent cx="5274310" cy="2217420"/>
            <wp:effectExtent l="0" t="0" r="2540" b="0"/>
            <wp:docPr id="199905886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058867" name="图片 1999058867"/>
                    <pic:cNvPicPr/>
                  </pic:nvPicPr>
                  <pic:blipFill>
                    <a:blip r:embed="rId10"/>
                    <a:stretch>
                      <a:fillRect/>
                    </a:stretch>
                  </pic:blipFill>
                  <pic:spPr>
                    <a:xfrm>
                      <a:off x="0" y="0"/>
                      <a:ext cx="5274310" cy="2217420"/>
                    </a:xfrm>
                    <a:prstGeom prst="rect">
                      <a:avLst/>
                    </a:prstGeom>
                  </pic:spPr>
                </pic:pic>
              </a:graphicData>
            </a:graphic>
          </wp:inline>
        </w:drawing>
      </w:r>
    </w:p>
    <w:p w14:paraId="28D33E2E" w14:textId="7C748C22" w:rsidR="00FD764C" w:rsidRPr="00263AA5" w:rsidRDefault="00000000">
      <w:pPr>
        <w:pStyle w:val="a3"/>
        <w:outlineLvl w:val="2"/>
        <w:rPr>
          <w:rFonts w:eastAsia="宋体"/>
          <w:kern w:val="0"/>
          <w:szCs w:val="36"/>
          <w14:ligatures w14:val="none"/>
        </w:rPr>
      </w:pPr>
      <w:bookmarkStart w:id="17" w:name="_Toc214302293"/>
      <w:r w:rsidRPr="00263AA5">
        <w:rPr>
          <w:rFonts w:eastAsia="宋体"/>
          <w:kern w:val="0"/>
          <w:szCs w:val="36"/>
          <w14:ligatures w14:val="none"/>
        </w:rPr>
        <w:t xml:space="preserve">Figure S </w:t>
      </w:r>
      <w:r w:rsidR="00357FF1" w:rsidRPr="00263AA5">
        <w:rPr>
          <w:rFonts w:eastAsia="宋体"/>
          <w:kern w:val="0"/>
          <w:szCs w:val="36"/>
          <w14:ligatures w14:val="none"/>
        </w:rPr>
        <w:t>3</w:t>
      </w:r>
      <w:r w:rsidRPr="00263AA5">
        <w:rPr>
          <w:rFonts w:eastAsia="宋体"/>
          <w:kern w:val="0"/>
          <w:szCs w:val="36"/>
          <w14:ligatures w14:val="none"/>
        </w:rPr>
        <w:t>. Types and distribution of enzymes in the internal test set</w:t>
      </w:r>
      <w:bookmarkEnd w:id="17"/>
    </w:p>
    <w:p w14:paraId="4B052408" w14:textId="77777777" w:rsidR="00FD764C" w:rsidRPr="00263AA5" w:rsidRDefault="00000000">
      <w:pPr>
        <w:jc w:val="both"/>
        <w:rPr>
          <w:rFonts w:ascii="Times New Roman" w:hAnsi="Times New Roman" w:cs="Times New Roman"/>
        </w:rPr>
      </w:pPr>
      <w:r w:rsidRPr="00263AA5">
        <w:rPr>
          <w:rFonts w:ascii="Times New Roman" w:eastAsia="宋体" w:hAnsi="Times New Roman" w:cs="Times New Roman"/>
          <w:b/>
          <w:bCs/>
          <w:kern w:val="0"/>
          <w:sz w:val="21"/>
          <w:szCs w:val="32"/>
          <w14:ligatures w14:val="none"/>
        </w:rPr>
        <w:t>(A)</w:t>
      </w:r>
      <w:r w:rsidRPr="00263AA5">
        <w:rPr>
          <w:rFonts w:ascii="Times New Roman" w:eastAsia="宋体" w:hAnsi="Times New Roman" w:cs="Times New Roman"/>
          <w:kern w:val="0"/>
          <w:sz w:val="21"/>
          <w:szCs w:val="32"/>
          <w14:ligatures w14:val="none"/>
        </w:rPr>
        <w:t xml:space="preserve"> Distribution of enzyme families and subtypes. </w:t>
      </w:r>
      <w:r w:rsidRPr="00263AA5">
        <w:rPr>
          <w:rFonts w:ascii="Times New Roman" w:eastAsia="宋体" w:hAnsi="Times New Roman" w:cs="Times New Roman"/>
          <w:b/>
          <w:bCs/>
          <w:kern w:val="0"/>
          <w:sz w:val="21"/>
          <w:szCs w:val="32"/>
          <w14:ligatures w14:val="none"/>
        </w:rPr>
        <w:t>(B)</w:t>
      </w:r>
      <w:r w:rsidRPr="00263AA5">
        <w:rPr>
          <w:rFonts w:ascii="Times New Roman" w:eastAsia="宋体" w:hAnsi="Times New Roman" w:cs="Times New Roman"/>
          <w:kern w:val="0"/>
          <w:sz w:val="21"/>
          <w:szCs w:val="32"/>
          <w14:ligatures w14:val="none"/>
        </w:rPr>
        <w:t xml:space="preserve"> Number of enzyme subtypes associated with each substrate.</w:t>
      </w:r>
    </w:p>
    <w:p w14:paraId="51BBFFC8" w14:textId="77777777" w:rsidR="00B94070" w:rsidRDefault="00B94070" w:rsidP="00B94070">
      <w:pPr>
        <w:jc w:val="center"/>
        <w:rPr>
          <w:rFonts w:ascii="Times New Roman" w:hAnsi="Times New Roman" w:cs="Times New Roman"/>
          <w:noProof/>
          <w14:ligatures w14:val="none"/>
        </w:rPr>
      </w:pPr>
    </w:p>
    <w:p w14:paraId="1366F409" w14:textId="5BD870DA" w:rsidR="00FD764C" w:rsidRPr="00263AA5" w:rsidRDefault="00BF4FD5" w:rsidP="00B94070">
      <w:pPr>
        <w:jc w:val="center"/>
        <w:rPr>
          <w:rFonts w:ascii="Times New Roman" w:hAnsi="Times New Roman" w:cs="Times New Roman"/>
        </w:rPr>
      </w:pPr>
      <w:r>
        <w:rPr>
          <w:rFonts w:ascii="Times New Roman" w:hAnsi="Times New Roman" w:cs="Times New Roman"/>
          <w:noProof/>
          <w14:ligatures w14:val="none"/>
        </w:rPr>
        <w:drawing>
          <wp:inline distT="0" distB="0" distL="0" distR="0" wp14:anchorId="196E3590" wp14:editId="66AA1DB4">
            <wp:extent cx="5274310" cy="3047365"/>
            <wp:effectExtent l="0" t="0" r="2540" b="635"/>
            <wp:docPr id="109972832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728320" name="图片 1099728320"/>
                    <pic:cNvPicPr/>
                  </pic:nvPicPr>
                  <pic:blipFill>
                    <a:blip r:embed="rId11"/>
                    <a:stretch>
                      <a:fillRect/>
                    </a:stretch>
                  </pic:blipFill>
                  <pic:spPr>
                    <a:xfrm>
                      <a:off x="0" y="0"/>
                      <a:ext cx="5274310" cy="3047365"/>
                    </a:xfrm>
                    <a:prstGeom prst="rect">
                      <a:avLst/>
                    </a:prstGeom>
                  </pic:spPr>
                </pic:pic>
              </a:graphicData>
            </a:graphic>
          </wp:inline>
        </w:drawing>
      </w:r>
    </w:p>
    <w:p w14:paraId="6FACC25A" w14:textId="3EA28928" w:rsidR="00FD764C" w:rsidRPr="00263AA5" w:rsidRDefault="00000000">
      <w:pPr>
        <w:pStyle w:val="a3"/>
        <w:outlineLvl w:val="2"/>
      </w:pPr>
      <w:bookmarkStart w:id="18" w:name="_Toc214302294"/>
      <w:r w:rsidRPr="00263AA5">
        <w:t xml:space="preserve">Figure S </w:t>
      </w:r>
      <w:r w:rsidR="00357FF1" w:rsidRPr="00263AA5">
        <w:t>4</w:t>
      </w:r>
      <w:r w:rsidRPr="00263AA5">
        <w:t>. Distribution of eight representative CYP enzyme isoforms in the SOM external test set</w:t>
      </w:r>
      <w:bookmarkEnd w:id="18"/>
    </w:p>
    <w:p w14:paraId="51A8E2AB" w14:textId="77777777" w:rsidR="00FD764C" w:rsidRPr="00263AA5" w:rsidRDefault="00000000">
      <w:pPr>
        <w:widowControl/>
        <w:jc w:val="both"/>
        <w:rPr>
          <w:rFonts w:ascii="Times New Roman" w:hAnsi="Times New Roman" w:cs="Times New Roman"/>
        </w:rPr>
      </w:pPr>
      <w:r w:rsidRPr="00263AA5">
        <w:rPr>
          <w:rFonts w:ascii="Times New Roman" w:hAnsi="Times New Roman" w:cs="Times New Roman"/>
        </w:rPr>
        <w:br w:type="page"/>
      </w:r>
    </w:p>
    <w:p w14:paraId="6AD120A9" w14:textId="369599D6" w:rsidR="00EE0B9A" w:rsidRPr="00263AA5" w:rsidRDefault="00EE0B9A" w:rsidP="00EE0B9A">
      <w:pPr>
        <w:pStyle w:val="a3"/>
        <w:outlineLvl w:val="2"/>
      </w:pPr>
      <w:bookmarkStart w:id="19" w:name="_Toc214302295"/>
      <w:r w:rsidRPr="00263AA5">
        <w:lastRenderedPageBreak/>
        <w:t xml:space="preserve">Table S </w:t>
      </w:r>
      <w:fldSimple w:instr=" SEQ Table_S \* ARABIC ">
        <w:r w:rsidRPr="00263AA5">
          <w:t>1</w:t>
        </w:r>
      </w:fldSimple>
      <w:r w:rsidRPr="00263AA5">
        <w:t>. Comparative performance of different models on M-data by enzyme family</w:t>
      </w:r>
      <w:bookmarkEnd w:id="19"/>
    </w:p>
    <w:tbl>
      <w:tblPr>
        <w:tblStyle w:val="a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1006"/>
        <w:gridCol w:w="616"/>
        <w:gridCol w:w="1456"/>
        <w:gridCol w:w="1120"/>
        <w:gridCol w:w="1026"/>
        <w:gridCol w:w="1086"/>
        <w:gridCol w:w="614"/>
      </w:tblGrid>
      <w:tr w:rsidR="00DE561E" w:rsidRPr="00263AA5" w14:paraId="65948D61" w14:textId="77777777" w:rsidTr="00117C92">
        <w:trPr>
          <w:jc w:val="center"/>
        </w:trPr>
        <w:tc>
          <w:tcPr>
            <w:tcW w:w="1513" w:type="dxa"/>
            <w:tcBorders>
              <w:top w:val="single" w:sz="4" w:space="0" w:color="auto"/>
              <w:bottom w:val="single" w:sz="4" w:space="0" w:color="auto"/>
            </w:tcBorders>
            <w:vAlign w:val="center"/>
          </w:tcPr>
          <w:p w14:paraId="73DEE13D"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Model/Dataset</w:t>
            </w:r>
          </w:p>
        </w:tc>
        <w:tc>
          <w:tcPr>
            <w:tcW w:w="969" w:type="dxa"/>
            <w:tcBorders>
              <w:top w:val="single" w:sz="4" w:space="0" w:color="auto"/>
              <w:bottom w:val="single" w:sz="4" w:space="0" w:color="auto"/>
            </w:tcBorders>
            <w:vAlign w:val="center"/>
          </w:tcPr>
          <w:p w14:paraId="4873C617"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Oxidatases</w:t>
            </w:r>
          </w:p>
        </w:tc>
        <w:tc>
          <w:tcPr>
            <w:tcW w:w="969" w:type="dxa"/>
            <w:tcBorders>
              <w:top w:val="single" w:sz="4" w:space="0" w:color="auto"/>
              <w:bottom w:val="single" w:sz="4" w:space="0" w:color="auto"/>
            </w:tcBorders>
            <w:vAlign w:val="center"/>
          </w:tcPr>
          <w:p w14:paraId="1C832D9C"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UGT</w:t>
            </w:r>
          </w:p>
        </w:tc>
        <w:tc>
          <w:tcPr>
            <w:tcW w:w="969" w:type="dxa"/>
            <w:tcBorders>
              <w:top w:val="single" w:sz="4" w:space="0" w:color="auto"/>
              <w:bottom w:val="single" w:sz="4" w:space="0" w:color="auto"/>
            </w:tcBorders>
            <w:vAlign w:val="center"/>
          </w:tcPr>
          <w:p w14:paraId="6F79778F"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Sulfotransferases</w:t>
            </w:r>
          </w:p>
        </w:tc>
        <w:tc>
          <w:tcPr>
            <w:tcW w:w="969" w:type="dxa"/>
            <w:tcBorders>
              <w:top w:val="single" w:sz="4" w:space="0" w:color="auto"/>
              <w:bottom w:val="single" w:sz="4" w:space="0" w:color="auto"/>
            </w:tcBorders>
            <w:vAlign w:val="center"/>
          </w:tcPr>
          <w:p w14:paraId="21ECAA81"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Other Transferases</w:t>
            </w:r>
          </w:p>
        </w:tc>
        <w:tc>
          <w:tcPr>
            <w:tcW w:w="969" w:type="dxa"/>
            <w:tcBorders>
              <w:top w:val="single" w:sz="4" w:space="0" w:color="auto"/>
              <w:bottom w:val="single" w:sz="4" w:space="0" w:color="auto"/>
            </w:tcBorders>
            <w:vAlign w:val="center"/>
          </w:tcPr>
          <w:p w14:paraId="0F55CC97"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Hydrolases</w:t>
            </w:r>
          </w:p>
        </w:tc>
        <w:tc>
          <w:tcPr>
            <w:tcW w:w="969" w:type="dxa"/>
            <w:tcBorders>
              <w:top w:val="single" w:sz="4" w:space="0" w:color="auto"/>
              <w:bottom w:val="single" w:sz="4" w:space="0" w:color="auto"/>
            </w:tcBorders>
            <w:vAlign w:val="center"/>
          </w:tcPr>
          <w:p w14:paraId="69967965"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Unspecified</w:t>
            </w:r>
          </w:p>
        </w:tc>
        <w:tc>
          <w:tcPr>
            <w:tcW w:w="969" w:type="dxa"/>
            <w:tcBorders>
              <w:top w:val="single" w:sz="4" w:space="0" w:color="auto"/>
              <w:bottom w:val="single" w:sz="4" w:space="0" w:color="auto"/>
            </w:tcBorders>
            <w:vAlign w:val="center"/>
          </w:tcPr>
          <w:p w14:paraId="4CBC0EE7"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Total</w:t>
            </w:r>
          </w:p>
        </w:tc>
      </w:tr>
      <w:tr w:rsidR="00DE561E" w:rsidRPr="00263AA5" w14:paraId="66AA0E3A" w14:textId="77777777" w:rsidTr="00117C92">
        <w:trPr>
          <w:jc w:val="center"/>
        </w:trPr>
        <w:tc>
          <w:tcPr>
            <w:tcW w:w="1513" w:type="dxa"/>
            <w:tcBorders>
              <w:top w:val="single" w:sz="4" w:space="0" w:color="auto"/>
            </w:tcBorders>
            <w:vAlign w:val="center"/>
          </w:tcPr>
          <w:p w14:paraId="0F00BDCC"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Dataset</w:t>
            </w:r>
          </w:p>
        </w:tc>
        <w:tc>
          <w:tcPr>
            <w:tcW w:w="969" w:type="dxa"/>
            <w:tcBorders>
              <w:top w:val="single" w:sz="4" w:space="0" w:color="auto"/>
            </w:tcBorders>
            <w:vAlign w:val="center"/>
          </w:tcPr>
          <w:p w14:paraId="2A7E02BE"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100</w:t>
            </w:r>
          </w:p>
        </w:tc>
        <w:tc>
          <w:tcPr>
            <w:tcW w:w="969" w:type="dxa"/>
            <w:tcBorders>
              <w:top w:val="single" w:sz="4" w:space="0" w:color="auto"/>
            </w:tcBorders>
            <w:vAlign w:val="center"/>
          </w:tcPr>
          <w:p w14:paraId="3F3BFF60"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17</w:t>
            </w:r>
          </w:p>
        </w:tc>
        <w:tc>
          <w:tcPr>
            <w:tcW w:w="969" w:type="dxa"/>
            <w:tcBorders>
              <w:top w:val="single" w:sz="4" w:space="0" w:color="auto"/>
            </w:tcBorders>
            <w:vAlign w:val="center"/>
          </w:tcPr>
          <w:p w14:paraId="7BC0E33B"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4</w:t>
            </w:r>
          </w:p>
        </w:tc>
        <w:tc>
          <w:tcPr>
            <w:tcW w:w="969" w:type="dxa"/>
            <w:tcBorders>
              <w:top w:val="single" w:sz="4" w:space="0" w:color="auto"/>
            </w:tcBorders>
            <w:vAlign w:val="center"/>
          </w:tcPr>
          <w:p w14:paraId="31DA5B13"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8</w:t>
            </w:r>
          </w:p>
        </w:tc>
        <w:tc>
          <w:tcPr>
            <w:tcW w:w="969" w:type="dxa"/>
            <w:tcBorders>
              <w:top w:val="single" w:sz="4" w:space="0" w:color="auto"/>
            </w:tcBorders>
            <w:vAlign w:val="center"/>
          </w:tcPr>
          <w:p w14:paraId="20E4BF7F"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10</w:t>
            </w:r>
          </w:p>
        </w:tc>
        <w:tc>
          <w:tcPr>
            <w:tcW w:w="969" w:type="dxa"/>
            <w:tcBorders>
              <w:top w:val="single" w:sz="4" w:space="0" w:color="auto"/>
            </w:tcBorders>
            <w:vAlign w:val="center"/>
          </w:tcPr>
          <w:p w14:paraId="02932B94"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80</w:t>
            </w:r>
          </w:p>
        </w:tc>
        <w:tc>
          <w:tcPr>
            <w:tcW w:w="969" w:type="dxa"/>
            <w:tcBorders>
              <w:top w:val="single" w:sz="4" w:space="0" w:color="auto"/>
            </w:tcBorders>
            <w:vAlign w:val="center"/>
          </w:tcPr>
          <w:p w14:paraId="62FB8855"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219</w:t>
            </w:r>
          </w:p>
        </w:tc>
      </w:tr>
      <w:tr w:rsidR="00DE561E" w:rsidRPr="00263AA5" w14:paraId="6866DEDC" w14:textId="77777777" w:rsidTr="00117C92">
        <w:trPr>
          <w:jc w:val="center"/>
        </w:trPr>
        <w:tc>
          <w:tcPr>
            <w:tcW w:w="1513" w:type="dxa"/>
            <w:vAlign w:val="center"/>
          </w:tcPr>
          <w:p w14:paraId="24F0C6C0"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MetaReact</w:t>
            </w:r>
          </w:p>
        </w:tc>
        <w:tc>
          <w:tcPr>
            <w:tcW w:w="969" w:type="dxa"/>
            <w:vAlign w:val="center"/>
          </w:tcPr>
          <w:p w14:paraId="44057B02"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90</w:t>
            </w:r>
          </w:p>
        </w:tc>
        <w:tc>
          <w:tcPr>
            <w:tcW w:w="969" w:type="dxa"/>
            <w:vAlign w:val="center"/>
          </w:tcPr>
          <w:p w14:paraId="214CCB9A"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8</w:t>
            </w:r>
          </w:p>
        </w:tc>
        <w:tc>
          <w:tcPr>
            <w:tcW w:w="969" w:type="dxa"/>
            <w:vAlign w:val="center"/>
          </w:tcPr>
          <w:p w14:paraId="1A2B9E8D"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3</w:t>
            </w:r>
          </w:p>
        </w:tc>
        <w:tc>
          <w:tcPr>
            <w:tcW w:w="969" w:type="dxa"/>
            <w:vAlign w:val="center"/>
          </w:tcPr>
          <w:p w14:paraId="166E4544"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3</w:t>
            </w:r>
          </w:p>
        </w:tc>
        <w:tc>
          <w:tcPr>
            <w:tcW w:w="969" w:type="dxa"/>
            <w:vAlign w:val="center"/>
          </w:tcPr>
          <w:p w14:paraId="1F640477"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6</w:t>
            </w:r>
          </w:p>
        </w:tc>
        <w:tc>
          <w:tcPr>
            <w:tcW w:w="969" w:type="dxa"/>
            <w:vAlign w:val="center"/>
          </w:tcPr>
          <w:p w14:paraId="5B0C1D00"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24</w:t>
            </w:r>
          </w:p>
        </w:tc>
        <w:tc>
          <w:tcPr>
            <w:tcW w:w="969" w:type="dxa"/>
            <w:vAlign w:val="center"/>
          </w:tcPr>
          <w:p w14:paraId="7AC165AF"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134</w:t>
            </w:r>
          </w:p>
        </w:tc>
      </w:tr>
      <w:tr w:rsidR="00DE561E" w:rsidRPr="00263AA5" w14:paraId="790E2040" w14:textId="77777777" w:rsidTr="00117C92">
        <w:trPr>
          <w:jc w:val="center"/>
        </w:trPr>
        <w:tc>
          <w:tcPr>
            <w:tcW w:w="1513" w:type="dxa"/>
            <w:vAlign w:val="center"/>
          </w:tcPr>
          <w:p w14:paraId="4D809A87"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MetaPredictor</w:t>
            </w:r>
          </w:p>
        </w:tc>
        <w:tc>
          <w:tcPr>
            <w:tcW w:w="969" w:type="dxa"/>
            <w:vAlign w:val="center"/>
          </w:tcPr>
          <w:p w14:paraId="59B50981"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80</w:t>
            </w:r>
          </w:p>
        </w:tc>
        <w:tc>
          <w:tcPr>
            <w:tcW w:w="969" w:type="dxa"/>
            <w:vAlign w:val="center"/>
          </w:tcPr>
          <w:p w14:paraId="113A7940"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7</w:t>
            </w:r>
          </w:p>
        </w:tc>
        <w:tc>
          <w:tcPr>
            <w:tcW w:w="969" w:type="dxa"/>
            <w:vAlign w:val="center"/>
          </w:tcPr>
          <w:p w14:paraId="0B4A487F"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1</w:t>
            </w:r>
          </w:p>
        </w:tc>
        <w:tc>
          <w:tcPr>
            <w:tcW w:w="969" w:type="dxa"/>
            <w:vAlign w:val="center"/>
          </w:tcPr>
          <w:p w14:paraId="3BCBE51D"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1</w:t>
            </w:r>
          </w:p>
        </w:tc>
        <w:tc>
          <w:tcPr>
            <w:tcW w:w="969" w:type="dxa"/>
            <w:vAlign w:val="center"/>
          </w:tcPr>
          <w:p w14:paraId="18214D20"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6</w:t>
            </w:r>
          </w:p>
        </w:tc>
        <w:tc>
          <w:tcPr>
            <w:tcW w:w="969" w:type="dxa"/>
            <w:vAlign w:val="center"/>
          </w:tcPr>
          <w:p w14:paraId="509871F5"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22</w:t>
            </w:r>
          </w:p>
        </w:tc>
        <w:tc>
          <w:tcPr>
            <w:tcW w:w="969" w:type="dxa"/>
            <w:vAlign w:val="center"/>
          </w:tcPr>
          <w:p w14:paraId="035899BA"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117</w:t>
            </w:r>
          </w:p>
        </w:tc>
      </w:tr>
      <w:tr w:rsidR="00DE561E" w:rsidRPr="00263AA5" w14:paraId="2E147283" w14:textId="77777777" w:rsidTr="00117C92">
        <w:trPr>
          <w:jc w:val="center"/>
        </w:trPr>
        <w:tc>
          <w:tcPr>
            <w:tcW w:w="1513" w:type="dxa"/>
            <w:vAlign w:val="center"/>
          </w:tcPr>
          <w:p w14:paraId="2DF8337C"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MetaTrans</w:t>
            </w:r>
          </w:p>
        </w:tc>
        <w:tc>
          <w:tcPr>
            <w:tcW w:w="969" w:type="dxa"/>
            <w:vAlign w:val="center"/>
          </w:tcPr>
          <w:p w14:paraId="25DBD5D2"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70</w:t>
            </w:r>
          </w:p>
        </w:tc>
        <w:tc>
          <w:tcPr>
            <w:tcW w:w="969" w:type="dxa"/>
            <w:vAlign w:val="center"/>
          </w:tcPr>
          <w:p w14:paraId="7DA68E7C"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7</w:t>
            </w:r>
          </w:p>
        </w:tc>
        <w:tc>
          <w:tcPr>
            <w:tcW w:w="969" w:type="dxa"/>
            <w:vAlign w:val="center"/>
          </w:tcPr>
          <w:p w14:paraId="79B529E6"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3</w:t>
            </w:r>
          </w:p>
        </w:tc>
        <w:tc>
          <w:tcPr>
            <w:tcW w:w="969" w:type="dxa"/>
            <w:vAlign w:val="center"/>
          </w:tcPr>
          <w:p w14:paraId="36154A53"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2</w:t>
            </w:r>
          </w:p>
        </w:tc>
        <w:tc>
          <w:tcPr>
            <w:tcW w:w="969" w:type="dxa"/>
            <w:vAlign w:val="center"/>
          </w:tcPr>
          <w:p w14:paraId="69D13009"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4</w:t>
            </w:r>
          </w:p>
        </w:tc>
        <w:tc>
          <w:tcPr>
            <w:tcW w:w="969" w:type="dxa"/>
            <w:vAlign w:val="center"/>
          </w:tcPr>
          <w:p w14:paraId="192CB9F7"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23</w:t>
            </w:r>
          </w:p>
        </w:tc>
        <w:tc>
          <w:tcPr>
            <w:tcW w:w="969" w:type="dxa"/>
            <w:vAlign w:val="center"/>
          </w:tcPr>
          <w:p w14:paraId="63E6F366"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109</w:t>
            </w:r>
          </w:p>
        </w:tc>
      </w:tr>
      <w:tr w:rsidR="00DE561E" w:rsidRPr="00263AA5" w14:paraId="5E49DC2A" w14:textId="77777777" w:rsidTr="00117C92">
        <w:trPr>
          <w:jc w:val="center"/>
        </w:trPr>
        <w:tc>
          <w:tcPr>
            <w:tcW w:w="1513" w:type="dxa"/>
            <w:vAlign w:val="center"/>
          </w:tcPr>
          <w:p w14:paraId="6179D8FD"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GLORYx</w:t>
            </w:r>
          </w:p>
        </w:tc>
        <w:tc>
          <w:tcPr>
            <w:tcW w:w="969" w:type="dxa"/>
            <w:vAlign w:val="center"/>
          </w:tcPr>
          <w:p w14:paraId="1A86541A"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70</w:t>
            </w:r>
          </w:p>
        </w:tc>
        <w:tc>
          <w:tcPr>
            <w:tcW w:w="969" w:type="dxa"/>
            <w:vAlign w:val="center"/>
          </w:tcPr>
          <w:p w14:paraId="2E553C64"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8</w:t>
            </w:r>
          </w:p>
        </w:tc>
        <w:tc>
          <w:tcPr>
            <w:tcW w:w="969" w:type="dxa"/>
            <w:vAlign w:val="center"/>
          </w:tcPr>
          <w:p w14:paraId="16FAA518"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3</w:t>
            </w:r>
          </w:p>
        </w:tc>
        <w:tc>
          <w:tcPr>
            <w:tcW w:w="969" w:type="dxa"/>
            <w:vAlign w:val="center"/>
          </w:tcPr>
          <w:p w14:paraId="289C3840"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1</w:t>
            </w:r>
          </w:p>
        </w:tc>
        <w:tc>
          <w:tcPr>
            <w:tcW w:w="969" w:type="dxa"/>
            <w:vAlign w:val="center"/>
          </w:tcPr>
          <w:p w14:paraId="0C26C160"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4</w:t>
            </w:r>
          </w:p>
        </w:tc>
        <w:tc>
          <w:tcPr>
            <w:tcW w:w="969" w:type="dxa"/>
            <w:vAlign w:val="center"/>
          </w:tcPr>
          <w:p w14:paraId="45D53659"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22</w:t>
            </w:r>
          </w:p>
        </w:tc>
        <w:tc>
          <w:tcPr>
            <w:tcW w:w="969" w:type="dxa"/>
            <w:vAlign w:val="center"/>
          </w:tcPr>
          <w:p w14:paraId="1F92D032"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108</w:t>
            </w:r>
          </w:p>
        </w:tc>
      </w:tr>
      <w:tr w:rsidR="00DE561E" w:rsidRPr="00263AA5" w14:paraId="3AE487DD" w14:textId="77777777" w:rsidTr="00117C92">
        <w:trPr>
          <w:jc w:val="center"/>
        </w:trPr>
        <w:tc>
          <w:tcPr>
            <w:tcW w:w="1513" w:type="dxa"/>
            <w:vAlign w:val="center"/>
          </w:tcPr>
          <w:p w14:paraId="52901478"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SyGMa</w:t>
            </w:r>
          </w:p>
        </w:tc>
        <w:tc>
          <w:tcPr>
            <w:tcW w:w="969" w:type="dxa"/>
            <w:vAlign w:val="center"/>
          </w:tcPr>
          <w:p w14:paraId="7C6E17EE"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80</w:t>
            </w:r>
          </w:p>
        </w:tc>
        <w:tc>
          <w:tcPr>
            <w:tcW w:w="969" w:type="dxa"/>
            <w:vAlign w:val="center"/>
          </w:tcPr>
          <w:p w14:paraId="26990B96"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8</w:t>
            </w:r>
          </w:p>
        </w:tc>
        <w:tc>
          <w:tcPr>
            <w:tcW w:w="969" w:type="dxa"/>
            <w:vAlign w:val="center"/>
          </w:tcPr>
          <w:p w14:paraId="585E325D"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2</w:t>
            </w:r>
          </w:p>
        </w:tc>
        <w:tc>
          <w:tcPr>
            <w:tcW w:w="969" w:type="dxa"/>
            <w:vAlign w:val="center"/>
          </w:tcPr>
          <w:p w14:paraId="30BEEE75"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0</w:t>
            </w:r>
          </w:p>
        </w:tc>
        <w:tc>
          <w:tcPr>
            <w:tcW w:w="969" w:type="dxa"/>
            <w:vAlign w:val="center"/>
          </w:tcPr>
          <w:p w14:paraId="27CEBBB9"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5</w:t>
            </w:r>
          </w:p>
        </w:tc>
        <w:tc>
          <w:tcPr>
            <w:tcW w:w="969" w:type="dxa"/>
            <w:vAlign w:val="center"/>
          </w:tcPr>
          <w:p w14:paraId="41046B0B"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20</w:t>
            </w:r>
          </w:p>
        </w:tc>
        <w:tc>
          <w:tcPr>
            <w:tcW w:w="969" w:type="dxa"/>
            <w:vAlign w:val="center"/>
          </w:tcPr>
          <w:p w14:paraId="618B5FBC"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115</w:t>
            </w:r>
          </w:p>
        </w:tc>
      </w:tr>
      <w:tr w:rsidR="00DE561E" w:rsidRPr="00263AA5" w14:paraId="1A0ABE25" w14:textId="77777777" w:rsidTr="00117C92">
        <w:trPr>
          <w:jc w:val="center"/>
        </w:trPr>
        <w:tc>
          <w:tcPr>
            <w:tcW w:w="1513" w:type="dxa"/>
            <w:tcBorders>
              <w:bottom w:val="single" w:sz="4" w:space="0" w:color="auto"/>
            </w:tcBorders>
            <w:vAlign w:val="center"/>
          </w:tcPr>
          <w:p w14:paraId="6C3CF795"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BioTransformer</w:t>
            </w:r>
          </w:p>
        </w:tc>
        <w:tc>
          <w:tcPr>
            <w:tcW w:w="969" w:type="dxa"/>
            <w:tcBorders>
              <w:bottom w:val="single" w:sz="4" w:space="0" w:color="auto"/>
            </w:tcBorders>
            <w:vAlign w:val="center"/>
          </w:tcPr>
          <w:p w14:paraId="79F30836"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81</w:t>
            </w:r>
          </w:p>
        </w:tc>
        <w:tc>
          <w:tcPr>
            <w:tcW w:w="969" w:type="dxa"/>
            <w:tcBorders>
              <w:bottom w:val="single" w:sz="4" w:space="0" w:color="auto"/>
            </w:tcBorders>
            <w:vAlign w:val="center"/>
          </w:tcPr>
          <w:p w14:paraId="7B8EEDD5"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7</w:t>
            </w:r>
          </w:p>
        </w:tc>
        <w:tc>
          <w:tcPr>
            <w:tcW w:w="969" w:type="dxa"/>
            <w:tcBorders>
              <w:bottom w:val="single" w:sz="4" w:space="0" w:color="auto"/>
            </w:tcBorders>
            <w:vAlign w:val="center"/>
          </w:tcPr>
          <w:p w14:paraId="35470C13"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2</w:t>
            </w:r>
          </w:p>
        </w:tc>
        <w:tc>
          <w:tcPr>
            <w:tcW w:w="969" w:type="dxa"/>
            <w:tcBorders>
              <w:bottom w:val="single" w:sz="4" w:space="0" w:color="auto"/>
            </w:tcBorders>
            <w:vAlign w:val="center"/>
          </w:tcPr>
          <w:p w14:paraId="01A70CF2"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0</w:t>
            </w:r>
          </w:p>
        </w:tc>
        <w:tc>
          <w:tcPr>
            <w:tcW w:w="969" w:type="dxa"/>
            <w:tcBorders>
              <w:bottom w:val="single" w:sz="4" w:space="0" w:color="auto"/>
            </w:tcBorders>
            <w:vAlign w:val="center"/>
          </w:tcPr>
          <w:p w14:paraId="00A863CE"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5</w:t>
            </w:r>
          </w:p>
        </w:tc>
        <w:tc>
          <w:tcPr>
            <w:tcW w:w="969" w:type="dxa"/>
            <w:tcBorders>
              <w:bottom w:val="single" w:sz="4" w:space="0" w:color="auto"/>
            </w:tcBorders>
            <w:vAlign w:val="center"/>
          </w:tcPr>
          <w:p w14:paraId="570978AD"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20</w:t>
            </w:r>
          </w:p>
        </w:tc>
        <w:tc>
          <w:tcPr>
            <w:tcW w:w="969" w:type="dxa"/>
            <w:tcBorders>
              <w:bottom w:val="single" w:sz="4" w:space="0" w:color="auto"/>
            </w:tcBorders>
            <w:vAlign w:val="center"/>
          </w:tcPr>
          <w:p w14:paraId="21677BF2" w14:textId="77777777" w:rsidR="00EE0B9A" w:rsidRPr="00263AA5" w:rsidRDefault="00EE0B9A" w:rsidP="00117C92">
            <w:pPr>
              <w:spacing w:after="0"/>
              <w:jc w:val="center"/>
              <w:rPr>
                <w:rFonts w:ascii="Times New Roman" w:hAnsi="Times New Roman" w:cs="Times New Roman"/>
                <w:sz w:val="18"/>
                <w:szCs w:val="20"/>
              </w:rPr>
            </w:pPr>
            <w:r w:rsidRPr="00263AA5">
              <w:rPr>
                <w:rFonts w:ascii="Times New Roman" w:hAnsi="Times New Roman" w:cs="Times New Roman"/>
                <w:sz w:val="18"/>
                <w:szCs w:val="20"/>
              </w:rPr>
              <w:t>115</w:t>
            </w:r>
          </w:p>
        </w:tc>
      </w:tr>
    </w:tbl>
    <w:p w14:paraId="47B08ED4" w14:textId="77777777" w:rsidR="00E672E2" w:rsidRPr="00263AA5" w:rsidRDefault="00E672E2" w:rsidP="00E36C8C">
      <w:pPr>
        <w:rPr>
          <w:rFonts w:ascii="Times New Roman" w:hAnsi="Times New Roman" w:cs="Times New Roman"/>
        </w:rPr>
      </w:pPr>
    </w:p>
    <w:p w14:paraId="570C8A38" w14:textId="04A8E01B" w:rsidR="00FD764C" w:rsidRPr="00263AA5" w:rsidRDefault="00000000">
      <w:pPr>
        <w:pStyle w:val="a3"/>
        <w:outlineLvl w:val="2"/>
      </w:pPr>
      <w:bookmarkStart w:id="20" w:name="_Toc214302296"/>
      <w:r w:rsidRPr="00263AA5">
        <w:t xml:space="preserve">Table S </w:t>
      </w:r>
      <w:r w:rsidR="00EE0B9A" w:rsidRPr="00263AA5">
        <w:t>2</w:t>
      </w:r>
      <w:r w:rsidRPr="00263AA5">
        <w:t xml:space="preserve">. Comparative performance of different models on M-data in the </w:t>
      </w:r>
      <w:r w:rsidRPr="00263AA5">
        <w:rPr>
          <w:i/>
          <w:iCs/>
        </w:rPr>
        <w:t>enzyme-agnostic</w:t>
      </w:r>
      <w:r w:rsidRPr="00263AA5">
        <w:t xml:space="preserve"> setting</w:t>
      </w:r>
      <w:bookmarkEnd w:id="20"/>
    </w:p>
    <w:tbl>
      <w:tblPr>
        <w:tblStyle w:val="a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
        <w:gridCol w:w="1576"/>
        <w:gridCol w:w="1276"/>
        <w:gridCol w:w="1276"/>
        <w:gridCol w:w="1275"/>
        <w:gridCol w:w="993"/>
        <w:gridCol w:w="1069"/>
      </w:tblGrid>
      <w:tr w:rsidR="00DE561E" w:rsidRPr="00263AA5" w14:paraId="2527904A" w14:textId="77777777" w:rsidTr="00C059D2">
        <w:trPr>
          <w:trHeight w:val="280"/>
          <w:jc w:val="center"/>
        </w:trPr>
        <w:tc>
          <w:tcPr>
            <w:tcW w:w="834" w:type="dxa"/>
            <w:tcBorders>
              <w:top w:val="single" w:sz="4" w:space="0" w:color="auto"/>
              <w:bottom w:val="single" w:sz="4" w:space="0" w:color="auto"/>
            </w:tcBorders>
            <w:noWrap/>
            <w:vAlign w:val="center"/>
          </w:tcPr>
          <w:p w14:paraId="171F66DB" w14:textId="77777777" w:rsidR="00FD764C" w:rsidRPr="00263AA5" w:rsidRDefault="00000000" w:rsidP="00EE0B9A">
            <w:pPr>
              <w:spacing w:after="0"/>
              <w:jc w:val="center"/>
              <w:rPr>
                <w:rFonts w:ascii="Times New Roman" w:hAnsi="Times New Roman" w:cs="Times New Roman"/>
                <w:sz w:val="18"/>
                <w:szCs w:val="20"/>
              </w:rPr>
            </w:pPr>
            <w:r w:rsidRPr="00263AA5">
              <w:rPr>
                <w:rFonts w:ascii="Times New Roman" w:hAnsi="Times New Roman" w:cs="Times New Roman"/>
                <w:sz w:val="18"/>
                <w:szCs w:val="20"/>
              </w:rPr>
              <w:t>Top n</w:t>
            </w:r>
          </w:p>
        </w:tc>
        <w:tc>
          <w:tcPr>
            <w:tcW w:w="1576" w:type="dxa"/>
            <w:tcBorders>
              <w:top w:val="single" w:sz="4" w:space="0" w:color="auto"/>
              <w:bottom w:val="single" w:sz="4" w:space="0" w:color="auto"/>
            </w:tcBorders>
            <w:noWrap/>
            <w:vAlign w:val="center"/>
          </w:tcPr>
          <w:p w14:paraId="2AB9913D" w14:textId="77777777" w:rsidR="00FD764C" w:rsidRPr="00263AA5" w:rsidRDefault="00000000" w:rsidP="00EE0B9A">
            <w:pPr>
              <w:spacing w:after="0"/>
              <w:jc w:val="center"/>
              <w:rPr>
                <w:rFonts w:ascii="Times New Roman" w:hAnsi="Times New Roman" w:cs="Times New Roman"/>
                <w:sz w:val="18"/>
                <w:szCs w:val="20"/>
              </w:rPr>
            </w:pPr>
            <w:r w:rsidRPr="00263AA5">
              <w:rPr>
                <w:rFonts w:ascii="Times New Roman" w:hAnsi="Times New Roman" w:cs="Times New Roman"/>
                <w:sz w:val="18"/>
                <w:szCs w:val="20"/>
              </w:rPr>
              <w:t>Model</w:t>
            </w:r>
          </w:p>
        </w:tc>
        <w:tc>
          <w:tcPr>
            <w:tcW w:w="1276" w:type="dxa"/>
            <w:tcBorders>
              <w:top w:val="single" w:sz="4" w:space="0" w:color="auto"/>
              <w:bottom w:val="single" w:sz="4" w:space="0" w:color="auto"/>
            </w:tcBorders>
            <w:noWrap/>
            <w:vAlign w:val="center"/>
          </w:tcPr>
          <w:p w14:paraId="2C05950C" w14:textId="77777777" w:rsidR="00FD764C" w:rsidRPr="00263AA5" w:rsidRDefault="00000000" w:rsidP="00EE0B9A">
            <w:pPr>
              <w:spacing w:after="0"/>
              <w:jc w:val="center"/>
              <w:rPr>
                <w:rFonts w:ascii="Times New Roman" w:hAnsi="Times New Roman" w:cs="Times New Roman"/>
                <w:sz w:val="18"/>
                <w:szCs w:val="20"/>
              </w:rPr>
            </w:pPr>
            <w:r w:rsidRPr="00263AA5">
              <w:rPr>
                <w:rFonts w:ascii="Times New Roman" w:hAnsi="Times New Roman" w:cs="Times New Roman"/>
                <w:sz w:val="18"/>
                <w:szCs w:val="20"/>
              </w:rPr>
              <w:t>At least one metabolite</w:t>
            </w:r>
          </w:p>
        </w:tc>
        <w:tc>
          <w:tcPr>
            <w:tcW w:w="1276" w:type="dxa"/>
            <w:tcBorders>
              <w:top w:val="single" w:sz="4" w:space="0" w:color="auto"/>
              <w:bottom w:val="single" w:sz="4" w:space="0" w:color="auto"/>
            </w:tcBorders>
            <w:noWrap/>
            <w:vAlign w:val="center"/>
          </w:tcPr>
          <w:p w14:paraId="6D33B690" w14:textId="77777777" w:rsidR="00FD764C" w:rsidRPr="00263AA5" w:rsidRDefault="00000000" w:rsidP="00EE0B9A">
            <w:pPr>
              <w:spacing w:after="0"/>
              <w:jc w:val="center"/>
              <w:rPr>
                <w:rFonts w:ascii="Times New Roman" w:hAnsi="Times New Roman" w:cs="Times New Roman"/>
                <w:sz w:val="18"/>
                <w:szCs w:val="20"/>
              </w:rPr>
            </w:pPr>
            <w:r w:rsidRPr="00263AA5">
              <w:rPr>
                <w:rFonts w:ascii="Times New Roman" w:hAnsi="Times New Roman" w:cs="Times New Roman"/>
                <w:sz w:val="18"/>
                <w:szCs w:val="20"/>
              </w:rPr>
              <w:t>At least half metabolites</w:t>
            </w:r>
          </w:p>
        </w:tc>
        <w:tc>
          <w:tcPr>
            <w:tcW w:w="1275" w:type="dxa"/>
            <w:tcBorders>
              <w:top w:val="single" w:sz="4" w:space="0" w:color="auto"/>
              <w:bottom w:val="single" w:sz="4" w:space="0" w:color="auto"/>
            </w:tcBorders>
            <w:noWrap/>
            <w:vAlign w:val="center"/>
          </w:tcPr>
          <w:p w14:paraId="73EF9DE8" w14:textId="77777777" w:rsidR="00FD764C" w:rsidRPr="00263AA5" w:rsidRDefault="00000000" w:rsidP="00EE0B9A">
            <w:pPr>
              <w:spacing w:after="0"/>
              <w:jc w:val="center"/>
              <w:rPr>
                <w:rFonts w:ascii="Times New Roman" w:hAnsi="Times New Roman" w:cs="Times New Roman"/>
                <w:sz w:val="18"/>
                <w:szCs w:val="20"/>
              </w:rPr>
            </w:pPr>
            <w:r w:rsidRPr="00263AA5">
              <w:rPr>
                <w:rFonts w:ascii="Times New Roman" w:hAnsi="Times New Roman" w:cs="Times New Roman"/>
                <w:sz w:val="18"/>
                <w:szCs w:val="20"/>
              </w:rPr>
              <w:t>All metabolites</w:t>
            </w:r>
          </w:p>
        </w:tc>
        <w:tc>
          <w:tcPr>
            <w:tcW w:w="993" w:type="dxa"/>
            <w:tcBorders>
              <w:top w:val="single" w:sz="4" w:space="0" w:color="auto"/>
              <w:bottom w:val="single" w:sz="4" w:space="0" w:color="auto"/>
            </w:tcBorders>
            <w:noWrap/>
            <w:vAlign w:val="center"/>
          </w:tcPr>
          <w:p w14:paraId="4A89C730" w14:textId="77777777" w:rsidR="00FD764C" w:rsidRPr="00263AA5" w:rsidRDefault="00000000" w:rsidP="00EE0B9A">
            <w:pPr>
              <w:spacing w:after="0"/>
              <w:jc w:val="center"/>
              <w:rPr>
                <w:rFonts w:ascii="Times New Roman" w:hAnsi="Times New Roman" w:cs="Times New Roman"/>
                <w:sz w:val="18"/>
                <w:szCs w:val="20"/>
              </w:rPr>
            </w:pPr>
            <w:r w:rsidRPr="00263AA5">
              <w:rPr>
                <w:rFonts w:ascii="Times New Roman" w:hAnsi="Times New Roman" w:cs="Times New Roman"/>
                <w:sz w:val="18"/>
                <w:szCs w:val="20"/>
              </w:rPr>
              <w:t>Precision</w:t>
            </w:r>
          </w:p>
        </w:tc>
        <w:tc>
          <w:tcPr>
            <w:tcW w:w="1069" w:type="dxa"/>
            <w:tcBorders>
              <w:top w:val="single" w:sz="4" w:space="0" w:color="auto"/>
              <w:bottom w:val="single" w:sz="4" w:space="0" w:color="auto"/>
            </w:tcBorders>
            <w:noWrap/>
            <w:vAlign w:val="center"/>
          </w:tcPr>
          <w:p w14:paraId="22AB6AA9" w14:textId="77777777" w:rsidR="00FD764C" w:rsidRPr="00263AA5" w:rsidRDefault="00000000" w:rsidP="00EE0B9A">
            <w:pPr>
              <w:spacing w:after="0"/>
              <w:jc w:val="center"/>
              <w:rPr>
                <w:rFonts w:ascii="Times New Roman" w:hAnsi="Times New Roman" w:cs="Times New Roman"/>
                <w:sz w:val="18"/>
                <w:szCs w:val="20"/>
              </w:rPr>
            </w:pPr>
            <w:r w:rsidRPr="00263AA5">
              <w:rPr>
                <w:rFonts w:ascii="Times New Roman" w:hAnsi="Times New Roman" w:cs="Times New Roman"/>
                <w:sz w:val="18"/>
                <w:szCs w:val="20"/>
              </w:rPr>
              <w:t>Recall</w:t>
            </w:r>
          </w:p>
        </w:tc>
      </w:tr>
      <w:tr w:rsidR="00DE561E" w:rsidRPr="00263AA5" w14:paraId="233259E1"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0" w:type="auto"/>
            <w:vMerge w:val="restart"/>
            <w:tcBorders>
              <w:top w:val="single" w:sz="4" w:space="0" w:color="auto"/>
              <w:left w:val="nil"/>
              <w:bottom w:val="nil"/>
              <w:right w:val="nil"/>
            </w:tcBorders>
            <w:vAlign w:val="center"/>
          </w:tcPr>
          <w:p w14:paraId="2809F424"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Top5</w:t>
            </w:r>
          </w:p>
        </w:tc>
        <w:tc>
          <w:tcPr>
            <w:tcW w:w="1576" w:type="dxa"/>
            <w:tcBorders>
              <w:top w:val="single" w:sz="4" w:space="0" w:color="auto"/>
              <w:left w:val="nil"/>
              <w:bottom w:val="nil"/>
              <w:right w:val="nil"/>
            </w:tcBorders>
          </w:tcPr>
          <w:p w14:paraId="20E7C64D"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MetaReact</w:t>
            </w:r>
          </w:p>
        </w:tc>
        <w:tc>
          <w:tcPr>
            <w:tcW w:w="1276" w:type="dxa"/>
            <w:tcBorders>
              <w:top w:val="single" w:sz="4" w:space="0" w:color="auto"/>
              <w:left w:val="nil"/>
              <w:bottom w:val="nil"/>
              <w:right w:val="nil"/>
            </w:tcBorders>
          </w:tcPr>
          <w:p w14:paraId="76AF2B72"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89.2%</w:t>
            </w:r>
          </w:p>
        </w:tc>
        <w:tc>
          <w:tcPr>
            <w:tcW w:w="1276" w:type="dxa"/>
            <w:tcBorders>
              <w:top w:val="single" w:sz="4" w:space="0" w:color="auto"/>
              <w:left w:val="nil"/>
              <w:bottom w:val="nil"/>
              <w:right w:val="nil"/>
            </w:tcBorders>
          </w:tcPr>
          <w:p w14:paraId="3922AC73"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72.3%</w:t>
            </w:r>
          </w:p>
        </w:tc>
        <w:tc>
          <w:tcPr>
            <w:tcW w:w="1275" w:type="dxa"/>
            <w:tcBorders>
              <w:top w:val="single" w:sz="4" w:space="0" w:color="auto"/>
              <w:left w:val="nil"/>
              <w:bottom w:val="nil"/>
              <w:right w:val="nil"/>
            </w:tcBorders>
          </w:tcPr>
          <w:p w14:paraId="023E9152"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41.5%</w:t>
            </w:r>
          </w:p>
        </w:tc>
        <w:tc>
          <w:tcPr>
            <w:tcW w:w="993" w:type="dxa"/>
            <w:tcBorders>
              <w:top w:val="single" w:sz="4" w:space="0" w:color="auto"/>
              <w:left w:val="nil"/>
              <w:bottom w:val="nil"/>
              <w:right w:val="nil"/>
            </w:tcBorders>
          </w:tcPr>
          <w:p w14:paraId="3559AC97"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32.3%</w:t>
            </w:r>
          </w:p>
        </w:tc>
        <w:tc>
          <w:tcPr>
            <w:tcW w:w="1069" w:type="dxa"/>
            <w:tcBorders>
              <w:top w:val="single" w:sz="4" w:space="0" w:color="auto"/>
              <w:left w:val="nil"/>
              <w:bottom w:val="nil"/>
              <w:right w:val="nil"/>
            </w:tcBorders>
          </w:tcPr>
          <w:p w14:paraId="4C3EE05E"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58.7%</w:t>
            </w:r>
          </w:p>
        </w:tc>
      </w:tr>
      <w:tr w:rsidR="00DE561E" w:rsidRPr="00263AA5" w14:paraId="060807DB"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0" w:type="auto"/>
            <w:vMerge/>
            <w:tcBorders>
              <w:top w:val="nil"/>
              <w:left w:val="nil"/>
              <w:bottom w:val="nil"/>
              <w:right w:val="nil"/>
            </w:tcBorders>
            <w:vAlign w:val="center"/>
          </w:tcPr>
          <w:p w14:paraId="5DAEDD82" w14:textId="77777777" w:rsidR="00C059D2" w:rsidRPr="00263AA5" w:rsidRDefault="00C059D2" w:rsidP="00C059D2">
            <w:pPr>
              <w:spacing w:after="0"/>
              <w:jc w:val="center"/>
              <w:rPr>
                <w:rFonts w:ascii="Times New Roman" w:hAnsi="Times New Roman" w:cs="Times New Roman"/>
                <w:sz w:val="18"/>
                <w:szCs w:val="20"/>
              </w:rPr>
            </w:pPr>
          </w:p>
        </w:tc>
        <w:tc>
          <w:tcPr>
            <w:tcW w:w="1576" w:type="dxa"/>
            <w:tcBorders>
              <w:top w:val="nil"/>
              <w:left w:val="nil"/>
              <w:bottom w:val="nil"/>
              <w:right w:val="nil"/>
            </w:tcBorders>
          </w:tcPr>
          <w:p w14:paraId="1874BD17"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MetaPredictor</w:t>
            </w:r>
          </w:p>
        </w:tc>
        <w:tc>
          <w:tcPr>
            <w:tcW w:w="1276" w:type="dxa"/>
            <w:tcBorders>
              <w:top w:val="nil"/>
              <w:left w:val="nil"/>
              <w:bottom w:val="nil"/>
              <w:right w:val="nil"/>
            </w:tcBorders>
          </w:tcPr>
          <w:p w14:paraId="5186CE4E"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87.7%</w:t>
            </w:r>
          </w:p>
        </w:tc>
        <w:tc>
          <w:tcPr>
            <w:tcW w:w="1276" w:type="dxa"/>
            <w:tcBorders>
              <w:top w:val="nil"/>
              <w:left w:val="nil"/>
              <w:bottom w:val="nil"/>
              <w:right w:val="nil"/>
            </w:tcBorders>
          </w:tcPr>
          <w:p w14:paraId="3BA573F5"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70.8%</w:t>
            </w:r>
          </w:p>
        </w:tc>
        <w:tc>
          <w:tcPr>
            <w:tcW w:w="1275" w:type="dxa"/>
            <w:tcBorders>
              <w:top w:val="nil"/>
              <w:left w:val="nil"/>
              <w:bottom w:val="nil"/>
              <w:right w:val="nil"/>
            </w:tcBorders>
          </w:tcPr>
          <w:p w14:paraId="555E4DE0"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35.4%</w:t>
            </w:r>
          </w:p>
        </w:tc>
        <w:tc>
          <w:tcPr>
            <w:tcW w:w="993" w:type="dxa"/>
            <w:tcBorders>
              <w:top w:val="nil"/>
              <w:left w:val="nil"/>
              <w:bottom w:val="nil"/>
              <w:right w:val="nil"/>
            </w:tcBorders>
          </w:tcPr>
          <w:p w14:paraId="1DDE7C58"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30.2%</w:t>
            </w:r>
          </w:p>
        </w:tc>
        <w:tc>
          <w:tcPr>
            <w:tcW w:w="1069" w:type="dxa"/>
            <w:tcBorders>
              <w:top w:val="nil"/>
              <w:left w:val="nil"/>
              <w:bottom w:val="nil"/>
              <w:right w:val="nil"/>
            </w:tcBorders>
          </w:tcPr>
          <w:p w14:paraId="7B54FA02"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54.7%</w:t>
            </w:r>
          </w:p>
        </w:tc>
      </w:tr>
      <w:tr w:rsidR="00DE561E" w:rsidRPr="00263AA5" w14:paraId="205B2B00"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0" w:type="auto"/>
            <w:vMerge/>
            <w:tcBorders>
              <w:top w:val="nil"/>
              <w:left w:val="nil"/>
              <w:bottom w:val="nil"/>
              <w:right w:val="nil"/>
            </w:tcBorders>
            <w:vAlign w:val="center"/>
          </w:tcPr>
          <w:p w14:paraId="7D220A09" w14:textId="77777777" w:rsidR="00C059D2" w:rsidRPr="00263AA5" w:rsidRDefault="00C059D2" w:rsidP="00C059D2">
            <w:pPr>
              <w:spacing w:after="0"/>
              <w:jc w:val="center"/>
              <w:rPr>
                <w:rFonts w:ascii="Times New Roman" w:hAnsi="Times New Roman" w:cs="Times New Roman"/>
                <w:sz w:val="18"/>
                <w:szCs w:val="20"/>
              </w:rPr>
            </w:pPr>
          </w:p>
        </w:tc>
        <w:tc>
          <w:tcPr>
            <w:tcW w:w="1576" w:type="dxa"/>
            <w:tcBorders>
              <w:top w:val="nil"/>
              <w:left w:val="nil"/>
              <w:bottom w:val="nil"/>
              <w:right w:val="nil"/>
            </w:tcBorders>
          </w:tcPr>
          <w:p w14:paraId="1DE8054A"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MetaTrans</w:t>
            </w:r>
          </w:p>
        </w:tc>
        <w:tc>
          <w:tcPr>
            <w:tcW w:w="1276" w:type="dxa"/>
            <w:tcBorders>
              <w:top w:val="nil"/>
              <w:left w:val="nil"/>
              <w:bottom w:val="nil"/>
              <w:right w:val="nil"/>
            </w:tcBorders>
          </w:tcPr>
          <w:p w14:paraId="691FB1D6"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80.0%</w:t>
            </w:r>
          </w:p>
        </w:tc>
        <w:tc>
          <w:tcPr>
            <w:tcW w:w="1276" w:type="dxa"/>
            <w:tcBorders>
              <w:top w:val="nil"/>
              <w:left w:val="nil"/>
              <w:bottom w:val="nil"/>
              <w:right w:val="nil"/>
            </w:tcBorders>
          </w:tcPr>
          <w:p w14:paraId="7FF6434B"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61.5%</w:t>
            </w:r>
          </w:p>
        </w:tc>
        <w:tc>
          <w:tcPr>
            <w:tcW w:w="1275" w:type="dxa"/>
            <w:tcBorders>
              <w:top w:val="nil"/>
              <w:left w:val="nil"/>
              <w:bottom w:val="nil"/>
              <w:right w:val="nil"/>
            </w:tcBorders>
          </w:tcPr>
          <w:p w14:paraId="25808B4F"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29.2%</w:t>
            </w:r>
          </w:p>
        </w:tc>
        <w:tc>
          <w:tcPr>
            <w:tcW w:w="993" w:type="dxa"/>
            <w:tcBorders>
              <w:top w:val="nil"/>
              <w:left w:val="nil"/>
              <w:bottom w:val="nil"/>
              <w:right w:val="nil"/>
            </w:tcBorders>
          </w:tcPr>
          <w:p w14:paraId="4F6D214D"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23.5%</w:t>
            </w:r>
          </w:p>
        </w:tc>
        <w:tc>
          <w:tcPr>
            <w:tcW w:w="1069" w:type="dxa"/>
            <w:tcBorders>
              <w:top w:val="nil"/>
              <w:left w:val="nil"/>
              <w:bottom w:val="nil"/>
              <w:right w:val="nil"/>
            </w:tcBorders>
          </w:tcPr>
          <w:p w14:paraId="28A36B61"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42.5%</w:t>
            </w:r>
          </w:p>
        </w:tc>
      </w:tr>
      <w:tr w:rsidR="00DE561E" w:rsidRPr="00263AA5" w14:paraId="38EC8D0E"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jc w:val="center"/>
        </w:trPr>
        <w:tc>
          <w:tcPr>
            <w:tcW w:w="0" w:type="auto"/>
            <w:vMerge/>
            <w:tcBorders>
              <w:top w:val="nil"/>
              <w:left w:val="nil"/>
              <w:bottom w:val="nil"/>
              <w:right w:val="nil"/>
            </w:tcBorders>
            <w:vAlign w:val="center"/>
          </w:tcPr>
          <w:p w14:paraId="648D72C5" w14:textId="77777777" w:rsidR="00C059D2" w:rsidRPr="00263AA5" w:rsidRDefault="00C059D2" w:rsidP="00C059D2">
            <w:pPr>
              <w:spacing w:after="0"/>
              <w:jc w:val="center"/>
              <w:rPr>
                <w:rFonts w:ascii="Times New Roman" w:hAnsi="Times New Roman" w:cs="Times New Roman"/>
                <w:sz w:val="18"/>
                <w:szCs w:val="20"/>
              </w:rPr>
            </w:pPr>
          </w:p>
        </w:tc>
        <w:tc>
          <w:tcPr>
            <w:tcW w:w="1576" w:type="dxa"/>
            <w:tcBorders>
              <w:top w:val="nil"/>
              <w:left w:val="nil"/>
              <w:bottom w:val="nil"/>
              <w:right w:val="nil"/>
            </w:tcBorders>
          </w:tcPr>
          <w:p w14:paraId="2178CC41"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GLORYx</w:t>
            </w:r>
          </w:p>
        </w:tc>
        <w:tc>
          <w:tcPr>
            <w:tcW w:w="1276" w:type="dxa"/>
            <w:tcBorders>
              <w:top w:val="nil"/>
              <w:left w:val="nil"/>
              <w:bottom w:val="nil"/>
              <w:right w:val="nil"/>
            </w:tcBorders>
          </w:tcPr>
          <w:p w14:paraId="3240A78A"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64.6%</w:t>
            </w:r>
          </w:p>
        </w:tc>
        <w:tc>
          <w:tcPr>
            <w:tcW w:w="1276" w:type="dxa"/>
            <w:tcBorders>
              <w:top w:val="nil"/>
              <w:left w:val="nil"/>
              <w:bottom w:val="nil"/>
              <w:right w:val="nil"/>
            </w:tcBorders>
          </w:tcPr>
          <w:p w14:paraId="75682F5F"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35.4%</w:t>
            </w:r>
          </w:p>
        </w:tc>
        <w:tc>
          <w:tcPr>
            <w:tcW w:w="1275" w:type="dxa"/>
            <w:tcBorders>
              <w:top w:val="nil"/>
              <w:left w:val="nil"/>
              <w:bottom w:val="nil"/>
              <w:right w:val="nil"/>
            </w:tcBorders>
          </w:tcPr>
          <w:p w14:paraId="38EE5256"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16.9%</w:t>
            </w:r>
          </w:p>
        </w:tc>
        <w:tc>
          <w:tcPr>
            <w:tcW w:w="993" w:type="dxa"/>
            <w:tcBorders>
              <w:top w:val="nil"/>
              <w:left w:val="nil"/>
              <w:bottom w:val="nil"/>
              <w:right w:val="nil"/>
            </w:tcBorders>
          </w:tcPr>
          <w:p w14:paraId="29D98CC7"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16.6%</w:t>
            </w:r>
          </w:p>
        </w:tc>
        <w:tc>
          <w:tcPr>
            <w:tcW w:w="1069" w:type="dxa"/>
            <w:tcBorders>
              <w:top w:val="nil"/>
              <w:left w:val="nil"/>
              <w:bottom w:val="nil"/>
              <w:right w:val="nil"/>
            </w:tcBorders>
          </w:tcPr>
          <w:p w14:paraId="19FA787A"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30.2%</w:t>
            </w:r>
          </w:p>
        </w:tc>
      </w:tr>
      <w:tr w:rsidR="00DE561E" w:rsidRPr="00263AA5" w14:paraId="4E5DC802"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0" w:type="auto"/>
            <w:vMerge/>
            <w:tcBorders>
              <w:top w:val="nil"/>
              <w:left w:val="nil"/>
              <w:bottom w:val="nil"/>
              <w:right w:val="nil"/>
            </w:tcBorders>
            <w:vAlign w:val="center"/>
          </w:tcPr>
          <w:p w14:paraId="65EC166B" w14:textId="77777777" w:rsidR="00C059D2" w:rsidRPr="00263AA5" w:rsidRDefault="00C059D2" w:rsidP="00C059D2">
            <w:pPr>
              <w:spacing w:after="0"/>
              <w:jc w:val="center"/>
              <w:rPr>
                <w:rFonts w:ascii="Times New Roman" w:hAnsi="Times New Roman" w:cs="Times New Roman"/>
                <w:sz w:val="18"/>
                <w:szCs w:val="20"/>
              </w:rPr>
            </w:pPr>
          </w:p>
        </w:tc>
        <w:tc>
          <w:tcPr>
            <w:tcW w:w="1576" w:type="dxa"/>
            <w:tcBorders>
              <w:top w:val="nil"/>
              <w:left w:val="nil"/>
              <w:bottom w:val="nil"/>
              <w:right w:val="nil"/>
            </w:tcBorders>
          </w:tcPr>
          <w:p w14:paraId="2D24F9E3"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SyGMa</w:t>
            </w:r>
          </w:p>
        </w:tc>
        <w:tc>
          <w:tcPr>
            <w:tcW w:w="1276" w:type="dxa"/>
            <w:tcBorders>
              <w:top w:val="nil"/>
              <w:left w:val="nil"/>
              <w:bottom w:val="nil"/>
              <w:right w:val="nil"/>
            </w:tcBorders>
          </w:tcPr>
          <w:p w14:paraId="7E934C55"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72.3%</w:t>
            </w:r>
          </w:p>
        </w:tc>
        <w:tc>
          <w:tcPr>
            <w:tcW w:w="1276" w:type="dxa"/>
            <w:tcBorders>
              <w:top w:val="nil"/>
              <w:left w:val="nil"/>
              <w:bottom w:val="nil"/>
              <w:right w:val="nil"/>
            </w:tcBorders>
          </w:tcPr>
          <w:p w14:paraId="73E45508"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55.4%</w:t>
            </w:r>
          </w:p>
        </w:tc>
        <w:tc>
          <w:tcPr>
            <w:tcW w:w="1275" w:type="dxa"/>
            <w:tcBorders>
              <w:top w:val="nil"/>
              <w:left w:val="nil"/>
              <w:bottom w:val="nil"/>
              <w:right w:val="nil"/>
            </w:tcBorders>
          </w:tcPr>
          <w:p w14:paraId="199F135D"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29.2%</w:t>
            </w:r>
          </w:p>
        </w:tc>
        <w:tc>
          <w:tcPr>
            <w:tcW w:w="993" w:type="dxa"/>
            <w:tcBorders>
              <w:top w:val="nil"/>
              <w:left w:val="nil"/>
              <w:bottom w:val="nil"/>
              <w:right w:val="nil"/>
            </w:tcBorders>
          </w:tcPr>
          <w:p w14:paraId="06B68937"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23.4%</w:t>
            </w:r>
          </w:p>
        </w:tc>
        <w:tc>
          <w:tcPr>
            <w:tcW w:w="1069" w:type="dxa"/>
            <w:tcBorders>
              <w:top w:val="nil"/>
              <w:left w:val="nil"/>
              <w:bottom w:val="nil"/>
              <w:right w:val="nil"/>
            </w:tcBorders>
          </w:tcPr>
          <w:p w14:paraId="23BABFD3"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42.4%</w:t>
            </w:r>
          </w:p>
        </w:tc>
      </w:tr>
      <w:tr w:rsidR="00DE561E" w:rsidRPr="00263AA5" w14:paraId="0324BDE2"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0" w:type="auto"/>
            <w:vMerge w:val="restart"/>
            <w:tcBorders>
              <w:top w:val="nil"/>
              <w:left w:val="nil"/>
              <w:bottom w:val="nil"/>
              <w:right w:val="nil"/>
            </w:tcBorders>
            <w:vAlign w:val="center"/>
          </w:tcPr>
          <w:p w14:paraId="7ECEE411"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Top10</w:t>
            </w:r>
          </w:p>
        </w:tc>
        <w:tc>
          <w:tcPr>
            <w:tcW w:w="1576" w:type="dxa"/>
            <w:tcBorders>
              <w:top w:val="nil"/>
              <w:left w:val="nil"/>
              <w:bottom w:val="nil"/>
              <w:right w:val="nil"/>
            </w:tcBorders>
          </w:tcPr>
          <w:p w14:paraId="62105D3B"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MetaReact</w:t>
            </w:r>
          </w:p>
        </w:tc>
        <w:tc>
          <w:tcPr>
            <w:tcW w:w="1276" w:type="dxa"/>
            <w:tcBorders>
              <w:top w:val="nil"/>
              <w:left w:val="nil"/>
              <w:bottom w:val="nil"/>
              <w:right w:val="nil"/>
            </w:tcBorders>
          </w:tcPr>
          <w:p w14:paraId="28D5806B"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95.4%</w:t>
            </w:r>
          </w:p>
        </w:tc>
        <w:tc>
          <w:tcPr>
            <w:tcW w:w="1276" w:type="dxa"/>
            <w:tcBorders>
              <w:top w:val="nil"/>
              <w:left w:val="nil"/>
              <w:bottom w:val="nil"/>
              <w:right w:val="nil"/>
            </w:tcBorders>
          </w:tcPr>
          <w:p w14:paraId="21AC5680"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84.6%</w:t>
            </w:r>
          </w:p>
        </w:tc>
        <w:tc>
          <w:tcPr>
            <w:tcW w:w="1275" w:type="dxa"/>
            <w:tcBorders>
              <w:top w:val="nil"/>
              <w:left w:val="nil"/>
              <w:bottom w:val="nil"/>
              <w:right w:val="nil"/>
            </w:tcBorders>
          </w:tcPr>
          <w:p w14:paraId="6B7F26DE"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55.4%</w:t>
            </w:r>
          </w:p>
        </w:tc>
        <w:tc>
          <w:tcPr>
            <w:tcW w:w="993" w:type="dxa"/>
            <w:tcBorders>
              <w:top w:val="nil"/>
              <w:left w:val="nil"/>
              <w:bottom w:val="nil"/>
              <w:right w:val="nil"/>
            </w:tcBorders>
          </w:tcPr>
          <w:p w14:paraId="0802FF99"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19.5%</w:t>
            </w:r>
          </w:p>
        </w:tc>
        <w:tc>
          <w:tcPr>
            <w:tcW w:w="1069" w:type="dxa"/>
            <w:tcBorders>
              <w:top w:val="nil"/>
              <w:left w:val="nil"/>
              <w:bottom w:val="nil"/>
              <w:right w:val="nil"/>
            </w:tcBorders>
          </w:tcPr>
          <w:p w14:paraId="76144840"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70.9%</w:t>
            </w:r>
          </w:p>
        </w:tc>
      </w:tr>
      <w:tr w:rsidR="00DE561E" w:rsidRPr="00263AA5" w14:paraId="74E6913E"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jc w:val="center"/>
        </w:trPr>
        <w:tc>
          <w:tcPr>
            <w:tcW w:w="0" w:type="auto"/>
            <w:vMerge/>
            <w:tcBorders>
              <w:top w:val="nil"/>
              <w:left w:val="nil"/>
              <w:bottom w:val="nil"/>
              <w:right w:val="nil"/>
            </w:tcBorders>
            <w:vAlign w:val="center"/>
          </w:tcPr>
          <w:p w14:paraId="339539AE" w14:textId="77777777" w:rsidR="00C059D2" w:rsidRPr="00263AA5" w:rsidRDefault="00C059D2" w:rsidP="00C059D2">
            <w:pPr>
              <w:spacing w:after="0"/>
              <w:jc w:val="center"/>
              <w:rPr>
                <w:rFonts w:ascii="Times New Roman" w:hAnsi="Times New Roman" w:cs="Times New Roman"/>
                <w:sz w:val="18"/>
                <w:szCs w:val="20"/>
              </w:rPr>
            </w:pPr>
          </w:p>
        </w:tc>
        <w:tc>
          <w:tcPr>
            <w:tcW w:w="1576" w:type="dxa"/>
            <w:tcBorders>
              <w:top w:val="nil"/>
              <w:left w:val="nil"/>
              <w:bottom w:val="nil"/>
              <w:right w:val="nil"/>
            </w:tcBorders>
          </w:tcPr>
          <w:p w14:paraId="7ED292FD"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MetaPredictor</w:t>
            </w:r>
          </w:p>
        </w:tc>
        <w:tc>
          <w:tcPr>
            <w:tcW w:w="1276" w:type="dxa"/>
            <w:tcBorders>
              <w:top w:val="nil"/>
              <w:left w:val="nil"/>
              <w:bottom w:val="nil"/>
              <w:right w:val="nil"/>
            </w:tcBorders>
          </w:tcPr>
          <w:p w14:paraId="6F5DEF64"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92.3%</w:t>
            </w:r>
          </w:p>
        </w:tc>
        <w:tc>
          <w:tcPr>
            <w:tcW w:w="1276" w:type="dxa"/>
            <w:tcBorders>
              <w:top w:val="nil"/>
              <w:left w:val="nil"/>
              <w:bottom w:val="nil"/>
              <w:right w:val="nil"/>
            </w:tcBorders>
          </w:tcPr>
          <w:p w14:paraId="01B5B65C"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78.5%</w:t>
            </w:r>
          </w:p>
        </w:tc>
        <w:tc>
          <w:tcPr>
            <w:tcW w:w="1275" w:type="dxa"/>
            <w:tcBorders>
              <w:top w:val="nil"/>
              <w:left w:val="nil"/>
              <w:bottom w:val="nil"/>
              <w:right w:val="nil"/>
            </w:tcBorders>
          </w:tcPr>
          <w:p w14:paraId="3321919C"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43.1%</w:t>
            </w:r>
          </w:p>
        </w:tc>
        <w:tc>
          <w:tcPr>
            <w:tcW w:w="993" w:type="dxa"/>
            <w:tcBorders>
              <w:top w:val="nil"/>
              <w:left w:val="nil"/>
              <w:bottom w:val="nil"/>
              <w:right w:val="nil"/>
            </w:tcBorders>
          </w:tcPr>
          <w:p w14:paraId="29DBCB44"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17.1%</w:t>
            </w:r>
          </w:p>
        </w:tc>
        <w:tc>
          <w:tcPr>
            <w:tcW w:w="1069" w:type="dxa"/>
            <w:tcBorders>
              <w:top w:val="nil"/>
              <w:left w:val="nil"/>
              <w:bottom w:val="nil"/>
              <w:right w:val="nil"/>
            </w:tcBorders>
          </w:tcPr>
          <w:p w14:paraId="7011C605"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62.0%</w:t>
            </w:r>
          </w:p>
        </w:tc>
      </w:tr>
      <w:tr w:rsidR="00DE561E" w:rsidRPr="00263AA5" w14:paraId="7C0EE709"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0" w:type="auto"/>
            <w:vMerge/>
            <w:tcBorders>
              <w:top w:val="nil"/>
              <w:left w:val="nil"/>
              <w:bottom w:val="nil"/>
              <w:right w:val="nil"/>
            </w:tcBorders>
            <w:vAlign w:val="center"/>
          </w:tcPr>
          <w:p w14:paraId="4C5EF939" w14:textId="77777777" w:rsidR="00C059D2" w:rsidRPr="00263AA5" w:rsidRDefault="00C059D2" w:rsidP="00C059D2">
            <w:pPr>
              <w:spacing w:after="0"/>
              <w:jc w:val="center"/>
              <w:rPr>
                <w:rFonts w:ascii="Times New Roman" w:hAnsi="Times New Roman" w:cs="Times New Roman"/>
                <w:sz w:val="18"/>
                <w:szCs w:val="20"/>
              </w:rPr>
            </w:pPr>
          </w:p>
        </w:tc>
        <w:tc>
          <w:tcPr>
            <w:tcW w:w="1576" w:type="dxa"/>
            <w:tcBorders>
              <w:top w:val="nil"/>
              <w:left w:val="nil"/>
              <w:bottom w:val="nil"/>
              <w:right w:val="nil"/>
            </w:tcBorders>
          </w:tcPr>
          <w:p w14:paraId="728BE9BA"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MetaTrans</w:t>
            </w:r>
          </w:p>
        </w:tc>
        <w:tc>
          <w:tcPr>
            <w:tcW w:w="1276" w:type="dxa"/>
            <w:tcBorders>
              <w:top w:val="nil"/>
              <w:left w:val="nil"/>
              <w:bottom w:val="nil"/>
              <w:right w:val="nil"/>
            </w:tcBorders>
          </w:tcPr>
          <w:p w14:paraId="7C928598"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95.4%</w:t>
            </w:r>
          </w:p>
        </w:tc>
        <w:tc>
          <w:tcPr>
            <w:tcW w:w="1276" w:type="dxa"/>
            <w:tcBorders>
              <w:top w:val="nil"/>
              <w:left w:val="nil"/>
              <w:bottom w:val="nil"/>
              <w:right w:val="nil"/>
            </w:tcBorders>
          </w:tcPr>
          <w:p w14:paraId="1C1C1055"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80.0%</w:t>
            </w:r>
          </w:p>
        </w:tc>
        <w:tc>
          <w:tcPr>
            <w:tcW w:w="1275" w:type="dxa"/>
            <w:tcBorders>
              <w:top w:val="nil"/>
              <w:left w:val="nil"/>
              <w:bottom w:val="nil"/>
              <w:right w:val="nil"/>
            </w:tcBorders>
          </w:tcPr>
          <w:p w14:paraId="7BAB46F2"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44.6%</w:t>
            </w:r>
          </w:p>
        </w:tc>
        <w:tc>
          <w:tcPr>
            <w:tcW w:w="993" w:type="dxa"/>
            <w:tcBorders>
              <w:top w:val="nil"/>
              <w:left w:val="nil"/>
              <w:bottom w:val="nil"/>
              <w:right w:val="nil"/>
            </w:tcBorders>
          </w:tcPr>
          <w:p w14:paraId="74CDA959"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15.0%</w:t>
            </w:r>
          </w:p>
        </w:tc>
        <w:tc>
          <w:tcPr>
            <w:tcW w:w="1069" w:type="dxa"/>
            <w:tcBorders>
              <w:top w:val="nil"/>
              <w:left w:val="nil"/>
              <w:bottom w:val="nil"/>
              <w:right w:val="nil"/>
            </w:tcBorders>
          </w:tcPr>
          <w:p w14:paraId="10E6A9DB"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57.5%</w:t>
            </w:r>
          </w:p>
        </w:tc>
      </w:tr>
      <w:tr w:rsidR="00DE561E" w:rsidRPr="00263AA5" w14:paraId="24AA24A2"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0" w:type="auto"/>
            <w:vMerge/>
            <w:tcBorders>
              <w:top w:val="nil"/>
              <w:left w:val="nil"/>
              <w:bottom w:val="nil"/>
              <w:right w:val="nil"/>
            </w:tcBorders>
            <w:vAlign w:val="center"/>
          </w:tcPr>
          <w:p w14:paraId="62C2321D" w14:textId="77777777" w:rsidR="00C059D2" w:rsidRPr="00263AA5" w:rsidRDefault="00C059D2" w:rsidP="00C059D2">
            <w:pPr>
              <w:spacing w:after="0"/>
              <w:jc w:val="center"/>
              <w:rPr>
                <w:rFonts w:ascii="Times New Roman" w:hAnsi="Times New Roman" w:cs="Times New Roman"/>
                <w:sz w:val="18"/>
                <w:szCs w:val="20"/>
              </w:rPr>
            </w:pPr>
          </w:p>
        </w:tc>
        <w:tc>
          <w:tcPr>
            <w:tcW w:w="1576" w:type="dxa"/>
            <w:tcBorders>
              <w:top w:val="nil"/>
              <w:left w:val="nil"/>
              <w:bottom w:val="nil"/>
              <w:right w:val="nil"/>
            </w:tcBorders>
          </w:tcPr>
          <w:p w14:paraId="4F096777"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GLORYx</w:t>
            </w:r>
          </w:p>
        </w:tc>
        <w:tc>
          <w:tcPr>
            <w:tcW w:w="1276" w:type="dxa"/>
            <w:tcBorders>
              <w:top w:val="nil"/>
              <w:left w:val="nil"/>
              <w:bottom w:val="nil"/>
              <w:right w:val="nil"/>
            </w:tcBorders>
          </w:tcPr>
          <w:p w14:paraId="36D30D68"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80.0%</w:t>
            </w:r>
          </w:p>
        </w:tc>
        <w:tc>
          <w:tcPr>
            <w:tcW w:w="1276" w:type="dxa"/>
            <w:tcBorders>
              <w:top w:val="nil"/>
              <w:left w:val="nil"/>
              <w:bottom w:val="nil"/>
              <w:right w:val="nil"/>
            </w:tcBorders>
          </w:tcPr>
          <w:p w14:paraId="59B62C11"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64.6%</w:t>
            </w:r>
          </w:p>
        </w:tc>
        <w:tc>
          <w:tcPr>
            <w:tcW w:w="1275" w:type="dxa"/>
            <w:tcBorders>
              <w:top w:val="nil"/>
              <w:left w:val="nil"/>
              <w:bottom w:val="nil"/>
              <w:right w:val="nil"/>
            </w:tcBorders>
          </w:tcPr>
          <w:p w14:paraId="3CC5677C"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27.7%</w:t>
            </w:r>
          </w:p>
        </w:tc>
        <w:tc>
          <w:tcPr>
            <w:tcW w:w="993" w:type="dxa"/>
            <w:tcBorders>
              <w:top w:val="nil"/>
              <w:left w:val="nil"/>
              <w:bottom w:val="nil"/>
              <w:right w:val="nil"/>
            </w:tcBorders>
          </w:tcPr>
          <w:p w14:paraId="7C1FDBAE"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14.3%</w:t>
            </w:r>
          </w:p>
        </w:tc>
        <w:tc>
          <w:tcPr>
            <w:tcW w:w="1069" w:type="dxa"/>
            <w:tcBorders>
              <w:top w:val="nil"/>
              <w:left w:val="nil"/>
              <w:bottom w:val="nil"/>
              <w:right w:val="nil"/>
            </w:tcBorders>
          </w:tcPr>
          <w:p w14:paraId="6D3BA808"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51.9%</w:t>
            </w:r>
          </w:p>
        </w:tc>
      </w:tr>
      <w:tr w:rsidR="00DE561E" w:rsidRPr="00263AA5" w14:paraId="4DE7F29C"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jc w:val="center"/>
        </w:trPr>
        <w:tc>
          <w:tcPr>
            <w:tcW w:w="0" w:type="auto"/>
            <w:vMerge/>
            <w:tcBorders>
              <w:top w:val="nil"/>
              <w:left w:val="nil"/>
              <w:bottom w:val="nil"/>
              <w:right w:val="nil"/>
            </w:tcBorders>
            <w:vAlign w:val="center"/>
          </w:tcPr>
          <w:p w14:paraId="2E4C19B8" w14:textId="77777777" w:rsidR="00C059D2" w:rsidRPr="00263AA5" w:rsidRDefault="00C059D2" w:rsidP="00C059D2">
            <w:pPr>
              <w:spacing w:after="0"/>
              <w:jc w:val="center"/>
              <w:rPr>
                <w:rFonts w:ascii="Times New Roman" w:hAnsi="Times New Roman" w:cs="Times New Roman"/>
                <w:sz w:val="18"/>
                <w:szCs w:val="20"/>
              </w:rPr>
            </w:pPr>
          </w:p>
        </w:tc>
        <w:tc>
          <w:tcPr>
            <w:tcW w:w="1576" w:type="dxa"/>
            <w:tcBorders>
              <w:top w:val="nil"/>
              <w:left w:val="nil"/>
              <w:bottom w:val="nil"/>
              <w:right w:val="nil"/>
            </w:tcBorders>
          </w:tcPr>
          <w:p w14:paraId="38836A88"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SyGMa</w:t>
            </w:r>
          </w:p>
        </w:tc>
        <w:tc>
          <w:tcPr>
            <w:tcW w:w="1276" w:type="dxa"/>
            <w:tcBorders>
              <w:top w:val="nil"/>
              <w:left w:val="nil"/>
              <w:bottom w:val="nil"/>
              <w:right w:val="nil"/>
            </w:tcBorders>
          </w:tcPr>
          <w:p w14:paraId="249AB036"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87.7%</w:t>
            </w:r>
          </w:p>
        </w:tc>
        <w:tc>
          <w:tcPr>
            <w:tcW w:w="1276" w:type="dxa"/>
            <w:tcBorders>
              <w:top w:val="nil"/>
              <w:left w:val="nil"/>
              <w:bottom w:val="nil"/>
              <w:right w:val="nil"/>
            </w:tcBorders>
          </w:tcPr>
          <w:p w14:paraId="5D66C20F"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75.4%</w:t>
            </w:r>
          </w:p>
        </w:tc>
        <w:tc>
          <w:tcPr>
            <w:tcW w:w="1275" w:type="dxa"/>
            <w:tcBorders>
              <w:top w:val="nil"/>
              <w:left w:val="nil"/>
              <w:bottom w:val="nil"/>
              <w:right w:val="nil"/>
            </w:tcBorders>
          </w:tcPr>
          <w:p w14:paraId="4A2FAD5D"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43.1%</w:t>
            </w:r>
          </w:p>
        </w:tc>
        <w:tc>
          <w:tcPr>
            <w:tcW w:w="993" w:type="dxa"/>
            <w:tcBorders>
              <w:top w:val="nil"/>
              <w:left w:val="nil"/>
              <w:bottom w:val="nil"/>
              <w:right w:val="nil"/>
            </w:tcBorders>
          </w:tcPr>
          <w:p w14:paraId="221AA28D"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16.2%</w:t>
            </w:r>
          </w:p>
        </w:tc>
        <w:tc>
          <w:tcPr>
            <w:tcW w:w="1069" w:type="dxa"/>
            <w:tcBorders>
              <w:top w:val="nil"/>
              <w:left w:val="nil"/>
              <w:bottom w:val="nil"/>
              <w:right w:val="nil"/>
            </w:tcBorders>
          </w:tcPr>
          <w:p w14:paraId="72DAC5EC"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58.7%</w:t>
            </w:r>
          </w:p>
        </w:tc>
      </w:tr>
      <w:tr w:rsidR="00DE561E" w:rsidRPr="00263AA5" w14:paraId="69BA9C75"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0" w:type="auto"/>
            <w:vMerge w:val="restart"/>
            <w:tcBorders>
              <w:top w:val="nil"/>
              <w:left w:val="nil"/>
              <w:bottom w:val="nil"/>
              <w:right w:val="nil"/>
            </w:tcBorders>
            <w:vAlign w:val="center"/>
          </w:tcPr>
          <w:p w14:paraId="56531885"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Top13</w:t>
            </w:r>
          </w:p>
        </w:tc>
        <w:tc>
          <w:tcPr>
            <w:tcW w:w="1576" w:type="dxa"/>
            <w:tcBorders>
              <w:top w:val="nil"/>
              <w:left w:val="nil"/>
              <w:bottom w:val="nil"/>
              <w:right w:val="nil"/>
            </w:tcBorders>
          </w:tcPr>
          <w:p w14:paraId="4CE09BF4"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MetaReact</w:t>
            </w:r>
          </w:p>
        </w:tc>
        <w:tc>
          <w:tcPr>
            <w:tcW w:w="1276" w:type="dxa"/>
            <w:tcBorders>
              <w:top w:val="nil"/>
              <w:left w:val="nil"/>
              <w:bottom w:val="nil"/>
              <w:right w:val="nil"/>
            </w:tcBorders>
          </w:tcPr>
          <w:p w14:paraId="5FCBC039"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96.9%</w:t>
            </w:r>
          </w:p>
        </w:tc>
        <w:tc>
          <w:tcPr>
            <w:tcW w:w="1276" w:type="dxa"/>
            <w:tcBorders>
              <w:top w:val="nil"/>
              <w:left w:val="nil"/>
              <w:bottom w:val="nil"/>
              <w:right w:val="nil"/>
            </w:tcBorders>
          </w:tcPr>
          <w:p w14:paraId="269A29B8"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90.8%</w:t>
            </w:r>
          </w:p>
        </w:tc>
        <w:tc>
          <w:tcPr>
            <w:tcW w:w="1275" w:type="dxa"/>
            <w:tcBorders>
              <w:top w:val="nil"/>
              <w:left w:val="nil"/>
              <w:bottom w:val="nil"/>
              <w:right w:val="nil"/>
            </w:tcBorders>
          </w:tcPr>
          <w:p w14:paraId="033F379D"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60.0%</w:t>
            </w:r>
          </w:p>
        </w:tc>
        <w:tc>
          <w:tcPr>
            <w:tcW w:w="993" w:type="dxa"/>
            <w:tcBorders>
              <w:top w:val="nil"/>
              <w:left w:val="nil"/>
              <w:bottom w:val="nil"/>
              <w:right w:val="nil"/>
            </w:tcBorders>
          </w:tcPr>
          <w:p w14:paraId="2B452541"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15.9%</w:t>
            </w:r>
          </w:p>
        </w:tc>
        <w:tc>
          <w:tcPr>
            <w:tcW w:w="1069" w:type="dxa"/>
            <w:tcBorders>
              <w:top w:val="nil"/>
              <w:left w:val="nil"/>
              <w:bottom w:val="nil"/>
              <w:right w:val="nil"/>
            </w:tcBorders>
          </w:tcPr>
          <w:p w14:paraId="16B2F055"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74.9%</w:t>
            </w:r>
          </w:p>
        </w:tc>
      </w:tr>
      <w:tr w:rsidR="00DE561E" w:rsidRPr="00263AA5" w14:paraId="270D726A"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0" w:type="auto"/>
            <w:vMerge/>
            <w:tcBorders>
              <w:top w:val="nil"/>
              <w:left w:val="nil"/>
              <w:bottom w:val="nil"/>
              <w:right w:val="nil"/>
            </w:tcBorders>
            <w:vAlign w:val="center"/>
          </w:tcPr>
          <w:p w14:paraId="37111B75" w14:textId="77777777" w:rsidR="00C059D2" w:rsidRPr="00263AA5" w:rsidRDefault="00C059D2" w:rsidP="00C059D2">
            <w:pPr>
              <w:spacing w:after="0"/>
              <w:jc w:val="center"/>
              <w:rPr>
                <w:rFonts w:ascii="Times New Roman" w:hAnsi="Times New Roman" w:cs="Times New Roman"/>
                <w:sz w:val="18"/>
                <w:szCs w:val="20"/>
              </w:rPr>
            </w:pPr>
          </w:p>
        </w:tc>
        <w:tc>
          <w:tcPr>
            <w:tcW w:w="1576" w:type="dxa"/>
            <w:tcBorders>
              <w:top w:val="nil"/>
              <w:left w:val="nil"/>
              <w:bottom w:val="nil"/>
              <w:right w:val="nil"/>
            </w:tcBorders>
          </w:tcPr>
          <w:p w14:paraId="26572103"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MetaPredictor</w:t>
            </w:r>
          </w:p>
        </w:tc>
        <w:tc>
          <w:tcPr>
            <w:tcW w:w="1276" w:type="dxa"/>
            <w:tcBorders>
              <w:top w:val="nil"/>
              <w:left w:val="nil"/>
              <w:bottom w:val="nil"/>
              <w:right w:val="nil"/>
            </w:tcBorders>
          </w:tcPr>
          <w:p w14:paraId="779A2AD5"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93.8%</w:t>
            </w:r>
          </w:p>
        </w:tc>
        <w:tc>
          <w:tcPr>
            <w:tcW w:w="1276" w:type="dxa"/>
            <w:tcBorders>
              <w:top w:val="nil"/>
              <w:left w:val="nil"/>
              <w:bottom w:val="nil"/>
              <w:right w:val="nil"/>
            </w:tcBorders>
          </w:tcPr>
          <w:p w14:paraId="706A16CD"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83.1%</w:t>
            </w:r>
          </w:p>
        </w:tc>
        <w:tc>
          <w:tcPr>
            <w:tcW w:w="1275" w:type="dxa"/>
            <w:tcBorders>
              <w:top w:val="nil"/>
              <w:left w:val="nil"/>
              <w:bottom w:val="nil"/>
              <w:right w:val="nil"/>
            </w:tcBorders>
          </w:tcPr>
          <w:p w14:paraId="30F9A631"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44.6%</w:t>
            </w:r>
          </w:p>
        </w:tc>
        <w:tc>
          <w:tcPr>
            <w:tcW w:w="993" w:type="dxa"/>
            <w:tcBorders>
              <w:top w:val="nil"/>
              <w:left w:val="nil"/>
              <w:bottom w:val="nil"/>
              <w:right w:val="nil"/>
            </w:tcBorders>
          </w:tcPr>
          <w:p w14:paraId="7469790B"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11.2%</w:t>
            </w:r>
          </w:p>
        </w:tc>
        <w:tc>
          <w:tcPr>
            <w:tcW w:w="1069" w:type="dxa"/>
            <w:tcBorders>
              <w:top w:val="nil"/>
              <w:left w:val="nil"/>
              <w:bottom w:val="nil"/>
              <w:right w:val="nil"/>
            </w:tcBorders>
          </w:tcPr>
          <w:p w14:paraId="0D5593A2"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65.4%</w:t>
            </w:r>
          </w:p>
        </w:tc>
      </w:tr>
      <w:tr w:rsidR="00DE561E" w:rsidRPr="00263AA5" w14:paraId="7EAC6B53"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0" w:type="auto"/>
            <w:vMerge/>
            <w:tcBorders>
              <w:top w:val="nil"/>
              <w:left w:val="nil"/>
              <w:bottom w:val="nil"/>
              <w:right w:val="nil"/>
            </w:tcBorders>
            <w:vAlign w:val="center"/>
          </w:tcPr>
          <w:p w14:paraId="49EB07B3" w14:textId="77777777" w:rsidR="00C059D2" w:rsidRPr="00263AA5" w:rsidRDefault="00C059D2" w:rsidP="00C059D2">
            <w:pPr>
              <w:spacing w:after="0"/>
              <w:jc w:val="center"/>
              <w:rPr>
                <w:rFonts w:ascii="Times New Roman" w:hAnsi="Times New Roman" w:cs="Times New Roman"/>
                <w:sz w:val="18"/>
                <w:szCs w:val="20"/>
              </w:rPr>
            </w:pPr>
          </w:p>
        </w:tc>
        <w:tc>
          <w:tcPr>
            <w:tcW w:w="1576" w:type="dxa"/>
            <w:tcBorders>
              <w:top w:val="nil"/>
              <w:left w:val="nil"/>
              <w:bottom w:val="nil"/>
              <w:right w:val="nil"/>
            </w:tcBorders>
          </w:tcPr>
          <w:p w14:paraId="58934AE6"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MetaTrans</w:t>
            </w:r>
          </w:p>
        </w:tc>
        <w:tc>
          <w:tcPr>
            <w:tcW w:w="1276" w:type="dxa"/>
            <w:tcBorders>
              <w:top w:val="nil"/>
              <w:left w:val="nil"/>
              <w:bottom w:val="nil"/>
              <w:right w:val="nil"/>
            </w:tcBorders>
          </w:tcPr>
          <w:p w14:paraId="25AD3079"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95.4%</w:t>
            </w:r>
          </w:p>
        </w:tc>
        <w:tc>
          <w:tcPr>
            <w:tcW w:w="1276" w:type="dxa"/>
            <w:tcBorders>
              <w:top w:val="nil"/>
              <w:left w:val="nil"/>
              <w:bottom w:val="nil"/>
              <w:right w:val="nil"/>
            </w:tcBorders>
          </w:tcPr>
          <w:p w14:paraId="00296069"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81.5%</w:t>
            </w:r>
          </w:p>
        </w:tc>
        <w:tc>
          <w:tcPr>
            <w:tcW w:w="1275" w:type="dxa"/>
            <w:tcBorders>
              <w:top w:val="nil"/>
              <w:left w:val="nil"/>
              <w:bottom w:val="nil"/>
              <w:right w:val="nil"/>
            </w:tcBorders>
          </w:tcPr>
          <w:p w14:paraId="4E645670"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46.2%</w:t>
            </w:r>
          </w:p>
        </w:tc>
        <w:tc>
          <w:tcPr>
            <w:tcW w:w="993" w:type="dxa"/>
            <w:tcBorders>
              <w:top w:val="nil"/>
              <w:left w:val="nil"/>
              <w:bottom w:val="nil"/>
              <w:right w:val="nil"/>
            </w:tcBorders>
          </w:tcPr>
          <w:p w14:paraId="7A54ECAA"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12.0%</w:t>
            </w:r>
          </w:p>
        </w:tc>
        <w:tc>
          <w:tcPr>
            <w:tcW w:w="1069" w:type="dxa"/>
            <w:tcBorders>
              <w:top w:val="nil"/>
              <w:left w:val="nil"/>
              <w:bottom w:val="nil"/>
              <w:right w:val="nil"/>
            </w:tcBorders>
          </w:tcPr>
          <w:p w14:paraId="27082627"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60.9%</w:t>
            </w:r>
          </w:p>
        </w:tc>
      </w:tr>
      <w:tr w:rsidR="00DE561E" w:rsidRPr="00263AA5" w14:paraId="153CB5CB"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jc w:val="center"/>
        </w:trPr>
        <w:tc>
          <w:tcPr>
            <w:tcW w:w="0" w:type="auto"/>
            <w:vMerge/>
            <w:tcBorders>
              <w:top w:val="nil"/>
              <w:left w:val="nil"/>
              <w:bottom w:val="nil"/>
              <w:right w:val="nil"/>
            </w:tcBorders>
            <w:vAlign w:val="center"/>
          </w:tcPr>
          <w:p w14:paraId="379E4218" w14:textId="77777777" w:rsidR="00C059D2" w:rsidRPr="00263AA5" w:rsidRDefault="00C059D2" w:rsidP="00C059D2">
            <w:pPr>
              <w:spacing w:after="0"/>
              <w:jc w:val="center"/>
              <w:rPr>
                <w:rFonts w:ascii="Times New Roman" w:hAnsi="Times New Roman" w:cs="Times New Roman"/>
                <w:sz w:val="18"/>
                <w:szCs w:val="20"/>
              </w:rPr>
            </w:pPr>
          </w:p>
        </w:tc>
        <w:tc>
          <w:tcPr>
            <w:tcW w:w="1576" w:type="dxa"/>
            <w:tcBorders>
              <w:top w:val="nil"/>
              <w:left w:val="nil"/>
              <w:bottom w:val="nil"/>
              <w:right w:val="nil"/>
            </w:tcBorders>
          </w:tcPr>
          <w:p w14:paraId="4D5A5EC5"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GLORYx</w:t>
            </w:r>
          </w:p>
        </w:tc>
        <w:tc>
          <w:tcPr>
            <w:tcW w:w="1276" w:type="dxa"/>
            <w:tcBorders>
              <w:top w:val="nil"/>
              <w:left w:val="nil"/>
              <w:bottom w:val="nil"/>
              <w:right w:val="nil"/>
            </w:tcBorders>
          </w:tcPr>
          <w:p w14:paraId="1EF2936B"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86.2%</w:t>
            </w:r>
          </w:p>
        </w:tc>
        <w:tc>
          <w:tcPr>
            <w:tcW w:w="1276" w:type="dxa"/>
            <w:tcBorders>
              <w:top w:val="nil"/>
              <w:left w:val="nil"/>
              <w:bottom w:val="nil"/>
              <w:right w:val="nil"/>
            </w:tcBorders>
          </w:tcPr>
          <w:p w14:paraId="5B0E4045"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76.9%</w:t>
            </w:r>
          </w:p>
        </w:tc>
        <w:tc>
          <w:tcPr>
            <w:tcW w:w="1275" w:type="dxa"/>
            <w:tcBorders>
              <w:top w:val="nil"/>
              <w:left w:val="nil"/>
              <w:bottom w:val="nil"/>
              <w:right w:val="nil"/>
            </w:tcBorders>
          </w:tcPr>
          <w:p w14:paraId="4CC46D15"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41.5%</w:t>
            </w:r>
          </w:p>
        </w:tc>
        <w:tc>
          <w:tcPr>
            <w:tcW w:w="993" w:type="dxa"/>
            <w:tcBorders>
              <w:top w:val="nil"/>
              <w:left w:val="nil"/>
              <w:bottom w:val="nil"/>
              <w:right w:val="nil"/>
            </w:tcBorders>
          </w:tcPr>
          <w:p w14:paraId="2699AC8D"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12.8%</w:t>
            </w:r>
          </w:p>
        </w:tc>
        <w:tc>
          <w:tcPr>
            <w:tcW w:w="1069" w:type="dxa"/>
            <w:tcBorders>
              <w:top w:val="nil"/>
              <w:left w:val="nil"/>
              <w:bottom w:val="nil"/>
              <w:right w:val="nil"/>
            </w:tcBorders>
          </w:tcPr>
          <w:p w14:paraId="707D629B"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60.3%</w:t>
            </w:r>
          </w:p>
        </w:tc>
      </w:tr>
      <w:tr w:rsidR="00DE561E" w:rsidRPr="00263AA5" w14:paraId="049E21A6"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0" w:type="auto"/>
            <w:vMerge/>
            <w:tcBorders>
              <w:top w:val="nil"/>
              <w:left w:val="nil"/>
              <w:bottom w:val="nil"/>
              <w:right w:val="nil"/>
            </w:tcBorders>
            <w:vAlign w:val="center"/>
          </w:tcPr>
          <w:p w14:paraId="5516EC5C" w14:textId="77777777" w:rsidR="00C059D2" w:rsidRPr="00263AA5" w:rsidRDefault="00C059D2" w:rsidP="00C059D2">
            <w:pPr>
              <w:spacing w:after="0"/>
              <w:jc w:val="center"/>
              <w:rPr>
                <w:rFonts w:ascii="Times New Roman" w:hAnsi="Times New Roman" w:cs="Times New Roman"/>
                <w:sz w:val="18"/>
                <w:szCs w:val="20"/>
              </w:rPr>
            </w:pPr>
          </w:p>
        </w:tc>
        <w:tc>
          <w:tcPr>
            <w:tcW w:w="1576" w:type="dxa"/>
            <w:tcBorders>
              <w:top w:val="nil"/>
              <w:left w:val="nil"/>
              <w:bottom w:val="nil"/>
              <w:right w:val="nil"/>
            </w:tcBorders>
          </w:tcPr>
          <w:p w14:paraId="6B76676D"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SyGMa</w:t>
            </w:r>
          </w:p>
        </w:tc>
        <w:tc>
          <w:tcPr>
            <w:tcW w:w="1276" w:type="dxa"/>
            <w:tcBorders>
              <w:top w:val="nil"/>
              <w:left w:val="nil"/>
              <w:bottom w:val="nil"/>
              <w:right w:val="nil"/>
            </w:tcBorders>
          </w:tcPr>
          <w:p w14:paraId="386AB0EA"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89.2%</w:t>
            </w:r>
          </w:p>
        </w:tc>
        <w:tc>
          <w:tcPr>
            <w:tcW w:w="1276" w:type="dxa"/>
            <w:tcBorders>
              <w:top w:val="nil"/>
              <w:left w:val="nil"/>
              <w:bottom w:val="nil"/>
              <w:right w:val="nil"/>
            </w:tcBorders>
          </w:tcPr>
          <w:p w14:paraId="7011E5A2"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78.5%</w:t>
            </w:r>
          </w:p>
        </w:tc>
        <w:tc>
          <w:tcPr>
            <w:tcW w:w="1275" w:type="dxa"/>
            <w:tcBorders>
              <w:top w:val="nil"/>
              <w:left w:val="nil"/>
              <w:bottom w:val="nil"/>
              <w:right w:val="nil"/>
            </w:tcBorders>
          </w:tcPr>
          <w:p w14:paraId="79A375E1"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44.6%</w:t>
            </w:r>
          </w:p>
        </w:tc>
        <w:tc>
          <w:tcPr>
            <w:tcW w:w="993" w:type="dxa"/>
            <w:tcBorders>
              <w:top w:val="nil"/>
              <w:left w:val="nil"/>
              <w:bottom w:val="nil"/>
              <w:right w:val="nil"/>
            </w:tcBorders>
          </w:tcPr>
          <w:p w14:paraId="0EEE26A9"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13.6%</w:t>
            </w:r>
          </w:p>
        </w:tc>
        <w:tc>
          <w:tcPr>
            <w:tcW w:w="1069" w:type="dxa"/>
            <w:tcBorders>
              <w:top w:val="nil"/>
              <w:left w:val="nil"/>
              <w:bottom w:val="nil"/>
              <w:right w:val="nil"/>
            </w:tcBorders>
          </w:tcPr>
          <w:p w14:paraId="614DE6DA"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64.2%</w:t>
            </w:r>
          </w:p>
        </w:tc>
      </w:tr>
      <w:tr w:rsidR="00DE561E" w:rsidRPr="00263AA5" w14:paraId="79685FA8"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0" w:type="auto"/>
            <w:vMerge/>
            <w:tcBorders>
              <w:top w:val="nil"/>
              <w:left w:val="nil"/>
              <w:bottom w:val="nil"/>
              <w:right w:val="nil"/>
            </w:tcBorders>
            <w:vAlign w:val="center"/>
          </w:tcPr>
          <w:p w14:paraId="417D98B9" w14:textId="77777777" w:rsidR="00C059D2" w:rsidRPr="00263AA5" w:rsidRDefault="00C059D2" w:rsidP="00C059D2">
            <w:pPr>
              <w:spacing w:after="0"/>
              <w:jc w:val="center"/>
              <w:rPr>
                <w:rFonts w:ascii="Times New Roman" w:hAnsi="Times New Roman" w:cs="Times New Roman"/>
                <w:sz w:val="18"/>
                <w:szCs w:val="20"/>
              </w:rPr>
            </w:pPr>
          </w:p>
        </w:tc>
        <w:tc>
          <w:tcPr>
            <w:tcW w:w="1576" w:type="dxa"/>
            <w:tcBorders>
              <w:top w:val="nil"/>
              <w:left w:val="nil"/>
              <w:bottom w:val="nil"/>
              <w:right w:val="nil"/>
            </w:tcBorders>
          </w:tcPr>
          <w:p w14:paraId="0A58CCA0"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BioTransformer</w:t>
            </w:r>
          </w:p>
        </w:tc>
        <w:tc>
          <w:tcPr>
            <w:tcW w:w="1276" w:type="dxa"/>
            <w:tcBorders>
              <w:top w:val="nil"/>
              <w:left w:val="nil"/>
              <w:bottom w:val="nil"/>
              <w:right w:val="nil"/>
            </w:tcBorders>
          </w:tcPr>
          <w:p w14:paraId="0BAEBA52"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87.7%</w:t>
            </w:r>
          </w:p>
        </w:tc>
        <w:tc>
          <w:tcPr>
            <w:tcW w:w="1276" w:type="dxa"/>
            <w:tcBorders>
              <w:top w:val="nil"/>
              <w:left w:val="nil"/>
              <w:bottom w:val="nil"/>
              <w:right w:val="nil"/>
            </w:tcBorders>
          </w:tcPr>
          <w:p w14:paraId="492E8500"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78.5%</w:t>
            </w:r>
          </w:p>
        </w:tc>
        <w:tc>
          <w:tcPr>
            <w:tcW w:w="1275" w:type="dxa"/>
            <w:tcBorders>
              <w:top w:val="nil"/>
              <w:left w:val="nil"/>
              <w:bottom w:val="nil"/>
              <w:right w:val="nil"/>
            </w:tcBorders>
          </w:tcPr>
          <w:p w14:paraId="18B12718"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44.6%</w:t>
            </w:r>
          </w:p>
        </w:tc>
        <w:tc>
          <w:tcPr>
            <w:tcW w:w="993" w:type="dxa"/>
            <w:tcBorders>
              <w:top w:val="nil"/>
              <w:left w:val="nil"/>
              <w:bottom w:val="nil"/>
              <w:right w:val="nil"/>
            </w:tcBorders>
          </w:tcPr>
          <w:p w14:paraId="5F35923E"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13.5%</w:t>
            </w:r>
          </w:p>
        </w:tc>
        <w:tc>
          <w:tcPr>
            <w:tcW w:w="1069" w:type="dxa"/>
            <w:tcBorders>
              <w:top w:val="nil"/>
              <w:left w:val="nil"/>
              <w:bottom w:val="nil"/>
              <w:right w:val="nil"/>
            </w:tcBorders>
          </w:tcPr>
          <w:p w14:paraId="25383C27"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64.2%</w:t>
            </w:r>
          </w:p>
        </w:tc>
      </w:tr>
      <w:tr w:rsidR="00DE561E" w:rsidRPr="00263AA5" w14:paraId="6FE2E7B7"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jc w:val="center"/>
        </w:trPr>
        <w:tc>
          <w:tcPr>
            <w:tcW w:w="0" w:type="auto"/>
            <w:vMerge w:val="restart"/>
            <w:tcBorders>
              <w:top w:val="nil"/>
              <w:left w:val="nil"/>
              <w:bottom w:val="nil"/>
              <w:right w:val="nil"/>
            </w:tcBorders>
            <w:vAlign w:val="center"/>
          </w:tcPr>
          <w:p w14:paraId="342AB8C7"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Top20</w:t>
            </w:r>
          </w:p>
        </w:tc>
        <w:tc>
          <w:tcPr>
            <w:tcW w:w="1576" w:type="dxa"/>
            <w:tcBorders>
              <w:top w:val="nil"/>
              <w:left w:val="nil"/>
              <w:bottom w:val="nil"/>
              <w:right w:val="nil"/>
            </w:tcBorders>
          </w:tcPr>
          <w:p w14:paraId="65FF70CC"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MetaReact</w:t>
            </w:r>
          </w:p>
        </w:tc>
        <w:tc>
          <w:tcPr>
            <w:tcW w:w="1276" w:type="dxa"/>
            <w:tcBorders>
              <w:top w:val="nil"/>
              <w:left w:val="nil"/>
              <w:bottom w:val="nil"/>
              <w:right w:val="nil"/>
            </w:tcBorders>
          </w:tcPr>
          <w:p w14:paraId="13973F64"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96.9%</w:t>
            </w:r>
          </w:p>
        </w:tc>
        <w:tc>
          <w:tcPr>
            <w:tcW w:w="1276" w:type="dxa"/>
            <w:tcBorders>
              <w:top w:val="nil"/>
              <w:left w:val="nil"/>
              <w:bottom w:val="nil"/>
              <w:right w:val="nil"/>
            </w:tcBorders>
          </w:tcPr>
          <w:p w14:paraId="2C67ADC8"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95.4%</w:t>
            </w:r>
          </w:p>
        </w:tc>
        <w:tc>
          <w:tcPr>
            <w:tcW w:w="1275" w:type="dxa"/>
            <w:tcBorders>
              <w:top w:val="nil"/>
              <w:left w:val="nil"/>
              <w:bottom w:val="nil"/>
              <w:right w:val="nil"/>
            </w:tcBorders>
          </w:tcPr>
          <w:p w14:paraId="20828BF4"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63.1%</w:t>
            </w:r>
          </w:p>
        </w:tc>
        <w:tc>
          <w:tcPr>
            <w:tcW w:w="993" w:type="dxa"/>
            <w:tcBorders>
              <w:top w:val="nil"/>
              <w:left w:val="nil"/>
              <w:bottom w:val="nil"/>
              <w:right w:val="nil"/>
            </w:tcBorders>
          </w:tcPr>
          <w:p w14:paraId="4B3FCF41"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11.0%</w:t>
            </w:r>
          </w:p>
        </w:tc>
        <w:tc>
          <w:tcPr>
            <w:tcW w:w="1069" w:type="dxa"/>
            <w:tcBorders>
              <w:top w:val="nil"/>
              <w:left w:val="nil"/>
              <w:bottom w:val="nil"/>
              <w:right w:val="nil"/>
            </w:tcBorders>
          </w:tcPr>
          <w:p w14:paraId="69FED29E" w14:textId="77777777" w:rsidR="00C059D2" w:rsidRPr="00263AA5" w:rsidRDefault="00C059D2" w:rsidP="00C059D2">
            <w:pPr>
              <w:spacing w:after="0"/>
              <w:jc w:val="center"/>
              <w:rPr>
                <w:rFonts w:ascii="Times New Roman" w:hAnsi="Times New Roman" w:cs="Times New Roman"/>
                <w:b/>
                <w:bCs/>
                <w:sz w:val="18"/>
                <w:szCs w:val="20"/>
              </w:rPr>
            </w:pPr>
            <w:r w:rsidRPr="00263AA5">
              <w:rPr>
                <w:rFonts w:ascii="Times New Roman" w:hAnsi="Times New Roman" w:cs="Times New Roman"/>
                <w:b/>
                <w:bCs/>
                <w:sz w:val="18"/>
                <w:szCs w:val="20"/>
              </w:rPr>
              <w:t>79.3%</w:t>
            </w:r>
          </w:p>
        </w:tc>
      </w:tr>
      <w:tr w:rsidR="00DE561E" w:rsidRPr="00263AA5" w14:paraId="18DDE25B"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0" w:type="auto"/>
            <w:vMerge/>
            <w:tcBorders>
              <w:top w:val="nil"/>
              <w:left w:val="nil"/>
              <w:bottom w:val="nil"/>
              <w:right w:val="nil"/>
            </w:tcBorders>
          </w:tcPr>
          <w:p w14:paraId="6EE03C08" w14:textId="77777777" w:rsidR="00C059D2" w:rsidRPr="00263AA5" w:rsidRDefault="00C059D2" w:rsidP="00C059D2">
            <w:pPr>
              <w:spacing w:after="0"/>
              <w:jc w:val="center"/>
              <w:rPr>
                <w:rFonts w:ascii="Times New Roman" w:hAnsi="Times New Roman" w:cs="Times New Roman"/>
                <w:sz w:val="18"/>
                <w:szCs w:val="20"/>
              </w:rPr>
            </w:pPr>
          </w:p>
        </w:tc>
        <w:tc>
          <w:tcPr>
            <w:tcW w:w="1576" w:type="dxa"/>
            <w:tcBorders>
              <w:top w:val="nil"/>
              <w:left w:val="nil"/>
              <w:bottom w:val="nil"/>
              <w:right w:val="nil"/>
            </w:tcBorders>
          </w:tcPr>
          <w:p w14:paraId="2B6BF61E"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MetaPredictor</w:t>
            </w:r>
          </w:p>
        </w:tc>
        <w:tc>
          <w:tcPr>
            <w:tcW w:w="1276" w:type="dxa"/>
            <w:tcBorders>
              <w:top w:val="nil"/>
              <w:left w:val="nil"/>
              <w:bottom w:val="nil"/>
              <w:right w:val="nil"/>
            </w:tcBorders>
          </w:tcPr>
          <w:p w14:paraId="67CDB670"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95.4%</w:t>
            </w:r>
          </w:p>
        </w:tc>
        <w:tc>
          <w:tcPr>
            <w:tcW w:w="1276" w:type="dxa"/>
            <w:tcBorders>
              <w:top w:val="nil"/>
              <w:left w:val="nil"/>
              <w:bottom w:val="nil"/>
              <w:right w:val="nil"/>
            </w:tcBorders>
          </w:tcPr>
          <w:p w14:paraId="59DCC2D9"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86.2%</w:t>
            </w:r>
          </w:p>
        </w:tc>
        <w:tc>
          <w:tcPr>
            <w:tcW w:w="1275" w:type="dxa"/>
            <w:tcBorders>
              <w:top w:val="nil"/>
              <w:left w:val="nil"/>
              <w:bottom w:val="nil"/>
              <w:right w:val="nil"/>
            </w:tcBorders>
          </w:tcPr>
          <w:p w14:paraId="052BE8B6"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50.8%</w:t>
            </w:r>
          </w:p>
        </w:tc>
        <w:tc>
          <w:tcPr>
            <w:tcW w:w="993" w:type="dxa"/>
            <w:tcBorders>
              <w:top w:val="nil"/>
              <w:left w:val="nil"/>
              <w:bottom w:val="nil"/>
              <w:right w:val="nil"/>
            </w:tcBorders>
          </w:tcPr>
          <w:p w14:paraId="008B347C"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9.5%</w:t>
            </w:r>
          </w:p>
        </w:tc>
        <w:tc>
          <w:tcPr>
            <w:tcW w:w="1069" w:type="dxa"/>
            <w:tcBorders>
              <w:top w:val="nil"/>
              <w:left w:val="nil"/>
              <w:bottom w:val="nil"/>
              <w:right w:val="nil"/>
            </w:tcBorders>
          </w:tcPr>
          <w:p w14:paraId="77692C85"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68.7%</w:t>
            </w:r>
          </w:p>
        </w:tc>
      </w:tr>
      <w:tr w:rsidR="00DE561E" w:rsidRPr="00263AA5" w14:paraId="28DF1228"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0" w:type="auto"/>
            <w:vMerge/>
            <w:tcBorders>
              <w:top w:val="nil"/>
              <w:left w:val="nil"/>
              <w:bottom w:val="nil"/>
              <w:right w:val="nil"/>
            </w:tcBorders>
          </w:tcPr>
          <w:p w14:paraId="13417BA0" w14:textId="77777777" w:rsidR="00C059D2" w:rsidRPr="00263AA5" w:rsidRDefault="00C059D2" w:rsidP="00C059D2">
            <w:pPr>
              <w:spacing w:after="0"/>
              <w:jc w:val="center"/>
              <w:rPr>
                <w:rFonts w:ascii="Times New Roman" w:hAnsi="Times New Roman" w:cs="Times New Roman"/>
                <w:sz w:val="18"/>
                <w:szCs w:val="20"/>
              </w:rPr>
            </w:pPr>
          </w:p>
        </w:tc>
        <w:tc>
          <w:tcPr>
            <w:tcW w:w="1576" w:type="dxa"/>
            <w:tcBorders>
              <w:top w:val="nil"/>
              <w:left w:val="nil"/>
              <w:bottom w:val="nil"/>
              <w:right w:val="nil"/>
            </w:tcBorders>
          </w:tcPr>
          <w:p w14:paraId="5230764D"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MetaTrans</w:t>
            </w:r>
          </w:p>
        </w:tc>
        <w:tc>
          <w:tcPr>
            <w:tcW w:w="1276" w:type="dxa"/>
            <w:tcBorders>
              <w:top w:val="nil"/>
              <w:left w:val="nil"/>
              <w:bottom w:val="nil"/>
              <w:right w:val="nil"/>
            </w:tcBorders>
          </w:tcPr>
          <w:p w14:paraId="28374543"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96.9%</w:t>
            </w:r>
          </w:p>
        </w:tc>
        <w:tc>
          <w:tcPr>
            <w:tcW w:w="1276" w:type="dxa"/>
            <w:tcBorders>
              <w:top w:val="nil"/>
              <w:left w:val="nil"/>
              <w:bottom w:val="nil"/>
              <w:right w:val="nil"/>
            </w:tcBorders>
          </w:tcPr>
          <w:p w14:paraId="6B68D448"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86.2%</w:t>
            </w:r>
          </w:p>
        </w:tc>
        <w:tc>
          <w:tcPr>
            <w:tcW w:w="1275" w:type="dxa"/>
            <w:tcBorders>
              <w:top w:val="nil"/>
              <w:left w:val="nil"/>
              <w:bottom w:val="nil"/>
              <w:right w:val="nil"/>
            </w:tcBorders>
          </w:tcPr>
          <w:p w14:paraId="2FA4D028"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46.2%</w:t>
            </w:r>
          </w:p>
        </w:tc>
        <w:tc>
          <w:tcPr>
            <w:tcW w:w="993" w:type="dxa"/>
            <w:tcBorders>
              <w:top w:val="nil"/>
              <w:left w:val="nil"/>
              <w:bottom w:val="nil"/>
              <w:right w:val="nil"/>
            </w:tcBorders>
          </w:tcPr>
          <w:p w14:paraId="60D26E10"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8.7%</w:t>
            </w:r>
          </w:p>
        </w:tc>
        <w:tc>
          <w:tcPr>
            <w:tcW w:w="1069" w:type="dxa"/>
            <w:tcBorders>
              <w:top w:val="nil"/>
              <w:left w:val="nil"/>
              <w:bottom w:val="nil"/>
              <w:right w:val="nil"/>
            </w:tcBorders>
          </w:tcPr>
          <w:p w14:paraId="03D54C5C"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64.8%</w:t>
            </w:r>
          </w:p>
        </w:tc>
      </w:tr>
      <w:tr w:rsidR="00DE561E" w:rsidRPr="00263AA5" w14:paraId="5DEA6201"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jc w:val="center"/>
        </w:trPr>
        <w:tc>
          <w:tcPr>
            <w:tcW w:w="0" w:type="auto"/>
            <w:vMerge/>
            <w:tcBorders>
              <w:top w:val="nil"/>
              <w:left w:val="nil"/>
              <w:bottom w:val="nil"/>
              <w:right w:val="nil"/>
            </w:tcBorders>
          </w:tcPr>
          <w:p w14:paraId="10C84CDE" w14:textId="77777777" w:rsidR="00C059D2" w:rsidRPr="00263AA5" w:rsidRDefault="00C059D2" w:rsidP="00C059D2">
            <w:pPr>
              <w:spacing w:after="0"/>
              <w:jc w:val="center"/>
              <w:rPr>
                <w:rFonts w:ascii="Times New Roman" w:hAnsi="Times New Roman" w:cs="Times New Roman"/>
                <w:sz w:val="18"/>
                <w:szCs w:val="20"/>
              </w:rPr>
            </w:pPr>
          </w:p>
        </w:tc>
        <w:tc>
          <w:tcPr>
            <w:tcW w:w="1576" w:type="dxa"/>
            <w:tcBorders>
              <w:top w:val="nil"/>
              <w:left w:val="nil"/>
              <w:bottom w:val="nil"/>
              <w:right w:val="nil"/>
            </w:tcBorders>
          </w:tcPr>
          <w:p w14:paraId="6F39AD4C"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GLORYx</w:t>
            </w:r>
          </w:p>
        </w:tc>
        <w:tc>
          <w:tcPr>
            <w:tcW w:w="1276" w:type="dxa"/>
            <w:tcBorders>
              <w:top w:val="nil"/>
              <w:left w:val="nil"/>
              <w:bottom w:val="nil"/>
              <w:right w:val="nil"/>
            </w:tcBorders>
          </w:tcPr>
          <w:p w14:paraId="12BA35D9"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92.3%</w:t>
            </w:r>
          </w:p>
        </w:tc>
        <w:tc>
          <w:tcPr>
            <w:tcW w:w="1276" w:type="dxa"/>
            <w:tcBorders>
              <w:top w:val="nil"/>
              <w:left w:val="nil"/>
              <w:bottom w:val="nil"/>
              <w:right w:val="nil"/>
            </w:tcBorders>
          </w:tcPr>
          <w:p w14:paraId="0CB0756A"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86.2%</w:t>
            </w:r>
          </w:p>
        </w:tc>
        <w:tc>
          <w:tcPr>
            <w:tcW w:w="1275" w:type="dxa"/>
            <w:tcBorders>
              <w:top w:val="nil"/>
              <w:left w:val="nil"/>
              <w:bottom w:val="nil"/>
              <w:right w:val="nil"/>
            </w:tcBorders>
          </w:tcPr>
          <w:p w14:paraId="68952418"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52.3%</w:t>
            </w:r>
          </w:p>
        </w:tc>
        <w:tc>
          <w:tcPr>
            <w:tcW w:w="993" w:type="dxa"/>
            <w:tcBorders>
              <w:top w:val="nil"/>
              <w:left w:val="nil"/>
              <w:bottom w:val="nil"/>
              <w:right w:val="nil"/>
            </w:tcBorders>
          </w:tcPr>
          <w:p w14:paraId="3C969C96"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10.5%</w:t>
            </w:r>
          </w:p>
        </w:tc>
        <w:tc>
          <w:tcPr>
            <w:tcW w:w="1069" w:type="dxa"/>
            <w:tcBorders>
              <w:top w:val="nil"/>
              <w:left w:val="nil"/>
              <w:bottom w:val="nil"/>
              <w:right w:val="nil"/>
            </w:tcBorders>
          </w:tcPr>
          <w:p w14:paraId="79020799"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73.7%</w:t>
            </w:r>
          </w:p>
        </w:tc>
      </w:tr>
      <w:tr w:rsidR="00DE561E" w:rsidRPr="00263AA5" w14:paraId="060A1D39" w14:textId="77777777" w:rsidTr="00C059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0" w:type="auto"/>
            <w:vMerge/>
            <w:tcBorders>
              <w:top w:val="nil"/>
              <w:left w:val="nil"/>
              <w:bottom w:val="single" w:sz="4" w:space="0" w:color="auto"/>
              <w:right w:val="nil"/>
            </w:tcBorders>
          </w:tcPr>
          <w:p w14:paraId="03BEB016" w14:textId="77777777" w:rsidR="00C059D2" w:rsidRPr="00263AA5" w:rsidRDefault="00C059D2" w:rsidP="00C059D2">
            <w:pPr>
              <w:spacing w:after="0"/>
              <w:jc w:val="center"/>
              <w:rPr>
                <w:rFonts w:ascii="Times New Roman" w:hAnsi="Times New Roman" w:cs="Times New Roman"/>
                <w:sz w:val="18"/>
                <w:szCs w:val="20"/>
              </w:rPr>
            </w:pPr>
          </w:p>
        </w:tc>
        <w:tc>
          <w:tcPr>
            <w:tcW w:w="1576" w:type="dxa"/>
            <w:tcBorders>
              <w:top w:val="nil"/>
              <w:left w:val="nil"/>
              <w:bottom w:val="single" w:sz="4" w:space="0" w:color="auto"/>
              <w:right w:val="nil"/>
            </w:tcBorders>
          </w:tcPr>
          <w:p w14:paraId="4575E8CD"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SyGMa</w:t>
            </w:r>
          </w:p>
        </w:tc>
        <w:tc>
          <w:tcPr>
            <w:tcW w:w="1276" w:type="dxa"/>
            <w:tcBorders>
              <w:top w:val="nil"/>
              <w:left w:val="nil"/>
              <w:bottom w:val="single" w:sz="4" w:space="0" w:color="auto"/>
              <w:right w:val="nil"/>
            </w:tcBorders>
          </w:tcPr>
          <w:p w14:paraId="5770CBC6"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90.8%</w:t>
            </w:r>
          </w:p>
        </w:tc>
        <w:tc>
          <w:tcPr>
            <w:tcW w:w="1276" w:type="dxa"/>
            <w:tcBorders>
              <w:top w:val="nil"/>
              <w:left w:val="nil"/>
              <w:bottom w:val="single" w:sz="4" w:space="0" w:color="auto"/>
              <w:right w:val="nil"/>
            </w:tcBorders>
          </w:tcPr>
          <w:p w14:paraId="1D4659D3"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84.6%</w:t>
            </w:r>
          </w:p>
        </w:tc>
        <w:tc>
          <w:tcPr>
            <w:tcW w:w="1275" w:type="dxa"/>
            <w:tcBorders>
              <w:top w:val="nil"/>
              <w:left w:val="nil"/>
              <w:bottom w:val="single" w:sz="4" w:space="0" w:color="auto"/>
              <w:right w:val="nil"/>
            </w:tcBorders>
          </w:tcPr>
          <w:p w14:paraId="2EF0C6E6"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49.2%</w:t>
            </w:r>
          </w:p>
        </w:tc>
        <w:tc>
          <w:tcPr>
            <w:tcW w:w="993" w:type="dxa"/>
            <w:tcBorders>
              <w:top w:val="nil"/>
              <w:left w:val="nil"/>
              <w:bottom w:val="single" w:sz="4" w:space="0" w:color="auto"/>
              <w:right w:val="nil"/>
            </w:tcBorders>
          </w:tcPr>
          <w:p w14:paraId="660B37D3"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9.9%</w:t>
            </w:r>
          </w:p>
        </w:tc>
        <w:tc>
          <w:tcPr>
            <w:tcW w:w="1069" w:type="dxa"/>
            <w:tcBorders>
              <w:top w:val="nil"/>
              <w:left w:val="nil"/>
              <w:bottom w:val="single" w:sz="4" w:space="0" w:color="auto"/>
              <w:right w:val="nil"/>
            </w:tcBorders>
          </w:tcPr>
          <w:p w14:paraId="5769846D" w14:textId="77777777" w:rsidR="00C059D2" w:rsidRPr="00263AA5" w:rsidRDefault="00C059D2" w:rsidP="00C059D2">
            <w:pPr>
              <w:spacing w:after="0"/>
              <w:jc w:val="center"/>
              <w:rPr>
                <w:rFonts w:ascii="Times New Roman" w:hAnsi="Times New Roman" w:cs="Times New Roman"/>
                <w:sz w:val="18"/>
                <w:szCs w:val="20"/>
              </w:rPr>
            </w:pPr>
            <w:r w:rsidRPr="00263AA5">
              <w:rPr>
                <w:rFonts w:ascii="Times New Roman" w:hAnsi="Times New Roman" w:cs="Times New Roman"/>
                <w:sz w:val="18"/>
                <w:szCs w:val="20"/>
              </w:rPr>
              <w:t>70.9%</w:t>
            </w:r>
          </w:p>
        </w:tc>
      </w:tr>
    </w:tbl>
    <w:p w14:paraId="5DB02188" w14:textId="66ECEDE6" w:rsidR="001033E3" w:rsidRPr="00263AA5" w:rsidRDefault="001033E3" w:rsidP="001033E3">
      <w:pPr>
        <w:pStyle w:val="a3"/>
        <w:outlineLvl w:val="2"/>
      </w:pPr>
      <w:r w:rsidRPr="00263AA5">
        <w:lastRenderedPageBreak/>
        <w:t xml:space="preserve">Table S </w:t>
      </w:r>
      <w:r w:rsidR="0033711F">
        <w:rPr>
          <w:rFonts w:hint="eastAsia"/>
        </w:rPr>
        <w:t>3</w:t>
      </w:r>
      <w:r w:rsidRPr="00263AA5">
        <w:t xml:space="preserve">. </w:t>
      </w:r>
      <w:r w:rsidR="000174E5" w:rsidRPr="000174E5">
        <w:rPr>
          <w:rFonts w:hint="eastAsia"/>
        </w:rPr>
        <w:t>Overview of the L-data dataset</w:t>
      </w:r>
    </w:p>
    <w:tbl>
      <w:tblPr>
        <w:tblStyle w:val="af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0"/>
        <w:gridCol w:w="1846"/>
        <w:gridCol w:w="1983"/>
        <w:gridCol w:w="1276"/>
        <w:gridCol w:w="1361"/>
      </w:tblGrid>
      <w:tr w:rsidR="00B5721E" w:rsidRPr="00263AA5" w14:paraId="7A976A58" w14:textId="77777777" w:rsidTr="00B5721E">
        <w:trPr>
          <w:trHeight w:val="280"/>
          <w:jc w:val="center"/>
        </w:trPr>
        <w:tc>
          <w:tcPr>
            <w:tcW w:w="1108" w:type="pct"/>
            <w:tcBorders>
              <w:top w:val="single" w:sz="4" w:space="0" w:color="auto"/>
              <w:bottom w:val="single" w:sz="4" w:space="0" w:color="auto"/>
            </w:tcBorders>
            <w:noWrap/>
            <w:vAlign w:val="center"/>
          </w:tcPr>
          <w:p w14:paraId="1D800451" w14:textId="6164365D"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Drug Name</w:t>
            </w:r>
          </w:p>
        </w:tc>
        <w:tc>
          <w:tcPr>
            <w:tcW w:w="1111" w:type="pct"/>
            <w:tcBorders>
              <w:top w:val="single" w:sz="4" w:space="0" w:color="auto"/>
              <w:bottom w:val="single" w:sz="4" w:space="0" w:color="auto"/>
            </w:tcBorders>
            <w:noWrap/>
            <w:vAlign w:val="center"/>
          </w:tcPr>
          <w:p w14:paraId="53325E88" w14:textId="7FC32B76"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Substrate SMILES</w:t>
            </w:r>
          </w:p>
        </w:tc>
        <w:tc>
          <w:tcPr>
            <w:tcW w:w="1194" w:type="pct"/>
            <w:tcBorders>
              <w:top w:val="single" w:sz="4" w:space="0" w:color="auto"/>
              <w:bottom w:val="single" w:sz="4" w:space="0" w:color="auto"/>
            </w:tcBorders>
            <w:noWrap/>
            <w:vAlign w:val="center"/>
          </w:tcPr>
          <w:p w14:paraId="4E616FB5" w14:textId="1CEB8ADF"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Major Metabolite SMILES</w:t>
            </w:r>
          </w:p>
        </w:tc>
        <w:tc>
          <w:tcPr>
            <w:tcW w:w="768" w:type="pct"/>
            <w:tcBorders>
              <w:top w:val="single" w:sz="4" w:space="0" w:color="auto"/>
              <w:bottom w:val="single" w:sz="4" w:space="0" w:color="auto"/>
            </w:tcBorders>
            <w:noWrap/>
            <w:vAlign w:val="center"/>
          </w:tcPr>
          <w:p w14:paraId="0B07469A" w14:textId="76610195"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Exposure (%)</w:t>
            </w:r>
          </w:p>
        </w:tc>
        <w:tc>
          <w:tcPr>
            <w:tcW w:w="819" w:type="pct"/>
            <w:tcBorders>
              <w:top w:val="single" w:sz="4" w:space="0" w:color="auto"/>
              <w:bottom w:val="single" w:sz="4" w:space="0" w:color="auto"/>
            </w:tcBorders>
            <w:noWrap/>
            <w:vAlign w:val="center"/>
          </w:tcPr>
          <w:p w14:paraId="312C3F3D" w14:textId="46CABE40" w:rsidR="00B5721E" w:rsidRPr="00B5721E" w:rsidRDefault="00B5721E" w:rsidP="00B5721E">
            <w:pPr>
              <w:spacing w:after="0"/>
              <w:jc w:val="center"/>
              <w:rPr>
                <w:rFonts w:ascii="Times New Roman" w:hAnsi="Times New Roman" w:cs="Times New Roman"/>
                <w:sz w:val="18"/>
                <w:szCs w:val="18"/>
              </w:rPr>
            </w:pPr>
            <w:r w:rsidRPr="00B5721E">
              <w:rPr>
                <w:rFonts w:ascii="Times New Roman" w:eastAsia="等线" w:hAnsi="Times New Roman" w:cs="Times New Roman"/>
                <w:color w:val="000000"/>
                <w:sz w:val="18"/>
                <w:szCs w:val="18"/>
              </w:rPr>
              <w:t>Source DOI</w:t>
            </w:r>
          </w:p>
        </w:tc>
      </w:tr>
      <w:tr w:rsidR="00B5721E" w:rsidRPr="00263AA5" w14:paraId="023A92B5"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single" w:sz="4" w:space="0" w:color="auto"/>
              <w:left w:val="nil"/>
              <w:bottom w:val="nil"/>
              <w:right w:val="nil"/>
            </w:tcBorders>
            <w:vAlign w:val="center"/>
          </w:tcPr>
          <w:p w14:paraId="76B89548" w14:textId="2B9872EB"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Simnotrelvir (SIM0417)</w:t>
            </w:r>
          </w:p>
        </w:tc>
        <w:tc>
          <w:tcPr>
            <w:tcW w:w="1111" w:type="pct"/>
            <w:tcBorders>
              <w:top w:val="single" w:sz="4" w:space="0" w:color="auto"/>
              <w:left w:val="nil"/>
              <w:bottom w:val="nil"/>
              <w:right w:val="nil"/>
            </w:tcBorders>
            <w:vAlign w:val="center"/>
          </w:tcPr>
          <w:p w14:paraId="2243D69B" w14:textId="7CC975B3" w:rsidR="00B5721E" w:rsidRPr="001033E3" w:rsidRDefault="00B5721E" w:rsidP="00B5721E">
            <w:pPr>
              <w:spacing w:after="0"/>
              <w:jc w:val="both"/>
              <w:rPr>
                <w:rFonts w:ascii="Times New Roman" w:hAnsi="Times New Roman" w:cs="Times New Roman"/>
                <w:b/>
                <w:bCs/>
                <w:sz w:val="18"/>
                <w:szCs w:val="18"/>
              </w:rPr>
            </w:pPr>
            <w:r w:rsidRPr="001033E3">
              <w:rPr>
                <w:rFonts w:ascii="Times New Roman" w:eastAsia="等线" w:hAnsi="Times New Roman" w:cs="Times New Roman"/>
                <w:color w:val="000000"/>
                <w:sz w:val="18"/>
                <w:szCs w:val="18"/>
              </w:rPr>
              <w:t>CC(C)(C)[C@H](NC(=O)C(F)(F)F)C(=O)N1CC2(C[C@H]1C(=O)N[C@H](C#N)C[C@@H]1CCNC1=O)SCCS2</w:t>
            </w:r>
          </w:p>
        </w:tc>
        <w:tc>
          <w:tcPr>
            <w:tcW w:w="1194" w:type="pct"/>
            <w:tcBorders>
              <w:top w:val="single" w:sz="4" w:space="0" w:color="auto"/>
              <w:left w:val="nil"/>
              <w:bottom w:val="nil"/>
              <w:right w:val="nil"/>
            </w:tcBorders>
            <w:vAlign w:val="center"/>
          </w:tcPr>
          <w:p w14:paraId="1F8CBE12" w14:textId="6672E70F" w:rsidR="00B5721E" w:rsidRPr="001033E3" w:rsidRDefault="00B5721E" w:rsidP="00B5721E">
            <w:pPr>
              <w:spacing w:after="0"/>
              <w:jc w:val="both"/>
              <w:rPr>
                <w:rFonts w:ascii="Times New Roman" w:hAnsi="Times New Roman" w:cs="Times New Roman"/>
                <w:b/>
                <w:bCs/>
                <w:sz w:val="18"/>
                <w:szCs w:val="18"/>
              </w:rPr>
            </w:pPr>
            <w:r w:rsidRPr="001033E3">
              <w:rPr>
                <w:rFonts w:ascii="Times New Roman" w:eastAsia="等线" w:hAnsi="Times New Roman" w:cs="Times New Roman"/>
                <w:color w:val="000000"/>
                <w:sz w:val="18"/>
                <w:szCs w:val="18"/>
              </w:rPr>
              <w:t>CC(C)(C)[C@H](NC(=O)C(F)(F)F)C(=O)N1CC2(C[C@H]1C(=O)N[C@@H](C[C@@H]1CCNC1=O)C(=O)O)SCCS2</w:t>
            </w:r>
          </w:p>
        </w:tc>
        <w:tc>
          <w:tcPr>
            <w:tcW w:w="768" w:type="pct"/>
            <w:tcBorders>
              <w:top w:val="single" w:sz="4" w:space="0" w:color="auto"/>
              <w:left w:val="nil"/>
              <w:bottom w:val="nil"/>
              <w:right w:val="nil"/>
            </w:tcBorders>
            <w:vAlign w:val="center"/>
          </w:tcPr>
          <w:p w14:paraId="75647022" w14:textId="0EF1BB24" w:rsidR="00B5721E" w:rsidRPr="00931F7E" w:rsidRDefault="00B5721E" w:rsidP="00B5721E">
            <w:pPr>
              <w:spacing w:after="0"/>
              <w:jc w:val="center"/>
              <w:rPr>
                <w:rFonts w:ascii="Times New Roman" w:hAnsi="Times New Roman" w:cs="Times New Roman"/>
                <w:b/>
                <w:bCs/>
                <w:sz w:val="18"/>
                <w:szCs w:val="18"/>
              </w:rPr>
            </w:pPr>
            <w:r w:rsidRPr="00931F7E">
              <w:rPr>
                <w:rFonts w:ascii="Times New Roman" w:eastAsia="等线" w:hAnsi="Times New Roman" w:cs="Times New Roman"/>
                <w:color w:val="000000"/>
                <w:sz w:val="18"/>
                <w:szCs w:val="18"/>
              </w:rPr>
              <w:t>12.70</w:t>
            </w:r>
          </w:p>
        </w:tc>
        <w:tc>
          <w:tcPr>
            <w:tcW w:w="819" w:type="pct"/>
            <w:tcBorders>
              <w:top w:val="single" w:sz="4" w:space="0" w:color="auto"/>
              <w:left w:val="nil"/>
              <w:bottom w:val="nil"/>
              <w:right w:val="nil"/>
            </w:tcBorders>
            <w:vAlign w:val="center"/>
          </w:tcPr>
          <w:p w14:paraId="292EC004" w14:textId="4ACBF20A" w:rsidR="00B5721E" w:rsidRPr="00B5721E" w:rsidRDefault="00B5721E" w:rsidP="00B5721E">
            <w:pPr>
              <w:spacing w:after="0"/>
              <w:jc w:val="both"/>
              <w:rPr>
                <w:rFonts w:ascii="Times New Roman" w:hAnsi="Times New Roman" w:cs="Times New Roman"/>
                <w:b/>
                <w:bCs/>
                <w:sz w:val="18"/>
                <w:szCs w:val="18"/>
              </w:rPr>
            </w:pPr>
            <w:hyperlink r:id="rId12" w:history="1">
              <w:r w:rsidRPr="00B5721E">
                <w:rPr>
                  <w:rStyle w:val="afa"/>
                  <w:rFonts w:ascii="Times New Roman" w:eastAsia="等线" w:hAnsi="Times New Roman" w:cs="Times New Roman"/>
                  <w:sz w:val="18"/>
                  <w:szCs w:val="18"/>
                </w:rPr>
                <w:t>https://doi.org/10.1038/s41401-024-01393-7</w:t>
              </w:r>
            </w:hyperlink>
          </w:p>
        </w:tc>
      </w:tr>
      <w:tr w:rsidR="00B5721E" w:rsidRPr="00263AA5" w14:paraId="23F00D30"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4AA3A043" w14:textId="7193A7CE"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Asundexian</w:t>
            </w:r>
          </w:p>
        </w:tc>
        <w:tc>
          <w:tcPr>
            <w:tcW w:w="1111" w:type="pct"/>
            <w:tcBorders>
              <w:top w:val="nil"/>
              <w:left w:val="nil"/>
              <w:bottom w:val="nil"/>
              <w:right w:val="nil"/>
            </w:tcBorders>
            <w:vAlign w:val="center"/>
          </w:tcPr>
          <w:p w14:paraId="024819A6" w14:textId="621CB0CD"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CC[C@@H](C(=O)Nc1ccc(C(N)=O)c(F)c1)n1cc(OC)c(-c2cc(Cl)ccc2-n2cc(C(F)(F)F)nn2)cc1=O</w:t>
            </w:r>
          </w:p>
        </w:tc>
        <w:tc>
          <w:tcPr>
            <w:tcW w:w="1194" w:type="pct"/>
            <w:tcBorders>
              <w:top w:val="nil"/>
              <w:left w:val="nil"/>
              <w:bottom w:val="nil"/>
              <w:right w:val="nil"/>
            </w:tcBorders>
            <w:vAlign w:val="center"/>
          </w:tcPr>
          <w:p w14:paraId="230CB54C" w14:textId="4D6241A8"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CC[C@@H](C(=O)O)n1cc(OC)c(-c2cc(Cl)ccc2-n2cc(C(F)(F)F)nn2)cc1=O</w:t>
            </w:r>
          </w:p>
        </w:tc>
        <w:tc>
          <w:tcPr>
            <w:tcW w:w="768" w:type="pct"/>
            <w:tcBorders>
              <w:top w:val="nil"/>
              <w:left w:val="nil"/>
              <w:bottom w:val="nil"/>
              <w:right w:val="nil"/>
            </w:tcBorders>
            <w:vAlign w:val="center"/>
          </w:tcPr>
          <w:p w14:paraId="3993DCBC" w14:textId="6AA51843"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47</w:t>
            </w:r>
          </w:p>
        </w:tc>
        <w:tc>
          <w:tcPr>
            <w:tcW w:w="819" w:type="pct"/>
            <w:tcBorders>
              <w:top w:val="nil"/>
              <w:left w:val="nil"/>
              <w:bottom w:val="nil"/>
              <w:right w:val="nil"/>
            </w:tcBorders>
            <w:vAlign w:val="center"/>
          </w:tcPr>
          <w:p w14:paraId="7887E4A5" w14:textId="6914591C" w:rsidR="00B5721E" w:rsidRPr="00B5721E" w:rsidRDefault="00B5721E" w:rsidP="00B5721E">
            <w:pPr>
              <w:spacing w:after="0"/>
              <w:jc w:val="both"/>
              <w:rPr>
                <w:rFonts w:ascii="Times New Roman" w:hAnsi="Times New Roman" w:cs="Times New Roman"/>
                <w:sz w:val="18"/>
                <w:szCs w:val="18"/>
              </w:rPr>
            </w:pPr>
            <w:hyperlink r:id="rId13" w:history="1">
              <w:r w:rsidRPr="00B5721E">
                <w:rPr>
                  <w:rStyle w:val="afa"/>
                  <w:rFonts w:ascii="Times New Roman" w:eastAsia="等线" w:hAnsi="Times New Roman" w:cs="Times New Roman"/>
                  <w:sz w:val="18"/>
                  <w:szCs w:val="18"/>
                </w:rPr>
                <w:t>https://doi.org/10.1007/s13318-023-00838-4</w:t>
              </w:r>
            </w:hyperlink>
          </w:p>
        </w:tc>
      </w:tr>
      <w:tr w:rsidR="00B5721E" w:rsidRPr="00263AA5" w14:paraId="41A40AAF"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0B1277A3" w14:textId="449F3B66"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2A2A2A"/>
                <w:sz w:val="18"/>
                <w:szCs w:val="18"/>
              </w:rPr>
              <w:t>Hexahydrocannabinol</w:t>
            </w:r>
          </w:p>
        </w:tc>
        <w:tc>
          <w:tcPr>
            <w:tcW w:w="1111" w:type="pct"/>
            <w:tcBorders>
              <w:top w:val="nil"/>
              <w:left w:val="nil"/>
              <w:bottom w:val="nil"/>
              <w:right w:val="nil"/>
            </w:tcBorders>
            <w:vAlign w:val="center"/>
          </w:tcPr>
          <w:p w14:paraId="5E8468A7" w14:textId="79149CF6"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CCCCCc1cc(O)c2c(c1)OC(C)(C)C1CCC(C)CC21</w:t>
            </w:r>
          </w:p>
        </w:tc>
        <w:tc>
          <w:tcPr>
            <w:tcW w:w="1194" w:type="pct"/>
            <w:tcBorders>
              <w:top w:val="nil"/>
              <w:left w:val="nil"/>
              <w:bottom w:val="nil"/>
              <w:right w:val="nil"/>
            </w:tcBorders>
            <w:vAlign w:val="center"/>
          </w:tcPr>
          <w:p w14:paraId="18AFB09A" w14:textId="65F94B38"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CCCCCc1cc(O)c2c(c1)OC(C)(C)C1CCC(CO)CC21</w:t>
            </w:r>
          </w:p>
        </w:tc>
        <w:tc>
          <w:tcPr>
            <w:tcW w:w="768" w:type="pct"/>
            <w:tcBorders>
              <w:top w:val="nil"/>
              <w:left w:val="nil"/>
              <w:bottom w:val="nil"/>
              <w:right w:val="nil"/>
            </w:tcBorders>
            <w:vAlign w:val="center"/>
          </w:tcPr>
          <w:p w14:paraId="2716C6EF" w14:textId="435A8574"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Not reported</w:t>
            </w:r>
          </w:p>
        </w:tc>
        <w:tc>
          <w:tcPr>
            <w:tcW w:w="819" w:type="pct"/>
            <w:tcBorders>
              <w:top w:val="nil"/>
              <w:left w:val="nil"/>
              <w:bottom w:val="nil"/>
              <w:right w:val="nil"/>
            </w:tcBorders>
            <w:vAlign w:val="center"/>
          </w:tcPr>
          <w:p w14:paraId="2FDA8123" w14:textId="6B91FE40" w:rsidR="00B5721E" w:rsidRPr="00B5721E" w:rsidRDefault="00B5721E" w:rsidP="00B5721E">
            <w:pPr>
              <w:spacing w:after="0"/>
              <w:jc w:val="both"/>
              <w:rPr>
                <w:rFonts w:ascii="Times New Roman" w:hAnsi="Times New Roman" w:cs="Times New Roman"/>
                <w:sz w:val="18"/>
                <w:szCs w:val="18"/>
              </w:rPr>
            </w:pPr>
            <w:hyperlink r:id="rId14" w:history="1">
              <w:r w:rsidRPr="00B5721E">
                <w:rPr>
                  <w:rStyle w:val="afa"/>
                  <w:rFonts w:ascii="Times New Roman" w:eastAsia="等线" w:hAnsi="Times New Roman" w:cs="Times New Roman"/>
                  <w:sz w:val="18"/>
                  <w:szCs w:val="18"/>
                </w:rPr>
                <w:t>https://doi.org/10.1093/jat/bkad079</w:t>
              </w:r>
            </w:hyperlink>
          </w:p>
        </w:tc>
      </w:tr>
      <w:tr w:rsidR="00B5721E" w:rsidRPr="00263AA5" w14:paraId="5D39C78E"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jc w:val="center"/>
        </w:trPr>
        <w:tc>
          <w:tcPr>
            <w:tcW w:w="1108" w:type="pct"/>
            <w:tcBorders>
              <w:top w:val="nil"/>
              <w:left w:val="nil"/>
              <w:bottom w:val="nil"/>
              <w:right w:val="nil"/>
            </w:tcBorders>
            <w:vAlign w:val="center"/>
          </w:tcPr>
          <w:p w14:paraId="5E320D7E" w14:textId="150DBB1E"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HY-17542</w:t>
            </w:r>
          </w:p>
        </w:tc>
        <w:tc>
          <w:tcPr>
            <w:tcW w:w="1111" w:type="pct"/>
            <w:tcBorders>
              <w:top w:val="nil"/>
              <w:left w:val="nil"/>
              <w:bottom w:val="nil"/>
              <w:right w:val="nil"/>
            </w:tcBorders>
            <w:vAlign w:val="center"/>
          </w:tcPr>
          <w:p w14:paraId="413C7BA8" w14:textId="10A1E0B2"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CC(=O)Nc1ccc(C)c(C(=O)N[C@H](C)c2cccc3ccccc23)c1</w:t>
            </w:r>
          </w:p>
        </w:tc>
        <w:tc>
          <w:tcPr>
            <w:tcW w:w="1194" w:type="pct"/>
            <w:tcBorders>
              <w:top w:val="nil"/>
              <w:left w:val="nil"/>
              <w:bottom w:val="nil"/>
              <w:right w:val="nil"/>
            </w:tcBorders>
            <w:vAlign w:val="center"/>
          </w:tcPr>
          <w:p w14:paraId="4860B08D" w14:textId="2E33A20E"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Cc1ccc(N)cc1C(=O)N[C@H](C)c1cccc2ccccc12</w:t>
            </w:r>
          </w:p>
        </w:tc>
        <w:tc>
          <w:tcPr>
            <w:tcW w:w="768" w:type="pct"/>
            <w:tcBorders>
              <w:top w:val="nil"/>
              <w:left w:val="nil"/>
              <w:bottom w:val="nil"/>
              <w:right w:val="nil"/>
            </w:tcBorders>
            <w:vAlign w:val="center"/>
          </w:tcPr>
          <w:p w14:paraId="4061E6DE" w14:textId="61619FCE"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Not reported</w:t>
            </w:r>
          </w:p>
        </w:tc>
        <w:tc>
          <w:tcPr>
            <w:tcW w:w="819" w:type="pct"/>
            <w:tcBorders>
              <w:top w:val="nil"/>
              <w:left w:val="nil"/>
              <w:bottom w:val="nil"/>
              <w:right w:val="nil"/>
            </w:tcBorders>
            <w:vAlign w:val="center"/>
          </w:tcPr>
          <w:p w14:paraId="06E29DBB" w14:textId="0C650295" w:rsidR="00B5721E" w:rsidRPr="00B5721E" w:rsidRDefault="00B5721E" w:rsidP="00B5721E">
            <w:pPr>
              <w:spacing w:after="0"/>
              <w:jc w:val="both"/>
              <w:rPr>
                <w:rFonts w:ascii="Times New Roman" w:hAnsi="Times New Roman" w:cs="Times New Roman"/>
                <w:sz w:val="18"/>
                <w:szCs w:val="18"/>
              </w:rPr>
            </w:pPr>
            <w:hyperlink r:id="rId15" w:history="1">
              <w:r w:rsidRPr="00B5721E">
                <w:rPr>
                  <w:rStyle w:val="afa"/>
                  <w:rFonts w:ascii="Times New Roman" w:eastAsia="等线" w:hAnsi="Times New Roman" w:cs="Times New Roman"/>
                  <w:sz w:val="18"/>
                  <w:szCs w:val="18"/>
                </w:rPr>
                <w:t>https://doi.org/10.3389/fphar.2023.1067408</w:t>
              </w:r>
            </w:hyperlink>
          </w:p>
        </w:tc>
      </w:tr>
      <w:tr w:rsidR="00B5721E" w:rsidRPr="00263AA5" w14:paraId="740B32E5"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5F23B00E" w14:textId="2F88BB6F"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GRL0617</w:t>
            </w:r>
          </w:p>
        </w:tc>
        <w:tc>
          <w:tcPr>
            <w:tcW w:w="1111" w:type="pct"/>
            <w:tcBorders>
              <w:top w:val="nil"/>
              <w:left w:val="nil"/>
              <w:bottom w:val="nil"/>
              <w:right w:val="nil"/>
            </w:tcBorders>
            <w:vAlign w:val="center"/>
          </w:tcPr>
          <w:p w14:paraId="7725F428" w14:textId="036387E2"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Cc1ccc(N)cc1C(=O)N[C@H](C)c1cccc2ccccc12</w:t>
            </w:r>
          </w:p>
        </w:tc>
        <w:tc>
          <w:tcPr>
            <w:tcW w:w="1194" w:type="pct"/>
            <w:tcBorders>
              <w:top w:val="nil"/>
              <w:left w:val="nil"/>
              <w:bottom w:val="nil"/>
              <w:right w:val="nil"/>
            </w:tcBorders>
            <w:vAlign w:val="center"/>
          </w:tcPr>
          <w:p w14:paraId="06149207" w14:textId="66E2DD7B"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Cc1cc(O)c(N)cc1C(=O)N[C@H](C)c1cccc2ccccc12</w:t>
            </w:r>
          </w:p>
        </w:tc>
        <w:tc>
          <w:tcPr>
            <w:tcW w:w="768" w:type="pct"/>
            <w:tcBorders>
              <w:top w:val="nil"/>
              <w:left w:val="nil"/>
              <w:bottom w:val="nil"/>
              <w:right w:val="nil"/>
            </w:tcBorders>
            <w:vAlign w:val="center"/>
          </w:tcPr>
          <w:p w14:paraId="5E32D4CF" w14:textId="22A06AA9"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Not reported</w:t>
            </w:r>
          </w:p>
        </w:tc>
        <w:tc>
          <w:tcPr>
            <w:tcW w:w="819" w:type="pct"/>
            <w:tcBorders>
              <w:top w:val="nil"/>
              <w:left w:val="nil"/>
              <w:bottom w:val="nil"/>
              <w:right w:val="nil"/>
            </w:tcBorders>
            <w:vAlign w:val="center"/>
          </w:tcPr>
          <w:p w14:paraId="5F1AE0DD" w14:textId="7517CFD5" w:rsidR="00B5721E" w:rsidRPr="00B5721E" w:rsidRDefault="00B5721E" w:rsidP="00B5721E">
            <w:pPr>
              <w:spacing w:after="0"/>
              <w:jc w:val="both"/>
              <w:rPr>
                <w:rFonts w:ascii="Times New Roman" w:hAnsi="Times New Roman" w:cs="Times New Roman"/>
                <w:sz w:val="18"/>
                <w:szCs w:val="18"/>
              </w:rPr>
            </w:pPr>
            <w:hyperlink r:id="rId16" w:history="1">
              <w:r w:rsidRPr="00B5721E">
                <w:rPr>
                  <w:rStyle w:val="afa"/>
                  <w:rFonts w:ascii="Times New Roman" w:eastAsia="等线" w:hAnsi="Times New Roman" w:cs="Times New Roman"/>
                  <w:sz w:val="18"/>
                  <w:szCs w:val="18"/>
                </w:rPr>
                <w:t>https://doi.org/10.3389/fphar.2023.1067408</w:t>
              </w:r>
            </w:hyperlink>
          </w:p>
        </w:tc>
      </w:tr>
      <w:tr w:rsidR="00B5721E" w:rsidRPr="00263AA5" w14:paraId="2AC6ECD3"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2CA84A3D" w14:textId="1C6A7527"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Brepocitinib</w:t>
            </w:r>
          </w:p>
        </w:tc>
        <w:tc>
          <w:tcPr>
            <w:tcW w:w="1111" w:type="pct"/>
            <w:tcBorders>
              <w:top w:val="nil"/>
              <w:left w:val="nil"/>
              <w:bottom w:val="nil"/>
              <w:right w:val="nil"/>
            </w:tcBorders>
            <w:vAlign w:val="center"/>
          </w:tcPr>
          <w:p w14:paraId="4F34C8EC" w14:textId="3F4A239F" w:rsidR="00B5721E" w:rsidRPr="001033E3" w:rsidRDefault="00B5721E" w:rsidP="00B5721E">
            <w:pPr>
              <w:spacing w:after="0"/>
              <w:jc w:val="both"/>
              <w:rPr>
                <w:rFonts w:ascii="Times New Roman" w:hAnsi="Times New Roman" w:cs="Times New Roman"/>
                <w:b/>
                <w:bCs/>
                <w:sz w:val="18"/>
                <w:szCs w:val="18"/>
              </w:rPr>
            </w:pPr>
            <w:r w:rsidRPr="001033E3">
              <w:rPr>
                <w:rFonts w:ascii="Times New Roman" w:eastAsia="等线" w:hAnsi="Times New Roman" w:cs="Times New Roman"/>
                <w:color w:val="000000"/>
                <w:sz w:val="18"/>
                <w:szCs w:val="18"/>
              </w:rPr>
              <w:t>Cn1cc(Nc2nccc(N3C[C@H]4CC[C@@H](C3)N4C(=O)[C@@H]3CC3(F)F)n2)cn1</w:t>
            </w:r>
          </w:p>
        </w:tc>
        <w:tc>
          <w:tcPr>
            <w:tcW w:w="1194" w:type="pct"/>
            <w:tcBorders>
              <w:top w:val="nil"/>
              <w:left w:val="nil"/>
              <w:bottom w:val="nil"/>
              <w:right w:val="nil"/>
            </w:tcBorders>
            <w:vAlign w:val="center"/>
          </w:tcPr>
          <w:p w14:paraId="370CD981" w14:textId="442B7FB2" w:rsidR="00B5721E" w:rsidRPr="001033E3" w:rsidRDefault="00B5721E" w:rsidP="00B5721E">
            <w:pPr>
              <w:spacing w:after="0"/>
              <w:jc w:val="both"/>
              <w:rPr>
                <w:rFonts w:ascii="Times New Roman" w:hAnsi="Times New Roman" w:cs="Times New Roman"/>
                <w:b/>
                <w:bCs/>
                <w:sz w:val="18"/>
                <w:szCs w:val="18"/>
              </w:rPr>
            </w:pPr>
            <w:r w:rsidRPr="001033E3">
              <w:rPr>
                <w:rFonts w:ascii="Times New Roman" w:eastAsia="等线" w:hAnsi="Times New Roman" w:cs="Times New Roman"/>
                <w:color w:val="000000"/>
                <w:sz w:val="18"/>
                <w:szCs w:val="18"/>
              </w:rPr>
              <w:t>Nc1nccc(N2C[C@H]3CC[C@@H](C2)N3C(=O)[C@@H]2CC2(F)F)n1</w:t>
            </w:r>
          </w:p>
        </w:tc>
        <w:tc>
          <w:tcPr>
            <w:tcW w:w="768" w:type="pct"/>
            <w:tcBorders>
              <w:top w:val="nil"/>
              <w:left w:val="nil"/>
              <w:bottom w:val="nil"/>
              <w:right w:val="nil"/>
            </w:tcBorders>
            <w:vAlign w:val="center"/>
          </w:tcPr>
          <w:p w14:paraId="0301068E" w14:textId="52A452D6" w:rsidR="00B5721E" w:rsidRPr="00931F7E" w:rsidRDefault="00B5721E" w:rsidP="00B5721E">
            <w:pPr>
              <w:spacing w:after="0"/>
              <w:jc w:val="center"/>
              <w:rPr>
                <w:rFonts w:ascii="Times New Roman" w:hAnsi="Times New Roman" w:cs="Times New Roman"/>
                <w:b/>
                <w:bCs/>
                <w:sz w:val="18"/>
                <w:szCs w:val="18"/>
              </w:rPr>
            </w:pPr>
            <w:r w:rsidRPr="00931F7E">
              <w:rPr>
                <w:rFonts w:ascii="Times New Roman" w:eastAsia="等线" w:hAnsi="Times New Roman" w:cs="Times New Roman"/>
                <w:color w:val="000000"/>
                <w:sz w:val="18"/>
                <w:szCs w:val="18"/>
              </w:rPr>
              <w:t>Not reported</w:t>
            </w:r>
          </w:p>
        </w:tc>
        <w:tc>
          <w:tcPr>
            <w:tcW w:w="819" w:type="pct"/>
            <w:tcBorders>
              <w:top w:val="nil"/>
              <w:left w:val="nil"/>
              <w:bottom w:val="nil"/>
              <w:right w:val="nil"/>
            </w:tcBorders>
            <w:vAlign w:val="center"/>
          </w:tcPr>
          <w:p w14:paraId="59651D26" w14:textId="180680E2" w:rsidR="00B5721E" w:rsidRPr="00B5721E" w:rsidRDefault="00B5721E" w:rsidP="00B5721E">
            <w:pPr>
              <w:spacing w:after="0"/>
              <w:jc w:val="both"/>
              <w:rPr>
                <w:rFonts w:ascii="Times New Roman" w:hAnsi="Times New Roman" w:cs="Times New Roman"/>
                <w:b/>
                <w:bCs/>
                <w:sz w:val="18"/>
                <w:szCs w:val="18"/>
              </w:rPr>
            </w:pPr>
            <w:hyperlink r:id="rId17" w:tgtFrame="_blank" w:tooltip="Persistent link using digital object identifier" w:history="1">
              <w:r w:rsidRPr="00B5721E">
                <w:rPr>
                  <w:rStyle w:val="afa"/>
                  <w:rFonts w:ascii="Times New Roman" w:eastAsia="等线" w:hAnsi="Times New Roman" w:cs="Times New Roman"/>
                  <w:sz w:val="18"/>
                  <w:szCs w:val="18"/>
                </w:rPr>
                <w:t>https://doi.org/10.1124/dmd.124.001750</w:t>
              </w:r>
            </w:hyperlink>
          </w:p>
        </w:tc>
      </w:tr>
      <w:tr w:rsidR="00B5721E" w:rsidRPr="00263AA5" w14:paraId="3D1E9E5B"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jc w:val="center"/>
        </w:trPr>
        <w:tc>
          <w:tcPr>
            <w:tcW w:w="1108" w:type="pct"/>
            <w:tcBorders>
              <w:top w:val="nil"/>
              <w:left w:val="nil"/>
              <w:bottom w:val="nil"/>
              <w:right w:val="nil"/>
            </w:tcBorders>
            <w:vAlign w:val="center"/>
          </w:tcPr>
          <w:p w14:paraId="19FB7D87" w14:textId="641C0BE1"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Mobocertinib</w:t>
            </w:r>
          </w:p>
        </w:tc>
        <w:tc>
          <w:tcPr>
            <w:tcW w:w="1111" w:type="pct"/>
            <w:tcBorders>
              <w:top w:val="nil"/>
              <w:left w:val="nil"/>
              <w:bottom w:val="nil"/>
              <w:right w:val="nil"/>
            </w:tcBorders>
            <w:vAlign w:val="center"/>
          </w:tcPr>
          <w:p w14:paraId="600B58F1" w14:textId="73A15492"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C=CC(=O)Nc1cc(Nc2ncc(C(=O)OC(C)C)c(-c3cn(C)c4ccccc34)n2)c(OC)cc1N(C)CCN(C)C</w:t>
            </w:r>
          </w:p>
        </w:tc>
        <w:tc>
          <w:tcPr>
            <w:tcW w:w="1194" w:type="pct"/>
            <w:tcBorders>
              <w:top w:val="nil"/>
              <w:left w:val="nil"/>
              <w:bottom w:val="nil"/>
              <w:right w:val="nil"/>
            </w:tcBorders>
            <w:vAlign w:val="center"/>
          </w:tcPr>
          <w:p w14:paraId="2E5FF888" w14:textId="3855620A"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C=CC(=O)Nc1cc(Nc2ncc(C(=O)OC(C)C)c(-c3cn(C)c4ccccc34)n2)c(OC)cc1N(C)CCNC</w:t>
            </w:r>
          </w:p>
        </w:tc>
        <w:tc>
          <w:tcPr>
            <w:tcW w:w="768" w:type="pct"/>
            <w:tcBorders>
              <w:top w:val="nil"/>
              <w:left w:val="nil"/>
              <w:bottom w:val="nil"/>
              <w:right w:val="nil"/>
            </w:tcBorders>
            <w:vAlign w:val="center"/>
          </w:tcPr>
          <w:p w14:paraId="32CE5139" w14:textId="5AA0A76B"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12.70</w:t>
            </w:r>
          </w:p>
        </w:tc>
        <w:tc>
          <w:tcPr>
            <w:tcW w:w="819" w:type="pct"/>
            <w:tcBorders>
              <w:top w:val="nil"/>
              <w:left w:val="nil"/>
              <w:bottom w:val="nil"/>
              <w:right w:val="nil"/>
            </w:tcBorders>
            <w:vAlign w:val="center"/>
          </w:tcPr>
          <w:p w14:paraId="300ECD0D" w14:textId="110B2B76" w:rsidR="00B5721E" w:rsidRPr="00B5721E" w:rsidRDefault="00B5721E" w:rsidP="00B5721E">
            <w:pPr>
              <w:spacing w:after="0"/>
              <w:jc w:val="both"/>
              <w:rPr>
                <w:rFonts w:ascii="Times New Roman" w:hAnsi="Times New Roman" w:cs="Times New Roman"/>
                <w:sz w:val="18"/>
                <w:szCs w:val="18"/>
              </w:rPr>
            </w:pPr>
            <w:hyperlink r:id="rId18" w:tgtFrame="_blank" w:tooltip="Persistent link using digital object identifier" w:history="1">
              <w:r w:rsidRPr="00B5721E">
                <w:rPr>
                  <w:rStyle w:val="afa"/>
                  <w:rFonts w:ascii="Times New Roman" w:eastAsia="等线" w:hAnsi="Times New Roman" w:cs="Times New Roman"/>
                  <w:sz w:val="18"/>
                  <w:szCs w:val="18"/>
                </w:rPr>
                <w:t>https://doi.org/10.1124/dmd.124.001841</w:t>
              </w:r>
            </w:hyperlink>
          </w:p>
        </w:tc>
      </w:tr>
      <w:tr w:rsidR="00B5721E" w:rsidRPr="00263AA5" w14:paraId="72B924C2"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5C8A3BDB" w14:textId="6AC80C21"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Clotrimazole</w:t>
            </w:r>
          </w:p>
        </w:tc>
        <w:tc>
          <w:tcPr>
            <w:tcW w:w="1111" w:type="pct"/>
            <w:tcBorders>
              <w:top w:val="nil"/>
              <w:left w:val="nil"/>
              <w:bottom w:val="nil"/>
              <w:right w:val="nil"/>
            </w:tcBorders>
            <w:vAlign w:val="center"/>
          </w:tcPr>
          <w:p w14:paraId="3E27153A" w14:textId="33AEBA84"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Cc1ccc([C@@H]2O[C@H](CO)[C@@H](O)[C@H](O)[C@H]2</w:t>
            </w:r>
            <w:r w:rsidRPr="001033E3">
              <w:rPr>
                <w:rFonts w:ascii="Times New Roman" w:eastAsia="等线" w:hAnsi="Times New Roman" w:cs="Times New Roman"/>
                <w:color w:val="000000"/>
                <w:sz w:val="18"/>
                <w:szCs w:val="18"/>
              </w:rPr>
              <w:lastRenderedPageBreak/>
              <w:t>O)cc1Cc1ccc(-c2ccc(F)cc2)s1</w:t>
            </w:r>
          </w:p>
        </w:tc>
        <w:tc>
          <w:tcPr>
            <w:tcW w:w="1194" w:type="pct"/>
            <w:tcBorders>
              <w:top w:val="nil"/>
              <w:left w:val="nil"/>
              <w:bottom w:val="nil"/>
              <w:right w:val="nil"/>
            </w:tcBorders>
            <w:vAlign w:val="center"/>
          </w:tcPr>
          <w:p w14:paraId="7C6635A6" w14:textId="7117CFD6"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lastRenderedPageBreak/>
              <w:t>Cc1ccc([C@@H]2O[C@H](CO)[C@@H](O)[C@H](OC3O[C@H](C</w:t>
            </w:r>
            <w:r w:rsidRPr="001033E3">
              <w:rPr>
                <w:rFonts w:ascii="Times New Roman" w:eastAsia="等线" w:hAnsi="Times New Roman" w:cs="Times New Roman"/>
                <w:color w:val="000000"/>
                <w:sz w:val="18"/>
                <w:szCs w:val="18"/>
              </w:rPr>
              <w:lastRenderedPageBreak/>
              <w:t>(=O)O)[C@@H](O)[C@H](O)[C@H]3O)[C@H]2O)cc1Cc1ccc(-c2ccc(F)cc2)s1</w:t>
            </w:r>
          </w:p>
        </w:tc>
        <w:tc>
          <w:tcPr>
            <w:tcW w:w="768" w:type="pct"/>
            <w:tcBorders>
              <w:top w:val="nil"/>
              <w:left w:val="nil"/>
              <w:bottom w:val="nil"/>
              <w:right w:val="nil"/>
            </w:tcBorders>
            <w:vAlign w:val="center"/>
          </w:tcPr>
          <w:p w14:paraId="78250A80" w14:textId="0818808C"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lastRenderedPageBreak/>
              <w:t>Not reported</w:t>
            </w:r>
          </w:p>
        </w:tc>
        <w:tc>
          <w:tcPr>
            <w:tcW w:w="819" w:type="pct"/>
            <w:tcBorders>
              <w:top w:val="nil"/>
              <w:left w:val="nil"/>
              <w:bottom w:val="nil"/>
              <w:right w:val="nil"/>
            </w:tcBorders>
            <w:vAlign w:val="center"/>
          </w:tcPr>
          <w:p w14:paraId="4010D19A" w14:textId="30A01733" w:rsidR="00B5721E" w:rsidRPr="00B5721E" w:rsidRDefault="00B5721E" w:rsidP="00B5721E">
            <w:pPr>
              <w:spacing w:after="0"/>
              <w:jc w:val="both"/>
              <w:rPr>
                <w:rFonts w:ascii="Times New Roman" w:hAnsi="Times New Roman" w:cs="Times New Roman"/>
                <w:sz w:val="18"/>
                <w:szCs w:val="18"/>
              </w:rPr>
            </w:pPr>
            <w:hyperlink r:id="rId19" w:tgtFrame="_blank" w:tooltip="Persistent link using digital object identifier" w:history="1">
              <w:r w:rsidRPr="00B5721E">
                <w:rPr>
                  <w:rStyle w:val="afa"/>
                  <w:rFonts w:ascii="Times New Roman" w:eastAsia="等线" w:hAnsi="Times New Roman" w:cs="Times New Roman"/>
                  <w:sz w:val="18"/>
                  <w:szCs w:val="18"/>
                </w:rPr>
                <w:t>https://doi.org/10.1124/dmd.124.001812</w:t>
              </w:r>
            </w:hyperlink>
          </w:p>
        </w:tc>
      </w:tr>
      <w:tr w:rsidR="00B5721E" w:rsidRPr="00263AA5" w14:paraId="17721356"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555D865B" w14:textId="14813600"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lastRenderedPageBreak/>
              <w:t>OSI-930</w:t>
            </w:r>
          </w:p>
        </w:tc>
        <w:tc>
          <w:tcPr>
            <w:tcW w:w="1111" w:type="pct"/>
            <w:tcBorders>
              <w:top w:val="nil"/>
              <w:left w:val="nil"/>
              <w:bottom w:val="nil"/>
              <w:right w:val="nil"/>
            </w:tcBorders>
            <w:vAlign w:val="center"/>
          </w:tcPr>
          <w:p w14:paraId="7FF835C2" w14:textId="27BB60EE"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O=C(Nc1ccc(OC(F)(F)F)cc1)c1sccc1NCc1ccnc2ccccc12</w:t>
            </w:r>
          </w:p>
        </w:tc>
        <w:tc>
          <w:tcPr>
            <w:tcW w:w="1194" w:type="pct"/>
            <w:tcBorders>
              <w:top w:val="nil"/>
              <w:left w:val="nil"/>
              <w:bottom w:val="nil"/>
              <w:right w:val="nil"/>
            </w:tcBorders>
            <w:vAlign w:val="center"/>
          </w:tcPr>
          <w:p w14:paraId="70335879" w14:textId="795623C8"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O=C(Nc1ccc(OC(F)(F)F)cc1)c1sccc1NCc1cc(=O)[nH]c2ccccc12</w:t>
            </w:r>
          </w:p>
        </w:tc>
        <w:tc>
          <w:tcPr>
            <w:tcW w:w="768" w:type="pct"/>
            <w:tcBorders>
              <w:top w:val="nil"/>
              <w:left w:val="nil"/>
              <w:bottom w:val="nil"/>
              <w:right w:val="nil"/>
            </w:tcBorders>
            <w:vAlign w:val="center"/>
          </w:tcPr>
          <w:p w14:paraId="7CD603AD" w14:textId="67737016"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Not reported</w:t>
            </w:r>
          </w:p>
        </w:tc>
        <w:tc>
          <w:tcPr>
            <w:tcW w:w="819" w:type="pct"/>
            <w:tcBorders>
              <w:top w:val="nil"/>
              <w:left w:val="nil"/>
              <w:bottom w:val="nil"/>
              <w:right w:val="nil"/>
            </w:tcBorders>
            <w:vAlign w:val="center"/>
          </w:tcPr>
          <w:p w14:paraId="39580F71" w14:textId="7F7B7008" w:rsidR="00B5721E" w:rsidRPr="00B5721E" w:rsidRDefault="00B5721E" w:rsidP="00B5721E">
            <w:pPr>
              <w:spacing w:after="0"/>
              <w:jc w:val="both"/>
              <w:rPr>
                <w:rFonts w:ascii="Times New Roman" w:hAnsi="Times New Roman" w:cs="Times New Roman"/>
                <w:sz w:val="18"/>
                <w:szCs w:val="18"/>
              </w:rPr>
            </w:pPr>
            <w:hyperlink r:id="rId20" w:tgtFrame="_blank" w:tooltip="Persistent link using digital object identifier" w:history="1">
              <w:r w:rsidRPr="00B5721E">
                <w:rPr>
                  <w:rStyle w:val="afa"/>
                  <w:rFonts w:ascii="Times New Roman" w:eastAsia="等线" w:hAnsi="Times New Roman" w:cs="Times New Roman"/>
                  <w:sz w:val="18"/>
                  <w:szCs w:val="18"/>
                </w:rPr>
                <w:t>https://doi.org/10.1124/dmd.124.001802</w:t>
              </w:r>
            </w:hyperlink>
          </w:p>
        </w:tc>
      </w:tr>
      <w:tr w:rsidR="00B5721E" w:rsidRPr="00263AA5" w14:paraId="24886026"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jc w:val="center"/>
        </w:trPr>
        <w:tc>
          <w:tcPr>
            <w:tcW w:w="1108" w:type="pct"/>
            <w:tcBorders>
              <w:top w:val="nil"/>
              <w:left w:val="nil"/>
              <w:bottom w:val="nil"/>
              <w:right w:val="nil"/>
            </w:tcBorders>
            <w:vAlign w:val="center"/>
          </w:tcPr>
          <w:p w14:paraId="0DBD1F9C" w14:textId="1940AB43"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Capivasertib</w:t>
            </w:r>
          </w:p>
        </w:tc>
        <w:tc>
          <w:tcPr>
            <w:tcW w:w="1111" w:type="pct"/>
            <w:tcBorders>
              <w:top w:val="nil"/>
              <w:left w:val="nil"/>
              <w:bottom w:val="nil"/>
              <w:right w:val="nil"/>
            </w:tcBorders>
            <w:vAlign w:val="center"/>
          </w:tcPr>
          <w:p w14:paraId="2B724A7C" w14:textId="52104C0A"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NC1(C(=O)N[C@@H](CCO)c2ccc(Cl)cc2)CCN(c2ncnc3[nH]ccc23)CC1</w:t>
            </w:r>
          </w:p>
        </w:tc>
        <w:tc>
          <w:tcPr>
            <w:tcW w:w="1194" w:type="pct"/>
            <w:tcBorders>
              <w:top w:val="nil"/>
              <w:left w:val="nil"/>
              <w:bottom w:val="nil"/>
              <w:right w:val="nil"/>
            </w:tcBorders>
            <w:vAlign w:val="center"/>
          </w:tcPr>
          <w:p w14:paraId="5AA05455" w14:textId="5351C542"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NC1(C(=O)N[C@@H](CCOC2O[C@H](C(=O)O)[C@@H](O)[C@H](O)[C@H]2O)c2ccc(Cl)cc2)CCN(c2ncnc3[nH]ccc23)CC1</w:t>
            </w:r>
          </w:p>
        </w:tc>
        <w:tc>
          <w:tcPr>
            <w:tcW w:w="768" w:type="pct"/>
            <w:tcBorders>
              <w:top w:val="nil"/>
              <w:left w:val="nil"/>
              <w:bottom w:val="nil"/>
              <w:right w:val="nil"/>
            </w:tcBorders>
            <w:vAlign w:val="center"/>
          </w:tcPr>
          <w:p w14:paraId="53D02030" w14:textId="60438EFB"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28.20</w:t>
            </w:r>
          </w:p>
        </w:tc>
        <w:tc>
          <w:tcPr>
            <w:tcW w:w="819" w:type="pct"/>
            <w:tcBorders>
              <w:top w:val="nil"/>
              <w:left w:val="nil"/>
              <w:bottom w:val="nil"/>
              <w:right w:val="nil"/>
            </w:tcBorders>
            <w:vAlign w:val="center"/>
          </w:tcPr>
          <w:p w14:paraId="726FAD12" w14:textId="51AEDA37" w:rsidR="00B5721E" w:rsidRPr="00B5721E" w:rsidRDefault="00B5721E" w:rsidP="00B5721E">
            <w:pPr>
              <w:spacing w:after="0"/>
              <w:jc w:val="both"/>
              <w:rPr>
                <w:rFonts w:ascii="Times New Roman" w:hAnsi="Times New Roman" w:cs="Times New Roman"/>
                <w:sz w:val="18"/>
                <w:szCs w:val="18"/>
              </w:rPr>
            </w:pPr>
            <w:hyperlink r:id="rId21" w:tgtFrame="_blank" w:tooltip="Persistent link using digital object identifier" w:history="1">
              <w:r w:rsidRPr="00B5721E">
                <w:rPr>
                  <w:rStyle w:val="afa"/>
                  <w:rFonts w:ascii="Times New Roman" w:eastAsia="等线" w:hAnsi="Times New Roman" w:cs="Times New Roman"/>
                  <w:sz w:val="18"/>
                  <w:szCs w:val="18"/>
                </w:rPr>
                <w:t>https://doi.org/10.1124/dmd.124.001636</w:t>
              </w:r>
            </w:hyperlink>
          </w:p>
        </w:tc>
      </w:tr>
      <w:tr w:rsidR="00B5721E" w:rsidRPr="00263AA5" w14:paraId="1CB713B5"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2B69B94D" w14:textId="7C92CC4A"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Inh 1</w:t>
            </w:r>
          </w:p>
        </w:tc>
        <w:tc>
          <w:tcPr>
            <w:tcW w:w="1111" w:type="pct"/>
            <w:tcBorders>
              <w:top w:val="nil"/>
              <w:left w:val="nil"/>
              <w:bottom w:val="nil"/>
              <w:right w:val="nil"/>
            </w:tcBorders>
            <w:vAlign w:val="center"/>
          </w:tcPr>
          <w:p w14:paraId="11F68FE6" w14:textId="3C560A6A" w:rsidR="00B5721E" w:rsidRPr="001033E3" w:rsidRDefault="00B5721E" w:rsidP="00B5721E">
            <w:pPr>
              <w:spacing w:after="0"/>
              <w:jc w:val="both"/>
              <w:rPr>
                <w:rFonts w:ascii="Times New Roman" w:hAnsi="Times New Roman" w:cs="Times New Roman"/>
                <w:b/>
                <w:bCs/>
                <w:sz w:val="18"/>
                <w:szCs w:val="18"/>
              </w:rPr>
            </w:pPr>
            <w:r w:rsidRPr="001033E3">
              <w:rPr>
                <w:rFonts w:ascii="Times New Roman" w:eastAsia="等线" w:hAnsi="Times New Roman" w:cs="Times New Roman"/>
                <w:color w:val="000000"/>
                <w:sz w:val="18"/>
                <w:szCs w:val="18"/>
              </w:rPr>
              <w:t>CCOc1ccc(NC(=S)N(CCO)Cc2cc3cc(C)cc(C)c3[nH]c2=O)cc1</w:t>
            </w:r>
          </w:p>
        </w:tc>
        <w:tc>
          <w:tcPr>
            <w:tcW w:w="1194" w:type="pct"/>
            <w:tcBorders>
              <w:top w:val="nil"/>
              <w:left w:val="nil"/>
              <w:bottom w:val="nil"/>
              <w:right w:val="nil"/>
            </w:tcBorders>
            <w:vAlign w:val="center"/>
          </w:tcPr>
          <w:p w14:paraId="3AFB24A0" w14:textId="18356D2F" w:rsidR="00B5721E" w:rsidRPr="001033E3" w:rsidRDefault="00B5721E" w:rsidP="00B5721E">
            <w:pPr>
              <w:spacing w:after="0"/>
              <w:jc w:val="both"/>
              <w:rPr>
                <w:rFonts w:ascii="Times New Roman" w:hAnsi="Times New Roman" w:cs="Times New Roman"/>
                <w:b/>
                <w:bCs/>
                <w:sz w:val="18"/>
                <w:szCs w:val="18"/>
              </w:rPr>
            </w:pPr>
            <w:r w:rsidRPr="001033E3">
              <w:rPr>
                <w:rFonts w:ascii="Times New Roman" w:eastAsia="等线" w:hAnsi="Times New Roman" w:cs="Times New Roman"/>
                <w:color w:val="000000"/>
                <w:sz w:val="18"/>
                <w:szCs w:val="18"/>
              </w:rPr>
              <w:t>Cc1cc(C)c2[nH]c(=O)c(CN3CCOC3=N)cc2c1</w:t>
            </w:r>
          </w:p>
        </w:tc>
        <w:tc>
          <w:tcPr>
            <w:tcW w:w="768" w:type="pct"/>
            <w:tcBorders>
              <w:top w:val="nil"/>
              <w:left w:val="nil"/>
              <w:bottom w:val="nil"/>
              <w:right w:val="nil"/>
            </w:tcBorders>
            <w:vAlign w:val="center"/>
          </w:tcPr>
          <w:p w14:paraId="4FB8DF32" w14:textId="6E6F8E5D" w:rsidR="00B5721E" w:rsidRPr="00931F7E" w:rsidRDefault="00B5721E" w:rsidP="00B5721E">
            <w:pPr>
              <w:spacing w:after="0"/>
              <w:jc w:val="center"/>
              <w:rPr>
                <w:rFonts w:ascii="Times New Roman" w:hAnsi="Times New Roman" w:cs="Times New Roman"/>
                <w:b/>
                <w:bCs/>
                <w:sz w:val="18"/>
                <w:szCs w:val="18"/>
              </w:rPr>
            </w:pPr>
            <w:r w:rsidRPr="00931F7E">
              <w:rPr>
                <w:rFonts w:ascii="Times New Roman" w:eastAsia="等线" w:hAnsi="Times New Roman" w:cs="Times New Roman"/>
                <w:color w:val="000000"/>
                <w:sz w:val="18"/>
                <w:szCs w:val="18"/>
              </w:rPr>
              <w:t>Not reported</w:t>
            </w:r>
          </w:p>
        </w:tc>
        <w:tc>
          <w:tcPr>
            <w:tcW w:w="819" w:type="pct"/>
            <w:tcBorders>
              <w:top w:val="nil"/>
              <w:left w:val="nil"/>
              <w:bottom w:val="nil"/>
              <w:right w:val="nil"/>
            </w:tcBorders>
            <w:vAlign w:val="center"/>
          </w:tcPr>
          <w:p w14:paraId="02576F8A" w14:textId="736F23F7" w:rsidR="00B5721E" w:rsidRPr="00B5721E" w:rsidRDefault="00B5721E" w:rsidP="00B5721E">
            <w:pPr>
              <w:spacing w:after="0"/>
              <w:jc w:val="both"/>
              <w:rPr>
                <w:rFonts w:ascii="Times New Roman" w:hAnsi="Times New Roman" w:cs="Times New Roman"/>
                <w:b/>
                <w:bCs/>
                <w:sz w:val="18"/>
                <w:szCs w:val="18"/>
              </w:rPr>
            </w:pPr>
            <w:hyperlink r:id="rId22" w:history="1">
              <w:r w:rsidRPr="00B5721E">
                <w:rPr>
                  <w:rStyle w:val="afa"/>
                  <w:rFonts w:ascii="Times New Roman" w:eastAsia="等线" w:hAnsi="Times New Roman" w:cs="Times New Roman"/>
                  <w:sz w:val="18"/>
                  <w:szCs w:val="18"/>
                </w:rPr>
                <w:t>https://doi.org/10.1080/00498254.2024.2357765</w:t>
              </w:r>
            </w:hyperlink>
          </w:p>
        </w:tc>
      </w:tr>
      <w:tr w:rsidR="00B5721E" w:rsidRPr="00263AA5" w14:paraId="76333452"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437BFCEB" w14:textId="68275B2F"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Cmpd15</w:t>
            </w:r>
          </w:p>
        </w:tc>
        <w:tc>
          <w:tcPr>
            <w:tcW w:w="1111" w:type="pct"/>
            <w:tcBorders>
              <w:top w:val="nil"/>
              <w:left w:val="nil"/>
              <w:bottom w:val="nil"/>
              <w:right w:val="nil"/>
            </w:tcBorders>
            <w:vAlign w:val="center"/>
          </w:tcPr>
          <w:p w14:paraId="06A289BC" w14:textId="10854EFC"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COc1ccc2c(Oc3ccc(C4(C(=O)NO)CCOCC4)cc3)ccnc2n1</w:t>
            </w:r>
          </w:p>
        </w:tc>
        <w:tc>
          <w:tcPr>
            <w:tcW w:w="1194" w:type="pct"/>
            <w:tcBorders>
              <w:top w:val="nil"/>
              <w:left w:val="nil"/>
              <w:bottom w:val="nil"/>
              <w:right w:val="nil"/>
            </w:tcBorders>
            <w:vAlign w:val="center"/>
          </w:tcPr>
          <w:p w14:paraId="248A93EA" w14:textId="29D03827"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COc1ccc2c(Oc3ccc(C4(C(=O)NOC5O[C@H](C(=O)O)[C@@H](O)[C@H](O)[C@H]5O)CCOCC4)cc3)ccnc2n1</w:t>
            </w:r>
          </w:p>
        </w:tc>
        <w:tc>
          <w:tcPr>
            <w:tcW w:w="768" w:type="pct"/>
            <w:tcBorders>
              <w:top w:val="nil"/>
              <w:left w:val="nil"/>
              <w:bottom w:val="nil"/>
              <w:right w:val="nil"/>
            </w:tcBorders>
            <w:vAlign w:val="center"/>
          </w:tcPr>
          <w:p w14:paraId="73594EB2" w14:textId="1AD12E98"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88.22</w:t>
            </w:r>
          </w:p>
        </w:tc>
        <w:tc>
          <w:tcPr>
            <w:tcW w:w="819" w:type="pct"/>
            <w:tcBorders>
              <w:top w:val="nil"/>
              <w:left w:val="nil"/>
              <w:bottom w:val="nil"/>
              <w:right w:val="nil"/>
            </w:tcBorders>
            <w:vAlign w:val="center"/>
          </w:tcPr>
          <w:p w14:paraId="442D08F0" w14:textId="34155E16" w:rsidR="00B5721E" w:rsidRPr="00B5721E" w:rsidRDefault="00B5721E" w:rsidP="00B5721E">
            <w:pPr>
              <w:spacing w:after="0"/>
              <w:jc w:val="both"/>
              <w:rPr>
                <w:rFonts w:ascii="Times New Roman" w:hAnsi="Times New Roman" w:cs="Times New Roman"/>
                <w:sz w:val="18"/>
                <w:szCs w:val="18"/>
              </w:rPr>
            </w:pPr>
            <w:hyperlink r:id="rId23" w:tgtFrame="_blank" w:tooltip="Persistent link using digital object identifier" w:history="1">
              <w:r w:rsidRPr="00B5721E">
                <w:rPr>
                  <w:rStyle w:val="afa"/>
                  <w:rFonts w:ascii="Times New Roman" w:eastAsia="等线" w:hAnsi="Times New Roman" w:cs="Times New Roman"/>
                  <w:sz w:val="18"/>
                  <w:szCs w:val="18"/>
                </w:rPr>
                <w:t>https://doi.org/10.1016/j.ejmech.2024.116853</w:t>
              </w:r>
            </w:hyperlink>
          </w:p>
        </w:tc>
      </w:tr>
      <w:tr w:rsidR="00B5721E" w:rsidRPr="00263AA5" w14:paraId="54F61B8B"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18DF1CE8" w14:textId="24B80BBC"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Lobetyolinin</w:t>
            </w:r>
          </w:p>
        </w:tc>
        <w:tc>
          <w:tcPr>
            <w:tcW w:w="1111" w:type="pct"/>
            <w:tcBorders>
              <w:top w:val="nil"/>
              <w:left w:val="nil"/>
              <w:bottom w:val="nil"/>
              <w:right w:val="nil"/>
            </w:tcBorders>
            <w:vAlign w:val="center"/>
          </w:tcPr>
          <w:p w14:paraId="4264AFD2" w14:textId="117DB7A3"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C/C=C/C#CC#CC(O)C(/C=C/CCCO)OC1OC(COC2OC(CO)C(O)C(O)C2O)C(O)C(O)C1O</w:t>
            </w:r>
          </w:p>
        </w:tc>
        <w:tc>
          <w:tcPr>
            <w:tcW w:w="1194" w:type="pct"/>
            <w:tcBorders>
              <w:top w:val="nil"/>
              <w:left w:val="nil"/>
              <w:bottom w:val="nil"/>
              <w:right w:val="nil"/>
            </w:tcBorders>
            <w:vAlign w:val="center"/>
          </w:tcPr>
          <w:p w14:paraId="2BB9E654" w14:textId="0AB37BF3"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C/C=C/C#CC#CC(O)C(/C=C/CCCO)OC1OC(CO)C(O)C(O)C1O</w:t>
            </w:r>
          </w:p>
        </w:tc>
        <w:tc>
          <w:tcPr>
            <w:tcW w:w="768" w:type="pct"/>
            <w:tcBorders>
              <w:top w:val="nil"/>
              <w:left w:val="nil"/>
              <w:bottom w:val="nil"/>
              <w:right w:val="nil"/>
            </w:tcBorders>
            <w:vAlign w:val="center"/>
          </w:tcPr>
          <w:p w14:paraId="15C5F298" w14:textId="38C07B8B"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Not reported</w:t>
            </w:r>
          </w:p>
        </w:tc>
        <w:tc>
          <w:tcPr>
            <w:tcW w:w="819" w:type="pct"/>
            <w:tcBorders>
              <w:top w:val="nil"/>
              <w:left w:val="nil"/>
              <w:bottom w:val="nil"/>
              <w:right w:val="nil"/>
            </w:tcBorders>
            <w:vAlign w:val="center"/>
          </w:tcPr>
          <w:p w14:paraId="65F86F08" w14:textId="23D18F40" w:rsidR="00B5721E" w:rsidRPr="00B5721E" w:rsidRDefault="00B5721E" w:rsidP="00B5721E">
            <w:pPr>
              <w:spacing w:after="0"/>
              <w:jc w:val="both"/>
              <w:rPr>
                <w:rFonts w:ascii="Times New Roman" w:hAnsi="Times New Roman" w:cs="Times New Roman"/>
                <w:sz w:val="18"/>
                <w:szCs w:val="18"/>
              </w:rPr>
            </w:pPr>
            <w:hyperlink r:id="rId24" w:tgtFrame="_blank" w:tooltip="Persistent link using digital object identifier" w:history="1">
              <w:r w:rsidRPr="00B5721E">
                <w:rPr>
                  <w:rStyle w:val="afa"/>
                  <w:rFonts w:ascii="Times New Roman" w:eastAsia="等线" w:hAnsi="Times New Roman" w:cs="Times New Roman"/>
                  <w:sz w:val="18"/>
                  <w:szCs w:val="18"/>
                </w:rPr>
                <w:t>https://doi.org/10.1016/j.jpba.2024.116339</w:t>
              </w:r>
            </w:hyperlink>
          </w:p>
        </w:tc>
      </w:tr>
      <w:tr w:rsidR="00B5721E" w:rsidRPr="00263AA5" w14:paraId="55510FB9"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jc w:val="center"/>
        </w:trPr>
        <w:tc>
          <w:tcPr>
            <w:tcW w:w="1108" w:type="pct"/>
            <w:tcBorders>
              <w:top w:val="nil"/>
              <w:left w:val="nil"/>
              <w:bottom w:val="nil"/>
              <w:right w:val="nil"/>
            </w:tcBorders>
            <w:vAlign w:val="center"/>
          </w:tcPr>
          <w:p w14:paraId="02963AF2" w14:textId="76CDE04B"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VU6032423</w:t>
            </w:r>
          </w:p>
        </w:tc>
        <w:tc>
          <w:tcPr>
            <w:tcW w:w="1111" w:type="pct"/>
            <w:tcBorders>
              <w:top w:val="nil"/>
              <w:left w:val="nil"/>
              <w:bottom w:val="nil"/>
              <w:right w:val="nil"/>
            </w:tcBorders>
            <w:vAlign w:val="center"/>
          </w:tcPr>
          <w:p w14:paraId="585FF6E2" w14:textId="0F700443"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Cc1ncc(S(=O)(=O)N2CCC(c3cn4ncnc4cc3Cl)CC2)s1</w:t>
            </w:r>
          </w:p>
        </w:tc>
        <w:tc>
          <w:tcPr>
            <w:tcW w:w="1194" w:type="pct"/>
            <w:tcBorders>
              <w:top w:val="nil"/>
              <w:left w:val="nil"/>
              <w:bottom w:val="nil"/>
              <w:right w:val="nil"/>
            </w:tcBorders>
            <w:vAlign w:val="center"/>
          </w:tcPr>
          <w:p w14:paraId="748F1E71" w14:textId="73494272"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O=S(=O)(c1cnc(CO)s1)N1CCC(c2cn3ncnc3cc2Cl)CC1</w:t>
            </w:r>
          </w:p>
        </w:tc>
        <w:tc>
          <w:tcPr>
            <w:tcW w:w="768" w:type="pct"/>
            <w:tcBorders>
              <w:top w:val="nil"/>
              <w:left w:val="nil"/>
              <w:bottom w:val="nil"/>
              <w:right w:val="nil"/>
            </w:tcBorders>
            <w:vAlign w:val="center"/>
          </w:tcPr>
          <w:p w14:paraId="318FBA94" w14:textId="65F536E9"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23.80</w:t>
            </w:r>
          </w:p>
        </w:tc>
        <w:tc>
          <w:tcPr>
            <w:tcW w:w="819" w:type="pct"/>
            <w:tcBorders>
              <w:top w:val="nil"/>
              <w:left w:val="nil"/>
              <w:bottom w:val="nil"/>
              <w:right w:val="nil"/>
            </w:tcBorders>
            <w:vAlign w:val="center"/>
          </w:tcPr>
          <w:p w14:paraId="71F59E66" w14:textId="4A6222D5" w:rsidR="00B5721E" w:rsidRPr="00B5721E" w:rsidRDefault="00B5721E" w:rsidP="00B5721E">
            <w:pPr>
              <w:spacing w:after="0"/>
              <w:jc w:val="both"/>
              <w:rPr>
                <w:rFonts w:ascii="Times New Roman" w:hAnsi="Times New Roman" w:cs="Times New Roman"/>
                <w:sz w:val="18"/>
                <w:szCs w:val="18"/>
              </w:rPr>
            </w:pPr>
            <w:hyperlink r:id="rId25" w:history="1">
              <w:r w:rsidRPr="00B5721E">
                <w:rPr>
                  <w:rStyle w:val="afa"/>
                  <w:rFonts w:ascii="Times New Roman" w:eastAsia="等线" w:hAnsi="Times New Roman" w:cs="Times New Roman"/>
                  <w:sz w:val="18"/>
                  <w:szCs w:val="18"/>
                </w:rPr>
                <w:t>https://pubs.acs.org/doi/10.1021/acs.jmedchem.4c01193</w:t>
              </w:r>
            </w:hyperlink>
          </w:p>
        </w:tc>
      </w:tr>
      <w:tr w:rsidR="00B5721E" w:rsidRPr="00263AA5" w14:paraId="068FD169"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08499E83" w14:textId="700DCCF8"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SHPL-49</w:t>
            </w:r>
          </w:p>
        </w:tc>
        <w:tc>
          <w:tcPr>
            <w:tcW w:w="1111" w:type="pct"/>
            <w:tcBorders>
              <w:top w:val="nil"/>
              <w:left w:val="nil"/>
              <w:bottom w:val="nil"/>
              <w:right w:val="nil"/>
            </w:tcBorders>
            <w:vAlign w:val="center"/>
          </w:tcPr>
          <w:p w14:paraId="0B52C1D0" w14:textId="1EDA2251"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COc1ccc(CCCCOC2OC(CO)[C@@H](O)[C@H](O)[C@H]2O)cc1</w:t>
            </w:r>
          </w:p>
        </w:tc>
        <w:tc>
          <w:tcPr>
            <w:tcW w:w="1194" w:type="pct"/>
            <w:tcBorders>
              <w:top w:val="nil"/>
              <w:left w:val="nil"/>
              <w:bottom w:val="nil"/>
              <w:right w:val="nil"/>
            </w:tcBorders>
            <w:vAlign w:val="center"/>
          </w:tcPr>
          <w:p w14:paraId="00E20136" w14:textId="458005EF"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OCC1OC(OCCCCc2ccc(O)cc2)[C@H](O)[C@@H](O)[C@@H]1O</w:t>
            </w:r>
          </w:p>
        </w:tc>
        <w:tc>
          <w:tcPr>
            <w:tcW w:w="768" w:type="pct"/>
            <w:tcBorders>
              <w:top w:val="nil"/>
              <w:left w:val="nil"/>
              <w:bottom w:val="nil"/>
              <w:right w:val="nil"/>
            </w:tcBorders>
            <w:vAlign w:val="center"/>
          </w:tcPr>
          <w:p w14:paraId="79553461" w14:textId="4DA1DA9C"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Not reported</w:t>
            </w:r>
          </w:p>
        </w:tc>
        <w:tc>
          <w:tcPr>
            <w:tcW w:w="819" w:type="pct"/>
            <w:tcBorders>
              <w:top w:val="nil"/>
              <w:left w:val="nil"/>
              <w:bottom w:val="nil"/>
              <w:right w:val="nil"/>
            </w:tcBorders>
            <w:vAlign w:val="center"/>
          </w:tcPr>
          <w:p w14:paraId="54C75D2E" w14:textId="5ADF74EF" w:rsidR="00B5721E" w:rsidRPr="00B5721E" w:rsidRDefault="00B5721E" w:rsidP="00B5721E">
            <w:pPr>
              <w:spacing w:after="0"/>
              <w:jc w:val="both"/>
              <w:rPr>
                <w:rFonts w:ascii="Times New Roman" w:hAnsi="Times New Roman" w:cs="Times New Roman"/>
                <w:sz w:val="18"/>
                <w:szCs w:val="18"/>
              </w:rPr>
            </w:pPr>
            <w:hyperlink r:id="rId26" w:tgtFrame="_blank" w:tooltip="Persistent link using digital object identifier" w:history="1">
              <w:r w:rsidRPr="00B5721E">
                <w:rPr>
                  <w:rStyle w:val="afa"/>
                  <w:rFonts w:ascii="Times New Roman" w:eastAsia="等线" w:hAnsi="Times New Roman" w:cs="Times New Roman"/>
                  <w:sz w:val="18"/>
                  <w:szCs w:val="18"/>
                </w:rPr>
                <w:t>https://doi.org/10.1016/j.jpba.2024.116314</w:t>
              </w:r>
            </w:hyperlink>
          </w:p>
        </w:tc>
      </w:tr>
      <w:tr w:rsidR="00B5721E" w:rsidRPr="00263AA5" w14:paraId="25DC3148"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70648ED8" w14:textId="4C9FC7B3"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Scutellarin</w:t>
            </w:r>
          </w:p>
        </w:tc>
        <w:tc>
          <w:tcPr>
            <w:tcW w:w="1111" w:type="pct"/>
            <w:tcBorders>
              <w:top w:val="nil"/>
              <w:left w:val="nil"/>
              <w:bottom w:val="nil"/>
              <w:right w:val="nil"/>
            </w:tcBorders>
            <w:vAlign w:val="center"/>
          </w:tcPr>
          <w:p w14:paraId="5CC8EE87" w14:textId="496590E7"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O=C(O)C1OC(Oc2cc3oc(-</w:t>
            </w:r>
            <w:r w:rsidRPr="001033E3">
              <w:rPr>
                <w:rFonts w:ascii="Times New Roman" w:eastAsia="等线" w:hAnsi="Times New Roman" w:cs="Times New Roman"/>
                <w:color w:val="000000"/>
                <w:sz w:val="18"/>
                <w:szCs w:val="18"/>
              </w:rPr>
              <w:lastRenderedPageBreak/>
              <w:t>c4ccc(O)cc4)cc(=O)c3c(O)c2O)C(O)C(O)C1O</w:t>
            </w:r>
          </w:p>
        </w:tc>
        <w:tc>
          <w:tcPr>
            <w:tcW w:w="1194" w:type="pct"/>
            <w:tcBorders>
              <w:top w:val="nil"/>
              <w:left w:val="nil"/>
              <w:bottom w:val="nil"/>
              <w:right w:val="nil"/>
            </w:tcBorders>
            <w:vAlign w:val="center"/>
          </w:tcPr>
          <w:p w14:paraId="237386D7" w14:textId="061C90BC"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lastRenderedPageBreak/>
              <w:t>O=c1cc(-c2ccc(O)cc2)oc2cc(O)c</w:t>
            </w:r>
            <w:r w:rsidRPr="001033E3">
              <w:rPr>
                <w:rFonts w:ascii="Times New Roman" w:eastAsia="等线" w:hAnsi="Times New Roman" w:cs="Times New Roman"/>
                <w:color w:val="000000"/>
                <w:sz w:val="18"/>
                <w:szCs w:val="18"/>
              </w:rPr>
              <w:lastRenderedPageBreak/>
              <w:t>(O)c(O)c12</w:t>
            </w:r>
          </w:p>
        </w:tc>
        <w:tc>
          <w:tcPr>
            <w:tcW w:w="768" w:type="pct"/>
            <w:tcBorders>
              <w:top w:val="nil"/>
              <w:left w:val="nil"/>
              <w:bottom w:val="nil"/>
              <w:right w:val="nil"/>
            </w:tcBorders>
            <w:vAlign w:val="center"/>
          </w:tcPr>
          <w:p w14:paraId="220898C2" w14:textId="73022BB2"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lastRenderedPageBreak/>
              <w:t>Not reported</w:t>
            </w:r>
          </w:p>
        </w:tc>
        <w:tc>
          <w:tcPr>
            <w:tcW w:w="819" w:type="pct"/>
            <w:tcBorders>
              <w:top w:val="nil"/>
              <w:left w:val="nil"/>
              <w:bottom w:val="nil"/>
              <w:right w:val="nil"/>
            </w:tcBorders>
            <w:vAlign w:val="center"/>
          </w:tcPr>
          <w:p w14:paraId="3ED91C39" w14:textId="13400045" w:rsidR="00B5721E" w:rsidRPr="00B5721E" w:rsidRDefault="00B5721E" w:rsidP="00B5721E">
            <w:pPr>
              <w:spacing w:after="0"/>
              <w:jc w:val="both"/>
              <w:rPr>
                <w:rFonts w:ascii="Times New Roman" w:hAnsi="Times New Roman" w:cs="Times New Roman"/>
                <w:sz w:val="18"/>
                <w:szCs w:val="18"/>
              </w:rPr>
            </w:pPr>
            <w:hyperlink r:id="rId27" w:tgtFrame="_blank" w:tooltip="Persistent link using digital object identifier" w:history="1">
              <w:r w:rsidRPr="00B5721E">
                <w:rPr>
                  <w:rStyle w:val="afa"/>
                  <w:rFonts w:ascii="Times New Roman" w:eastAsia="等线" w:hAnsi="Times New Roman" w:cs="Times New Roman"/>
                  <w:sz w:val="18"/>
                  <w:szCs w:val="18"/>
                </w:rPr>
                <w:t>https://doi.org/10.1016/j.jpba.</w:t>
              </w:r>
              <w:r w:rsidRPr="00B5721E">
                <w:rPr>
                  <w:rStyle w:val="afa"/>
                  <w:rFonts w:ascii="Times New Roman" w:eastAsia="等线" w:hAnsi="Times New Roman" w:cs="Times New Roman"/>
                  <w:sz w:val="18"/>
                  <w:szCs w:val="18"/>
                </w:rPr>
                <w:lastRenderedPageBreak/>
                <w:t>2024.116325</w:t>
              </w:r>
            </w:hyperlink>
          </w:p>
        </w:tc>
      </w:tr>
      <w:tr w:rsidR="00B5721E" w:rsidRPr="00263AA5" w14:paraId="2E9D6645"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jc w:val="center"/>
        </w:trPr>
        <w:tc>
          <w:tcPr>
            <w:tcW w:w="1108" w:type="pct"/>
            <w:tcBorders>
              <w:top w:val="nil"/>
              <w:left w:val="nil"/>
              <w:bottom w:val="nil"/>
              <w:right w:val="nil"/>
            </w:tcBorders>
            <w:vAlign w:val="center"/>
          </w:tcPr>
          <w:p w14:paraId="4BFCAFFA" w14:textId="73E5782C"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lastRenderedPageBreak/>
              <w:t>Cmpd21</w:t>
            </w:r>
          </w:p>
        </w:tc>
        <w:tc>
          <w:tcPr>
            <w:tcW w:w="1111" w:type="pct"/>
            <w:tcBorders>
              <w:top w:val="nil"/>
              <w:left w:val="nil"/>
              <w:bottom w:val="nil"/>
              <w:right w:val="nil"/>
            </w:tcBorders>
            <w:vAlign w:val="center"/>
          </w:tcPr>
          <w:p w14:paraId="37F7D619" w14:textId="1453C150" w:rsidR="00B5721E" w:rsidRPr="001033E3" w:rsidRDefault="00B5721E" w:rsidP="00B5721E">
            <w:pPr>
              <w:spacing w:after="0"/>
              <w:jc w:val="both"/>
              <w:rPr>
                <w:rFonts w:ascii="Times New Roman" w:hAnsi="Times New Roman" w:cs="Times New Roman"/>
                <w:b/>
                <w:bCs/>
                <w:sz w:val="18"/>
                <w:szCs w:val="18"/>
              </w:rPr>
            </w:pPr>
            <w:r w:rsidRPr="001033E3">
              <w:rPr>
                <w:rFonts w:ascii="Times New Roman" w:eastAsia="等线" w:hAnsi="Times New Roman" w:cs="Times New Roman"/>
                <w:color w:val="000000"/>
                <w:sz w:val="18"/>
                <w:szCs w:val="18"/>
              </w:rPr>
              <w:t>CN1CCC[C@@H](OC(=O)[C@](O)(c2ccccc2)c2cccc(OCCCNC(=O)c3ccc(CNC[C@H](O)c4ccc(O)c5[nH]c(=O)ccc45)cc3)c2)C1</w:t>
            </w:r>
          </w:p>
        </w:tc>
        <w:tc>
          <w:tcPr>
            <w:tcW w:w="1194" w:type="pct"/>
            <w:tcBorders>
              <w:top w:val="nil"/>
              <w:left w:val="nil"/>
              <w:bottom w:val="nil"/>
              <w:right w:val="nil"/>
            </w:tcBorders>
            <w:vAlign w:val="center"/>
          </w:tcPr>
          <w:p w14:paraId="39DD537A" w14:textId="5C75F520" w:rsidR="00B5721E" w:rsidRPr="001033E3" w:rsidRDefault="00B5721E" w:rsidP="00B5721E">
            <w:pPr>
              <w:spacing w:after="0"/>
              <w:jc w:val="both"/>
              <w:rPr>
                <w:rFonts w:ascii="Times New Roman" w:hAnsi="Times New Roman" w:cs="Times New Roman"/>
                <w:b/>
                <w:bCs/>
                <w:sz w:val="18"/>
                <w:szCs w:val="18"/>
              </w:rPr>
            </w:pPr>
            <w:r w:rsidRPr="001033E3">
              <w:rPr>
                <w:rFonts w:ascii="Times New Roman" w:eastAsia="等线" w:hAnsi="Times New Roman" w:cs="Times New Roman"/>
                <w:color w:val="000000"/>
                <w:sz w:val="18"/>
                <w:szCs w:val="18"/>
              </w:rPr>
              <w:t>O=C(NCCCOc1cccc([C@](O)(C(=O)O)c2ccccc2)c1)c1ccc(CNC[C@H](O)c2ccc(O)c3[nH]c(=O)ccc23)cc1</w:t>
            </w:r>
          </w:p>
        </w:tc>
        <w:tc>
          <w:tcPr>
            <w:tcW w:w="768" w:type="pct"/>
            <w:tcBorders>
              <w:top w:val="nil"/>
              <w:left w:val="nil"/>
              <w:bottom w:val="nil"/>
              <w:right w:val="nil"/>
            </w:tcBorders>
            <w:vAlign w:val="center"/>
          </w:tcPr>
          <w:p w14:paraId="7AD8335A" w14:textId="0B48839B" w:rsidR="00B5721E" w:rsidRPr="00931F7E" w:rsidRDefault="00B5721E" w:rsidP="00B5721E">
            <w:pPr>
              <w:spacing w:after="0"/>
              <w:jc w:val="center"/>
              <w:rPr>
                <w:rFonts w:ascii="Times New Roman" w:hAnsi="Times New Roman" w:cs="Times New Roman"/>
                <w:b/>
                <w:bCs/>
                <w:sz w:val="18"/>
                <w:szCs w:val="18"/>
              </w:rPr>
            </w:pPr>
            <w:r w:rsidRPr="00931F7E">
              <w:rPr>
                <w:rFonts w:ascii="Times New Roman" w:eastAsia="等线" w:hAnsi="Times New Roman" w:cs="Times New Roman"/>
                <w:color w:val="000000"/>
                <w:sz w:val="18"/>
                <w:szCs w:val="18"/>
              </w:rPr>
              <w:t>32</w:t>
            </w:r>
          </w:p>
        </w:tc>
        <w:tc>
          <w:tcPr>
            <w:tcW w:w="819" w:type="pct"/>
            <w:tcBorders>
              <w:top w:val="nil"/>
              <w:left w:val="nil"/>
              <w:bottom w:val="nil"/>
              <w:right w:val="nil"/>
            </w:tcBorders>
            <w:vAlign w:val="center"/>
          </w:tcPr>
          <w:p w14:paraId="53370133" w14:textId="3B5BE6BF" w:rsidR="00B5721E" w:rsidRPr="00B5721E" w:rsidRDefault="00B5721E" w:rsidP="00B5721E">
            <w:pPr>
              <w:spacing w:after="0"/>
              <w:jc w:val="both"/>
              <w:rPr>
                <w:rFonts w:ascii="Times New Roman" w:hAnsi="Times New Roman" w:cs="Times New Roman"/>
                <w:b/>
                <w:bCs/>
                <w:sz w:val="18"/>
                <w:szCs w:val="18"/>
              </w:rPr>
            </w:pPr>
            <w:hyperlink r:id="rId28" w:history="1">
              <w:r w:rsidRPr="00B5721E">
                <w:rPr>
                  <w:rStyle w:val="afa"/>
                  <w:rFonts w:ascii="Times New Roman" w:eastAsia="等线" w:hAnsi="Times New Roman" w:cs="Times New Roman"/>
                  <w:sz w:val="18"/>
                  <w:szCs w:val="18"/>
                </w:rPr>
                <w:t>https://pubs.acs.org/doi/10.1021/acs.jmedchem.4c00298</w:t>
              </w:r>
            </w:hyperlink>
          </w:p>
        </w:tc>
      </w:tr>
      <w:tr w:rsidR="00B5721E" w:rsidRPr="00263AA5" w14:paraId="4FF105F9"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473E1CC7" w14:textId="48B0E830"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EC-5026</w:t>
            </w:r>
          </w:p>
        </w:tc>
        <w:tc>
          <w:tcPr>
            <w:tcW w:w="1111" w:type="pct"/>
            <w:tcBorders>
              <w:top w:val="nil"/>
              <w:left w:val="nil"/>
              <w:bottom w:val="nil"/>
              <w:right w:val="nil"/>
            </w:tcBorders>
            <w:vAlign w:val="center"/>
          </w:tcPr>
          <w:p w14:paraId="34E2CED8" w14:textId="6A503815"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CC[C@H](C)C(=O)N1CCC(NC(=O)Nc2ccc(OC(F)(F)F)c(F)c2)CC1</w:t>
            </w:r>
          </w:p>
        </w:tc>
        <w:tc>
          <w:tcPr>
            <w:tcW w:w="1194" w:type="pct"/>
            <w:tcBorders>
              <w:top w:val="nil"/>
              <w:left w:val="nil"/>
              <w:bottom w:val="nil"/>
              <w:right w:val="nil"/>
            </w:tcBorders>
            <w:vAlign w:val="center"/>
          </w:tcPr>
          <w:p w14:paraId="7C25F20E" w14:textId="0CD0E360"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CC[C@@H](CO)C(=O)N1CCC(NC(=O)Nc2ccc(OC(F)(F)F)c(F)c2)CC1</w:t>
            </w:r>
          </w:p>
        </w:tc>
        <w:tc>
          <w:tcPr>
            <w:tcW w:w="768" w:type="pct"/>
            <w:tcBorders>
              <w:top w:val="nil"/>
              <w:left w:val="nil"/>
              <w:bottom w:val="nil"/>
              <w:right w:val="nil"/>
            </w:tcBorders>
            <w:vAlign w:val="center"/>
          </w:tcPr>
          <w:p w14:paraId="56C40F20" w14:textId="77ED878E"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69.49</w:t>
            </w:r>
          </w:p>
        </w:tc>
        <w:tc>
          <w:tcPr>
            <w:tcW w:w="819" w:type="pct"/>
            <w:tcBorders>
              <w:top w:val="nil"/>
              <w:left w:val="nil"/>
              <w:bottom w:val="nil"/>
              <w:right w:val="nil"/>
            </w:tcBorders>
            <w:vAlign w:val="center"/>
          </w:tcPr>
          <w:p w14:paraId="3A852B32" w14:textId="2DF57A8C" w:rsidR="00B5721E" w:rsidRPr="00B5721E" w:rsidRDefault="00B5721E" w:rsidP="00B5721E">
            <w:pPr>
              <w:spacing w:after="0"/>
              <w:jc w:val="both"/>
              <w:rPr>
                <w:rFonts w:ascii="Times New Roman" w:hAnsi="Times New Roman" w:cs="Times New Roman"/>
                <w:sz w:val="18"/>
                <w:szCs w:val="18"/>
              </w:rPr>
            </w:pPr>
            <w:hyperlink r:id="rId29" w:tgtFrame="_blank" w:tooltip="Persistent link using digital object identifier" w:history="1">
              <w:r w:rsidRPr="00B5721E">
                <w:rPr>
                  <w:rStyle w:val="afa"/>
                  <w:rFonts w:ascii="Times New Roman" w:eastAsia="等线" w:hAnsi="Times New Roman" w:cs="Times New Roman"/>
                  <w:sz w:val="18"/>
                  <w:szCs w:val="18"/>
                </w:rPr>
                <w:t>https://doi.org/10.1016/j.jpba.2024.116116</w:t>
              </w:r>
            </w:hyperlink>
          </w:p>
        </w:tc>
      </w:tr>
      <w:tr w:rsidR="00B5721E" w:rsidRPr="00263AA5" w14:paraId="5BA67716"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5F477B19" w14:textId="340C9B7D"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Cmpd9a</w:t>
            </w:r>
          </w:p>
        </w:tc>
        <w:tc>
          <w:tcPr>
            <w:tcW w:w="1111" w:type="pct"/>
            <w:tcBorders>
              <w:top w:val="nil"/>
              <w:left w:val="nil"/>
              <w:bottom w:val="nil"/>
              <w:right w:val="nil"/>
            </w:tcBorders>
            <w:vAlign w:val="center"/>
          </w:tcPr>
          <w:p w14:paraId="544A55DB" w14:textId="4EC83277"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CN(C(=O)Cc1cccs1)[C@@H](Cc1c[nH]c2ccccc12)C(=O)N[C@@](C)(Cc1ccccc1)C(=O)N[C@@H](CCCNC(=N)N)C(=O)N1CCC[C@H]1C(=O)N[C@@H](CCCNC(=N)N)C(N)=O</w:t>
            </w:r>
          </w:p>
        </w:tc>
        <w:tc>
          <w:tcPr>
            <w:tcW w:w="1194" w:type="pct"/>
            <w:tcBorders>
              <w:top w:val="nil"/>
              <w:left w:val="nil"/>
              <w:bottom w:val="nil"/>
              <w:right w:val="nil"/>
            </w:tcBorders>
            <w:vAlign w:val="center"/>
          </w:tcPr>
          <w:p w14:paraId="42CCA25A" w14:textId="1CEB7196"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CN(C(=O)Cc1cccs1)[C@@H](Cc1c[nH]c2ccccc12)C(=O)N[C@@](C)(Cc1ccccc1)C(=O)N[C@@H](CCCNC(=N)N)C(=O)N1CCC[C@H]1C(=O)N[C@@H](CCCNC(=N)N)C(=O)O</w:t>
            </w:r>
          </w:p>
        </w:tc>
        <w:tc>
          <w:tcPr>
            <w:tcW w:w="768" w:type="pct"/>
            <w:tcBorders>
              <w:top w:val="nil"/>
              <w:left w:val="nil"/>
              <w:bottom w:val="nil"/>
              <w:right w:val="nil"/>
            </w:tcBorders>
            <w:vAlign w:val="center"/>
          </w:tcPr>
          <w:p w14:paraId="3F7D30D6" w14:textId="4D084301"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Not reported</w:t>
            </w:r>
          </w:p>
        </w:tc>
        <w:tc>
          <w:tcPr>
            <w:tcW w:w="819" w:type="pct"/>
            <w:tcBorders>
              <w:top w:val="nil"/>
              <w:left w:val="nil"/>
              <w:bottom w:val="nil"/>
              <w:right w:val="nil"/>
            </w:tcBorders>
            <w:vAlign w:val="center"/>
          </w:tcPr>
          <w:p w14:paraId="40C748ED" w14:textId="508DABA9" w:rsidR="00B5721E" w:rsidRPr="00B5721E" w:rsidRDefault="00B5721E" w:rsidP="00B5721E">
            <w:pPr>
              <w:spacing w:after="0"/>
              <w:jc w:val="both"/>
              <w:rPr>
                <w:rFonts w:ascii="Times New Roman" w:hAnsi="Times New Roman" w:cs="Times New Roman"/>
                <w:sz w:val="18"/>
                <w:szCs w:val="18"/>
              </w:rPr>
            </w:pPr>
            <w:hyperlink r:id="rId30" w:history="1">
              <w:r w:rsidRPr="00B5721E">
                <w:rPr>
                  <w:rStyle w:val="afa"/>
                  <w:rFonts w:ascii="Times New Roman" w:eastAsia="等线" w:hAnsi="Times New Roman" w:cs="Times New Roman"/>
                  <w:sz w:val="18"/>
                  <w:szCs w:val="18"/>
                </w:rPr>
                <w:t>https://pubs.acs.org/doi/10.1021/acsmedchemlett.4c00091</w:t>
              </w:r>
            </w:hyperlink>
          </w:p>
        </w:tc>
      </w:tr>
      <w:tr w:rsidR="00B5721E" w:rsidRPr="00263AA5" w14:paraId="737D8EF0"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jc w:val="center"/>
        </w:trPr>
        <w:tc>
          <w:tcPr>
            <w:tcW w:w="1108" w:type="pct"/>
            <w:tcBorders>
              <w:top w:val="nil"/>
              <w:left w:val="nil"/>
              <w:bottom w:val="nil"/>
              <w:right w:val="nil"/>
            </w:tcBorders>
            <w:vAlign w:val="center"/>
          </w:tcPr>
          <w:p w14:paraId="7B9D8B76" w14:textId="74AF37B0"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1cP-LSD</w:t>
            </w:r>
          </w:p>
        </w:tc>
        <w:tc>
          <w:tcPr>
            <w:tcW w:w="1111" w:type="pct"/>
            <w:tcBorders>
              <w:top w:val="nil"/>
              <w:left w:val="nil"/>
              <w:bottom w:val="nil"/>
              <w:right w:val="nil"/>
            </w:tcBorders>
            <w:vAlign w:val="center"/>
          </w:tcPr>
          <w:p w14:paraId="65FC163E" w14:textId="7B03054B"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CCN(CC)C(=O)C1C=C2c3cccc4c3c(cn4C(=O)C3CC3)CC2N(C)C1</w:t>
            </w:r>
          </w:p>
        </w:tc>
        <w:tc>
          <w:tcPr>
            <w:tcW w:w="1194" w:type="pct"/>
            <w:tcBorders>
              <w:top w:val="nil"/>
              <w:left w:val="nil"/>
              <w:bottom w:val="nil"/>
              <w:right w:val="nil"/>
            </w:tcBorders>
            <w:vAlign w:val="center"/>
          </w:tcPr>
          <w:p w14:paraId="12EE236A" w14:textId="08AA8E58"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CCN(CC)C(=O)C1C=C2c3cccc4[nH]cc(c34)CC2N(C)C1</w:t>
            </w:r>
          </w:p>
        </w:tc>
        <w:tc>
          <w:tcPr>
            <w:tcW w:w="768" w:type="pct"/>
            <w:tcBorders>
              <w:top w:val="nil"/>
              <w:left w:val="nil"/>
              <w:bottom w:val="nil"/>
              <w:right w:val="nil"/>
            </w:tcBorders>
            <w:vAlign w:val="center"/>
          </w:tcPr>
          <w:p w14:paraId="54D159A5" w14:textId="70DABF60"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Not reported</w:t>
            </w:r>
          </w:p>
        </w:tc>
        <w:tc>
          <w:tcPr>
            <w:tcW w:w="819" w:type="pct"/>
            <w:tcBorders>
              <w:top w:val="nil"/>
              <w:left w:val="nil"/>
              <w:bottom w:val="nil"/>
              <w:right w:val="nil"/>
            </w:tcBorders>
            <w:vAlign w:val="center"/>
          </w:tcPr>
          <w:p w14:paraId="7E68FB5C" w14:textId="0C815DF7" w:rsidR="00B5721E" w:rsidRPr="00B5721E" w:rsidRDefault="00B5721E" w:rsidP="00B5721E">
            <w:pPr>
              <w:spacing w:after="0"/>
              <w:jc w:val="both"/>
              <w:rPr>
                <w:rFonts w:ascii="Times New Roman" w:hAnsi="Times New Roman" w:cs="Times New Roman"/>
                <w:sz w:val="18"/>
                <w:szCs w:val="18"/>
              </w:rPr>
            </w:pPr>
            <w:hyperlink r:id="rId31" w:tgtFrame="_blank" w:tooltip="Persistent link using digital object identifier" w:history="1">
              <w:r w:rsidRPr="00B5721E">
                <w:rPr>
                  <w:rStyle w:val="afa"/>
                  <w:rFonts w:ascii="Times New Roman" w:eastAsia="等线" w:hAnsi="Times New Roman" w:cs="Times New Roman"/>
                  <w:sz w:val="18"/>
                  <w:szCs w:val="18"/>
                </w:rPr>
                <w:t>https://doi.org/10.1016/j.jpba.2024.116187</w:t>
              </w:r>
            </w:hyperlink>
          </w:p>
        </w:tc>
      </w:tr>
      <w:tr w:rsidR="00B5721E" w:rsidRPr="00263AA5" w14:paraId="1A02224C"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0F00496D" w14:textId="5417D707"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VX-548</w:t>
            </w:r>
          </w:p>
        </w:tc>
        <w:tc>
          <w:tcPr>
            <w:tcW w:w="1111" w:type="pct"/>
            <w:tcBorders>
              <w:top w:val="nil"/>
              <w:left w:val="nil"/>
              <w:bottom w:val="nil"/>
              <w:right w:val="nil"/>
            </w:tcBorders>
            <w:vAlign w:val="center"/>
          </w:tcPr>
          <w:p w14:paraId="190D871C" w14:textId="13D9C841"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COc1c([C@H]2C(C(=O)Nc3ccnc(C(N)=O)c3)O[C@@](C)(C(F)(F)F)[C@H]2C)ccc(F)c1F</w:t>
            </w:r>
          </w:p>
        </w:tc>
        <w:tc>
          <w:tcPr>
            <w:tcW w:w="1194" w:type="pct"/>
            <w:tcBorders>
              <w:top w:val="nil"/>
              <w:left w:val="nil"/>
              <w:bottom w:val="nil"/>
              <w:right w:val="nil"/>
            </w:tcBorders>
            <w:vAlign w:val="center"/>
          </w:tcPr>
          <w:p w14:paraId="3704EC9A" w14:textId="754D43B7"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C[C@H]1[C@@H](c2ccc(F)c(F)c2O)C(C(=O)Nc2ccnc(C(N)=O)c2)O[C@@]1(C)C(F)(F)F</w:t>
            </w:r>
          </w:p>
        </w:tc>
        <w:tc>
          <w:tcPr>
            <w:tcW w:w="768" w:type="pct"/>
            <w:tcBorders>
              <w:top w:val="nil"/>
              <w:left w:val="nil"/>
              <w:bottom w:val="nil"/>
              <w:right w:val="nil"/>
            </w:tcBorders>
            <w:vAlign w:val="center"/>
          </w:tcPr>
          <w:p w14:paraId="52F5A8F6" w14:textId="6E763FE7"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90.71</w:t>
            </w:r>
          </w:p>
        </w:tc>
        <w:tc>
          <w:tcPr>
            <w:tcW w:w="819" w:type="pct"/>
            <w:tcBorders>
              <w:top w:val="nil"/>
              <w:left w:val="nil"/>
              <w:bottom w:val="nil"/>
              <w:right w:val="nil"/>
            </w:tcBorders>
            <w:vAlign w:val="center"/>
          </w:tcPr>
          <w:p w14:paraId="355FB71D" w14:textId="158BCBC8" w:rsidR="00B5721E" w:rsidRPr="00B5721E" w:rsidRDefault="00B5721E" w:rsidP="00B5721E">
            <w:pPr>
              <w:spacing w:after="0"/>
              <w:jc w:val="both"/>
              <w:rPr>
                <w:rFonts w:ascii="Times New Roman" w:hAnsi="Times New Roman" w:cs="Times New Roman"/>
                <w:sz w:val="18"/>
                <w:szCs w:val="18"/>
              </w:rPr>
            </w:pPr>
            <w:hyperlink r:id="rId32" w:history="1">
              <w:r w:rsidRPr="00B5721E">
                <w:rPr>
                  <w:rStyle w:val="afa"/>
                  <w:rFonts w:ascii="Times New Roman" w:eastAsia="等线" w:hAnsi="Times New Roman" w:cs="Times New Roman"/>
                  <w:sz w:val="18"/>
                  <w:szCs w:val="18"/>
                </w:rPr>
                <w:t>https://doi.org/10.1002/bdd.2387Digital Object Identifier (DOI)</w:t>
              </w:r>
            </w:hyperlink>
          </w:p>
        </w:tc>
      </w:tr>
      <w:tr w:rsidR="00B5721E" w:rsidRPr="00263AA5" w14:paraId="10F1A100"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6335274C" w14:textId="31A1014F"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4-AcO-DET</w:t>
            </w:r>
          </w:p>
        </w:tc>
        <w:tc>
          <w:tcPr>
            <w:tcW w:w="1111" w:type="pct"/>
            <w:tcBorders>
              <w:top w:val="nil"/>
              <w:left w:val="nil"/>
              <w:bottom w:val="nil"/>
              <w:right w:val="nil"/>
            </w:tcBorders>
            <w:vAlign w:val="center"/>
          </w:tcPr>
          <w:p w14:paraId="09316E39" w14:textId="24E43317"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CCN(CC)CCc1c[nH]c2cccc(OC(C)=O)c12</w:t>
            </w:r>
          </w:p>
        </w:tc>
        <w:tc>
          <w:tcPr>
            <w:tcW w:w="1194" w:type="pct"/>
            <w:tcBorders>
              <w:top w:val="nil"/>
              <w:left w:val="nil"/>
              <w:bottom w:val="nil"/>
              <w:right w:val="nil"/>
            </w:tcBorders>
            <w:vAlign w:val="center"/>
          </w:tcPr>
          <w:p w14:paraId="485E2B7E" w14:textId="302BA9D5"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CCN(CC)CCc1c[nH]c2cccc(O)c12</w:t>
            </w:r>
          </w:p>
        </w:tc>
        <w:tc>
          <w:tcPr>
            <w:tcW w:w="768" w:type="pct"/>
            <w:tcBorders>
              <w:top w:val="nil"/>
              <w:left w:val="nil"/>
              <w:bottom w:val="nil"/>
              <w:right w:val="nil"/>
            </w:tcBorders>
            <w:vAlign w:val="center"/>
          </w:tcPr>
          <w:p w14:paraId="5FB74FBF" w14:textId="34DDBE27"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Not reported</w:t>
            </w:r>
          </w:p>
        </w:tc>
        <w:tc>
          <w:tcPr>
            <w:tcW w:w="819" w:type="pct"/>
            <w:tcBorders>
              <w:top w:val="nil"/>
              <w:left w:val="nil"/>
              <w:bottom w:val="nil"/>
              <w:right w:val="nil"/>
            </w:tcBorders>
            <w:vAlign w:val="center"/>
          </w:tcPr>
          <w:p w14:paraId="167B3D76" w14:textId="2F1561EB" w:rsidR="00B5721E" w:rsidRPr="00B5721E" w:rsidRDefault="00B5721E" w:rsidP="00B5721E">
            <w:pPr>
              <w:spacing w:after="0"/>
              <w:jc w:val="both"/>
              <w:rPr>
                <w:rFonts w:ascii="Times New Roman" w:hAnsi="Times New Roman" w:cs="Times New Roman"/>
                <w:sz w:val="18"/>
                <w:szCs w:val="18"/>
              </w:rPr>
            </w:pPr>
            <w:hyperlink r:id="rId33" w:tgtFrame="_blank" w:tooltip="Persistent link using digital object identifier" w:history="1">
              <w:r w:rsidRPr="00B5721E">
                <w:rPr>
                  <w:rStyle w:val="afa"/>
                  <w:rFonts w:ascii="Times New Roman" w:eastAsia="等线" w:hAnsi="Times New Roman" w:cs="Times New Roman"/>
                  <w:sz w:val="18"/>
                  <w:szCs w:val="18"/>
                </w:rPr>
                <w:t>https://doi.org/10.1016/j.jpba.2024.116187</w:t>
              </w:r>
            </w:hyperlink>
          </w:p>
        </w:tc>
      </w:tr>
      <w:tr w:rsidR="00B5721E" w:rsidRPr="00263AA5" w14:paraId="0BC6108E"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20BA3B45" w14:textId="08BC09DF"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Cmpd7</w:t>
            </w:r>
          </w:p>
        </w:tc>
        <w:tc>
          <w:tcPr>
            <w:tcW w:w="1111" w:type="pct"/>
            <w:tcBorders>
              <w:top w:val="nil"/>
              <w:left w:val="nil"/>
              <w:bottom w:val="nil"/>
              <w:right w:val="nil"/>
            </w:tcBorders>
            <w:vAlign w:val="center"/>
          </w:tcPr>
          <w:p w14:paraId="2380775F" w14:textId="6188CC26"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N#CC1CN(S(=O)(=O)c2cccc(C(=O)N3CC</w:t>
            </w:r>
            <w:r w:rsidRPr="001033E3">
              <w:rPr>
                <w:rFonts w:ascii="Times New Roman" w:eastAsia="等线" w:hAnsi="Times New Roman" w:cs="Times New Roman"/>
                <w:color w:val="000000"/>
                <w:sz w:val="18"/>
                <w:szCs w:val="18"/>
              </w:rPr>
              <w:lastRenderedPageBreak/>
              <w:t>C[C@@H]3C(=O)NCc3ccc(C(F)(F)F)cc3)c2)C1</w:t>
            </w:r>
          </w:p>
        </w:tc>
        <w:tc>
          <w:tcPr>
            <w:tcW w:w="1194" w:type="pct"/>
            <w:tcBorders>
              <w:top w:val="nil"/>
              <w:left w:val="nil"/>
              <w:bottom w:val="nil"/>
              <w:right w:val="nil"/>
            </w:tcBorders>
            <w:vAlign w:val="center"/>
          </w:tcPr>
          <w:p w14:paraId="12703EEC" w14:textId="161F2F04"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lastRenderedPageBreak/>
              <w:t>NS(=O)(=O)c1cccc(C(=O)N2CCC[C@@H]2C(</w:t>
            </w:r>
            <w:r w:rsidRPr="001033E3">
              <w:rPr>
                <w:rFonts w:ascii="Times New Roman" w:eastAsia="等线" w:hAnsi="Times New Roman" w:cs="Times New Roman"/>
                <w:color w:val="000000"/>
                <w:sz w:val="18"/>
                <w:szCs w:val="18"/>
              </w:rPr>
              <w:lastRenderedPageBreak/>
              <w:t>=O)NCc2ccc(C(F)(F)F)cc2)c1</w:t>
            </w:r>
          </w:p>
        </w:tc>
        <w:tc>
          <w:tcPr>
            <w:tcW w:w="768" w:type="pct"/>
            <w:tcBorders>
              <w:top w:val="nil"/>
              <w:left w:val="nil"/>
              <w:bottom w:val="nil"/>
              <w:right w:val="nil"/>
            </w:tcBorders>
            <w:vAlign w:val="center"/>
          </w:tcPr>
          <w:p w14:paraId="772A9B2E" w14:textId="39D4BFA6"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lastRenderedPageBreak/>
              <w:t>Not reported</w:t>
            </w:r>
          </w:p>
        </w:tc>
        <w:tc>
          <w:tcPr>
            <w:tcW w:w="819" w:type="pct"/>
            <w:tcBorders>
              <w:top w:val="nil"/>
              <w:left w:val="nil"/>
              <w:bottom w:val="nil"/>
              <w:right w:val="nil"/>
            </w:tcBorders>
            <w:vAlign w:val="center"/>
          </w:tcPr>
          <w:p w14:paraId="38901D6F" w14:textId="625A38EE" w:rsidR="00B5721E" w:rsidRPr="00B5721E" w:rsidRDefault="00B5721E" w:rsidP="00B5721E">
            <w:pPr>
              <w:spacing w:after="0"/>
              <w:jc w:val="both"/>
              <w:rPr>
                <w:rFonts w:ascii="Times New Roman" w:hAnsi="Times New Roman" w:cs="Times New Roman"/>
                <w:sz w:val="18"/>
                <w:szCs w:val="18"/>
              </w:rPr>
            </w:pPr>
            <w:hyperlink r:id="rId34" w:history="1">
              <w:r w:rsidRPr="00B5721E">
                <w:rPr>
                  <w:rStyle w:val="afa"/>
                  <w:rFonts w:ascii="Times New Roman" w:eastAsia="等线" w:hAnsi="Times New Roman" w:cs="Times New Roman"/>
                  <w:sz w:val="18"/>
                  <w:szCs w:val="18"/>
                </w:rPr>
                <w:t>https://pubs.acs.org/doi/10.102</w:t>
              </w:r>
              <w:r w:rsidRPr="00B5721E">
                <w:rPr>
                  <w:rStyle w:val="afa"/>
                  <w:rFonts w:ascii="Times New Roman" w:eastAsia="等线" w:hAnsi="Times New Roman" w:cs="Times New Roman"/>
                  <w:sz w:val="18"/>
                  <w:szCs w:val="18"/>
                </w:rPr>
                <w:lastRenderedPageBreak/>
                <w:t>1/acs.jmedchem.3c02413</w:t>
              </w:r>
            </w:hyperlink>
          </w:p>
        </w:tc>
      </w:tr>
      <w:tr w:rsidR="00B5721E" w:rsidRPr="00263AA5" w14:paraId="7182A0B2"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4875DA46" w14:textId="30D35F25"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lastRenderedPageBreak/>
              <w:t>GS-5734</w:t>
            </w:r>
          </w:p>
        </w:tc>
        <w:tc>
          <w:tcPr>
            <w:tcW w:w="1111" w:type="pct"/>
            <w:tcBorders>
              <w:top w:val="nil"/>
              <w:left w:val="nil"/>
              <w:bottom w:val="nil"/>
              <w:right w:val="nil"/>
            </w:tcBorders>
            <w:vAlign w:val="center"/>
          </w:tcPr>
          <w:p w14:paraId="6C437C3B" w14:textId="580CC2FE"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CCC(CC)COC(=O)[C@H](C)N[P@](=O)(OC[C@H]1O[C@@](C#N)(c2ccc3c(N)ncnn23)[C@H](O)[C@@H]1O)Oc1ccccc1</w:t>
            </w:r>
          </w:p>
        </w:tc>
        <w:tc>
          <w:tcPr>
            <w:tcW w:w="1194" w:type="pct"/>
            <w:tcBorders>
              <w:top w:val="nil"/>
              <w:left w:val="nil"/>
              <w:bottom w:val="nil"/>
              <w:right w:val="nil"/>
            </w:tcBorders>
            <w:vAlign w:val="center"/>
          </w:tcPr>
          <w:p w14:paraId="7401C43D" w14:textId="455B6FBD"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C[C@H](N[P@](=O)(OC[C@H]1O[C@@](C#N)(c2ccc3c(N)ncnn23)[C@H](O)[C@@H]1O)Oc1ccccc1)C(=O)O</w:t>
            </w:r>
          </w:p>
        </w:tc>
        <w:tc>
          <w:tcPr>
            <w:tcW w:w="768" w:type="pct"/>
            <w:tcBorders>
              <w:top w:val="nil"/>
              <w:left w:val="nil"/>
              <w:bottom w:val="nil"/>
              <w:right w:val="nil"/>
            </w:tcBorders>
            <w:vAlign w:val="center"/>
          </w:tcPr>
          <w:p w14:paraId="02D24C14" w14:textId="31C92935"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Not reported</w:t>
            </w:r>
          </w:p>
        </w:tc>
        <w:tc>
          <w:tcPr>
            <w:tcW w:w="819" w:type="pct"/>
            <w:tcBorders>
              <w:top w:val="nil"/>
              <w:left w:val="nil"/>
              <w:bottom w:val="nil"/>
              <w:right w:val="nil"/>
            </w:tcBorders>
            <w:vAlign w:val="center"/>
          </w:tcPr>
          <w:p w14:paraId="58BD4EBD" w14:textId="3A46E405" w:rsidR="00B5721E" w:rsidRPr="00B5721E" w:rsidRDefault="00B5721E" w:rsidP="00B5721E">
            <w:pPr>
              <w:spacing w:after="0"/>
              <w:jc w:val="both"/>
              <w:rPr>
                <w:rFonts w:ascii="Times New Roman" w:hAnsi="Times New Roman" w:cs="Times New Roman"/>
                <w:sz w:val="18"/>
                <w:szCs w:val="18"/>
              </w:rPr>
            </w:pPr>
            <w:hyperlink r:id="rId35" w:history="1">
              <w:r w:rsidRPr="00B5721E">
                <w:rPr>
                  <w:rStyle w:val="afa"/>
                  <w:rFonts w:ascii="Times New Roman" w:eastAsia="等线" w:hAnsi="Times New Roman" w:cs="Times New Roman"/>
                  <w:sz w:val="18"/>
                  <w:szCs w:val="18"/>
                </w:rPr>
                <w:t>https://pubs.acs.org/doi/10.1021/acs.jmedchem.4c00234</w:t>
              </w:r>
            </w:hyperlink>
          </w:p>
        </w:tc>
      </w:tr>
      <w:tr w:rsidR="00B5721E" w:rsidRPr="00263AA5" w14:paraId="2C669846"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3B5BBD0F" w14:textId="37F5CB95"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CC-220</w:t>
            </w:r>
          </w:p>
        </w:tc>
        <w:tc>
          <w:tcPr>
            <w:tcW w:w="1111" w:type="pct"/>
            <w:tcBorders>
              <w:top w:val="nil"/>
              <w:left w:val="nil"/>
              <w:bottom w:val="nil"/>
              <w:right w:val="nil"/>
            </w:tcBorders>
            <w:vAlign w:val="center"/>
          </w:tcPr>
          <w:p w14:paraId="4970AD9C" w14:textId="7CA16768"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O=C1CC[C@@H](N2Cc3c(OCc4ccc(CN5CCOCC5)cc4)cccc3C2=O)C(=O)N1</w:t>
            </w:r>
          </w:p>
        </w:tc>
        <w:tc>
          <w:tcPr>
            <w:tcW w:w="1194" w:type="pct"/>
            <w:tcBorders>
              <w:top w:val="nil"/>
              <w:left w:val="nil"/>
              <w:bottom w:val="nil"/>
              <w:right w:val="nil"/>
            </w:tcBorders>
            <w:vAlign w:val="center"/>
          </w:tcPr>
          <w:p w14:paraId="02C10641" w14:textId="5FDA83D8"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O=C1CC[C@@H](N2Cc3c(OCc4ccc(CN5CCOCC5=O)cc4)cccc3C2=O)C(=O)N1</w:t>
            </w:r>
          </w:p>
        </w:tc>
        <w:tc>
          <w:tcPr>
            <w:tcW w:w="768" w:type="pct"/>
            <w:tcBorders>
              <w:top w:val="nil"/>
              <w:left w:val="nil"/>
              <w:bottom w:val="nil"/>
              <w:right w:val="nil"/>
            </w:tcBorders>
            <w:vAlign w:val="center"/>
          </w:tcPr>
          <w:p w14:paraId="42199127" w14:textId="497E81B8"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14</w:t>
            </w:r>
          </w:p>
        </w:tc>
        <w:tc>
          <w:tcPr>
            <w:tcW w:w="819" w:type="pct"/>
            <w:tcBorders>
              <w:top w:val="nil"/>
              <w:left w:val="nil"/>
              <w:bottom w:val="nil"/>
              <w:right w:val="nil"/>
            </w:tcBorders>
            <w:vAlign w:val="center"/>
          </w:tcPr>
          <w:p w14:paraId="69E25F15" w14:textId="4CA65A53" w:rsidR="00B5721E" w:rsidRPr="00B5721E" w:rsidRDefault="00B5721E" w:rsidP="00B5721E">
            <w:pPr>
              <w:spacing w:after="0"/>
              <w:jc w:val="both"/>
              <w:rPr>
                <w:rFonts w:ascii="Times New Roman" w:hAnsi="Times New Roman" w:cs="Times New Roman"/>
                <w:sz w:val="18"/>
                <w:szCs w:val="18"/>
              </w:rPr>
            </w:pPr>
            <w:hyperlink r:id="rId36" w:history="1">
              <w:r w:rsidRPr="00B5721E">
                <w:rPr>
                  <w:rStyle w:val="afa"/>
                  <w:rFonts w:ascii="Times New Roman" w:eastAsia="等线" w:hAnsi="Times New Roman" w:cs="Times New Roman"/>
                  <w:sz w:val="18"/>
                  <w:szCs w:val="18"/>
                </w:rPr>
                <w:t>https://doi.org/10.1007/s13318-024-00886-4</w:t>
              </w:r>
            </w:hyperlink>
          </w:p>
        </w:tc>
      </w:tr>
      <w:tr w:rsidR="00B5721E" w:rsidRPr="00263AA5" w14:paraId="1CC5B2FD"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76EC81A1" w14:textId="6B8FF55C"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MDMA</w:t>
            </w:r>
          </w:p>
        </w:tc>
        <w:tc>
          <w:tcPr>
            <w:tcW w:w="1111" w:type="pct"/>
            <w:tcBorders>
              <w:top w:val="nil"/>
              <w:left w:val="nil"/>
              <w:bottom w:val="nil"/>
              <w:right w:val="nil"/>
            </w:tcBorders>
            <w:vAlign w:val="center"/>
          </w:tcPr>
          <w:p w14:paraId="6A35F346" w14:textId="5708F884"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CNC(C)Cc1ccc2c(c1)OCO2</w:t>
            </w:r>
          </w:p>
        </w:tc>
        <w:tc>
          <w:tcPr>
            <w:tcW w:w="1194" w:type="pct"/>
            <w:tcBorders>
              <w:top w:val="nil"/>
              <w:left w:val="nil"/>
              <w:bottom w:val="nil"/>
              <w:right w:val="nil"/>
            </w:tcBorders>
            <w:vAlign w:val="center"/>
          </w:tcPr>
          <w:p w14:paraId="32C2B2F3" w14:textId="5D00DBAB"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CC(N)Cc1ccc2c(c1)OCO2</w:t>
            </w:r>
          </w:p>
        </w:tc>
        <w:tc>
          <w:tcPr>
            <w:tcW w:w="768" w:type="pct"/>
            <w:tcBorders>
              <w:top w:val="nil"/>
              <w:left w:val="nil"/>
              <w:bottom w:val="nil"/>
              <w:right w:val="nil"/>
            </w:tcBorders>
            <w:vAlign w:val="center"/>
          </w:tcPr>
          <w:p w14:paraId="7257EB0B" w14:textId="39245852"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Not reported</w:t>
            </w:r>
          </w:p>
        </w:tc>
        <w:tc>
          <w:tcPr>
            <w:tcW w:w="819" w:type="pct"/>
            <w:tcBorders>
              <w:top w:val="nil"/>
              <w:left w:val="nil"/>
              <w:bottom w:val="nil"/>
              <w:right w:val="nil"/>
            </w:tcBorders>
            <w:vAlign w:val="center"/>
          </w:tcPr>
          <w:p w14:paraId="31E0EBE0" w14:textId="24E3F912" w:rsidR="00B5721E" w:rsidRPr="00B5721E" w:rsidRDefault="00B5721E" w:rsidP="00B5721E">
            <w:pPr>
              <w:spacing w:after="0"/>
              <w:jc w:val="both"/>
              <w:rPr>
                <w:rFonts w:ascii="Times New Roman" w:hAnsi="Times New Roman" w:cs="Times New Roman"/>
                <w:sz w:val="18"/>
                <w:szCs w:val="18"/>
              </w:rPr>
            </w:pPr>
            <w:hyperlink r:id="rId37" w:tgtFrame="_blank" w:tooltip="Persistent link using digital object identifier" w:history="1">
              <w:r w:rsidRPr="00B5721E">
                <w:rPr>
                  <w:rStyle w:val="afa"/>
                  <w:rFonts w:ascii="Times New Roman" w:eastAsia="等线" w:hAnsi="Times New Roman" w:cs="Times New Roman"/>
                  <w:sz w:val="18"/>
                  <w:szCs w:val="18"/>
                </w:rPr>
                <w:t>https://doi.org/10.1016/j.jpba.2024.116076</w:t>
              </w:r>
            </w:hyperlink>
          </w:p>
        </w:tc>
      </w:tr>
      <w:tr w:rsidR="00B5721E" w:rsidRPr="00263AA5" w14:paraId="06E2C7BD"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677059BE" w14:textId="0CC4A949"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Cmpd2</w:t>
            </w:r>
          </w:p>
        </w:tc>
        <w:tc>
          <w:tcPr>
            <w:tcW w:w="1111" w:type="pct"/>
            <w:tcBorders>
              <w:top w:val="nil"/>
              <w:left w:val="nil"/>
              <w:bottom w:val="nil"/>
              <w:right w:val="nil"/>
            </w:tcBorders>
            <w:vAlign w:val="center"/>
          </w:tcPr>
          <w:p w14:paraId="5C2FB2F3" w14:textId="0E32C3FC"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Cn1cnc2ncn(Cc3nc([C@@H]4CO[C@@H](c5ccc(Cl)cc5)C4)no3)c(=O)c21</w:t>
            </w:r>
          </w:p>
        </w:tc>
        <w:tc>
          <w:tcPr>
            <w:tcW w:w="1194" w:type="pct"/>
            <w:tcBorders>
              <w:top w:val="nil"/>
              <w:left w:val="nil"/>
              <w:bottom w:val="nil"/>
              <w:right w:val="nil"/>
            </w:tcBorders>
            <w:vAlign w:val="center"/>
          </w:tcPr>
          <w:p w14:paraId="2CF107D1" w14:textId="04F82609"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Cn1cnc2[nH]c(=O)n(Cc3nc([C@@H]4CO[C@@H](c5ccc(Cl)cc5)C4)no3)c(=O)c21</w:t>
            </w:r>
          </w:p>
        </w:tc>
        <w:tc>
          <w:tcPr>
            <w:tcW w:w="768" w:type="pct"/>
            <w:tcBorders>
              <w:top w:val="nil"/>
              <w:left w:val="nil"/>
              <w:bottom w:val="nil"/>
              <w:right w:val="nil"/>
            </w:tcBorders>
            <w:vAlign w:val="center"/>
          </w:tcPr>
          <w:p w14:paraId="35C5BA36" w14:textId="154352FA"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43.40</w:t>
            </w:r>
          </w:p>
        </w:tc>
        <w:tc>
          <w:tcPr>
            <w:tcW w:w="819" w:type="pct"/>
            <w:tcBorders>
              <w:top w:val="nil"/>
              <w:left w:val="nil"/>
              <w:bottom w:val="nil"/>
              <w:right w:val="nil"/>
            </w:tcBorders>
            <w:vAlign w:val="center"/>
          </w:tcPr>
          <w:p w14:paraId="7D8588EC" w14:textId="58D6F5FD" w:rsidR="00B5721E" w:rsidRPr="00B5721E" w:rsidRDefault="00B5721E" w:rsidP="00B5721E">
            <w:pPr>
              <w:spacing w:after="0"/>
              <w:jc w:val="both"/>
              <w:rPr>
                <w:rFonts w:ascii="Times New Roman" w:hAnsi="Times New Roman" w:cs="Times New Roman"/>
                <w:sz w:val="18"/>
                <w:szCs w:val="18"/>
              </w:rPr>
            </w:pPr>
            <w:hyperlink r:id="rId38" w:history="1">
              <w:r w:rsidRPr="00B5721E">
                <w:rPr>
                  <w:rStyle w:val="afa"/>
                  <w:rFonts w:ascii="Times New Roman" w:eastAsia="等线" w:hAnsi="Times New Roman" w:cs="Times New Roman"/>
                  <w:sz w:val="18"/>
                  <w:szCs w:val="18"/>
                </w:rPr>
                <w:t>https://pubs.acs.org/doi/10.1021/acs.jmedchem.3c02121</w:t>
              </w:r>
            </w:hyperlink>
          </w:p>
        </w:tc>
      </w:tr>
      <w:tr w:rsidR="00B5721E" w:rsidRPr="00263AA5" w14:paraId="00D3A34D"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451556D5" w14:textId="6F9F077E"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1F1F1F"/>
                <w:sz w:val="18"/>
                <w:szCs w:val="18"/>
              </w:rPr>
              <w:t>Platycodin D</w:t>
            </w:r>
          </w:p>
        </w:tc>
        <w:tc>
          <w:tcPr>
            <w:tcW w:w="1111" w:type="pct"/>
            <w:tcBorders>
              <w:top w:val="nil"/>
              <w:left w:val="nil"/>
              <w:bottom w:val="nil"/>
              <w:right w:val="nil"/>
            </w:tcBorders>
            <w:vAlign w:val="center"/>
          </w:tcPr>
          <w:p w14:paraId="5EB0F38E" w14:textId="4C9560D4"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CC1OC(OC2C(OC(=O)[C@]34CCC(C)(C)CC3C3=CCC5[C@@]6(C)C[C@H](O)[C@H](OC7OC(CO)C(O)C(O)C7O)C(CO)(CO)C6CC[C@@]5(C)[C@]3(C)C[C@H]4O)OCC(O)C2O)C(O)C(O)C1OC1OCC(O)C(OC2OCC(O)C2(O)CO)C1O</w:t>
            </w:r>
          </w:p>
        </w:tc>
        <w:tc>
          <w:tcPr>
            <w:tcW w:w="1194" w:type="pct"/>
            <w:tcBorders>
              <w:top w:val="nil"/>
              <w:left w:val="nil"/>
              <w:bottom w:val="nil"/>
              <w:right w:val="nil"/>
            </w:tcBorders>
            <w:vAlign w:val="center"/>
          </w:tcPr>
          <w:p w14:paraId="457C880B" w14:textId="3ED7E4DC"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CC1OC(OC2C(OC(=O)[C@]34CCC(C)(C)CC3C3=CCC5[C@@]6(C)C[C@H](O)[C@H](O)C(CO)(CO)C6CC[C@@]5(C)[C@]3(C)C[C@H]4O)OCC(O)C2O)C(O)C(O)C1OC1OCC(O)C(OC2OCC(O)C2(O)CO)C1O</w:t>
            </w:r>
          </w:p>
        </w:tc>
        <w:tc>
          <w:tcPr>
            <w:tcW w:w="768" w:type="pct"/>
            <w:tcBorders>
              <w:top w:val="nil"/>
              <w:left w:val="nil"/>
              <w:bottom w:val="nil"/>
              <w:right w:val="nil"/>
            </w:tcBorders>
            <w:vAlign w:val="center"/>
          </w:tcPr>
          <w:p w14:paraId="557BF8B1" w14:textId="0A866F51"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Not reported</w:t>
            </w:r>
          </w:p>
        </w:tc>
        <w:tc>
          <w:tcPr>
            <w:tcW w:w="819" w:type="pct"/>
            <w:tcBorders>
              <w:top w:val="nil"/>
              <w:left w:val="nil"/>
              <w:bottom w:val="nil"/>
              <w:right w:val="nil"/>
            </w:tcBorders>
            <w:vAlign w:val="center"/>
          </w:tcPr>
          <w:p w14:paraId="10009152" w14:textId="49A7CB91" w:rsidR="00B5721E" w:rsidRPr="00B5721E" w:rsidRDefault="00B5721E" w:rsidP="00B5721E">
            <w:pPr>
              <w:spacing w:after="0"/>
              <w:jc w:val="both"/>
              <w:rPr>
                <w:rFonts w:ascii="Times New Roman" w:hAnsi="Times New Roman" w:cs="Times New Roman"/>
                <w:sz w:val="18"/>
                <w:szCs w:val="18"/>
              </w:rPr>
            </w:pPr>
            <w:hyperlink r:id="rId39" w:tgtFrame="_blank" w:tooltip="Persistent link using digital object identifier" w:history="1">
              <w:r w:rsidRPr="00B5721E">
                <w:rPr>
                  <w:rStyle w:val="afa"/>
                  <w:rFonts w:ascii="Times New Roman" w:eastAsia="等线" w:hAnsi="Times New Roman" w:cs="Times New Roman"/>
                  <w:sz w:val="18"/>
                  <w:szCs w:val="18"/>
                </w:rPr>
                <w:t>https://doi.org/10.1016/j.jpba.2024.116016</w:t>
              </w:r>
            </w:hyperlink>
          </w:p>
        </w:tc>
      </w:tr>
      <w:tr w:rsidR="00B5721E" w:rsidRPr="00263AA5" w14:paraId="223C098C"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nil"/>
              <w:right w:val="nil"/>
            </w:tcBorders>
            <w:vAlign w:val="center"/>
          </w:tcPr>
          <w:p w14:paraId="522C7067" w14:textId="42EF72E5"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Soticlestat</w:t>
            </w:r>
          </w:p>
        </w:tc>
        <w:tc>
          <w:tcPr>
            <w:tcW w:w="1111" w:type="pct"/>
            <w:tcBorders>
              <w:top w:val="nil"/>
              <w:left w:val="nil"/>
              <w:bottom w:val="nil"/>
              <w:right w:val="nil"/>
            </w:tcBorders>
            <w:vAlign w:val="center"/>
          </w:tcPr>
          <w:p w14:paraId="0DE0F870" w14:textId="19B08D65"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O=C(c1cccnc1-c1ccncc1)N1CCC(O)(Cc2ccccc2)CC1</w:t>
            </w:r>
          </w:p>
        </w:tc>
        <w:tc>
          <w:tcPr>
            <w:tcW w:w="1194" w:type="pct"/>
            <w:tcBorders>
              <w:top w:val="nil"/>
              <w:left w:val="nil"/>
              <w:bottom w:val="nil"/>
              <w:right w:val="nil"/>
            </w:tcBorders>
            <w:vAlign w:val="center"/>
          </w:tcPr>
          <w:p w14:paraId="0AA7978A" w14:textId="7B73B199"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O=C(O)[C@H]1OC(OC2(Cc3ccccc3)CCN(C(=O)c3cccnc3-c3ccncc3)CC2)[C@H](O)[C@@H](O)[C@@</w:t>
            </w:r>
            <w:r w:rsidRPr="001033E3">
              <w:rPr>
                <w:rFonts w:ascii="Times New Roman" w:eastAsia="等线" w:hAnsi="Times New Roman" w:cs="Times New Roman"/>
                <w:color w:val="000000"/>
                <w:sz w:val="18"/>
                <w:szCs w:val="18"/>
              </w:rPr>
              <w:lastRenderedPageBreak/>
              <w:t>H]1O</w:t>
            </w:r>
          </w:p>
        </w:tc>
        <w:tc>
          <w:tcPr>
            <w:tcW w:w="768" w:type="pct"/>
            <w:tcBorders>
              <w:top w:val="nil"/>
              <w:left w:val="nil"/>
              <w:bottom w:val="nil"/>
              <w:right w:val="nil"/>
            </w:tcBorders>
            <w:vAlign w:val="center"/>
          </w:tcPr>
          <w:p w14:paraId="5A6D3B1C" w14:textId="52D30035"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lastRenderedPageBreak/>
              <w:t>85.90</w:t>
            </w:r>
          </w:p>
        </w:tc>
        <w:tc>
          <w:tcPr>
            <w:tcW w:w="819" w:type="pct"/>
            <w:tcBorders>
              <w:top w:val="nil"/>
              <w:left w:val="nil"/>
              <w:bottom w:val="nil"/>
              <w:right w:val="nil"/>
            </w:tcBorders>
            <w:vAlign w:val="center"/>
          </w:tcPr>
          <w:p w14:paraId="2B8180EF" w14:textId="45395FA7" w:rsidR="00B5721E" w:rsidRPr="00B5721E" w:rsidRDefault="00B5721E" w:rsidP="00B5721E">
            <w:pPr>
              <w:spacing w:after="0"/>
              <w:jc w:val="both"/>
              <w:rPr>
                <w:rFonts w:ascii="Times New Roman" w:hAnsi="Times New Roman" w:cs="Times New Roman"/>
                <w:sz w:val="18"/>
                <w:szCs w:val="18"/>
              </w:rPr>
            </w:pPr>
            <w:hyperlink r:id="rId40" w:history="1">
              <w:r w:rsidRPr="00B5721E">
                <w:rPr>
                  <w:rStyle w:val="afa"/>
                  <w:rFonts w:ascii="Times New Roman" w:eastAsia="等线" w:hAnsi="Times New Roman" w:cs="Times New Roman"/>
                  <w:sz w:val="18"/>
                  <w:szCs w:val="18"/>
                </w:rPr>
                <w:t>https://doi.org/10.1111/bcp.15917</w:t>
              </w:r>
            </w:hyperlink>
          </w:p>
        </w:tc>
      </w:tr>
      <w:tr w:rsidR="00B5721E" w:rsidRPr="00263AA5" w14:paraId="68BE2F9A" w14:textId="77777777" w:rsidTr="00B572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jc w:val="center"/>
        </w:trPr>
        <w:tc>
          <w:tcPr>
            <w:tcW w:w="1108" w:type="pct"/>
            <w:tcBorders>
              <w:top w:val="nil"/>
              <w:left w:val="nil"/>
              <w:bottom w:val="single" w:sz="4" w:space="0" w:color="auto"/>
              <w:right w:val="nil"/>
            </w:tcBorders>
            <w:vAlign w:val="center"/>
          </w:tcPr>
          <w:p w14:paraId="41CEFB18" w14:textId="77179A6C" w:rsidR="00B5721E" w:rsidRPr="001033E3" w:rsidRDefault="00B5721E" w:rsidP="00B5721E">
            <w:pPr>
              <w:spacing w:after="0"/>
              <w:jc w:val="center"/>
              <w:rPr>
                <w:rFonts w:ascii="Times New Roman" w:hAnsi="Times New Roman" w:cs="Times New Roman"/>
                <w:sz w:val="18"/>
                <w:szCs w:val="18"/>
              </w:rPr>
            </w:pPr>
            <w:r w:rsidRPr="001033E3">
              <w:rPr>
                <w:rFonts w:ascii="Times New Roman" w:eastAsia="等线" w:hAnsi="Times New Roman" w:cs="Times New Roman"/>
                <w:color w:val="000000"/>
                <w:sz w:val="18"/>
                <w:szCs w:val="18"/>
              </w:rPr>
              <w:t>Alpibectir</w:t>
            </w:r>
          </w:p>
        </w:tc>
        <w:tc>
          <w:tcPr>
            <w:tcW w:w="1111" w:type="pct"/>
            <w:tcBorders>
              <w:top w:val="nil"/>
              <w:left w:val="nil"/>
              <w:bottom w:val="single" w:sz="4" w:space="0" w:color="auto"/>
              <w:right w:val="nil"/>
            </w:tcBorders>
            <w:vAlign w:val="center"/>
          </w:tcPr>
          <w:p w14:paraId="3C83A8E7" w14:textId="252D1025"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O=C(CCC(F)(F)F)N1CCC2(CC1)CC(C(F)(F)F)=NO2</w:t>
            </w:r>
          </w:p>
        </w:tc>
        <w:tc>
          <w:tcPr>
            <w:tcW w:w="1194" w:type="pct"/>
            <w:tcBorders>
              <w:top w:val="nil"/>
              <w:left w:val="nil"/>
              <w:bottom w:val="single" w:sz="4" w:space="0" w:color="auto"/>
              <w:right w:val="nil"/>
            </w:tcBorders>
            <w:vAlign w:val="center"/>
          </w:tcPr>
          <w:p w14:paraId="21F36FF3" w14:textId="20712715" w:rsidR="00B5721E" w:rsidRPr="001033E3" w:rsidRDefault="00B5721E" w:rsidP="00B5721E">
            <w:pPr>
              <w:spacing w:after="0"/>
              <w:jc w:val="both"/>
              <w:rPr>
                <w:rFonts w:ascii="Times New Roman" w:hAnsi="Times New Roman" w:cs="Times New Roman"/>
                <w:sz w:val="18"/>
                <w:szCs w:val="18"/>
              </w:rPr>
            </w:pPr>
            <w:r w:rsidRPr="001033E3">
              <w:rPr>
                <w:rFonts w:ascii="Times New Roman" w:eastAsia="等线" w:hAnsi="Times New Roman" w:cs="Times New Roman"/>
                <w:color w:val="000000"/>
                <w:sz w:val="18"/>
                <w:szCs w:val="18"/>
              </w:rPr>
              <w:t>O=C(O)C1OC(OC2(Cc3ccccc3)CCN(C(=O)c3cccnc3-c3ccncc3)CC2)[C@H](O)C(O)[C@@H]1O</w:t>
            </w:r>
          </w:p>
        </w:tc>
        <w:tc>
          <w:tcPr>
            <w:tcW w:w="768" w:type="pct"/>
            <w:tcBorders>
              <w:top w:val="nil"/>
              <w:left w:val="nil"/>
              <w:bottom w:val="single" w:sz="4" w:space="0" w:color="auto"/>
              <w:right w:val="nil"/>
            </w:tcBorders>
            <w:vAlign w:val="center"/>
          </w:tcPr>
          <w:p w14:paraId="131A8270" w14:textId="03BBE4B9" w:rsidR="00B5721E" w:rsidRPr="00931F7E" w:rsidRDefault="00B5721E" w:rsidP="00B5721E">
            <w:pPr>
              <w:spacing w:after="0"/>
              <w:jc w:val="center"/>
              <w:rPr>
                <w:rFonts w:ascii="Times New Roman" w:hAnsi="Times New Roman" w:cs="Times New Roman"/>
                <w:sz w:val="18"/>
                <w:szCs w:val="18"/>
              </w:rPr>
            </w:pPr>
            <w:r w:rsidRPr="00931F7E">
              <w:rPr>
                <w:rFonts w:ascii="Times New Roman" w:eastAsia="等线" w:hAnsi="Times New Roman" w:cs="Times New Roman"/>
                <w:color w:val="000000"/>
                <w:sz w:val="18"/>
                <w:szCs w:val="18"/>
              </w:rPr>
              <w:t>55</w:t>
            </w:r>
          </w:p>
        </w:tc>
        <w:tc>
          <w:tcPr>
            <w:tcW w:w="819" w:type="pct"/>
            <w:tcBorders>
              <w:top w:val="nil"/>
              <w:left w:val="nil"/>
              <w:bottom w:val="single" w:sz="4" w:space="0" w:color="auto"/>
              <w:right w:val="nil"/>
            </w:tcBorders>
            <w:vAlign w:val="center"/>
          </w:tcPr>
          <w:p w14:paraId="7B0ACF43" w14:textId="45176BAD" w:rsidR="00B5721E" w:rsidRPr="00B5721E" w:rsidRDefault="00B5721E" w:rsidP="00B5721E">
            <w:pPr>
              <w:spacing w:after="0"/>
              <w:jc w:val="both"/>
              <w:rPr>
                <w:rFonts w:ascii="Times New Roman" w:hAnsi="Times New Roman" w:cs="Times New Roman"/>
                <w:sz w:val="18"/>
                <w:szCs w:val="18"/>
              </w:rPr>
            </w:pPr>
            <w:hyperlink r:id="rId41" w:tgtFrame="_blank" w:tooltip="Persistent link using digital object identifier" w:history="1">
              <w:r w:rsidRPr="00B5721E">
                <w:rPr>
                  <w:rStyle w:val="afa"/>
                  <w:rFonts w:ascii="Times New Roman" w:eastAsia="等线" w:hAnsi="Times New Roman" w:cs="Times New Roman"/>
                  <w:sz w:val="18"/>
                  <w:szCs w:val="18"/>
                </w:rPr>
                <w:t>https://doi.org/10.1124/dmd.124.001562</w:t>
              </w:r>
            </w:hyperlink>
          </w:p>
        </w:tc>
      </w:tr>
    </w:tbl>
    <w:p w14:paraId="7609049B" w14:textId="392456E9" w:rsidR="003E6D40" w:rsidRPr="00263AA5" w:rsidRDefault="003E6D40">
      <w:pPr>
        <w:rPr>
          <w:rFonts w:ascii="Times New Roman" w:hAnsi="Times New Roman" w:cs="Times New Roman"/>
        </w:rPr>
      </w:pPr>
    </w:p>
    <w:p w14:paraId="3024B3AB" w14:textId="77777777" w:rsidR="00FD764C" w:rsidRPr="00263AA5" w:rsidRDefault="00000000">
      <w:pPr>
        <w:pStyle w:val="af5"/>
        <w:ind w:left="0"/>
        <w:jc w:val="both"/>
        <w:outlineLvl w:val="0"/>
        <w:rPr>
          <w:rFonts w:ascii="Times New Roman" w:hAnsi="Times New Roman" w:cs="Times New Roman"/>
        </w:rPr>
      </w:pPr>
      <w:bookmarkStart w:id="21" w:name="_Toc214302297"/>
      <w:r w:rsidRPr="00263AA5">
        <w:rPr>
          <w:rFonts w:ascii="Times New Roman" w:hAnsi="Times New Roman" w:cs="Times New Roman"/>
          <w:b/>
          <w:bCs/>
          <w:sz w:val="28"/>
          <w:szCs w:val="32"/>
        </w:rPr>
        <w:t>References</w:t>
      </w:r>
      <w:bookmarkEnd w:id="21"/>
    </w:p>
    <w:p w14:paraId="1ADCB4FC" w14:textId="77777777" w:rsidR="00DE561E" w:rsidRPr="00263AA5" w:rsidRDefault="00000000" w:rsidP="00DE561E">
      <w:pPr>
        <w:pStyle w:val="EndNoteBibliography"/>
        <w:spacing w:after="0"/>
        <w:ind w:left="720" w:hanging="720"/>
        <w:rPr>
          <w:rFonts w:ascii="Times New Roman" w:hAnsi="Times New Roman" w:cs="Times New Roman"/>
          <w:noProof/>
        </w:rPr>
      </w:pPr>
      <w:r w:rsidRPr="00263AA5">
        <w:rPr>
          <w:rFonts w:ascii="Times New Roman" w:hAnsi="Times New Roman" w:cs="Times New Roman"/>
        </w:rPr>
        <w:fldChar w:fldCharType="begin"/>
      </w:r>
      <w:r w:rsidRPr="00263AA5">
        <w:rPr>
          <w:rFonts w:ascii="Times New Roman" w:hAnsi="Times New Roman" w:cs="Times New Roman"/>
        </w:rPr>
        <w:instrText xml:space="preserve"> ADDIN EN.REFLIST </w:instrText>
      </w:r>
      <w:r w:rsidRPr="00263AA5">
        <w:rPr>
          <w:rFonts w:ascii="Times New Roman" w:hAnsi="Times New Roman" w:cs="Times New Roman"/>
        </w:rPr>
        <w:fldChar w:fldCharType="separate"/>
      </w:r>
      <w:r w:rsidR="00DE561E" w:rsidRPr="00263AA5">
        <w:rPr>
          <w:rFonts w:ascii="Times New Roman" w:hAnsi="Times New Roman" w:cs="Times New Roman"/>
          <w:noProof/>
        </w:rPr>
        <w:t>1</w:t>
      </w:r>
      <w:r w:rsidR="00DE561E" w:rsidRPr="00263AA5">
        <w:rPr>
          <w:rFonts w:ascii="Times New Roman" w:hAnsi="Times New Roman" w:cs="Times New Roman"/>
          <w:noProof/>
        </w:rPr>
        <w:tab/>
        <w:t xml:space="preserve">Klein, G., Kim, Y., Deng, Y., Senellart, J. &amp; Rush, A. M. Opennmt: Open-source toolkit for neural machine translation. </w:t>
      </w:r>
      <w:r w:rsidR="00DE561E" w:rsidRPr="00263AA5">
        <w:rPr>
          <w:rFonts w:ascii="Times New Roman" w:hAnsi="Times New Roman" w:cs="Times New Roman"/>
          <w:i/>
          <w:noProof/>
        </w:rPr>
        <w:t>arXiv preprint arXiv:1701.02810</w:t>
      </w:r>
      <w:r w:rsidR="00DE561E" w:rsidRPr="00263AA5">
        <w:rPr>
          <w:rFonts w:ascii="Times New Roman" w:hAnsi="Times New Roman" w:cs="Times New Roman"/>
          <w:noProof/>
        </w:rPr>
        <w:t xml:space="preserve"> (2017).</w:t>
      </w:r>
    </w:p>
    <w:p w14:paraId="754BF4DF" w14:textId="77777777" w:rsidR="00DE561E" w:rsidRPr="00263AA5" w:rsidRDefault="00DE561E" w:rsidP="00DE561E">
      <w:pPr>
        <w:pStyle w:val="EndNoteBibliography"/>
        <w:spacing w:after="0"/>
        <w:ind w:left="720" w:hanging="720"/>
        <w:rPr>
          <w:rFonts w:ascii="Times New Roman" w:hAnsi="Times New Roman" w:cs="Times New Roman"/>
          <w:noProof/>
        </w:rPr>
      </w:pPr>
      <w:r w:rsidRPr="00263AA5">
        <w:rPr>
          <w:rFonts w:ascii="Times New Roman" w:hAnsi="Times New Roman" w:cs="Times New Roman"/>
          <w:noProof/>
        </w:rPr>
        <w:t>2</w:t>
      </w:r>
      <w:r w:rsidRPr="00263AA5">
        <w:rPr>
          <w:rFonts w:ascii="Times New Roman" w:hAnsi="Times New Roman" w:cs="Times New Roman"/>
          <w:noProof/>
        </w:rPr>
        <w:tab/>
        <w:t xml:space="preserve">Ridder, L. &amp; Wagener, M. SyGMa: combining expert knowledge and empirical scoring in the prediction of metabolites. </w:t>
      </w:r>
      <w:r w:rsidRPr="00263AA5">
        <w:rPr>
          <w:rFonts w:ascii="Times New Roman" w:hAnsi="Times New Roman" w:cs="Times New Roman"/>
          <w:i/>
          <w:noProof/>
        </w:rPr>
        <w:t>ChemMedChem: Chemistry Enabling Drug Discovery</w:t>
      </w:r>
      <w:r w:rsidRPr="00263AA5">
        <w:rPr>
          <w:rFonts w:ascii="Times New Roman" w:hAnsi="Times New Roman" w:cs="Times New Roman"/>
          <w:noProof/>
        </w:rPr>
        <w:t xml:space="preserve"> </w:t>
      </w:r>
      <w:r w:rsidRPr="00263AA5">
        <w:rPr>
          <w:rFonts w:ascii="Times New Roman" w:hAnsi="Times New Roman" w:cs="Times New Roman"/>
          <w:b/>
          <w:noProof/>
        </w:rPr>
        <w:t>3</w:t>
      </w:r>
      <w:r w:rsidRPr="00263AA5">
        <w:rPr>
          <w:rFonts w:ascii="Times New Roman" w:hAnsi="Times New Roman" w:cs="Times New Roman"/>
          <w:noProof/>
        </w:rPr>
        <w:t>, 821-832 (2008).</w:t>
      </w:r>
    </w:p>
    <w:p w14:paraId="4D1A3838" w14:textId="77777777" w:rsidR="00DE561E" w:rsidRPr="00263AA5" w:rsidRDefault="00DE561E" w:rsidP="00DE561E">
      <w:pPr>
        <w:pStyle w:val="EndNoteBibliography"/>
        <w:spacing w:after="0"/>
        <w:ind w:left="720" w:hanging="720"/>
        <w:rPr>
          <w:rFonts w:ascii="Times New Roman" w:hAnsi="Times New Roman" w:cs="Times New Roman"/>
          <w:noProof/>
        </w:rPr>
      </w:pPr>
      <w:r w:rsidRPr="00263AA5">
        <w:rPr>
          <w:rFonts w:ascii="Times New Roman" w:hAnsi="Times New Roman" w:cs="Times New Roman"/>
          <w:noProof/>
        </w:rPr>
        <w:t>3</w:t>
      </w:r>
      <w:r w:rsidRPr="00263AA5">
        <w:rPr>
          <w:rFonts w:ascii="Times New Roman" w:hAnsi="Times New Roman" w:cs="Times New Roman"/>
          <w:noProof/>
        </w:rPr>
        <w:tab/>
        <w:t xml:space="preserve">de Bruyn Kops, C., Šícho, M., Mazzolari, A. &amp; Kirchmair, J. GLORYx: prediction of the metabolites resulting from phase 1 and phase 2 biotransformations of xenobiotics. </w:t>
      </w:r>
      <w:r w:rsidRPr="00263AA5">
        <w:rPr>
          <w:rFonts w:ascii="Times New Roman" w:hAnsi="Times New Roman" w:cs="Times New Roman"/>
          <w:i/>
          <w:noProof/>
        </w:rPr>
        <w:t>Chemical research in toxicology</w:t>
      </w:r>
      <w:r w:rsidRPr="00263AA5">
        <w:rPr>
          <w:rFonts w:ascii="Times New Roman" w:hAnsi="Times New Roman" w:cs="Times New Roman"/>
          <w:noProof/>
        </w:rPr>
        <w:t xml:space="preserve"> </w:t>
      </w:r>
      <w:r w:rsidRPr="00263AA5">
        <w:rPr>
          <w:rFonts w:ascii="Times New Roman" w:hAnsi="Times New Roman" w:cs="Times New Roman"/>
          <w:b/>
          <w:noProof/>
        </w:rPr>
        <w:t>34</w:t>
      </w:r>
      <w:r w:rsidRPr="00263AA5">
        <w:rPr>
          <w:rFonts w:ascii="Times New Roman" w:hAnsi="Times New Roman" w:cs="Times New Roman"/>
          <w:noProof/>
        </w:rPr>
        <w:t>, 286-299 (2020).</w:t>
      </w:r>
    </w:p>
    <w:p w14:paraId="464676BD" w14:textId="77777777" w:rsidR="00DE561E" w:rsidRPr="00263AA5" w:rsidRDefault="00DE561E" w:rsidP="00DE561E">
      <w:pPr>
        <w:pStyle w:val="EndNoteBibliography"/>
        <w:spacing w:after="0"/>
        <w:ind w:left="720" w:hanging="720"/>
        <w:rPr>
          <w:rFonts w:ascii="Times New Roman" w:hAnsi="Times New Roman" w:cs="Times New Roman"/>
          <w:noProof/>
        </w:rPr>
      </w:pPr>
      <w:r w:rsidRPr="00263AA5">
        <w:rPr>
          <w:rFonts w:ascii="Times New Roman" w:hAnsi="Times New Roman" w:cs="Times New Roman"/>
          <w:noProof/>
        </w:rPr>
        <w:t>4</w:t>
      </w:r>
      <w:r w:rsidRPr="00263AA5">
        <w:rPr>
          <w:rFonts w:ascii="Times New Roman" w:hAnsi="Times New Roman" w:cs="Times New Roman"/>
          <w:noProof/>
        </w:rPr>
        <w:tab/>
        <w:t>Šícho, M.</w:t>
      </w:r>
      <w:r w:rsidRPr="00263AA5">
        <w:rPr>
          <w:rFonts w:ascii="Times New Roman" w:hAnsi="Times New Roman" w:cs="Times New Roman"/>
          <w:i/>
          <w:noProof/>
        </w:rPr>
        <w:t xml:space="preserve"> et al.</w:t>
      </w:r>
      <w:r w:rsidRPr="00263AA5">
        <w:rPr>
          <w:rFonts w:ascii="Times New Roman" w:hAnsi="Times New Roman" w:cs="Times New Roman"/>
          <w:noProof/>
        </w:rPr>
        <w:t xml:space="preserve"> FAME 3: predicting the sites of metabolism in synthetic compounds and natural products for phase 1 and phase 2 metabolic enzymes. </w:t>
      </w:r>
      <w:r w:rsidRPr="00263AA5">
        <w:rPr>
          <w:rFonts w:ascii="Times New Roman" w:hAnsi="Times New Roman" w:cs="Times New Roman"/>
          <w:i/>
          <w:noProof/>
        </w:rPr>
        <w:t>J Chem Inf Model</w:t>
      </w:r>
      <w:r w:rsidRPr="00263AA5">
        <w:rPr>
          <w:rFonts w:ascii="Times New Roman" w:hAnsi="Times New Roman" w:cs="Times New Roman"/>
          <w:noProof/>
        </w:rPr>
        <w:t xml:space="preserve"> </w:t>
      </w:r>
      <w:r w:rsidRPr="00263AA5">
        <w:rPr>
          <w:rFonts w:ascii="Times New Roman" w:hAnsi="Times New Roman" w:cs="Times New Roman"/>
          <w:b/>
          <w:noProof/>
        </w:rPr>
        <w:t>59</w:t>
      </w:r>
      <w:r w:rsidRPr="00263AA5">
        <w:rPr>
          <w:rFonts w:ascii="Times New Roman" w:hAnsi="Times New Roman" w:cs="Times New Roman"/>
          <w:noProof/>
        </w:rPr>
        <w:t>, 3400-3412 (2019).</w:t>
      </w:r>
    </w:p>
    <w:p w14:paraId="116360CF" w14:textId="77777777" w:rsidR="00DE561E" w:rsidRPr="00263AA5" w:rsidRDefault="00DE561E" w:rsidP="00DE561E">
      <w:pPr>
        <w:pStyle w:val="EndNoteBibliography"/>
        <w:spacing w:after="0"/>
        <w:ind w:left="720" w:hanging="720"/>
        <w:rPr>
          <w:rFonts w:ascii="Times New Roman" w:hAnsi="Times New Roman" w:cs="Times New Roman"/>
          <w:noProof/>
        </w:rPr>
      </w:pPr>
      <w:r w:rsidRPr="00263AA5">
        <w:rPr>
          <w:rFonts w:ascii="Times New Roman" w:hAnsi="Times New Roman" w:cs="Times New Roman"/>
          <w:noProof/>
        </w:rPr>
        <w:t>5</w:t>
      </w:r>
      <w:r w:rsidRPr="00263AA5">
        <w:rPr>
          <w:rFonts w:ascii="Times New Roman" w:hAnsi="Times New Roman" w:cs="Times New Roman"/>
          <w:noProof/>
        </w:rPr>
        <w:tab/>
        <w:t>Djoumbou-Feunang, Y.</w:t>
      </w:r>
      <w:r w:rsidRPr="00263AA5">
        <w:rPr>
          <w:rFonts w:ascii="Times New Roman" w:hAnsi="Times New Roman" w:cs="Times New Roman"/>
          <w:i/>
          <w:noProof/>
        </w:rPr>
        <w:t xml:space="preserve"> et al.</w:t>
      </w:r>
      <w:r w:rsidRPr="00263AA5">
        <w:rPr>
          <w:rFonts w:ascii="Times New Roman" w:hAnsi="Times New Roman" w:cs="Times New Roman"/>
          <w:noProof/>
        </w:rPr>
        <w:t xml:space="preserve"> BioTransformer: a comprehensive computational tool for small molecule metabolism prediction and metabolite identification. </w:t>
      </w:r>
      <w:r w:rsidRPr="00263AA5">
        <w:rPr>
          <w:rFonts w:ascii="Times New Roman" w:hAnsi="Times New Roman" w:cs="Times New Roman"/>
          <w:i/>
          <w:noProof/>
        </w:rPr>
        <w:t>Journal of Cheminformatics</w:t>
      </w:r>
      <w:r w:rsidRPr="00263AA5">
        <w:rPr>
          <w:rFonts w:ascii="Times New Roman" w:hAnsi="Times New Roman" w:cs="Times New Roman"/>
          <w:noProof/>
        </w:rPr>
        <w:t xml:space="preserve"> </w:t>
      </w:r>
      <w:r w:rsidRPr="00263AA5">
        <w:rPr>
          <w:rFonts w:ascii="Times New Roman" w:hAnsi="Times New Roman" w:cs="Times New Roman"/>
          <w:b/>
          <w:noProof/>
        </w:rPr>
        <w:t>11</w:t>
      </w:r>
      <w:r w:rsidRPr="00263AA5">
        <w:rPr>
          <w:rFonts w:ascii="Times New Roman" w:hAnsi="Times New Roman" w:cs="Times New Roman"/>
          <w:noProof/>
        </w:rPr>
        <w:t>, 1-25 (2019).</w:t>
      </w:r>
    </w:p>
    <w:p w14:paraId="5DE43728" w14:textId="77777777" w:rsidR="00DE561E" w:rsidRPr="00263AA5" w:rsidRDefault="00DE561E" w:rsidP="00DE561E">
      <w:pPr>
        <w:pStyle w:val="EndNoteBibliography"/>
        <w:spacing w:after="0"/>
        <w:ind w:left="720" w:hanging="720"/>
        <w:rPr>
          <w:rFonts w:ascii="Times New Roman" w:hAnsi="Times New Roman" w:cs="Times New Roman"/>
          <w:noProof/>
        </w:rPr>
      </w:pPr>
      <w:r w:rsidRPr="00263AA5">
        <w:rPr>
          <w:rFonts w:ascii="Times New Roman" w:hAnsi="Times New Roman" w:cs="Times New Roman"/>
          <w:noProof/>
        </w:rPr>
        <w:t>6</w:t>
      </w:r>
      <w:r w:rsidRPr="00263AA5">
        <w:rPr>
          <w:rFonts w:ascii="Times New Roman" w:hAnsi="Times New Roman" w:cs="Times New Roman"/>
          <w:noProof/>
        </w:rPr>
        <w:tab/>
        <w:t xml:space="preserve">Litsa, E. E., Das, P. &amp; Kavraki, L. E. Prediction of drug metabolites using neural machine translation. </w:t>
      </w:r>
      <w:r w:rsidRPr="00263AA5">
        <w:rPr>
          <w:rFonts w:ascii="Times New Roman" w:hAnsi="Times New Roman" w:cs="Times New Roman"/>
          <w:i/>
          <w:noProof/>
        </w:rPr>
        <w:t>Chem Sci</w:t>
      </w:r>
      <w:r w:rsidRPr="00263AA5">
        <w:rPr>
          <w:rFonts w:ascii="Times New Roman" w:hAnsi="Times New Roman" w:cs="Times New Roman"/>
          <w:noProof/>
        </w:rPr>
        <w:t xml:space="preserve"> </w:t>
      </w:r>
      <w:r w:rsidRPr="00263AA5">
        <w:rPr>
          <w:rFonts w:ascii="Times New Roman" w:hAnsi="Times New Roman" w:cs="Times New Roman"/>
          <w:b/>
          <w:noProof/>
        </w:rPr>
        <w:t>11</w:t>
      </w:r>
      <w:r w:rsidRPr="00263AA5">
        <w:rPr>
          <w:rFonts w:ascii="Times New Roman" w:hAnsi="Times New Roman" w:cs="Times New Roman"/>
          <w:noProof/>
        </w:rPr>
        <w:t>, 12777-12788 (2020).</w:t>
      </w:r>
    </w:p>
    <w:p w14:paraId="7F17C3C7" w14:textId="77777777" w:rsidR="00DE561E" w:rsidRPr="00263AA5" w:rsidRDefault="00DE561E" w:rsidP="00DE561E">
      <w:pPr>
        <w:pStyle w:val="EndNoteBibliography"/>
        <w:spacing w:after="0"/>
        <w:ind w:left="720" w:hanging="720"/>
        <w:rPr>
          <w:rFonts w:ascii="Times New Roman" w:hAnsi="Times New Roman" w:cs="Times New Roman"/>
          <w:noProof/>
        </w:rPr>
      </w:pPr>
      <w:r w:rsidRPr="00263AA5">
        <w:rPr>
          <w:rFonts w:ascii="Times New Roman" w:hAnsi="Times New Roman" w:cs="Times New Roman"/>
          <w:noProof/>
        </w:rPr>
        <w:t>7</w:t>
      </w:r>
      <w:r w:rsidRPr="00263AA5">
        <w:rPr>
          <w:rFonts w:ascii="Times New Roman" w:hAnsi="Times New Roman" w:cs="Times New Roman"/>
          <w:noProof/>
        </w:rPr>
        <w:tab/>
        <w:t>Zhu, K.</w:t>
      </w:r>
      <w:r w:rsidRPr="00263AA5">
        <w:rPr>
          <w:rFonts w:ascii="Times New Roman" w:hAnsi="Times New Roman" w:cs="Times New Roman"/>
          <w:i/>
          <w:noProof/>
        </w:rPr>
        <w:t xml:space="preserve"> et al.</w:t>
      </w:r>
      <w:r w:rsidRPr="00263AA5">
        <w:rPr>
          <w:rFonts w:ascii="Times New Roman" w:hAnsi="Times New Roman" w:cs="Times New Roman"/>
          <w:noProof/>
        </w:rPr>
        <w:t xml:space="preserve"> MetaPredictor: in silico prediction of drug metabolites based on deep language models with prompt engineering. </w:t>
      </w:r>
      <w:r w:rsidRPr="00263AA5">
        <w:rPr>
          <w:rFonts w:ascii="Times New Roman" w:hAnsi="Times New Roman" w:cs="Times New Roman"/>
          <w:i/>
          <w:noProof/>
        </w:rPr>
        <w:t>Briefings in Bioinformatics</w:t>
      </w:r>
      <w:r w:rsidRPr="00263AA5">
        <w:rPr>
          <w:rFonts w:ascii="Times New Roman" w:hAnsi="Times New Roman" w:cs="Times New Roman"/>
          <w:noProof/>
        </w:rPr>
        <w:t xml:space="preserve"> </w:t>
      </w:r>
      <w:r w:rsidRPr="00263AA5">
        <w:rPr>
          <w:rFonts w:ascii="Times New Roman" w:hAnsi="Times New Roman" w:cs="Times New Roman"/>
          <w:b/>
          <w:noProof/>
        </w:rPr>
        <w:t>25</w:t>
      </w:r>
      <w:r w:rsidRPr="00263AA5">
        <w:rPr>
          <w:rFonts w:ascii="Times New Roman" w:hAnsi="Times New Roman" w:cs="Times New Roman"/>
          <w:noProof/>
        </w:rPr>
        <w:t>, bbae374 (2024).</w:t>
      </w:r>
    </w:p>
    <w:p w14:paraId="3DD45715" w14:textId="77777777" w:rsidR="00DE561E" w:rsidRPr="00263AA5" w:rsidRDefault="00DE561E" w:rsidP="00DE561E">
      <w:pPr>
        <w:pStyle w:val="EndNoteBibliography"/>
        <w:spacing w:after="0"/>
        <w:ind w:left="720" w:hanging="720"/>
        <w:rPr>
          <w:rFonts w:ascii="Times New Roman" w:hAnsi="Times New Roman" w:cs="Times New Roman"/>
          <w:noProof/>
        </w:rPr>
      </w:pPr>
      <w:r w:rsidRPr="00263AA5">
        <w:rPr>
          <w:rFonts w:ascii="Times New Roman" w:hAnsi="Times New Roman" w:cs="Times New Roman"/>
          <w:noProof/>
        </w:rPr>
        <w:t>8</w:t>
      </w:r>
      <w:r w:rsidRPr="00263AA5">
        <w:rPr>
          <w:rFonts w:ascii="Times New Roman" w:hAnsi="Times New Roman" w:cs="Times New Roman"/>
          <w:noProof/>
        </w:rPr>
        <w:tab/>
        <w:t>Wilson, R. J.</w:t>
      </w:r>
      <w:r w:rsidRPr="00263AA5">
        <w:rPr>
          <w:rFonts w:ascii="Times New Roman" w:hAnsi="Times New Roman" w:cs="Times New Roman"/>
          <w:i/>
          <w:noProof/>
        </w:rPr>
        <w:t xml:space="preserve"> et al.</w:t>
      </w:r>
      <w:r w:rsidRPr="00263AA5">
        <w:rPr>
          <w:rFonts w:ascii="Times New Roman" w:hAnsi="Times New Roman" w:cs="Times New Roman"/>
          <w:noProof/>
        </w:rPr>
        <w:t xml:space="preserve"> Synthesis and SAR of 1,2,3,4-Tetrahydroisoquinoline-Based CXCR4 Antagonists. </w:t>
      </w:r>
      <w:r w:rsidRPr="00263AA5">
        <w:rPr>
          <w:rFonts w:ascii="Times New Roman" w:hAnsi="Times New Roman" w:cs="Times New Roman"/>
          <w:i/>
          <w:noProof/>
        </w:rPr>
        <w:t>ACS Medicinal Chemistry Letters</w:t>
      </w:r>
      <w:r w:rsidRPr="00263AA5">
        <w:rPr>
          <w:rFonts w:ascii="Times New Roman" w:hAnsi="Times New Roman" w:cs="Times New Roman"/>
          <w:noProof/>
        </w:rPr>
        <w:t xml:space="preserve"> </w:t>
      </w:r>
      <w:r w:rsidRPr="00263AA5">
        <w:rPr>
          <w:rFonts w:ascii="Times New Roman" w:hAnsi="Times New Roman" w:cs="Times New Roman"/>
          <w:b/>
          <w:noProof/>
        </w:rPr>
        <w:t>9</w:t>
      </w:r>
      <w:r w:rsidRPr="00263AA5">
        <w:rPr>
          <w:rFonts w:ascii="Times New Roman" w:hAnsi="Times New Roman" w:cs="Times New Roman"/>
          <w:noProof/>
        </w:rPr>
        <w:t>, 17-22, doi:10.1021/acsmedchemlett.7b00381 (2018).</w:t>
      </w:r>
    </w:p>
    <w:p w14:paraId="0BB4B532" w14:textId="77777777" w:rsidR="00DE561E" w:rsidRPr="00263AA5" w:rsidRDefault="00DE561E" w:rsidP="00DE561E">
      <w:pPr>
        <w:pStyle w:val="EndNoteBibliography"/>
        <w:spacing w:after="0"/>
        <w:ind w:left="720" w:hanging="720"/>
        <w:rPr>
          <w:rFonts w:ascii="Times New Roman" w:hAnsi="Times New Roman" w:cs="Times New Roman"/>
          <w:noProof/>
        </w:rPr>
      </w:pPr>
      <w:r w:rsidRPr="00263AA5">
        <w:rPr>
          <w:rFonts w:ascii="Times New Roman" w:hAnsi="Times New Roman" w:cs="Times New Roman"/>
          <w:noProof/>
        </w:rPr>
        <w:t>9</w:t>
      </w:r>
      <w:r w:rsidRPr="00263AA5">
        <w:rPr>
          <w:rFonts w:ascii="Times New Roman" w:hAnsi="Times New Roman" w:cs="Times New Roman"/>
          <w:noProof/>
        </w:rPr>
        <w:tab/>
        <w:t>Ding, Q.</w:t>
      </w:r>
      <w:r w:rsidRPr="00263AA5">
        <w:rPr>
          <w:rFonts w:ascii="Times New Roman" w:hAnsi="Times New Roman" w:cs="Times New Roman"/>
          <w:i/>
          <w:noProof/>
        </w:rPr>
        <w:t xml:space="preserve"> et al.</w:t>
      </w:r>
      <w:r w:rsidRPr="00263AA5">
        <w:rPr>
          <w:rFonts w:ascii="Times New Roman" w:hAnsi="Times New Roman" w:cs="Times New Roman"/>
          <w:noProof/>
        </w:rPr>
        <w:t xml:space="preserve"> Discovery of RG7388, a Potent and Selective p53–MDM2 Inhibitor in Clinical Development. </w:t>
      </w:r>
      <w:r w:rsidRPr="00263AA5">
        <w:rPr>
          <w:rFonts w:ascii="Times New Roman" w:hAnsi="Times New Roman" w:cs="Times New Roman"/>
          <w:i/>
          <w:noProof/>
        </w:rPr>
        <w:t>Journal of Medicinal Chemistry</w:t>
      </w:r>
      <w:r w:rsidRPr="00263AA5">
        <w:rPr>
          <w:rFonts w:ascii="Times New Roman" w:hAnsi="Times New Roman" w:cs="Times New Roman"/>
          <w:noProof/>
        </w:rPr>
        <w:t xml:space="preserve"> </w:t>
      </w:r>
      <w:r w:rsidRPr="00263AA5">
        <w:rPr>
          <w:rFonts w:ascii="Times New Roman" w:hAnsi="Times New Roman" w:cs="Times New Roman"/>
          <w:b/>
          <w:noProof/>
        </w:rPr>
        <w:t>56</w:t>
      </w:r>
      <w:r w:rsidRPr="00263AA5">
        <w:rPr>
          <w:rFonts w:ascii="Times New Roman" w:hAnsi="Times New Roman" w:cs="Times New Roman"/>
          <w:noProof/>
        </w:rPr>
        <w:t>, 5979-5983, doi:10.1021/jm400487c (2013).</w:t>
      </w:r>
    </w:p>
    <w:p w14:paraId="0277A713" w14:textId="77777777" w:rsidR="00DE561E" w:rsidRPr="00263AA5" w:rsidRDefault="00DE561E" w:rsidP="00DE561E">
      <w:pPr>
        <w:pStyle w:val="EndNoteBibliography"/>
        <w:ind w:left="720" w:hanging="720"/>
        <w:rPr>
          <w:rFonts w:ascii="Times New Roman" w:hAnsi="Times New Roman" w:cs="Times New Roman"/>
          <w:noProof/>
        </w:rPr>
      </w:pPr>
      <w:r w:rsidRPr="00263AA5">
        <w:rPr>
          <w:rFonts w:ascii="Times New Roman" w:hAnsi="Times New Roman" w:cs="Times New Roman"/>
          <w:noProof/>
        </w:rPr>
        <w:t>10</w:t>
      </w:r>
      <w:r w:rsidRPr="00263AA5">
        <w:rPr>
          <w:rFonts w:ascii="Times New Roman" w:hAnsi="Times New Roman" w:cs="Times New Roman"/>
          <w:noProof/>
        </w:rPr>
        <w:tab/>
        <w:t>Li, Z.</w:t>
      </w:r>
      <w:r w:rsidRPr="00263AA5">
        <w:rPr>
          <w:rFonts w:ascii="Times New Roman" w:hAnsi="Times New Roman" w:cs="Times New Roman"/>
          <w:i/>
          <w:noProof/>
        </w:rPr>
        <w:t xml:space="preserve"> et al.</w:t>
      </w:r>
      <w:r w:rsidRPr="00263AA5">
        <w:rPr>
          <w:rFonts w:ascii="Times New Roman" w:hAnsi="Times New Roman" w:cs="Times New Roman"/>
          <w:noProof/>
        </w:rPr>
        <w:t xml:space="preserve"> Design, synthesis, and evaluation of pyrrolidine based CXCR4 antagonists with in vivo anti-tumor metastatic activity. </w:t>
      </w:r>
      <w:r w:rsidRPr="00263AA5">
        <w:rPr>
          <w:rFonts w:ascii="Times New Roman" w:hAnsi="Times New Roman" w:cs="Times New Roman"/>
          <w:i/>
          <w:noProof/>
        </w:rPr>
        <w:t>European Journal of Medicinal Chemistry</w:t>
      </w:r>
      <w:r w:rsidRPr="00263AA5">
        <w:rPr>
          <w:rFonts w:ascii="Times New Roman" w:hAnsi="Times New Roman" w:cs="Times New Roman"/>
          <w:noProof/>
        </w:rPr>
        <w:t xml:space="preserve"> </w:t>
      </w:r>
      <w:r w:rsidRPr="00263AA5">
        <w:rPr>
          <w:rFonts w:ascii="Times New Roman" w:hAnsi="Times New Roman" w:cs="Times New Roman"/>
          <w:b/>
          <w:noProof/>
        </w:rPr>
        <w:t>205</w:t>
      </w:r>
      <w:r w:rsidRPr="00263AA5">
        <w:rPr>
          <w:rFonts w:ascii="Times New Roman" w:hAnsi="Times New Roman" w:cs="Times New Roman"/>
          <w:noProof/>
        </w:rPr>
        <w:t>, 112537, doi:10.1016/j.ejmech.2020.112537 (2020).</w:t>
      </w:r>
    </w:p>
    <w:p w14:paraId="45CD7D38" w14:textId="18FECFD4" w:rsidR="00FD764C" w:rsidRPr="00263AA5" w:rsidRDefault="00000000">
      <w:pPr>
        <w:jc w:val="both"/>
        <w:rPr>
          <w:rFonts w:ascii="Times New Roman" w:hAnsi="Times New Roman" w:cs="Times New Roman"/>
        </w:rPr>
      </w:pPr>
      <w:r w:rsidRPr="00263AA5">
        <w:rPr>
          <w:rFonts w:ascii="Times New Roman" w:hAnsi="Times New Roman" w:cs="Times New Roman"/>
        </w:rPr>
        <w:fldChar w:fldCharType="end"/>
      </w:r>
    </w:p>
    <w:sectPr w:rsidR="00FD764C" w:rsidRPr="00263AA5">
      <w:footerReference w:type="default" r:id="rId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460F9" w14:textId="77777777" w:rsidR="001362BC" w:rsidRDefault="001362BC">
      <w:pPr>
        <w:spacing w:line="240" w:lineRule="auto"/>
        <w:rPr>
          <w:rFonts w:hint="eastAsia"/>
        </w:rPr>
      </w:pPr>
      <w:r>
        <w:separator/>
      </w:r>
    </w:p>
  </w:endnote>
  <w:endnote w:type="continuationSeparator" w:id="0">
    <w:p w14:paraId="250696E9" w14:textId="77777777" w:rsidR="001362BC" w:rsidRDefault="001362BC">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标题 CS)">
    <w:altName w:val="宋体"/>
    <w:charset w:val="86"/>
    <w:family w:val="roman"/>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608272"/>
      <w:docPartObj>
        <w:docPartGallery w:val="Page Numbers (Bottom of Page)"/>
        <w:docPartUnique/>
      </w:docPartObj>
    </w:sdtPr>
    <w:sdtContent>
      <w:p w14:paraId="185BECBD" w14:textId="1C073AC5" w:rsidR="00263AA5" w:rsidRDefault="00263AA5">
        <w:pPr>
          <w:pStyle w:val="a6"/>
          <w:jc w:val="center"/>
          <w:rPr>
            <w:rFonts w:hint="eastAsia"/>
          </w:rPr>
        </w:pPr>
        <w:r>
          <w:fldChar w:fldCharType="begin"/>
        </w:r>
        <w:r>
          <w:instrText>PAGE   \* MERGEFORMAT</w:instrText>
        </w:r>
        <w:r>
          <w:fldChar w:fldCharType="separate"/>
        </w:r>
        <w:r>
          <w:rPr>
            <w:lang w:val="zh-CN"/>
          </w:rPr>
          <w:t>2</w:t>
        </w:r>
        <w:r>
          <w:fldChar w:fldCharType="end"/>
        </w:r>
      </w:p>
    </w:sdtContent>
  </w:sdt>
  <w:p w14:paraId="4D6B6161" w14:textId="4EDD3C37" w:rsidR="00FD764C" w:rsidRDefault="00FD764C">
    <w:pPr>
      <w:pStyle w:val="a6"/>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E9AC2" w14:textId="77777777" w:rsidR="001362BC" w:rsidRDefault="001362BC">
      <w:pPr>
        <w:spacing w:after="0"/>
        <w:rPr>
          <w:rFonts w:hint="eastAsia"/>
        </w:rPr>
      </w:pPr>
      <w:r>
        <w:separator/>
      </w:r>
    </w:p>
  </w:footnote>
  <w:footnote w:type="continuationSeparator" w:id="0">
    <w:p w14:paraId="054F132C" w14:textId="77777777" w:rsidR="001362BC" w:rsidRDefault="001362BC">
      <w:pPr>
        <w:spacing w:after="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E39C75C"/>
    <w:multiLevelType w:val="singleLevel"/>
    <w:tmpl w:val="DE39C75C"/>
    <w:lvl w:ilvl="0">
      <w:start w:val="1"/>
      <w:numFmt w:val="decimal"/>
      <w:lvlText w:val="(%1)"/>
      <w:lvlJc w:val="left"/>
      <w:pPr>
        <w:ind w:left="425" w:hanging="425"/>
      </w:pPr>
      <w:rPr>
        <w:rFonts w:hint="default"/>
      </w:rPr>
    </w:lvl>
  </w:abstractNum>
  <w:abstractNum w:abstractNumId="1" w15:restartNumberingAfterBreak="0">
    <w:nsid w:val="04487A90"/>
    <w:multiLevelType w:val="multilevel"/>
    <w:tmpl w:val="04487A90"/>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0F641B32"/>
    <w:multiLevelType w:val="hybridMultilevel"/>
    <w:tmpl w:val="8FD0952C"/>
    <w:lvl w:ilvl="0" w:tplc="64FA6ADA">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2156331C"/>
    <w:multiLevelType w:val="singleLevel"/>
    <w:tmpl w:val="2156331C"/>
    <w:lvl w:ilvl="0">
      <w:start w:val="1"/>
      <w:numFmt w:val="decimal"/>
      <w:lvlText w:val="(%1)"/>
      <w:lvlJc w:val="left"/>
      <w:pPr>
        <w:ind w:left="425" w:hanging="425"/>
      </w:pPr>
      <w:rPr>
        <w:rFonts w:hint="default"/>
      </w:rPr>
    </w:lvl>
  </w:abstractNum>
  <w:abstractNum w:abstractNumId="4" w15:restartNumberingAfterBreak="0">
    <w:nsid w:val="3F3756EC"/>
    <w:multiLevelType w:val="hybridMultilevel"/>
    <w:tmpl w:val="7DA49BC2"/>
    <w:lvl w:ilvl="0" w:tplc="61741EAE">
      <w:start w:val="1"/>
      <w:numFmt w:val="upperLetter"/>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396928364">
    <w:abstractNumId w:val="1"/>
  </w:num>
  <w:num w:numId="2" w16cid:durableId="1716352239">
    <w:abstractNumId w:val="3"/>
  </w:num>
  <w:num w:numId="3" w16cid:durableId="1622110371">
    <w:abstractNumId w:val="0"/>
  </w:num>
  <w:num w:numId="4" w16cid:durableId="746538876">
    <w:abstractNumId w:val="4"/>
  </w:num>
  <w:num w:numId="5" w16cid:durableId="571505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5rr0vs959svwqedva75p25mpvxse595f2vd&quot;&gt;My EndNote Library&lt;record-ids&gt;&lt;item&gt;181&lt;/item&gt;&lt;item&gt;185&lt;/item&gt;&lt;item&gt;243&lt;/item&gt;&lt;item&gt;249&lt;/item&gt;&lt;/record-ids&gt;&lt;/item&gt;&lt;/Libraries&gt;"/>
  </w:docVars>
  <w:rsids>
    <w:rsidRoot w:val="00E164C7"/>
    <w:rsid w:val="000174E5"/>
    <w:rsid w:val="00017AFB"/>
    <w:rsid w:val="000244F2"/>
    <w:rsid w:val="000260EF"/>
    <w:rsid w:val="00036E46"/>
    <w:rsid w:val="000568E2"/>
    <w:rsid w:val="00063121"/>
    <w:rsid w:val="000B33C2"/>
    <w:rsid w:val="000D223A"/>
    <w:rsid w:val="000F3F09"/>
    <w:rsid w:val="000F415B"/>
    <w:rsid w:val="001033E3"/>
    <w:rsid w:val="00106654"/>
    <w:rsid w:val="001362BC"/>
    <w:rsid w:val="00173C94"/>
    <w:rsid w:val="001800E3"/>
    <w:rsid w:val="001A44DD"/>
    <w:rsid w:val="001A48D9"/>
    <w:rsid w:val="001A6F90"/>
    <w:rsid w:val="001E0F84"/>
    <w:rsid w:val="001F727D"/>
    <w:rsid w:val="00201CBA"/>
    <w:rsid w:val="00202704"/>
    <w:rsid w:val="002055D5"/>
    <w:rsid w:val="002141E9"/>
    <w:rsid w:val="00217F48"/>
    <w:rsid w:val="00234FC3"/>
    <w:rsid w:val="002444E6"/>
    <w:rsid w:val="0024712E"/>
    <w:rsid w:val="002565A6"/>
    <w:rsid w:val="00263AA5"/>
    <w:rsid w:val="002B2A7A"/>
    <w:rsid w:val="002D65A4"/>
    <w:rsid w:val="002E37BA"/>
    <w:rsid w:val="002F3AF5"/>
    <w:rsid w:val="0031650C"/>
    <w:rsid w:val="0032254C"/>
    <w:rsid w:val="0033711F"/>
    <w:rsid w:val="00344AF6"/>
    <w:rsid w:val="00355345"/>
    <w:rsid w:val="00357FF1"/>
    <w:rsid w:val="00362A60"/>
    <w:rsid w:val="00364A43"/>
    <w:rsid w:val="0037082F"/>
    <w:rsid w:val="003839E3"/>
    <w:rsid w:val="00387BF9"/>
    <w:rsid w:val="00390EFE"/>
    <w:rsid w:val="003B6C66"/>
    <w:rsid w:val="003D3028"/>
    <w:rsid w:val="003D6622"/>
    <w:rsid w:val="003E06E1"/>
    <w:rsid w:val="003E6D40"/>
    <w:rsid w:val="003F5438"/>
    <w:rsid w:val="004009DD"/>
    <w:rsid w:val="00402A5B"/>
    <w:rsid w:val="004155F9"/>
    <w:rsid w:val="0043216A"/>
    <w:rsid w:val="00477A8A"/>
    <w:rsid w:val="00477E10"/>
    <w:rsid w:val="00494D78"/>
    <w:rsid w:val="004B6F73"/>
    <w:rsid w:val="004C08E2"/>
    <w:rsid w:val="004D3FB2"/>
    <w:rsid w:val="00503CFB"/>
    <w:rsid w:val="005279DF"/>
    <w:rsid w:val="00556393"/>
    <w:rsid w:val="005640F3"/>
    <w:rsid w:val="00580C80"/>
    <w:rsid w:val="00585404"/>
    <w:rsid w:val="005A0327"/>
    <w:rsid w:val="005B053A"/>
    <w:rsid w:val="005C58CE"/>
    <w:rsid w:val="005C7B84"/>
    <w:rsid w:val="005E2B40"/>
    <w:rsid w:val="00615A37"/>
    <w:rsid w:val="00630200"/>
    <w:rsid w:val="00636697"/>
    <w:rsid w:val="00651025"/>
    <w:rsid w:val="00651B9C"/>
    <w:rsid w:val="00654C14"/>
    <w:rsid w:val="00656E1F"/>
    <w:rsid w:val="00657282"/>
    <w:rsid w:val="00667216"/>
    <w:rsid w:val="00677B70"/>
    <w:rsid w:val="00680B5A"/>
    <w:rsid w:val="00693DD3"/>
    <w:rsid w:val="006E0E4C"/>
    <w:rsid w:val="006E110F"/>
    <w:rsid w:val="006F4C8E"/>
    <w:rsid w:val="006F5CA0"/>
    <w:rsid w:val="007004C3"/>
    <w:rsid w:val="00733E63"/>
    <w:rsid w:val="007474E9"/>
    <w:rsid w:val="0076287B"/>
    <w:rsid w:val="00766E1E"/>
    <w:rsid w:val="007753AC"/>
    <w:rsid w:val="00776056"/>
    <w:rsid w:val="00776571"/>
    <w:rsid w:val="007857B0"/>
    <w:rsid w:val="007A0312"/>
    <w:rsid w:val="007A4698"/>
    <w:rsid w:val="007B00F4"/>
    <w:rsid w:val="007D06E9"/>
    <w:rsid w:val="007E3798"/>
    <w:rsid w:val="00807539"/>
    <w:rsid w:val="008137F4"/>
    <w:rsid w:val="0082106F"/>
    <w:rsid w:val="008313EE"/>
    <w:rsid w:val="008626F7"/>
    <w:rsid w:val="00870411"/>
    <w:rsid w:val="008762F3"/>
    <w:rsid w:val="008A59E4"/>
    <w:rsid w:val="008A705A"/>
    <w:rsid w:val="008B7A46"/>
    <w:rsid w:val="008C4B80"/>
    <w:rsid w:val="008C4FBD"/>
    <w:rsid w:val="008D4BAB"/>
    <w:rsid w:val="008E4C2D"/>
    <w:rsid w:val="008F0FCE"/>
    <w:rsid w:val="009045F9"/>
    <w:rsid w:val="00906F98"/>
    <w:rsid w:val="00907AF0"/>
    <w:rsid w:val="00912381"/>
    <w:rsid w:val="00931F7E"/>
    <w:rsid w:val="009376E8"/>
    <w:rsid w:val="00965FE4"/>
    <w:rsid w:val="00985C02"/>
    <w:rsid w:val="00993EEA"/>
    <w:rsid w:val="009C7051"/>
    <w:rsid w:val="009F4805"/>
    <w:rsid w:val="00A00084"/>
    <w:rsid w:val="00A01ECF"/>
    <w:rsid w:val="00A042CB"/>
    <w:rsid w:val="00A30320"/>
    <w:rsid w:val="00A3388B"/>
    <w:rsid w:val="00A83898"/>
    <w:rsid w:val="00A93BD6"/>
    <w:rsid w:val="00AB16D1"/>
    <w:rsid w:val="00AC3344"/>
    <w:rsid w:val="00AD7631"/>
    <w:rsid w:val="00AE6EEA"/>
    <w:rsid w:val="00B247C3"/>
    <w:rsid w:val="00B5721E"/>
    <w:rsid w:val="00B9147C"/>
    <w:rsid w:val="00B94070"/>
    <w:rsid w:val="00BA646E"/>
    <w:rsid w:val="00BC723E"/>
    <w:rsid w:val="00BD360E"/>
    <w:rsid w:val="00BF189A"/>
    <w:rsid w:val="00BF4FD5"/>
    <w:rsid w:val="00C059D2"/>
    <w:rsid w:val="00C074B6"/>
    <w:rsid w:val="00C13DAD"/>
    <w:rsid w:val="00C231E2"/>
    <w:rsid w:val="00C30DBE"/>
    <w:rsid w:val="00C96225"/>
    <w:rsid w:val="00CE470A"/>
    <w:rsid w:val="00CE49E4"/>
    <w:rsid w:val="00D13805"/>
    <w:rsid w:val="00D26B25"/>
    <w:rsid w:val="00DA5B18"/>
    <w:rsid w:val="00DB097E"/>
    <w:rsid w:val="00DB0DFF"/>
    <w:rsid w:val="00DC614E"/>
    <w:rsid w:val="00DE561E"/>
    <w:rsid w:val="00DF20DB"/>
    <w:rsid w:val="00E06E41"/>
    <w:rsid w:val="00E13602"/>
    <w:rsid w:val="00E164C7"/>
    <w:rsid w:val="00E36C8C"/>
    <w:rsid w:val="00E47CB1"/>
    <w:rsid w:val="00E672E2"/>
    <w:rsid w:val="00E71F4A"/>
    <w:rsid w:val="00E80328"/>
    <w:rsid w:val="00EB28CC"/>
    <w:rsid w:val="00EC6637"/>
    <w:rsid w:val="00ED0D8C"/>
    <w:rsid w:val="00EE0B9A"/>
    <w:rsid w:val="00F040D9"/>
    <w:rsid w:val="00F12C20"/>
    <w:rsid w:val="00F25B40"/>
    <w:rsid w:val="00F43632"/>
    <w:rsid w:val="00F839AA"/>
    <w:rsid w:val="00F8614A"/>
    <w:rsid w:val="00FB7707"/>
    <w:rsid w:val="00FC7006"/>
    <w:rsid w:val="00FC7D4F"/>
    <w:rsid w:val="00FD6DB5"/>
    <w:rsid w:val="00FD764C"/>
    <w:rsid w:val="00FE3A35"/>
    <w:rsid w:val="00FF16C5"/>
    <w:rsid w:val="11CF302D"/>
    <w:rsid w:val="12D20E80"/>
    <w:rsid w:val="3601226B"/>
    <w:rsid w:val="41A50F7B"/>
    <w:rsid w:val="729E477D"/>
    <w:rsid w:val="77230D84"/>
    <w:rsid w:val="7AB94F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459017"/>
  <w14:defaultImageDpi w14:val="32767"/>
  <w15:docId w15:val="{06CF4367-A105-4871-AFA9-A048A347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jc w:val="center"/>
    </w:pPr>
    <w:rPr>
      <w:rFonts w:ascii="Times New Roman" w:hAnsi="Times New Roman" w:cs="Times New Roman"/>
      <w:b/>
      <w:bCs/>
    </w:rPr>
  </w:style>
  <w:style w:type="paragraph" w:styleId="a4">
    <w:name w:val="annotation text"/>
    <w:basedOn w:val="a"/>
    <w:link w:val="a5"/>
    <w:uiPriority w:val="99"/>
    <w:unhideWhenUsed/>
    <w:qFormat/>
  </w:style>
  <w:style w:type="paragraph" w:styleId="TOC3">
    <w:name w:val="toc 3"/>
    <w:basedOn w:val="a"/>
    <w:next w:val="a"/>
    <w:uiPriority w:val="39"/>
    <w:unhideWhenUsed/>
    <w:pPr>
      <w:ind w:leftChars="400" w:left="840"/>
    </w:pPr>
  </w:style>
  <w:style w:type="paragraph" w:styleId="a6">
    <w:name w:val="footer"/>
    <w:basedOn w:val="a"/>
    <w:link w:val="a7"/>
    <w:uiPriority w:val="99"/>
    <w:unhideWhenUsed/>
    <w:pPr>
      <w:tabs>
        <w:tab w:val="center" w:pos="4153"/>
        <w:tab w:val="right" w:pos="8306"/>
      </w:tabs>
      <w:snapToGrid w:val="0"/>
      <w:spacing w:line="240" w:lineRule="auto"/>
    </w:pPr>
    <w:rPr>
      <w:sz w:val="18"/>
      <w:szCs w:val="18"/>
    </w:rPr>
  </w:style>
  <w:style w:type="paragraph" w:styleId="a8">
    <w:name w:val="header"/>
    <w:basedOn w:val="a"/>
    <w:link w:val="a9"/>
    <w:uiPriority w:val="99"/>
    <w:unhideWhenUsed/>
    <w:qFormat/>
    <w:pPr>
      <w:tabs>
        <w:tab w:val="center" w:pos="4153"/>
        <w:tab w:val="right" w:pos="8306"/>
      </w:tabs>
      <w:snapToGrid w:val="0"/>
      <w:spacing w:line="240" w:lineRule="auto"/>
      <w:jc w:val="center"/>
    </w:pPr>
    <w:rPr>
      <w:sz w:val="18"/>
      <w:szCs w:val="18"/>
    </w:rPr>
  </w:style>
  <w:style w:type="paragraph" w:styleId="TOC1">
    <w:name w:val="toc 1"/>
    <w:basedOn w:val="a"/>
    <w:next w:val="a"/>
    <w:uiPriority w:val="39"/>
    <w:unhideWhenUsed/>
    <w:qFormat/>
  </w:style>
  <w:style w:type="paragraph" w:styleId="aa">
    <w:name w:val="Subtitle"/>
    <w:basedOn w:val="a"/>
    <w:next w:val="a"/>
    <w:link w:val="ab"/>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TOC2">
    <w:name w:val="toc 2"/>
    <w:basedOn w:val="a"/>
    <w:next w:val="a"/>
    <w:uiPriority w:val="39"/>
    <w:unhideWhenUsed/>
    <w:qFormat/>
    <w:pPr>
      <w:ind w:leftChars="200" w:left="420"/>
    </w:pPr>
  </w:style>
  <w:style w:type="paragraph" w:styleId="ac">
    <w:name w:val="Normal (Web)"/>
    <w:basedOn w:val="a"/>
    <w:uiPriority w:val="99"/>
    <w:unhideWhenUsed/>
    <w:qFormat/>
    <w:pPr>
      <w:spacing w:beforeAutospacing="1" w:after="0" w:afterAutospacing="1"/>
    </w:pPr>
    <w:rPr>
      <w:rFonts w:cs="Times New Roman"/>
      <w:kern w:val="0"/>
      <w:sz w:val="24"/>
    </w:rPr>
  </w:style>
  <w:style w:type="paragraph" w:styleId="ad">
    <w:name w:val="Title"/>
    <w:basedOn w:val="a"/>
    <w:next w:val="a"/>
    <w:link w:val="ae"/>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paragraph" w:styleId="af">
    <w:name w:val="annotation subject"/>
    <w:basedOn w:val="a4"/>
    <w:next w:val="a4"/>
    <w:link w:val="af0"/>
    <w:uiPriority w:val="99"/>
    <w:semiHidden/>
    <w:unhideWhenUsed/>
    <w:qFormat/>
    <w:rPr>
      <w:b/>
      <w:bCs/>
    </w:rPr>
  </w:style>
  <w:style w:type="table" w:styleId="af1">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e">
    <w:name w:val="标题 字符"/>
    <w:basedOn w:val="a0"/>
    <w:link w:val="ad"/>
    <w:uiPriority w:val="10"/>
    <w:qFormat/>
    <w:rPr>
      <w:rFonts w:asciiTheme="majorHAnsi" w:eastAsiaTheme="majorEastAsia" w:hAnsiTheme="majorHAnsi" w:cstheme="majorBidi"/>
      <w:spacing w:val="-10"/>
      <w:kern w:val="28"/>
      <w:sz w:val="56"/>
      <w:szCs w:val="56"/>
    </w:rPr>
  </w:style>
  <w:style w:type="character" w:customStyle="1" w:styleId="ab">
    <w:name w:val="副标题 字符"/>
    <w:basedOn w:val="a0"/>
    <w:link w:val="aa"/>
    <w:uiPriority w:val="11"/>
    <w:qFormat/>
    <w:rPr>
      <w:rFonts w:asciiTheme="majorHAnsi" w:eastAsiaTheme="majorEastAsia" w:hAnsiTheme="majorHAnsi" w:cstheme="majorBidi"/>
      <w:color w:val="595959" w:themeColor="text1" w:themeTint="A6"/>
      <w:spacing w:val="15"/>
      <w:sz w:val="28"/>
      <w:szCs w:val="28"/>
    </w:rPr>
  </w:style>
  <w:style w:type="paragraph" w:styleId="af3">
    <w:name w:val="Quote"/>
    <w:basedOn w:val="a"/>
    <w:next w:val="a"/>
    <w:link w:val="af4"/>
    <w:uiPriority w:val="29"/>
    <w:qFormat/>
    <w:pPr>
      <w:spacing w:before="160"/>
      <w:jc w:val="center"/>
    </w:pPr>
    <w:rPr>
      <w:i/>
      <w:iCs/>
      <w:color w:val="404040" w:themeColor="text1" w:themeTint="BF"/>
    </w:rPr>
  </w:style>
  <w:style w:type="character" w:customStyle="1" w:styleId="af4">
    <w:name w:val="引用 字符"/>
    <w:basedOn w:val="a0"/>
    <w:link w:val="af3"/>
    <w:uiPriority w:val="29"/>
    <w:qFormat/>
    <w:rPr>
      <w:i/>
      <w:iCs/>
      <w:color w:val="404040" w:themeColor="text1" w:themeTint="BF"/>
    </w:rPr>
  </w:style>
  <w:style w:type="paragraph" w:styleId="af5">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6">
    <w:name w:val="Intense Quote"/>
    <w:basedOn w:val="a"/>
    <w:next w:val="a"/>
    <w:link w:val="af7"/>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7">
    <w:name w:val="明显引用 字符"/>
    <w:basedOn w:val="a0"/>
    <w:link w:val="af6"/>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paragraph" w:customStyle="1" w:styleId="af8">
    <w:name w:val="题注英文"/>
    <w:basedOn w:val="a"/>
    <w:next w:val="a"/>
    <w:autoRedefine/>
    <w:uiPriority w:val="39"/>
    <w:unhideWhenUsed/>
    <w:qFormat/>
    <w:pPr>
      <w:widowControl/>
      <w:spacing w:after="240" w:line="300" w:lineRule="auto"/>
      <w:ind w:firstLine="480"/>
      <w:jc w:val="center"/>
    </w:pPr>
    <w:rPr>
      <w:rFonts w:ascii="Times New Roman" w:eastAsia="宋体" w:hAnsi="Times New Roman" w:cs="Times New Roman (标题 CS)"/>
      <w:b/>
      <w:bCs/>
      <w:color w:val="000000" w:themeColor="text1"/>
      <w:kern w:val="0"/>
      <w:sz w:val="21"/>
      <w:szCs w:val="32"/>
      <w14:ligatures w14:val="none"/>
    </w:rPr>
  </w:style>
  <w:style w:type="paragraph" w:customStyle="1" w:styleId="af9">
    <w:name w:val="图片"/>
    <w:basedOn w:val="a"/>
    <w:qFormat/>
    <w:pPr>
      <w:jc w:val="center"/>
    </w:p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character" w:customStyle="1" w:styleId="a5">
    <w:name w:val="批注文字 字符"/>
    <w:basedOn w:val="a0"/>
    <w:link w:val="a4"/>
    <w:uiPriority w:val="99"/>
    <w:qFormat/>
  </w:style>
  <w:style w:type="character" w:customStyle="1" w:styleId="af0">
    <w:name w:val="批注主题 字符"/>
    <w:basedOn w:val="a5"/>
    <w:link w:val="af"/>
    <w:uiPriority w:val="99"/>
    <w:semiHidden/>
    <w:qFormat/>
    <w:rPr>
      <w:b/>
      <w:bCs/>
    </w:rPr>
  </w:style>
  <w:style w:type="paragraph" w:customStyle="1" w:styleId="EndNoteBibliographyTitle">
    <w:name w:val="EndNote Bibliography Title"/>
    <w:basedOn w:val="a"/>
    <w:link w:val="EndNoteBibliographyTitle0"/>
    <w:qFormat/>
    <w:pPr>
      <w:spacing w:after="0"/>
      <w:jc w:val="center"/>
    </w:pPr>
    <w:rPr>
      <w:rFonts w:ascii="等线" w:eastAsia="等线" w:hAnsi="等线"/>
    </w:rPr>
  </w:style>
  <w:style w:type="character" w:customStyle="1" w:styleId="EndNoteBibliographyTitle0">
    <w:name w:val="EndNote Bibliography Title 字符"/>
    <w:basedOn w:val="a0"/>
    <w:link w:val="EndNoteBibliographyTitle"/>
    <w:qFormat/>
    <w:rPr>
      <w:rFonts w:ascii="等线" w:eastAsia="等线" w:hAnsi="等线"/>
      <w:kern w:val="2"/>
      <w:sz w:val="22"/>
      <w:szCs w:val="24"/>
      <w14:ligatures w14:val="standardContextual"/>
    </w:rPr>
  </w:style>
  <w:style w:type="paragraph" w:customStyle="1" w:styleId="EndNoteBibliography">
    <w:name w:val="EndNote Bibliography"/>
    <w:basedOn w:val="a"/>
    <w:link w:val="EndNoteBibliography0"/>
    <w:qFormat/>
    <w:pPr>
      <w:spacing w:line="240" w:lineRule="auto"/>
      <w:jc w:val="both"/>
    </w:pPr>
    <w:rPr>
      <w:rFonts w:ascii="等线" w:eastAsia="等线" w:hAnsi="等线"/>
    </w:rPr>
  </w:style>
  <w:style w:type="character" w:customStyle="1" w:styleId="EndNoteBibliography0">
    <w:name w:val="EndNote Bibliography 字符"/>
    <w:basedOn w:val="a0"/>
    <w:link w:val="EndNoteBibliography"/>
    <w:qFormat/>
    <w:rPr>
      <w:rFonts w:ascii="等线" w:eastAsia="等线" w:hAnsi="等线"/>
      <w:kern w:val="2"/>
      <w:sz w:val="22"/>
      <w:szCs w:val="24"/>
      <w14:ligatures w14:val="standardContextual"/>
    </w:rPr>
  </w:style>
  <w:style w:type="character" w:styleId="afa">
    <w:name w:val="Hyperlink"/>
    <w:basedOn w:val="a0"/>
    <w:uiPriority w:val="99"/>
    <w:unhideWhenUsed/>
    <w:rsid w:val="0082106F"/>
    <w:rPr>
      <w:color w:val="0563C1" w:themeColor="hyperlink"/>
      <w:u w:val="single"/>
    </w:rPr>
  </w:style>
  <w:style w:type="paragraph" w:customStyle="1" w:styleId="afb">
    <w:name w:val="表格文字大小"/>
    <w:basedOn w:val="a"/>
    <w:link w:val="afc"/>
    <w:qFormat/>
    <w:rsid w:val="00C059D2"/>
    <w:pPr>
      <w:spacing w:after="0" w:line="240" w:lineRule="auto"/>
      <w:jc w:val="center"/>
    </w:pPr>
    <w:rPr>
      <w:rFonts w:ascii="Times New Roman" w:eastAsia="宋体" w:hAnsi="Times New Roman" w:cs="Times New Roman"/>
      <w:sz w:val="21"/>
      <w:szCs w:val="21"/>
      <w14:ligatures w14:val="none"/>
    </w:rPr>
  </w:style>
  <w:style w:type="character" w:customStyle="1" w:styleId="afc">
    <w:name w:val="表格文字大小 字符"/>
    <w:basedOn w:val="a0"/>
    <w:link w:val="afb"/>
    <w:rsid w:val="00C059D2"/>
    <w:rPr>
      <w:rFonts w:ascii="Times New Roman" w:eastAsia="宋体" w:hAnsi="Times New Roman" w:cs="Times New Roman"/>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07/s13318-023-00838-4" TargetMode="External"/><Relationship Id="rId18" Type="http://schemas.openxmlformats.org/officeDocument/2006/relationships/hyperlink" Target="https://doi.org/10.1124/dmd.124.001841" TargetMode="External"/><Relationship Id="rId26" Type="http://schemas.openxmlformats.org/officeDocument/2006/relationships/hyperlink" Target="https://doi.org/10.1016/j.jpba.2024.116314" TargetMode="External"/><Relationship Id="rId39" Type="http://schemas.openxmlformats.org/officeDocument/2006/relationships/hyperlink" Target="https://doi.org/10.1016/j.jpba.2024.116016" TargetMode="External"/><Relationship Id="rId21" Type="http://schemas.openxmlformats.org/officeDocument/2006/relationships/hyperlink" Target="https://doi.org/10.1124/dmd.124.001636" TargetMode="External"/><Relationship Id="rId34" Type="http://schemas.openxmlformats.org/officeDocument/2006/relationships/hyperlink" Target="https://pubs.acs.org/doi/10.1021/acs.jmedchem.3c02413"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389/fphar.2023.1067408" TargetMode="External"/><Relationship Id="rId20" Type="http://schemas.openxmlformats.org/officeDocument/2006/relationships/hyperlink" Target="https://doi.org/10.1124/dmd.124.001802" TargetMode="External"/><Relationship Id="rId29" Type="http://schemas.openxmlformats.org/officeDocument/2006/relationships/hyperlink" Target="https://doi.org/10.1016/j.jpba.2024.116116" TargetMode="External"/><Relationship Id="rId41" Type="http://schemas.openxmlformats.org/officeDocument/2006/relationships/hyperlink" Target="https://doi.org/10.1124/dmd.124.00156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1016/j.jpba.2024.116339" TargetMode="External"/><Relationship Id="rId32" Type="http://schemas.openxmlformats.org/officeDocument/2006/relationships/hyperlink" Target="https://doi.org/10.1002/bdd.2387" TargetMode="External"/><Relationship Id="rId37" Type="http://schemas.openxmlformats.org/officeDocument/2006/relationships/hyperlink" Target="https://doi.org/10.1016/j.jpba.2024.116076" TargetMode="External"/><Relationship Id="rId40" Type="http://schemas.openxmlformats.org/officeDocument/2006/relationships/hyperlink" Target="https://doi.org/10.1111/bcp.15917" TargetMode="External"/><Relationship Id="rId5" Type="http://schemas.openxmlformats.org/officeDocument/2006/relationships/webSettings" Target="webSettings.xml"/><Relationship Id="rId15" Type="http://schemas.openxmlformats.org/officeDocument/2006/relationships/hyperlink" Target="https://doi.org/10.3389/fphar.2023.1067408" TargetMode="External"/><Relationship Id="rId23" Type="http://schemas.openxmlformats.org/officeDocument/2006/relationships/hyperlink" Target="https://doi.org/10.1016/j.ejmech.2024.116853" TargetMode="External"/><Relationship Id="rId28" Type="http://schemas.openxmlformats.org/officeDocument/2006/relationships/hyperlink" Target="https://pubs.acs.org/doi/10.1021/acs.jmedchem.4c00298" TargetMode="External"/><Relationship Id="rId36" Type="http://schemas.openxmlformats.org/officeDocument/2006/relationships/hyperlink" Target="https://doi.org/10.1007/s13318-024-00886-4" TargetMode="External"/><Relationship Id="rId10" Type="http://schemas.openxmlformats.org/officeDocument/2006/relationships/image" Target="media/image3.png"/><Relationship Id="rId19" Type="http://schemas.openxmlformats.org/officeDocument/2006/relationships/hyperlink" Target="https://doi.org/10.1124/dmd.124.001812" TargetMode="External"/><Relationship Id="rId31" Type="http://schemas.openxmlformats.org/officeDocument/2006/relationships/hyperlink" Target="https://doi.org/10.1016/j.jpba.2024.116187"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093/jat/bkad079" TargetMode="External"/><Relationship Id="rId22" Type="http://schemas.openxmlformats.org/officeDocument/2006/relationships/hyperlink" Target="https://doi.org/10.1080/00498254.2024.2357765" TargetMode="External"/><Relationship Id="rId27" Type="http://schemas.openxmlformats.org/officeDocument/2006/relationships/hyperlink" Target="https://doi.org/10.1016/j.jpba.2024.116325" TargetMode="External"/><Relationship Id="rId30" Type="http://schemas.openxmlformats.org/officeDocument/2006/relationships/hyperlink" Target="https://pubs.acs.org/doi/10.1021/acsmedchemlett.4c00091" TargetMode="External"/><Relationship Id="rId35" Type="http://schemas.openxmlformats.org/officeDocument/2006/relationships/hyperlink" Target="https://pubs.acs.org/doi/10.1021/acs.jmedchem.4c00234"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doi.org/10.1038/s41401-024-01393-7" TargetMode="External"/><Relationship Id="rId17" Type="http://schemas.openxmlformats.org/officeDocument/2006/relationships/hyperlink" Target="https://doi.org/10.1124/dmd.124.001750" TargetMode="External"/><Relationship Id="rId25" Type="http://schemas.openxmlformats.org/officeDocument/2006/relationships/hyperlink" Target="https://pubs.acs.org/doi/10.1021/acs.jmedchem.4c01193" TargetMode="External"/><Relationship Id="rId33" Type="http://schemas.openxmlformats.org/officeDocument/2006/relationships/hyperlink" Target="https://doi.org/10.1016/j.jpba.2024.116187" TargetMode="External"/><Relationship Id="rId38" Type="http://schemas.openxmlformats.org/officeDocument/2006/relationships/hyperlink" Target="https://pubs.acs.org/doi/10.1021/acs.jmedchem.3c0212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14</Pages>
  <Words>11970</Words>
  <Characters>23342</Characters>
  <Application>Microsoft Office Word</Application>
  <DocSecurity>0</DocSecurity>
  <Lines>864</Lines>
  <Paragraphs>535</Paragraphs>
  <ScaleCrop>false</ScaleCrop>
  <Company/>
  <LinksUpToDate>false</LinksUpToDate>
  <CharactersWithSpaces>34777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marissa rao</dc:creator>
  <cp:lastModifiedBy>marissa rao</cp:lastModifiedBy>
  <cp:revision>35</cp:revision>
  <dcterms:created xsi:type="dcterms:W3CDTF">2025-11-21T04:25:00Z</dcterms:created>
  <dcterms:modified xsi:type="dcterms:W3CDTF">2026-01-30T08:25:00Z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eyJoZGlkIjoiOWY4ZWE3Yjc4ZDU5OTE3MmZlYzljZmZjYmVlOGQ0YTEiLCJ1c2VySWQiOiIxMjE4Mjg3ODc1In0=</vt:lpwstr>
  </property>
  <property fmtid="{D5CDD505-2E9C-101B-9397-08002B2CF9AE}" pid="3" name="KSOProductBuildVer">
    <vt:lpwstr>2052-12.1.0.22529</vt:lpwstr>
  </property>
  <property fmtid="{D5CDD505-2E9C-101B-9397-08002B2CF9AE}" pid="4" name="ICV">
    <vt:lpwstr>F9D14739550145F88E4B1B9D1E6C7308_12</vt:lpwstr>
  </property>
</Properties>
</file>