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2FF6E" w14:textId="77777777" w:rsidR="00A5227C" w:rsidRDefault="00A5227C" w:rsidP="008551C2">
      <w:pPr>
        <w:pStyle w:val="Heading1"/>
      </w:pPr>
      <w:r>
        <w:t xml:space="preserve">Learning Health System Matrix </w:t>
      </w:r>
      <w:r w:rsidR="00072D19">
        <w:t>Snapshot report</w:t>
      </w:r>
    </w:p>
    <w:p w14:paraId="07DDD3CA" w14:textId="77777777" w:rsidR="00A5227C" w:rsidRDefault="00A5227C" w:rsidP="00A5227C">
      <w:r>
        <w:t>This document will provide a system/ structure for documentation of use of the matrix over time.</w:t>
      </w:r>
    </w:p>
    <w:p w14:paraId="6412A208" w14:textId="77777777" w:rsidR="00021084" w:rsidRPr="00021084" w:rsidRDefault="002D4E15" w:rsidP="00072D19">
      <w:pPr>
        <w:pStyle w:val="Heading2"/>
      </w:pPr>
      <w:r>
        <w:t xml:space="preserve">Australian Stroke LHS </w:t>
      </w:r>
    </w:p>
    <w:p w14:paraId="39DEE8D8" w14:textId="77777777" w:rsidR="00021084" w:rsidRDefault="00021084" w:rsidP="00021084">
      <w:r w:rsidRPr="00072D19">
        <w:rPr>
          <w:b/>
        </w:rPr>
        <w:t>Date of evaluation</w:t>
      </w:r>
      <w:r>
        <w:t>:</w:t>
      </w:r>
      <w:r w:rsidR="002D4E15">
        <w:t xml:space="preserve"> 12</w:t>
      </w:r>
      <w:r w:rsidR="002D4E15" w:rsidRPr="002D4E15">
        <w:rPr>
          <w:vertAlign w:val="superscript"/>
        </w:rPr>
        <w:t>th</w:t>
      </w:r>
      <w:r w:rsidR="002D4E15">
        <w:t xml:space="preserve"> November 2024</w:t>
      </w:r>
    </w:p>
    <w:p w14:paraId="37977B70" w14:textId="77777777" w:rsidR="00021084" w:rsidRDefault="00021084" w:rsidP="00021084">
      <w:r w:rsidRPr="00072D19">
        <w:rPr>
          <w:b/>
        </w:rPr>
        <w:t>Person completing the evaluation</w:t>
      </w:r>
      <w:r>
        <w:t>:</w:t>
      </w:r>
      <w:r w:rsidR="002D4E15">
        <w:t xml:space="preserve"> Darren Rajit</w:t>
      </w:r>
    </w:p>
    <w:p w14:paraId="496750C7" w14:textId="77777777" w:rsidR="00021084" w:rsidRDefault="00021084" w:rsidP="00021084">
      <w:r w:rsidRPr="00072D19">
        <w:rPr>
          <w:b/>
        </w:rPr>
        <w:t>Role</w:t>
      </w:r>
      <w:r>
        <w:t>:</w:t>
      </w:r>
      <w:r w:rsidR="002D4E15">
        <w:t xml:space="preserve"> Researcher in Residence</w:t>
      </w:r>
    </w:p>
    <w:p w14:paraId="1B92BB03" w14:textId="77777777" w:rsidR="00482DA4" w:rsidRDefault="00482DA4" w:rsidP="00482DA4">
      <w:pPr>
        <w:pStyle w:val="Heading2"/>
      </w:pPr>
      <w:r>
        <w:t>Step 1:</w:t>
      </w:r>
    </w:p>
    <w:p w14:paraId="671D17F6" w14:textId="77777777" w:rsidR="00482DA4" w:rsidRDefault="00482DA4" w:rsidP="00482DA4">
      <w:r>
        <w:t>Complete your matrix rating. (Worksheet 1. Make sure that you alter the cells on row 2, column H, I, J, K, L. This will ensure that the Legend on the spider graph is relevant to your study.)</w:t>
      </w:r>
    </w:p>
    <w:p w14:paraId="622D2935" w14:textId="77777777" w:rsidR="00482DA4" w:rsidRDefault="00482DA4" w:rsidP="00482DA4">
      <w:r>
        <w:t xml:space="preserve">Then copy and paste your spider graph (From the Summary Sheet) </w:t>
      </w:r>
      <w:r w:rsidRPr="00F301D3">
        <w:rPr>
          <w:b/>
        </w:rPr>
        <w:t>to replace the one below</w:t>
      </w:r>
      <w:r>
        <w:t>.</w:t>
      </w:r>
    </w:p>
    <w:p w14:paraId="7992C538" w14:textId="77777777" w:rsidR="00482DA4" w:rsidRDefault="002D4E15" w:rsidP="00482DA4">
      <w:r>
        <w:rPr>
          <w:noProof/>
        </w:rPr>
        <w:drawing>
          <wp:inline distT="0" distB="0" distL="0" distR="0" wp14:anchorId="322CA5ED" wp14:editId="75E6433F">
            <wp:extent cx="5731510" cy="3299479"/>
            <wp:effectExtent l="0" t="0" r="2540" b="15240"/>
            <wp:docPr id="1" name="Chart 1">
              <a:extLst xmlns:a="http://schemas.openxmlformats.org/drawingml/2006/main">
                <a:ext uri="{FF2B5EF4-FFF2-40B4-BE49-F238E27FC236}">
                  <a16:creationId xmlns:a16="http://schemas.microsoft.com/office/drawing/2014/main" id="{00000000-0008-0000-0200-00004BC494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EA4F5ED" w14:textId="77777777" w:rsidR="00482DA4" w:rsidRDefault="00482DA4" w:rsidP="00482DA4">
      <w:r>
        <w:br w:type="page"/>
      </w:r>
    </w:p>
    <w:p w14:paraId="697B2CE2" w14:textId="77777777" w:rsidR="00482DA4" w:rsidRDefault="00482DA4" w:rsidP="00482DA4">
      <w:pPr>
        <w:pStyle w:val="Heading2"/>
      </w:pPr>
      <w:r>
        <w:lastRenderedPageBreak/>
        <w:t>Step 2:</w:t>
      </w:r>
    </w:p>
    <w:p w14:paraId="3575C540" w14:textId="77777777" w:rsidR="00482DA4" w:rsidRDefault="00482DA4" w:rsidP="00482DA4">
      <w:r>
        <w:t>Now record which approach you used to evaluate each of the eight components.</w:t>
      </w:r>
    </w:p>
    <w:p w14:paraId="021CF85A" w14:textId="77777777" w:rsidR="00482DA4" w:rsidRDefault="00482DA4" w:rsidP="00482DA4">
      <w:r>
        <w:t>Place an x in the appropriate cell to indicate which approach you took (delete and re-enter the data in the table below as appropriate)</w:t>
      </w:r>
    </w:p>
    <w:p w14:paraId="2C704ED7" w14:textId="77777777" w:rsidR="00482DA4" w:rsidRDefault="00482DA4" w:rsidP="00482DA4">
      <w:pPr>
        <w:pStyle w:val="ListParagraph"/>
        <w:numPr>
          <w:ilvl w:val="0"/>
          <w:numId w:val="2"/>
        </w:numPr>
      </w:pPr>
      <w:r w:rsidRPr="00FE7F8A">
        <w:rPr>
          <w:u w:val="single"/>
        </w:rPr>
        <w:t>Instinctual</w:t>
      </w:r>
      <w:r w:rsidRPr="00FE7F8A">
        <w:t xml:space="preserve"> - This is a quick rating. Don't worry too much. Just fill in without reference to anything. Later steps will use a more evidence-based approach. This rating method will familiarise you with the process</w:t>
      </w:r>
    </w:p>
    <w:p w14:paraId="6B8D6625" w14:textId="77777777" w:rsidR="00482DA4" w:rsidRDefault="00482DA4" w:rsidP="00482DA4">
      <w:pPr>
        <w:pStyle w:val="ListParagraph"/>
        <w:numPr>
          <w:ilvl w:val="0"/>
          <w:numId w:val="2"/>
        </w:numPr>
      </w:pPr>
      <w:r w:rsidRPr="00FE7F8A">
        <w:rPr>
          <w:u w:val="single"/>
        </w:rPr>
        <w:t>Evidence-based with reference to local information/ data</w:t>
      </w:r>
      <w:r>
        <w:t xml:space="preserve"> - In this approach you use data and information that you have available. This may be surveys, monthly reports, emails. It can be any information that you can refer to that is relevant to your site/ project/ service</w:t>
      </w:r>
    </w:p>
    <w:p w14:paraId="2A949AB2" w14:textId="77777777" w:rsidR="00482DA4" w:rsidRDefault="00482DA4" w:rsidP="00482DA4">
      <w:pPr>
        <w:pStyle w:val="ListParagraph"/>
        <w:numPr>
          <w:ilvl w:val="0"/>
          <w:numId w:val="2"/>
        </w:numPr>
      </w:pPr>
      <w:r w:rsidRPr="00FE7F8A">
        <w:rPr>
          <w:u w:val="single"/>
        </w:rPr>
        <w:t>Evidence based with use of evidence-based tools</w:t>
      </w:r>
      <w:r>
        <w:t xml:space="preserve"> (those provided in the matrix and any others you have used instead) - The tools/ links that are provided are those recommended by our Stakeholders. Choose an area and then refer to the tools. Choose one to start with and see if your approach is consistent with the provided evidence-based approach. Overtime you would plan to look at each of the 8 areas with this approach.</w:t>
      </w:r>
    </w:p>
    <w:p w14:paraId="21FF5EE1" w14:textId="77777777" w:rsidR="00482DA4" w:rsidRDefault="00482DA4" w:rsidP="00482DA4">
      <w:pPr>
        <w:pStyle w:val="ListParagraph"/>
      </w:pPr>
    </w:p>
    <w:p w14:paraId="5CE7AAC3" w14:textId="77777777" w:rsidR="00482DA4" w:rsidRDefault="00482DA4" w:rsidP="00482DA4">
      <w:pPr>
        <w:pStyle w:val="ListParagraph"/>
        <w:ind w:left="360"/>
      </w:pPr>
      <w:r>
        <w:t>Then indicate how many components were listed in each column.</w:t>
      </w:r>
    </w:p>
    <w:p w14:paraId="3E8EF08D" w14:textId="77777777" w:rsidR="00072D19" w:rsidRDefault="00072D19" w:rsidP="00482DA4">
      <w:pPr>
        <w:pStyle w:val="ListParagraph"/>
        <w:ind w:left="360"/>
      </w:pPr>
      <w:r>
        <w:t>Add in any notes and or recommendations here.</w:t>
      </w:r>
    </w:p>
    <w:tbl>
      <w:tblPr>
        <w:tblStyle w:val="TableGrid"/>
        <w:tblW w:w="0" w:type="auto"/>
        <w:tblLook w:val="04A0" w:firstRow="1" w:lastRow="0" w:firstColumn="1" w:lastColumn="0" w:noHBand="0" w:noVBand="1"/>
      </w:tblPr>
      <w:tblGrid>
        <w:gridCol w:w="2770"/>
        <w:gridCol w:w="1794"/>
        <w:gridCol w:w="1484"/>
        <w:gridCol w:w="1484"/>
        <w:gridCol w:w="1484"/>
      </w:tblGrid>
      <w:tr w:rsidR="00482DA4" w:rsidRPr="00F301D3" w14:paraId="3921DED2" w14:textId="77777777" w:rsidTr="002D4E15">
        <w:trPr>
          <w:trHeight w:val="300"/>
        </w:trPr>
        <w:tc>
          <w:tcPr>
            <w:tcW w:w="9016" w:type="dxa"/>
            <w:gridSpan w:val="5"/>
            <w:noWrap/>
            <w:hideMark/>
          </w:tcPr>
          <w:p w14:paraId="0CAF38C7" w14:textId="77777777" w:rsidR="00482DA4" w:rsidRPr="00F301D3" w:rsidRDefault="00482DA4" w:rsidP="00FE4A5F">
            <w:pPr>
              <w:rPr>
                <w:b/>
                <w:bCs/>
                <w:sz w:val="18"/>
                <w:szCs w:val="18"/>
              </w:rPr>
            </w:pPr>
            <w:r w:rsidRPr="00F301D3">
              <w:rPr>
                <w:b/>
                <w:bCs/>
                <w:sz w:val="18"/>
                <w:szCs w:val="18"/>
              </w:rPr>
              <w:t>Evidence base</w:t>
            </w:r>
          </w:p>
        </w:tc>
      </w:tr>
      <w:tr w:rsidR="00482DA4" w:rsidRPr="00F301D3" w14:paraId="32CD42A6" w14:textId="77777777" w:rsidTr="002D4E15">
        <w:trPr>
          <w:trHeight w:val="910"/>
        </w:trPr>
        <w:tc>
          <w:tcPr>
            <w:tcW w:w="2770" w:type="dxa"/>
            <w:hideMark/>
          </w:tcPr>
          <w:p w14:paraId="636DDE6D" w14:textId="77777777" w:rsidR="00482DA4" w:rsidRPr="00F301D3" w:rsidRDefault="00482DA4" w:rsidP="00FE4A5F">
            <w:pPr>
              <w:rPr>
                <w:b/>
                <w:bCs/>
                <w:sz w:val="18"/>
                <w:szCs w:val="18"/>
              </w:rPr>
            </w:pPr>
            <w:r w:rsidRPr="00F301D3">
              <w:rPr>
                <w:b/>
                <w:bCs/>
                <w:sz w:val="18"/>
                <w:szCs w:val="18"/>
              </w:rPr>
              <w:t>Domain</w:t>
            </w:r>
          </w:p>
        </w:tc>
        <w:tc>
          <w:tcPr>
            <w:tcW w:w="1794" w:type="dxa"/>
            <w:hideMark/>
          </w:tcPr>
          <w:p w14:paraId="08FAE806" w14:textId="77777777" w:rsidR="00482DA4" w:rsidRPr="00F301D3" w:rsidRDefault="00482DA4" w:rsidP="00FE4A5F">
            <w:pPr>
              <w:rPr>
                <w:b/>
                <w:bCs/>
                <w:sz w:val="18"/>
                <w:szCs w:val="18"/>
              </w:rPr>
            </w:pPr>
            <w:r w:rsidRPr="00F301D3">
              <w:rPr>
                <w:b/>
                <w:bCs/>
                <w:sz w:val="18"/>
                <w:szCs w:val="18"/>
              </w:rPr>
              <w:t>Component</w:t>
            </w:r>
          </w:p>
        </w:tc>
        <w:tc>
          <w:tcPr>
            <w:tcW w:w="1484" w:type="dxa"/>
            <w:hideMark/>
          </w:tcPr>
          <w:p w14:paraId="1CA3DB4A" w14:textId="77777777" w:rsidR="00482DA4" w:rsidRPr="00F301D3" w:rsidRDefault="00030F09" w:rsidP="00FE4A5F">
            <w:pPr>
              <w:rPr>
                <w:b/>
                <w:bCs/>
                <w:sz w:val="18"/>
                <w:szCs w:val="18"/>
              </w:rPr>
            </w:pPr>
            <w:r>
              <w:rPr>
                <w:b/>
                <w:bCs/>
                <w:sz w:val="18"/>
                <w:szCs w:val="18"/>
              </w:rPr>
              <w:t>Reflexive</w:t>
            </w:r>
          </w:p>
        </w:tc>
        <w:tc>
          <w:tcPr>
            <w:tcW w:w="1484" w:type="dxa"/>
            <w:hideMark/>
          </w:tcPr>
          <w:p w14:paraId="552066B2" w14:textId="77777777" w:rsidR="00482DA4" w:rsidRPr="00F301D3" w:rsidRDefault="00482DA4" w:rsidP="00FE4A5F">
            <w:pPr>
              <w:rPr>
                <w:b/>
                <w:bCs/>
                <w:sz w:val="18"/>
                <w:szCs w:val="18"/>
              </w:rPr>
            </w:pPr>
            <w:r w:rsidRPr="00F301D3">
              <w:rPr>
                <w:b/>
                <w:bCs/>
                <w:sz w:val="18"/>
                <w:szCs w:val="18"/>
              </w:rPr>
              <w:t xml:space="preserve">Evidence based </w:t>
            </w:r>
            <w:r w:rsidRPr="00BF25F3">
              <w:rPr>
                <w:b/>
                <w:bCs/>
                <w:sz w:val="18"/>
                <w:szCs w:val="18"/>
              </w:rPr>
              <w:t>with reference to local information/ data</w:t>
            </w:r>
          </w:p>
        </w:tc>
        <w:tc>
          <w:tcPr>
            <w:tcW w:w="1484" w:type="dxa"/>
            <w:hideMark/>
          </w:tcPr>
          <w:p w14:paraId="57109913" w14:textId="77777777" w:rsidR="00482DA4" w:rsidRPr="00F301D3" w:rsidRDefault="00482DA4" w:rsidP="00FE4A5F">
            <w:pPr>
              <w:rPr>
                <w:b/>
                <w:bCs/>
                <w:sz w:val="18"/>
                <w:szCs w:val="18"/>
              </w:rPr>
            </w:pPr>
            <w:r w:rsidRPr="00F301D3">
              <w:rPr>
                <w:b/>
                <w:bCs/>
                <w:sz w:val="18"/>
                <w:szCs w:val="18"/>
              </w:rPr>
              <w:t xml:space="preserve">Evidence based with use of </w:t>
            </w:r>
            <w:r w:rsidRPr="00BF25F3">
              <w:rPr>
                <w:b/>
                <w:bCs/>
                <w:sz w:val="18"/>
                <w:szCs w:val="18"/>
              </w:rPr>
              <w:t xml:space="preserve">evidence-based </w:t>
            </w:r>
            <w:r w:rsidRPr="00F301D3">
              <w:rPr>
                <w:b/>
                <w:bCs/>
                <w:sz w:val="18"/>
                <w:szCs w:val="18"/>
              </w:rPr>
              <w:t>tools</w:t>
            </w:r>
          </w:p>
        </w:tc>
      </w:tr>
      <w:tr w:rsidR="002D4E15" w:rsidRPr="00F301D3" w14:paraId="685C5F4C" w14:textId="77777777" w:rsidTr="002D4E15">
        <w:trPr>
          <w:trHeight w:val="310"/>
        </w:trPr>
        <w:tc>
          <w:tcPr>
            <w:tcW w:w="2770" w:type="dxa"/>
            <w:hideMark/>
          </w:tcPr>
          <w:p w14:paraId="07829E7E" w14:textId="77777777" w:rsidR="002D4E15" w:rsidRPr="00F301D3" w:rsidRDefault="002D4E15" w:rsidP="002D4E15">
            <w:pPr>
              <w:rPr>
                <w:b/>
                <w:bCs/>
                <w:sz w:val="18"/>
                <w:szCs w:val="18"/>
              </w:rPr>
            </w:pPr>
            <w:r w:rsidRPr="00F301D3">
              <w:rPr>
                <w:b/>
                <w:bCs/>
                <w:sz w:val="18"/>
                <w:szCs w:val="18"/>
              </w:rPr>
              <w:t>Stakeholder Derived Evidence</w:t>
            </w:r>
          </w:p>
        </w:tc>
        <w:tc>
          <w:tcPr>
            <w:tcW w:w="1794" w:type="dxa"/>
            <w:hideMark/>
          </w:tcPr>
          <w:p w14:paraId="3907067D" w14:textId="77777777" w:rsidR="002D4E15" w:rsidRPr="00F301D3" w:rsidRDefault="002D4E15" w:rsidP="002D4E15">
            <w:pPr>
              <w:rPr>
                <w:b/>
                <w:bCs/>
                <w:sz w:val="18"/>
                <w:szCs w:val="18"/>
              </w:rPr>
            </w:pPr>
            <w:r w:rsidRPr="00F301D3">
              <w:rPr>
                <w:b/>
                <w:bCs/>
                <w:sz w:val="18"/>
                <w:szCs w:val="18"/>
              </w:rPr>
              <w:t>Engagement of People</w:t>
            </w:r>
          </w:p>
        </w:tc>
        <w:tc>
          <w:tcPr>
            <w:tcW w:w="1484" w:type="dxa"/>
            <w:noWrap/>
          </w:tcPr>
          <w:p w14:paraId="5D90C485" w14:textId="77777777" w:rsidR="002D4E15" w:rsidRPr="00F301D3" w:rsidRDefault="002D4E15" w:rsidP="002D4E15">
            <w:pPr>
              <w:rPr>
                <w:sz w:val="18"/>
                <w:szCs w:val="18"/>
              </w:rPr>
            </w:pPr>
          </w:p>
        </w:tc>
        <w:tc>
          <w:tcPr>
            <w:tcW w:w="1484" w:type="dxa"/>
            <w:noWrap/>
            <w:hideMark/>
          </w:tcPr>
          <w:p w14:paraId="15D01DBA" w14:textId="77777777" w:rsidR="002D4E15" w:rsidRPr="00F301D3" w:rsidRDefault="002D4E15" w:rsidP="002D4E15">
            <w:pPr>
              <w:rPr>
                <w:sz w:val="18"/>
                <w:szCs w:val="18"/>
              </w:rPr>
            </w:pPr>
            <w:r w:rsidRPr="00F301D3">
              <w:rPr>
                <w:sz w:val="18"/>
                <w:szCs w:val="18"/>
              </w:rPr>
              <w:t>x</w:t>
            </w:r>
          </w:p>
        </w:tc>
        <w:tc>
          <w:tcPr>
            <w:tcW w:w="1484" w:type="dxa"/>
            <w:noWrap/>
            <w:hideMark/>
          </w:tcPr>
          <w:p w14:paraId="6C112243" w14:textId="77777777" w:rsidR="002D4E15" w:rsidRPr="00F301D3" w:rsidRDefault="002D4E15" w:rsidP="002D4E15">
            <w:pPr>
              <w:rPr>
                <w:sz w:val="18"/>
                <w:szCs w:val="18"/>
              </w:rPr>
            </w:pPr>
            <w:r w:rsidRPr="00F301D3">
              <w:rPr>
                <w:sz w:val="18"/>
                <w:szCs w:val="18"/>
              </w:rPr>
              <w:t> </w:t>
            </w:r>
          </w:p>
        </w:tc>
      </w:tr>
      <w:tr w:rsidR="002D4E15" w:rsidRPr="00F301D3" w14:paraId="0F8041A9" w14:textId="77777777" w:rsidTr="002D4E15">
        <w:trPr>
          <w:trHeight w:val="310"/>
        </w:trPr>
        <w:tc>
          <w:tcPr>
            <w:tcW w:w="2770" w:type="dxa"/>
            <w:hideMark/>
          </w:tcPr>
          <w:p w14:paraId="3AC0C34C" w14:textId="77777777" w:rsidR="002D4E15" w:rsidRPr="00F301D3" w:rsidRDefault="002D4E15" w:rsidP="002D4E15">
            <w:pPr>
              <w:rPr>
                <w:b/>
                <w:bCs/>
                <w:sz w:val="18"/>
                <w:szCs w:val="18"/>
              </w:rPr>
            </w:pPr>
            <w:r w:rsidRPr="00F301D3">
              <w:rPr>
                <w:b/>
                <w:bCs/>
                <w:sz w:val="18"/>
                <w:szCs w:val="18"/>
              </w:rPr>
              <w:t> </w:t>
            </w:r>
          </w:p>
        </w:tc>
        <w:tc>
          <w:tcPr>
            <w:tcW w:w="1794" w:type="dxa"/>
            <w:hideMark/>
          </w:tcPr>
          <w:p w14:paraId="1011088A" w14:textId="77777777" w:rsidR="002D4E15" w:rsidRPr="00F301D3" w:rsidRDefault="002D4E15" w:rsidP="002D4E15">
            <w:pPr>
              <w:rPr>
                <w:b/>
                <w:bCs/>
                <w:sz w:val="18"/>
                <w:szCs w:val="18"/>
              </w:rPr>
            </w:pPr>
            <w:r w:rsidRPr="00F301D3">
              <w:rPr>
                <w:b/>
                <w:bCs/>
                <w:sz w:val="18"/>
                <w:szCs w:val="18"/>
              </w:rPr>
              <w:t>Identifying Priorities</w:t>
            </w:r>
          </w:p>
        </w:tc>
        <w:tc>
          <w:tcPr>
            <w:tcW w:w="1484" w:type="dxa"/>
            <w:noWrap/>
          </w:tcPr>
          <w:p w14:paraId="78814602" w14:textId="77777777" w:rsidR="002D4E15" w:rsidRPr="00F301D3" w:rsidRDefault="002D4E15" w:rsidP="002D4E15">
            <w:pPr>
              <w:rPr>
                <w:sz w:val="18"/>
                <w:szCs w:val="18"/>
              </w:rPr>
            </w:pPr>
          </w:p>
        </w:tc>
        <w:tc>
          <w:tcPr>
            <w:tcW w:w="1484" w:type="dxa"/>
            <w:noWrap/>
            <w:hideMark/>
          </w:tcPr>
          <w:p w14:paraId="1267BD8E" w14:textId="77777777" w:rsidR="002D4E15" w:rsidRPr="00F301D3" w:rsidRDefault="002D4E15" w:rsidP="002D4E15">
            <w:pPr>
              <w:rPr>
                <w:sz w:val="18"/>
                <w:szCs w:val="18"/>
              </w:rPr>
            </w:pPr>
            <w:r w:rsidRPr="00F301D3">
              <w:rPr>
                <w:sz w:val="18"/>
                <w:szCs w:val="18"/>
              </w:rPr>
              <w:t>x</w:t>
            </w:r>
          </w:p>
        </w:tc>
        <w:tc>
          <w:tcPr>
            <w:tcW w:w="1484" w:type="dxa"/>
            <w:noWrap/>
            <w:hideMark/>
          </w:tcPr>
          <w:p w14:paraId="30DFA9C2" w14:textId="77777777" w:rsidR="002D4E15" w:rsidRPr="00F301D3" w:rsidRDefault="002D4E15" w:rsidP="002D4E15">
            <w:pPr>
              <w:rPr>
                <w:sz w:val="18"/>
                <w:szCs w:val="18"/>
              </w:rPr>
            </w:pPr>
            <w:r w:rsidRPr="00F301D3">
              <w:rPr>
                <w:sz w:val="18"/>
                <w:szCs w:val="18"/>
              </w:rPr>
              <w:t> </w:t>
            </w:r>
          </w:p>
        </w:tc>
      </w:tr>
      <w:tr w:rsidR="002D4E15" w:rsidRPr="00F301D3" w14:paraId="2ED752C4" w14:textId="77777777" w:rsidTr="002D4E15">
        <w:trPr>
          <w:trHeight w:val="310"/>
        </w:trPr>
        <w:tc>
          <w:tcPr>
            <w:tcW w:w="2770" w:type="dxa"/>
            <w:hideMark/>
          </w:tcPr>
          <w:p w14:paraId="46639D20" w14:textId="77777777" w:rsidR="002D4E15" w:rsidRPr="00F301D3" w:rsidRDefault="002D4E15" w:rsidP="002D4E15">
            <w:pPr>
              <w:rPr>
                <w:b/>
                <w:bCs/>
                <w:sz w:val="18"/>
                <w:szCs w:val="18"/>
              </w:rPr>
            </w:pPr>
            <w:r w:rsidRPr="00F301D3">
              <w:rPr>
                <w:b/>
                <w:bCs/>
                <w:sz w:val="18"/>
                <w:szCs w:val="18"/>
              </w:rPr>
              <w:t>Research Derived Evidence</w:t>
            </w:r>
          </w:p>
        </w:tc>
        <w:tc>
          <w:tcPr>
            <w:tcW w:w="1794" w:type="dxa"/>
            <w:hideMark/>
          </w:tcPr>
          <w:p w14:paraId="768FBF52" w14:textId="77777777" w:rsidR="002D4E15" w:rsidRPr="00F301D3" w:rsidRDefault="002D4E15" w:rsidP="002D4E15">
            <w:pPr>
              <w:rPr>
                <w:b/>
                <w:bCs/>
                <w:sz w:val="18"/>
                <w:szCs w:val="18"/>
              </w:rPr>
            </w:pPr>
            <w:r w:rsidRPr="00F301D3">
              <w:rPr>
                <w:b/>
                <w:bCs/>
                <w:sz w:val="18"/>
                <w:szCs w:val="18"/>
              </w:rPr>
              <w:t>Evidence Based Information</w:t>
            </w:r>
          </w:p>
        </w:tc>
        <w:tc>
          <w:tcPr>
            <w:tcW w:w="1484" w:type="dxa"/>
            <w:noWrap/>
          </w:tcPr>
          <w:p w14:paraId="03AB9FCF" w14:textId="77777777" w:rsidR="002D4E15" w:rsidRPr="00F301D3" w:rsidRDefault="002D4E15" w:rsidP="002D4E15">
            <w:pPr>
              <w:rPr>
                <w:sz w:val="18"/>
                <w:szCs w:val="18"/>
              </w:rPr>
            </w:pPr>
          </w:p>
        </w:tc>
        <w:tc>
          <w:tcPr>
            <w:tcW w:w="1484" w:type="dxa"/>
            <w:noWrap/>
            <w:hideMark/>
          </w:tcPr>
          <w:p w14:paraId="6A1E74C8" w14:textId="77777777" w:rsidR="002D4E15" w:rsidRPr="00F301D3" w:rsidRDefault="002D4E15" w:rsidP="002D4E15">
            <w:pPr>
              <w:rPr>
                <w:sz w:val="18"/>
                <w:szCs w:val="18"/>
              </w:rPr>
            </w:pPr>
            <w:r w:rsidRPr="00F301D3">
              <w:rPr>
                <w:sz w:val="18"/>
                <w:szCs w:val="18"/>
              </w:rPr>
              <w:t>x</w:t>
            </w:r>
          </w:p>
        </w:tc>
        <w:tc>
          <w:tcPr>
            <w:tcW w:w="1484" w:type="dxa"/>
            <w:noWrap/>
            <w:hideMark/>
          </w:tcPr>
          <w:p w14:paraId="2D72F96B" w14:textId="77777777" w:rsidR="002D4E15" w:rsidRPr="00F301D3" w:rsidRDefault="002D4E15" w:rsidP="002D4E15">
            <w:pPr>
              <w:rPr>
                <w:sz w:val="18"/>
                <w:szCs w:val="18"/>
              </w:rPr>
            </w:pPr>
            <w:r w:rsidRPr="00F301D3">
              <w:rPr>
                <w:sz w:val="18"/>
                <w:szCs w:val="18"/>
              </w:rPr>
              <w:t> </w:t>
            </w:r>
          </w:p>
        </w:tc>
      </w:tr>
      <w:tr w:rsidR="002D4E15" w:rsidRPr="00F301D3" w14:paraId="1455CEB3" w14:textId="77777777" w:rsidTr="002D4E15">
        <w:trPr>
          <w:trHeight w:val="610"/>
        </w:trPr>
        <w:tc>
          <w:tcPr>
            <w:tcW w:w="2770" w:type="dxa"/>
            <w:hideMark/>
          </w:tcPr>
          <w:p w14:paraId="158EFB54" w14:textId="77777777" w:rsidR="002D4E15" w:rsidRPr="00F301D3" w:rsidRDefault="002D4E15" w:rsidP="002D4E15">
            <w:pPr>
              <w:rPr>
                <w:b/>
                <w:bCs/>
                <w:sz w:val="18"/>
                <w:szCs w:val="18"/>
              </w:rPr>
            </w:pPr>
            <w:r w:rsidRPr="00F301D3">
              <w:rPr>
                <w:b/>
                <w:bCs/>
                <w:sz w:val="18"/>
                <w:szCs w:val="18"/>
              </w:rPr>
              <w:t> </w:t>
            </w:r>
          </w:p>
        </w:tc>
        <w:tc>
          <w:tcPr>
            <w:tcW w:w="1794" w:type="dxa"/>
            <w:hideMark/>
          </w:tcPr>
          <w:p w14:paraId="294C7BFD" w14:textId="77777777" w:rsidR="002D4E15" w:rsidRPr="00F301D3" w:rsidRDefault="002D4E15" w:rsidP="002D4E15">
            <w:pPr>
              <w:rPr>
                <w:b/>
                <w:bCs/>
                <w:sz w:val="18"/>
                <w:szCs w:val="18"/>
              </w:rPr>
            </w:pPr>
            <w:r w:rsidRPr="00F301D3">
              <w:rPr>
                <w:b/>
                <w:bCs/>
                <w:sz w:val="18"/>
                <w:szCs w:val="18"/>
              </w:rPr>
              <w:t>Evidence Synthesis and Guidelines</w:t>
            </w:r>
          </w:p>
        </w:tc>
        <w:tc>
          <w:tcPr>
            <w:tcW w:w="1484" w:type="dxa"/>
            <w:noWrap/>
          </w:tcPr>
          <w:p w14:paraId="763D74C5" w14:textId="77777777" w:rsidR="002D4E15" w:rsidRPr="00F301D3" w:rsidRDefault="002D4E15" w:rsidP="002D4E15">
            <w:pPr>
              <w:rPr>
                <w:sz w:val="18"/>
                <w:szCs w:val="18"/>
              </w:rPr>
            </w:pPr>
          </w:p>
        </w:tc>
        <w:tc>
          <w:tcPr>
            <w:tcW w:w="1484" w:type="dxa"/>
            <w:noWrap/>
            <w:hideMark/>
          </w:tcPr>
          <w:p w14:paraId="2EB59DEE" w14:textId="77777777" w:rsidR="002D4E15" w:rsidRPr="00F301D3" w:rsidRDefault="002D4E15" w:rsidP="002D4E15">
            <w:pPr>
              <w:rPr>
                <w:sz w:val="18"/>
                <w:szCs w:val="18"/>
              </w:rPr>
            </w:pPr>
            <w:r w:rsidRPr="00F301D3">
              <w:rPr>
                <w:sz w:val="18"/>
                <w:szCs w:val="18"/>
              </w:rPr>
              <w:t>x</w:t>
            </w:r>
          </w:p>
        </w:tc>
        <w:tc>
          <w:tcPr>
            <w:tcW w:w="1484" w:type="dxa"/>
            <w:noWrap/>
            <w:hideMark/>
          </w:tcPr>
          <w:p w14:paraId="087890C0" w14:textId="77777777" w:rsidR="002D4E15" w:rsidRPr="00F301D3" w:rsidRDefault="002D4E15" w:rsidP="002D4E15">
            <w:pPr>
              <w:rPr>
                <w:sz w:val="18"/>
                <w:szCs w:val="18"/>
              </w:rPr>
            </w:pPr>
            <w:r w:rsidRPr="00F301D3">
              <w:rPr>
                <w:sz w:val="18"/>
                <w:szCs w:val="18"/>
              </w:rPr>
              <w:t> </w:t>
            </w:r>
          </w:p>
        </w:tc>
      </w:tr>
      <w:tr w:rsidR="002D4E15" w:rsidRPr="00F301D3" w14:paraId="37BF9A30" w14:textId="77777777" w:rsidTr="002D4E15">
        <w:trPr>
          <w:trHeight w:val="610"/>
        </w:trPr>
        <w:tc>
          <w:tcPr>
            <w:tcW w:w="2770" w:type="dxa"/>
            <w:hideMark/>
          </w:tcPr>
          <w:p w14:paraId="3AE75E4D" w14:textId="77777777" w:rsidR="002D4E15" w:rsidRPr="00F301D3" w:rsidRDefault="002D4E15" w:rsidP="002D4E15">
            <w:pPr>
              <w:rPr>
                <w:b/>
                <w:bCs/>
                <w:sz w:val="18"/>
                <w:szCs w:val="18"/>
              </w:rPr>
            </w:pPr>
            <w:r w:rsidRPr="00F301D3">
              <w:rPr>
                <w:b/>
                <w:bCs/>
                <w:sz w:val="18"/>
                <w:szCs w:val="18"/>
              </w:rPr>
              <w:t>Data Derived Evidence</w:t>
            </w:r>
          </w:p>
        </w:tc>
        <w:tc>
          <w:tcPr>
            <w:tcW w:w="1794" w:type="dxa"/>
            <w:hideMark/>
          </w:tcPr>
          <w:p w14:paraId="59198F6E" w14:textId="77777777" w:rsidR="002D4E15" w:rsidRPr="00F301D3" w:rsidRDefault="002D4E15" w:rsidP="002D4E15">
            <w:pPr>
              <w:rPr>
                <w:b/>
                <w:bCs/>
                <w:sz w:val="18"/>
                <w:szCs w:val="18"/>
              </w:rPr>
            </w:pPr>
            <w:r w:rsidRPr="00F301D3">
              <w:rPr>
                <w:b/>
                <w:bCs/>
                <w:sz w:val="18"/>
                <w:szCs w:val="18"/>
              </w:rPr>
              <w:t>Data and Information Systems</w:t>
            </w:r>
          </w:p>
        </w:tc>
        <w:tc>
          <w:tcPr>
            <w:tcW w:w="1484" w:type="dxa"/>
            <w:noWrap/>
          </w:tcPr>
          <w:p w14:paraId="44A05889" w14:textId="77777777" w:rsidR="002D4E15" w:rsidRPr="00F301D3" w:rsidRDefault="002D4E15" w:rsidP="002D4E15">
            <w:pPr>
              <w:rPr>
                <w:sz w:val="18"/>
                <w:szCs w:val="18"/>
              </w:rPr>
            </w:pPr>
          </w:p>
        </w:tc>
        <w:tc>
          <w:tcPr>
            <w:tcW w:w="1484" w:type="dxa"/>
            <w:noWrap/>
            <w:hideMark/>
          </w:tcPr>
          <w:p w14:paraId="567156FC" w14:textId="77777777" w:rsidR="002D4E15" w:rsidRPr="00F301D3" w:rsidRDefault="002D4E15" w:rsidP="002D4E15">
            <w:pPr>
              <w:rPr>
                <w:sz w:val="18"/>
                <w:szCs w:val="18"/>
              </w:rPr>
            </w:pPr>
            <w:r w:rsidRPr="00F301D3">
              <w:rPr>
                <w:sz w:val="18"/>
                <w:szCs w:val="18"/>
              </w:rPr>
              <w:t>x</w:t>
            </w:r>
          </w:p>
        </w:tc>
        <w:tc>
          <w:tcPr>
            <w:tcW w:w="1484" w:type="dxa"/>
            <w:noWrap/>
            <w:hideMark/>
          </w:tcPr>
          <w:p w14:paraId="5522EBDF" w14:textId="77777777" w:rsidR="002D4E15" w:rsidRPr="00F301D3" w:rsidRDefault="002D4E15" w:rsidP="002D4E15">
            <w:pPr>
              <w:rPr>
                <w:sz w:val="18"/>
                <w:szCs w:val="18"/>
              </w:rPr>
            </w:pPr>
            <w:r w:rsidRPr="00F301D3">
              <w:rPr>
                <w:sz w:val="18"/>
                <w:szCs w:val="18"/>
              </w:rPr>
              <w:t> </w:t>
            </w:r>
          </w:p>
        </w:tc>
      </w:tr>
      <w:tr w:rsidR="002D4E15" w:rsidRPr="00F301D3" w14:paraId="2578549D" w14:textId="77777777" w:rsidTr="002D4E15">
        <w:trPr>
          <w:trHeight w:val="310"/>
        </w:trPr>
        <w:tc>
          <w:tcPr>
            <w:tcW w:w="2770" w:type="dxa"/>
            <w:hideMark/>
          </w:tcPr>
          <w:p w14:paraId="4C8AE48D" w14:textId="77777777" w:rsidR="002D4E15" w:rsidRPr="00F301D3" w:rsidRDefault="002D4E15" w:rsidP="002D4E15">
            <w:pPr>
              <w:rPr>
                <w:b/>
                <w:bCs/>
                <w:sz w:val="18"/>
                <w:szCs w:val="18"/>
              </w:rPr>
            </w:pPr>
            <w:r w:rsidRPr="00F301D3">
              <w:rPr>
                <w:b/>
                <w:bCs/>
                <w:sz w:val="18"/>
                <w:szCs w:val="18"/>
              </w:rPr>
              <w:t> </w:t>
            </w:r>
          </w:p>
        </w:tc>
        <w:tc>
          <w:tcPr>
            <w:tcW w:w="1794" w:type="dxa"/>
            <w:hideMark/>
          </w:tcPr>
          <w:p w14:paraId="076EC925" w14:textId="77777777" w:rsidR="002D4E15" w:rsidRPr="00F301D3" w:rsidRDefault="002D4E15" w:rsidP="002D4E15">
            <w:pPr>
              <w:rPr>
                <w:b/>
                <w:bCs/>
                <w:sz w:val="18"/>
                <w:szCs w:val="18"/>
              </w:rPr>
            </w:pPr>
            <w:r w:rsidRPr="00F301D3">
              <w:rPr>
                <w:b/>
                <w:bCs/>
                <w:sz w:val="18"/>
                <w:szCs w:val="18"/>
              </w:rPr>
              <w:t>Benchmarking</w:t>
            </w:r>
          </w:p>
        </w:tc>
        <w:tc>
          <w:tcPr>
            <w:tcW w:w="1484" w:type="dxa"/>
            <w:noWrap/>
          </w:tcPr>
          <w:p w14:paraId="402754B4" w14:textId="77777777" w:rsidR="002D4E15" w:rsidRPr="00F301D3" w:rsidRDefault="002D4E15" w:rsidP="002D4E15">
            <w:pPr>
              <w:rPr>
                <w:sz w:val="18"/>
                <w:szCs w:val="18"/>
              </w:rPr>
            </w:pPr>
          </w:p>
        </w:tc>
        <w:tc>
          <w:tcPr>
            <w:tcW w:w="1484" w:type="dxa"/>
            <w:noWrap/>
            <w:hideMark/>
          </w:tcPr>
          <w:p w14:paraId="3FE94313" w14:textId="77777777" w:rsidR="002D4E15" w:rsidRPr="00F301D3" w:rsidRDefault="002D4E15" w:rsidP="002D4E15">
            <w:pPr>
              <w:rPr>
                <w:sz w:val="18"/>
                <w:szCs w:val="18"/>
              </w:rPr>
            </w:pPr>
            <w:r w:rsidRPr="00F301D3">
              <w:rPr>
                <w:sz w:val="18"/>
                <w:szCs w:val="18"/>
              </w:rPr>
              <w:t>x</w:t>
            </w:r>
          </w:p>
        </w:tc>
        <w:tc>
          <w:tcPr>
            <w:tcW w:w="1484" w:type="dxa"/>
            <w:noWrap/>
            <w:hideMark/>
          </w:tcPr>
          <w:p w14:paraId="72BF06E4" w14:textId="77777777" w:rsidR="002D4E15" w:rsidRPr="00F301D3" w:rsidRDefault="002D4E15" w:rsidP="002D4E15">
            <w:pPr>
              <w:rPr>
                <w:sz w:val="18"/>
                <w:szCs w:val="18"/>
              </w:rPr>
            </w:pPr>
            <w:r w:rsidRPr="00F301D3">
              <w:rPr>
                <w:sz w:val="18"/>
                <w:szCs w:val="18"/>
              </w:rPr>
              <w:t> </w:t>
            </w:r>
          </w:p>
        </w:tc>
      </w:tr>
      <w:tr w:rsidR="002D4E15" w:rsidRPr="00F301D3" w14:paraId="6049F0EA" w14:textId="77777777" w:rsidTr="002D4E15">
        <w:trPr>
          <w:trHeight w:val="310"/>
        </w:trPr>
        <w:tc>
          <w:tcPr>
            <w:tcW w:w="2770" w:type="dxa"/>
            <w:hideMark/>
          </w:tcPr>
          <w:p w14:paraId="1452C136" w14:textId="77777777" w:rsidR="002D4E15" w:rsidRPr="00F301D3" w:rsidRDefault="002D4E15" w:rsidP="002D4E15">
            <w:pPr>
              <w:rPr>
                <w:b/>
                <w:bCs/>
                <w:sz w:val="18"/>
                <w:szCs w:val="18"/>
              </w:rPr>
            </w:pPr>
            <w:r w:rsidRPr="00F301D3">
              <w:rPr>
                <w:b/>
                <w:bCs/>
                <w:sz w:val="18"/>
                <w:szCs w:val="18"/>
              </w:rPr>
              <w:t>Implementation Evidence</w:t>
            </w:r>
          </w:p>
        </w:tc>
        <w:tc>
          <w:tcPr>
            <w:tcW w:w="1794" w:type="dxa"/>
            <w:hideMark/>
          </w:tcPr>
          <w:p w14:paraId="45CAF49B" w14:textId="77777777" w:rsidR="002D4E15" w:rsidRPr="00F301D3" w:rsidRDefault="002D4E15" w:rsidP="002D4E15">
            <w:pPr>
              <w:rPr>
                <w:b/>
                <w:bCs/>
                <w:sz w:val="18"/>
                <w:szCs w:val="18"/>
              </w:rPr>
            </w:pPr>
            <w:r w:rsidRPr="00F301D3">
              <w:rPr>
                <w:b/>
                <w:bCs/>
                <w:sz w:val="18"/>
                <w:szCs w:val="18"/>
              </w:rPr>
              <w:t>Implementation</w:t>
            </w:r>
          </w:p>
        </w:tc>
        <w:tc>
          <w:tcPr>
            <w:tcW w:w="1484" w:type="dxa"/>
            <w:noWrap/>
          </w:tcPr>
          <w:p w14:paraId="1616BCCC" w14:textId="77777777" w:rsidR="002D4E15" w:rsidRPr="00F301D3" w:rsidRDefault="002D4E15" w:rsidP="002D4E15">
            <w:pPr>
              <w:rPr>
                <w:sz w:val="18"/>
                <w:szCs w:val="18"/>
              </w:rPr>
            </w:pPr>
          </w:p>
        </w:tc>
        <w:tc>
          <w:tcPr>
            <w:tcW w:w="1484" w:type="dxa"/>
            <w:noWrap/>
            <w:hideMark/>
          </w:tcPr>
          <w:p w14:paraId="01559376" w14:textId="77777777" w:rsidR="002D4E15" w:rsidRPr="00F301D3" w:rsidRDefault="002D4E15" w:rsidP="002D4E15">
            <w:pPr>
              <w:rPr>
                <w:sz w:val="18"/>
                <w:szCs w:val="18"/>
              </w:rPr>
            </w:pPr>
            <w:r w:rsidRPr="00F301D3">
              <w:rPr>
                <w:sz w:val="18"/>
                <w:szCs w:val="18"/>
              </w:rPr>
              <w:t>x</w:t>
            </w:r>
          </w:p>
        </w:tc>
        <w:tc>
          <w:tcPr>
            <w:tcW w:w="1484" w:type="dxa"/>
            <w:noWrap/>
            <w:hideMark/>
          </w:tcPr>
          <w:p w14:paraId="4B06D5EE" w14:textId="77777777" w:rsidR="002D4E15" w:rsidRPr="00F301D3" w:rsidRDefault="002D4E15" w:rsidP="002D4E15">
            <w:pPr>
              <w:rPr>
                <w:sz w:val="18"/>
                <w:szCs w:val="18"/>
              </w:rPr>
            </w:pPr>
            <w:r w:rsidRPr="00F301D3">
              <w:rPr>
                <w:sz w:val="18"/>
                <w:szCs w:val="18"/>
              </w:rPr>
              <w:t> </w:t>
            </w:r>
          </w:p>
        </w:tc>
      </w:tr>
      <w:tr w:rsidR="002D4E15" w:rsidRPr="00F301D3" w14:paraId="650B3156" w14:textId="77777777" w:rsidTr="002D4E15">
        <w:trPr>
          <w:trHeight w:val="310"/>
        </w:trPr>
        <w:tc>
          <w:tcPr>
            <w:tcW w:w="2770" w:type="dxa"/>
            <w:hideMark/>
          </w:tcPr>
          <w:p w14:paraId="0FAC2411" w14:textId="77777777" w:rsidR="002D4E15" w:rsidRPr="00F301D3" w:rsidRDefault="002D4E15" w:rsidP="002D4E15">
            <w:pPr>
              <w:rPr>
                <w:b/>
                <w:bCs/>
                <w:sz w:val="18"/>
                <w:szCs w:val="18"/>
              </w:rPr>
            </w:pPr>
            <w:r w:rsidRPr="00F301D3">
              <w:rPr>
                <w:b/>
                <w:bCs/>
                <w:sz w:val="18"/>
                <w:szCs w:val="18"/>
              </w:rPr>
              <w:t> </w:t>
            </w:r>
          </w:p>
        </w:tc>
        <w:tc>
          <w:tcPr>
            <w:tcW w:w="1794" w:type="dxa"/>
            <w:hideMark/>
          </w:tcPr>
          <w:p w14:paraId="59F05898" w14:textId="77777777" w:rsidR="002D4E15" w:rsidRPr="00F301D3" w:rsidRDefault="002D4E15" w:rsidP="002D4E15">
            <w:pPr>
              <w:rPr>
                <w:b/>
                <w:bCs/>
                <w:sz w:val="18"/>
                <w:szCs w:val="18"/>
              </w:rPr>
            </w:pPr>
            <w:r w:rsidRPr="00F301D3">
              <w:rPr>
                <w:b/>
                <w:bCs/>
                <w:sz w:val="18"/>
                <w:szCs w:val="18"/>
              </w:rPr>
              <w:t>Healthcare Improvement</w:t>
            </w:r>
          </w:p>
        </w:tc>
        <w:tc>
          <w:tcPr>
            <w:tcW w:w="1484" w:type="dxa"/>
            <w:noWrap/>
          </w:tcPr>
          <w:p w14:paraId="7483B6CD" w14:textId="77777777" w:rsidR="002D4E15" w:rsidRPr="00F301D3" w:rsidRDefault="002D4E15" w:rsidP="002D4E15">
            <w:pPr>
              <w:rPr>
                <w:sz w:val="18"/>
                <w:szCs w:val="18"/>
              </w:rPr>
            </w:pPr>
          </w:p>
        </w:tc>
        <w:tc>
          <w:tcPr>
            <w:tcW w:w="1484" w:type="dxa"/>
            <w:noWrap/>
            <w:hideMark/>
          </w:tcPr>
          <w:p w14:paraId="7C08D2C6" w14:textId="77777777" w:rsidR="002D4E15" w:rsidRPr="00F301D3" w:rsidRDefault="002D4E15" w:rsidP="002D4E15">
            <w:pPr>
              <w:rPr>
                <w:sz w:val="18"/>
                <w:szCs w:val="18"/>
              </w:rPr>
            </w:pPr>
            <w:r w:rsidRPr="00F301D3">
              <w:rPr>
                <w:sz w:val="18"/>
                <w:szCs w:val="18"/>
              </w:rPr>
              <w:t>x</w:t>
            </w:r>
          </w:p>
        </w:tc>
        <w:tc>
          <w:tcPr>
            <w:tcW w:w="1484" w:type="dxa"/>
            <w:noWrap/>
            <w:hideMark/>
          </w:tcPr>
          <w:p w14:paraId="798B0351" w14:textId="77777777" w:rsidR="002D4E15" w:rsidRPr="00F301D3" w:rsidRDefault="002D4E15" w:rsidP="002D4E15">
            <w:pPr>
              <w:rPr>
                <w:sz w:val="18"/>
                <w:szCs w:val="18"/>
              </w:rPr>
            </w:pPr>
            <w:r w:rsidRPr="00F301D3">
              <w:rPr>
                <w:sz w:val="18"/>
                <w:szCs w:val="18"/>
              </w:rPr>
              <w:t> </w:t>
            </w:r>
          </w:p>
        </w:tc>
      </w:tr>
      <w:tr w:rsidR="002D4E15" w:rsidRPr="00F301D3" w14:paraId="0A6BCC06" w14:textId="77777777" w:rsidTr="002D4E15">
        <w:trPr>
          <w:trHeight w:val="310"/>
        </w:trPr>
        <w:tc>
          <w:tcPr>
            <w:tcW w:w="2770" w:type="dxa"/>
            <w:hideMark/>
          </w:tcPr>
          <w:p w14:paraId="79709445" w14:textId="77777777" w:rsidR="002D4E15" w:rsidRPr="00F301D3" w:rsidRDefault="002D4E15" w:rsidP="002D4E15">
            <w:pPr>
              <w:rPr>
                <w:b/>
                <w:bCs/>
                <w:sz w:val="18"/>
                <w:szCs w:val="18"/>
              </w:rPr>
            </w:pPr>
            <w:r w:rsidRPr="00F301D3">
              <w:rPr>
                <w:b/>
                <w:bCs/>
                <w:sz w:val="18"/>
                <w:szCs w:val="18"/>
              </w:rPr>
              <w:t>Count of evidence approaches</w:t>
            </w:r>
          </w:p>
        </w:tc>
        <w:tc>
          <w:tcPr>
            <w:tcW w:w="1794" w:type="dxa"/>
            <w:hideMark/>
          </w:tcPr>
          <w:p w14:paraId="6EF507B6" w14:textId="77777777" w:rsidR="002D4E15" w:rsidRPr="00F301D3" w:rsidRDefault="002D4E15" w:rsidP="002D4E15">
            <w:pPr>
              <w:rPr>
                <w:b/>
                <w:bCs/>
                <w:sz w:val="18"/>
                <w:szCs w:val="18"/>
              </w:rPr>
            </w:pPr>
            <w:r w:rsidRPr="00F301D3">
              <w:rPr>
                <w:b/>
                <w:bCs/>
                <w:sz w:val="18"/>
                <w:szCs w:val="18"/>
              </w:rPr>
              <w:t> </w:t>
            </w:r>
          </w:p>
        </w:tc>
        <w:tc>
          <w:tcPr>
            <w:tcW w:w="1484" w:type="dxa"/>
            <w:noWrap/>
            <w:hideMark/>
          </w:tcPr>
          <w:p w14:paraId="4935B9A4" w14:textId="77777777" w:rsidR="002D4E15" w:rsidRPr="00F301D3" w:rsidRDefault="002D4E15" w:rsidP="002D4E15">
            <w:pPr>
              <w:rPr>
                <w:sz w:val="18"/>
                <w:szCs w:val="18"/>
              </w:rPr>
            </w:pPr>
          </w:p>
        </w:tc>
        <w:tc>
          <w:tcPr>
            <w:tcW w:w="1484" w:type="dxa"/>
            <w:noWrap/>
            <w:hideMark/>
          </w:tcPr>
          <w:p w14:paraId="2D1FB167" w14:textId="77777777" w:rsidR="002D4E15" w:rsidRPr="00F301D3" w:rsidRDefault="002D4E15" w:rsidP="002D4E15">
            <w:pPr>
              <w:rPr>
                <w:sz w:val="18"/>
                <w:szCs w:val="18"/>
              </w:rPr>
            </w:pPr>
            <w:r>
              <w:rPr>
                <w:sz w:val="18"/>
                <w:szCs w:val="18"/>
              </w:rPr>
              <w:t>8</w:t>
            </w:r>
          </w:p>
        </w:tc>
        <w:tc>
          <w:tcPr>
            <w:tcW w:w="1484" w:type="dxa"/>
            <w:noWrap/>
            <w:hideMark/>
          </w:tcPr>
          <w:p w14:paraId="33E59AAE" w14:textId="77777777" w:rsidR="002D4E15" w:rsidRPr="00F301D3" w:rsidRDefault="002D4E15" w:rsidP="002D4E15">
            <w:pPr>
              <w:rPr>
                <w:sz w:val="18"/>
                <w:szCs w:val="18"/>
              </w:rPr>
            </w:pPr>
            <w:r w:rsidRPr="00F301D3">
              <w:rPr>
                <w:sz w:val="18"/>
                <w:szCs w:val="18"/>
              </w:rPr>
              <w:t>0</w:t>
            </w:r>
          </w:p>
        </w:tc>
      </w:tr>
    </w:tbl>
    <w:p w14:paraId="647EA83E" w14:textId="77777777" w:rsidR="00482DA4" w:rsidRDefault="00482DA4" w:rsidP="00482DA4"/>
    <w:p w14:paraId="6A0936DA" w14:textId="77777777" w:rsidR="00482DA4" w:rsidRDefault="00482DA4" w:rsidP="00482DA4">
      <w:pPr>
        <w:rPr>
          <w:rFonts w:asciiTheme="majorHAnsi" w:eastAsia="Times New Roman" w:hAnsiTheme="majorHAnsi" w:cstheme="majorBidi"/>
          <w:color w:val="1F3763" w:themeColor="accent1" w:themeShade="7F"/>
          <w:szCs w:val="24"/>
          <w:lang w:eastAsia="en-AU"/>
        </w:rPr>
      </w:pPr>
      <w:r>
        <w:rPr>
          <w:rFonts w:eastAsia="Times New Roman"/>
          <w:lang w:eastAsia="en-AU"/>
        </w:rPr>
        <w:br w:type="page"/>
      </w:r>
    </w:p>
    <w:p w14:paraId="7E8A2B59" w14:textId="77777777" w:rsidR="00482DA4" w:rsidRDefault="00482DA4" w:rsidP="00482DA4">
      <w:pPr>
        <w:pStyle w:val="Heading3"/>
        <w:rPr>
          <w:rFonts w:eastAsia="Times New Roman"/>
          <w:lang w:eastAsia="en-AU"/>
        </w:rPr>
      </w:pPr>
      <w:r>
        <w:rPr>
          <w:rFonts w:eastAsia="Times New Roman"/>
          <w:lang w:eastAsia="en-AU"/>
        </w:rPr>
        <w:lastRenderedPageBreak/>
        <w:t>Step 3:</w:t>
      </w:r>
    </w:p>
    <w:p w14:paraId="15ADF397" w14:textId="77777777" w:rsidR="00482DA4" w:rsidRDefault="00482DA4" w:rsidP="00482DA4">
      <w:pPr>
        <w:pStyle w:val="Heading3"/>
        <w:rPr>
          <w:rFonts w:eastAsia="Times New Roman"/>
          <w:lang w:eastAsia="en-AU"/>
        </w:rPr>
      </w:pPr>
      <w:r w:rsidRPr="00591533">
        <w:rPr>
          <w:rFonts w:eastAsia="Times New Roman"/>
          <w:lang w:eastAsia="en-AU"/>
        </w:rPr>
        <w:t xml:space="preserve">Evidence </w:t>
      </w:r>
      <w:r w:rsidRPr="00B854F6">
        <w:t>based</w:t>
      </w:r>
      <w:r w:rsidRPr="00591533">
        <w:rPr>
          <w:rFonts w:eastAsia="Times New Roman"/>
          <w:lang w:eastAsia="en-AU"/>
        </w:rPr>
        <w:t xml:space="preserve"> </w:t>
      </w:r>
      <w:r w:rsidRPr="00BF25F3">
        <w:rPr>
          <w:rFonts w:eastAsia="Times New Roman"/>
          <w:lang w:eastAsia="en-AU"/>
        </w:rPr>
        <w:t>with reference to local information/ data</w:t>
      </w:r>
      <w:r>
        <w:rPr>
          <w:rFonts w:eastAsia="Times New Roman"/>
          <w:lang w:eastAsia="en-AU"/>
        </w:rPr>
        <w:t xml:space="preserve"> or other evidence-based tools</w:t>
      </w:r>
    </w:p>
    <w:p w14:paraId="4D669DE1" w14:textId="77777777" w:rsidR="00482DA4" w:rsidRPr="00482DA4" w:rsidRDefault="00482DA4" w:rsidP="00482DA4">
      <w:pPr>
        <w:rPr>
          <w:lang w:eastAsia="en-AU"/>
        </w:rPr>
      </w:pPr>
      <w:r>
        <w:rPr>
          <w:lang w:eastAsia="en-AU"/>
        </w:rPr>
        <w:t>Where you have accessed some sort of evidence to complete your ranking it is advised to document clearly what they were. Over time it is easy for this information to be lost.</w:t>
      </w:r>
    </w:p>
    <w:p w14:paraId="74C39927" w14:textId="77777777" w:rsidR="00482DA4" w:rsidRDefault="00482DA4" w:rsidP="00482DA4">
      <w:pPr>
        <w:pStyle w:val="ListParagraph"/>
        <w:numPr>
          <w:ilvl w:val="0"/>
          <w:numId w:val="4"/>
        </w:numPr>
      </w:pPr>
      <w:r>
        <w:t>Document which data sources, tools and resources you used in each of the component areas</w:t>
      </w:r>
    </w:p>
    <w:p w14:paraId="0ED753E6" w14:textId="77777777" w:rsidR="00482DA4" w:rsidRDefault="00482DA4" w:rsidP="00482DA4">
      <w:pPr>
        <w:pStyle w:val="ListParagraph"/>
        <w:numPr>
          <w:ilvl w:val="0"/>
          <w:numId w:val="4"/>
        </w:numPr>
      </w:pPr>
      <w:r>
        <w:t>Indicate whether they were sourced from the spreadsheet or whether it was found elsewhere</w:t>
      </w:r>
    </w:p>
    <w:p w14:paraId="75BA533A" w14:textId="77777777" w:rsidR="00482DA4" w:rsidRDefault="00482DA4" w:rsidP="00482DA4">
      <w:pPr>
        <w:pStyle w:val="ListParagraph"/>
        <w:numPr>
          <w:ilvl w:val="0"/>
          <w:numId w:val="4"/>
        </w:numPr>
      </w:pPr>
      <w:r>
        <w:t>Include links to the source - or</w:t>
      </w:r>
    </w:p>
    <w:p w14:paraId="0817CC83" w14:textId="77777777" w:rsidR="00482DA4" w:rsidRDefault="00482DA4" w:rsidP="00482DA4">
      <w:pPr>
        <w:pStyle w:val="ListParagraph"/>
        <w:numPr>
          <w:ilvl w:val="0"/>
          <w:numId w:val="4"/>
        </w:numPr>
      </w:pPr>
      <w:r>
        <w:t>Attach any PDF’s if the data source is likely to change over time</w:t>
      </w:r>
    </w:p>
    <w:p w14:paraId="140D7B8F" w14:textId="77777777" w:rsidR="00482DA4" w:rsidRDefault="00482DA4" w:rsidP="00482DA4">
      <w:pPr>
        <w:pStyle w:val="ListParagraph"/>
        <w:numPr>
          <w:ilvl w:val="0"/>
          <w:numId w:val="4"/>
        </w:numPr>
      </w:pPr>
      <w:r>
        <w:t>List information about the data/ information next to the relevant component as listed below:</w:t>
      </w:r>
    </w:p>
    <w:p w14:paraId="6449D8BD" w14:textId="77777777" w:rsidR="00482DA4" w:rsidRDefault="00482DA4" w:rsidP="00482DA4">
      <w:pPr>
        <w:pStyle w:val="Heading4"/>
      </w:pPr>
      <w:r>
        <w:t>Engagement of People</w:t>
      </w:r>
    </w:p>
    <w:p w14:paraId="000CC8EB" w14:textId="77777777" w:rsidR="002D4E15" w:rsidRDefault="002D4E15" w:rsidP="002D4E15"/>
    <w:p w14:paraId="05849553" w14:textId="77777777" w:rsidR="002D4E15" w:rsidRDefault="002D4E15" w:rsidP="002D4E15">
      <w:r>
        <w:t xml:space="preserve">Formation of the Australian Stroke Coalition (ASC) </w:t>
      </w:r>
      <w:r>
        <w:fldChar w:fldCharType="begin"/>
      </w:r>
      <w:r>
        <w:instrText xml:space="preserve"> ADDIN ZOTERO_ITEM CSL_CITATION {"citationID":"v6tYcvwo","properties":{"formattedCitation":"(1)","plainCitation":"(1)","noteIndex":0},"citationItems":[{"id":5435,"uris":["http://zotero.org/users/local/2yXEWl3v/items/2Z2F4EC7"],"itemData":{"id":5435,"type":"webpage","title":"Position Statement: Stroke Learning Health System approach in Australia","URL":"https://australianstrokecoalition.org.au/wp-content/uploads/2024/03/ASC-Pos-Statement_Stroke-Learning-Health-System-approach-in-Australia.pdf","author":[{"family":"Australian Stroke Coalition","given":""}],"accessed":{"date-parts":[["2024",8,26]]},"issued":{"date-parts":[["2024"]]}}}],"schema":"https://github.com/citation-style-language/schema/raw/master/csl-citation.json"} </w:instrText>
      </w:r>
      <w:r>
        <w:fldChar w:fldCharType="separate"/>
      </w:r>
      <w:r w:rsidRPr="002D4E15">
        <w:rPr>
          <w:rFonts w:ascii="Calibri" w:hAnsi="Calibri" w:cs="Calibri"/>
        </w:rPr>
        <w:t>(1)</w:t>
      </w:r>
      <w:r>
        <w:fldChar w:fldCharType="end"/>
      </w:r>
      <w:r>
        <w:t xml:space="preserve"> which has been co-led by the consumer advocacy group Stroke Foundation and the Australian and New Zealand Stroke Organisation (formerly Stroke Society of Australasia), representing research and clinician networks since 2008. Codesign as a core principle for knowledge generation is incorporated, with the provision of co-designed modules to educate researchers on how to work with consumers with lived experience, and completion of such modules as a requirement for research grant funding </w:t>
      </w:r>
      <w:r>
        <w:fldChar w:fldCharType="begin"/>
      </w:r>
      <w:r>
        <w:instrText xml:space="preserve"> ADDIN ZOTERO_ITEM CSL_CITATION {"citationID":"TkPdXQkV","properties":{"formattedCitation":"(2)","plainCitation":"(2)","noteIndex":0},"citationItems":[{"id":5359,"uris":["http://zotero.org/users/local/2yXEWl3v/items/IUJXDKWF"],"itemData":{"id":5359,"type":"webpage","container-title":"Stroke Foundation - Australia","language":"en","title":"Current grants","URL":"https://strokefoundation.org.au/what-we-do/research/research-grants/current","accessed":{"date-parts":[["2024",7,1]]}}}],"schema":"https://github.com/citation-style-language/schema/raw/master/csl-citation.json"} </w:instrText>
      </w:r>
      <w:r>
        <w:fldChar w:fldCharType="separate"/>
      </w:r>
      <w:r w:rsidRPr="002D4E15">
        <w:rPr>
          <w:rFonts w:ascii="Calibri" w:hAnsi="Calibri" w:cs="Calibri"/>
        </w:rPr>
        <w:t>(2)</w:t>
      </w:r>
      <w:r>
        <w:fldChar w:fldCharType="end"/>
      </w:r>
      <w:r>
        <w:t xml:space="preserve">. Further, the ASC endorses an “active partnership” model between consumers, clinicians, researchers and broader workforce organisations in all its initiatives e.g. Occupational Therapy Australia </w:t>
      </w:r>
      <w:r>
        <w:fldChar w:fldCharType="begin"/>
      </w:r>
      <w:r>
        <w:instrText xml:space="preserve"> ADDIN ZOTERO_ITEM CSL_CITATION {"citationID":"C2FHdkT1","properties":{"formattedCitation":"(1)","plainCitation":"(1)","noteIndex":0},"citationItems":[{"id":5435,"uris":["http://zotero.org/users/local/2yXEWl3v/items/2Z2F4EC7"],"itemData":{"id":5435,"type":"webpage","title":"Position Statement: Stroke Learning Health System approach in Australia","URL":"https://australianstrokecoalition.org.au/wp-content/uploads/2024/03/ASC-Pos-Statement_Stroke-Learning-Health-System-approach-in-Australia.pdf","author":[{"family":"Australian Stroke Coalition","given":""}],"accessed":{"date-parts":[["2024",8,26]]},"issued":{"date-parts":[["2024"]]}}}],"schema":"https://github.com/citation-style-language/schema/raw/master/csl-citation.json"} </w:instrText>
      </w:r>
      <w:r>
        <w:fldChar w:fldCharType="separate"/>
      </w:r>
      <w:r w:rsidRPr="002D4E15">
        <w:rPr>
          <w:rFonts w:ascii="Calibri" w:hAnsi="Calibri" w:cs="Calibri"/>
        </w:rPr>
        <w:t>(1)</w:t>
      </w:r>
      <w:r>
        <w:fldChar w:fldCharType="end"/>
      </w:r>
      <w:r>
        <w:t xml:space="preserve">. </w:t>
      </w:r>
    </w:p>
    <w:p w14:paraId="4A613C3D" w14:textId="77777777" w:rsidR="002D4E15" w:rsidRPr="002D4E15" w:rsidRDefault="002D4E15" w:rsidP="002D4E15"/>
    <w:p w14:paraId="0F50C24E" w14:textId="77777777" w:rsidR="00482DA4" w:rsidRPr="008551C2" w:rsidRDefault="00482DA4" w:rsidP="00482DA4"/>
    <w:p w14:paraId="283AD8F1" w14:textId="77777777" w:rsidR="00482DA4" w:rsidRDefault="00482DA4" w:rsidP="00482DA4">
      <w:pPr>
        <w:pStyle w:val="Heading4"/>
      </w:pPr>
      <w:r>
        <w:t>Identifying Priorities</w:t>
      </w:r>
    </w:p>
    <w:p w14:paraId="74A16EA3" w14:textId="77777777" w:rsidR="002D4E15" w:rsidRDefault="002D4E15" w:rsidP="002D4E15"/>
    <w:p w14:paraId="701E624A" w14:textId="77777777" w:rsidR="002D4E15" w:rsidRDefault="002D4E15" w:rsidP="002D4E15">
      <w:r>
        <w:t xml:space="preserve">Both </w:t>
      </w:r>
      <w:sdt>
        <w:sdtPr>
          <w:tag w:val="goog_rdk_20"/>
          <w:id w:val="313609220"/>
        </w:sdtPr>
        <w:sdtContent/>
      </w:sdt>
      <w:r>
        <w:t xml:space="preserve">the ASC and the Australian government have shortlisted priority areas in stroke care quality improvement. National targets for stroke care as proposed by the ASC </w:t>
      </w:r>
      <w:r>
        <w:fldChar w:fldCharType="begin"/>
      </w:r>
      <w:r>
        <w:instrText xml:space="preserve"> ADDIN ZOTERO_ITEM CSL_CITATION {"citationID":"3WoOCE3F","properties":{"formattedCitation":"(55)","plainCitation":"(55)","noteIndex":0},"citationItems":[{"id":5550,"uris":["http://zotero.org/users/local/2yXEWl3v/items/B8KDABZC"],"itemData":{"id":5550,"type":"article-journal","container-title":"Medical Journal of Australia","DOI":"10.5694/mja2.52459","ISSN":"1326-5377","issue":"n/a","language":"en","license":"© 2024 The Author(s). Medical Journal of Australia published by John Wiley &amp; Sons Australia, Ltd on behalf of AMPCo Pty Ltd.","note":"_eprint: https://onlinelibrary.wiley.com/doi/pdf/10.5694/mja2.52459","source":"Wiley Online Library","title":"30/60/90 National stroke targets and stroke unit access for all Australians: it's about time","title-short":"30/60/90 National stroke targets and stroke unit access for all Australians","URL":"https://onlinelibrary.wiley.com/doi/abs/10.5694/mja2.52459","volume":"n/a","author":[{"family":"Kleinig","given":"Timothy J"},{"family":"Murphy","given":"Lisa"},{"family":"Taskforce","given":"For the 30/60/90 National Stroke Targets"}],"accessed":{"date-parts":[["2024",10,3]]}}}],"schema":"https://github.com/citation-style-language/schema/raw/master/csl-citation.json"} </w:instrText>
      </w:r>
      <w:r>
        <w:fldChar w:fldCharType="separate"/>
      </w:r>
      <w:r w:rsidRPr="00B96986">
        <w:t>(55)</w:t>
      </w:r>
      <w:r>
        <w:fldChar w:fldCharType="end"/>
      </w:r>
      <w:r>
        <w:t xml:space="preserve"> are informed by priorities areas set within the Acute Stroke Clinical Care Standards </w:t>
      </w:r>
      <w:r>
        <w:fldChar w:fldCharType="begin"/>
      </w:r>
      <w:r>
        <w:instrText xml:space="preserve"> ADDIN ZOTERO_ITEM CSL_CITATION {"citationID":"8op843AU","properties":{"formattedCitation":"(56)","plainCitation":"(56)","noteIndex":0},"citationItems":[{"id":5379,"uris":["http://zotero.org/users/local/2yXEWl3v/items/U8EL4MK7"],"itemData":{"id":5379,"type":"webpage","title":"Acute Stroke Clinical Care Standard | Australian Commission on Safety and Quality in Health Care","URL":"https://www.safetyandquality.gov.au/our-work/clinical-care-standards/acute-stroke-clinical-care-standard","accessed":{"date-parts":[["2024",7,1]]}}}],"schema":"https://github.com/citation-style-language/schema/raw/master/csl-citation.json"} </w:instrText>
      </w:r>
      <w:r>
        <w:fldChar w:fldCharType="separate"/>
      </w:r>
      <w:r w:rsidRPr="00B96986">
        <w:t>(56)</w:t>
      </w:r>
      <w:r>
        <w:fldChar w:fldCharType="end"/>
      </w:r>
      <w:r>
        <w:t xml:space="preserve">, which in turn have been developed by a national level committee of interdisciplinary representatives and lived experience representatives </w:t>
      </w:r>
      <w:r>
        <w:fldChar w:fldCharType="begin"/>
      </w:r>
      <w:r>
        <w:instrText xml:space="preserve"> ADDIN ZOTERO_ITEM CSL_CITATION {"citationID":"6yt0yuYi","properties":{"formattedCitation":"(57)","plainCitation":"(57)","noteIndex":0},"citationItems":[{"id":5557,"uris":["http://zotero.org/users/local/2yXEWl3v/items/AYYYWNUY"],"itemData":{"id":5557,"type":"webpage","title":"Acute Stroke Clinical Care Standard - Evidence Sources | Australian Commission on Safety and Quality in Health Care","URL":"https://www.safetyandquality.gov.au/publications-and-resources/resource-library/acute-stroke-clinical-care-standard-evidence-sources","accessed":{"date-parts":[["2024",10,3]]}}}],"schema":"https://github.com/citation-style-language/schema/raw/master/csl-citation.json"} </w:instrText>
      </w:r>
      <w:r>
        <w:fldChar w:fldCharType="separate"/>
      </w:r>
      <w:r w:rsidRPr="00B96986">
        <w:t>(57)</w:t>
      </w:r>
      <w:r>
        <w:fldChar w:fldCharType="end"/>
      </w:r>
      <w:r>
        <w:t>. However, as there is limited evidence on whether these priorities have been ranked in order to prioritise resources, a ranking beyond “Developing” could not be assigned.</w:t>
      </w:r>
    </w:p>
    <w:p w14:paraId="58ADB37B" w14:textId="77777777" w:rsidR="002D4E15" w:rsidRPr="002D4E15" w:rsidRDefault="002D4E15" w:rsidP="002D4E15"/>
    <w:p w14:paraId="1ACB669A" w14:textId="77777777" w:rsidR="00482DA4" w:rsidRPr="008551C2" w:rsidRDefault="00482DA4" w:rsidP="00482DA4"/>
    <w:p w14:paraId="082BF186" w14:textId="77777777" w:rsidR="00482DA4" w:rsidRDefault="00482DA4" w:rsidP="00482DA4">
      <w:pPr>
        <w:pStyle w:val="Heading4"/>
      </w:pPr>
      <w:r>
        <w:t>Evidence Based Information</w:t>
      </w:r>
    </w:p>
    <w:p w14:paraId="18DD5169" w14:textId="77777777" w:rsidR="002D4E15" w:rsidRDefault="002D4E15" w:rsidP="002D4E15"/>
    <w:p w14:paraId="7D88F7AA" w14:textId="77777777" w:rsidR="00482DA4" w:rsidRPr="008551C2" w:rsidRDefault="002D4E15" w:rsidP="00482DA4">
      <w:r>
        <w:t xml:space="preserve">Inclusion and generation of research evidence in the Australian Stroke LHS is informed by agreed priority areas within agreed priority populations </w:t>
      </w:r>
      <w:r>
        <w:fldChar w:fldCharType="begin"/>
      </w:r>
      <w:r>
        <w:instrText xml:space="preserve"> ADDIN ZOTERO_ITEM CSL_CITATION {"citationID":"3JpjAn6J","properties":{"formattedCitation":"(58)","plainCitation":"(58)","noteIndex":0},"citationItems":[{"id":5375,"uris":["http://zotero.org/users/local/2yXEWl3v/items/IHBVWS4N"],"itemData":{"id":5375,"type":"webpage","container-title":"Stroke Foundation - Australia","language":"en","title":"Stroke Foundation Research Grants","URL":"https://strokefoundation.org.au/what-we-do/research/research-grants","accessed":{"date-parts":[["2024",7,1]]}}}],"schema":"https://github.com/citation-style-language/schema/raw/master/csl-citation.json"} </w:instrText>
      </w:r>
      <w:r>
        <w:fldChar w:fldCharType="separate"/>
      </w:r>
      <w:r w:rsidRPr="00B96986">
        <w:t>(58)</w:t>
      </w:r>
      <w:r>
        <w:fldChar w:fldCharType="end"/>
      </w:r>
      <w:r>
        <w:t>. Additionally, the development of national level standards as in the Acute Stroke Clinical Care Standards has been informed by international and national level clinical guidelines, and systematic reviews and meta-</w:t>
      </w:r>
      <w:sdt>
        <w:sdtPr>
          <w:tag w:val="goog_rdk_21"/>
          <w:id w:val="926156663"/>
        </w:sdtPr>
        <w:sdtContent/>
      </w:sdt>
      <w:r>
        <w:t xml:space="preserve">analyses </w:t>
      </w:r>
      <w:r>
        <w:fldChar w:fldCharType="begin"/>
      </w:r>
      <w:r>
        <w:instrText xml:space="preserve"> ADDIN ZOTERO_ITEM CSL_CITATION {"citationID":"DkrPGob7","properties":{"formattedCitation":"(57)","plainCitation":"(57)","noteIndex":0},"citationItems":[{"id":5557,"uris":["http://zotero.org/users/local/2yXEWl3v/items/AYYYWNUY"],"itemData":{"id":5557,"type":"webpage","title":"Acute Stroke Clinical Care Standard - Evidence Sources | Australian Commission on Safety and Quality in Health Care","URL":"https://www.safetyandquality.gov.au/publications-and-resources/resource-library/acute-stroke-clinical-care-standard-evidence-sources","accessed":{"date-parts":[["2024",10,3]]}}}],"schema":"https://github.com/citation-style-language/schema/raw/master/csl-citation.json"} </w:instrText>
      </w:r>
      <w:r>
        <w:fldChar w:fldCharType="separate"/>
      </w:r>
      <w:r w:rsidRPr="00B96986">
        <w:t>(57)</w:t>
      </w:r>
      <w:r>
        <w:fldChar w:fldCharType="end"/>
      </w:r>
      <w:r>
        <w:t xml:space="preserve">. Collectively, this influences downstream grant making efforts </w:t>
      </w:r>
      <w:r>
        <w:fldChar w:fldCharType="begin"/>
      </w:r>
      <w:r>
        <w:instrText xml:space="preserve"> ADDIN ZOTERO_ITEM CSL_CITATION {"citationID":"6SIEpAx3","properties":{"formattedCitation":"(58)","plainCitation":"(58)","noteIndex":0},"citationItems":[{"id":5375,"uris":["http://zotero.org/users/local/2yXEWl3v/items/IHBVWS4N"],"itemData":{"id":5375,"type":"webpage","container-title":"Stroke Foundation - Australia","language":"en","title":"Stroke Foundation Research Grants","URL":"https://strokefoundation.org.au/what-we-do/research/research-grants","accessed":{"date-parts":[["2024",7,1]]}}}],"schema":"https://github.com/citation-style-language/schema/raw/master/csl-citation.json"} </w:instrText>
      </w:r>
      <w:r>
        <w:fldChar w:fldCharType="separate"/>
      </w:r>
      <w:r w:rsidRPr="00B96986">
        <w:t>(58)</w:t>
      </w:r>
      <w:r>
        <w:fldChar w:fldCharType="end"/>
      </w:r>
      <w:r>
        <w:t xml:space="preserve"> and incentivises research generation in priority areas.</w:t>
      </w:r>
    </w:p>
    <w:p w14:paraId="0A9242C0" w14:textId="77777777" w:rsidR="00482DA4" w:rsidRDefault="00482DA4" w:rsidP="00482DA4">
      <w:pPr>
        <w:pStyle w:val="Heading4"/>
      </w:pPr>
      <w:r>
        <w:lastRenderedPageBreak/>
        <w:t>Evidence Synthesis and Guidelines</w:t>
      </w:r>
    </w:p>
    <w:p w14:paraId="28177B52" w14:textId="77777777" w:rsidR="00482DA4" w:rsidRDefault="00482DA4" w:rsidP="00482DA4"/>
    <w:p w14:paraId="27E2BBC7" w14:textId="77777777" w:rsidR="002D4E15" w:rsidRPr="008551C2" w:rsidRDefault="002D4E15" w:rsidP="00482DA4">
      <w:r>
        <w:t xml:space="preserve">Since 2017, the Australian and New Zealand Clinical Guidelines for Stroke Management is a living guideline that continually assesses new published evidence, and updates recommendations following a review and endorsement process </w:t>
      </w:r>
      <w:r>
        <w:fldChar w:fldCharType="begin"/>
      </w:r>
      <w:r>
        <w:instrText xml:space="preserve"> ADDIN ZOTERO_ITEM CSL_CITATION {"citationID":"8EOPu0zK","properties":{"formattedCitation":"(47)","plainCitation":"(47)","noteIndex":0},"citationItems":[{"id":5372,"uris":["http://zotero.org/users/local/2yXEWl3v/items/DMVGUI9P"],"itemData":{"id":5372,"type":"article-journal","container-title":"Medical Journal of Australia","ISSN":"0025-729X","issue":"10","journalAbbreviation":"Med. J. Aust.","source":"eMJA","title":"Living clinical guidelines for stroke: updates, challenges and opportunities","title-short":"Living clinical guidelines for stroke","URL":"https://www.mja.com.au/journal/2022/216/10/living-clinical-guidelines-stroke-updates-challenges-and-opportunities#6","volume":"216","author":[{"family":"English","given":"Coralie"},{"family":"Hill","given":"Kelvin"},{"family":"Cadilhac","given":"Dominique A."},{"family":"Hackett","given":"Maree L."},{"family":"Lannin","given":"Natasha A."},{"family":"Middleton","given":"Sandy"},{"family":"Ranta","given":"Annemarei"},{"family":"Stocks","given":"Nigel P."},{"family":"Davey","given":"Julie"},{"family":"Faux","given":"Steven G."},{"family":"Godecke","given":"Erin"},{"family":"Campbell","given":"Bruce CV"}],"accessed":{"date-parts":[["2024",7,1]]},"issued":{"date-parts":[["2022",5,16]]}}}],"schema":"https://github.com/citation-style-language/schema/raw/master/csl-citation.json"} </w:instrText>
      </w:r>
      <w:r>
        <w:fldChar w:fldCharType="separate"/>
      </w:r>
      <w:r w:rsidRPr="00B96986">
        <w:t>(47)</w:t>
      </w:r>
      <w:r>
        <w:fldChar w:fldCharType="end"/>
      </w:r>
      <w:r>
        <w:t xml:space="preserve">. Consumers are included in the writing teams for each clinical topic to prioritize recommendations, and also on the Steering Committee </w:t>
      </w:r>
      <w:r>
        <w:fldChar w:fldCharType="begin"/>
      </w:r>
      <w:r>
        <w:instrText xml:space="preserve"> ADDIN ZOTERO_ITEM CSL_CITATION {"citationID":"XNHP36iD","properties":{"formattedCitation":"(59)","plainCitation":"(59)","noteIndex":0},"citationItems":[{"id":172,"uris":["http://zotero.org/users/local/2yXEWl3v/items/3ZA2G6U6"],"itemData":{"id":172,"type":"article-journal","abstract":"Objective\nMaintaining clinical guideline currency has been one challenge to traditional guideline development. This paper describes the methods used to maintain a large national guideline for stroke management.\nStudy design and setting\nThe Australian Stroke Clinical Guidelines are developed to meet Australian National Health and Medical Research Council (NHMRC) standards. Monthly surveillance is conducted for new systematic reviews and randomised controlled studies. Included studies undergo data extraction followed by preparation of updated evidence-to-decision frameworks which are used to inform updates, or development of new recommendations. Small writing groups made up of clinical experts and those with lived experience review and agree on changes, which are finally reviewed by a multidisciplinary Guidelines Steering Group. Draft changes are developed and published using the online MAGICapp platform, with dissemination and promotion via traditional methods as well as social media.\nResults\nEach month approximately 350 abstracts are considered, covering 96 clinical topics and taking on average 16 h to review. There have been four major guideline updates covering 34 new and updated recommendations.\nConclusion\nIt is feasible to use ‘living’ methods to maintain the Australian Clinical Guidelines for Stroke Management. Further work is now needed to understand the impact of living guidelines.","container-title":"Journal of Clinical Epidemiology","DOI":"10.1016/j.jclinepi.2021.11.020","ISSN":"0895-4356","journalAbbreviation":"Journal of Clinical Epidemiology","page":"184-193","title":"Feasibility of national living guideline methods: The Australian Stroke Guidelines","volume":"142","author":[{"family":"Hill","given":"Kelvin"},{"family":"English","given":"Coralie"},{"family":"Campbell","given":"Bruce C.V."},{"family":"McDonald","given":"Steve"},{"family":"Pattuwage","given":"Loyal"},{"family":"Bates","given":"Peta"},{"family":"Lassig","given":"Chris"},{"family":"Turner","given":"Tari"}],"issued":{"date-parts":[["2022",2,1]]}}}],"schema":"https://github.com/citation-style-language/schema/raw/master/csl-citation.json"} </w:instrText>
      </w:r>
      <w:r>
        <w:fldChar w:fldCharType="separate"/>
      </w:r>
      <w:r w:rsidRPr="00B96986">
        <w:t>(59)</w:t>
      </w:r>
      <w:r>
        <w:fldChar w:fldCharType="end"/>
      </w:r>
      <w:r>
        <w:t xml:space="preserve">. </w:t>
      </w:r>
    </w:p>
    <w:p w14:paraId="404A839B" w14:textId="77777777" w:rsidR="00482DA4" w:rsidRDefault="00482DA4" w:rsidP="002D4E15">
      <w:pPr>
        <w:pStyle w:val="Heading4"/>
      </w:pPr>
      <w:r>
        <w:t>Data and Information Systems</w:t>
      </w:r>
    </w:p>
    <w:p w14:paraId="05A7A1A3" w14:textId="77777777" w:rsidR="002D4E15" w:rsidRPr="008551C2" w:rsidRDefault="002D4E15" w:rsidP="00482DA4">
      <w:r>
        <w:t>The Australian Stroke Data Tool (</w:t>
      </w:r>
      <w:proofErr w:type="spellStart"/>
      <w:r>
        <w:t>AuSDaT</w:t>
      </w:r>
      <w:proofErr w:type="spellEnd"/>
      <w:r>
        <w:t xml:space="preserve">) </w:t>
      </w:r>
      <w:r>
        <w:fldChar w:fldCharType="begin"/>
      </w:r>
      <w:r>
        <w:instrText xml:space="preserve"> ADDIN ZOTERO_ITEM CSL_CITATION {"citationID":"a7gdpVHV","properties":{"formattedCitation":"(45)","plainCitation":"(45)","noteIndex":0},"citationItems":[{"id":5381,"uris":["http://zotero.org/users/local/2yXEWl3v/items/2RCTZGZC"],"itemData":{"id":5381,"type":"article-journal","abstract":"Background\nHistorically, national programs for collecting stroke data in Australia required the use of multiple online tools. Clinicians were required to enter overlapping variables for the same patient in the different databases. From 2013 to 2016, the Australian Stroke Data Tool (AuSDaT) was built as an integrated data management solution.\nObjective\nIn this article, we have described the development, implementation, and evaluation phases of establishing the AuSDaT.\nMethod\nIn the development phase, a governance structure with representatives from different data collection programs was established. Harmonisation of data variables, drawn from six programs used in hospitals for monitoring stroke care, was facilitated through creating a National Stroke Data Dictionary. The implementation phase involved a staged deployment for two national programs over 12 months. The evaluation included an online survey of people who had used the AuSDaT between March 2018 and May 2018.\nResults\nBy July 2016, data entered for an individual patient was, for the first time, shared between national programs. Overall, 119/422 users (90% female, 61% aged 30–49 years, 57% nurses) completed the online evaluation survey. The two most positive features reported about the AuSDaT were (i) accessibility of the system (including simultaneous user access), and (ii) the ability to download reports to benchmark local data against peer hospitals or national performance. More than three quarters of respondents (n = 92, 77%) reported overall satisfaction with the data collection tool.\nConclusion\nThe AuSDaT reduces duplication and enables users from different national programs for stroke to enter standardised data into a single system.\nImplications\nThis example may assist others who seek to establish a harmonised data management solution for different disease areas where multiple programs of data collection exist. The importance of undertaking continuous evaluation of end-users to identify preferences and aspects of the tool that are not meeting current requirements were illustrated. We also highlighted the opportunities to increase interoperability, utility, and facilitate the exchange of accurate and meaningful data.","container-title":"Health Information Management Journal","DOI":"10.1177/18333583221117184","ISSN":"1833-3583","issue":"2","journalAbbreviation":"HIM J","language":"en","note":"publisher: SAGE Publications Ltd STM","page":"85-93","source":"SAGE Journals","title":"Development, implementation, and evaluation of the Australian Stroke Data Tool (AuSDaT): Comprehensive data capturing for multiple uses","title-short":"Development, implementation, and evaluation of the Australian Stroke Data Tool (AuSDaT)","volume":"53","author":[{"family":"Ryan","given":"Olivia"},{"family":"Ghuliani","given":"Jot"},{"family":"Grabsch","given":"Brenda"},{"family":"Hill","given":"Kelvin"},{"family":"C Cloud","given":"Geoffrey"},{"family":"Breen","given":"Sibilah"},{"family":"Kilkenny","given":"Monique F"},{"family":"Cadilhac","given":"Dominique A"}],"issued":{"date-parts":[["2024",5,1]]}}}],"schema":"https://github.com/citation-style-language/schema/raw/master/csl-citation.json"} </w:instrText>
      </w:r>
      <w:r>
        <w:fldChar w:fldCharType="separate"/>
      </w:r>
      <w:r w:rsidRPr="00B96986">
        <w:t>(45)</w:t>
      </w:r>
      <w:r>
        <w:fldChar w:fldCharType="end"/>
      </w:r>
      <w:r>
        <w:t xml:space="preserve"> was established in 2015 as a single source of integrated stroke data for Australia. The tool enables different data collection programs including the Stroke Foundation Audit program </w:t>
      </w:r>
      <w:r>
        <w:fldChar w:fldCharType="begin"/>
      </w:r>
      <w:r>
        <w:instrText xml:space="preserve"> ADDIN ZOTERO_ITEM CSL_CITATION {"citationID":"UooKIbLL","properties":{"formattedCitation":"(46)","plainCitation":"(46)","noteIndex":0},"citationItems":[{"id":5432,"uris":["http://zotero.org/users/local/2yXEWl3v/items/PJRV32HE"],"itemData":{"id":5432,"type":"article-journal","abstract":"National data measuring compliance with stroke clinical guidelines were unavailable in Australia until 2007. The inaugural National Stroke Audit was established to monitor the quality of clinical practices in acute stroke management. To assess adherence to recommended care known to optimize health outcomes for people after experiencing acute stroke. Public hospitals managing people with acute stroke conducted a retrospective clinical audit of up to 40 cases admitted between October 1, 2006 and March 31, 2007. Eighty-nine hospitals contributed clinical audit data on 2,724 people with acute stroke. Discrepancies between recommendations and clinical practice were evident. Half the patients audited were treated in a stroke unit. Often multidisciplinary interventions did not occur within two days, as recommended (46%–75%). Few (3%) patients with ischemic stroke received thrombolysis. Secondary prevention on discharge was inadequate: a quarter did not receive antihypertensives, a third did not receive lipid-lowering medication, and two-thirds did not receive lifestyle advice. Adherence to discharge planning processes was poor (11%–53%). The audit has provided insights into the performance of the Australian health system on providing acute stroke care. These findings provide an opportunity to develop action plans for improving clinical practice and to monitor temporal progress.","container-title":"Clinical Audit","DOI":"10.2147/CA.S9435","ISSN":"null","note":"publisher: Dove Medical Press\n_eprint: https://www.tandfonline.com/doi/pdf/10.2147/CA.S9435","page":"25-31","source":"Taylor and Francis+NEJM","title":"National Stroke Audit: The Australian experience","title-short":"National Stroke Audit","volume":"2","author":[{"family":"Harris","given":"Dawn"},{"family":"Cadilhac","given":"Dominique A"},{"family":"Hankey","given":"Graeme J"},{"family":"Hillier","given":"Susan"},{"family":"Kilkenny","given":"Monique"},{"family":"Lalor","given":"Erin"}],"issued":{"date-parts":[["2010",4,27]]}}}],"schema":"https://github.com/citation-style-language/schema/raw/master/csl-citation.json"} </w:instrText>
      </w:r>
      <w:r>
        <w:fldChar w:fldCharType="separate"/>
      </w:r>
      <w:r w:rsidRPr="00B96986">
        <w:t>(46)</w:t>
      </w:r>
      <w:r>
        <w:fldChar w:fldCharType="end"/>
      </w:r>
      <w:r>
        <w:t xml:space="preserve"> and the Australian Stroke Clinical Registry (</w:t>
      </w:r>
      <w:proofErr w:type="spellStart"/>
      <w:r>
        <w:t>AuSCR</w:t>
      </w:r>
      <w:proofErr w:type="spellEnd"/>
      <w:r>
        <w:t xml:space="preserve">) which collects patient level clinical care and patient reported outcome measures to be collected </w:t>
      </w:r>
      <w:r>
        <w:fldChar w:fldCharType="begin"/>
      </w:r>
      <w:r>
        <w:instrText xml:space="preserve"> ADDIN ZOTERO_ITEM CSL_CITATION {"citationID":"4zK0El33","properties":{"formattedCitation":"(60)","plainCitation":"(60)","noteIndex":0},"citationItems":[{"id":5537,"uris":["http://zotero.org/users/local/2yXEWl3v/items/DECZNSDF"],"itemData":{"id":5537,"type":"report","number":"15","page":"72","publisher":"he Florey Institute of Neuroscience and Mental Health","title":"The Australian Stroke Clinical Registry Annual Report 2022","URL":"https://doi.org/10.26188/24790896.v2","author":[{"family":"Cadilhac","given":"DA"},{"family":"Dalli","given":"LL"},{"family":"Morrison","given":"J"},{"family":"Paice","given":"K"},{"family":"Carter","given":"H"},{"family":"Campbell","given":"BCV"},{"family":"Cloud","given":"GC"},{"family":"Kilkenny","given":"MF"},{"family":"Faux","given":"S"},{"family":"Hill","given":"K"},{"family":"Donnan","given":"GA"},{"family":"Grimley","given":"R"},{"family":"Lannin","given":"NA"},{"family":"Stojanovski","given":"B"},{"family":"Cowans","given":"S"},{"family":"Middleton","given":"S"},{"family":"Dewey","given":"H"}],"issued":{"date-parts":[["2023",12]]}}}],"schema":"https://github.com/citation-style-language/schema/raw/master/csl-citation.json"} </w:instrText>
      </w:r>
      <w:r>
        <w:fldChar w:fldCharType="separate"/>
      </w:r>
      <w:r w:rsidRPr="00B96986">
        <w:t>(60)</w:t>
      </w:r>
      <w:r>
        <w:fldChar w:fldCharType="end"/>
      </w:r>
      <w:r>
        <w:t>.</w:t>
      </w:r>
    </w:p>
    <w:p w14:paraId="0AF092E8" w14:textId="77777777" w:rsidR="002D4E15" w:rsidRDefault="00482DA4" w:rsidP="002D4E15">
      <w:pPr>
        <w:pStyle w:val="Heading4"/>
      </w:pPr>
      <w:r>
        <w:t>Benchmarking</w:t>
      </w:r>
    </w:p>
    <w:p w14:paraId="4A407398" w14:textId="77777777" w:rsidR="00482DA4" w:rsidRPr="008551C2" w:rsidRDefault="002D4E15" w:rsidP="00482DA4">
      <w:proofErr w:type="spellStart"/>
      <w:r>
        <w:t>AuSDAT</w:t>
      </w:r>
      <w:proofErr w:type="spellEnd"/>
      <w:r>
        <w:t xml:space="preserve"> also allows hospitals to collect and monitor data against national level </w:t>
      </w:r>
      <w:sdt>
        <w:sdtPr>
          <w:tag w:val="goog_rdk_22"/>
          <w:id w:val="-1609508040"/>
        </w:sdtPr>
        <w:sdtContent/>
      </w:sdt>
      <w:r>
        <w:t xml:space="preserve">benchmarks. Tailored reports are provided back to participating hospital services (60), whilst the </w:t>
      </w:r>
      <w:proofErr w:type="spellStart"/>
      <w:r>
        <w:t>AuSCR</w:t>
      </w:r>
      <w:proofErr w:type="spellEnd"/>
      <w:r>
        <w:t xml:space="preserve"> allows on-demand access to live interactive dashboards with both peer and national level benchmarks </w:t>
      </w:r>
      <w:r>
        <w:fldChar w:fldCharType="begin"/>
      </w:r>
      <w:r>
        <w:instrText xml:space="preserve"> ADDIN ZOTERO_ITEM CSL_CITATION {"citationID":"FbHUt9DT","properties":{"formattedCitation":"(60)","plainCitation":"(60)","noteIndex":0},"citationItems":[{"id":5537,"uris":["http://zotero.org/users/local/2yXEWl3v/items/DECZNSDF"],"itemData":{"id":5537,"type":"report","number":"15","page":"72","publisher":"he Florey Institute of Neuroscience and Mental Health","title":"The Australian Stroke Clinical Registry Annual Report 2022","URL":"https://doi.org/10.26188/24790896.v2","author":[{"family":"Cadilhac","given":"DA"},{"family":"Dalli","given":"LL"},{"family":"Morrison","given":"J"},{"family":"Paice","given":"K"},{"family":"Carter","given":"H"},{"family":"Campbell","given":"BCV"},{"family":"Cloud","given":"GC"},{"family":"Kilkenny","given":"MF"},{"family":"Faux","given":"S"},{"family":"Hill","given":"K"},{"family":"Donnan","given":"GA"},{"family":"Grimley","given":"R"},{"family":"Lannin","given":"NA"},{"family":"Stojanovski","given":"B"},{"family":"Cowans","given":"S"},{"family":"Middleton","given":"S"},{"family":"Dewey","given":"H"}],"issued":{"date-parts":[["2023",12]]}}}],"schema":"https://github.com/citation-style-language/schema/raw/master/csl-citation.json"} </w:instrText>
      </w:r>
      <w:r>
        <w:fldChar w:fldCharType="separate"/>
      </w:r>
      <w:r w:rsidRPr="00B96986">
        <w:t>(60)</w:t>
      </w:r>
      <w:r>
        <w:fldChar w:fldCharType="end"/>
      </w:r>
      <w:r>
        <w:t xml:space="preserve"> </w:t>
      </w:r>
    </w:p>
    <w:p w14:paraId="259F7998" w14:textId="77777777" w:rsidR="00482DA4" w:rsidRDefault="00482DA4" w:rsidP="00482DA4">
      <w:pPr>
        <w:pStyle w:val="Heading4"/>
      </w:pPr>
      <w:r>
        <w:t>Implementation</w:t>
      </w:r>
    </w:p>
    <w:p w14:paraId="72087ADB" w14:textId="77777777" w:rsidR="002D4E15" w:rsidRDefault="002D4E15" w:rsidP="002D4E15"/>
    <w:p w14:paraId="4A5E1E11" w14:textId="77777777" w:rsidR="00482DA4" w:rsidRPr="008551C2" w:rsidRDefault="002D4E15" w:rsidP="00482DA4">
      <w:r>
        <w:t xml:space="preserve">There has been demonstrated use of evidence-based implementation strategies and quality improvement methodologies to achieve behaviour change, for example to close evidence-practice gaps </w:t>
      </w:r>
      <w:sdt>
        <w:sdtPr>
          <w:tag w:val="goog_rdk_24"/>
          <w:id w:val="-2078813200"/>
        </w:sdtPr>
        <w:sdtContent/>
      </w:sdt>
      <w:r>
        <w:fldChar w:fldCharType="begin"/>
      </w:r>
      <w:r>
        <w:instrText xml:space="preserve"> ADDIN ZOTERO_ITEM CSL_CITATION {"citationID":"w57i4XoT","properties":{"formattedCitation":"(61)","plainCitation":"(61)","noteIndex":0},"citationItems":[{"id":5395,"uris":["http://zotero.org/users/local/2yXEWl3v/items/TDEXQE7K"],"itemData":{"id":5395,"type":"article-journal","abstract":"Background and Purpose—\nHospital uptake of evidence-based stroke care is variable. We aimed to determine the impact of a multicomponent program involving financial incentives and quality improvement interventions, on stroke care processes.\nMethods—\nA prospective study of interventions to improve clinical care quality indicators at 19 hospitals in Queensland, Australia, during 2010 to 2015, compared with historical controls and 23 other Australian hospitals. After baseline routine audit and feedback (control phase, 30 months), interventions involving financial incentives (21 months) and then addition of externally facilitated quality improvement workshops with action plan development (9 months) were implemented. Postintervention phase was 13 months. Data were obtained for the analysis from a previous continuous audit in Queensland and subsequently the Australian Stroke Clinical Registry. Primary outcome: change in median composite score for adherence to ≤8 indicators. Secondary outcomes: change in adherence to self-selected indicators addressed in action plans and 4 national indicators compared with other Australian hospitals. Multivariable analyses with adjustment for clustered data.\nResults—\nThere were 17 502 patients from the intervention sites (median age, 74 years; 46% women) and 20 484 patients from other Australian hospitals. Patient characteristics were similar between groups. There was an 18% improvement in the primary outcome across the study periods (95% CI, 12%–24%). The largest improvement was following introduction of financial incentives (14%; 95% CI, 8%–20%), while indicators addressed in action plans provided an 8% improvement (95% CI, 1%–17%). The national score (4 indicators) improved by 17% (95% CI, 13%–20%) versus 0% change in other Australian hospitals (95% CI, −0.03 to 0.03). Access to stroke units improved more in Queensland than in other Australian hospitals (P&lt;0.001).\nConclusions—\nThe quality improvement interventions significantly improved clinical practice. The findings were primarily driven by financial incentives, but were also contributed to by the externally facilitated, quality improvement workshops. Assessment in other regions is warranted.","container-title":"Stroke","DOI":"10.1161/STROKEAHA.118.023075","issue":"6","note":"publisher: American Heart Association","page":"1525-1530","source":"ahajournals.org (Atypon)","title":"Multicenter, Prospective, Controlled, Before-and-After, Quality Improvement Study (Stroke123) of Acute Stroke Care","volume":"50","author":[{"family":"Cadilhac","given":"Dominique A."},{"family":"Grimley","given":"Rohan"},{"family":"Kilkenny","given":"Monique F."},{"family":"Andrew","given":"Nadine E."},{"family":"Lannin","given":"Natasha A."},{"family":"Hill","given":"Kelvin"},{"family":"Grabsch","given":"Brenda"},{"family":"Levi","given":"Christopher R."},{"family":"Thrift","given":"Amanda G."},{"family":"Faux","given":"Steven G."},{"family":"Wakefield","given":"John"},{"family":"Cadigan","given":"Greg"},{"family":"Donnan","given":"Geoffrey A."},{"family":"Middleton","given":"Sandy"},{"family":"Anderson","given":"Craig S."},{"literal":"on behalf of the Stroke123 Investigators and AuSCR Consortium"}],"issued":{"date-parts":[["2019",6]]}}}],"schema":"https://github.com/citation-style-language/schema/raw/master/csl-citation.json"} </w:instrText>
      </w:r>
      <w:r>
        <w:fldChar w:fldCharType="separate"/>
      </w:r>
      <w:r w:rsidRPr="00B96986">
        <w:t>(61)</w:t>
      </w:r>
      <w:r>
        <w:fldChar w:fldCharType="end"/>
      </w:r>
      <w:r>
        <w:t xml:space="preserve">.  Quality improvement programs as interventions have been codesigned and underpinned by theory driven implementation frameworks </w:t>
      </w:r>
      <w:r>
        <w:fldChar w:fldCharType="begin"/>
      </w:r>
      <w:r>
        <w:instrText xml:space="preserve"> ADDIN ZOTERO_ITEM CSL_CITATION {"citationID":"c06zURQ8","properties":{"formattedCitation":"(62\\uc0\\u8211{}64)","plainCitation":"(62–64)","noteIndex":0},"citationItems":[{"id":5538,"uris":["http://zotero.org/users/local/2yXEWl3v/items/RMAR2TV6"],"itemData":{"id":5538,"type":"article-journal","abstract":"OBJECTIVE: Provision of a discharge care plan and prevention therapies is often suboptimal. Our objective was to design and pilot test an interdisciplinary, organisational intervention to improve discharge care using stroke as the case study using a mixed-methods, controlled before-after observational study design.\nSETTING: Acute care public hospitals in Queensland, Australia (n=15). The 15 hospitals were ranked against a benchmark based on a composite outcome of three discharge care processes. Clinicians from a 'top-ranked' hospital participated in a focus group to elicit their success factors. Two pilot hospitals then participated in the organisational intervention that was designed with experts and consumers.\nPARTICIPANTS: Hospital clinicians involved in discharge care for stroke and patients admitted with acute stroke or transient ischaemic attack.\nINTERVENTION: A four-stage, multifaceted organisational intervention that included data reviews, education and facilitated action planning.\nPRIMARY AND SECONDARY OUTCOME MEASURES: Three discharge processes collected in Queensland hospitals within the Australian Stroke Clinical Registry were used to select study hospitals: (1) discharge care plan; (2) antihypertensive medication prescription and (3) antiplatelet medication prescription (ischaemic events only). Primary measure: composite outcome. Secondary measures: individual adherence changes for each discharge process; sensitivity analyses. The performance outcomes were compared 3 months before the intervention (preintervention), 3 months postintervention and at 12 months (sustainability).\nRESULTS: Data from 1289 episodes of care from the two pilot hospitals were analysed. Improvements from preintervention adherence were: antiplatelet therapy (88%vs96%, p=0.02); antihypertensive prescription (61%vs79%, p&lt;0.001); discharge planning (72%vs94%, p&lt;0.001); composite outcome (73%vs89%, p&lt;0.001). There was an insignificant decay effect over the 12-month sustainability period (composite outcome: 89% postintervention vs 85% sustainability period, p=0.08).\nCONCLUSION: Discharge care in hospitals may be effectively improved and sustained through a staged and peer-informed, organisational intervention. The intervention warrants further application and trialling on a larger scale.","container-title":"BMJ open","DOI":"10.1136/bmjopen-2017-016010","ISSN":"2044-6055","issue":"8","journalAbbreviation":"BMJ Open","language":"eng","note":"PMID: 28780550\nPMCID: PMC5629649","page":"e016010","source":"PubMed","title":"Improving discharge care: the potential of a new organisational intervention to improve discharge after hospitalisation for acute stroke, a controlled before-after pilot study","title-short":"Improving discharge care","volume":"7","author":[{"family":"Cadilhac","given":"Dominique A."},{"family":"Andrew","given":"Nadine E."},{"family":"Stroil Salama","given":"Enna"},{"family":"Hill","given":"Kelvin"},{"family":"Middleton","given":"Sandy"},{"family":"Horton","given":"Eleanor"},{"family":"Meade","given":"Ian"},{"family":"Kuhle","given":"Sarah"},{"family":"Nelson","given":"Mark R."},{"family":"Grimley","given":"Rohan"},{"literal":"Australian Stroke Clinical Registry Consortium"}],"issued":{"date-parts":[["2017",8,4]]}}},{"id":5541,"uris":["http://zotero.org/users/local/2yXEWl3v/items/4N46P7KD"],"itemData":{"id":5541,"type":"article-journal","abstract":"Implementing new practices requires changes in the behaviour of relevant actors, and this is facilitated by understanding of the determinants of current and desired behaviours. The Theoretical Domains Framework (TDF) was developed by a collaboration of behavioural scientists and implementation researchers who identified theories relevant to implementation and grouped constructs from these theories into domains. The collaboration aimed to provide a comprehensive, theory-informed approach to identify determinants of behaviour. The first version was published in 2005, and a subsequent version following a validation exercise was published in 2012. This guide offers practical guidance for those who wish to apply the TDF to assess implementation problems and support intervention design. It presents a brief rationale for using a theoretical approach to investigate and address implementation problems, summarises the TDF and its development, and describes how to apply the TDF to achieve implementation objectives. Examples from the implementation research literature are presented to illustrate relevant methods and practical considerations.","container-title":"Implementation Science","DOI":"10.1186/s13012-017-0605-9","ISSN":"1748-5908","issue":"1","journalAbbreviation":"Implementation Science","page":"77","source":"BioMed Central","title":"A guide to using the Theoretical Domains Framework of behaviour change to investigate implementation problems","volume":"12","author":[{"family":"Atkins","given":"Lou"},{"family":"Francis","given":"Jill"},{"family":"Islam","given":"Rafat"},{"family":"O’Connor","given":"Denise"},{"family":"Patey","given":"Andrea"},{"family":"Ivers","given":"Noah"},{"family":"Foy","given":"Robbie"},{"family":"Duncan","given":"Eilidh M."},{"family":"Colquhoun","given":"Heather"},{"family":"Grimshaw","given":"Jeremy M."},{"family":"Lawton","given":"Rebecca"},{"family":"Michie","given":"Susan"}],"issued":{"date-parts":[["2017",6,21]]}}},{"id":33,"uris":["http://zotero.org/users/local/2yXEWl3v/items/BN9TG2JZ"],"itemData":{"id":33,"type":"article-journal","abstract":"The argument put forward in this paper is that successful implementation of research into practice is a function of the interplay of three core elements--the level and nature of the evidence, the context or environment into which the research is to be placed, and the method or way in which the process is facilitated. It also proposes that because current research is inconclusive as to which of these elements is most important in successful implementation they all should have equal standing. This is contrary to the often implicit assumptions currently being generated within the clinical effectiveness agenda where the level and rigour of the evidence seems to be the most important factor for consideration. The paper offers a conceptual framework that considers this imbalance, showing how it might work in clarifying some of the theoretical positions and as a checklist for staff to assess what they need to do to successfully implement research into practice.","container-title":"Quality in Health Care","DOI":"10.1136/qshc.7.3.149","issue":"3","page":"149","title":"Enabling the implementation of evidence based practice: a conceptual framework","volume":"7","author":[{"family":"Kitson","given":"A."},{"family":"Harvey","given":"G."},{"family":"McCormack","given":"B."}],"issued":{"date-parts":[["1998"]]}}}],"schema":"https://github.com/citation-style-language/schema/raw/master/csl-citation.json"} </w:instrText>
      </w:r>
      <w:r>
        <w:fldChar w:fldCharType="separate"/>
      </w:r>
      <w:r w:rsidRPr="00B96986">
        <w:rPr>
          <w:szCs w:val="24"/>
        </w:rPr>
        <w:t>(62–64)</w:t>
      </w:r>
      <w:r>
        <w:fldChar w:fldCharType="end"/>
      </w:r>
      <w:r>
        <w:t xml:space="preserve">. Further, accompanying delivery strategies have been literature informed </w:t>
      </w:r>
      <w:r>
        <w:fldChar w:fldCharType="begin"/>
      </w:r>
      <w:r>
        <w:instrText xml:space="preserve"> ADDIN ZOTERO_ITEM CSL_CITATION {"citationID":"Rgn7IgwU","properties":{"formattedCitation":"(20,63)","plainCitation":"(20,63)","noteIndex":0},"citationItems":[{"id":5547,"uris":["http://zotero.org/users/local/2yXEWl3v/items/2YDEQDBB"],"itemData":{"id":5547,"type":"article-journal","abstract":"BACKGROUND: CONSORT guidelines call for precise reporting of behavior change interventions: we need rigorous methods of characterizing active content of interventions with precision and specificity.\nOBJECTIVES: The objective of this study is to develop an extensive, consensually agreed hierarchically structured taxonomy of techniques [behavior change techniques (BCTs)] used in behavior change interventions.\nMETHODS: In a Delphi-type exercise, 14 experts rated labels and definitions of 124 BCTs from six published classification systems. Another 18 experts grouped BCTs according to similarity of active ingredients in an open-sort task. Inter-rater agreement amongst six researchers coding 85 intervention descriptions by BCTs was assessed.\nRESULTS: This resulted in 93 BCTs clustered into 16 groups. Of the 26 BCTs occurring at least five times, 23 had adjusted kappas of 0.60 or above.\nCONCLUSIONS: \"BCT taxonomy v1,\" an extensive taxonomy of 93 consensually agreed, distinct BCTs, offers a step change as a method for specifying interventions, but we anticipate further development and evaluation based on international, interdisciplinary consensus.","container-title":"Annals of Behavioral Medicine: A Publication of the Society of Behavioral Medicine","DOI":"10.1007/s12160-013-9486-6","ISSN":"1532-4796","issue":"1","journalAbbreviation":"Ann Behav Med","language":"eng","note":"PMID: 23512568","page":"81-95","source":"PubMed","title":"The behavior change technique taxonomy (v1) of 93 hierarchically clustered techniques: building an international consensus for the reporting of behavior change interventions","title-short":"The behavior change technique taxonomy (v1) of 93 hierarchically clustered techniques","volume":"46","author":[{"family":"Michie","given":"Susan"},{"family":"Richardson","given":"Michelle"},{"family":"Johnston","given":"Marie"},{"family":"Abraham","given":"Charles"},{"family":"Francis","given":"Jill"},{"family":"Hardeman","given":"Wendy"},{"family":"Eccles","given":"Martin P."},{"family":"Cane","given":"James"},{"family":"Wood","given":"Caroline E."}],"issued":{"date-parts":[["2013",8]]}}},{"id":5541,"uris":["http://zotero.org/users/local/2yXEWl3v/items/4N46P7KD"],"itemData":{"id":5541,"type":"article-journal","abstract":"Implementing new practices requires changes in the behaviour of relevant actors, and this is facilitated by understanding of the determinants of current and desired behaviours. The Theoretical Domains Framework (TDF) was developed by a collaboration of behavioural scientists and implementation researchers who identified theories relevant to implementation and grouped constructs from these theories into domains. The collaboration aimed to provide a comprehensive, theory-informed approach to identify determinants of behaviour. The first version was published in 2005, and a subsequent version following a validation exercise was published in 2012. This guide offers practical guidance for those who wish to apply the TDF to assess implementation problems and support intervention design. It presents a brief rationale for using a theoretical approach to investigate and address implementation problems, summarises the TDF and its development, and describes how to apply the TDF to achieve implementation objectives. Examples from the implementation research literature are presented to illustrate relevant methods and practical considerations.","container-title":"Implementation Science","DOI":"10.1186/s13012-017-0605-9","ISSN":"1748-5908","issue":"1","journalAbbreviation":"Implementation Science","page":"77","source":"BioMed Central","title":"A guide to using the Theoretical Domains Framework of behaviour change to investigate implementation problems","volume":"12","author":[{"family":"Atkins","given":"Lou"},{"family":"Francis","given":"Jill"},{"family":"Islam","given":"Rafat"},{"family":"O’Connor","given":"Denise"},{"family":"Patey","given":"Andrea"},{"family":"Ivers","given":"Noah"},{"family":"Foy","given":"Robbie"},{"family":"Duncan","given":"Eilidh M."},{"family":"Colquhoun","given":"Heather"},{"family":"Grimshaw","given":"Jeremy M."},{"family":"Lawton","given":"Rebecca"},{"family":"Michie","given":"Susan"}],"issued":{"date-parts":[["2017",6,21]]}},"label":"page"}],"schema":"https://github.com/citation-style-language/schema/raw/master/csl-citation.json"} </w:instrText>
      </w:r>
      <w:r>
        <w:fldChar w:fldCharType="separate"/>
      </w:r>
      <w:r w:rsidRPr="00B96986">
        <w:t>(20,63)</w:t>
      </w:r>
      <w:r>
        <w:fldChar w:fldCharType="end"/>
      </w:r>
      <w:r>
        <w:t>. Changes in practice as a result have been routinely captured and reported through existing data infrastructure (</w:t>
      </w:r>
      <w:proofErr w:type="spellStart"/>
      <w:r>
        <w:t>AuSCR</w:t>
      </w:r>
      <w:proofErr w:type="spellEnd"/>
      <w:r>
        <w:t xml:space="preserve">) </w:t>
      </w:r>
      <w:r>
        <w:fldChar w:fldCharType="begin"/>
      </w:r>
      <w:r>
        <w:instrText xml:space="preserve"> ADDIN ZOTERO_ITEM CSL_CITATION {"citationID":"Jt2EP3kp","properties":{"formattedCitation":"(62)","plainCitation":"(62)","noteIndex":0},"citationItems":[{"id":5538,"uris":["http://zotero.org/users/local/2yXEWl3v/items/RMAR2TV6"],"itemData":{"id":5538,"type":"article-journal","abstract":"OBJECTIVE: Provision of a discharge care plan and prevention therapies is often suboptimal. Our objective was to design and pilot test an interdisciplinary, organisational intervention to improve discharge care using stroke as the case study using a mixed-methods, controlled before-after observational study design.\nSETTING: Acute care public hospitals in Queensland, Australia (n=15). The 15 hospitals were ranked against a benchmark based on a composite outcome of three discharge care processes. Clinicians from a 'top-ranked' hospital participated in a focus group to elicit their success factors. Two pilot hospitals then participated in the organisational intervention that was designed with experts and consumers.\nPARTICIPANTS: Hospital clinicians involved in discharge care for stroke and patients admitted with acute stroke or transient ischaemic attack.\nINTERVENTION: A four-stage, multifaceted organisational intervention that included data reviews, education and facilitated action planning.\nPRIMARY AND SECONDARY OUTCOME MEASURES: Three discharge processes collected in Queensland hospitals within the Australian Stroke Clinical Registry were used to select study hospitals: (1) discharge care plan; (2) antihypertensive medication prescription and (3) antiplatelet medication prescription (ischaemic events only). Primary measure: composite outcome. Secondary measures: individual adherence changes for each discharge process; sensitivity analyses. The performance outcomes were compared 3 months before the intervention (preintervention), 3 months postintervention and at 12 months (sustainability).\nRESULTS: Data from 1289 episodes of care from the two pilot hospitals were analysed. Improvements from preintervention adherence were: antiplatelet therapy (88%vs96%, p=0.02); antihypertensive prescription (61%vs79%, p&lt;0.001); discharge planning (72%vs94%, p&lt;0.001); composite outcome (73%vs89%, p&lt;0.001). There was an insignificant decay effect over the 12-month sustainability period (composite outcome: 89% postintervention vs 85% sustainability period, p=0.08).\nCONCLUSION: Discharge care in hospitals may be effectively improved and sustained through a staged and peer-informed, organisational intervention. The intervention warrants further application and trialling on a larger scale.","container-title":"BMJ open","DOI":"10.1136/bmjopen-2017-016010","ISSN":"2044-6055","issue":"8","journalAbbreviation":"BMJ Open","language":"eng","note":"PMID: 28780550\nPMCID: PMC5629649","page":"e016010","source":"PubMed","title":"Improving discharge care: the potential of a new organisational intervention to improve discharge after hospitalisation for acute stroke, a controlled before-after pilot study","title-short":"Improving discharge care","volume":"7","author":[{"family":"Cadilhac","given":"Dominique A."},{"family":"Andrew","given":"Nadine E."},{"family":"Stroil Salama","given":"Enna"},{"family":"Hill","given":"Kelvin"},{"family":"Middleton","given":"Sandy"},{"family":"Horton","given":"Eleanor"},{"family":"Meade","given":"Ian"},{"family":"Kuhle","given":"Sarah"},{"family":"Nelson","given":"Mark R."},{"family":"Grimley","given":"Rohan"},{"literal":"Australian Stroke Clinical Registry Consortium"}],"issued":{"date-parts":[["2017",8,4]]}}}],"schema":"https://github.com/citation-style-language/schema/raw/master/csl-citation.json"} </w:instrText>
      </w:r>
      <w:r>
        <w:fldChar w:fldCharType="separate"/>
      </w:r>
      <w:r w:rsidRPr="00B96986">
        <w:t>(62)</w:t>
      </w:r>
      <w:r>
        <w:fldChar w:fldCharType="end"/>
      </w:r>
    </w:p>
    <w:p w14:paraId="17B44B6B" w14:textId="77777777" w:rsidR="002D4E15" w:rsidRDefault="00482DA4" w:rsidP="002D4E15">
      <w:pPr>
        <w:pStyle w:val="Heading4"/>
      </w:pPr>
      <w:r>
        <w:t>Healthcare Improvement</w:t>
      </w:r>
    </w:p>
    <w:p w14:paraId="7ABE0828" w14:textId="77777777" w:rsidR="002D4E15" w:rsidRPr="002D4E15" w:rsidRDefault="002D4E15" w:rsidP="002D4E15"/>
    <w:p w14:paraId="674BE0E3" w14:textId="77777777" w:rsidR="002D4E15" w:rsidRPr="002D4E15" w:rsidRDefault="002D4E15" w:rsidP="002D4E15">
      <w:r>
        <w:t xml:space="preserve">Since 2007, when audit and feedback programs began as part of the Australian Stroke LHS program, there have been significant improvements in service organisation between 1999 and 2019 for access to stroke units, thrombolysis services, and rapid assessment or management for patients with transient ischaemic attack. Analyses of patient-level audits for 2007 to 2019 indicated that the odds of receiving care processes per audit cycle to have significantly increased for thrombolysis, stroke unit access, risk factor advice, and carer training. In parallel, the age-standardised rate of stroke events has reduced by 27% between 2001 and 2020 </w:t>
      </w:r>
      <w:r>
        <w:fldChar w:fldCharType="begin"/>
      </w:r>
      <w:r>
        <w:instrText xml:space="preserve"> ADDIN ZOTERO_ITEM CSL_CITATION {"citationID":"5C021GzJ","properties":{"formattedCitation":"(65)","plainCitation":"(65)","noteIndex":0},"citationItems":[{"id":5400,"uris":["http://zotero.org/users/local/2yXEWl3v/items/EXSZJHZE"],"itemData":{"id":5400,"type":"webpage","title":"Heart, stroke and vascular disease: Australian facts, About - Australian Institute of Health and Welfare","URL":"https://www.aihw.gov.au/reports/heart-stroke-vascular-diseases/hsvd-facts/contents/about","accessed":{"date-parts":[["2024",7,1]]}}}],"schema":"https://github.com/citation-style-language/schema/raw/master/csl-citation.json"} </w:instrText>
      </w:r>
      <w:r>
        <w:fldChar w:fldCharType="separate"/>
      </w:r>
      <w:r w:rsidRPr="00B96986">
        <w:t>(65)</w:t>
      </w:r>
      <w:r>
        <w:fldChar w:fldCharType="end"/>
      </w:r>
      <w:r>
        <w:t xml:space="preserve">. Further, mortality rates due to stroke has reduced from 37.4 deaths per 100,000 men in 2007 in to 23.8 deaths per 100,000 men in 2021 (67). Likewise, in women, mortality rates have reduced from 36.1 deaths per 100,000 women in 2007 to 23.9 deaths per 100,000 women in 2021 </w:t>
      </w:r>
      <w:r>
        <w:fldChar w:fldCharType="begin"/>
      </w:r>
      <w:r>
        <w:instrText xml:space="preserve"> ADDIN ZOTERO_ITEM CSL_CITATION {"citationID":"wGAAwY5t","properties":{"formattedCitation":"(65)","plainCitation":"(65)","noteIndex":0},"citationItems":[{"id":5400,"uris":["http://zotero.org/users/local/2yXEWl3v/items/EXSZJHZE"],"itemData":{"id":5400,"type":"webpage","title":"Heart, stroke and vascular disease: Australian facts, About - Australian Institute of Health and Welfare","URL":"https://www.aihw.gov.au/reports/heart-stroke-vascular-diseases/hsvd-facts/contents/about","accessed":{"date-parts":[["2024",7,1]]}}}],"schema":"https://github.com/citation-style-language/schema/raw/master/csl-citation.json"} </w:instrText>
      </w:r>
      <w:r>
        <w:fldChar w:fldCharType="separate"/>
      </w:r>
      <w:r w:rsidRPr="00B96986">
        <w:t>(65)</w:t>
      </w:r>
      <w:r>
        <w:fldChar w:fldCharType="end"/>
      </w:r>
      <w:r>
        <w:t xml:space="preserve">. As such there has been marked improvements in stroke related implementation, health system, and patient health outcomes. However, given the relatively recent nature of the implementation of tools and process that are related to LHS principles, such as the transition of the Stroke Guidelines to a living format in 2018 </w:t>
      </w:r>
      <w:r>
        <w:fldChar w:fldCharType="begin"/>
      </w:r>
      <w:r>
        <w:instrText xml:space="preserve"> ADDIN ZOTERO_ITEM CSL_CITATION {"citationID":"yDXyZnl3","properties":{"formattedCitation":"(47)","plainCitation":"(47)","noteIndex":0},"citationItems":[{"id":5372,"uris":["http://zotero.org/users/local/2yXEWl3v/items/DMVGUI9P"],"itemData":{"id":5372,"type":"article-journal","container-title":"Medical Journal of Australia","ISSN":"0025-729X","issue":"10","journalAbbreviation":"Med. J. Aust.","source":"eMJA","title":"Living clinical guidelines for stroke: updates, challenges and opportunities","title-short":"Living clinical guidelines for stroke","URL":"https://www.mja.com.au/journal/2022/216/10/living-clinical-guidelines-stroke-updates-challenges-and-opportunities#6","volume":"216","author":[{"family":"English","given":"Coralie"},{"family":"Hill","given":"Kelvin"},{"family":"Cadilhac","given":"Dominique A."},{"family":"Hackett","given":"Maree L."},{"family":"Lannin","given":"Natasha A."},{"family":"Middleton","given":"Sandy"},{"family":"Ranta","given":"Annemarei"},{"family":"Stocks","given":"Nigel P."},{"family":"Davey","given":"Julie"},{"family":"Faux","given":"Steven G."},{"family":"Godecke","given":"Erin"},{"family":"Campbell","given":"Bruce CV"}],"accessed":{"date-parts":[["2024",7,1]]},"issued":{"date-parts":[["2022",5,16]]}}}],"schema":"https://github.com/citation-style-language/schema/raw/master/csl-citation.json"} </w:instrText>
      </w:r>
      <w:r>
        <w:fldChar w:fldCharType="separate"/>
      </w:r>
      <w:r w:rsidRPr="00B96986">
        <w:t>(47)</w:t>
      </w:r>
      <w:r>
        <w:fldChar w:fldCharType="end"/>
      </w:r>
      <w:r>
        <w:t>, evidence of the ongoing cycles of the LHS are still nascent, with direct implementation process outcomes and program evaluations from such efforts only to be realised in the coming decade.  As such a maturity level beyond Established could not be assigned.</w:t>
      </w:r>
    </w:p>
    <w:p w14:paraId="64FF5621" w14:textId="77777777" w:rsidR="00EA5667" w:rsidRDefault="00EA5667" w:rsidP="00EA5667"/>
    <w:p w14:paraId="32981EE2" w14:textId="77777777" w:rsidR="00EA5667" w:rsidRDefault="00EA5667" w:rsidP="00EA5667">
      <w:pPr>
        <w:pStyle w:val="Heading2"/>
        <w:rPr>
          <w:rFonts w:eastAsia="Times New Roman"/>
          <w:lang w:eastAsia="en-AU"/>
        </w:rPr>
      </w:pPr>
      <w:r>
        <w:rPr>
          <w:rFonts w:eastAsia="Times New Roman"/>
          <w:lang w:eastAsia="en-AU"/>
        </w:rPr>
        <w:lastRenderedPageBreak/>
        <w:t>Step 4:</w:t>
      </w:r>
    </w:p>
    <w:p w14:paraId="10E5975A" w14:textId="77777777" w:rsidR="00072D19" w:rsidRDefault="00EA5667" w:rsidP="00EA5667">
      <w:r>
        <w:t>On the following page is a blank repeat of the above. Remember to copy and paste in the blank one again, prior to completing at your next time point.</w:t>
      </w:r>
    </w:p>
    <w:p w14:paraId="52EC039A" w14:textId="77777777" w:rsidR="00072D19" w:rsidRDefault="00072D19" w:rsidP="00072D19">
      <w:r>
        <w:br w:type="page"/>
      </w:r>
    </w:p>
    <w:p w14:paraId="435315B8" w14:textId="77777777" w:rsidR="00072D19" w:rsidRPr="003151A7" w:rsidRDefault="00072D19" w:rsidP="00072D19">
      <w:pPr>
        <w:pStyle w:val="Heading2"/>
        <w:rPr>
          <w:color w:val="FF0000"/>
        </w:rPr>
      </w:pPr>
      <w:r w:rsidRPr="003151A7">
        <w:rPr>
          <w:color w:val="FF0000"/>
        </w:rPr>
        <w:lastRenderedPageBreak/>
        <w:t>THIS IS YOUR BLANK TEMPLATE</w:t>
      </w:r>
      <w:r>
        <w:rPr>
          <w:color w:val="FF0000"/>
        </w:rPr>
        <w:t xml:space="preserve"> FOR FUTURE USE – COPY AND PASTE THIS TO THE START OF THE DOCUMENT WHEN COMPLETING YOUR NEXT REVIEW</w:t>
      </w:r>
    </w:p>
    <w:p w14:paraId="65750776" w14:textId="77777777" w:rsidR="002D4E15" w:rsidRDefault="002D4E15" w:rsidP="00072D19">
      <w:pPr>
        <w:rPr>
          <w:b/>
        </w:rPr>
      </w:pPr>
    </w:p>
    <w:p w14:paraId="55AC2EFB" w14:textId="77777777" w:rsidR="00072D19" w:rsidRPr="003151A7" w:rsidRDefault="00072D19" w:rsidP="00072D19">
      <w:pPr>
        <w:rPr>
          <w:b/>
        </w:rPr>
      </w:pPr>
      <w:r w:rsidRPr="003151A7">
        <w:rPr>
          <w:b/>
        </w:rPr>
        <w:t xml:space="preserve">Date of evaluation: </w:t>
      </w:r>
    </w:p>
    <w:p w14:paraId="4993295A" w14:textId="77777777" w:rsidR="00072D19" w:rsidRDefault="00072D19" w:rsidP="00072D19">
      <w:r w:rsidRPr="003151A7">
        <w:rPr>
          <w:b/>
        </w:rPr>
        <w:t>Person completing the evaluation</w:t>
      </w:r>
      <w:r>
        <w:t>:</w:t>
      </w:r>
    </w:p>
    <w:p w14:paraId="2DA63731" w14:textId="77777777" w:rsidR="00072D19" w:rsidRPr="003151A7" w:rsidRDefault="00072D19" w:rsidP="00072D19">
      <w:pPr>
        <w:rPr>
          <w:b/>
        </w:rPr>
      </w:pPr>
      <w:r w:rsidRPr="003151A7">
        <w:rPr>
          <w:b/>
        </w:rPr>
        <w:t>Role:</w:t>
      </w:r>
    </w:p>
    <w:p w14:paraId="5CA00FF1" w14:textId="77777777" w:rsidR="00072D19" w:rsidRDefault="00072D19" w:rsidP="00072D19">
      <w:pPr>
        <w:pStyle w:val="Heading2"/>
      </w:pPr>
      <w:r>
        <w:t>Step 1:</w:t>
      </w:r>
    </w:p>
    <w:p w14:paraId="039072C9" w14:textId="77777777" w:rsidR="00072D19" w:rsidRDefault="00072D19" w:rsidP="00072D19">
      <w:r>
        <w:t>Complete your matrix rating. (Worksheet 1. Make sure that you alter the cells on row 2, column H, I, J, K, L. This will ensure that the Legend on the spider graph is relevant to your study.)</w:t>
      </w:r>
    </w:p>
    <w:p w14:paraId="57904184" w14:textId="77777777" w:rsidR="00072D19" w:rsidRDefault="00072D19" w:rsidP="00072D19">
      <w:r>
        <w:t xml:space="preserve">Then copy and paste your spider graph (From the Summary Sheet) </w:t>
      </w:r>
      <w:r w:rsidRPr="00F301D3">
        <w:rPr>
          <w:b/>
        </w:rPr>
        <w:t>to replace the one below</w:t>
      </w:r>
      <w:r>
        <w:t>.</w:t>
      </w:r>
    </w:p>
    <w:p w14:paraId="542E3D25" w14:textId="77777777" w:rsidR="00072D19" w:rsidRDefault="00072D19" w:rsidP="00072D19">
      <w:r>
        <w:rPr>
          <w:noProof/>
        </w:rPr>
        <w:drawing>
          <wp:inline distT="0" distB="0" distL="0" distR="0" wp14:anchorId="1DAEB309" wp14:editId="52173084">
            <wp:extent cx="5822950" cy="3657600"/>
            <wp:effectExtent l="0" t="0" r="6350" b="0"/>
            <wp:docPr id="2" name="Chart 2">
              <a:extLst xmlns:a="http://schemas.openxmlformats.org/drawingml/2006/main">
                <a:ext uri="{FF2B5EF4-FFF2-40B4-BE49-F238E27FC236}">
                  <a16:creationId xmlns:a16="http://schemas.microsoft.com/office/drawing/2014/main" id="{BE1C30C0-B82A-496B-BC71-1206F2892D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CEC8644" w14:textId="77777777" w:rsidR="00072D19" w:rsidRDefault="00072D19" w:rsidP="00072D19">
      <w:r>
        <w:br w:type="page"/>
      </w:r>
    </w:p>
    <w:p w14:paraId="68E79FAA" w14:textId="77777777" w:rsidR="00072D19" w:rsidRDefault="00072D19" w:rsidP="00072D19">
      <w:pPr>
        <w:pStyle w:val="Heading2"/>
      </w:pPr>
      <w:r>
        <w:lastRenderedPageBreak/>
        <w:t>Step 2:</w:t>
      </w:r>
    </w:p>
    <w:p w14:paraId="18E5291B" w14:textId="77777777" w:rsidR="00072D19" w:rsidRDefault="00072D19" w:rsidP="00072D19">
      <w:r>
        <w:t>Now record which approach you used to evaluate each of the eight components.</w:t>
      </w:r>
    </w:p>
    <w:p w14:paraId="2A66BD50" w14:textId="77777777" w:rsidR="00072D19" w:rsidRDefault="00072D19" w:rsidP="00072D19">
      <w:r>
        <w:t>Place an x in the appropriate cell to indicate which approach you took (delete and re-enter the data in the table below as appropriate)</w:t>
      </w:r>
    </w:p>
    <w:p w14:paraId="42796AFF" w14:textId="77777777" w:rsidR="00072D19" w:rsidRDefault="00072D19" w:rsidP="00072D19">
      <w:pPr>
        <w:pStyle w:val="ListParagraph"/>
        <w:numPr>
          <w:ilvl w:val="0"/>
          <w:numId w:val="2"/>
        </w:numPr>
      </w:pPr>
      <w:r w:rsidRPr="00FE7F8A">
        <w:rPr>
          <w:u w:val="single"/>
        </w:rPr>
        <w:t>Instinctual</w:t>
      </w:r>
      <w:r w:rsidRPr="00FE7F8A">
        <w:t xml:space="preserve"> - This is a quick rating. Don't worry too much. Just fill in without reference to anything. Later steps will use a more evidence-based approach. This rating method will familiarise you with the process</w:t>
      </w:r>
    </w:p>
    <w:p w14:paraId="470A96AC" w14:textId="77777777" w:rsidR="00072D19" w:rsidRDefault="00072D19" w:rsidP="00072D19">
      <w:pPr>
        <w:pStyle w:val="ListParagraph"/>
        <w:numPr>
          <w:ilvl w:val="0"/>
          <w:numId w:val="2"/>
        </w:numPr>
      </w:pPr>
      <w:r w:rsidRPr="00FE7F8A">
        <w:rPr>
          <w:u w:val="single"/>
        </w:rPr>
        <w:t>Evidence-based with reference to local information/ data</w:t>
      </w:r>
      <w:r>
        <w:t xml:space="preserve"> - In this approach you use data and information that you have available. This may be surveys, monthly reports, emails. It can be any information that you can refer to that is relevant to your site/ project/ service</w:t>
      </w:r>
    </w:p>
    <w:p w14:paraId="7C431CBF" w14:textId="77777777" w:rsidR="00072D19" w:rsidRDefault="00072D19" w:rsidP="00072D19">
      <w:pPr>
        <w:pStyle w:val="ListParagraph"/>
        <w:numPr>
          <w:ilvl w:val="0"/>
          <w:numId w:val="2"/>
        </w:numPr>
      </w:pPr>
      <w:r w:rsidRPr="00FE7F8A">
        <w:rPr>
          <w:u w:val="single"/>
        </w:rPr>
        <w:t>Evidence based with use of evidence-based tools</w:t>
      </w:r>
      <w:r>
        <w:t xml:space="preserve"> (those provided in the matrix and any others you have used instead) - The tools/ links that are provided are those recommended by our Stakeholders. Choose an area and then refer to the tools. Choose one to start with and see if your approach is consistent with the provided evidence-based approach. Overtime you would plan to look at each of the 8 areas with this approach.</w:t>
      </w:r>
    </w:p>
    <w:p w14:paraId="35B2CA8A" w14:textId="77777777" w:rsidR="00072D19" w:rsidRDefault="00072D19" w:rsidP="00072D19">
      <w:pPr>
        <w:pStyle w:val="ListParagraph"/>
      </w:pPr>
    </w:p>
    <w:p w14:paraId="2710F36A" w14:textId="77777777" w:rsidR="00072D19" w:rsidRDefault="00072D19" w:rsidP="00072D19">
      <w:pPr>
        <w:pStyle w:val="ListParagraph"/>
        <w:ind w:left="360"/>
      </w:pPr>
      <w:r>
        <w:t>Then indicate how many components were listed in each column.</w:t>
      </w:r>
    </w:p>
    <w:p w14:paraId="5056F6D5" w14:textId="77777777" w:rsidR="00072D19" w:rsidRDefault="00072D19" w:rsidP="00072D19">
      <w:pPr>
        <w:pStyle w:val="ListParagraph"/>
        <w:ind w:left="360"/>
      </w:pPr>
      <w:r>
        <w:t>Add in any notes and or recommendations here.</w:t>
      </w:r>
    </w:p>
    <w:tbl>
      <w:tblPr>
        <w:tblStyle w:val="TableGrid"/>
        <w:tblW w:w="0" w:type="auto"/>
        <w:tblLook w:val="04A0" w:firstRow="1" w:lastRow="0" w:firstColumn="1" w:lastColumn="0" w:noHBand="0" w:noVBand="1"/>
      </w:tblPr>
      <w:tblGrid>
        <w:gridCol w:w="2770"/>
        <w:gridCol w:w="1794"/>
        <w:gridCol w:w="1484"/>
        <w:gridCol w:w="1484"/>
        <w:gridCol w:w="1484"/>
      </w:tblGrid>
      <w:tr w:rsidR="00072D19" w:rsidRPr="00F301D3" w14:paraId="7416CF02" w14:textId="77777777" w:rsidTr="00C83501">
        <w:trPr>
          <w:trHeight w:val="300"/>
        </w:trPr>
        <w:tc>
          <w:tcPr>
            <w:tcW w:w="15380" w:type="dxa"/>
            <w:gridSpan w:val="5"/>
            <w:noWrap/>
            <w:hideMark/>
          </w:tcPr>
          <w:p w14:paraId="3348349A" w14:textId="77777777" w:rsidR="00072D19" w:rsidRPr="00F301D3" w:rsidRDefault="00072D19" w:rsidP="00C83501">
            <w:pPr>
              <w:rPr>
                <w:b/>
                <w:bCs/>
                <w:sz w:val="18"/>
                <w:szCs w:val="18"/>
              </w:rPr>
            </w:pPr>
            <w:r w:rsidRPr="00F301D3">
              <w:rPr>
                <w:b/>
                <w:bCs/>
                <w:sz w:val="18"/>
                <w:szCs w:val="18"/>
              </w:rPr>
              <w:t>Evidence base</w:t>
            </w:r>
          </w:p>
        </w:tc>
      </w:tr>
      <w:tr w:rsidR="00072D19" w:rsidRPr="00F301D3" w14:paraId="728EE687" w14:textId="77777777" w:rsidTr="00C83501">
        <w:trPr>
          <w:trHeight w:val="910"/>
        </w:trPr>
        <w:tc>
          <w:tcPr>
            <w:tcW w:w="4820" w:type="dxa"/>
            <w:hideMark/>
          </w:tcPr>
          <w:p w14:paraId="2A10827A" w14:textId="77777777" w:rsidR="00072D19" w:rsidRPr="00F301D3" w:rsidRDefault="00072D19" w:rsidP="00C83501">
            <w:pPr>
              <w:rPr>
                <w:b/>
                <w:bCs/>
                <w:sz w:val="18"/>
                <w:szCs w:val="18"/>
              </w:rPr>
            </w:pPr>
            <w:r w:rsidRPr="00F301D3">
              <w:rPr>
                <w:b/>
                <w:bCs/>
                <w:sz w:val="18"/>
                <w:szCs w:val="18"/>
              </w:rPr>
              <w:t>Domain</w:t>
            </w:r>
          </w:p>
        </w:tc>
        <w:tc>
          <w:tcPr>
            <w:tcW w:w="3060" w:type="dxa"/>
            <w:hideMark/>
          </w:tcPr>
          <w:p w14:paraId="566A5ACF" w14:textId="77777777" w:rsidR="00072D19" w:rsidRPr="00F301D3" w:rsidRDefault="00072D19" w:rsidP="00C83501">
            <w:pPr>
              <w:rPr>
                <w:b/>
                <w:bCs/>
                <w:sz w:val="18"/>
                <w:szCs w:val="18"/>
              </w:rPr>
            </w:pPr>
            <w:r w:rsidRPr="00F301D3">
              <w:rPr>
                <w:b/>
                <w:bCs/>
                <w:sz w:val="18"/>
                <w:szCs w:val="18"/>
              </w:rPr>
              <w:t>Component</w:t>
            </w:r>
          </w:p>
        </w:tc>
        <w:tc>
          <w:tcPr>
            <w:tcW w:w="2500" w:type="dxa"/>
            <w:hideMark/>
          </w:tcPr>
          <w:p w14:paraId="492AA4E5" w14:textId="77777777" w:rsidR="00072D19" w:rsidRPr="00F301D3" w:rsidRDefault="00072D19" w:rsidP="00C83501">
            <w:pPr>
              <w:rPr>
                <w:b/>
                <w:bCs/>
                <w:sz w:val="18"/>
                <w:szCs w:val="18"/>
              </w:rPr>
            </w:pPr>
            <w:r w:rsidRPr="00F301D3">
              <w:rPr>
                <w:b/>
                <w:bCs/>
                <w:sz w:val="18"/>
                <w:szCs w:val="18"/>
              </w:rPr>
              <w:t>Instinctual</w:t>
            </w:r>
          </w:p>
        </w:tc>
        <w:tc>
          <w:tcPr>
            <w:tcW w:w="2500" w:type="dxa"/>
            <w:hideMark/>
          </w:tcPr>
          <w:p w14:paraId="0404BC0A" w14:textId="77777777" w:rsidR="00072D19" w:rsidRPr="00F301D3" w:rsidRDefault="00072D19" w:rsidP="00C83501">
            <w:pPr>
              <w:rPr>
                <w:b/>
                <w:bCs/>
                <w:sz w:val="18"/>
                <w:szCs w:val="18"/>
              </w:rPr>
            </w:pPr>
            <w:r w:rsidRPr="00F301D3">
              <w:rPr>
                <w:b/>
                <w:bCs/>
                <w:sz w:val="18"/>
                <w:szCs w:val="18"/>
              </w:rPr>
              <w:t xml:space="preserve">Evidence based </w:t>
            </w:r>
            <w:r w:rsidRPr="00BF25F3">
              <w:rPr>
                <w:b/>
                <w:bCs/>
                <w:sz w:val="18"/>
                <w:szCs w:val="18"/>
              </w:rPr>
              <w:t>with reference to local information/ data</w:t>
            </w:r>
          </w:p>
        </w:tc>
        <w:tc>
          <w:tcPr>
            <w:tcW w:w="2500" w:type="dxa"/>
            <w:hideMark/>
          </w:tcPr>
          <w:p w14:paraId="44AE6CC0" w14:textId="77777777" w:rsidR="00072D19" w:rsidRPr="00F301D3" w:rsidRDefault="00072D19" w:rsidP="00C83501">
            <w:pPr>
              <w:rPr>
                <w:b/>
                <w:bCs/>
                <w:sz w:val="18"/>
                <w:szCs w:val="18"/>
              </w:rPr>
            </w:pPr>
            <w:r w:rsidRPr="00F301D3">
              <w:rPr>
                <w:b/>
                <w:bCs/>
                <w:sz w:val="18"/>
                <w:szCs w:val="18"/>
              </w:rPr>
              <w:t xml:space="preserve">Evidence based with use of </w:t>
            </w:r>
            <w:r w:rsidRPr="00BF25F3">
              <w:rPr>
                <w:b/>
                <w:bCs/>
                <w:sz w:val="18"/>
                <w:szCs w:val="18"/>
              </w:rPr>
              <w:t xml:space="preserve">evidence-based </w:t>
            </w:r>
            <w:r w:rsidRPr="00F301D3">
              <w:rPr>
                <w:b/>
                <w:bCs/>
                <w:sz w:val="18"/>
                <w:szCs w:val="18"/>
              </w:rPr>
              <w:t>tools</w:t>
            </w:r>
          </w:p>
        </w:tc>
      </w:tr>
      <w:tr w:rsidR="00072D19" w:rsidRPr="00F301D3" w14:paraId="7B0C7AA2" w14:textId="77777777" w:rsidTr="00C83501">
        <w:trPr>
          <w:trHeight w:val="310"/>
        </w:trPr>
        <w:tc>
          <w:tcPr>
            <w:tcW w:w="4820" w:type="dxa"/>
            <w:hideMark/>
          </w:tcPr>
          <w:p w14:paraId="6F2EAEA5" w14:textId="77777777" w:rsidR="00072D19" w:rsidRPr="00F301D3" w:rsidRDefault="00072D19" w:rsidP="00C83501">
            <w:pPr>
              <w:rPr>
                <w:b/>
                <w:bCs/>
                <w:sz w:val="18"/>
                <w:szCs w:val="18"/>
              </w:rPr>
            </w:pPr>
            <w:r w:rsidRPr="00F301D3">
              <w:rPr>
                <w:b/>
                <w:bCs/>
                <w:sz w:val="18"/>
                <w:szCs w:val="18"/>
              </w:rPr>
              <w:t>Stakeholder Derived Evidence</w:t>
            </w:r>
          </w:p>
        </w:tc>
        <w:tc>
          <w:tcPr>
            <w:tcW w:w="3060" w:type="dxa"/>
            <w:hideMark/>
          </w:tcPr>
          <w:p w14:paraId="6CEED578" w14:textId="77777777" w:rsidR="00072D19" w:rsidRPr="00F301D3" w:rsidRDefault="00072D19" w:rsidP="00C83501">
            <w:pPr>
              <w:rPr>
                <w:b/>
                <w:bCs/>
                <w:sz w:val="18"/>
                <w:szCs w:val="18"/>
              </w:rPr>
            </w:pPr>
            <w:r w:rsidRPr="00F301D3">
              <w:rPr>
                <w:b/>
                <w:bCs/>
                <w:sz w:val="18"/>
                <w:szCs w:val="18"/>
              </w:rPr>
              <w:t>Engagement of People</w:t>
            </w:r>
          </w:p>
        </w:tc>
        <w:tc>
          <w:tcPr>
            <w:tcW w:w="2500" w:type="dxa"/>
            <w:noWrap/>
            <w:hideMark/>
          </w:tcPr>
          <w:p w14:paraId="21803B3B" w14:textId="77777777" w:rsidR="00072D19" w:rsidRPr="00F301D3" w:rsidRDefault="00072D19" w:rsidP="00C83501">
            <w:pPr>
              <w:rPr>
                <w:sz w:val="18"/>
                <w:szCs w:val="18"/>
              </w:rPr>
            </w:pPr>
            <w:r w:rsidRPr="00F301D3">
              <w:rPr>
                <w:sz w:val="18"/>
                <w:szCs w:val="18"/>
              </w:rPr>
              <w:t>x</w:t>
            </w:r>
          </w:p>
        </w:tc>
        <w:tc>
          <w:tcPr>
            <w:tcW w:w="2500" w:type="dxa"/>
            <w:noWrap/>
            <w:hideMark/>
          </w:tcPr>
          <w:p w14:paraId="4F6D09CB" w14:textId="77777777" w:rsidR="00072D19" w:rsidRPr="00F301D3" w:rsidRDefault="00072D19" w:rsidP="00C83501">
            <w:pPr>
              <w:rPr>
                <w:sz w:val="18"/>
                <w:szCs w:val="18"/>
              </w:rPr>
            </w:pPr>
            <w:r w:rsidRPr="00F301D3">
              <w:rPr>
                <w:sz w:val="18"/>
                <w:szCs w:val="18"/>
              </w:rPr>
              <w:t> </w:t>
            </w:r>
          </w:p>
        </w:tc>
        <w:tc>
          <w:tcPr>
            <w:tcW w:w="2500" w:type="dxa"/>
            <w:noWrap/>
            <w:hideMark/>
          </w:tcPr>
          <w:p w14:paraId="251D95E7" w14:textId="77777777" w:rsidR="00072D19" w:rsidRPr="00F301D3" w:rsidRDefault="00072D19" w:rsidP="00C83501">
            <w:pPr>
              <w:rPr>
                <w:sz w:val="18"/>
                <w:szCs w:val="18"/>
              </w:rPr>
            </w:pPr>
            <w:r w:rsidRPr="00F301D3">
              <w:rPr>
                <w:sz w:val="18"/>
                <w:szCs w:val="18"/>
              </w:rPr>
              <w:t> </w:t>
            </w:r>
          </w:p>
        </w:tc>
      </w:tr>
      <w:tr w:rsidR="00072D19" w:rsidRPr="00F301D3" w14:paraId="1A5FD51A" w14:textId="77777777" w:rsidTr="00C83501">
        <w:trPr>
          <w:trHeight w:val="310"/>
        </w:trPr>
        <w:tc>
          <w:tcPr>
            <w:tcW w:w="4820" w:type="dxa"/>
            <w:hideMark/>
          </w:tcPr>
          <w:p w14:paraId="28C99024" w14:textId="77777777" w:rsidR="00072D19" w:rsidRPr="00F301D3" w:rsidRDefault="00072D19" w:rsidP="00C83501">
            <w:pPr>
              <w:rPr>
                <w:b/>
                <w:bCs/>
                <w:sz w:val="18"/>
                <w:szCs w:val="18"/>
              </w:rPr>
            </w:pPr>
            <w:r w:rsidRPr="00F301D3">
              <w:rPr>
                <w:b/>
                <w:bCs/>
                <w:sz w:val="18"/>
                <w:szCs w:val="18"/>
              </w:rPr>
              <w:t> </w:t>
            </w:r>
          </w:p>
        </w:tc>
        <w:tc>
          <w:tcPr>
            <w:tcW w:w="3060" w:type="dxa"/>
            <w:hideMark/>
          </w:tcPr>
          <w:p w14:paraId="57AB6F25" w14:textId="77777777" w:rsidR="00072D19" w:rsidRPr="00F301D3" w:rsidRDefault="00072D19" w:rsidP="00C83501">
            <w:pPr>
              <w:rPr>
                <w:b/>
                <w:bCs/>
                <w:sz w:val="18"/>
                <w:szCs w:val="18"/>
              </w:rPr>
            </w:pPr>
            <w:r w:rsidRPr="00F301D3">
              <w:rPr>
                <w:b/>
                <w:bCs/>
                <w:sz w:val="18"/>
                <w:szCs w:val="18"/>
              </w:rPr>
              <w:t>Identifying Priorities</w:t>
            </w:r>
          </w:p>
        </w:tc>
        <w:tc>
          <w:tcPr>
            <w:tcW w:w="2500" w:type="dxa"/>
            <w:noWrap/>
            <w:hideMark/>
          </w:tcPr>
          <w:p w14:paraId="66D3D5E0" w14:textId="77777777" w:rsidR="00072D19" w:rsidRPr="00F301D3" w:rsidRDefault="00072D19" w:rsidP="00C83501">
            <w:pPr>
              <w:rPr>
                <w:sz w:val="18"/>
                <w:szCs w:val="18"/>
              </w:rPr>
            </w:pPr>
            <w:r w:rsidRPr="00F301D3">
              <w:rPr>
                <w:sz w:val="18"/>
                <w:szCs w:val="18"/>
              </w:rPr>
              <w:t>x</w:t>
            </w:r>
          </w:p>
        </w:tc>
        <w:tc>
          <w:tcPr>
            <w:tcW w:w="2500" w:type="dxa"/>
            <w:noWrap/>
            <w:hideMark/>
          </w:tcPr>
          <w:p w14:paraId="67C0E0BE" w14:textId="77777777" w:rsidR="00072D19" w:rsidRPr="00F301D3" w:rsidRDefault="00072D19" w:rsidP="00C83501">
            <w:pPr>
              <w:rPr>
                <w:sz w:val="18"/>
                <w:szCs w:val="18"/>
              </w:rPr>
            </w:pPr>
            <w:r w:rsidRPr="00F301D3">
              <w:rPr>
                <w:sz w:val="18"/>
                <w:szCs w:val="18"/>
              </w:rPr>
              <w:t> </w:t>
            </w:r>
          </w:p>
        </w:tc>
        <w:tc>
          <w:tcPr>
            <w:tcW w:w="2500" w:type="dxa"/>
            <w:noWrap/>
            <w:hideMark/>
          </w:tcPr>
          <w:p w14:paraId="6D7AC837" w14:textId="77777777" w:rsidR="00072D19" w:rsidRPr="00F301D3" w:rsidRDefault="00072D19" w:rsidP="00C83501">
            <w:pPr>
              <w:rPr>
                <w:sz w:val="18"/>
                <w:szCs w:val="18"/>
              </w:rPr>
            </w:pPr>
            <w:r w:rsidRPr="00F301D3">
              <w:rPr>
                <w:sz w:val="18"/>
                <w:szCs w:val="18"/>
              </w:rPr>
              <w:t> </w:t>
            </w:r>
          </w:p>
        </w:tc>
      </w:tr>
      <w:tr w:rsidR="00072D19" w:rsidRPr="00F301D3" w14:paraId="5E8CD286" w14:textId="77777777" w:rsidTr="00C83501">
        <w:trPr>
          <w:trHeight w:val="310"/>
        </w:trPr>
        <w:tc>
          <w:tcPr>
            <w:tcW w:w="4820" w:type="dxa"/>
            <w:hideMark/>
          </w:tcPr>
          <w:p w14:paraId="697F084E" w14:textId="77777777" w:rsidR="00072D19" w:rsidRPr="00F301D3" w:rsidRDefault="00072D19" w:rsidP="00C83501">
            <w:pPr>
              <w:rPr>
                <w:b/>
                <w:bCs/>
                <w:sz w:val="18"/>
                <w:szCs w:val="18"/>
              </w:rPr>
            </w:pPr>
            <w:r w:rsidRPr="00F301D3">
              <w:rPr>
                <w:b/>
                <w:bCs/>
                <w:sz w:val="18"/>
                <w:szCs w:val="18"/>
              </w:rPr>
              <w:t>Research Derived Evidence</w:t>
            </w:r>
          </w:p>
        </w:tc>
        <w:tc>
          <w:tcPr>
            <w:tcW w:w="3060" w:type="dxa"/>
            <w:hideMark/>
          </w:tcPr>
          <w:p w14:paraId="496E8B93" w14:textId="77777777" w:rsidR="00072D19" w:rsidRPr="00F301D3" w:rsidRDefault="00072D19" w:rsidP="00C83501">
            <w:pPr>
              <w:rPr>
                <w:b/>
                <w:bCs/>
                <w:sz w:val="18"/>
                <w:szCs w:val="18"/>
              </w:rPr>
            </w:pPr>
            <w:r w:rsidRPr="00F301D3">
              <w:rPr>
                <w:b/>
                <w:bCs/>
                <w:sz w:val="18"/>
                <w:szCs w:val="18"/>
              </w:rPr>
              <w:t>Evidence Based Information</w:t>
            </w:r>
          </w:p>
        </w:tc>
        <w:tc>
          <w:tcPr>
            <w:tcW w:w="2500" w:type="dxa"/>
            <w:noWrap/>
            <w:hideMark/>
          </w:tcPr>
          <w:p w14:paraId="30ED6E2E" w14:textId="77777777" w:rsidR="00072D19" w:rsidRPr="00F301D3" w:rsidRDefault="00072D19" w:rsidP="00C83501">
            <w:pPr>
              <w:rPr>
                <w:sz w:val="18"/>
                <w:szCs w:val="18"/>
              </w:rPr>
            </w:pPr>
            <w:r w:rsidRPr="00F301D3">
              <w:rPr>
                <w:sz w:val="18"/>
                <w:szCs w:val="18"/>
              </w:rPr>
              <w:t>x</w:t>
            </w:r>
          </w:p>
        </w:tc>
        <w:tc>
          <w:tcPr>
            <w:tcW w:w="2500" w:type="dxa"/>
            <w:noWrap/>
            <w:hideMark/>
          </w:tcPr>
          <w:p w14:paraId="1FA8A425" w14:textId="77777777" w:rsidR="00072D19" w:rsidRPr="00F301D3" w:rsidRDefault="00072D19" w:rsidP="00C83501">
            <w:pPr>
              <w:rPr>
                <w:sz w:val="18"/>
                <w:szCs w:val="18"/>
              </w:rPr>
            </w:pPr>
            <w:r w:rsidRPr="00F301D3">
              <w:rPr>
                <w:sz w:val="18"/>
                <w:szCs w:val="18"/>
              </w:rPr>
              <w:t> </w:t>
            </w:r>
          </w:p>
        </w:tc>
        <w:tc>
          <w:tcPr>
            <w:tcW w:w="2500" w:type="dxa"/>
            <w:noWrap/>
            <w:hideMark/>
          </w:tcPr>
          <w:p w14:paraId="23ADD338" w14:textId="77777777" w:rsidR="00072D19" w:rsidRPr="00F301D3" w:rsidRDefault="00072D19" w:rsidP="00C83501">
            <w:pPr>
              <w:rPr>
                <w:sz w:val="18"/>
                <w:szCs w:val="18"/>
              </w:rPr>
            </w:pPr>
            <w:r w:rsidRPr="00F301D3">
              <w:rPr>
                <w:sz w:val="18"/>
                <w:szCs w:val="18"/>
              </w:rPr>
              <w:t> </w:t>
            </w:r>
          </w:p>
        </w:tc>
      </w:tr>
      <w:tr w:rsidR="00072D19" w:rsidRPr="00F301D3" w14:paraId="3007B360" w14:textId="77777777" w:rsidTr="00C83501">
        <w:trPr>
          <w:trHeight w:val="610"/>
        </w:trPr>
        <w:tc>
          <w:tcPr>
            <w:tcW w:w="4820" w:type="dxa"/>
            <w:hideMark/>
          </w:tcPr>
          <w:p w14:paraId="5B754DF2" w14:textId="77777777" w:rsidR="00072D19" w:rsidRPr="00F301D3" w:rsidRDefault="00072D19" w:rsidP="00C83501">
            <w:pPr>
              <w:rPr>
                <w:b/>
                <w:bCs/>
                <w:sz w:val="18"/>
                <w:szCs w:val="18"/>
              </w:rPr>
            </w:pPr>
            <w:r w:rsidRPr="00F301D3">
              <w:rPr>
                <w:b/>
                <w:bCs/>
                <w:sz w:val="18"/>
                <w:szCs w:val="18"/>
              </w:rPr>
              <w:t> </w:t>
            </w:r>
          </w:p>
        </w:tc>
        <w:tc>
          <w:tcPr>
            <w:tcW w:w="3060" w:type="dxa"/>
            <w:hideMark/>
          </w:tcPr>
          <w:p w14:paraId="3E3C3300" w14:textId="77777777" w:rsidR="00072D19" w:rsidRPr="00F301D3" w:rsidRDefault="00072D19" w:rsidP="00C83501">
            <w:pPr>
              <w:rPr>
                <w:b/>
                <w:bCs/>
                <w:sz w:val="18"/>
                <w:szCs w:val="18"/>
              </w:rPr>
            </w:pPr>
            <w:r w:rsidRPr="00F301D3">
              <w:rPr>
                <w:b/>
                <w:bCs/>
                <w:sz w:val="18"/>
                <w:szCs w:val="18"/>
              </w:rPr>
              <w:t>Evidence Synthesis and Guidelines</w:t>
            </w:r>
          </w:p>
        </w:tc>
        <w:tc>
          <w:tcPr>
            <w:tcW w:w="2500" w:type="dxa"/>
            <w:noWrap/>
            <w:hideMark/>
          </w:tcPr>
          <w:p w14:paraId="267D6B08" w14:textId="77777777" w:rsidR="00072D19" w:rsidRPr="00F301D3" w:rsidRDefault="00072D19" w:rsidP="00C83501">
            <w:pPr>
              <w:rPr>
                <w:sz w:val="18"/>
                <w:szCs w:val="18"/>
              </w:rPr>
            </w:pPr>
            <w:r w:rsidRPr="00F301D3">
              <w:rPr>
                <w:sz w:val="18"/>
                <w:szCs w:val="18"/>
              </w:rPr>
              <w:t>x</w:t>
            </w:r>
          </w:p>
        </w:tc>
        <w:tc>
          <w:tcPr>
            <w:tcW w:w="2500" w:type="dxa"/>
            <w:noWrap/>
            <w:hideMark/>
          </w:tcPr>
          <w:p w14:paraId="347FD831" w14:textId="77777777" w:rsidR="00072D19" w:rsidRPr="00F301D3" w:rsidRDefault="00072D19" w:rsidP="00C83501">
            <w:pPr>
              <w:rPr>
                <w:sz w:val="18"/>
                <w:szCs w:val="18"/>
              </w:rPr>
            </w:pPr>
            <w:r w:rsidRPr="00F301D3">
              <w:rPr>
                <w:sz w:val="18"/>
                <w:szCs w:val="18"/>
              </w:rPr>
              <w:t> </w:t>
            </w:r>
          </w:p>
        </w:tc>
        <w:tc>
          <w:tcPr>
            <w:tcW w:w="2500" w:type="dxa"/>
            <w:noWrap/>
            <w:hideMark/>
          </w:tcPr>
          <w:p w14:paraId="279591D0" w14:textId="77777777" w:rsidR="00072D19" w:rsidRPr="00F301D3" w:rsidRDefault="00072D19" w:rsidP="00C83501">
            <w:pPr>
              <w:rPr>
                <w:sz w:val="18"/>
                <w:szCs w:val="18"/>
              </w:rPr>
            </w:pPr>
            <w:r w:rsidRPr="00F301D3">
              <w:rPr>
                <w:sz w:val="18"/>
                <w:szCs w:val="18"/>
              </w:rPr>
              <w:t> </w:t>
            </w:r>
          </w:p>
        </w:tc>
      </w:tr>
      <w:tr w:rsidR="00072D19" w:rsidRPr="00F301D3" w14:paraId="0F5E5035" w14:textId="77777777" w:rsidTr="00C83501">
        <w:trPr>
          <w:trHeight w:val="610"/>
        </w:trPr>
        <w:tc>
          <w:tcPr>
            <w:tcW w:w="4820" w:type="dxa"/>
            <w:hideMark/>
          </w:tcPr>
          <w:p w14:paraId="32794969" w14:textId="77777777" w:rsidR="00072D19" w:rsidRPr="00F301D3" w:rsidRDefault="00072D19" w:rsidP="00C83501">
            <w:pPr>
              <w:rPr>
                <w:b/>
                <w:bCs/>
                <w:sz w:val="18"/>
                <w:szCs w:val="18"/>
              </w:rPr>
            </w:pPr>
            <w:r w:rsidRPr="00F301D3">
              <w:rPr>
                <w:b/>
                <w:bCs/>
                <w:sz w:val="18"/>
                <w:szCs w:val="18"/>
              </w:rPr>
              <w:t>Data Derived Evidence</w:t>
            </w:r>
          </w:p>
        </w:tc>
        <w:tc>
          <w:tcPr>
            <w:tcW w:w="3060" w:type="dxa"/>
            <w:hideMark/>
          </w:tcPr>
          <w:p w14:paraId="72020B52" w14:textId="77777777" w:rsidR="00072D19" w:rsidRPr="00F301D3" w:rsidRDefault="00072D19" w:rsidP="00C83501">
            <w:pPr>
              <w:rPr>
                <w:b/>
                <w:bCs/>
                <w:sz w:val="18"/>
                <w:szCs w:val="18"/>
              </w:rPr>
            </w:pPr>
            <w:r w:rsidRPr="00F301D3">
              <w:rPr>
                <w:b/>
                <w:bCs/>
                <w:sz w:val="18"/>
                <w:szCs w:val="18"/>
              </w:rPr>
              <w:t>Data and Information Systems</w:t>
            </w:r>
          </w:p>
        </w:tc>
        <w:tc>
          <w:tcPr>
            <w:tcW w:w="2500" w:type="dxa"/>
            <w:noWrap/>
            <w:hideMark/>
          </w:tcPr>
          <w:p w14:paraId="5379423F" w14:textId="77777777" w:rsidR="00072D19" w:rsidRPr="00F301D3" w:rsidRDefault="00072D19" w:rsidP="00C83501">
            <w:pPr>
              <w:rPr>
                <w:sz w:val="18"/>
                <w:szCs w:val="18"/>
              </w:rPr>
            </w:pPr>
            <w:r w:rsidRPr="00F301D3">
              <w:rPr>
                <w:sz w:val="18"/>
                <w:szCs w:val="18"/>
              </w:rPr>
              <w:t>x</w:t>
            </w:r>
          </w:p>
        </w:tc>
        <w:tc>
          <w:tcPr>
            <w:tcW w:w="2500" w:type="dxa"/>
            <w:noWrap/>
            <w:hideMark/>
          </w:tcPr>
          <w:p w14:paraId="6DEF55A8" w14:textId="77777777" w:rsidR="00072D19" w:rsidRPr="00F301D3" w:rsidRDefault="00072D19" w:rsidP="00C83501">
            <w:pPr>
              <w:rPr>
                <w:sz w:val="18"/>
                <w:szCs w:val="18"/>
              </w:rPr>
            </w:pPr>
            <w:r w:rsidRPr="00F301D3">
              <w:rPr>
                <w:sz w:val="18"/>
                <w:szCs w:val="18"/>
              </w:rPr>
              <w:t> </w:t>
            </w:r>
          </w:p>
        </w:tc>
        <w:tc>
          <w:tcPr>
            <w:tcW w:w="2500" w:type="dxa"/>
            <w:noWrap/>
            <w:hideMark/>
          </w:tcPr>
          <w:p w14:paraId="11B60805" w14:textId="77777777" w:rsidR="00072D19" w:rsidRPr="00F301D3" w:rsidRDefault="00072D19" w:rsidP="00C83501">
            <w:pPr>
              <w:rPr>
                <w:sz w:val="18"/>
                <w:szCs w:val="18"/>
              </w:rPr>
            </w:pPr>
            <w:r w:rsidRPr="00F301D3">
              <w:rPr>
                <w:sz w:val="18"/>
                <w:szCs w:val="18"/>
              </w:rPr>
              <w:t> </w:t>
            </w:r>
          </w:p>
        </w:tc>
      </w:tr>
      <w:tr w:rsidR="00072D19" w:rsidRPr="00F301D3" w14:paraId="602ECBB5" w14:textId="77777777" w:rsidTr="00C83501">
        <w:trPr>
          <w:trHeight w:val="310"/>
        </w:trPr>
        <w:tc>
          <w:tcPr>
            <w:tcW w:w="4820" w:type="dxa"/>
            <w:hideMark/>
          </w:tcPr>
          <w:p w14:paraId="3037B10F" w14:textId="77777777" w:rsidR="00072D19" w:rsidRPr="00F301D3" w:rsidRDefault="00072D19" w:rsidP="00C83501">
            <w:pPr>
              <w:rPr>
                <w:b/>
                <w:bCs/>
                <w:sz w:val="18"/>
                <w:szCs w:val="18"/>
              </w:rPr>
            </w:pPr>
            <w:r w:rsidRPr="00F301D3">
              <w:rPr>
                <w:b/>
                <w:bCs/>
                <w:sz w:val="18"/>
                <w:szCs w:val="18"/>
              </w:rPr>
              <w:t> </w:t>
            </w:r>
          </w:p>
        </w:tc>
        <w:tc>
          <w:tcPr>
            <w:tcW w:w="3060" w:type="dxa"/>
            <w:hideMark/>
          </w:tcPr>
          <w:p w14:paraId="639061F1" w14:textId="77777777" w:rsidR="00072D19" w:rsidRPr="00F301D3" w:rsidRDefault="00072D19" w:rsidP="00C83501">
            <w:pPr>
              <w:rPr>
                <w:b/>
                <w:bCs/>
                <w:sz w:val="18"/>
                <w:szCs w:val="18"/>
              </w:rPr>
            </w:pPr>
            <w:r w:rsidRPr="00F301D3">
              <w:rPr>
                <w:b/>
                <w:bCs/>
                <w:sz w:val="18"/>
                <w:szCs w:val="18"/>
              </w:rPr>
              <w:t>Benchmarking</w:t>
            </w:r>
          </w:p>
        </w:tc>
        <w:tc>
          <w:tcPr>
            <w:tcW w:w="2500" w:type="dxa"/>
            <w:noWrap/>
            <w:hideMark/>
          </w:tcPr>
          <w:p w14:paraId="350A3E0E" w14:textId="77777777" w:rsidR="00072D19" w:rsidRPr="00F301D3" w:rsidRDefault="00072D19" w:rsidP="00C83501">
            <w:pPr>
              <w:rPr>
                <w:sz w:val="18"/>
                <w:szCs w:val="18"/>
              </w:rPr>
            </w:pPr>
            <w:r w:rsidRPr="00F301D3">
              <w:rPr>
                <w:sz w:val="18"/>
                <w:szCs w:val="18"/>
              </w:rPr>
              <w:t>x</w:t>
            </w:r>
          </w:p>
        </w:tc>
        <w:tc>
          <w:tcPr>
            <w:tcW w:w="2500" w:type="dxa"/>
            <w:noWrap/>
            <w:hideMark/>
          </w:tcPr>
          <w:p w14:paraId="64FB8151" w14:textId="77777777" w:rsidR="00072D19" w:rsidRPr="00F301D3" w:rsidRDefault="00072D19" w:rsidP="00C83501">
            <w:pPr>
              <w:rPr>
                <w:sz w:val="18"/>
                <w:szCs w:val="18"/>
              </w:rPr>
            </w:pPr>
            <w:r w:rsidRPr="00F301D3">
              <w:rPr>
                <w:sz w:val="18"/>
                <w:szCs w:val="18"/>
              </w:rPr>
              <w:t> </w:t>
            </w:r>
          </w:p>
        </w:tc>
        <w:tc>
          <w:tcPr>
            <w:tcW w:w="2500" w:type="dxa"/>
            <w:noWrap/>
            <w:hideMark/>
          </w:tcPr>
          <w:p w14:paraId="1F9CDF4A" w14:textId="77777777" w:rsidR="00072D19" w:rsidRPr="00F301D3" w:rsidRDefault="00072D19" w:rsidP="00C83501">
            <w:pPr>
              <w:rPr>
                <w:sz w:val="18"/>
                <w:szCs w:val="18"/>
              </w:rPr>
            </w:pPr>
            <w:r w:rsidRPr="00F301D3">
              <w:rPr>
                <w:sz w:val="18"/>
                <w:szCs w:val="18"/>
              </w:rPr>
              <w:t> </w:t>
            </w:r>
          </w:p>
        </w:tc>
      </w:tr>
      <w:tr w:rsidR="00072D19" w:rsidRPr="00F301D3" w14:paraId="75D60CEC" w14:textId="77777777" w:rsidTr="00C83501">
        <w:trPr>
          <w:trHeight w:val="310"/>
        </w:trPr>
        <w:tc>
          <w:tcPr>
            <w:tcW w:w="4820" w:type="dxa"/>
            <w:hideMark/>
          </w:tcPr>
          <w:p w14:paraId="7E49D6EF" w14:textId="77777777" w:rsidR="00072D19" w:rsidRPr="00F301D3" w:rsidRDefault="00072D19" w:rsidP="00C83501">
            <w:pPr>
              <w:rPr>
                <w:b/>
                <w:bCs/>
                <w:sz w:val="18"/>
                <w:szCs w:val="18"/>
              </w:rPr>
            </w:pPr>
            <w:r w:rsidRPr="00F301D3">
              <w:rPr>
                <w:b/>
                <w:bCs/>
                <w:sz w:val="18"/>
                <w:szCs w:val="18"/>
              </w:rPr>
              <w:t>Implementation Evidence</w:t>
            </w:r>
          </w:p>
        </w:tc>
        <w:tc>
          <w:tcPr>
            <w:tcW w:w="3060" w:type="dxa"/>
            <w:hideMark/>
          </w:tcPr>
          <w:p w14:paraId="71C79C83" w14:textId="77777777" w:rsidR="00072D19" w:rsidRPr="00F301D3" w:rsidRDefault="00072D19" w:rsidP="00C83501">
            <w:pPr>
              <w:rPr>
                <w:b/>
                <w:bCs/>
                <w:sz w:val="18"/>
                <w:szCs w:val="18"/>
              </w:rPr>
            </w:pPr>
            <w:r w:rsidRPr="00F301D3">
              <w:rPr>
                <w:b/>
                <w:bCs/>
                <w:sz w:val="18"/>
                <w:szCs w:val="18"/>
              </w:rPr>
              <w:t>Implementation</w:t>
            </w:r>
          </w:p>
        </w:tc>
        <w:tc>
          <w:tcPr>
            <w:tcW w:w="2500" w:type="dxa"/>
            <w:noWrap/>
            <w:hideMark/>
          </w:tcPr>
          <w:p w14:paraId="11CC3A04" w14:textId="77777777" w:rsidR="00072D19" w:rsidRPr="00F301D3" w:rsidRDefault="00072D19" w:rsidP="00C83501">
            <w:pPr>
              <w:rPr>
                <w:sz w:val="18"/>
                <w:szCs w:val="18"/>
              </w:rPr>
            </w:pPr>
            <w:r w:rsidRPr="00F301D3">
              <w:rPr>
                <w:sz w:val="18"/>
                <w:szCs w:val="18"/>
              </w:rPr>
              <w:t>x</w:t>
            </w:r>
          </w:p>
        </w:tc>
        <w:tc>
          <w:tcPr>
            <w:tcW w:w="2500" w:type="dxa"/>
            <w:noWrap/>
            <w:hideMark/>
          </w:tcPr>
          <w:p w14:paraId="62DA58A2" w14:textId="77777777" w:rsidR="00072D19" w:rsidRPr="00F301D3" w:rsidRDefault="00072D19" w:rsidP="00C83501">
            <w:pPr>
              <w:rPr>
                <w:sz w:val="18"/>
                <w:szCs w:val="18"/>
              </w:rPr>
            </w:pPr>
            <w:r w:rsidRPr="00F301D3">
              <w:rPr>
                <w:sz w:val="18"/>
                <w:szCs w:val="18"/>
              </w:rPr>
              <w:t> </w:t>
            </w:r>
          </w:p>
        </w:tc>
        <w:tc>
          <w:tcPr>
            <w:tcW w:w="2500" w:type="dxa"/>
            <w:noWrap/>
            <w:hideMark/>
          </w:tcPr>
          <w:p w14:paraId="6D872CFE" w14:textId="77777777" w:rsidR="00072D19" w:rsidRPr="00F301D3" w:rsidRDefault="00072D19" w:rsidP="00C83501">
            <w:pPr>
              <w:rPr>
                <w:sz w:val="18"/>
                <w:szCs w:val="18"/>
              </w:rPr>
            </w:pPr>
            <w:r w:rsidRPr="00F301D3">
              <w:rPr>
                <w:sz w:val="18"/>
                <w:szCs w:val="18"/>
              </w:rPr>
              <w:t> </w:t>
            </w:r>
          </w:p>
        </w:tc>
      </w:tr>
      <w:tr w:rsidR="00072D19" w:rsidRPr="00F301D3" w14:paraId="7CC2FB5C" w14:textId="77777777" w:rsidTr="00C83501">
        <w:trPr>
          <w:trHeight w:val="310"/>
        </w:trPr>
        <w:tc>
          <w:tcPr>
            <w:tcW w:w="4820" w:type="dxa"/>
            <w:hideMark/>
          </w:tcPr>
          <w:p w14:paraId="2FBAB54B" w14:textId="77777777" w:rsidR="00072D19" w:rsidRPr="00F301D3" w:rsidRDefault="00072D19" w:rsidP="00C83501">
            <w:pPr>
              <w:rPr>
                <w:b/>
                <w:bCs/>
                <w:sz w:val="18"/>
                <w:szCs w:val="18"/>
              </w:rPr>
            </w:pPr>
            <w:r w:rsidRPr="00F301D3">
              <w:rPr>
                <w:b/>
                <w:bCs/>
                <w:sz w:val="18"/>
                <w:szCs w:val="18"/>
              </w:rPr>
              <w:t> </w:t>
            </w:r>
          </w:p>
        </w:tc>
        <w:tc>
          <w:tcPr>
            <w:tcW w:w="3060" w:type="dxa"/>
            <w:hideMark/>
          </w:tcPr>
          <w:p w14:paraId="28C9C5F4" w14:textId="77777777" w:rsidR="00072D19" w:rsidRPr="00F301D3" w:rsidRDefault="00072D19" w:rsidP="00C83501">
            <w:pPr>
              <w:rPr>
                <w:b/>
                <w:bCs/>
                <w:sz w:val="18"/>
                <w:szCs w:val="18"/>
              </w:rPr>
            </w:pPr>
            <w:r w:rsidRPr="00F301D3">
              <w:rPr>
                <w:b/>
                <w:bCs/>
                <w:sz w:val="18"/>
                <w:szCs w:val="18"/>
              </w:rPr>
              <w:t>Healthcare Improvement</w:t>
            </w:r>
          </w:p>
        </w:tc>
        <w:tc>
          <w:tcPr>
            <w:tcW w:w="2500" w:type="dxa"/>
            <w:noWrap/>
            <w:hideMark/>
          </w:tcPr>
          <w:p w14:paraId="5FBBF4F6" w14:textId="77777777" w:rsidR="00072D19" w:rsidRPr="00F301D3" w:rsidRDefault="00072D19" w:rsidP="00C83501">
            <w:pPr>
              <w:rPr>
                <w:sz w:val="18"/>
                <w:szCs w:val="18"/>
              </w:rPr>
            </w:pPr>
            <w:r w:rsidRPr="00F301D3">
              <w:rPr>
                <w:sz w:val="18"/>
                <w:szCs w:val="18"/>
              </w:rPr>
              <w:t>x</w:t>
            </w:r>
          </w:p>
        </w:tc>
        <w:tc>
          <w:tcPr>
            <w:tcW w:w="2500" w:type="dxa"/>
            <w:noWrap/>
            <w:hideMark/>
          </w:tcPr>
          <w:p w14:paraId="48B15A9B" w14:textId="77777777" w:rsidR="00072D19" w:rsidRPr="00F301D3" w:rsidRDefault="00072D19" w:rsidP="00C83501">
            <w:pPr>
              <w:rPr>
                <w:sz w:val="18"/>
                <w:szCs w:val="18"/>
              </w:rPr>
            </w:pPr>
            <w:r w:rsidRPr="00F301D3">
              <w:rPr>
                <w:sz w:val="18"/>
                <w:szCs w:val="18"/>
              </w:rPr>
              <w:t> </w:t>
            </w:r>
          </w:p>
        </w:tc>
        <w:tc>
          <w:tcPr>
            <w:tcW w:w="2500" w:type="dxa"/>
            <w:noWrap/>
            <w:hideMark/>
          </w:tcPr>
          <w:p w14:paraId="56EDD2F6" w14:textId="77777777" w:rsidR="00072D19" w:rsidRPr="00F301D3" w:rsidRDefault="00072D19" w:rsidP="00C83501">
            <w:pPr>
              <w:rPr>
                <w:sz w:val="18"/>
                <w:szCs w:val="18"/>
              </w:rPr>
            </w:pPr>
            <w:r w:rsidRPr="00F301D3">
              <w:rPr>
                <w:sz w:val="18"/>
                <w:szCs w:val="18"/>
              </w:rPr>
              <w:t> </w:t>
            </w:r>
          </w:p>
        </w:tc>
      </w:tr>
      <w:tr w:rsidR="00072D19" w:rsidRPr="00F301D3" w14:paraId="280FAA60" w14:textId="77777777" w:rsidTr="00C83501">
        <w:trPr>
          <w:trHeight w:val="310"/>
        </w:trPr>
        <w:tc>
          <w:tcPr>
            <w:tcW w:w="4820" w:type="dxa"/>
            <w:hideMark/>
          </w:tcPr>
          <w:p w14:paraId="5F31EA03" w14:textId="77777777" w:rsidR="00072D19" w:rsidRPr="00F301D3" w:rsidRDefault="00072D19" w:rsidP="00C83501">
            <w:pPr>
              <w:rPr>
                <w:b/>
                <w:bCs/>
                <w:sz w:val="18"/>
                <w:szCs w:val="18"/>
              </w:rPr>
            </w:pPr>
            <w:r w:rsidRPr="00F301D3">
              <w:rPr>
                <w:b/>
                <w:bCs/>
                <w:sz w:val="18"/>
                <w:szCs w:val="18"/>
              </w:rPr>
              <w:t>Count of evidence approaches</w:t>
            </w:r>
          </w:p>
        </w:tc>
        <w:tc>
          <w:tcPr>
            <w:tcW w:w="3060" w:type="dxa"/>
            <w:hideMark/>
          </w:tcPr>
          <w:p w14:paraId="18EB5D05" w14:textId="77777777" w:rsidR="00072D19" w:rsidRPr="00F301D3" w:rsidRDefault="00072D19" w:rsidP="00C83501">
            <w:pPr>
              <w:rPr>
                <w:b/>
                <w:bCs/>
                <w:sz w:val="18"/>
                <w:szCs w:val="18"/>
              </w:rPr>
            </w:pPr>
            <w:r w:rsidRPr="00F301D3">
              <w:rPr>
                <w:b/>
                <w:bCs/>
                <w:sz w:val="18"/>
                <w:szCs w:val="18"/>
              </w:rPr>
              <w:t> </w:t>
            </w:r>
          </w:p>
        </w:tc>
        <w:tc>
          <w:tcPr>
            <w:tcW w:w="2500" w:type="dxa"/>
            <w:noWrap/>
            <w:hideMark/>
          </w:tcPr>
          <w:p w14:paraId="185C39D2" w14:textId="77777777" w:rsidR="00072D19" w:rsidRPr="00F301D3" w:rsidRDefault="00072D19" w:rsidP="00C83501">
            <w:pPr>
              <w:rPr>
                <w:sz w:val="18"/>
                <w:szCs w:val="18"/>
              </w:rPr>
            </w:pPr>
            <w:r w:rsidRPr="00F301D3">
              <w:rPr>
                <w:sz w:val="18"/>
                <w:szCs w:val="18"/>
              </w:rPr>
              <w:t>8</w:t>
            </w:r>
          </w:p>
        </w:tc>
        <w:tc>
          <w:tcPr>
            <w:tcW w:w="2500" w:type="dxa"/>
            <w:noWrap/>
            <w:hideMark/>
          </w:tcPr>
          <w:p w14:paraId="2522FF30" w14:textId="77777777" w:rsidR="00072D19" w:rsidRPr="00F301D3" w:rsidRDefault="00072D19" w:rsidP="00C83501">
            <w:pPr>
              <w:rPr>
                <w:sz w:val="18"/>
                <w:szCs w:val="18"/>
              </w:rPr>
            </w:pPr>
            <w:r w:rsidRPr="00F301D3">
              <w:rPr>
                <w:sz w:val="18"/>
                <w:szCs w:val="18"/>
              </w:rPr>
              <w:t>0</w:t>
            </w:r>
          </w:p>
        </w:tc>
        <w:tc>
          <w:tcPr>
            <w:tcW w:w="2500" w:type="dxa"/>
            <w:noWrap/>
            <w:hideMark/>
          </w:tcPr>
          <w:p w14:paraId="4AA49C5E" w14:textId="77777777" w:rsidR="00072D19" w:rsidRPr="00F301D3" w:rsidRDefault="00072D19" w:rsidP="00C83501">
            <w:pPr>
              <w:rPr>
                <w:sz w:val="18"/>
                <w:szCs w:val="18"/>
              </w:rPr>
            </w:pPr>
            <w:r w:rsidRPr="00F301D3">
              <w:rPr>
                <w:sz w:val="18"/>
                <w:szCs w:val="18"/>
              </w:rPr>
              <w:t>0</w:t>
            </w:r>
          </w:p>
        </w:tc>
      </w:tr>
    </w:tbl>
    <w:p w14:paraId="7C07F1C0" w14:textId="77777777" w:rsidR="00072D19" w:rsidRDefault="00072D19" w:rsidP="00072D19"/>
    <w:p w14:paraId="57D23A86" w14:textId="77777777" w:rsidR="00072D19" w:rsidRDefault="00072D19" w:rsidP="00072D19">
      <w:pPr>
        <w:rPr>
          <w:rFonts w:asciiTheme="majorHAnsi" w:eastAsia="Times New Roman" w:hAnsiTheme="majorHAnsi" w:cstheme="majorBidi"/>
          <w:color w:val="1F3763" w:themeColor="accent1" w:themeShade="7F"/>
          <w:szCs w:val="24"/>
          <w:lang w:eastAsia="en-AU"/>
        </w:rPr>
      </w:pPr>
      <w:r>
        <w:rPr>
          <w:rFonts w:eastAsia="Times New Roman"/>
          <w:lang w:eastAsia="en-AU"/>
        </w:rPr>
        <w:br w:type="page"/>
      </w:r>
    </w:p>
    <w:p w14:paraId="371C168C" w14:textId="77777777" w:rsidR="00072D19" w:rsidRDefault="00072D19" w:rsidP="00072D19">
      <w:pPr>
        <w:pStyle w:val="Heading3"/>
        <w:rPr>
          <w:rFonts w:eastAsia="Times New Roman"/>
          <w:lang w:eastAsia="en-AU"/>
        </w:rPr>
      </w:pPr>
      <w:r>
        <w:rPr>
          <w:rFonts w:eastAsia="Times New Roman"/>
          <w:lang w:eastAsia="en-AU"/>
        </w:rPr>
        <w:lastRenderedPageBreak/>
        <w:t>Step 3:</w:t>
      </w:r>
    </w:p>
    <w:p w14:paraId="4B99D9F7" w14:textId="77777777" w:rsidR="00072D19" w:rsidRDefault="00072D19" w:rsidP="00072D19">
      <w:pPr>
        <w:pStyle w:val="Heading3"/>
        <w:rPr>
          <w:rFonts w:eastAsia="Times New Roman"/>
          <w:lang w:eastAsia="en-AU"/>
        </w:rPr>
      </w:pPr>
      <w:r w:rsidRPr="00591533">
        <w:rPr>
          <w:rFonts w:eastAsia="Times New Roman"/>
          <w:lang w:eastAsia="en-AU"/>
        </w:rPr>
        <w:t xml:space="preserve">Evidence </w:t>
      </w:r>
      <w:r w:rsidRPr="00B854F6">
        <w:t>based</w:t>
      </w:r>
      <w:r w:rsidRPr="00591533">
        <w:rPr>
          <w:rFonts w:eastAsia="Times New Roman"/>
          <w:lang w:eastAsia="en-AU"/>
        </w:rPr>
        <w:t xml:space="preserve"> </w:t>
      </w:r>
      <w:r w:rsidRPr="00BF25F3">
        <w:rPr>
          <w:rFonts w:eastAsia="Times New Roman"/>
          <w:lang w:eastAsia="en-AU"/>
        </w:rPr>
        <w:t>with reference to local information/ data</w:t>
      </w:r>
      <w:r>
        <w:rPr>
          <w:rFonts w:eastAsia="Times New Roman"/>
          <w:lang w:eastAsia="en-AU"/>
        </w:rPr>
        <w:t xml:space="preserve"> or other evidence-based tools</w:t>
      </w:r>
    </w:p>
    <w:p w14:paraId="684BC227" w14:textId="77777777" w:rsidR="00072D19" w:rsidRPr="00482DA4" w:rsidRDefault="00072D19" w:rsidP="00072D19">
      <w:pPr>
        <w:rPr>
          <w:lang w:eastAsia="en-AU"/>
        </w:rPr>
      </w:pPr>
      <w:r>
        <w:rPr>
          <w:lang w:eastAsia="en-AU"/>
        </w:rPr>
        <w:t>Where you have accessed some sort of evidence to complete your ranking it is advised to document clearly what they were. Over time it is easy for this information to be lost.</w:t>
      </w:r>
    </w:p>
    <w:p w14:paraId="3D6441D0" w14:textId="77777777" w:rsidR="00072D19" w:rsidRDefault="00072D19" w:rsidP="00072D19">
      <w:pPr>
        <w:pStyle w:val="ListParagraph"/>
        <w:numPr>
          <w:ilvl w:val="0"/>
          <w:numId w:val="4"/>
        </w:numPr>
      </w:pPr>
      <w:r>
        <w:t>Document which data sources, tools and resources you used in each of the component areas</w:t>
      </w:r>
    </w:p>
    <w:p w14:paraId="4A3D94C4" w14:textId="77777777" w:rsidR="00072D19" w:rsidRDefault="00072D19" w:rsidP="00072D19">
      <w:pPr>
        <w:pStyle w:val="ListParagraph"/>
        <w:numPr>
          <w:ilvl w:val="0"/>
          <w:numId w:val="4"/>
        </w:numPr>
      </w:pPr>
      <w:r>
        <w:t>Indicate whether they were sourced from the spreadsheet or whether it was found elsewhere</w:t>
      </w:r>
    </w:p>
    <w:p w14:paraId="3780F2A1" w14:textId="77777777" w:rsidR="00072D19" w:rsidRDefault="00072D19" w:rsidP="00072D19">
      <w:pPr>
        <w:pStyle w:val="ListParagraph"/>
        <w:numPr>
          <w:ilvl w:val="0"/>
          <w:numId w:val="4"/>
        </w:numPr>
      </w:pPr>
      <w:r>
        <w:t>Include links to the source - or</w:t>
      </w:r>
    </w:p>
    <w:p w14:paraId="68E8D2A4" w14:textId="77777777" w:rsidR="00072D19" w:rsidRDefault="00072D19" w:rsidP="00072D19">
      <w:pPr>
        <w:pStyle w:val="ListParagraph"/>
        <w:numPr>
          <w:ilvl w:val="0"/>
          <w:numId w:val="4"/>
        </w:numPr>
      </w:pPr>
      <w:r>
        <w:t>Attach any PDF’s if the data source is likely to change over time</w:t>
      </w:r>
    </w:p>
    <w:p w14:paraId="46E5DAB5" w14:textId="77777777" w:rsidR="00072D19" w:rsidRDefault="00072D19" w:rsidP="00072D19">
      <w:pPr>
        <w:pStyle w:val="ListParagraph"/>
        <w:numPr>
          <w:ilvl w:val="0"/>
          <w:numId w:val="4"/>
        </w:numPr>
      </w:pPr>
      <w:r>
        <w:t>List information about the data/ information next to the relevant component as listed below:</w:t>
      </w:r>
    </w:p>
    <w:p w14:paraId="7B0438A1" w14:textId="77777777" w:rsidR="00072D19" w:rsidRDefault="00072D19" w:rsidP="00072D19">
      <w:pPr>
        <w:pStyle w:val="Heading4"/>
      </w:pPr>
      <w:r>
        <w:t>Engagement of People</w:t>
      </w:r>
    </w:p>
    <w:p w14:paraId="6BFD6163" w14:textId="77777777" w:rsidR="00072D19" w:rsidRPr="008551C2" w:rsidRDefault="00072D19" w:rsidP="00072D19"/>
    <w:p w14:paraId="728DF831" w14:textId="77777777" w:rsidR="00072D19" w:rsidRDefault="00072D19" w:rsidP="00072D19">
      <w:pPr>
        <w:pStyle w:val="Heading4"/>
      </w:pPr>
      <w:r>
        <w:t>Identifying Priorities</w:t>
      </w:r>
    </w:p>
    <w:p w14:paraId="4B7758ED" w14:textId="77777777" w:rsidR="00072D19" w:rsidRPr="008551C2" w:rsidRDefault="00072D19" w:rsidP="00072D19"/>
    <w:p w14:paraId="3C9B4FF1" w14:textId="77777777" w:rsidR="00072D19" w:rsidRDefault="00072D19" w:rsidP="00072D19">
      <w:pPr>
        <w:pStyle w:val="Heading4"/>
      </w:pPr>
      <w:r>
        <w:t>Evidence Based Information</w:t>
      </w:r>
    </w:p>
    <w:p w14:paraId="2D56B435" w14:textId="77777777" w:rsidR="00072D19" w:rsidRPr="008551C2" w:rsidRDefault="00072D19" w:rsidP="00072D19"/>
    <w:p w14:paraId="724C1F0E" w14:textId="77777777" w:rsidR="00072D19" w:rsidRDefault="00072D19" w:rsidP="00072D19">
      <w:pPr>
        <w:pStyle w:val="Heading4"/>
      </w:pPr>
      <w:r>
        <w:t>Evidence Synthesis and Guidelines</w:t>
      </w:r>
    </w:p>
    <w:p w14:paraId="6D505910" w14:textId="77777777" w:rsidR="00072D19" w:rsidRPr="008551C2" w:rsidRDefault="00072D19" w:rsidP="00072D19"/>
    <w:p w14:paraId="3E75BA1E" w14:textId="77777777" w:rsidR="00072D19" w:rsidRDefault="00072D19" w:rsidP="00072D19">
      <w:pPr>
        <w:pStyle w:val="Heading4"/>
      </w:pPr>
      <w:r>
        <w:t>Data and Information Systems</w:t>
      </w:r>
    </w:p>
    <w:p w14:paraId="4571DBC0" w14:textId="77777777" w:rsidR="00072D19" w:rsidRPr="008551C2" w:rsidRDefault="00072D19" w:rsidP="00072D19"/>
    <w:p w14:paraId="3C084033" w14:textId="77777777" w:rsidR="00072D19" w:rsidRDefault="00072D19" w:rsidP="00072D19">
      <w:pPr>
        <w:pStyle w:val="Heading4"/>
      </w:pPr>
      <w:r>
        <w:t>Benchmarking</w:t>
      </w:r>
    </w:p>
    <w:p w14:paraId="2393AA23" w14:textId="77777777" w:rsidR="00072D19" w:rsidRPr="008551C2" w:rsidRDefault="00072D19" w:rsidP="00072D19"/>
    <w:p w14:paraId="72F2D0BC" w14:textId="77777777" w:rsidR="00072D19" w:rsidRDefault="00072D19" w:rsidP="00072D19">
      <w:pPr>
        <w:pStyle w:val="Heading4"/>
      </w:pPr>
      <w:r>
        <w:t>Implementation</w:t>
      </w:r>
    </w:p>
    <w:p w14:paraId="683EBC33" w14:textId="77777777" w:rsidR="00072D19" w:rsidRPr="008551C2" w:rsidRDefault="00072D19" w:rsidP="00072D19"/>
    <w:p w14:paraId="49C6CCC4" w14:textId="77777777" w:rsidR="00072D19" w:rsidRDefault="00072D19" w:rsidP="00072D19">
      <w:pPr>
        <w:pStyle w:val="Heading4"/>
      </w:pPr>
      <w:r>
        <w:t>Healthcare Improvement</w:t>
      </w:r>
    </w:p>
    <w:p w14:paraId="6AAA45AE" w14:textId="77777777" w:rsidR="00072D19" w:rsidRDefault="00072D19" w:rsidP="00072D19"/>
    <w:p w14:paraId="2140132F" w14:textId="77777777" w:rsidR="00EA5667" w:rsidRPr="00EA5667" w:rsidRDefault="00EA5667" w:rsidP="00EA5667"/>
    <w:sectPr w:rsidR="00EA5667" w:rsidRPr="00EA5667" w:rsidSect="008551C2">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C4DF2" w14:textId="77777777" w:rsidR="00F44639" w:rsidRDefault="00F44639" w:rsidP="00515AAD">
      <w:pPr>
        <w:spacing w:after="0" w:line="240" w:lineRule="auto"/>
      </w:pPr>
      <w:r>
        <w:separator/>
      </w:r>
    </w:p>
  </w:endnote>
  <w:endnote w:type="continuationSeparator" w:id="0">
    <w:p w14:paraId="3028C410" w14:textId="77777777" w:rsidR="00F44639" w:rsidRDefault="00F44639" w:rsidP="00515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BE115" w14:textId="4C23485B" w:rsidR="00515AAD" w:rsidRPr="00515AAD" w:rsidRDefault="00515AAD" w:rsidP="00515AAD">
    <w:pPr>
      <w:pStyle w:val="Footer"/>
      <w:jc w:val="right"/>
      <w:rPr>
        <w:sz w:val="16"/>
        <w:szCs w:val="16"/>
      </w:rPr>
    </w:pPr>
    <w:r w:rsidRPr="00515AAD">
      <w:rPr>
        <w:sz w:val="16"/>
        <w:szCs w:val="16"/>
      </w:rPr>
      <w:t>Version 1: July 2023</w:t>
    </w:r>
    <w:r w:rsidR="00EA6745" w:rsidRPr="00EA6745">
      <w:t xml:space="preserve"> </w:t>
    </w:r>
    <w:r w:rsidR="00EA6745">
      <w:br/>
    </w:r>
    <w:r w:rsidR="00EA6745" w:rsidRPr="00EA6745">
      <w:rPr>
        <w:sz w:val="16"/>
        <w:szCs w:val="16"/>
      </w:rPr>
      <w:t>© 2025 Monash University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40F6E" w14:textId="77777777" w:rsidR="00F44639" w:rsidRDefault="00F44639" w:rsidP="00515AAD">
      <w:pPr>
        <w:spacing w:after="0" w:line="240" w:lineRule="auto"/>
      </w:pPr>
      <w:r>
        <w:separator/>
      </w:r>
    </w:p>
  </w:footnote>
  <w:footnote w:type="continuationSeparator" w:id="0">
    <w:p w14:paraId="0AD7079E" w14:textId="77777777" w:rsidR="00F44639" w:rsidRDefault="00F44639" w:rsidP="00515A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10149"/>
    <w:multiLevelType w:val="hybridMultilevel"/>
    <w:tmpl w:val="1BEEBA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C5C3363"/>
    <w:multiLevelType w:val="hybridMultilevel"/>
    <w:tmpl w:val="109694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0C21D9E"/>
    <w:multiLevelType w:val="hybridMultilevel"/>
    <w:tmpl w:val="DC541B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B9C75DF"/>
    <w:multiLevelType w:val="hybridMultilevel"/>
    <w:tmpl w:val="6DBE9F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72102144">
    <w:abstractNumId w:val="0"/>
  </w:num>
  <w:num w:numId="2" w16cid:durableId="2125541194">
    <w:abstractNumId w:val="2"/>
  </w:num>
  <w:num w:numId="3" w16cid:durableId="584152153">
    <w:abstractNumId w:val="1"/>
  </w:num>
  <w:num w:numId="4" w16cid:durableId="13686081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27C"/>
    <w:rsid w:val="00021084"/>
    <w:rsid w:val="00024C1B"/>
    <w:rsid w:val="00030F09"/>
    <w:rsid w:val="00072D19"/>
    <w:rsid w:val="000A4476"/>
    <w:rsid w:val="00146905"/>
    <w:rsid w:val="001A2FA7"/>
    <w:rsid w:val="001E7F4B"/>
    <w:rsid w:val="002934C8"/>
    <w:rsid w:val="002D4E15"/>
    <w:rsid w:val="00353CB4"/>
    <w:rsid w:val="00377E11"/>
    <w:rsid w:val="0040624F"/>
    <w:rsid w:val="004508B0"/>
    <w:rsid w:val="00482DA4"/>
    <w:rsid w:val="00515AAD"/>
    <w:rsid w:val="00591533"/>
    <w:rsid w:val="005E5AF6"/>
    <w:rsid w:val="008551C2"/>
    <w:rsid w:val="00866C95"/>
    <w:rsid w:val="00955CA4"/>
    <w:rsid w:val="00A5227C"/>
    <w:rsid w:val="00AE5D3F"/>
    <w:rsid w:val="00AF787C"/>
    <w:rsid w:val="00B609C8"/>
    <w:rsid w:val="00B854F6"/>
    <w:rsid w:val="00BF114F"/>
    <w:rsid w:val="00BF25F3"/>
    <w:rsid w:val="00CA2BEB"/>
    <w:rsid w:val="00D17D24"/>
    <w:rsid w:val="00D31847"/>
    <w:rsid w:val="00DA65BC"/>
    <w:rsid w:val="00EA5667"/>
    <w:rsid w:val="00EA6745"/>
    <w:rsid w:val="00F301D3"/>
    <w:rsid w:val="00F44639"/>
    <w:rsid w:val="00FD599B"/>
    <w:rsid w:val="00FE7F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95C97"/>
  <w15:chartTrackingRefBased/>
  <w15:docId w15:val="{283DF068-88BA-4998-B171-E3680CF44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227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5227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854F6"/>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unhideWhenUsed/>
    <w:qFormat/>
    <w:rsid w:val="008551C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227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5227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854F6"/>
    <w:rPr>
      <w:rFonts w:asciiTheme="majorHAnsi" w:eastAsiaTheme="majorEastAsia" w:hAnsiTheme="majorHAnsi" w:cstheme="majorBidi"/>
      <w:color w:val="1F3763" w:themeColor="accent1" w:themeShade="7F"/>
      <w:szCs w:val="24"/>
    </w:rPr>
  </w:style>
  <w:style w:type="table" w:styleId="TableGrid">
    <w:name w:val="Table Grid"/>
    <w:basedOn w:val="TableNormal"/>
    <w:uiPriority w:val="39"/>
    <w:rsid w:val="00A522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551C2"/>
    <w:pPr>
      <w:ind w:left="720"/>
      <w:contextualSpacing/>
    </w:pPr>
  </w:style>
  <w:style w:type="character" w:customStyle="1" w:styleId="Heading4Char">
    <w:name w:val="Heading 4 Char"/>
    <w:basedOn w:val="DefaultParagraphFont"/>
    <w:link w:val="Heading4"/>
    <w:uiPriority w:val="9"/>
    <w:rsid w:val="008551C2"/>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515A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5AAD"/>
  </w:style>
  <w:style w:type="paragraph" w:styleId="Footer">
    <w:name w:val="footer"/>
    <w:basedOn w:val="Normal"/>
    <w:link w:val="FooterChar"/>
    <w:uiPriority w:val="99"/>
    <w:unhideWhenUsed/>
    <w:rsid w:val="00515A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5AAD"/>
  </w:style>
  <w:style w:type="character" w:styleId="CommentReference">
    <w:name w:val="annotation reference"/>
    <w:basedOn w:val="DefaultParagraphFont"/>
    <w:uiPriority w:val="99"/>
    <w:semiHidden/>
    <w:unhideWhenUsed/>
    <w:rsid w:val="002D4E15"/>
    <w:rPr>
      <w:sz w:val="16"/>
      <w:szCs w:val="16"/>
    </w:rPr>
  </w:style>
  <w:style w:type="paragraph" w:styleId="CommentText">
    <w:name w:val="annotation text"/>
    <w:basedOn w:val="Normal"/>
    <w:link w:val="CommentTextChar"/>
    <w:uiPriority w:val="99"/>
    <w:unhideWhenUsed/>
    <w:rsid w:val="002D4E15"/>
    <w:pPr>
      <w:spacing w:line="240" w:lineRule="auto"/>
    </w:pPr>
    <w:rPr>
      <w:rFonts w:ascii="Calibri" w:eastAsia="Calibri" w:hAnsi="Calibri" w:cs="Calibri"/>
      <w:sz w:val="20"/>
      <w:szCs w:val="20"/>
      <w:lang w:val="en-GB" w:eastAsia="en-AU"/>
    </w:rPr>
  </w:style>
  <w:style w:type="character" w:customStyle="1" w:styleId="CommentTextChar">
    <w:name w:val="Comment Text Char"/>
    <w:basedOn w:val="DefaultParagraphFont"/>
    <w:link w:val="CommentText"/>
    <w:uiPriority w:val="99"/>
    <w:rsid w:val="002D4E15"/>
    <w:rPr>
      <w:rFonts w:ascii="Calibri" w:eastAsia="Calibri" w:hAnsi="Calibri" w:cs="Calibri"/>
      <w:sz w:val="20"/>
      <w:szCs w:val="20"/>
      <w:lang w:val="en-GB" w:eastAsia="en-AU"/>
    </w:rPr>
  </w:style>
  <w:style w:type="paragraph" w:styleId="BalloonText">
    <w:name w:val="Balloon Text"/>
    <w:basedOn w:val="Normal"/>
    <w:link w:val="BalloonTextChar"/>
    <w:uiPriority w:val="99"/>
    <w:semiHidden/>
    <w:unhideWhenUsed/>
    <w:rsid w:val="002D4E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E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36490">
      <w:bodyDiv w:val="1"/>
      <w:marLeft w:val="0"/>
      <w:marRight w:val="0"/>
      <w:marTop w:val="0"/>
      <w:marBottom w:val="0"/>
      <w:divBdr>
        <w:top w:val="none" w:sz="0" w:space="0" w:color="auto"/>
        <w:left w:val="none" w:sz="0" w:space="0" w:color="auto"/>
        <w:bottom w:val="none" w:sz="0" w:space="0" w:color="auto"/>
        <w:right w:val="none" w:sz="0" w:space="0" w:color="auto"/>
      </w:divBdr>
    </w:div>
    <w:div w:id="645092603">
      <w:bodyDiv w:val="1"/>
      <w:marLeft w:val="0"/>
      <w:marRight w:val="0"/>
      <w:marTop w:val="0"/>
      <w:marBottom w:val="0"/>
      <w:divBdr>
        <w:top w:val="none" w:sz="0" w:space="0" w:color="auto"/>
        <w:left w:val="none" w:sz="0" w:space="0" w:color="auto"/>
        <w:bottom w:val="none" w:sz="0" w:space="0" w:color="auto"/>
        <w:right w:val="none" w:sz="0" w:space="0" w:color="auto"/>
      </w:divBdr>
    </w:div>
    <w:div w:id="811098671">
      <w:bodyDiv w:val="1"/>
      <w:marLeft w:val="0"/>
      <w:marRight w:val="0"/>
      <w:marTop w:val="0"/>
      <w:marBottom w:val="0"/>
      <w:divBdr>
        <w:top w:val="none" w:sz="0" w:space="0" w:color="auto"/>
        <w:left w:val="none" w:sz="0" w:space="0" w:color="auto"/>
        <w:bottom w:val="none" w:sz="0" w:space="0" w:color="auto"/>
        <w:right w:val="none" w:sz="0" w:space="0" w:color="auto"/>
      </w:divBdr>
    </w:div>
    <w:div w:id="896205907">
      <w:bodyDiv w:val="1"/>
      <w:marLeft w:val="0"/>
      <w:marRight w:val="0"/>
      <w:marTop w:val="0"/>
      <w:marBottom w:val="0"/>
      <w:divBdr>
        <w:top w:val="none" w:sz="0" w:space="0" w:color="auto"/>
        <w:left w:val="none" w:sz="0" w:space="0" w:color="auto"/>
        <w:bottom w:val="none" w:sz="0" w:space="0" w:color="auto"/>
        <w:right w:val="none" w:sz="0" w:space="0" w:color="auto"/>
      </w:divBdr>
    </w:div>
    <w:div w:id="1354653963">
      <w:bodyDiv w:val="1"/>
      <w:marLeft w:val="0"/>
      <w:marRight w:val="0"/>
      <w:marTop w:val="0"/>
      <w:marBottom w:val="0"/>
      <w:divBdr>
        <w:top w:val="none" w:sz="0" w:space="0" w:color="auto"/>
        <w:left w:val="none" w:sz="0" w:space="0" w:color="auto"/>
        <w:bottom w:val="none" w:sz="0" w:space="0" w:color="auto"/>
        <w:right w:val="none" w:sz="0" w:space="0" w:color="auto"/>
      </w:divBdr>
    </w:div>
    <w:div w:id="1674141431">
      <w:bodyDiv w:val="1"/>
      <w:marLeft w:val="0"/>
      <w:marRight w:val="0"/>
      <w:marTop w:val="0"/>
      <w:marBottom w:val="0"/>
      <w:divBdr>
        <w:top w:val="none" w:sz="0" w:space="0" w:color="auto"/>
        <w:left w:val="none" w:sz="0" w:space="0" w:color="auto"/>
        <w:bottom w:val="none" w:sz="0" w:space="0" w:color="auto"/>
        <w:right w:val="none" w:sz="0" w:space="0" w:color="auto"/>
      </w:divBdr>
    </w:div>
    <w:div w:id="1817143809">
      <w:bodyDiv w:val="1"/>
      <w:marLeft w:val="0"/>
      <w:marRight w:val="0"/>
      <w:marTop w:val="0"/>
      <w:marBottom w:val="0"/>
      <w:divBdr>
        <w:top w:val="none" w:sz="0" w:space="0" w:color="auto"/>
        <w:left w:val="none" w:sz="0" w:space="0" w:color="auto"/>
        <w:bottom w:val="none" w:sz="0" w:space="0" w:color="auto"/>
        <w:right w:val="none" w:sz="0" w:space="0" w:color="auto"/>
      </w:divBdr>
    </w:div>
    <w:div w:id="2062514753">
      <w:bodyDiv w:val="1"/>
      <w:marLeft w:val="0"/>
      <w:marRight w:val="0"/>
      <w:marTop w:val="0"/>
      <w:marBottom w:val="0"/>
      <w:divBdr>
        <w:top w:val="none" w:sz="0" w:space="0" w:color="auto"/>
        <w:left w:val="none" w:sz="0" w:space="0" w:color="auto"/>
        <w:bottom w:val="none" w:sz="0" w:space="0" w:color="auto"/>
        <w:right w:val="none" w:sz="0" w:space="0" w:color="auto"/>
      </w:divBdr>
    </w:div>
    <w:div w:id="2096048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dkraj2\Second-Brain\3%20Ongoing%20Work\Study%203%20-%20LHS%20Maturity%20Matrix\LHS%20Toolkit%20Development\Manuscript\supplementary_info\S4-AustraliaStrokeLHS_Monash_LHS_maturitymatrix_20241003.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ad.monash.edu\shared\MNHS-SPHPM-School\MPAHSC\PLATFORMS\Data%20Driven%20Healthcare%20and%20Informatics\Working%20files\Hub\LHS_Implementation\playing%20with%20evidence%20matrix.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400" b="0" i="0">
                <a:solidFill>
                  <a:srgbClr val="757575"/>
                </a:solidFill>
                <a:latin typeface="+mn-lt"/>
              </a:defRPr>
            </a:pPr>
            <a:r>
              <a:rPr lang="en-GB" sz="1400" b="0" i="0">
                <a:solidFill>
                  <a:srgbClr val="757575"/>
                </a:solidFill>
                <a:latin typeface="+mn-lt"/>
              </a:rPr>
              <a:t>Australian</a:t>
            </a:r>
            <a:r>
              <a:rPr lang="en-GB" sz="1400" b="0" i="0" baseline="0">
                <a:solidFill>
                  <a:srgbClr val="757575"/>
                </a:solidFill>
                <a:latin typeface="+mn-lt"/>
              </a:rPr>
              <a:t> Stroke LHS</a:t>
            </a:r>
            <a:endParaRPr lang="en-GB" sz="1400" b="0" i="0">
              <a:solidFill>
                <a:srgbClr val="757575"/>
              </a:solidFill>
              <a:latin typeface="+mn-lt"/>
            </a:endParaRPr>
          </a:p>
        </c:rich>
      </c:tx>
      <c:layout>
        <c:manualLayout>
          <c:xMode val="edge"/>
          <c:yMode val="edge"/>
          <c:x val="0.81107199677419528"/>
          <c:y val="3.3599756176887458E-2"/>
        </c:manualLayout>
      </c:layout>
      <c:overlay val="0"/>
    </c:title>
    <c:autoTitleDeleted val="0"/>
    <c:plotArea>
      <c:layout/>
      <c:radarChart>
        <c:radarStyle val="marker"/>
        <c:varyColors val="1"/>
        <c:ser>
          <c:idx val="0"/>
          <c:order val="0"/>
          <c:tx>
            <c:strRef>
              <c:f>'Summary Sheet'!$C$2</c:f>
              <c:strCache>
                <c:ptCount val="1"/>
                <c:pt idx="0">
                  <c:v>Start of Project</c:v>
                </c:pt>
              </c:strCache>
            </c:strRef>
          </c:tx>
          <c:spPr>
            <a:ln cmpd="sng">
              <a:solidFill>
                <a:srgbClr val="4472C4"/>
              </a:solidFill>
            </a:ln>
          </c:spPr>
          <c:marker>
            <c:symbol val="none"/>
          </c:marker>
          <c:cat>
            <c:strRef>
              <c:f>'Summary Sheet'!$B$3:$B$10</c:f>
              <c:strCache>
                <c:ptCount val="8"/>
                <c:pt idx="0">
                  <c:v>Engagement of People</c:v>
                </c:pt>
                <c:pt idx="1">
                  <c:v>Identifying Priorities</c:v>
                </c:pt>
                <c:pt idx="2">
                  <c:v>Evidence Based Information</c:v>
                </c:pt>
                <c:pt idx="3">
                  <c:v>Evidence Synthesis and Guidelines</c:v>
                </c:pt>
                <c:pt idx="4">
                  <c:v>Data and Information Systems</c:v>
                </c:pt>
                <c:pt idx="5">
                  <c:v>Benchmarking</c:v>
                </c:pt>
                <c:pt idx="6">
                  <c:v>Implementation</c:v>
                </c:pt>
                <c:pt idx="7">
                  <c:v>Healthcare Improvement</c:v>
                </c:pt>
              </c:strCache>
            </c:strRef>
          </c:cat>
          <c:val>
            <c:numRef>
              <c:f>'Summary Sheet'!$C$3:$C$10</c:f>
              <c:numCache>
                <c:formatCode>0.00</c:formatCode>
                <c:ptCount val="8"/>
                <c:pt idx="0">
                  <c:v>5</c:v>
                </c:pt>
                <c:pt idx="1">
                  <c:v>3</c:v>
                </c:pt>
                <c:pt idx="2">
                  <c:v>5</c:v>
                </c:pt>
                <c:pt idx="3">
                  <c:v>5</c:v>
                </c:pt>
                <c:pt idx="4">
                  <c:v>5</c:v>
                </c:pt>
                <c:pt idx="5">
                  <c:v>5</c:v>
                </c:pt>
                <c:pt idx="6">
                  <c:v>5</c:v>
                </c:pt>
                <c:pt idx="7">
                  <c:v>4</c:v>
                </c:pt>
              </c:numCache>
            </c:numRef>
          </c:val>
          <c:extLst>
            <c:ext xmlns:c16="http://schemas.microsoft.com/office/drawing/2014/chart" uri="{C3380CC4-5D6E-409C-BE32-E72D297353CC}">
              <c16:uniqueId val="{00000000-03B9-48A6-9E65-256C02A4B054}"/>
            </c:ext>
          </c:extLst>
        </c:ser>
        <c:dLbls>
          <c:showLegendKey val="0"/>
          <c:showVal val="0"/>
          <c:showCatName val="0"/>
          <c:showSerName val="0"/>
          <c:showPercent val="0"/>
          <c:showBubbleSize val="0"/>
        </c:dLbls>
        <c:axId val="73824128"/>
        <c:axId val="2095661225"/>
      </c:radarChart>
      <c:catAx>
        <c:axId val="73824128"/>
        <c:scaling>
          <c:orientation val="minMax"/>
        </c:scaling>
        <c:delete val="0"/>
        <c:axPos val="b"/>
        <c:title>
          <c:tx>
            <c:rich>
              <a:bodyPr/>
              <a:lstStyle/>
              <a:p>
                <a:pPr lvl="0">
                  <a:defRPr b="0">
                    <a:solidFill>
                      <a:srgbClr val="000000"/>
                    </a:solidFill>
                    <a:latin typeface="+mn-lt"/>
                  </a:defRPr>
                </a:pPr>
                <a:endParaRPr lang="en-GB"/>
              </a:p>
            </c:rich>
          </c:tx>
          <c:overlay val="0"/>
        </c:title>
        <c:numFmt formatCode="General" sourceLinked="1"/>
        <c:majorTickMark val="none"/>
        <c:minorTickMark val="none"/>
        <c:tickLblPos val="nextTo"/>
        <c:txPr>
          <a:bodyPr/>
          <a:lstStyle/>
          <a:p>
            <a:pPr lvl="0">
              <a:defRPr b="0">
                <a:solidFill>
                  <a:srgbClr val="000000"/>
                </a:solidFill>
                <a:latin typeface="+mn-lt"/>
              </a:defRPr>
            </a:pPr>
            <a:endParaRPr lang="en-US"/>
          </a:p>
        </c:txPr>
        <c:crossAx val="2095661225"/>
        <c:crosses val="autoZero"/>
        <c:auto val="1"/>
        <c:lblAlgn val="ctr"/>
        <c:lblOffset val="100"/>
        <c:noMultiLvlLbl val="1"/>
      </c:catAx>
      <c:valAx>
        <c:axId val="2095661225"/>
        <c:scaling>
          <c:orientation val="minMax"/>
        </c:scaling>
        <c:delete val="0"/>
        <c:axPos val="l"/>
        <c:majorGridlines>
          <c:spPr>
            <a:ln>
              <a:solidFill>
                <a:srgbClr val="B7B7B7"/>
              </a:solidFill>
            </a:ln>
          </c:spPr>
        </c:majorGridlines>
        <c:minorGridlines>
          <c:spPr>
            <a:ln>
              <a:solidFill>
                <a:srgbClr val="CCCCCC">
                  <a:alpha val="0"/>
                </a:srgbClr>
              </a:solidFill>
            </a:ln>
          </c:spPr>
        </c:minorGridlines>
        <c:title>
          <c:tx>
            <c:rich>
              <a:bodyPr/>
              <a:lstStyle/>
              <a:p>
                <a:pPr lvl="0">
                  <a:defRPr b="0">
                    <a:solidFill>
                      <a:srgbClr val="000000"/>
                    </a:solidFill>
                    <a:latin typeface="+mn-lt"/>
                  </a:defRPr>
                </a:pPr>
                <a:endParaRPr lang="en-GB"/>
              </a:p>
            </c:rich>
          </c:tx>
          <c:overlay val="0"/>
        </c:title>
        <c:numFmt formatCode="0.00" sourceLinked="1"/>
        <c:majorTickMark val="none"/>
        <c:minorTickMark val="none"/>
        <c:tickLblPos val="nextTo"/>
        <c:spPr>
          <a:ln/>
        </c:spPr>
        <c:txPr>
          <a:bodyPr/>
          <a:lstStyle/>
          <a:p>
            <a:pPr lvl="0">
              <a:defRPr b="0">
                <a:solidFill>
                  <a:srgbClr val="000000"/>
                </a:solidFill>
                <a:latin typeface="+mn-lt"/>
              </a:defRPr>
            </a:pPr>
            <a:endParaRPr lang="en-US"/>
          </a:p>
        </c:txPr>
        <c:crossAx val="73824128"/>
        <c:crosses val="autoZero"/>
        <c:crossBetween val="between"/>
      </c:valAx>
    </c:plotArea>
    <c:legend>
      <c:legendPos val="r"/>
      <c:overlay val="0"/>
      <c:txPr>
        <a:bodyPr/>
        <a:lstStyle/>
        <a:p>
          <a:pPr lvl="0">
            <a:defRPr sz="900" b="0" i="0">
              <a:solidFill>
                <a:srgbClr val="1A1A1A"/>
              </a:solidFill>
              <a:latin typeface="+mn-lt"/>
            </a:defRPr>
          </a:pPr>
          <a:endParaRPr lang="en-US"/>
        </a:p>
      </c:txPr>
    </c:legend>
    <c:plotVisOnly val="1"/>
    <c:dispBlanksAs val="zero"/>
    <c:showDLblsOverMax val="1"/>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Learning Health System Maturity Matrix</a:t>
            </a:r>
          </a:p>
        </c:rich>
      </c:tx>
      <c:layout>
        <c:manualLayout>
          <c:xMode val="edge"/>
          <c:yMode val="edge"/>
          <c:x val="0.81107199677419528"/>
          <c:y val="3.359975617688745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tx>
            <c:strRef>
              <c:f>'[MP_LHS_maturity_grid_14_June.xlsx]Summary Sheet'!$C$2</c:f>
              <c:strCache>
                <c:ptCount val="1"/>
                <c:pt idx="0">
                  <c:v>Maturity score - Project Start</c:v>
                </c:pt>
              </c:strCache>
            </c:strRef>
          </c:tx>
          <c:spPr>
            <a:ln w="28575" cap="rnd">
              <a:solidFill>
                <a:schemeClr val="accent1"/>
              </a:solidFill>
              <a:round/>
            </a:ln>
            <a:effectLst/>
          </c:spPr>
          <c:marker>
            <c:symbol val="none"/>
          </c:marker>
          <c:cat>
            <c:strRef>
              <c:f>'[1]Summary Sheet'!$B$3:$B$10</c:f>
              <c:strCache>
                <c:ptCount val="8"/>
                <c:pt idx="0">
                  <c:v>Engagement of People</c:v>
                </c:pt>
                <c:pt idx="1">
                  <c:v>Indentifying Priorities</c:v>
                </c:pt>
                <c:pt idx="2">
                  <c:v>Evidence Based Information</c:v>
                </c:pt>
                <c:pt idx="3">
                  <c:v>Evidence Synthesis and Guidelines</c:v>
                </c:pt>
                <c:pt idx="4">
                  <c:v>Data and Information Systems</c:v>
                </c:pt>
                <c:pt idx="5">
                  <c:v>Benchmarking</c:v>
                </c:pt>
                <c:pt idx="6">
                  <c:v>Implementation</c:v>
                </c:pt>
                <c:pt idx="7">
                  <c:v>Healthcare Improvement</c:v>
                </c:pt>
              </c:strCache>
            </c:strRef>
          </c:cat>
          <c:val>
            <c:numRef>
              <c:f>'[1]Summary Sheet'!$C$3:$C$10</c:f>
              <c:numCache>
                <c:formatCode>0.00</c:formatCode>
                <c:ptCount val="8"/>
                <c:pt idx="0">
                  <c:v>2</c:v>
                </c:pt>
                <c:pt idx="1">
                  <c:v>1</c:v>
                </c:pt>
                <c:pt idx="2">
                  <c:v>2</c:v>
                </c:pt>
                <c:pt idx="3">
                  <c:v>2</c:v>
                </c:pt>
                <c:pt idx="4">
                  <c:v>1</c:v>
                </c:pt>
                <c:pt idx="5">
                  <c:v>1</c:v>
                </c:pt>
                <c:pt idx="6">
                  <c:v>1</c:v>
                </c:pt>
                <c:pt idx="7">
                  <c:v>1</c:v>
                </c:pt>
              </c:numCache>
            </c:numRef>
          </c:val>
          <c:extLst>
            <c:ext xmlns:c16="http://schemas.microsoft.com/office/drawing/2014/chart" uri="{C3380CC4-5D6E-409C-BE32-E72D297353CC}">
              <c16:uniqueId val="{00000000-68AA-48CE-A46E-945B3146FBEE}"/>
            </c:ext>
          </c:extLst>
        </c:ser>
        <c:ser>
          <c:idx val="1"/>
          <c:order val="1"/>
          <c:tx>
            <c:strRef>
              <c:f>'[MP_LHS_maturity_grid_14_June.xlsx]Summary Sheet'!$D$2</c:f>
              <c:strCache>
                <c:ptCount val="1"/>
                <c:pt idx="0">
                  <c:v>Maturity score - March 2023</c:v>
                </c:pt>
              </c:strCache>
            </c:strRef>
          </c:tx>
          <c:spPr>
            <a:ln w="28575" cap="rnd">
              <a:solidFill>
                <a:schemeClr val="accent2"/>
              </a:solidFill>
              <a:round/>
            </a:ln>
            <a:effectLst/>
          </c:spPr>
          <c:marker>
            <c:symbol val="none"/>
          </c:marker>
          <c:cat>
            <c:strRef>
              <c:f>'[1]Summary Sheet'!$B$3:$B$10</c:f>
              <c:strCache>
                <c:ptCount val="8"/>
                <c:pt idx="0">
                  <c:v>Engagement of People</c:v>
                </c:pt>
                <c:pt idx="1">
                  <c:v>Indentifying Priorities</c:v>
                </c:pt>
                <c:pt idx="2">
                  <c:v>Evidence Based Information</c:v>
                </c:pt>
                <c:pt idx="3">
                  <c:v>Evidence Synthesis and Guidelines</c:v>
                </c:pt>
                <c:pt idx="4">
                  <c:v>Data and Information Systems</c:v>
                </c:pt>
                <c:pt idx="5">
                  <c:v>Benchmarking</c:v>
                </c:pt>
                <c:pt idx="6">
                  <c:v>Implementation</c:v>
                </c:pt>
                <c:pt idx="7">
                  <c:v>Healthcare Improvement</c:v>
                </c:pt>
              </c:strCache>
            </c:strRef>
          </c:cat>
          <c:val>
            <c:numRef>
              <c:f>'[1]Summary Sheet'!$D$3:$D$10</c:f>
              <c:numCache>
                <c:formatCode>0.00</c:formatCode>
                <c:ptCount val="8"/>
                <c:pt idx="0">
                  <c:v>3</c:v>
                </c:pt>
                <c:pt idx="1">
                  <c:v>2</c:v>
                </c:pt>
                <c:pt idx="2">
                  <c:v>3</c:v>
                </c:pt>
                <c:pt idx="3">
                  <c:v>3</c:v>
                </c:pt>
                <c:pt idx="4">
                  <c:v>2</c:v>
                </c:pt>
                <c:pt idx="5">
                  <c:v>1</c:v>
                </c:pt>
                <c:pt idx="6">
                  <c:v>2</c:v>
                </c:pt>
                <c:pt idx="7">
                  <c:v>2</c:v>
                </c:pt>
              </c:numCache>
            </c:numRef>
          </c:val>
          <c:extLst>
            <c:ext xmlns:c16="http://schemas.microsoft.com/office/drawing/2014/chart" uri="{C3380CC4-5D6E-409C-BE32-E72D297353CC}">
              <c16:uniqueId val="{00000001-68AA-48CE-A46E-945B3146FBEE}"/>
            </c:ext>
          </c:extLst>
        </c:ser>
        <c:ser>
          <c:idx val="2"/>
          <c:order val="2"/>
          <c:tx>
            <c:strRef>
              <c:f>'[MP_LHS_maturity_grid_14_June.xlsx]Summary Sheet'!$E$2</c:f>
              <c:strCache>
                <c:ptCount val="1"/>
                <c:pt idx="0">
                  <c:v>Maturity score - March 2024</c:v>
                </c:pt>
              </c:strCache>
            </c:strRef>
          </c:tx>
          <c:spPr>
            <a:ln w="28575" cap="rnd">
              <a:solidFill>
                <a:schemeClr val="accent3"/>
              </a:solidFill>
              <a:round/>
            </a:ln>
            <a:effectLst/>
          </c:spPr>
          <c:marker>
            <c:symbol val="none"/>
          </c:marker>
          <c:cat>
            <c:strRef>
              <c:f>'[1]Summary Sheet'!$B$3:$B$10</c:f>
              <c:strCache>
                <c:ptCount val="8"/>
                <c:pt idx="0">
                  <c:v>Engagement of People</c:v>
                </c:pt>
                <c:pt idx="1">
                  <c:v>Indentifying Priorities</c:v>
                </c:pt>
                <c:pt idx="2">
                  <c:v>Evidence Based Information</c:v>
                </c:pt>
                <c:pt idx="3">
                  <c:v>Evidence Synthesis and Guidelines</c:v>
                </c:pt>
                <c:pt idx="4">
                  <c:v>Data and Information Systems</c:v>
                </c:pt>
                <c:pt idx="5">
                  <c:v>Benchmarking</c:v>
                </c:pt>
                <c:pt idx="6">
                  <c:v>Implementation</c:v>
                </c:pt>
                <c:pt idx="7">
                  <c:v>Healthcare Improvement</c:v>
                </c:pt>
              </c:strCache>
            </c:strRef>
          </c:cat>
          <c:val>
            <c:numRef>
              <c:f>'[1]Summary Sheet'!$E$3:$E$10</c:f>
              <c:numCache>
                <c:formatCode>0.00</c:formatCode>
                <c:ptCount val="8"/>
                <c:pt idx="0">
                  <c:v>0</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02-68AA-48CE-A46E-945B3146FBEE}"/>
            </c:ext>
          </c:extLst>
        </c:ser>
        <c:ser>
          <c:idx val="3"/>
          <c:order val="3"/>
          <c:tx>
            <c:strRef>
              <c:f>'[MP_LHS_maturity_grid_14_June.xlsx]Summary Sheet'!$F$2</c:f>
              <c:strCache>
                <c:ptCount val="1"/>
                <c:pt idx="0">
                  <c:v>Maturity score - March 2025</c:v>
                </c:pt>
              </c:strCache>
            </c:strRef>
          </c:tx>
          <c:spPr>
            <a:ln w="28575" cap="rnd">
              <a:solidFill>
                <a:schemeClr val="accent4"/>
              </a:solidFill>
              <a:round/>
            </a:ln>
            <a:effectLst/>
          </c:spPr>
          <c:marker>
            <c:symbol val="none"/>
          </c:marker>
          <c:cat>
            <c:strRef>
              <c:f>'[1]Summary Sheet'!$B$3:$B$10</c:f>
              <c:strCache>
                <c:ptCount val="8"/>
                <c:pt idx="0">
                  <c:v>Engagement of People</c:v>
                </c:pt>
                <c:pt idx="1">
                  <c:v>Indentifying Priorities</c:v>
                </c:pt>
                <c:pt idx="2">
                  <c:v>Evidence Based Information</c:v>
                </c:pt>
                <c:pt idx="3">
                  <c:v>Evidence Synthesis and Guidelines</c:v>
                </c:pt>
                <c:pt idx="4">
                  <c:v>Data and Information Systems</c:v>
                </c:pt>
                <c:pt idx="5">
                  <c:v>Benchmarking</c:v>
                </c:pt>
                <c:pt idx="6">
                  <c:v>Implementation</c:v>
                </c:pt>
                <c:pt idx="7">
                  <c:v>Healthcare Improvement</c:v>
                </c:pt>
              </c:strCache>
            </c:strRef>
          </c:cat>
          <c:val>
            <c:numRef>
              <c:f>'[1]Summary Sheet'!$F$3:$F$10</c:f>
              <c:numCache>
                <c:formatCode>0.00</c:formatCode>
                <c:ptCount val="8"/>
                <c:pt idx="0">
                  <c:v>0</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03-68AA-48CE-A46E-945B3146FBEE}"/>
            </c:ext>
          </c:extLst>
        </c:ser>
        <c:ser>
          <c:idx val="4"/>
          <c:order val="4"/>
          <c:tx>
            <c:strRef>
              <c:f>'[MP_LHS_maturity_grid_14_June.xlsx]Summary Sheet'!$G$2</c:f>
              <c:strCache>
                <c:ptCount val="1"/>
                <c:pt idx="0">
                  <c:v>Maturity score - March 2026</c:v>
                </c:pt>
              </c:strCache>
            </c:strRef>
          </c:tx>
          <c:spPr>
            <a:ln w="28575" cap="rnd">
              <a:solidFill>
                <a:schemeClr val="accent5"/>
              </a:solidFill>
              <a:round/>
            </a:ln>
            <a:effectLst/>
          </c:spPr>
          <c:marker>
            <c:symbol val="none"/>
          </c:marker>
          <c:cat>
            <c:strRef>
              <c:f>'[1]Summary Sheet'!$B$3:$B$10</c:f>
              <c:strCache>
                <c:ptCount val="8"/>
                <c:pt idx="0">
                  <c:v>Engagement of People</c:v>
                </c:pt>
                <c:pt idx="1">
                  <c:v>Indentifying Priorities</c:v>
                </c:pt>
                <c:pt idx="2">
                  <c:v>Evidence Based Information</c:v>
                </c:pt>
                <c:pt idx="3">
                  <c:v>Evidence Synthesis and Guidelines</c:v>
                </c:pt>
                <c:pt idx="4">
                  <c:v>Data and Information Systems</c:v>
                </c:pt>
                <c:pt idx="5">
                  <c:v>Benchmarking</c:v>
                </c:pt>
                <c:pt idx="6">
                  <c:v>Implementation</c:v>
                </c:pt>
                <c:pt idx="7">
                  <c:v>Healthcare Improvement</c:v>
                </c:pt>
              </c:strCache>
            </c:strRef>
          </c:cat>
          <c:val>
            <c:numRef>
              <c:f>'[1]Summary Sheet'!$G$3:$G$10</c:f>
              <c:numCache>
                <c:formatCode>0.00</c:formatCode>
                <c:ptCount val="8"/>
                <c:pt idx="0">
                  <c:v>0</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04-68AA-48CE-A46E-945B3146FBEE}"/>
            </c:ext>
          </c:extLst>
        </c:ser>
        <c:dLbls>
          <c:showLegendKey val="0"/>
          <c:showVal val="0"/>
          <c:showCatName val="0"/>
          <c:showSerName val="0"/>
          <c:showPercent val="0"/>
          <c:showBubbleSize val="0"/>
        </c:dLbls>
        <c:axId val="725528008"/>
        <c:axId val="725523416"/>
      </c:radarChart>
      <c:catAx>
        <c:axId val="725528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5523416"/>
        <c:crosses val="autoZero"/>
        <c:auto val="1"/>
        <c:lblAlgn val="ctr"/>
        <c:lblOffset val="100"/>
        <c:noMultiLvlLbl val="0"/>
      </c:catAx>
      <c:valAx>
        <c:axId val="725523416"/>
        <c:scaling>
          <c:orientation val="minMax"/>
          <c:max val="5"/>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5528008"/>
        <c:crosses val="autoZero"/>
        <c:crossBetween val="between"/>
        <c:majorUnit val="1"/>
        <c:minorUnit val="0.5"/>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7702</Words>
  <Characters>43907</Characters>
  <Application>Microsoft Office Word</Application>
  <DocSecurity>0</DocSecurity>
  <Lines>365</Lines>
  <Paragraphs>103</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51506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Johnson</dc:creator>
  <cp:keywords/>
  <dc:description/>
  <cp:lastModifiedBy>Darren Kelvin Rajit</cp:lastModifiedBy>
  <cp:revision>5</cp:revision>
  <dcterms:created xsi:type="dcterms:W3CDTF">2024-07-01T00:16:00Z</dcterms:created>
  <dcterms:modified xsi:type="dcterms:W3CDTF">2025-04-09T01:16:00Z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id="z353Uwbm"/&gt;&lt;style id="http://www.zotero.org/styles/vancouver-imperial-college-london" hasBibliography="1" bibliographyStyleHasBeenSet="0"/&gt;&lt;prefs&gt;&lt;pref name="fieldType" value="Field"/&gt;&lt;/prefs&gt;&lt;/d</vt:lpwstr>
  </property>
  <property fmtid="{D5CDD505-2E9C-101B-9397-08002B2CF9AE}" pid="3" name="ZOTERO_PREF_2">
    <vt:lpwstr>ata&gt;</vt:lpwstr>
  </property>
</Properties>
</file>