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89B2049" w14:textId="77777777" w:rsidR="002F6481" w:rsidRPr="001B751B" w:rsidRDefault="002F6481" w:rsidP="002F6481">
      <w:pPr>
        <w:spacing w:afterLines="200" w:after="480" w:line="360" w:lineRule="auto"/>
        <w:rPr>
          <w:rFonts w:cstheme="minorHAnsi"/>
          <w:b/>
          <w:sz w:val="24"/>
          <w:szCs w:val="24"/>
          <w:lang w:val="en-GB"/>
        </w:rPr>
      </w:pPr>
      <w:r w:rsidRPr="001B751B">
        <w:rPr>
          <w:rFonts w:cstheme="minorHAnsi"/>
          <w:b/>
          <w:sz w:val="24"/>
          <w:szCs w:val="24"/>
          <w:lang w:val="en-GB"/>
        </w:rPr>
        <w:t>SUPPLEMENTARY METHODS</w:t>
      </w:r>
    </w:p>
    <w:p w14:paraId="4232426C" w14:textId="77777777" w:rsidR="002F6481" w:rsidRPr="001B751B" w:rsidRDefault="002F6481" w:rsidP="002F6481">
      <w:pPr>
        <w:spacing w:after="0" w:line="360" w:lineRule="auto"/>
        <w:jc w:val="both"/>
        <w:rPr>
          <w:rFonts w:eastAsia="Calibri" w:cstheme="minorHAnsi"/>
          <w:b/>
          <w:bCs/>
          <w:lang w:val="en-GB"/>
        </w:rPr>
      </w:pPr>
      <w:r w:rsidRPr="001B751B">
        <w:rPr>
          <w:rFonts w:eastAsia="Calibri" w:cstheme="minorHAnsi"/>
          <w:b/>
          <w:bCs/>
          <w:lang w:val="en-GB"/>
        </w:rPr>
        <w:t xml:space="preserve">Blood processing for Quantitative Real Time-PCR (qRT-PCR) analysis </w:t>
      </w:r>
    </w:p>
    <w:tbl>
      <w:tblPr>
        <w:tblpPr w:leftFromText="141" w:rightFromText="141" w:vertAnchor="text" w:horzAnchor="margin" w:tblpY="8105"/>
        <w:tblW w:w="9447" w:type="dxa"/>
        <w:tblLook w:val="04A0" w:firstRow="1" w:lastRow="0" w:firstColumn="1" w:lastColumn="0" w:noHBand="0" w:noVBand="1"/>
      </w:tblPr>
      <w:tblGrid>
        <w:gridCol w:w="1640"/>
        <w:gridCol w:w="3724"/>
        <w:gridCol w:w="4083"/>
      </w:tblGrid>
      <w:tr w:rsidR="002F6481" w:rsidRPr="001B751B" w14:paraId="40E7C022" w14:textId="77777777" w:rsidTr="00CB6A39">
        <w:trPr>
          <w:trHeight w:val="509"/>
        </w:trPr>
        <w:tc>
          <w:tcPr>
            <w:tcW w:w="1640" w:type="dxa"/>
            <w:vMerge w:val="restart"/>
            <w:tcBorders>
              <w:top w:val="nil"/>
              <w:left w:val="nil"/>
              <w:bottom w:val="single" w:sz="4" w:space="0" w:color="000000"/>
              <w:right w:val="nil"/>
            </w:tcBorders>
            <w:shd w:val="clear" w:color="000000" w:fill="FFFFFF"/>
            <w:noWrap/>
            <w:vAlign w:val="center"/>
            <w:hideMark/>
          </w:tcPr>
          <w:p w14:paraId="1D2B0207" w14:textId="77777777" w:rsidR="002F6481" w:rsidRPr="001B751B" w:rsidRDefault="002F6481" w:rsidP="00CB6A39">
            <w:pPr>
              <w:spacing w:after="0" w:line="360" w:lineRule="auto"/>
              <w:rPr>
                <w:rFonts w:cstheme="minorHAnsi"/>
                <w:b/>
                <w:bCs/>
                <w:sz w:val="18"/>
                <w:szCs w:val="18"/>
                <w:lang w:val="en-GB"/>
              </w:rPr>
            </w:pPr>
            <w:r w:rsidRPr="001B751B">
              <w:rPr>
                <w:rFonts w:cstheme="minorHAnsi"/>
                <w:b/>
                <w:bCs/>
                <w:sz w:val="18"/>
                <w:szCs w:val="18"/>
                <w:lang w:val="en-GB"/>
              </w:rPr>
              <w:t>Gene</w:t>
            </w:r>
          </w:p>
        </w:tc>
        <w:tc>
          <w:tcPr>
            <w:tcW w:w="3724" w:type="dxa"/>
            <w:vMerge w:val="restart"/>
            <w:tcBorders>
              <w:top w:val="nil"/>
              <w:left w:val="single" w:sz="4" w:space="0" w:color="auto"/>
              <w:bottom w:val="single" w:sz="4" w:space="0" w:color="000000"/>
              <w:right w:val="nil"/>
            </w:tcBorders>
            <w:shd w:val="clear" w:color="000000" w:fill="FFFFFF"/>
            <w:noWrap/>
            <w:vAlign w:val="center"/>
            <w:hideMark/>
          </w:tcPr>
          <w:p w14:paraId="15F98363" w14:textId="77777777" w:rsidR="002F6481" w:rsidRPr="001B751B" w:rsidRDefault="002F6481" w:rsidP="00CB6A39">
            <w:pPr>
              <w:spacing w:after="0" w:line="360" w:lineRule="auto"/>
              <w:rPr>
                <w:rFonts w:cstheme="minorHAnsi"/>
                <w:b/>
                <w:bCs/>
                <w:sz w:val="18"/>
                <w:szCs w:val="18"/>
                <w:lang w:val="en-GB"/>
              </w:rPr>
            </w:pPr>
            <w:r w:rsidRPr="001B751B">
              <w:rPr>
                <w:rFonts w:cstheme="minorHAnsi"/>
                <w:b/>
                <w:bCs/>
                <w:sz w:val="18"/>
                <w:szCs w:val="18"/>
                <w:lang w:val="en-GB"/>
              </w:rPr>
              <w:t>Forward  5' -&gt; 3'</w:t>
            </w:r>
          </w:p>
        </w:tc>
        <w:tc>
          <w:tcPr>
            <w:tcW w:w="4083" w:type="dxa"/>
            <w:vMerge w:val="restart"/>
            <w:tcBorders>
              <w:top w:val="nil"/>
              <w:left w:val="single" w:sz="4" w:space="0" w:color="auto"/>
              <w:bottom w:val="single" w:sz="4" w:space="0" w:color="000000"/>
              <w:right w:val="nil"/>
            </w:tcBorders>
            <w:shd w:val="clear" w:color="000000" w:fill="FFFFFF"/>
            <w:noWrap/>
            <w:vAlign w:val="center"/>
            <w:hideMark/>
          </w:tcPr>
          <w:p w14:paraId="20323353" w14:textId="77777777" w:rsidR="002F6481" w:rsidRPr="001B751B" w:rsidRDefault="002F6481" w:rsidP="00CB6A39">
            <w:pPr>
              <w:spacing w:after="0" w:line="360" w:lineRule="auto"/>
              <w:rPr>
                <w:rFonts w:cstheme="minorHAnsi"/>
                <w:b/>
                <w:bCs/>
                <w:sz w:val="18"/>
                <w:szCs w:val="18"/>
                <w:lang w:val="en-GB"/>
              </w:rPr>
            </w:pPr>
            <w:r w:rsidRPr="001B751B">
              <w:rPr>
                <w:rFonts w:cstheme="minorHAnsi"/>
                <w:b/>
                <w:bCs/>
                <w:sz w:val="18"/>
                <w:szCs w:val="18"/>
                <w:lang w:val="en-GB"/>
              </w:rPr>
              <w:t>Reverse  5' -&gt; 3'</w:t>
            </w:r>
          </w:p>
        </w:tc>
      </w:tr>
      <w:tr w:rsidR="002F6481" w:rsidRPr="001B751B" w14:paraId="7E0ED60A" w14:textId="77777777" w:rsidTr="00CB6A39">
        <w:trPr>
          <w:trHeight w:val="509"/>
        </w:trPr>
        <w:tc>
          <w:tcPr>
            <w:tcW w:w="1640" w:type="dxa"/>
            <w:vMerge/>
            <w:tcBorders>
              <w:top w:val="nil"/>
              <w:left w:val="nil"/>
              <w:bottom w:val="single" w:sz="4" w:space="0" w:color="000000"/>
              <w:right w:val="nil"/>
            </w:tcBorders>
            <w:vAlign w:val="center"/>
            <w:hideMark/>
          </w:tcPr>
          <w:p w14:paraId="15C2AF0C" w14:textId="77777777" w:rsidR="002F6481" w:rsidRPr="001B751B" w:rsidRDefault="002F6481" w:rsidP="00CB6A39">
            <w:pPr>
              <w:spacing w:after="0" w:line="360" w:lineRule="auto"/>
              <w:rPr>
                <w:rFonts w:cstheme="minorHAnsi"/>
                <w:bCs/>
                <w:sz w:val="18"/>
                <w:szCs w:val="18"/>
                <w:lang w:val="en-GB"/>
              </w:rPr>
            </w:pPr>
          </w:p>
        </w:tc>
        <w:tc>
          <w:tcPr>
            <w:tcW w:w="3724" w:type="dxa"/>
            <w:vMerge/>
            <w:tcBorders>
              <w:top w:val="nil"/>
              <w:left w:val="single" w:sz="4" w:space="0" w:color="auto"/>
              <w:bottom w:val="single" w:sz="4" w:space="0" w:color="000000"/>
              <w:right w:val="nil"/>
            </w:tcBorders>
            <w:vAlign w:val="center"/>
            <w:hideMark/>
          </w:tcPr>
          <w:p w14:paraId="68C218E7" w14:textId="77777777" w:rsidR="002F6481" w:rsidRPr="001B751B" w:rsidRDefault="002F6481" w:rsidP="00CB6A39">
            <w:pPr>
              <w:spacing w:after="0" w:line="360" w:lineRule="auto"/>
              <w:rPr>
                <w:rFonts w:cstheme="minorHAnsi"/>
                <w:bCs/>
                <w:sz w:val="18"/>
                <w:szCs w:val="18"/>
                <w:lang w:val="en-GB"/>
              </w:rPr>
            </w:pPr>
          </w:p>
        </w:tc>
        <w:tc>
          <w:tcPr>
            <w:tcW w:w="4083" w:type="dxa"/>
            <w:vMerge/>
            <w:tcBorders>
              <w:top w:val="nil"/>
              <w:left w:val="single" w:sz="4" w:space="0" w:color="auto"/>
              <w:bottom w:val="single" w:sz="4" w:space="0" w:color="000000"/>
              <w:right w:val="nil"/>
            </w:tcBorders>
            <w:vAlign w:val="center"/>
            <w:hideMark/>
          </w:tcPr>
          <w:p w14:paraId="794242EF" w14:textId="77777777" w:rsidR="002F6481" w:rsidRPr="001B751B" w:rsidRDefault="002F6481" w:rsidP="00CB6A39">
            <w:pPr>
              <w:spacing w:after="0" w:line="360" w:lineRule="auto"/>
              <w:rPr>
                <w:rFonts w:cstheme="minorHAnsi"/>
                <w:bCs/>
                <w:sz w:val="18"/>
                <w:szCs w:val="18"/>
                <w:lang w:val="en-GB"/>
              </w:rPr>
            </w:pPr>
          </w:p>
        </w:tc>
      </w:tr>
      <w:tr w:rsidR="002F6481" w:rsidRPr="001B751B" w14:paraId="4DB295F3" w14:textId="77777777" w:rsidTr="00CB6A39">
        <w:trPr>
          <w:trHeight w:val="20"/>
        </w:trPr>
        <w:tc>
          <w:tcPr>
            <w:tcW w:w="1640" w:type="dxa"/>
            <w:tcBorders>
              <w:top w:val="nil"/>
              <w:left w:val="nil"/>
              <w:bottom w:val="nil"/>
              <w:right w:val="nil"/>
            </w:tcBorders>
            <w:shd w:val="clear" w:color="000000" w:fill="FFFFFF"/>
            <w:noWrap/>
            <w:vAlign w:val="center"/>
            <w:hideMark/>
          </w:tcPr>
          <w:p w14:paraId="1A362A5B" w14:textId="77777777" w:rsidR="002F6481" w:rsidRPr="001B751B" w:rsidRDefault="002F6481" w:rsidP="00CB6A39">
            <w:pPr>
              <w:spacing w:after="0" w:line="360" w:lineRule="auto"/>
              <w:rPr>
                <w:rFonts w:cstheme="minorHAnsi"/>
                <w:bCs/>
                <w:i/>
                <w:sz w:val="18"/>
                <w:szCs w:val="18"/>
                <w:lang w:val="en-GB"/>
              </w:rPr>
            </w:pPr>
            <w:r w:rsidRPr="001B751B">
              <w:rPr>
                <w:rFonts w:cstheme="minorHAnsi"/>
                <w:bCs/>
                <w:i/>
                <w:sz w:val="18"/>
                <w:szCs w:val="18"/>
                <w:lang w:val="en-GB"/>
              </w:rPr>
              <w:t>CHPT1</w:t>
            </w:r>
          </w:p>
        </w:tc>
        <w:tc>
          <w:tcPr>
            <w:tcW w:w="3724" w:type="dxa"/>
            <w:tcBorders>
              <w:top w:val="nil"/>
              <w:left w:val="single" w:sz="4" w:space="0" w:color="auto"/>
              <w:bottom w:val="nil"/>
              <w:right w:val="nil"/>
            </w:tcBorders>
            <w:shd w:val="clear" w:color="000000" w:fill="FFFFFF"/>
            <w:noWrap/>
            <w:vAlign w:val="center"/>
            <w:hideMark/>
          </w:tcPr>
          <w:p w14:paraId="2B03AE1E"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AGCTCTTTGACCATGGCTGT</w:t>
            </w:r>
          </w:p>
        </w:tc>
        <w:tc>
          <w:tcPr>
            <w:tcW w:w="4083" w:type="dxa"/>
            <w:tcBorders>
              <w:top w:val="nil"/>
              <w:left w:val="single" w:sz="4" w:space="0" w:color="auto"/>
              <w:bottom w:val="nil"/>
              <w:right w:val="nil"/>
            </w:tcBorders>
            <w:shd w:val="clear" w:color="000000" w:fill="FFFFFF"/>
            <w:noWrap/>
            <w:vAlign w:val="center"/>
            <w:hideMark/>
          </w:tcPr>
          <w:p w14:paraId="473B6C32"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TAAGTTCCTAAGCGAGCGGC</w:t>
            </w:r>
          </w:p>
        </w:tc>
      </w:tr>
      <w:tr w:rsidR="002F6481" w:rsidRPr="001B751B" w14:paraId="2DA16A1C" w14:textId="77777777" w:rsidTr="00CB6A39">
        <w:trPr>
          <w:trHeight w:val="20"/>
        </w:trPr>
        <w:tc>
          <w:tcPr>
            <w:tcW w:w="1640" w:type="dxa"/>
            <w:tcBorders>
              <w:top w:val="nil"/>
              <w:left w:val="nil"/>
              <w:bottom w:val="nil"/>
              <w:right w:val="nil"/>
            </w:tcBorders>
            <w:shd w:val="clear" w:color="000000" w:fill="FFFFFF"/>
            <w:noWrap/>
            <w:vAlign w:val="center"/>
            <w:hideMark/>
          </w:tcPr>
          <w:p w14:paraId="572F78AC" w14:textId="77777777" w:rsidR="002F6481" w:rsidRPr="001B751B" w:rsidRDefault="002F6481" w:rsidP="00CB6A39">
            <w:pPr>
              <w:spacing w:after="0" w:line="360" w:lineRule="auto"/>
              <w:rPr>
                <w:rFonts w:cstheme="minorHAnsi"/>
                <w:bCs/>
                <w:i/>
                <w:sz w:val="18"/>
                <w:szCs w:val="18"/>
                <w:lang w:val="en-GB"/>
              </w:rPr>
            </w:pPr>
            <w:r w:rsidRPr="001B751B">
              <w:rPr>
                <w:rFonts w:cstheme="minorHAnsi"/>
                <w:bCs/>
                <w:i/>
                <w:sz w:val="18"/>
                <w:szCs w:val="18"/>
                <w:lang w:val="en-GB"/>
              </w:rPr>
              <w:t>DAGLA</w:t>
            </w:r>
          </w:p>
        </w:tc>
        <w:tc>
          <w:tcPr>
            <w:tcW w:w="3724" w:type="dxa"/>
            <w:tcBorders>
              <w:top w:val="nil"/>
              <w:left w:val="single" w:sz="4" w:space="0" w:color="auto"/>
              <w:bottom w:val="nil"/>
              <w:right w:val="nil"/>
            </w:tcBorders>
            <w:shd w:val="clear" w:color="000000" w:fill="FFFFFF"/>
            <w:noWrap/>
            <w:vAlign w:val="center"/>
            <w:hideMark/>
          </w:tcPr>
          <w:p w14:paraId="53353FD1"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CTACACCTCCTGCAACGAC</w:t>
            </w:r>
          </w:p>
        </w:tc>
        <w:tc>
          <w:tcPr>
            <w:tcW w:w="4083" w:type="dxa"/>
            <w:tcBorders>
              <w:top w:val="nil"/>
              <w:left w:val="single" w:sz="4" w:space="0" w:color="auto"/>
              <w:bottom w:val="nil"/>
              <w:right w:val="nil"/>
            </w:tcBorders>
            <w:shd w:val="clear" w:color="000000" w:fill="FFFFFF"/>
            <w:noWrap/>
            <w:vAlign w:val="center"/>
            <w:hideMark/>
          </w:tcPr>
          <w:p w14:paraId="3CDE0CE4"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 xml:space="preserve">TTACGCTGCCTCCTCTTG  </w:t>
            </w:r>
          </w:p>
        </w:tc>
      </w:tr>
      <w:tr w:rsidR="002F6481" w:rsidRPr="001B751B" w14:paraId="050307CD" w14:textId="77777777" w:rsidTr="00CB6A39">
        <w:trPr>
          <w:trHeight w:val="20"/>
        </w:trPr>
        <w:tc>
          <w:tcPr>
            <w:tcW w:w="1640" w:type="dxa"/>
            <w:tcBorders>
              <w:top w:val="nil"/>
              <w:left w:val="nil"/>
              <w:bottom w:val="nil"/>
              <w:right w:val="nil"/>
            </w:tcBorders>
            <w:shd w:val="clear" w:color="000000" w:fill="FFFFFF"/>
            <w:noWrap/>
            <w:vAlign w:val="center"/>
            <w:hideMark/>
          </w:tcPr>
          <w:p w14:paraId="24708180" w14:textId="77777777" w:rsidR="002F6481" w:rsidRPr="001B751B" w:rsidRDefault="002F6481" w:rsidP="00CB6A39">
            <w:pPr>
              <w:spacing w:after="0" w:line="360" w:lineRule="auto"/>
              <w:rPr>
                <w:rFonts w:cstheme="minorHAnsi"/>
                <w:bCs/>
                <w:i/>
                <w:sz w:val="18"/>
                <w:szCs w:val="18"/>
                <w:lang w:val="en-GB"/>
              </w:rPr>
            </w:pPr>
            <w:r w:rsidRPr="001B751B">
              <w:rPr>
                <w:rFonts w:cstheme="minorHAnsi"/>
                <w:bCs/>
                <w:i/>
                <w:sz w:val="18"/>
                <w:szCs w:val="18"/>
                <w:lang w:val="en-GB"/>
              </w:rPr>
              <w:t>FAAH</w:t>
            </w:r>
          </w:p>
        </w:tc>
        <w:tc>
          <w:tcPr>
            <w:tcW w:w="3724" w:type="dxa"/>
            <w:tcBorders>
              <w:top w:val="nil"/>
              <w:left w:val="single" w:sz="4" w:space="0" w:color="auto"/>
              <w:bottom w:val="nil"/>
              <w:right w:val="nil"/>
            </w:tcBorders>
            <w:shd w:val="clear" w:color="000000" w:fill="FFFFFF"/>
            <w:noWrap/>
            <w:vAlign w:val="center"/>
            <w:hideMark/>
          </w:tcPr>
          <w:p w14:paraId="0B24D05D"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GAGAAGAGGTCTACACCAGC</w:t>
            </w:r>
          </w:p>
        </w:tc>
        <w:tc>
          <w:tcPr>
            <w:tcW w:w="4083" w:type="dxa"/>
            <w:tcBorders>
              <w:top w:val="nil"/>
              <w:left w:val="single" w:sz="4" w:space="0" w:color="auto"/>
              <w:bottom w:val="nil"/>
              <w:right w:val="nil"/>
            </w:tcBorders>
            <w:shd w:val="clear" w:color="000000" w:fill="FFFFFF"/>
            <w:noWrap/>
            <w:vAlign w:val="center"/>
            <w:hideMark/>
          </w:tcPr>
          <w:p w14:paraId="1E5A307E"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 xml:space="preserve">GGGGTATGTTGCTTGGC </w:t>
            </w:r>
          </w:p>
        </w:tc>
      </w:tr>
      <w:tr w:rsidR="002F6481" w:rsidRPr="001B751B" w14:paraId="1844F27F" w14:textId="77777777" w:rsidTr="00CB6A39">
        <w:trPr>
          <w:trHeight w:val="20"/>
        </w:trPr>
        <w:tc>
          <w:tcPr>
            <w:tcW w:w="1640" w:type="dxa"/>
            <w:tcBorders>
              <w:top w:val="nil"/>
              <w:left w:val="nil"/>
              <w:bottom w:val="nil"/>
              <w:right w:val="nil"/>
            </w:tcBorders>
            <w:shd w:val="clear" w:color="000000" w:fill="FFFFFF"/>
            <w:noWrap/>
            <w:vAlign w:val="center"/>
            <w:hideMark/>
          </w:tcPr>
          <w:p w14:paraId="604EF586" w14:textId="77777777" w:rsidR="002F6481" w:rsidRPr="001B751B" w:rsidRDefault="002F6481" w:rsidP="00CB6A39">
            <w:pPr>
              <w:spacing w:after="0" w:line="360" w:lineRule="auto"/>
              <w:rPr>
                <w:rFonts w:cstheme="minorHAnsi"/>
                <w:bCs/>
                <w:i/>
                <w:sz w:val="18"/>
                <w:szCs w:val="18"/>
                <w:lang w:val="en-GB"/>
              </w:rPr>
            </w:pPr>
            <w:r w:rsidRPr="001B751B">
              <w:rPr>
                <w:rFonts w:cstheme="minorHAnsi"/>
                <w:bCs/>
                <w:i/>
                <w:sz w:val="18"/>
                <w:szCs w:val="18"/>
                <w:lang w:val="en-GB"/>
              </w:rPr>
              <w:t>NAPEPLD</w:t>
            </w:r>
          </w:p>
        </w:tc>
        <w:tc>
          <w:tcPr>
            <w:tcW w:w="3724" w:type="dxa"/>
            <w:tcBorders>
              <w:top w:val="nil"/>
              <w:left w:val="single" w:sz="4" w:space="0" w:color="auto"/>
              <w:bottom w:val="nil"/>
              <w:right w:val="nil"/>
            </w:tcBorders>
            <w:shd w:val="clear" w:color="000000" w:fill="FFFFFF"/>
            <w:noWrap/>
            <w:vAlign w:val="center"/>
            <w:hideMark/>
          </w:tcPr>
          <w:p w14:paraId="502DFC68"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AAGATCACAGCAGTGTTCCA</w:t>
            </w:r>
          </w:p>
        </w:tc>
        <w:tc>
          <w:tcPr>
            <w:tcW w:w="4083" w:type="dxa"/>
            <w:tcBorders>
              <w:top w:val="nil"/>
              <w:left w:val="single" w:sz="4" w:space="0" w:color="auto"/>
              <w:bottom w:val="nil"/>
              <w:right w:val="nil"/>
            </w:tcBorders>
            <w:shd w:val="clear" w:color="000000" w:fill="FFFFFF"/>
            <w:noWrap/>
            <w:vAlign w:val="center"/>
            <w:hideMark/>
          </w:tcPr>
          <w:p w14:paraId="0F38FCBF"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 xml:space="preserve">ACCATTACCGTGGCATGTC </w:t>
            </w:r>
          </w:p>
        </w:tc>
      </w:tr>
      <w:tr w:rsidR="002F6481" w:rsidRPr="001B751B" w14:paraId="70F596CC" w14:textId="77777777" w:rsidTr="00CB6A39">
        <w:trPr>
          <w:trHeight w:val="20"/>
        </w:trPr>
        <w:tc>
          <w:tcPr>
            <w:tcW w:w="1640" w:type="dxa"/>
            <w:tcBorders>
              <w:top w:val="nil"/>
              <w:left w:val="nil"/>
              <w:bottom w:val="nil"/>
              <w:right w:val="nil"/>
            </w:tcBorders>
            <w:shd w:val="clear" w:color="000000" w:fill="FFFFFF"/>
            <w:noWrap/>
            <w:vAlign w:val="center"/>
            <w:hideMark/>
          </w:tcPr>
          <w:p w14:paraId="2817B413" w14:textId="77777777" w:rsidR="002F6481" w:rsidRPr="001B751B" w:rsidRDefault="002F6481" w:rsidP="00CB6A39">
            <w:pPr>
              <w:spacing w:after="0" w:line="360" w:lineRule="auto"/>
              <w:rPr>
                <w:rFonts w:cstheme="minorHAnsi"/>
                <w:bCs/>
                <w:i/>
                <w:sz w:val="18"/>
                <w:szCs w:val="18"/>
                <w:lang w:val="en-GB"/>
              </w:rPr>
            </w:pPr>
            <w:r w:rsidRPr="001B751B">
              <w:rPr>
                <w:rFonts w:cstheme="minorHAnsi"/>
                <w:bCs/>
                <w:i/>
                <w:sz w:val="18"/>
                <w:szCs w:val="18"/>
                <w:lang w:val="en-GB"/>
              </w:rPr>
              <w:t>NAAA</w:t>
            </w:r>
          </w:p>
        </w:tc>
        <w:tc>
          <w:tcPr>
            <w:tcW w:w="3724" w:type="dxa"/>
            <w:tcBorders>
              <w:top w:val="nil"/>
              <w:left w:val="single" w:sz="4" w:space="0" w:color="auto"/>
              <w:bottom w:val="nil"/>
              <w:right w:val="nil"/>
            </w:tcBorders>
            <w:shd w:val="clear" w:color="000000" w:fill="FFFFFF"/>
            <w:noWrap/>
            <w:vAlign w:val="center"/>
            <w:hideMark/>
          </w:tcPr>
          <w:p w14:paraId="306410C0"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ACGACTTGGACTTGGTGC</w:t>
            </w:r>
          </w:p>
        </w:tc>
        <w:tc>
          <w:tcPr>
            <w:tcW w:w="4083" w:type="dxa"/>
            <w:tcBorders>
              <w:top w:val="nil"/>
              <w:left w:val="single" w:sz="4" w:space="0" w:color="auto"/>
              <w:bottom w:val="nil"/>
              <w:right w:val="nil"/>
            </w:tcBorders>
            <w:shd w:val="clear" w:color="000000" w:fill="FFFFFF"/>
            <w:noWrap/>
            <w:vAlign w:val="center"/>
            <w:hideMark/>
          </w:tcPr>
          <w:p w14:paraId="09E3530C"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 xml:space="preserve">GGTTGACCAGAAGGCAGTC </w:t>
            </w:r>
          </w:p>
        </w:tc>
      </w:tr>
      <w:tr w:rsidR="002F6481" w:rsidRPr="001B751B" w14:paraId="7A4D9471" w14:textId="77777777" w:rsidTr="00CB6A39">
        <w:trPr>
          <w:trHeight w:val="20"/>
        </w:trPr>
        <w:tc>
          <w:tcPr>
            <w:tcW w:w="1640" w:type="dxa"/>
            <w:tcBorders>
              <w:top w:val="nil"/>
              <w:left w:val="nil"/>
              <w:bottom w:val="nil"/>
              <w:right w:val="nil"/>
            </w:tcBorders>
            <w:shd w:val="clear" w:color="000000" w:fill="FFFFFF"/>
            <w:noWrap/>
            <w:vAlign w:val="center"/>
            <w:hideMark/>
          </w:tcPr>
          <w:p w14:paraId="18A70D18" w14:textId="77777777" w:rsidR="002F6481" w:rsidRPr="001B751B" w:rsidRDefault="002F6481" w:rsidP="00CB6A39">
            <w:pPr>
              <w:spacing w:after="0" w:line="360" w:lineRule="auto"/>
              <w:rPr>
                <w:rFonts w:cstheme="minorHAnsi"/>
                <w:bCs/>
                <w:i/>
                <w:sz w:val="18"/>
                <w:szCs w:val="18"/>
                <w:lang w:val="en-GB"/>
              </w:rPr>
            </w:pPr>
            <w:r w:rsidRPr="001B751B">
              <w:rPr>
                <w:rFonts w:cstheme="minorHAnsi"/>
                <w:bCs/>
                <w:i/>
                <w:sz w:val="18"/>
                <w:szCs w:val="18"/>
                <w:lang w:val="en-GB"/>
              </w:rPr>
              <w:t>CNR1</w:t>
            </w:r>
          </w:p>
        </w:tc>
        <w:tc>
          <w:tcPr>
            <w:tcW w:w="3724" w:type="dxa"/>
            <w:tcBorders>
              <w:top w:val="nil"/>
              <w:left w:val="single" w:sz="4" w:space="0" w:color="auto"/>
              <w:bottom w:val="nil"/>
              <w:right w:val="nil"/>
            </w:tcBorders>
            <w:shd w:val="clear" w:color="000000" w:fill="FFFFFF"/>
            <w:noWrap/>
            <w:vAlign w:val="center"/>
            <w:hideMark/>
          </w:tcPr>
          <w:p w14:paraId="5BAE044B"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GGTAAGACCTGGCAGAGTT</w:t>
            </w:r>
          </w:p>
        </w:tc>
        <w:tc>
          <w:tcPr>
            <w:tcW w:w="4083" w:type="dxa"/>
            <w:tcBorders>
              <w:top w:val="nil"/>
              <w:left w:val="single" w:sz="4" w:space="0" w:color="auto"/>
              <w:bottom w:val="nil"/>
              <w:right w:val="nil"/>
            </w:tcBorders>
            <w:shd w:val="clear" w:color="000000" w:fill="FFFFFF"/>
            <w:noWrap/>
            <w:vAlign w:val="center"/>
            <w:hideMark/>
          </w:tcPr>
          <w:p w14:paraId="3DE7A263"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CGGAAGGTGGTATCTGCAA</w:t>
            </w:r>
          </w:p>
        </w:tc>
      </w:tr>
      <w:tr w:rsidR="002F6481" w:rsidRPr="001B751B" w14:paraId="4A0B2846" w14:textId="77777777" w:rsidTr="00CB6A39">
        <w:trPr>
          <w:trHeight w:val="20"/>
        </w:trPr>
        <w:tc>
          <w:tcPr>
            <w:tcW w:w="1640" w:type="dxa"/>
            <w:tcBorders>
              <w:top w:val="nil"/>
              <w:left w:val="nil"/>
              <w:bottom w:val="nil"/>
              <w:right w:val="nil"/>
            </w:tcBorders>
            <w:shd w:val="clear" w:color="000000" w:fill="FFFFFF"/>
            <w:noWrap/>
            <w:vAlign w:val="center"/>
            <w:hideMark/>
          </w:tcPr>
          <w:p w14:paraId="0D44A326" w14:textId="77777777" w:rsidR="002F6481" w:rsidRPr="001B751B" w:rsidRDefault="002F6481" w:rsidP="00CB6A39">
            <w:pPr>
              <w:spacing w:after="0" w:line="360" w:lineRule="auto"/>
              <w:rPr>
                <w:rFonts w:cstheme="minorHAnsi"/>
                <w:bCs/>
                <w:i/>
                <w:sz w:val="18"/>
                <w:szCs w:val="18"/>
                <w:lang w:val="en-GB"/>
              </w:rPr>
            </w:pPr>
            <w:r w:rsidRPr="001B751B">
              <w:rPr>
                <w:rFonts w:cstheme="minorHAnsi"/>
                <w:bCs/>
                <w:i/>
                <w:sz w:val="18"/>
                <w:szCs w:val="18"/>
                <w:lang w:val="en-GB"/>
              </w:rPr>
              <w:t>MGLL</w:t>
            </w:r>
          </w:p>
        </w:tc>
        <w:tc>
          <w:tcPr>
            <w:tcW w:w="3724" w:type="dxa"/>
            <w:tcBorders>
              <w:top w:val="nil"/>
              <w:left w:val="single" w:sz="4" w:space="0" w:color="auto"/>
              <w:bottom w:val="nil"/>
              <w:right w:val="nil"/>
            </w:tcBorders>
            <w:shd w:val="clear" w:color="000000" w:fill="FFFFFF"/>
            <w:noWrap/>
            <w:vAlign w:val="center"/>
            <w:hideMark/>
          </w:tcPr>
          <w:p w14:paraId="1D339218"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CCCTCATCTTTGTGTCCCA</w:t>
            </w:r>
          </w:p>
        </w:tc>
        <w:tc>
          <w:tcPr>
            <w:tcW w:w="4083" w:type="dxa"/>
            <w:tcBorders>
              <w:top w:val="nil"/>
              <w:left w:val="single" w:sz="4" w:space="0" w:color="auto"/>
              <w:bottom w:val="nil"/>
              <w:right w:val="nil"/>
            </w:tcBorders>
            <w:shd w:val="clear" w:color="000000" w:fill="FFFFFF"/>
            <w:noWrap/>
            <w:vAlign w:val="center"/>
            <w:hideMark/>
          </w:tcPr>
          <w:p w14:paraId="5E78596A"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 xml:space="preserve">GTGGAAGTCAGACACTACCAT  </w:t>
            </w:r>
          </w:p>
        </w:tc>
      </w:tr>
      <w:tr w:rsidR="002F6481" w:rsidRPr="001B751B" w14:paraId="5784F862" w14:textId="77777777" w:rsidTr="00CB6A39">
        <w:trPr>
          <w:trHeight w:val="20"/>
        </w:trPr>
        <w:tc>
          <w:tcPr>
            <w:tcW w:w="1640" w:type="dxa"/>
            <w:tcBorders>
              <w:top w:val="nil"/>
              <w:left w:val="nil"/>
              <w:bottom w:val="nil"/>
              <w:right w:val="nil"/>
            </w:tcBorders>
            <w:shd w:val="clear" w:color="000000" w:fill="FFFFFF"/>
            <w:noWrap/>
            <w:vAlign w:val="center"/>
            <w:hideMark/>
          </w:tcPr>
          <w:p w14:paraId="2914ED6F" w14:textId="77777777" w:rsidR="002F6481" w:rsidRPr="001B751B" w:rsidRDefault="002F6481" w:rsidP="00CB6A39">
            <w:pPr>
              <w:spacing w:after="0" w:line="360" w:lineRule="auto"/>
              <w:rPr>
                <w:rFonts w:cstheme="minorHAnsi"/>
                <w:bCs/>
                <w:i/>
                <w:sz w:val="18"/>
                <w:szCs w:val="18"/>
                <w:lang w:val="en-GB"/>
              </w:rPr>
            </w:pPr>
            <w:r w:rsidRPr="001B751B">
              <w:rPr>
                <w:rFonts w:cstheme="minorHAnsi"/>
                <w:bCs/>
                <w:i/>
                <w:sz w:val="18"/>
                <w:szCs w:val="18"/>
                <w:lang w:val="en-GB"/>
              </w:rPr>
              <w:t>GAPDH</w:t>
            </w:r>
          </w:p>
        </w:tc>
        <w:tc>
          <w:tcPr>
            <w:tcW w:w="7807" w:type="dxa"/>
            <w:gridSpan w:val="2"/>
            <w:tcBorders>
              <w:top w:val="nil"/>
              <w:left w:val="single" w:sz="4" w:space="0" w:color="auto"/>
              <w:bottom w:val="nil"/>
              <w:right w:val="nil"/>
            </w:tcBorders>
            <w:shd w:val="clear" w:color="000000" w:fill="FFFFFF"/>
            <w:noWrap/>
            <w:vAlign w:val="center"/>
            <w:hideMark/>
          </w:tcPr>
          <w:p w14:paraId="22E5734C"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PRIMER DESIGN REFERENCE GENE/GENORM 600rx</w:t>
            </w:r>
          </w:p>
        </w:tc>
      </w:tr>
      <w:tr w:rsidR="002F6481" w:rsidRPr="001B751B" w14:paraId="730AB933" w14:textId="77777777" w:rsidTr="00CB6A39">
        <w:trPr>
          <w:trHeight w:val="20"/>
        </w:trPr>
        <w:tc>
          <w:tcPr>
            <w:tcW w:w="1640" w:type="dxa"/>
            <w:tcBorders>
              <w:top w:val="nil"/>
              <w:left w:val="nil"/>
              <w:bottom w:val="nil"/>
              <w:right w:val="nil"/>
            </w:tcBorders>
            <w:shd w:val="clear" w:color="000000" w:fill="FFFFFF"/>
            <w:noWrap/>
            <w:vAlign w:val="center"/>
            <w:hideMark/>
          </w:tcPr>
          <w:p w14:paraId="2339B646" w14:textId="77777777" w:rsidR="002F6481" w:rsidRPr="001B751B" w:rsidRDefault="002F6481" w:rsidP="00CB6A39">
            <w:pPr>
              <w:spacing w:after="0" w:line="360" w:lineRule="auto"/>
              <w:rPr>
                <w:rFonts w:cstheme="minorHAnsi"/>
                <w:bCs/>
                <w:i/>
                <w:sz w:val="18"/>
                <w:szCs w:val="18"/>
                <w:lang w:val="en-GB"/>
              </w:rPr>
            </w:pPr>
            <w:r w:rsidRPr="001B751B">
              <w:rPr>
                <w:rFonts w:cstheme="minorHAnsi"/>
                <w:bCs/>
                <w:i/>
                <w:sz w:val="18"/>
                <w:szCs w:val="18"/>
                <w:lang w:val="en-GB"/>
              </w:rPr>
              <w:t>SDHA</w:t>
            </w:r>
          </w:p>
        </w:tc>
        <w:tc>
          <w:tcPr>
            <w:tcW w:w="7807" w:type="dxa"/>
            <w:gridSpan w:val="2"/>
            <w:tcBorders>
              <w:top w:val="nil"/>
              <w:left w:val="single" w:sz="4" w:space="0" w:color="auto"/>
              <w:bottom w:val="nil"/>
              <w:right w:val="nil"/>
            </w:tcBorders>
            <w:shd w:val="clear" w:color="000000" w:fill="FFFFFF"/>
            <w:noWrap/>
            <w:vAlign w:val="center"/>
            <w:hideMark/>
          </w:tcPr>
          <w:p w14:paraId="781259C4"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PRIMER DESIGN REFERENCE GENE/GENORM 600rx</w:t>
            </w:r>
          </w:p>
        </w:tc>
      </w:tr>
      <w:tr w:rsidR="002F6481" w:rsidRPr="001B751B" w14:paraId="45695872" w14:textId="77777777" w:rsidTr="00CB6A39">
        <w:trPr>
          <w:trHeight w:val="20"/>
        </w:trPr>
        <w:tc>
          <w:tcPr>
            <w:tcW w:w="1640" w:type="dxa"/>
            <w:tcBorders>
              <w:top w:val="nil"/>
              <w:left w:val="nil"/>
              <w:bottom w:val="nil"/>
              <w:right w:val="nil"/>
            </w:tcBorders>
            <w:shd w:val="clear" w:color="000000" w:fill="FFFFFF"/>
            <w:noWrap/>
            <w:vAlign w:val="center"/>
          </w:tcPr>
          <w:p w14:paraId="7D6FC33F" w14:textId="77777777" w:rsidR="002F6481" w:rsidRPr="001B751B" w:rsidRDefault="002F6481" w:rsidP="00CB6A39">
            <w:pPr>
              <w:spacing w:after="0" w:line="360" w:lineRule="auto"/>
              <w:rPr>
                <w:rFonts w:cstheme="minorHAnsi"/>
                <w:bCs/>
                <w:i/>
                <w:sz w:val="18"/>
                <w:szCs w:val="18"/>
                <w:lang w:val="en-GB"/>
              </w:rPr>
            </w:pPr>
            <w:r w:rsidRPr="001B751B">
              <w:rPr>
                <w:rFonts w:cstheme="minorHAnsi"/>
                <w:bCs/>
                <w:i/>
                <w:sz w:val="18"/>
                <w:szCs w:val="18"/>
                <w:lang w:val="en-GB"/>
              </w:rPr>
              <w:t>ACTB</w:t>
            </w:r>
          </w:p>
        </w:tc>
        <w:tc>
          <w:tcPr>
            <w:tcW w:w="7807" w:type="dxa"/>
            <w:gridSpan w:val="2"/>
            <w:tcBorders>
              <w:top w:val="nil"/>
              <w:left w:val="single" w:sz="4" w:space="0" w:color="auto"/>
              <w:bottom w:val="nil"/>
              <w:right w:val="nil"/>
            </w:tcBorders>
            <w:shd w:val="clear" w:color="000000" w:fill="FFFFFF"/>
            <w:noWrap/>
            <w:vAlign w:val="center"/>
          </w:tcPr>
          <w:p w14:paraId="43A2537A" w14:textId="77777777" w:rsidR="002F6481" w:rsidRPr="001B751B" w:rsidRDefault="002F6481" w:rsidP="00CB6A39">
            <w:pPr>
              <w:spacing w:after="0" w:line="360" w:lineRule="auto"/>
              <w:rPr>
                <w:rFonts w:cstheme="minorHAnsi"/>
                <w:sz w:val="18"/>
                <w:szCs w:val="18"/>
                <w:lang w:val="en-GB"/>
              </w:rPr>
            </w:pPr>
            <w:r w:rsidRPr="001B751B">
              <w:rPr>
                <w:rFonts w:cstheme="minorHAnsi"/>
                <w:sz w:val="18"/>
                <w:szCs w:val="18"/>
                <w:lang w:val="en-GB"/>
              </w:rPr>
              <w:t>PRIMER DESIGN REFERENCE GENE/GENORM 600rx</w:t>
            </w:r>
          </w:p>
        </w:tc>
      </w:tr>
    </w:tbl>
    <w:p w14:paraId="7572E12E" w14:textId="77777777" w:rsidR="002F6481" w:rsidRDefault="002F6481" w:rsidP="00625C95">
      <w:pPr>
        <w:autoSpaceDE w:val="0"/>
        <w:autoSpaceDN w:val="0"/>
        <w:adjustRightInd w:val="0"/>
        <w:spacing w:after="0" w:line="360" w:lineRule="auto"/>
        <w:jc w:val="both"/>
        <w:rPr>
          <w:rFonts w:eastAsia="Calibri" w:cstheme="minorHAnsi"/>
          <w:iCs/>
          <w:lang w:val="en-GB"/>
        </w:rPr>
      </w:pPr>
      <w:r w:rsidRPr="001B751B">
        <w:rPr>
          <w:rFonts w:eastAsia="Calibri" w:cstheme="minorHAnsi"/>
          <w:iCs/>
          <w:lang w:val="en-GB"/>
        </w:rPr>
        <w:t xml:space="preserve">Blood from all participants were collected using PAXgene® tubes (Qiagen, </w:t>
      </w:r>
      <w:r>
        <w:rPr>
          <w:rFonts w:eastAsia="Calibri" w:cstheme="minorHAnsi"/>
          <w:iCs/>
          <w:lang w:val="en-GB"/>
        </w:rPr>
        <w:t>Manchester, UK</w:t>
      </w:r>
      <w:r w:rsidRPr="001B751B">
        <w:rPr>
          <w:rFonts w:eastAsia="Calibri" w:cstheme="minorHAnsi"/>
          <w:iCs/>
          <w:lang w:val="en-GB"/>
        </w:rPr>
        <w:t xml:space="preserve">), the tubes were inverted 10x and stored -80 </w:t>
      </w:r>
      <w:r w:rsidRPr="001B751B">
        <w:rPr>
          <w:rFonts w:eastAsia="Calibri" w:cstheme="minorHAnsi"/>
          <w:iCs/>
          <w:vertAlign w:val="superscript"/>
          <w:lang w:val="en-GB"/>
        </w:rPr>
        <w:t>o</w:t>
      </w:r>
      <w:r w:rsidRPr="001B751B">
        <w:rPr>
          <w:rFonts w:eastAsia="Calibri" w:cstheme="minorHAnsi"/>
          <w:iCs/>
          <w:lang w:val="en-GB"/>
        </w:rPr>
        <w:t xml:space="preserve">C until use. </w:t>
      </w:r>
      <w:r w:rsidRPr="001B751B">
        <w:rPr>
          <w:rFonts w:cstheme="minorHAnsi"/>
          <w:lang w:val="en-GB"/>
        </w:rPr>
        <w:t>Total RNA was extracted using the PAXgene</w:t>
      </w:r>
      <w:r w:rsidRPr="001B751B">
        <w:rPr>
          <w:rFonts w:eastAsia="Calibri" w:cstheme="minorHAnsi"/>
          <w:iCs/>
          <w:lang w:val="en-GB"/>
        </w:rPr>
        <w:t>®</w:t>
      </w:r>
      <w:r w:rsidRPr="001B751B">
        <w:rPr>
          <w:rFonts w:cstheme="minorHAnsi"/>
          <w:lang w:val="en-GB"/>
        </w:rPr>
        <w:t xml:space="preserve"> RNA extraction</w:t>
      </w:r>
      <w:r>
        <w:rPr>
          <w:rFonts w:cstheme="minorHAnsi"/>
          <w:lang w:val="en-GB"/>
        </w:rPr>
        <w:t xml:space="preserve"> </w:t>
      </w:r>
      <w:r w:rsidRPr="001B751B">
        <w:rPr>
          <w:rFonts w:cstheme="minorHAnsi"/>
          <w:lang w:val="en-GB"/>
        </w:rPr>
        <w:t>kit according to the manufacturer’s instructions (Qiagen).</w:t>
      </w:r>
      <w:r>
        <w:rPr>
          <w:rFonts w:cstheme="minorHAnsi"/>
          <w:lang w:val="en-GB"/>
        </w:rPr>
        <w:t xml:space="preserve"> </w:t>
      </w:r>
      <w:r w:rsidRPr="001B751B">
        <w:rPr>
          <w:rFonts w:cstheme="minorHAnsi"/>
          <w:lang w:val="en-GB"/>
        </w:rPr>
        <w:t>In brie</w:t>
      </w:r>
      <w:r>
        <w:rPr>
          <w:rFonts w:cstheme="minorHAnsi"/>
          <w:lang w:val="en-GB"/>
        </w:rPr>
        <w:t xml:space="preserve"> </w:t>
      </w:r>
      <w:r w:rsidRPr="001B751B">
        <w:rPr>
          <w:rFonts w:cstheme="minorHAnsi"/>
          <w:lang w:val="en-GB"/>
        </w:rPr>
        <w:t>f, the RNA was treated with DNase (</w:t>
      </w:r>
      <w:r w:rsidRPr="001B751B">
        <w:rPr>
          <w:rFonts w:eastAsia="Calibri" w:cstheme="minorHAnsi"/>
          <w:iCs/>
          <w:lang w:val="en-GB"/>
        </w:rPr>
        <w:t>Thermo Scientific™, Loughborough, UK</w:t>
      </w:r>
      <w:r w:rsidRPr="001B751B">
        <w:rPr>
          <w:rFonts w:cstheme="minorHAnsi"/>
          <w:lang w:val="en-GB"/>
        </w:rPr>
        <w:t>) and purified on columns. The final RNA</w:t>
      </w:r>
      <w:r>
        <w:rPr>
          <w:rFonts w:cstheme="minorHAnsi"/>
          <w:lang w:val="en-GB"/>
        </w:rPr>
        <w:t xml:space="preserve"> </w:t>
      </w:r>
      <w:r w:rsidRPr="001B751B">
        <w:rPr>
          <w:rFonts w:cstheme="minorHAnsi"/>
          <w:lang w:val="en-GB"/>
        </w:rPr>
        <w:t>concentration was measured on a NanoDrop ND2000 ultraviolet–visible spectrophotometer (Labtech International Ltd,</w:t>
      </w:r>
      <w:r>
        <w:rPr>
          <w:rFonts w:cstheme="minorHAnsi"/>
          <w:lang w:val="en-GB"/>
        </w:rPr>
        <w:t xml:space="preserve"> </w:t>
      </w:r>
      <w:r w:rsidRPr="001B751B">
        <w:rPr>
          <w:rFonts w:cstheme="minorHAnsi"/>
          <w:lang w:val="en-GB"/>
        </w:rPr>
        <w:t xml:space="preserve">UK). </w:t>
      </w:r>
      <w:r w:rsidRPr="001B751B">
        <w:rPr>
          <w:rFonts w:eastAsia="Calibri" w:cstheme="minorHAnsi"/>
          <w:iCs/>
          <w:lang w:val="en-GB"/>
        </w:rPr>
        <w:t xml:space="preserve">For qRT-PCR A total of 300 ng of RNA from each human sample was reverse transcribed using the Verso cDNA Synthesis Kit (Thermo Scientific™) according to the manufacturer’s instructions. The cDNA was subsequently diluted 10-fold. Amplification was performed in triplicate with a Roche LightCycler® 480 II (Roche Diagnostics Ltd., Burgess Hill, West Sussex, United Kingdom). Each 10 </w:t>
      </w:r>
      <w:r w:rsidRPr="001B751B">
        <w:rPr>
          <w:rFonts w:eastAsia="Calibri" w:cstheme="minorHAnsi"/>
          <w:iCs/>
        </w:rPr>
        <w:t>μ</w:t>
      </w:r>
      <w:r w:rsidRPr="001B751B">
        <w:rPr>
          <w:rFonts w:eastAsia="Calibri" w:cstheme="minorHAnsi"/>
          <w:iCs/>
          <w:lang w:val="en-GB"/>
        </w:rPr>
        <w:t xml:space="preserve">l reaction mixture contained 3 </w:t>
      </w:r>
      <w:r w:rsidRPr="001B751B">
        <w:rPr>
          <w:rFonts w:eastAsia="Calibri" w:cstheme="minorHAnsi"/>
          <w:iCs/>
        </w:rPr>
        <w:t>μ</w:t>
      </w:r>
      <w:r w:rsidRPr="001B751B">
        <w:rPr>
          <w:rFonts w:eastAsia="Calibri" w:cstheme="minorHAnsi"/>
          <w:iCs/>
          <w:lang w:val="en-GB"/>
        </w:rPr>
        <w:t>l of LightCycler</w:t>
      </w:r>
      <w:r w:rsidRPr="001B751B">
        <w:rPr>
          <w:rFonts w:eastAsia="Calibri" w:cstheme="minorHAnsi"/>
          <w:iCs/>
          <w:vertAlign w:val="superscript"/>
          <w:lang w:val="en-GB"/>
        </w:rPr>
        <w:t>®</w:t>
      </w:r>
      <w:r w:rsidRPr="001B751B">
        <w:rPr>
          <w:rFonts w:eastAsia="Calibri" w:cstheme="minorHAnsi"/>
          <w:iCs/>
          <w:lang w:val="en-GB"/>
        </w:rPr>
        <w:t xml:space="preserve"> 480 SYBR Green I Master (Roche Diagnostics, Mannheim, Germany), 300 nM of each forward and reverse primer (described below) and 1 μl of diluted cDNA. Amplification protocol was as follows: Polymerase activation and DNA denaturation at 95 °C for 2 min, 40 cycles of denaturation at 95 °C for 5 s with annealing and extension at 60 °C for 30 s followed by fluorescence detection. Upon completion of thermal cycling, a melt-curve analysis was carried out to confirm reaction specificity. Before the analysis of selected genes, a geNorm analysis was performed on 12 samples to determine the most stably expressed genes. </w:t>
      </w:r>
      <w:r w:rsidRPr="001B751B">
        <w:rPr>
          <w:rFonts w:eastAsia="Calibri" w:cstheme="minorHAnsi"/>
          <w:i/>
          <w:iCs/>
          <w:lang w:val="en-GB"/>
        </w:rPr>
        <w:t>GAPDH, ACTB</w:t>
      </w:r>
      <w:r w:rsidRPr="001B751B">
        <w:rPr>
          <w:rFonts w:eastAsia="Calibri" w:cstheme="minorHAnsi"/>
          <w:iCs/>
          <w:lang w:val="en-GB"/>
        </w:rPr>
        <w:t xml:space="preserve"> and </w:t>
      </w:r>
      <w:r w:rsidRPr="001B751B">
        <w:rPr>
          <w:rFonts w:eastAsia="Calibri" w:cstheme="minorHAnsi"/>
          <w:i/>
          <w:iCs/>
          <w:lang w:val="en-GB"/>
        </w:rPr>
        <w:t>SDHA</w:t>
      </w:r>
      <w:r w:rsidRPr="001B751B">
        <w:rPr>
          <w:rFonts w:eastAsia="Calibri" w:cstheme="minorHAnsi"/>
          <w:iCs/>
          <w:lang w:val="en-GB"/>
        </w:rPr>
        <w:t xml:space="preserve"> were determined as the reference genes </w:t>
      </w:r>
      <w:r w:rsidRPr="001B751B">
        <w:rPr>
          <w:rFonts w:cstheme="minorHAnsi"/>
          <w:lang w:val="en-GB"/>
        </w:rPr>
        <w:t>(M values (</w:t>
      </w:r>
      <w:r w:rsidRPr="001B751B">
        <w:rPr>
          <w:rFonts w:cstheme="minorHAnsi"/>
          <w:shd w:val="clear" w:color="auto" w:fill="FFFFFF"/>
          <w:lang w:val="en-GB"/>
        </w:rPr>
        <w:t>gene expression stability measure)</w:t>
      </w:r>
      <w:r w:rsidRPr="001B751B">
        <w:rPr>
          <w:rFonts w:cstheme="minorHAnsi"/>
          <w:lang w:val="en-GB"/>
        </w:rPr>
        <w:t xml:space="preserve"> &lt;0</w:t>
      </w:r>
      <w:r w:rsidRPr="001B751B">
        <w:rPr>
          <w:rFonts w:cstheme="minorHAnsi"/>
          <w:iCs/>
          <w:lang w:val="en-GB"/>
        </w:rPr>
        <w:t>·</w:t>
      </w:r>
      <w:r w:rsidRPr="001B751B">
        <w:rPr>
          <w:rFonts w:cstheme="minorHAnsi"/>
          <w:lang w:val="en-GB"/>
        </w:rPr>
        <w:t>5, CV (</w:t>
      </w:r>
      <w:r w:rsidRPr="001B751B">
        <w:rPr>
          <w:rFonts w:cstheme="minorHAnsi"/>
          <w:shd w:val="clear" w:color="auto" w:fill="FFFFFF"/>
          <w:lang w:val="en-GB"/>
        </w:rPr>
        <w:t>Coefficient of Variation)</w:t>
      </w:r>
      <w:r w:rsidRPr="001B751B">
        <w:rPr>
          <w:rFonts w:cstheme="minorHAnsi"/>
          <w:lang w:val="en-GB"/>
        </w:rPr>
        <w:t xml:space="preserve"> &lt;25%</w:t>
      </w:r>
      <w:r w:rsidRPr="001B751B">
        <w:rPr>
          <w:rFonts w:cstheme="minorHAnsi"/>
          <w:color w:val="000000"/>
          <w:lang w:val="en-GB"/>
        </w:rPr>
        <w:t>).</w:t>
      </w:r>
      <w:r w:rsidRPr="001B751B">
        <w:rPr>
          <w:rFonts w:eastAsia="Calibri" w:cstheme="minorHAnsi"/>
          <w:iCs/>
          <w:lang w:val="en-GB"/>
        </w:rPr>
        <w:t xml:space="preserve"> The relative gene expression of the markers was normalised to the geometric mean of </w:t>
      </w:r>
      <w:r w:rsidRPr="001B751B">
        <w:rPr>
          <w:rFonts w:eastAsia="Calibri" w:cstheme="minorHAnsi"/>
          <w:i/>
          <w:iCs/>
          <w:lang w:val="en-GB"/>
        </w:rPr>
        <w:t>GAPDH, ACTB</w:t>
      </w:r>
      <w:r w:rsidRPr="001B751B">
        <w:rPr>
          <w:rFonts w:eastAsia="Calibri" w:cstheme="minorHAnsi"/>
          <w:iCs/>
          <w:lang w:val="en-GB"/>
        </w:rPr>
        <w:t xml:space="preserve"> and </w:t>
      </w:r>
      <w:r w:rsidRPr="001B751B">
        <w:rPr>
          <w:rFonts w:eastAsia="Calibri" w:cstheme="minorHAnsi"/>
          <w:i/>
          <w:iCs/>
          <w:lang w:val="en-GB"/>
        </w:rPr>
        <w:t>SDHA</w:t>
      </w:r>
      <w:r w:rsidRPr="001B751B">
        <w:rPr>
          <w:rFonts w:eastAsia="Calibri" w:cstheme="minorHAnsi"/>
          <w:iCs/>
          <w:lang w:val="en-GB"/>
        </w:rPr>
        <w:t xml:space="preserve"> and then compared </w:t>
      </w:r>
      <w:r w:rsidRPr="001B751B">
        <w:rPr>
          <w:rFonts w:eastAsia="Calibri" w:cstheme="minorHAnsi"/>
          <w:iCs/>
          <w:lang w:val="en-GB"/>
        </w:rPr>
        <w:lastRenderedPageBreak/>
        <w:t>to the control group, according to the 2</w:t>
      </w:r>
      <w:r w:rsidRPr="001B751B">
        <w:rPr>
          <w:rFonts w:eastAsia="Calibri" w:cstheme="minorHAnsi"/>
          <w:iCs/>
          <w:vertAlign w:val="superscript"/>
          <w:lang w:val="en-GB"/>
        </w:rPr>
        <w:t>–ΔΔCt</w:t>
      </w:r>
      <w:r w:rsidRPr="001B751B">
        <w:rPr>
          <w:rFonts w:eastAsia="Calibri" w:cstheme="minorHAnsi"/>
          <w:iCs/>
          <w:lang w:val="en-GB"/>
        </w:rPr>
        <w:t xml:space="preserve"> method. The following primers were used for the qRT-PCR of the tested genes:</w:t>
      </w:r>
    </w:p>
    <w:p w14:paraId="5335A4C2" w14:textId="77777777" w:rsidR="002F6481" w:rsidRDefault="002F6481" w:rsidP="002F6481">
      <w:pPr>
        <w:autoSpaceDE w:val="0"/>
        <w:autoSpaceDN w:val="0"/>
        <w:adjustRightInd w:val="0"/>
        <w:spacing w:after="0" w:line="360" w:lineRule="auto"/>
        <w:rPr>
          <w:rFonts w:eastAsia="Calibri" w:cstheme="minorHAnsi"/>
          <w:iCs/>
          <w:lang w:val="en-GB"/>
        </w:rPr>
      </w:pPr>
    </w:p>
    <w:p w14:paraId="4BFE9AD7" w14:textId="77777777" w:rsidR="002F6481" w:rsidRPr="001B751B" w:rsidRDefault="002F6481" w:rsidP="002F6481">
      <w:pPr>
        <w:spacing w:after="0" w:line="360" w:lineRule="auto"/>
        <w:jc w:val="both"/>
        <w:rPr>
          <w:rFonts w:eastAsia="Calibri" w:cstheme="minorHAnsi"/>
          <w:b/>
          <w:bCs/>
          <w:lang w:val="en-GB"/>
        </w:rPr>
      </w:pPr>
      <w:r>
        <w:rPr>
          <w:rFonts w:eastAsia="Calibri" w:cstheme="minorHAnsi"/>
          <w:b/>
          <w:bCs/>
          <w:lang w:val="en-GB"/>
        </w:rPr>
        <w:t>Plasma Collection</w:t>
      </w:r>
    </w:p>
    <w:p w14:paraId="01870752" w14:textId="77777777" w:rsidR="002F6481" w:rsidRPr="001B751B" w:rsidRDefault="002F6481" w:rsidP="002F6481">
      <w:pPr>
        <w:spacing w:afterLines="200" w:after="480" w:line="360" w:lineRule="auto"/>
        <w:jc w:val="both"/>
        <w:rPr>
          <w:rFonts w:eastAsia="Calibri" w:cstheme="minorHAnsi"/>
          <w:iCs/>
          <w:lang w:val="en-GB"/>
        </w:rPr>
      </w:pPr>
      <w:r w:rsidRPr="001B751B">
        <w:rPr>
          <w:rFonts w:eastAsia="Calibri" w:cstheme="minorHAnsi"/>
          <w:iCs/>
          <w:lang w:val="en-GB"/>
        </w:rPr>
        <w:t>BD Vacutainer K2-EDTA</w:t>
      </w:r>
      <w:r>
        <w:rPr>
          <w:rFonts w:eastAsia="Calibri" w:cstheme="minorHAnsi"/>
          <w:iCs/>
          <w:lang w:val="en-GB"/>
        </w:rPr>
        <w:t xml:space="preserve"> (BD Biosciences</w:t>
      </w:r>
      <w:r w:rsidRPr="001B751B">
        <w:rPr>
          <w:rFonts w:eastAsia="Calibri" w:cstheme="minorHAnsi"/>
          <w:iCs/>
          <w:lang w:val="en-GB"/>
        </w:rPr>
        <w:t xml:space="preserve"> tubes</w:t>
      </w:r>
      <w:r>
        <w:rPr>
          <w:rFonts w:eastAsia="Calibri" w:cstheme="minorHAnsi"/>
          <w:iCs/>
          <w:lang w:val="en-GB"/>
        </w:rPr>
        <w:t>, Berkshire, UK)</w:t>
      </w:r>
      <w:r w:rsidRPr="001B751B">
        <w:rPr>
          <w:rFonts w:eastAsia="Calibri" w:cstheme="minorHAnsi"/>
          <w:iCs/>
          <w:lang w:val="en-GB"/>
        </w:rPr>
        <w:t xml:space="preserve"> were used for the collection of plasma from the participants. The tubes were</w:t>
      </w:r>
      <w:r>
        <w:rPr>
          <w:rFonts w:eastAsia="Calibri" w:cstheme="minorHAnsi"/>
          <w:iCs/>
          <w:lang w:val="en-GB"/>
        </w:rPr>
        <w:t xml:space="preserve"> inverted 10x,</w:t>
      </w:r>
      <w:r w:rsidRPr="001B751B">
        <w:rPr>
          <w:rFonts w:eastAsia="Calibri" w:cstheme="minorHAnsi"/>
          <w:iCs/>
          <w:lang w:val="en-GB"/>
        </w:rPr>
        <w:t xml:space="preserve"> centrifuged at 1000</w:t>
      </w:r>
      <w:r w:rsidRPr="001B751B">
        <w:rPr>
          <w:rFonts w:eastAsia="Calibri" w:cstheme="minorHAnsi"/>
          <w:i/>
          <w:iCs/>
          <w:lang w:val="en-GB"/>
        </w:rPr>
        <w:t>×g</w:t>
      </w:r>
      <w:r w:rsidRPr="001B751B">
        <w:rPr>
          <w:rFonts w:eastAsia="Calibri" w:cstheme="minorHAnsi"/>
          <w:iCs/>
          <w:lang w:val="en-GB"/>
        </w:rPr>
        <w:t xml:space="preserve"> for 10 min</w:t>
      </w:r>
      <w:r>
        <w:rPr>
          <w:rFonts w:eastAsia="Calibri" w:cstheme="minorHAnsi"/>
          <w:iCs/>
          <w:lang w:val="en-GB"/>
        </w:rPr>
        <w:t>,</w:t>
      </w:r>
      <w:r w:rsidRPr="001B751B">
        <w:rPr>
          <w:rFonts w:eastAsia="Calibri" w:cstheme="minorHAnsi"/>
          <w:iCs/>
          <w:lang w:val="en-GB"/>
        </w:rPr>
        <w:t xml:space="preserve"> and plasma was Snap frozen on dry ice and stored immediately at −80 °C. Samples were thawed on ice just before use for estimation of phosphatidylcholine and endocannabinoids.</w:t>
      </w:r>
    </w:p>
    <w:p w14:paraId="343086C4" w14:textId="77777777" w:rsidR="002F6481" w:rsidRDefault="002F6481" w:rsidP="002F6481">
      <w:pPr>
        <w:spacing w:after="0" w:line="360" w:lineRule="auto"/>
        <w:jc w:val="both"/>
        <w:rPr>
          <w:rFonts w:eastAsia="Calibri" w:cstheme="minorHAnsi"/>
          <w:b/>
          <w:bCs/>
          <w:lang w:val="en-GB"/>
        </w:rPr>
      </w:pPr>
      <w:r>
        <w:rPr>
          <w:rFonts w:eastAsia="Calibri" w:cstheme="minorHAnsi"/>
          <w:b/>
          <w:bCs/>
          <w:lang w:val="en-GB"/>
        </w:rPr>
        <w:t>Endocannabinoid Quantification by HPLC – Tandem Mass Spectrometry</w:t>
      </w:r>
    </w:p>
    <w:p w14:paraId="44AEECF6" w14:textId="77777777" w:rsidR="002F6481" w:rsidRDefault="002F6481" w:rsidP="002F6481">
      <w:pPr>
        <w:spacing w:after="0" w:line="360" w:lineRule="auto"/>
        <w:jc w:val="both"/>
        <w:rPr>
          <w:rFonts w:eastAsia="Calibri" w:cstheme="minorHAnsi"/>
          <w:bCs/>
          <w:iCs/>
          <w:lang w:val="en-GB"/>
        </w:rPr>
      </w:pPr>
      <w:r w:rsidRPr="001B751B">
        <w:rPr>
          <w:rFonts w:eastAsia="Calibri" w:cstheme="minorHAnsi"/>
          <w:iCs/>
          <w:lang w:val="en-GB"/>
        </w:rPr>
        <w:t xml:space="preserve">BD </w:t>
      </w:r>
      <w:r w:rsidRPr="001B751B">
        <w:rPr>
          <w:rFonts w:eastAsia="Calibri" w:cstheme="minorHAnsi"/>
          <w:bCs/>
          <w:iCs/>
          <w:lang w:val="en-GB"/>
        </w:rPr>
        <w:t>Plasma samples were centrifuged at 1,400g for 15 minutes at 4°C prior to transferring 200 µl of plasma into a 1.5 ml microfuge tube. Plasma samples were then spiked with 20 µl of internal standard mix (containing 50 ng of 2-AG-d8, 2·5 ng of AEA-d8, 2·5 ng of OEA-d4 and 2·5 ng of PEA-d4). Samples were then vortex-mixed and allowed to equilibrate for 10 minutes on ice. For protein precipitation, 1 ml of acetonitrile (ACN) at 4°C containing 0·1% formic acid was added to each sample followed by incubation on ice for a further 30 minutes. The precipitated proteins were pelleted by centrifugation at 1,400g for 15 minutes at 4°C.  A filter (Fisherbrand</w:t>
      </w:r>
      <w:r w:rsidRPr="001B751B">
        <w:rPr>
          <w:rFonts w:eastAsia="Calibri" w:cstheme="minorHAnsi"/>
          <w:bCs/>
          <w:iCs/>
          <w:vertAlign w:val="superscript"/>
          <w:lang w:val="en-GB"/>
        </w:rPr>
        <w:t>TM</w:t>
      </w:r>
      <w:r w:rsidRPr="001B751B">
        <w:rPr>
          <w:rFonts w:eastAsia="Calibri" w:cstheme="minorHAnsi"/>
          <w:bCs/>
          <w:iCs/>
          <w:lang w:val="en-GB"/>
        </w:rPr>
        <w:t xml:space="preserve"> Non-sterile PTFE Hydrophyl, 25 mm, 0·45 µM Syringe Filter, Fisher Scientific, Ireland) was placed in a 5 ml SafeSeal tube (SARSTEDT, Ireland). The plunger/piston from a 1 ml syringe was removed and the syringe was attached to the filter by carefully inserting the syringe neck into the filter inlet. The piston is retained and stored by placing in a clean microfuge tube. 1100 µl of the supernatant was removed, with care taken so as not to disturb the pellet, and loaded into the syringe. The supernatant was allowed to flow through the filter until the syringe emptied. 700 µl of ACN were added to the syringe to displace the dead volume of the filter. The plunger of the syringe was slowly re-inserted and the ACN was then pushed through the filter. The collected eluate was vortex-mixed and then 500 µl were transferred to a new 1·5 ml microfuge tube and dried down at 45°C for ~1 hr in a centrfigual concentrator (Eppendorf Concentrator plus complete system, Davidson and Hardy Ltd, Ireland) and re-suspended in 40 µl of 100 % ACN before transferring to HPLC vials. </w:t>
      </w:r>
    </w:p>
    <w:p w14:paraId="0A3FFB44" w14:textId="77777777" w:rsidR="002F6481" w:rsidRPr="00AA029E" w:rsidRDefault="002F6481" w:rsidP="002F6481">
      <w:pPr>
        <w:spacing w:after="0" w:line="360" w:lineRule="auto"/>
        <w:jc w:val="both"/>
        <w:rPr>
          <w:rFonts w:eastAsia="Calibri" w:cstheme="minorHAnsi"/>
          <w:b/>
          <w:bCs/>
          <w:lang w:val="en-GB"/>
        </w:rPr>
      </w:pPr>
    </w:p>
    <w:p w14:paraId="0B7D9EB9" w14:textId="06206D87" w:rsidR="001A39BF" w:rsidRPr="002F6481" w:rsidRDefault="002F6481" w:rsidP="003D7946">
      <w:pPr>
        <w:spacing w:afterLines="200" w:after="480" w:line="360" w:lineRule="auto"/>
        <w:jc w:val="both"/>
        <w:rPr>
          <w:rFonts w:cstheme="minorHAnsi"/>
          <w:b/>
          <w:bCs/>
          <w:lang w:val="en-GB"/>
        </w:rPr>
      </w:pPr>
      <w:r w:rsidRPr="001B751B">
        <w:rPr>
          <w:rFonts w:eastAsia="Calibri" w:cstheme="minorHAnsi"/>
          <w:bCs/>
          <w:iCs/>
          <w:lang w:val="en-GB"/>
        </w:rPr>
        <w:t>Mobile phases consisted of (A) HPLC grade water with 0</w:t>
      </w:r>
      <w:r w:rsidRPr="001B751B">
        <w:rPr>
          <w:rFonts w:cstheme="minorHAnsi"/>
          <w:iCs/>
          <w:lang w:val="en-GB"/>
        </w:rPr>
        <w:t>·</w:t>
      </w:r>
      <w:r w:rsidRPr="001B751B">
        <w:rPr>
          <w:rFonts w:eastAsia="Calibri" w:cstheme="minorHAnsi"/>
          <w:bCs/>
          <w:iCs/>
          <w:lang w:val="en-GB"/>
        </w:rPr>
        <w:t>1% (v/v) formic acid and (B) ACN with 0</w:t>
      </w:r>
      <w:r w:rsidRPr="001B751B">
        <w:rPr>
          <w:rFonts w:cstheme="minorHAnsi"/>
          <w:iCs/>
          <w:lang w:val="en-GB"/>
        </w:rPr>
        <w:t>·</w:t>
      </w:r>
      <w:r w:rsidRPr="001B751B">
        <w:rPr>
          <w:rFonts w:eastAsia="Calibri" w:cstheme="minorHAnsi"/>
          <w:bCs/>
          <w:iCs/>
          <w:lang w:val="en-GB"/>
        </w:rPr>
        <w:t xml:space="preserve">1% (v/v) formic acid with a flow rate of 0.2 ml/min using a Phenomenex Synergi™ Fusion-RP 80 Å C18 column - (4 µm particles, 50 mm length, 2 mm diameter). A reverse phase gradient elution was used, comprising 45% solution B for the first minute, then linearly increased to 100% </w:t>
      </w:r>
      <w:r w:rsidRPr="001B751B">
        <w:rPr>
          <w:rFonts w:eastAsia="Calibri" w:cstheme="minorHAnsi"/>
          <w:bCs/>
          <w:iCs/>
          <w:lang w:val="en-GB"/>
        </w:rPr>
        <w:lastRenderedPageBreak/>
        <w:t>solution B until 5 minutes into the run and maintained at 100% solution B until the assay run finished at 12 minutes. A further 4</w:t>
      </w:r>
      <w:r w:rsidRPr="001B751B">
        <w:rPr>
          <w:rFonts w:cstheme="minorHAnsi"/>
          <w:iCs/>
          <w:lang w:val="en-GB"/>
        </w:rPr>
        <w:t>·</w:t>
      </w:r>
      <w:r w:rsidRPr="001B751B">
        <w:rPr>
          <w:rFonts w:eastAsia="Calibri" w:cstheme="minorHAnsi"/>
          <w:bCs/>
          <w:iCs/>
          <w:lang w:val="en-GB"/>
        </w:rPr>
        <w:t>7 minutes was required to re-equilibrate the column at 45% solution B before the next injection. Under these conditions, AEA, 2-AG, PEA, OEA eluted at the following retention times: 5</w:t>
      </w:r>
      <w:r w:rsidRPr="001B751B">
        <w:rPr>
          <w:rFonts w:cstheme="minorHAnsi"/>
          <w:iCs/>
          <w:lang w:val="en-GB"/>
        </w:rPr>
        <w:t>·</w:t>
      </w:r>
      <w:r w:rsidRPr="001B751B">
        <w:rPr>
          <w:rFonts w:eastAsia="Calibri" w:cstheme="minorHAnsi"/>
          <w:bCs/>
          <w:iCs/>
          <w:lang w:val="en-GB"/>
        </w:rPr>
        <w:t>7, 6</w:t>
      </w:r>
      <w:r w:rsidRPr="001B751B">
        <w:rPr>
          <w:rFonts w:cstheme="minorHAnsi"/>
          <w:iCs/>
          <w:lang w:val="en-GB"/>
        </w:rPr>
        <w:t>·</w:t>
      </w:r>
      <w:r w:rsidRPr="001B751B">
        <w:rPr>
          <w:rFonts w:eastAsia="Calibri" w:cstheme="minorHAnsi"/>
          <w:bCs/>
          <w:iCs/>
          <w:lang w:val="en-GB"/>
        </w:rPr>
        <w:t>0, 6</w:t>
      </w:r>
      <w:r w:rsidRPr="001B751B">
        <w:rPr>
          <w:rFonts w:cstheme="minorHAnsi"/>
          <w:iCs/>
          <w:lang w:val="en-GB"/>
        </w:rPr>
        <w:t>·</w:t>
      </w:r>
      <w:r w:rsidRPr="001B751B">
        <w:rPr>
          <w:rFonts w:eastAsia="Calibri" w:cstheme="minorHAnsi"/>
          <w:bCs/>
          <w:iCs/>
          <w:lang w:val="en-GB"/>
        </w:rPr>
        <w:t>3 and 6</w:t>
      </w:r>
      <w:r w:rsidRPr="001B751B">
        <w:rPr>
          <w:rFonts w:cstheme="minorHAnsi"/>
          <w:iCs/>
          <w:lang w:val="en-GB"/>
        </w:rPr>
        <w:t>·</w:t>
      </w:r>
      <w:r w:rsidRPr="001B751B">
        <w:rPr>
          <w:rFonts w:eastAsia="Calibri" w:cstheme="minorHAnsi"/>
          <w:bCs/>
          <w:iCs/>
          <w:lang w:val="en-GB"/>
        </w:rPr>
        <w:t>5 minutes, respectively. Analyte detection was carried out in electrospray-positive ionisation mode on an Agilent 1260 infinity 2 HPLC system coupled to a SCIEX QTRAP 4500 mass spectrometer operated in triple quadrupole mode (SCIEX Ltd, Phoenix House Lakeside Drive Centre Park, United Kingdom). Instrument conditions were optimised for each analyte by infusing standards separately. Quantitation of target endocannabinoids was achieved by positive ion electrospray ionization and multiple reaction monitoring (MRM) mode, allowing simultaneous detection of the protonated precursor and product molecular ions [M+ H+] of the analytes of interest and the deuterated form of the internal standard. Quantitation of each analyte was performed by determining the peak area response of each target analyte against its corresponding deuterated internal standard. This ratiometric analysis was calculated using Skyline Quantitative Analysis Software, version 4.2 (MacCoss Lab Software, University of Washington, USA). The amount of analyte in unknown samples was calculated from the analyte/internal standard peak area response ratio using a 10-point calibration curve constructed from a range of concentrations of the non-deuterated form of each analyte and a fixed amount of deuterated internal standard. The values obtained from the Skyline Analysis Software are initially expressed in ng per 200 µL of plasma. To express values as nmol/µL the corresponding values were divided by 200, then divided by the molar mass of each analyte, and then finally the nmol/µL values were multiplied by 1000 to express as</w:t>
      </w:r>
      <w:r w:rsidRPr="001B751B">
        <w:rPr>
          <w:rFonts w:eastAsia="Times New Roman" w:cstheme="minorHAnsi"/>
          <w:bCs/>
          <w:color w:val="000000"/>
          <w:lang w:val="en-GB" w:eastAsia="es-ES"/>
        </w:rPr>
        <w:t xml:space="preserve"> </w:t>
      </w:r>
      <w:r w:rsidR="003D7946">
        <w:rPr>
          <w:rFonts w:eastAsia="Calibri" w:cstheme="minorHAnsi"/>
          <w:bCs/>
          <w:iCs/>
          <w:lang w:val="en-GB"/>
        </w:rPr>
        <w:t>pmol/m</w:t>
      </w:r>
      <w:bookmarkStart w:id="0" w:name="_GoBack"/>
      <w:bookmarkEnd w:id="0"/>
      <w:r w:rsidRPr="001B751B">
        <w:rPr>
          <w:rFonts w:eastAsia="Calibri" w:cstheme="minorHAnsi"/>
          <w:bCs/>
          <w:iCs/>
          <w:lang w:val="en-GB"/>
        </w:rPr>
        <w:t>L.</w:t>
      </w:r>
    </w:p>
    <w:sectPr w:rsidR="001A39BF" w:rsidRPr="002F6481">
      <w:headerReference w:type="even" r:id="rId10"/>
      <w:headerReference w:type="default" r:id="rId11"/>
      <w:footerReference w:type="even" r:id="rId12"/>
      <w:footerReference w:type="default" r:id="rId13"/>
      <w:headerReference w:type="first" r:id="rId14"/>
      <w:footerReference w:type="first" r:id="rId15"/>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168DCF9" w14:textId="77777777" w:rsidR="00D2217C" w:rsidRDefault="00D2217C" w:rsidP="00E36420">
      <w:pPr>
        <w:spacing w:after="0" w:line="240" w:lineRule="auto"/>
      </w:pPr>
      <w:r>
        <w:separator/>
      </w:r>
    </w:p>
  </w:endnote>
  <w:endnote w:type="continuationSeparator" w:id="0">
    <w:p w14:paraId="672060DC" w14:textId="77777777" w:rsidR="00D2217C" w:rsidRDefault="00D2217C" w:rsidP="00E364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Liberation Sans">
    <w:altName w:val="Arial"/>
    <w:charset w:val="01"/>
    <w:family w:val="roman"/>
    <w:pitch w:val="variable"/>
  </w:font>
  <w:font w:name="Noto Sans CJK SC Regular">
    <w:panose1 w:val="00000000000000000000"/>
    <w:charset w:val="00"/>
    <w:family w:val="roman"/>
    <w:notTrueType/>
    <w:pitch w:val="default"/>
  </w:font>
  <w:font w:name="Free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E0E924D" w14:textId="77777777" w:rsidR="00952281" w:rsidRDefault="00952281">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21790859"/>
      <w:docPartObj>
        <w:docPartGallery w:val="Page Numbers (Bottom of Page)"/>
        <w:docPartUnique/>
      </w:docPartObj>
    </w:sdtPr>
    <w:sdtEndPr>
      <w:rPr>
        <w:noProof/>
      </w:rPr>
    </w:sdtEndPr>
    <w:sdtContent>
      <w:p w14:paraId="07E38830" w14:textId="276FC7AA" w:rsidR="00952281" w:rsidRDefault="00952281">
        <w:pPr>
          <w:pStyle w:val="Footer"/>
          <w:jc w:val="right"/>
        </w:pPr>
        <w:r>
          <w:fldChar w:fldCharType="begin"/>
        </w:r>
        <w:r>
          <w:instrText xml:space="preserve"> PAGE   \* MERGEFORMAT </w:instrText>
        </w:r>
        <w:r>
          <w:fldChar w:fldCharType="separate"/>
        </w:r>
        <w:r w:rsidR="003D7946">
          <w:rPr>
            <w:noProof/>
          </w:rPr>
          <w:t>3</w:t>
        </w:r>
        <w:r>
          <w:rPr>
            <w:noProof/>
          </w:rPr>
          <w:fldChar w:fldCharType="end"/>
        </w:r>
      </w:p>
    </w:sdtContent>
  </w:sdt>
  <w:p w14:paraId="7A425E40" w14:textId="77777777" w:rsidR="00952281" w:rsidRDefault="00952281">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92B9443" w14:textId="77777777" w:rsidR="00952281" w:rsidRDefault="0095228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EEDE616" w14:textId="77777777" w:rsidR="00D2217C" w:rsidRDefault="00D2217C" w:rsidP="00E36420">
      <w:pPr>
        <w:spacing w:after="0" w:line="240" w:lineRule="auto"/>
      </w:pPr>
      <w:r>
        <w:separator/>
      </w:r>
    </w:p>
  </w:footnote>
  <w:footnote w:type="continuationSeparator" w:id="0">
    <w:p w14:paraId="77EC88E8" w14:textId="77777777" w:rsidR="00D2217C" w:rsidRDefault="00D2217C" w:rsidP="00E364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96F67C" w14:textId="77777777" w:rsidR="00952281" w:rsidRDefault="0095228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4A97078" w14:textId="77777777" w:rsidR="00952281" w:rsidRDefault="00952281">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39742A" w14:textId="77777777" w:rsidR="00952281" w:rsidRDefault="0095228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CD3BF5"/>
    <w:multiLevelType w:val="hybridMultilevel"/>
    <w:tmpl w:val="B70E4420"/>
    <w:lvl w:ilvl="0" w:tplc="3C6A3AD0">
      <w:numFmt w:val="bullet"/>
      <w:lvlText w:val=""/>
      <w:lvlJc w:val="left"/>
      <w:pPr>
        <w:ind w:left="720" w:hanging="360"/>
      </w:pPr>
      <w:rPr>
        <w:rFonts w:ascii="Symbol" w:eastAsiaTheme="minorHAnsi" w:hAnsi="Symbol" w:cstheme="minorBid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 w15:restartNumberingAfterBreak="0">
    <w:nsid w:val="347242E9"/>
    <w:multiLevelType w:val="hybridMultilevel"/>
    <w:tmpl w:val="610453A4"/>
    <w:lvl w:ilvl="0" w:tplc="BECE7956">
      <w:numFmt w:val="bullet"/>
      <w:lvlText w:val=""/>
      <w:lvlJc w:val="left"/>
      <w:pPr>
        <w:ind w:left="720"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47CE6D3D"/>
    <w:multiLevelType w:val="multilevel"/>
    <w:tmpl w:val="AF582DF0"/>
    <w:lvl w:ilvl="0">
      <w:start w:val="1"/>
      <w:numFmt w:val="decimal"/>
      <w:lvlText w:val="%1."/>
      <w:lvlJc w:val="left"/>
      <w:pPr>
        <w:ind w:left="720" w:hanging="360"/>
      </w:pPr>
      <w:rPr>
        <w:rFonts w:hint="default"/>
      </w:rPr>
    </w:lvl>
    <w:lvl w:ilvl="1">
      <w:start w:val="5"/>
      <w:numFmt w:val="decimal"/>
      <w:isLgl/>
      <w:lvlText w:val="%1.%2."/>
      <w:lvlJc w:val="left"/>
      <w:pPr>
        <w:ind w:left="1004" w:hanging="720"/>
      </w:pPr>
      <w:rPr>
        <w:rFonts w:hint="default"/>
        <w:i w:val="0"/>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A0E4211"/>
    <w:multiLevelType w:val="multilevel"/>
    <w:tmpl w:val="AC944032"/>
    <w:lvl w:ilvl="0">
      <w:start w:val="2"/>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activeWritingStyle w:appName="MSWord" w:lang="es-ES" w:vendorID="64" w:dllVersion="6" w:nlCheck="1" w:checkStyle="1"/>
  <w:activeWritingStyle w:appName="MSWord" w:lang="en-GB" w:vendorID="64" w:dllVersion="6" w:nlCheck="1" w:checkStyle="1"/>
  <w:activeWritingStyle w:appName="MSWord" w:lang="en-GB" w:vendorID="64" w:dllVersion="4096" w:nlCheck="1" w:checkStyle="0"/>
  <w:activeWritingStyle w:appName="MSWord" w:lang="es-ES" w:vendorID="64" w:dllVersion="4096" w:nlCheck="1" w:checkStyle="0"/>
  <w:activeWritingStyle w:appName="MSWord" w:lang="en-GB" w:vendorID="64" w:dllVersion="0" w:nlCheck="1" w:checkStyle="0"/>
  <w:activeWritingStyle w:appName="MSWord" w:lang="es-ES" w:vendorID="64" w:dllVersion="0" w:nlCheck="1" w:checkStyle="0"/>
  <w:activeWritingStyle w:appName="MSWord" w:lang="en-GB" w:vendorID="64" w:dllVersion="131078" w:nlCheck="1" w:checkStyle="1"/>
  <w:activeWritingStyle w:appName="MSWord" w:lang="es-ES" w:vendorID="64" w:dllVersion="131078" w:nlCheck="1" w:checkStyle="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NjUxMjI1MDM2MTGyMDRQ0lEKTi0uzszPAykwNKsFADY8xV4tAAAA"/>
    <w:docVar w:name="EN.Layout" w:val="&lt;ENLayout&gt;&lt;Style&gt;J Clinical Investigation&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1&lt;/HyperlinksEnabled&gt;&lt;HyperlinksVisible&gt;0&lt;/HyperlinksVisible&gt;&lt;/ENLayout&gt;"/>
    <w:docVar w:name="EN.Libraries" w:val="&lt;Libraries&gt;&lt;item db-id=&quot;zzdfewxt4adpa1e25xrvpr9p9pd90resppvp&quot;&gt;Pain_PC&lt;record-ids&gt;&lt;item&gt;29&lt;/item&gt;&lt;/record-ids&gt;&lt;/item&gt;&lt;/Libraries&gt;"/>
  </w:docVars>
  <w:rsids>
    <w:rsidRoot w:val="00B8636A"/>
    <w:rsid w:val="00005B77"/>
    <w:rsid w:val="00012657"/>
    <w:rsid w:val="000E7036"/>
    <w:rsid w:val="001426F4"/>
    <w:rsid w:val="0015450D"/>
    <w:rsid w:val="00196E1D"/>
    <w:rsid w:val="001975E8"/>
    <w:rsid w:val="001A39BF"/>
    <w:rsid w:val="001B1076"/>
    <w:rsid w:val="001D0B2C"/>
    <w:rsid w:val="00200552"/>
    <w:rsid w:val="00206DBE"/>
    <w:rsid w:val="00212FF6"/>
    <w:rsid w:val="00215E06"/>
    <w:rsid w:val="002230A9"/>
    <w:rsid w:val="002425F6"/>
    <w:rsid w:val="00245F83"/>
    <w:rsid w:val="00256419"/>
    <w:rsid w:val="002602B6"/>
    <w:rsid w:val="00272CCC"/>
    <w:rsid w:val="00280453"/>
    <w:rsid w:val="002B28E8"/>
    <w:rsid w:val="002D1466"/>
    <w:rsid w:val="002E35F5"/>
    <w:rsid w:val="002F6481"/>
    <w:rsid w:val="003160D5"/>
    <w:rsid w:val="003176C5"/>
    <w:rsid w:val="00323C4E"/>
    <w:rsid w:val="003406D5"/>
    <w:rsid w:val="00360CFF"/>
    <w:rsid w:val="003A0605"/>
    <w:rsid w:val="003B7559"/>
    <w:rsid w:val="003D7946"/>
    <w:rsid w:val="00441ACE"/>
    <w:rsid w:val="00445D92"/>
    <w:rsid w:val="00476197"/>
    <w:rsid w:val="004A41AD"/>
    <w:rsid w:val="004B6ADB"/>
    <w:rsid w:val="004B7A40"/>
    <w:rsid w:val="004D0A05"/>
    <w:rsid w:val="004D15CA"/>
    <w:rsid w:val="004D208D"/>
    <w:rsid w:val="004F5278"/>
    <w:rsid w:val="00515734"/>
    <w:rsid w:val="0052181D"/>
    <w:rsid w:val="005231C9"/>
    <w:rsid w:val="00543A54"/>
    <w:rsid w:val="005448FE"/>
    <w:rsid w:val="005466C2"/>
    <w:rsid w:val="005A0BBC"/>
    <w:rsid w:val="005C2871"/>
    <w:rsid w:val="00600264"/>
    <w:rsid w:val="006006F9"/>
    <w:rsid w:val="00625C95"/>
    <w:rsid w:val="006719CA"/>
    <w:rsid w:val="00672059"/>
    <w:rsid w:val="00697E73"/>
    <w:rsid w:val="006A24E6"/>
    <w:rsid w:val="006C0FF8"/>
    <w:rsid w:val="006C79F6"/>
    <w:rsid w:val="006D0BCF"/>
    <w:rsid w:val="006F7260"/>
    <w:rsid w:val="00710376"/>
    <w:rsid w:val="007322BE"/>
    <w:rsid w:val="00735A08"/>
    <w:rsid w:val="007447EF"/>
    <w:rsid w:val="00751E07"/>
    <w:rsid w:val="00760F3B"/>
    <w:rsid w:val="007663F8"/>
    <w:rsid w:val="00766BDC"/>
    <w:rsid w:val="00774342"/>
    <w:rsid w:val="007E5BDC"/>
    <w:rsid w:val="007F3D12"/>
    <w:rsid w:val="0080305E"/>
    <w:rsid w:val="00840E4D"/>
    <w:rsid w:val="00840F7D"/>
    <w:rsid w:val="00855D4A"/>
    <w:rsid w:val="008715C8"/>
    <w:rsid w:val="00874403"/>
    <w:rsid w:val="008852E7"/>
    <w:rsid w:val="008A51D9"/>
    <w:rsid w:val="008B051D"/>
    <w:rsid w:val="008B651F"/>
    <w:rsid w:val="008E0E6F"/>
    <w:rsid w:val="00911C4E"/>
    <w:rsid w:val="00912965"/>
    <w:rsid w:val="00926A52"/>
    <w:rsid w:val="009274CB"/>
    <w:rsid w:val="00952281"/>
    <w:rsid w:val="00960786"/>
    <w:rsid w:val="009E6424"/>
    <w:rsid w:val="00A264D1"/>
    <w:rsid w:val="00A46024"/>
    <w:rsid w:val="00AE442A"/>
    <w:rsid w:val="00B17259"/>
    <w:rsid w:val="00B36B7D"/>
    <w:rsid w:val="00B72BDB"/>
    <w:rsid w:val="00B8636A"/>
    <w:rsid w:val="00BA0C80"/>
    <w:rsid w:val="00BA46E1"/>
    <w:rsid w:val="00BA64E2"/>
    <w:rsid w:val="00BA6532"/>
    <w:rsid w:val="00BD18B9"/>
    <w:rsid w:val="00BD399B"/>
    <w:rsid w:val="00BE4C2F"/>
    <w:rsid w:val="00BF051E"/>
    <w:rsid w:val="00BF0FBE"/>
    <w:rsid w:val="00C0167C"/>
    <w:rsid w:val="00C06EBC"/>
    <w:rsid w:val="00C5132D"/>
    <w:rsid w:val="00C606B9"/>
    <w:rsid w:val="00C65988"/>
    <w:rsid w:val="00C923CC"/>
    <w:rsid w:val="00CC54DE"/>
    <w:rsid w:val="00D0631E"/>
    <w:rsid w:val="00D2217C"/>
    <w:rsid w:val="00D3145A"/>
    <w:rsid w:val="00D36A6F"/>
    <w:rsid w:val="00D54E60"/>
    <w:rsid w:val="00D848AA"/>
    <w:rsid w:val="00DA1A19"/>
    <w:rsid w:val="00DB04D9"/>
    <w:rsid w:val="00DB2C14"/>
    <w:rsid w:val="00DB546E"/>
    <w:rsid w:val="00DC33D0"/>
    <w:rsid w:val="00E05E01"/>
    <w:rsid w:val="00E349DB"/>
    <w:rsid w:val="00E36420"/>
    <w:rsid w:val="00E66FBD"/>
    <w:rsid w:val="00E97CEF"/>
    <w:rsid w:val="00EC77C0"/>
    <w:rsid w:val="00F359DC"/>
    <w:rsid w:val="00F602CE"/>
    <w:rsid w:val="00F91D9B"/>
    <w:rsid w:val="00F9750A"/>
    <w:rsid w:val="00FB776E"/>
    <w:rsid w:val="00FE1B98"/>
    <w:rsid w:val="00FF03DA"/>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AA2D62"/>
  <w15:docId w15:val="{45E448E1-4211-D943-9333-1DE7E36329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lsdException w:name="Table Theme" w:semiHidden="1" w:unhideWhenUsed="1"/>
    <w:lsdException w:name="Placeholder Text" w:semiHidden="1" w:qFormat="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10376"/>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customStyle="1" w:styleId="NoList1">
    <w:name w:val="No List1"/>
    <w:next w:val="NoList"/>
    <w:uiPriority w:val="99"/>
    <w:semiHidden/>
    <w:unhideWhenUsed/>
    <w:rsid w:val="00B8636A"/>
  </w:style>
  <w:style w:type="character" w:customStyle="1" w:styleId="InternetLink">
    <w:name w:val="Internet Link"/>
    <w:basedOn w:val="DefaultParagraphFont"/>
    <w:uiPriority w:val="99"/>
    <w:unhideWhenUsed/>
    <w:rsid w:val="00B8636A"/>
    <w:rPr>
      <w:color w:val="0000FF" w:themeColor="hyperlink"/>
      <w:u w:val="single"/>
    </w:rPr>
  </w:style>
  <w:style w:type="character" w:customStyle="1" w:styleId="HeaderChar">
    <w:name w:val="Header Char"/>
    <w:basedOn w:val="DefaultParagraphFont"/>
    <w:link w:val="Header"/>
    <w:uiPriority w:val="99"/>
    <w:qFormat/>
    <w:rsid w:val="00B8636A"/>
  </w:style>
  <w:style w:type="character" w:customStyle="1" w:styleId="FooterChar">
    <w:name w:val="Footer Char"/>
    <w:basedOn w:val="DefaultParagraphFont"/>
    <w:link w:val="Footer"/>
    <w:uiPriority w:val="99"/>
    <w:qFormat/>
    <w:rsid w:val="00B8636A"/>
  </w:style>
  <w:style w:type="character" w:customStyle="1" w:styleId="BalloonTextChar">
    <w:name w:val="Balloon Text Char"/>
    <w:basedOn w:val="DefaultParagraphFont"/>
    <w:link w:val="BalloonText"/>
    <w:uiPriority w:val="99"/>
    <w:semiHidden/>
    <w:qFormat/>
    <w:rsid w:val="00B8636A"/>
    <w:rPr>
      <w:rFonts w:ascii="Tahoma" w:hAnsi="Tahoma" w:cs="Tahoma"/>
      <w:sz w:val="16"/>
      <w:szCs w:val="16"/>
    </w:rPr>
  </w:style>
  <w:style w:type="character" w:styleId="PlaceholderText">
    <w:name w:val="Placeholder Text"/>
    <w:basedOn w:val="DefaultParagraphFont"/>
    <w:uiPriority w:val="99"/>
    <w:semiHidden/>
    <w:qFormat/>
    <w:rsid w:val="00B8636A"/>
    <w:rPr>
      <w:color w:val="808080"/>
    </w:rPr>
  </w:style>
  <w:style w:type="character" w:styleId="Strong">
    <w:name w:val="Strong"/>
    <w:basedOn w:val="DefaultParagraphFont"/>
    <w:uiPriority w:val="22"/>
    <w:qFormat/>
    <w:rsid w:val="00B8636A"/>
    <w:rPr>
      <w:b/>
      <w:bCs/>
    </w:rPr>
  </w:style>
  <w:style w:type="paragraph" w:customStyle="1" w:styleId="Heading">
    <w:name w:val="Heading"/>
    <w:basedOn w:val="Normal"/>
    <w:next w:val="BodyText"/>
    <w:qFormat/>
    <w:rsid w:val="00B8636A"/>
    <w:pPr>
      <w:keepNext/>
      <w:spacing w:before="240" w:after="120"/>
    </w:pPr>
    <w:rPr>
      <w:rFonts w:ascii="Liberation Sans" w:eastAsia="Noto Sans CJK SC Regular" w:hAnsi="Liberation Sans" w:cs="FreeSans"/>
      <w:color w:val="00000A"/>
      <w:sz w:val="28"/>
      <w:szCs w:val="28"/>
    </w:rPr>
  </w:style>
  <w:style w:type="paragraph" w:styleId="BodyText">
    <w:name w:val="Body Text"/>
    <w:basedOn w:val="Normal"/>
    <w:link w:val="BodyTextChar"/>
    <w:rsid w:val="00B8636A"/>
    <w:pPr>
      <w:spacing w:after="140" w:line="288" w:lineRule="auto"/>
    </w:pPr>
    <w:rPr>
      <w:color w:val="00000A"/>
    </w:rPr>
  </w:style>
  <w:style w:type="character" w:customStyle="1" w:styleId="BodyTextChar">
    <w:name w:val="Body Text Char"/>
    <w:basedOn w:val="DefaultParagraphFont"/>
    <w:link w:val="BodyText"/>
    <w:rsid w:val="00B8636A"/>
    <w:rPr>
      <w:color w:val="00000A"/>
    </w:rPr>
  </w:style>
  <w:style w:type="paragraph" w:styleId="List">
    <w:name w:val="List"/>
    <w:basedOn w:val="BodyText"/>
    <w:rsid w:val="00B8636A"/>
    <w:rPr>
      <w:rFonts w:cs="FreeSans"/>
    </w:rPr>
  </w:style>
  <w:style w:type="paragraph" w:styleId="Caption">
    <w:name w:val="caption"/>
    <w:basedOn w:val="Normal"/>
    <w:qFormat/>
    <w:rsid w:val="00B8636A"/>
    <w:pPr>
      <w:suppressLineNumbers/>
      <w:spacing w:before="120" w:after="120"/>
    </w:pPr>
    <w:rPr>
      <w:rFonts w:cs="FreeSans"/>
      <w:i/>
      <w:iCs/>
      <w:color w:val="00000A"/>
      <w:sz w:val="24"/>
      <w:szCs w:val="24"/>
    </w:rPr>
  </w:style>
  <w:style w:type="paragraph" w:customStyle="1" w:styleId="Index">
    <w:name w:val="Index"/>
    <w:basedOn w:val="Normal"/>
    <w:qFormat/>
    <w:rsid w:val="00B8636A"/>
    <w:pPr>
      <w:suppressLineNumbers/>
    </w:pPr>
    <w:rPr>
      <w:rFonts w:cs="FreeSans"/>
      <w:color w:val="00000A"/>
    </w:rPr>
  </w:style>
  <w:style w:type="paragraph" w:styleId="Header">
    <w:name w:val="header"/>
    <w:basedOn w:val="Normal"/>
    <w:link w:val="HeaderChar"/>
    <w:uiPriority w:val="99"/>
    <w:unhideWhenUsed/>
    <w:rsid w:val="00B8636A"/>
    <w:pPr>
      <w:tabs>
        <w:tab w:val="center" w:pos="4252"/>
        <w:tab w:val="right" w:pos="8504"/>
      </w:tabs>
      <w:spacing w:after="0" w:line="240" w:lineRule="auto"/>
    </w:pPr>
  </w:style>
  <w:style w:type="character" w:customStyle="1" w:styleId="HeaderChar1">
    <w:name w:val="Header Char1"/>
    <w:basedOn w:val="DefaultParagraphFont"/>
    <w:uiPriority w:val="99"/>
    <w:semiHidden/>
    <w:rsid w:val="00B8636A"/>
  </w:style>
  <w:style w:type="paragraph" w:styleId="Footer">
    <w:name w:val="footer"/>
    <w:basedOn w:val="Normal"/>
    <w:link w:val="FooterChar"/>
    <w:uiPriority w:val="99"/>
    <w:unhideWhenUsed/>
    <w:rsid w:val="00B8636A"/>
    <w:pPr>
      <w:tabs>
        <w:tab w:val="center" w:pos="4252"/>
        <w:tab w:val="right" w:pos="8504"/>
      </w:tabs>
      <w:spacing w:after="0" w:line="240" w:lineRule="auto"/>
    </w:pPr>
  </w:style>
  <w:style w:type="character" w:customStyle="1" w:styleId="FooterChar1">
    <w:name w:val="Footer Char1"/>
    <w:basedOn w:val="DefaultParagraphFont"/>
    <w:uiPriority w:val="99"/>
    <w:semiHidden/>
    <w:rsid w:val="00B8636A"/>
  </w:style>
  <w:style w:type="paragraph" w:customStyle="1" w:styleId="p">
    <w:name w:val="p"/>
    <w:basedOn w:val="Normal"/>
    <w:qFormat/>
    <w:rsid w:val="00B8636A"/>
    <w:pPr>
      <w:spacing w:beforeAutospacing="1" w:afterAutospacing="1" w:line="240" w:lineRule="auto"/>
    </w:pPr>
    <w:rPr>
      <w:rFonts w:ascii="Times New Roman" w:eastAsia="Times New Roman" w:hAnsi="Times New Roman" w:cs="Times New Roman"/>
      <w:color w:val="00000A"/>
      <w:sz w:val="24"/>
      <w:szCs w:val="24"/>
      <w:lang w:eastAsia="es-ES"/>
    </w:rPr>
  </w:style>
  <w:style w:type="paragraph" w:styleId="BalloonText">
    <w:name w:val="Balloon Text"/>
    <w:basedOn w:val="Normal"/>
    <w:link w:val="BalloonTextChar"/>
    <w:uiPriority w:val="99"/>
    <w:semiHidden/>
    <w:unhideWhenUsed/>
    <w:qFormat/>
    <w:rsid w:val="00B8636A"/>
    <w:pPr>
      <w:spacing w:after="0" w:line="240" w:lineRule="auto"/>
    </w:pPr>
    <w:rPr>
      <w:rFonts w:ascii="Tahoma" w:hAnsi="Tahoma" w:cs="Tahoma"/>
      <w:sz w:val="16"/>
      <w:szCs w:val="16"/>
    </w:rPr>
  </w:style>
  <w:style w:type="character" w:customStyle="1" w:styleId="BalloonTextChar1">
    <w:name w:val="Balloon Text Char1"/>
    <w:basedOn w:val="DefaultParagraphFont"/>
    <w:uiPriority w:val="99"/>
    <w:semiHidden/>
    <w:rsid w:val="00B8636A"/>
    <w:rPr>
      <w:rFonts w:ascii="Tahoma" w:hAnsi="Tahoma" w:cs="Tahoma"/>
      <w:sz w:val="16"/>
      <w:szCs w:val="16"/>
    </w:rPr>
  </w:style>
  <w:style w:type="paragraph" w:customStyle="1" w:styleId="FrameContents">
    <w:name w:val="Frame Contents"/>
    <w:basedOn w:val="Normal"/>
    <w:qFormat/>
    <w:rsid w:val="00B8636A"/>
    <w:rPr>
      <w:color w:val="00000A"/>
    </w:rPr>
  </w:style>
  <w:style w:type="numbering" w:customStyle="1" w:styleId="NoList11">
    <w:name w:val="No List11"/>
    <w:uiPriority w:val="99"/>
    <w:semiHidden/>
    <w:unhideWhenUsed/>
    <w:qFormat/>
    <w:rsid w:val="00B8636A"/>
  </w:style>
  <w:style w:type="table" w:styleId="TableGrid">
    <w:name w:val="Table Grid"/>
    <w:basedOn w:val="TableNormal"/>
    <w:uiPriority w:val="39"/>
    <w:rsid w:val="00B8636A"/>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B8636A"/>
    <w:pPr>
      <w:spacing w:after="0" w:line="240" w:lineRule="auto"/>
    </w:pPr>
    <w:rPr>
      <w:color w:val="000000" w:themeColor="text1" w:themeShade="BF"/>
      <w:sz w:val="20"/>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character" w:styleId="Hyperlink">
    <w:name w:val="Hyperlink"/>
    <w:basedOn w:val="DefaultParagraphFont"/>
    <w:uiPriority w:val="99"/>
    <w:unhideWhenUsed/>
    <w:rsid w:val="00B8636A"/>
    <w:rPr>
      <w:color w:val="0000FF" w:themeColor="hyperlink"/>
      <w:u w:val="single"/>
    </w:rPr>
  </w:style>
  <w:style w:type="paragraph" w:styleId="ListParagraph">
    <w:name w:val="List Paragraph"/>
    <w:basedOn w:val="Normal"/>
    <w:uiPriority w:val="34"/>
    <w:qFormat/>
    <w:rsid w:val="00B8636A"/>
    <w:pPr>
      <w:ind w:left="720"/>
      <w:contextualSpacing/>
    </w:pPr>
    <w:rPr>
      <w:color w:val="00000A"/>
    </w:rPr>
  </w:style>
  <w:style w:type="table" w:customStyle="1" w:styleId="TableGrid1">
    <w:name w:val="Table Grid1"/>
    <w:basedOn w:val="TableNormal"/>
    <w:next w:val="TableGrid"/>
    <w:uiPriority w:val="59"/>
    <w:rsid w:val="00B86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uiPriority w:val="59"/>
    <w:rsid w:val="00B863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B8636A"/>
    <w:rPr>
      <w:sz w:val="16"/>
      <w:szCs w:val="16"/>
    </w:rPr>
  </w:style>
  <w:style w:type="paragraph" w:styleId="CommentText">
    <w:name w:val="annotation text"/>
    <w:basedOn w:val="Normal"/>
    <w:link w:val="CommentTextChar"/>
    <w:uiPriority w:val="99"/>
    <w:semiHidden/>
    <w:unhideWhenUsed/>
    <w:rsid w:val="00B8636A"/>
    <w:pPr>
      <w:spacing w:line="240" w:lineRule="auto"/>
    </w:pPr>
    <w:rPr>
      <w:color w:val="00000A"/>
      <w:sz w:val="20"/>
      <w:szCs w:val="20"/>
    </w:rPr>
  </w:style>
  <w:style w:type="character" w:customStyle="1" w:styleId="CommentTextChar">
    <w:name w:val="Comment Text Char"/>
    <w:basedOn w:val="DefaultParagraphFont"/>
    <w:link w:val="CommentText"/>
    <w:uiPriority w:val="99"/>
    <w:semiHidden/>
    <w:rsid w:val="00B8636A"/>
    <w:rPr>
      <w:color w:val="00000A"/>
      <w:sz w:val="20"/>
      <w:szCs w:val="20"/>
    </w:rPr>
  </w:style>
  <w:style w:type="paragraph" w:styleId="CommentSubject">
    <w:name w:val="annotation subject"/>
    <w:basedOn w:val="CommentText"/>
    <w:next w:val="CommentText"/>
    <w:link w:val="CommentSubjectChar"/>
    <w:uiPriority w:val="99"/>
    <w:semiHidden/>
    <w:unhideWhenUsed/>
    <w:rsid w:val="00B8636A"/>
    <w:rPr>
      <w:b/>
      <w:bCs/>
    </w:rPr>
  </w:style>
  <w:style w:type="character" w:customStyle="1" w:styleId="CommentSubjectChar">
    <w:name w:val="Comment Subject Char"/>
    <w:basedOn w:val="CommentTextChar"/>
    <w:link w:val="CommentSubject"/>
    <w:uiPriority w:val="99"/>
    <w:semiHidden/>
    <w:rsid w:val="00B8636A"/>
    <w:rPr>
      <w:b/>
      <w:bCs/>
      <w:color w:val="00000A"/>
      <w:sz w:val="20"/>
      <w:szCs w:val="20"/>
    </w:rPr>
  </w:style>
  <w:style w:type="paragraph" w:styleId="NormalWeb">
    <w:name w:val="Normal (Web)"/>
    <w:basedOn w:val="Normal"/>
    <w:uiPriority w:val="99"/>
    <w:semiHidden/>
    <w:unhideWhenUsed/>
    <w:rsid w:val="00B8636A"/>
    <w:rPr>
      <w:rFonts w:ascii="Times New Roman" w:hAnsi="Times New Roman" w:cs="Times New Roman"/>
      <w:color w:val="00000A"/>
      <w:sz w:val="24"/>
      <w:szCs w:val="24"/>
    </w:rPr>
  </w:style>
  <w:style w:type="character" w:customStyle="1" w:styleId="UnresolvedMention1">
    <w:name w:val="Unresolved Mention1"/>
    <w:basedOn w:val="DefaultParagraphFont"/>
    <w:uiPriority w:val="99"/>
    <w:semiHidden/>
    <w:unhideWhenUsed/>
    <w:rsid w:val="00B8636A"/>
    <w:rPr>
      <w:color w:val="605E5C"/>
      <w:shd w:val="clear" w:color="auto" w:fill="E1DFDD"/>
    </w:rPr>
  </w:style>
  <w:style w:type="character" w:customStyle="1" w:styleId="spellingerror">
    <w:name w:val="spellingerror"/>
    <w:basedOn w:val="DefaultParagraphFont"/>
    <w:rsid w:val="00B8636A"/>
  </w:style>
  <w:style w:type="paragraph" w:customStyle="1" w:styleId="xxmsonormal">
    <w:name w:val="x_xmsonormal"/>
    <w:basedOn w:val="Normal"/>
    <w:rsid w:val="00B8636A"/>
    <w:pPr>
      <w:spacing w:after="0" w:line="240" w:lineRule="auto"/>
    </w:pPr>
    <w:rPr>
      <w:rFonts w:ascii="Calibri" w:hAnsi="Calibri" w:cs="Calibri"/>
      <w:lang w:val="en-IE" w:eastAsia="en-IE"/>
    </w:rPr>
  </w:style>
  <w:style w:type="table" w:customStyle="1" w:styleId="TableGrid3">
    <w:name w:val="Table Grid3"/>
    <w:basedOn w:val="TableNormal"/>
    <w:next w:val="TableGrid"/>
    <w:uiPriority w:val="39"/>
    <w:rsid w:val="00B8636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B8636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uiPriority w:val="39"/>
    <w:rsid w:val="00B8636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uiPriority w:val="39"/>
    <w:rsid w:val="00B8636A"/>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basedOn w:val="DefaultParagraphFont"/>
    <w:uiPriority w:val="99"/>
    <w:semiHidden/>
    <w:unhideWhenUsed/>
    <w:rsid w:val="00B8636A"/>
    <w:rPr>
      <w:color w:val="800080" w:themeColor="followedHyperlink"/>
      <w:u w:val="single"/>
    </w:rPr>
  </w:style>
  <w:style w:type="table" w:customStyle="1" w:styleId="TableGrid7">
    <w:name w:val="Table Grid7"/>
    <w:basedOn w:val="TableNormal"/>
    <w:next w:val="TableGrid"/>
    <w:uiPriority w:val="59"/>
    <w:rsid w:val="00AE442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67">
    <w:name w:val="xl67"/>
    <w:basedOn w:val="Normal"/>
    <w:rsid w:val="00AE442A"/>
    <w:pPr>
      <w:spacing w:before="100" w:beforeAutospacing="1" w:after="100" w:afterAutospacing="1" w:line="240" w:lineRule="auto"/>
    </w:pPr>
    <w:rPr>
      <w:rFonts w:ascii="Times New Roman" w:eastAsia="Times New Roman" w:hAnsi="Times New Roman" w:cs="Times New Roman"/>
      <w:b/>
      <w:bCs/>
      <w:sz w:val="24"/>
      <w:szCs w:val="24"/>
      <w:lang w:eastAsia="es-ES"/>
    </w:rPr>
  </w:style>
  <w:style w:type="paragraph" w:customStyle="1" w:styleId="xl68">
    <w:name w:val="xl68"/>
    <w:basedOn w:val="Normal"/>
    <w:rsid w:val="00AE442A"/>
    <w:pPr>
      <w:spacing w:before="100" w:beforeAutospacing="1" w:after="100" w:afterAutospacing="1" w:line="240" w:lineRule="auto"/>
    </w:pPr>
    <w:rPr>
      <w:rFonts w:ascii="Times New Roman" w:eastAsia="Times New Roman" w:hAnsi="Times New Roman" w:cs="Times New Roman"/>
      <w:sz w:val="16"/>
      <w:szCs w:val="16"/>
      <w:lang w:eastAsia="es-ES"/>
    </w:rPr>
  </w:style>
  <w:style w:type="paragraph" w:customStyle="1" w:styleId="xl69">
    <w:name w:val="xl69"/>
    <w:basedOn w:val="Normal"/>
    <w:rsid w:val="00AE442A"/>
    <w:pPr>
      <w:spacing w:before="100" w:beforeAutospacing="1" w:after="100" w:afterAutospacing="1" w:line="240" w:lineRule="auto"/>
    </w:pPr>
    <w:rPr>
      <w:rFonts w:ascii="Times New Roman" w:eastAsia="Times New Roman" w:hAnsi="Times New Roman" w:cs="Times New Roman"/>
      <w:b/>
      <w:bCs/>
      <w:sz w:val="16"/>
      <w:szCs w:val="16"/>
      <w:lang w:eastAsia="es-ES"/>
    </w:rPr>
  </w:style>
  <w:style w:type="paragraph" w:customStyle="1" w:styleId="xl70">
    <w:name w:val="xl70"/>
    <w:basedOn w:val="Normal"/>
    <w:rsid w:val="00AE442A"/>
    <w:pPr>
      <w:spacing w:before="100" w:beforeAutospacing="1" w:after="100" w:afterAutospacing="1" w:line="240" w:lineRule="auto"/>
    </w:pPr>
    <w:rPr>
      <w:rFonts w:ascii="Times New Roman" w:eastAsia="Times New Roman" w:hAnsi="Times New Roman" w:cs="Times New Roman"/>
      <w:sz w:val="16"/>
      <w:szCs w:val="16"/>
      <w:lang w:eastAsia="es-ES"/>
    </w:rPr>
  </w:style>
  <w:style w:type="paragraph" w:customStyle="1" w:styleId="xl71">
    <w:name w:val="xl71"/>
    <w:basedOn w:val="Normal"/>
    <w:rsid w:val="00AE442A"/>
    <w:pPr>
      <w:pBdr>
        <w:bottom w:val="single" w:sz="4" w:space="0" w:color="auto"/>
      </w:pBdr>
      <w:spacing w:before="100" w:beforeAutospacing="1" w:after="100" w:afterAutospacing="1" w:line="240" w:lineRule="auto"/>
    </w:pPr>
    <w:rPr>
      <w:rFonts w:ascii="Times New Roman" w:eastAsia="Times New Roman" w:hAnsi="Times New Roman" w:cs="Times New Roman"/>
      <w:sz w:val="16"/>
      <w:szCs w:val="16"/>
      <w:lang w:eastAsia="es-ES"/>
    </w:rPr>
  </w:style>
  <w:style w:type="paragraph" w:customStyle="1" w:styleId="font5">
    <w:name w:val="font5"/>
    <w:basedOn w:val="Normal"/>
    <w:rsid w:val="00AE442A"/>
    <w:pPr>
      <w:spacing w:before="100" w:beforeAutospacing="1" w:after="100" w:afterAutospacing="1" w:line="240" w:lineRule="auto"/>
    </w:pPr>
    <w:rPr>
      <w:rFonts w:ascii="Calibri" w:eastAsia="Times New Roman" w:hAnsi="Calibri" w:cs="Calibri"/>
      <w:b/>
      <w:bCs/>
      <w:color w:val="000000"/>
      <w:sz w:val="16"/>
      <w:szCs w:val="16"/>
      <w:lang w:eastAsia="es-ES"/>
    </w:rPr>
  </w:style>
  <w:style w:type="paragraph" w:customStyle="1" w:styleId="font6">
    <w:name w:val="font6"/>
    <w:basedOn w:val="Normal"/>
    <w:rsid w:val="00AE442A"/>
    <w:pPr>
      <w:spacing w:before="100" w:beforeAutospacing="1" w:after="100" w:afterAutospacing="1" w:line="240" w:lineRule="auto"/>
    </w:pPr>
    <w:rPr>
      <w:rFonts w:ascii="Calibri" w:eastAsia="Times New Roman" w:hAnsi="Calibri" w:cs="Calibri"/>
      <w:b/>
      <w:bCs/>
      <w:i/>
      <w:iCs/>
      <w:color w:val="000000"/>
      <w:sz w:val="16"/>
      <w:szCs w:val="16"/>
      <w:lang w:eastAsia="es-ES"/>
    </w:rPr>
  </w:style>
  <w:style w:type="paragraph" w:customStyle="1" w:styleId="xl65">
    <w:name w:val="xl65"/>
    <w:basedOn w:val="Normal"/>
    <w:rsid w:val="00AE442A"/>
    <w:pP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ES"/>
    </w:rPr>
  </w:style>
  <w:style w:type="paragraph" w:customStyle="1" w:styleId="xl66">
    <w:name w:val="xl66"/>
    <w:basedOn w:val="Normal"/>
    <w:rsid w:val="00AE442A"/>
    <w:pPr>
      <w:spacing w:before="100" w:beforeAutospacing="1" w:after="100" w:afterAutospacing="1" w:line="240" w:lineRule="auto"/>
      <w:textAlignment w:val="center"/>
    </w:pPr>
    <w:rPr>
      <w:rFonts w:ascii="Times New Roman" w:eastAsia="Times New Roman" w:hAnsi="Times New Roman" w:cs="Times New Roman"/>
      <w:b/>
      <w:bCs/>
      <w:color w:val="000000"/>
      <w:sz w:val="16"/>
      <w:szCs w:val="16"/>
      <w:lang w:eastAsia="es-ES"/>
    </w:rPr>
  </w:style>
  <w:style w:type="paragraph" w:customStyle="1" w:styleId="xl72">
    <w:name w:val="xl72"/>
    <w:basedOn w:val="Normal"/>
    <w:rsid w:val="00AE442A"/>
    <w:pP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ES"/>
    </w:rPr>
  </w:style>
  <w:style w:type="paragraph" w:customStyle="1" w:styleId="xl73">
    <w:name w:val="xl73"/>
    <w:basedOn w:val="Normal"/>
    <w:rsid w:val="00AE442A"/>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ES"/>
    </w:rPr>
  </w:style>
  <w:style w:type="paragraph" w:customStyle="1" w:styleId="xl74">
    <w:name w:val="xl74"/>
    <w:basedOn w:val="Normal"/>
    <w:rsid w:val="00AE442A"/>
    <w:pPr>
      <w:pBdr>
        <w:bottom w:val="single" w:sz="8" w:space="0" w:color="auto"/>
      </w:pBdr>
      <w:spacing w:before="100" w:beforeAutospacing="1" w:after="100" w:afterAutospacing="1" w:line="240" w:lineRule="auto"/>
      <w:jc w:val="right"/>
      <w:textAlignment w:val="center"/>
    </w:pPr>
    <w:rPr>
      <w:rFonts w:ascii="Times New Roman" w:eastAsia="Times New Roman" w:hAnsi="Times New Roman" w:cs="Times New Roman"/>
      <w:color w:val="000000"/>
      <w:sz w:val="16"/>
      <w:szCs w:val="16"/>
      <w:lang w:eastAsia="es-ES"/>
    </w:rPr>
  </w:style>
  <w:style w:type="paragraph" w:customStyle="1" w:styleId="xl75">
    <w:name w:val="xl75"/>
    <w:basedOn w:val="Normal"/>
    <w:rsid w:val="00AE442A"/>
    <w:pPr>
      <w:pBdr>
        <w:bottom w:val="single" w:sz="8" w:space="0" w:color="auto"/>
      </w:pBdr>
      <w:spacing w:before="100" w:beforeAutospacing="1" w:after="100" w:afterAutospacing="1" w:line="240" w:lineRule="auto"/>
      <w:textAlignment w:val="center"/>
    </w:pPr>
    <w:rPr>
      <w:rFonts w:ascii="Times New Roman" w:eastAsia="Times New Roman" w:hAnsi="Times New Roman" w:cs="Times New Roman"/>
      <w:color w:val="000000"/>
      <w:sz w:val="16"/>
      <w:szCs w:val="16"/>
      <w:lang w:eastAsia="es-ES"/>
    </w:rPr>
  </w:style>
  <w:style w:type="paragraph" w:customStyle="1" w:styleId="xl76">
    <w:name w:val="xl76"/>
    <w:basedOn w:val="Normal"/>
    <w:rsid w:val="00AE442A"/>
    <w:pPr>
      <w:pBdr>
        <w:bottom w:val="single" w:sz="8" w:space="0" w:color="auto"/>
      </w:pBdr>
      <w:shd w:val="clear" w:color="000000" w:fill="FFC7CE"/>
      <w:spacing w:before="100" w:beforeAutospacing="1" w:after="100" w:afterAutospacing="1" w:line="240" w:lineRule="auto"/>
      <w:textAlignment w:val="center"/>
    </w:pPr>
    <w:rPr>
      <w:rFonts w:ascii="Times New Roman" w:eastAsia="Times New Roman" w:hAnsi="Times New Roman" w:cs="Times New Roman"/>
      <w:color w:val="9C0006"/>
      <w:sz w:val="16"/>
      <w:szCs w:val="16"/>
      <w:lang w:eastAsia="es-ES"/>
    </w:rPr>
  </w:style>
  <w:style w:type="paragraph" w:customStyle="1" w:styleId="xl77">
    <w:name w:val="xl77"/>
    <w:basedOn w:val="Normal"/>
    <w:rsid w:val="00AE442A"/>
    <w:pPr>
      <w:pBdr>
        <w:bottom w:val="single" w:sz="8" w:space="0" w:color="auto"/>
      </w:pBdr>
      <w:shd w:val="clear" w:color="000000" w:fill="FFEB9C"/>
      <w:spacing w:before="100" w:beforeAutospacing="1" w:after="100" w:afterAutospacing="1" w:line="240" w:lineRule="auto"/>
      <w:textAlignment w:val="center"/>
    </w:pPr>
    <w:rPr>
      <w:rFonts w:ascii="Times New Roman" w:eastAsia="Times New Roman" w:hAnsi="Times New Roman" w:cs="Times New Roman"/>
      <w:color w:val="9C6500"/>
      <w:sz w:val="16"/>
      <w:szCs w:val="16"/>
      <w:lang w:eastAsia="es-ES"/>
    </w:rPr>
  </w:style>
  <w:style w:type="paragraph" w:customStyle="1" w:styleId="xl78">
    <w:name w:val="xl78"/>
    <w:basedOn w:val="Normal"/>
    <w:rsid w:val="00AE442A"/>
    <w:pPr>
      <w:spacing w:before="100" w:beforeAutospacing="1" w:after="100" w:afterAutospacing="1" w:line="240" w:lineRule="auto"/>
    </w:pPr>
    <w:rPr>
      <w:rFonts w:ascii="Times New Roman" w:eastAsia="Times New Roman" w:hAnsi="Times New Roman" w:cs="Times New Roman"/>
      <w:sz w:val="16"/>
      <w:szCs w:val="16"/>
      <w:lang w:eastAsia="es-ES"/>
    </w:rPr>
  </w:style>
  <w:style w:type="paragraph" w:customStyle="1" w:styleId="xl79">
    <w:name w:val="xl79"/>
    <w:basedOn w:val="Normal"/>
    <w:rsid w:val="00AE442A"/>
    <w:pPr>
      <w:pBdr>
        <w:bottom w:val="single" w:sz="8" w:space="0" w:color="auto"/>
      </w:pBdr>
      <w:spacing w:before="100" w:beforeAutospacing="1" w:after="100" w:afterAutospacing="1" w:line="240" w:lineRule="auto"/>
    </w:pPr>
    <w:rPr>
      <w:rFonts w:ascii="Times New Roman" w:eastAsia="Times New Roman" w:hAnsi="Times New Roman" w:cs="Times New Roman"/>
      <w:sz w:val="16"/>
      <w:szCs w:val="16"/>
      <w:lang w:eastAsia="es-ES"/>
    </w:rPr>
  </w:style>
  <w:style w:type="table" w:customStyle="1" w:styleId="TableGrid8">
    <w:name w:val="Table Grid8"/>
    <w:basedOn w:val="TableNormal"/>
    <w:next w:val="TableGrid"/>
    <w:uiPriority w:val="39"/>
    <w:rsid w:val="00F91D9B"/>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uiPriority w:val="39"/>
    <w:rsid w:val="00F91D9B"/>
    <w:pPr>
      <w:spacing w:after="0" w:line="240" w:lineRule="auto"/>
    </w:pPr>
    <w:rPr>
      <w:sz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ColorfulList">
    <w:name w:val="Colorful List"/>
    <w:basedOn w:val="TableNormal"/>
    <w:uiPriority w:val="72"/>
    <w:rsid w:val="00323C4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customStyle="1" w:styleId="TableGrid31">
    <w:name w:val="Table Grid31"/>
    <w:basedOn w:val="TableNormal"/>
    <w:next w:val="TableGrid"/>
    <w:uiPriority w:val="39"/>
    <w:rsid w:val="006C0FF8"/>
    <w:pPr>
      <w:spacing w:after="0" w:line="240" w:lineRule="auto"/>
    </w:pPr>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2">
    <w:name w:val="Unresolved Mention2"/>
    <w:basedOn w:val="DefaultParagraphFont"/>
    <w:uiPriority w:val="99"/>
    <w:semiHidden/>
    <w:unhideWhenUsed/>
    <w:rsid w:val="006C79F6"/>
    <w:rPr>
      <w:color w:val="605E5C"/>
      <w:shd w:val="clear" w:color="auto" w:fill="E1DFDD"/>
    </w:rPr>
  </w:style>
  <w:style w:type="paragraph" w:styleId="Revision">
    <w:name w:val="Revision"/>
    <w:hidden/>
    <w:uiPriority w:val="99"/>
    <w:semiHidden/>
    <w:rsid w:val="008715C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22732539">
      <w:bodyDiv w:val="1"/>
      <w:marLeft w:val="0"/>
      <w:marRight w:val="0"/>
      <w:marTop w:val="0"/>
      <w:marBottom w:val="0"/>
      <w:divBdr>
        <w:top w:val="none" w:sz="0" w:space="0" w:color="auto"/>
        <w:left w:val="none" w:sz="0" w:space="0" w:color="auto"/>
        <w:bottom w:val="none" w:sz="0" w:space="0" w:color="auto"/>
        <w:right w:val="none" w:sz="0" w:space="0" w:color="auto"/>
      </w:divBdr>
    </w:div>
    <w:div w:id="644507462">
      <w:bodyDiv w:val="1"/>
      <w:marLeft w:val="0"/>
      <w:marRight w:val="0"/>
      <w:marTop w:val="0"/>
      <w:marBottom w:val="0"/>
      <w:divBdr>
        <w:top w:val="none" w:sz="0" w:space="0" w:color="auto"/>
        <w:left w:val="none" w:sz="0" w:space="0" w:color="auto"/>
        <w:bottom w:val="none" w:sz="0" w:space="0" w:color="auto"/>
        <w:right w:val="none" w:sz="0" w:space="0" w:color="auto"/>
      </w:divBdr>
    </w:div>
    <w:div w:id="653025281">
      <w:bodyDiv w:val="1"/>
      <w:marLeft w:val="0"/>
      <w:marRight w:val="0"/>
      <w:marTop w:val="0"/>
      <w:marBottom w:val="0"/>
      <w:divBdr>
        <w:top w:val="none" w:sz="0" w:space="0" w:color="auto"/>
        <w:left w:val="none" w:sz="0" w:space="0" w:color="auto"/>
        <w:bottom w:val="none" w:sz="0" w:space="0" w:color="auto"/>
        <w:right w:val="none" w:sz="0" w:space="0" w:color="auto"/>
      </w:divBdr>
    </w:div>
    <w:div w:id="832260226">
      <w:bodyDiv w:val="1"/>
      <w:marLeft w:val="0"/>
      <w:marRight w:val="0"/>
      <w:marTop w:val="0"/>
      <w:marBottom w:val="0"/>
      <w:divBdr>
        <w:top w:val="none" w:sz="0" w:space="0" w:color="auto"/>
        <w:left w:val="none" w:sz="0" w:space="0" w:color="auto"/>
        <w:bottom w:val="none" w:sz="0" w:space="0" w:color="auto"/>
        <w:right w:val="none" w:sz="0" w:space="0" w:color="auto"/>
      </w:divBdr>
    </w:div>
    <w:div w:id="915357016">
      <w:bodyDiv w:val="1"/>
      <w:marLeft w:val="0"/>
      <w:marRight w:val="0"/>
      <w:marTop w:val="0"/>
      <w:marBottom w:val="0"/>
      <w:divBdr>
        <w:top w:val="none" w:sz="0" w:space="0" w:color="auto"/>
        <w:left w:val="none" w:sz="0" w:space="0" w:color="auto"/>
        <w:bottom w:val="none" w:sz="0" w:space="0" w:color="auto"/>
        <w:right w:val="none" w:sz="0" w:space="0" w:color="auto"/>
      </w:divBdr>
    </w:div>
    <w:div w:id="1516576645">
      <w:bodyDiv w:val="1"/>
      <w:marLeft w:val="0"/>
      <w:marRight w:val="0"/>
      <w:marTop w:val="0"/>
      <w:marBottom w:val="0"/>
      <w:divBdr>
        <w:top w:val="none" w:sz="0" w:space="0" w:color="auto"/>
        <w:left w:val="none" w:sz="0" w:space="0" w:color="auto"/>
        <w:bottom w:val="none" w:sz="0" w:space="0" w:color="auto"/>
        <w:right w:val="none" w:sz="0" w:space="0" w:color="auto"/>
      </w:divBdr>
    </w:div>
    <w:div w:id="1793742371">
      <w:bodyDiv w:val="1"/>
      <w:marLeft w:val="0"/>
      <w:marRight w:val="0"/>
      <w:marTop w:val="0"/>
      <w:marBottom w:val="0"/>
      <w:divBdr>
        <w:top w:val="none" w:sz="0" w:space="0" w:color="auto"/>
        <w:left w:val="none" w:sz="0" w:space="0" w:color="auto"/>
        <w:bottom w:val="none" w:sz="0" w:space="0" w:color="auto"/>
        <w:right w:val="none" w:sz="0" w:space="0" w:color="auto"/>
      </w:divBdr>
    </w:div>
    <w:div w:id="21111216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39B1A7B896FE640A96C565215841AFE" ma:contentTypeVersion="13" ma:contentTypeDescription="Create a new document." ma:contentTypeScope="" ma:versionID="c53fbf9e9f05b0760d952bc77006fa5c">
  <xsd:schema xmlns:xsd="http://www.w3.org/2001/XMLSchema" xmlns:xs="http://www.w3.org/2001/XMLSchema" xmlns:p="http://schemas.microsoft.com/office/2006/metadata/properties" xmlns:ns3="f5f71b1f-2b02-4aa6-8f7a-c9f8915e2e2c" xmlns:ns4="3114ee57-f8bf-496a-a709-41be1b5807d1" targetNamespace="http://schemas.microsoft.com/office/2006/metadata/properties" ma:root="true" ma:fieldsID="26b20d2d3705c6d455ef50e401b0cc9a" ns3:_="" ns4:_="">
    <xsd:import namespace="f5f71b1f-2b02-4aa6-8f7a-c9f8915e2e2c"/>
    <xsd:import namespace="3114ee57-f8bf-496a-a709-41be1b5807d1"/>
    <xsd:element name="properties">
      <xsd:complexType>
        <xsd:sequence>
          <xsd:element name="documentManagement">
            <xsd:complexType>
              <xsd:all>
                <xsd:element ref="ns3:MediaServiceMetadata" minOccurs="0"/>
                <xsd:element ref="ns3:MediaServiceFastMetadata" minOccurs="0"/>
                <xsd:element ref="ns3:MediaServiceDateTaken" minOccurs="0"/>
                <xsd:element ref="ns3:MediaServiceAutoTags" minOccurs="0"/>
                <xsd:element ref="ns3:MediaServiceGenerationTime" minOccurs="0"/>
                <xsd:element ref="ns3:MediaServiceEventHashCode" minOccurs="0"/>
                <xsd:element ref="ns3:MediaServiceOCR" minOccurs="0"/>
                <xsd:element ref="ns3:MediaServiceLocation" minOccurs="0"/>
                <xsd:element ref="ns3:MediaServiceAutoKeyPoints" minOccurs="0"/>
                <xsd:element ref="ns3:MediaServiceKeyPoints"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f71b1f-2b02-4aa6-8f7a-c9f8915e2e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114ee57-f8bf-496a-a709-41be1b5807d1"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SharingHintHash" ma:index="20"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440AD80-93C4-4158-8DA1-EC5CA840276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f71b1f-2b02-4aa6-8f7a-c9f8915e2e2c"/>
    <ds:schemaRef ds:uri="3114ee57-f8bf-496a-a709-41be1b5807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D491C7F-0E92-4286-BC8F-60B6C537F104}">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3E68644B-56D0-4A12-9B02-D06568F83BAE}">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1053</Words>
  <Characters>6003</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7042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Barira</dc:creator>
  <cp:lastModifiedBy>BOURKE, STEPHANIE</cp:lastModifiedBy>
  <cp:revision>3</cp:revision>
  <cp:lastPrinted>2020-10-29T12:16:00Z</cp:lastPrinted>
  <dcterms:created xsi:type="dcterms:W3CDTF">2024-03-15T15:13:00Z</dcterms:created>
  <dcterms:modified xsi:type="dcterms:W3CDTF">2024-03-15T15:15:00Z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0x010100439B1A7B896FE640A96C565215841AFE</vt:lpwstr>
  </property>
</Properties>
</file>