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1034AF" w14:textId="77777777" w:rsidR="00A02B18" w:rsidRDefault="00A02B18" w:rsidP="00A02B18">
      <w:pPr>
        <w:ind w:left="-993"/>
        <w:jc w:val="both"/>
        <w:rPr>
          <w:rFonts w:ascii="Times New Roman" w:hAnsi="Times New Roman"/>
          <w:b/>
          <w:sz w:val="24"/>
          <w:lang w:val="en-US"/>
        </w:rPr>
      </w:pPr>
      <w:r>
        <w:rPr>
          <w:rFonts w:ascii="Times New Roman" w:hAnsi="Times New Roman"/>
          <w:b/>
          <w:sz w:val="24"/>
          <w:lang w:val="en-US"/>
        </w:rPr>
        <w:t>Supplementary Information:</w:t>
      </w:r>
    </w:p>
    <w:p w14:paraId="42C1BF38" w14:textId="77777777" w:rsidR="00A02B18" w:rsidRDefault="00A02B18" w:rsidP="00A02B18">
      <w:pPr>
        <w:ind w:left="-993"/>
        <w:jc w:val="both"/>
        <w:rPr>
          <w:rFonts w:ascii="Times New Roman" w:hAnsi="Times New Roman"/>
          <w:b/>
          <w:sz w:val="24"/>
          <w:lang w:val="en-US"/>
        </w:rPr>
      </w:pPr>
      <w:r>
        <w:rPr>
          <w:rFonts w:ascii="Times New Roman" w:hAnsi="Times New Roman"/>
          <w:b/>
          <w:sz w:val="24"/>
          <w:lang w:val="en-US"/>
        </w:rPr>
        <w:t>Alternative analyses of the delay-discounting task with area under the curve (AUC) and normalized AUC</w:t>
      </w:r>
    </w:p>
    <w:p w14:paraId="1DD1902E" w14:textId="77777777" w:rsidR="00A02B18" w:rsidRDefault="00A02B18" w:rsidP="00A02B18">
      <w:pPr>
        <w:ind w:left="-993"/>
        <w:jc w:val="both"/>
        <w:rPr>
          <w:rFonts w:ascii="Times New Roman" w:hAnsi="Times New Roman"/>
          <w:b/>
          <w:sz w:val="24"/>
          <w:lang w:val="en-US"/>
        </w:rPr>
      </w:pPr>
      <w:r w:rsidRPr="007C50C8">
        <w:rPr>
          <w:rFonts w:ascii="Times New Roman" w:hAnsi="Times New Roman"/>
          <w:b/>
          <w:sz w:val="24"/>
          <w:lang w:val="en-US"/>
        </w:rPr>
        <w:t>There is a debate in the preclinical literature on impulsivity about the best way to analyze impulsivity using delay-discounting curves (the two debated options are curve-fitting approaches or to compute the area under the delay-discounting curve). In addition to extracting the k parameter (see Methods section) we have also computed the AUC (normalized and non-normalized). When using these AUCs as input variables, the clustering approach was inadequate as it created two groups with a very unequal number of animals, even after removing two outliers</w:t>
      </w:r>
      <w:r>
        <w:rPr>
          <w:rFonts w:ascii="Times New Roman" w:hAnsi="Times New Roman"/>
          <w:b/>
          <w:sz w:val="24"/>
          <w:lang w:val="en-US"/>
        </w:rPr>
        <w:t xml:space="preserve"> (see SI Fig.1)</w:t>
      </w:r>
      <w:r w:rsidRPr="007C50C8">
        <w:rPr>
          <w:rFonts w:ascii="Times New Roman" w:hAnsi="Times New Roman"/>
          <w:b/>
          <w:sz w:val="24"/>
          <w:lang w:val="en-US"/>
        </w:rPr>
        <w:t xml:space="preserve">. In spite of this, the correlation obtained for </w:t>
      </w:r>
      <w:r w:rsidRPr="007C50C8">
        <w:rPr>
          <w:rFonts w:ascii="Times New Roman" w:hAnsi="Times New Roman"/>
          <w:b/>
          <w:i/>
          <w:sz w:val="24"/>
          <w:lang w:val="en-US"/>
        </w:rPr>
        <w:t xml:space="preserve">Cnr1 </w:t>
      </w:r>
      <w:r w:rsidRPr="007C50C8">
        <w:rPr>
          <w:rFonts w:ascii="Times New Roman" w:hAnsi="Times New Roman"/>
          <w:b/>
          <w:sz w:val="24"/>
          <w:lang w:val="en-US"/>
        </w:rPr>
        <w:t xml:space="preserve">and the k parameter had an equivalent correlation between both the AUC </w:t>
      </w:r>
      <w:r w:rsidRPr="007C50C8">
        <w:rPr>
          <w:rFonts w:ascii="Times New Roman" w:hAnsi="Times New Roman"/>
          <w:b/>
          <w:sz w:val="24"/>
          <w:lang w:val="en-US"/>
        </w:rPr>
        <w:fldChar w:fldCharType="begin" w:fldLock="1"/>
      </w:r>
      <w:r w:rsidRPr="007C50C8">
        <w:rPr>
          <w:rFonts w:ascii="Times New Roman" w:hAnsi="Times New Roman"/>
          <w:b/>
          <w:sz w:val="24"/>
          <w:lang w:val="en-US"/>
        </w:rPr>
        <w:instrText>ADDIN CSL_CITATION {"citationItems":[{"id":"ITEM-1","itemData":{"DOI":"10.3389/fnbeh.2018.00312","ISSN":"1662-5153","abstract":"Impulse control disorders (ICDs) are frequent behavioral complications of dopaminergic (DA) replacement therapies (DRTs) in Parkinson’s disease (PD). Impulsive choice, which refers to an inability to tolerate delays to reinforcement, has been identified as a core pathophysiological process of ICDs. Although impulsive choices are exacerbated in PD patients with ICDs under DRTs, some clinical and preclinical studies suggest that the DA denervation of the dorsal striatum induced by the neurodegenerative process as well as a pre-existing high impulsivity trait, may both contribute to the emergence of ICDs in PD. We therefore investigated in a preclinical model in rats, specifically designed to study PD-related non-motor symptoms, the effect of nigrostriatal DA denervation on impulsive choice, in relation to pre-existing levels of impulsivity, measured in a delay discounting task. In this procedure, rats had the choice between responding for a small sucrose reinforcer delivered immediately, or a larger sucrose reinforcer, delivered after a 0, 5, 10 or 15 s delay. In two different versions of the task, the preference for the large reinforcer decreased as the delay increased. However, and in contrast to our initial hypothesis, this discounting effect was neither exacerbated by, or related to, the extent of the SNc DA lesion, nor it was influenced by pre-existing variability in impulsive choice. These results therefore question the potential implication of the nigrostriatal DA system in impulsive choice, as well as the DA neurodegenerative process as a factor contributing significantly to the development of ICDs in PD.","author":[{"dropping-particle":"","family":"Magnard","given":"Robin","non-dropping-particle":"","parse-names":false,"suffix":""},{"dropping-particle":"","family":"Vachez","given":"Yvan","non-dropping-particle":"","parse-names":false,"suffix":""},{"dropping-particle":"","family":"Carcenac","given":"Carole","non-dropping-particle":"","parse-names":false,"suffix":""},{"dropping-particle":"","family":"Boulet","given":"Sabrina","non-dropping-particle":"","parse-names":false,"suffix":""},{"dropping-particle":"","family":"Houeto","given":"Jean-Luc","non-dropping-particle":"","parse-names":false,"suffix":""},{"dropping-particle":"","family":"Savasta","given":"Marc","non-dropping-particle":"","parse-names":false,"suffix":""},{"dropping-particle":"","family":"Belin","given":"David","non-dropping-particle":"","parse-names":false,"suffix":""},{"dropping-particle":"","family":"Carnicella","given":"Sebastien","non-dropping-particle":"","parse-names":false,"suffix":""}],"container-title":"Frontiers in Behavioral Neuroscience","id":"ITEM-1","issued":{"date-parts":[["2018","12","13"]]},"page":"312","publisher":"Frontiers","title":"Nigrostriatal Dopaminergic Denervation Does Not Promote Impulsive Choice in the Rat: Implication for Impulse Control Disorders in Parkinson’s Disease","type":"article-journal","volume":"12"},"uris":["http://www.mendeley.com/documents/?uuid=c980c13a-bab3-36d9-9446-19657820d39f"]}],"mendeley":{"formattedCitation":"(Magnard et al., 2018)","plainTextFormattedCitation":"(Magnard et al., 2018)"},"properties":{"noteIndex":0},"schema":"https://github.com/citation-style-language/schema/raw/master/csl-citation.json"}</w:instrText>
      </w:r>
      <w:r w:rsidRPr="007C50C8">
        <w:rPr>
          <w:rFonts w:ascii="Times New Roman" w:hAnsi="Times New Roman"/>
          <w:b/>
          <w:sz w:val="24"/>
          <w:lang w:val="en-US"/>
        </w:rPr>
        <w:fldChar w:fldCharType="separate"/>
      </w:r>
      <w:r w:rsidRPr="007C50C8">
        <w:rPr>
          <w:rFonts w:ascii="Times New Roman" w:hAnsi="Times New Roman"/>
          <w:b/>
          <w:noProof/>
          <w:sz w:val="24"/>
          <w:lang w:val="en-US"/>
        </w:rPr>
        <w:t>(Magnard et al., 2018)</w:t>
      </w:r>
      <w:r w:rsidRPr="007C50C8">
        <w:rPr>
          <w:rFonts w:ascii="Times New Roman" w:hAnsi="Times New Roman"/>
          <w:b/>
          <w:sz w:val="24"/>
          <w:lang w:val="en-US"/>
        </w:rPr>
        <w:fldChar w:fldCharType="end"/>
      </w:r>
      <w:r w:rsidRPr="007C50C8">
        <w:rPr>
          <w:rFonts w:ascii="Times New Roman" w:hAnsi="Times New Roman"/>
          <w:b/>
          <w:sz w:val="24"/>
          <w:lang w:val="en-US"/>
        </w:rPr>
        <w:t xml:space="preserve"> and the normalized AUC </w:t>
      </w:r>
      <w:r w:rsidRPr="007C50C8">
        <w:rPr>
          <w:rFonts w:ascii="Times New Roman" w:hAnsi="Times New Roman"/>
          <w:b/>
          <w:sz w:val="24"/>
          <w:lang w:val="en-US"/>
        </w:rPr>
        <w:fldChar w:fldCharType="begin" w:fldLock="1"/>
      </w:r>
      <w:r w:rsidRPr="007C50C8">
        <w:rPr>
          <w:rFonts w:ascii="Times New Roman" w:hAnsi="Times New Roman"/>
          <w:b/>
          <w:sz w:val="24"/>
          <w:lang w:val="en-US"/>
        </w:rPr>
        <w:instrText>ADDIN CSL_CITATION {"citationItems":[{"id":"ITEM-1","itemData":{"DOI":"10.1901/jeab.2001.76-235","ISSN":"0022-5002","PMID":"11599641","abstract":"We describe a novel approach to the measurement of discounting based on calculating the area under the empirical discounting function. This approach avoids some of the problems associated with measures based on estimates of the parameters of theoretical discounting functions. The area measure may be easily calculated for both individual and group data collected using any of a variety of current delay and probability discounting procedures. The present approach is not intended as a substitute for theoretical discounting models. It is useful, however, to have a simple, univariate measure of discounting that is not tied to any specific theoretical framework.","author":[{"dropping-particle":"","family":"Myerson","given":"J","non-dropping-particle":"","parse-names":false,"suffix":""},{"dropping-particle":"","family":"Green","given":"L","non-dropping-particle":"","parse-names":false,"suffix":""},{"dropping-particle":"","family":"Warusawitharana","given":"M","non-dropping-particle":"","parse-names":false,"suffix":""}],"container-title":"Journal of the experimental analysis of behavior","id":"ITEM-1","issue":"2","issued":{"date-parts":[["2001","9"]]},"page":"235-43","publisher":"Society for the Experimental Analysis of Behavior","title":"Area under the curve as a measure of discounting.","type":"article-journal","volume":"76"},"uris":["http://www.mendeley.com/documents/?uuid=6d4dd0b1-b7b2-3fff-8909-01f8bc5a8e7e"]}],"mendeley":{"formattedCitation":"(Myerson et al., 2001)","plainTextFormattedCitation":"(Myerson et al., 2001)","previouslyFormattedCitation":"(Myerson et al., 2001)"},"properties":{"noteIndex":0},"schema":"https://github.com/citation-style-language/schema/raw/master/csl-citation.json"}</w:instrText>
      </w:r>
      <w:r w:rsidRPr="007C50C8">
        <w:rPr>
          <w:rFonts w:ascii="Times New Roman" w:hAnsi="Times New Roman"/>
          <w:b/>
          <w:sz w:val="24"/>
          <w:lang w:val="en-US"/>
        </w:rPr>
        <w:fldChar w:fldCharType="separate"/>
      </w:r>
      <w:r w:rsidRPr="007C50C8">
        <w:rPr>
          <w:rFonts w:ascii="Times New Roman" w:hAnsi="Times New Roman"/>
          <w:b/>
          <w:noProof/>
          <w:sz w:val="24"/>
          <w:lang w:val="en-US"/>
        </w:rPr>
        <w:t>(Myerson et al., 2001)</w:t>
      </w:r>
      <w:r w:rsidRPr="007C50C8">
        <w:rPr>
          <w:rFonts w:ascii="Times New Roman" w:hAnsi="Times New Roman"/>
          <w:b/>
          <w:sz w:val="24"/>
          <w:lang w:val="en-US"/>
        </w:rPr>
        <w:fldChar w:fldCharType="end"/>
      </w:r>
      <w:r w:rsidRPr="007C50C8">
        <w:rPr>
          <w:rFonts w:ascii="Times New Roman" w:hAnsi="Times New Roman"/>
          <w:b/>
          <w:sz w:val="24"/>
          <w:lang w:val="en-US"/>
        </w:rPr>
        <w:t xml:space="preserve">, with or without </w:t>
      </w:r>
      <w:r>
        <w:rPr>
          <w:rFonts w:ascii="Times New Roman" w:hAnsi="Times New Roman"/>
          <w:b/>
          <w:sz w:val="24"/>
          <w:lang w:val="en-US"/>
        </w:rPr>
        <w:t>two identified</w:t>
      </w:r>
      <w:r w:rsidRPr="007C50C8">
        <w:rPr>
          <w:rFonts w:ascii="Times New Roman" w:hAnsi="Times New Roman"/>
          <w:b/>
          <w:sz w:val="24"/>
          <w:lang w:val="en-US"/>
        </w:rPr>
        <w:t xml:space="preserve"> outliers, and </w:t>
      </w:r>
      <w:r w:rsidRPr="007C50C8">
        <w:rPr>
          <w:rFonts w:ascii="Times New Roman" w:hAnsi="Times New Roman"/>
          <w:b/>
          <w:i/>
          <w:sz w:val="24"/>
          <w:lang w:val="en-US"/>
        </w:rPr>
        <w:t>Cnr1,</w:t>
      </w:r>
      <w:r w:rsidRPr="007C50C8">
        <w:rPr>
          <w:rFonts w:ascii="Times New Roman" w:hAnsi="Times New Roman"/>
          <w:b/>
          <w:sz w:val="24"/>
          <w:lang w:val="en-US"/>
        </w:rPr>
        <w:t xml:space="preserve"> supporting the robustness of our results.</w:t>
      </w:r>
    </w:p>
    <w:p w14:paraId="0B94EE1C" w14:textId="77777777" w:rsidR="00A02B18" w:rsidRPr="007C50C8" w:rsidRDefault="00A02B18" w:rsidP="00A02B18">
      <w:pPr>
        <w:ind w:left="-993"/>
        <w:jc w:val="both"/>
        <w:rPr>
          <w:rFonts w:ascii="Times New Roman" w:hAnsi="Times New Roman"/>
          <w:b/>
          <w:sz w:val="24"/>
          <w:lang w:val="en-US"/>
        </w:rPr>
      </w:pPr>
    </w:p>
    <w:p w14:paraId="6B7F60E4" w14:textId="77777777" w:rsidR="00A02B18" w:rsidRPr="0079232C" w:rsidRDefault="00A02B18" w:rsidP="00A02B18">
      <w:pPr>
        <w:pStyle w:val="Prrafodelista"/>
        <w:ind w:left="-633"/>
        <w:jc w:val="both"/>
        <w:rPr>
          <w:rFonts w:ascii="Times New Roman" w:hAnsi="Times New Roman"/>
          <w:sz w:val="24"/>
          <w:lang w:val="en-US"/>
        </w:rPr>
      </w:pPr>
      <w:r w:rsidRPr="0079232C">
        <w:rPr>
          <w:rFonts w:ascii="Times New Roman" w:hAnsi="Times New Roman"/>
          <w:noProof/>
          <w:sz w:val="24"/>
          <w:lang w:eastAsia="es-ES"/>
        </w:rPr>
        <w:drawing>
          <wp:inline distT="0" distB="0" distL="0" distR="0" wp14:anchorId="390DD314" wp14:editId="626779F5">
            <wp:extent cx="5779135" cy="403578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0688" cy="4036866"/>
                    </a:xfrm>
                    <a:prstGeom prst="rect">
                      <a:avLst/>
                    </a:prstGeom>
                    <a:noFill/>
                  </pic:spPr>
                </pic:pic>
              </a:graphicData>
            </a:graphic>
          </wp:inline>
        </w:drawing>
      </w:r>
    </w:p>
    <w:p w14:paraId="10B4F7ED" w14:textId="77777777" w:rsidR="00A02B18" w:rsidRPr="0079232C" w:rsidRDefault="00A02B18" w:rsidP="00A02B18">
      <w:pPr>
        <w:ind w:left="-993"/>
        <w:jc w:val="both"/>
        <w:rPr>
          <w:rFonts w:ascii="Times New Roman" w:hAnsi="Times New Roman"/>
          <w:b/>
          <w:sz w:val="24"/>
          <w:lang w:val="en-US"/>
        </w:rPr>
      </w:pPr>
      <w:bookmarkStart w:id="0" w:name="_Hlk535073397"/>
      <w:r w:rsidRPr="0079232C">
        <w:rPr>
          <w:rFonts w:ascii="Times New Roman" w:hAnsi="Times New Roman"/>
          <w:b/>
          <w:sz w:val="24"/>
          <w:lang w:val="en-US"/>
        </w:rPr>
        <w:t xml:space="preserve">SI. Fig 1. The relationship between </w:t>
      </w:r>
      <w:r w:rsidRPr="0079232C">
        <w:rPr>
          <w:rFonts w:ascii="Times New Roman" w:hAnsi="Times New Roman"/>
          <w:b/>
          <w:i/>
          <w:sz w:val="24"/>
          <w:lang w:val="en-US"/>
        </w:rPr>
        <w:t>Cnr1</w:t>
      </w:r>
      <w:r w:rsidRPr="0079232C">
        <w:rPr>
          <w:rFonts w:ascii="Times New Roman" w:hAnsi="Times New Roman"/>
          <w:b/>
          <w:sz w:val="24"/>
          <w:lang w:val="en-US"/>
        </w:rPr>
        <w:t xml:space="preserve"> gene expression and impulsive behavior </w:t>
      </w:r>
      <w:r w:rsidR="006F149A">
        <w:rPr>
          <w:rFonts w:ascii="Times New Roman" w:hAnsi="Times New Roman"/>
          <w:b/>
          <w:sz w:val="24"/>
          <w:lang w:val="en-US"/>
        </w:rPr>
        <w:t xml:space="preserve">measured with the </w:t>
      </w:r>
      <w:r w:rsidR="005656D6">
        <w:rPr>
          <w:rFonts w:ascii="Times New Roman" w:hAnsi="Times New Roman"/>
          <w:b/>
          <w:sz w:val="24"/>
          <w:lang w:val="en-US"/>
        </w:rPr>
        <w:t>AUC</w:t>
      </w:r>
      <w:r w:rsidR="006F149A">
        <w:rPr>
          <w:rFonts w:ascii="Times New Roman" w:hAnsi="Times New Roman"/>
          <w:b/>
          <w:sz w:val="24"/>
          <w:lang w:val="en-US"/>
        </w:rPr>
        <w:t xml:space="preserve"> </w:t>
      </w:r>
      <w:r w:rsidR="005656D6">
        <w:rPr>
          <w:rFonts w:ascii="Times New Roman" w:hAnsi="Times New Roman"/>
          <w:b/>
          <w:sz w:val="24"/>
          <w:lang w:val="en-US"/>
        </w:rPr>
        <w:t xml:space="preserve">methods </w:t>
      </w:r>
      <w:r w:rsidRPr="0079232C">
        <w:rPr>
          <w:rFonts w:ascii="Times New Roman" w:hAnsi="Times New Roman"/>
          <w:b/>
          <w:sz w:val="24"/>
          <w:lang w:val="en-US"/>
        </w:rPr>
        <w:t xml:space="preserve">(alternative analysis) </w:t>
      </w:r>
    </w:p>
    <w:p w14:paraId="0998048F" w14:textId="77777777" w:rsidR="00A02B18" w:rsidRPr="0079232C" w:rsidRDefault="00A02B18" w:rsidP="00A02B18">
      <w:pPr>
        <w:ind w:left="-993"/>
        <w:jc w:val="both"/>
        <w:rPr>
          <w:rFonts w:ascii="Times New Roman" w:hAnsi="Times New Roman"/>
          <w:b/>
          <w:sz w:val="24"/>
          <w:lang w:val="en-US"/>
        </w:rPr>
      </w:pPr>
      <w:r w:rsidRPr="0079232C">
        <w:rPr>
          <w:rFonts w:ascii="Times New Roman" w:hAnsi="Times New Roman"/>
          <w:b/>
          <w:sz w:val="24"/>
          <w:lang w:val="en-US"/>
        </w:rPr>
        <w:t>Impulsive choice was positively correlated with impulsivity measured by both measures of AUC</w:t>
      </w:r>
      <w:r>
        <w:rPr>
          <w:rFonts w:ascii="Times New Roman" w:hAnsi="Times New Roman"/>
          <w:b/>
          <w:sz w:val="24"/>
          <w:lang w:val="en-US"/>
        </w:rPr>
        <w:t>,</w:t>
      </w:r>
      <w:r w:rsidRPr="0079232C">
        <w:rPr>
          <w:rFonts w:ascii="Times New Roman" w:hAnsi="Times New Roman"/>
          <w:b/>
          <w:sz w:val="24"/>
          <w:lang w:val="en-US"/>
        </w:rPr>
        <w:t xml:space="preserve"> with or without outliers (a smaller AUC </w:t>
      </w:r>
      <w:r>
        <w:rPr>
          <w:rFonts w:ascii="Times New Roman" w:hAnsi="Times New Roman"/>
          <w:b/>
          <w:sz w:val="24"/>
          <w:lang w:val="en-US"/>
        </w:rPr>
        <w:t>indicates</w:t>
      </w:r>
      <w:r w:rsidRPr="0079232C">
        <w:rPr>
          <w:rFonts w:ascii="Times New Roman" w:hAnsi="Times New Roman"/>
          <w:b/>
          <w:sz w:val="24"/>
          <w:lang w:val="en-US"/>
        </w:rPr>
        <w:t xml:space="preserve"> a faster switch in the preference </w:t>
      </w:r>
      <w:r>
        <w:rPr>
          <w:rFonts w:ascii="Times New Roman" w:hAnsi="Times New Roman"/>
          <w:b/>
          <w:sz w:val="24"/>
          <w:lang w:val="en-US"/>
        </w:rPr>
        <w:t>in favor of</w:t>
      </w:r>
      <w:r w:rsidRPr="0079232C">
        <w:rPr>
          <w:rFonts w:ascii="Times New Roman" w:hAnsi="Times New Roman"/>
          <w:b/>
          <w:sz w:val="24"/>
          <w:lang w:val="en-US"/>
        </w:rPr>
        <w:t xml:space="preserve"> the immediate lever i.e. higher impulsivity) A) Impulsive choice (as defined by the normalized AUC</w:t>
      </w:r>
      <w:r>
        <w:rPr>
          <w:rFonts w:ascii="Times New Roman" w:hAnsi="Times New Roman"/>
          <w:b/>
          <w:sz w:val="24"/>
          <w:lang w:val="en-US"/>
        </w:rPr>
        <w:t>,</w:t>
      </w:r>
      <w:r w:rsidRPr="0079232C">
        <w:rPr>
          <w:rFonts w:ascii="Times New Roman" w:hAnsi="Times New Roman"/>
          <w:b/>
          <w:sz w:val="24"/>
          <w:lang w:val="en-US"/>
        </w:rPr>
        <w:t xml:space="preserve"> without removing outliers) was positively correlated with </w:t>
      </w:r>
      <w:r w:rsidRPr="0079232C">
        <w:rPr>
          <w:rFonts w:ascii="Times New Roman" w:hAnsi="Times New Roman"/>
          <w:b/>
          <w:i/>
          <w:sz w:val="24"/>
          <w:lang w:val="en-US"/>
        </w:rPr>
        <w:t>Cnr1</w:t>
      </w:r>
      <w:r w:rsidRPr="0079232C">
        <w:rPr>
          <w:rFonts w:ascii="Times New Roman" w:hAnsi="Times New Roman"/>
          <w:b/>
          <w:sz w:val="24"/>
          <w:lang w:val="en-US"/>
        </w:rPr>
        <w:t xml:space="preserve"> (CB</w:t>
      </w:r>
      <w:r w:rsidRPr="0079232C">
        <w:rPr>
          <w:rFonts w:ascii="Times New Roman" w:hAnsi="Times New Roman"/>
          <w:b/>
          <w:sz w:val="24"/>
          <w:vertAlign w:val="subscript"/>
          <w:lang w:val="en-US"/>
        </w:rPr>
        <w:t>1</w:t>
      </w:r>
      <w:r w:rsidRPr="0079232C">
        <w:rPr>
          <w:rFonts w:ascii="Times New Roman" w:hAnsi="Times New Roman"/>
          <w:b/>
          <w:sz w:val="24"/>
          <w:lang w:val="en-US"/>
        </w:rPr>
        <w:t xml:space="preserve"> cannabinoid receptor) gene expression </w:t>
      </w:r>
      <w:r>
        <w:rPr>
          <w:rFonts w:ascii="Times New Roman" w:hAnsi="Times New Roman"/>
          <w:b/>
          <w:sz w:val="24"/>
          <w:lang w:val="en-US"/>
        </w:rPr>
        <w:t xml:space="preserve">in </w:t>
      </w:r>
      <w:r w:rsidRPr="0079232C">
        <w:rPr>
          <w:rFonts w:ascii="Times New Roman" w:hAnsi="Times New Roman"/>
          <w:b/>
          <w:sz w:val="24"/>
          <w:lang w:val="en-US"/>
        </w:rPr>
        <w:t xml:space="preserve">the </w:t>
      </w:r>
      <w:proofErr w:type="spellStart"/>
      <w:r w:rsidRPr="0079232C">
        <w:rPr>
          <w:rFonts w:ascii="Times New Roman" w:hAnsi="Times New Roman"/>
          <w:b/>
          <w:sz w:val="24"/>
          <w:lang w:val="en-US"/>
        </w:rPr>
        <w:t>mOFC</w:t>
      </w:r>
      <w:proofErr w:type="spellEnd"/>
      <w:r w:rsidRPr="0079232C">
        <w:rPr>
          <w:rFonts w:ascii="Times New Roman" w:hAnsi="Times New Roman"/>
          <w:b/>
          <w:sz w:val="24"/>
          <w:lang w:val="en-US"/>
        </w:rPr>
        <w:t xml:space="preserve"> (Kendall’s </w:t>
      </w:r>
      <w:r w:rsidRPr="0079232C">
        <w:rPr>
          <w:rFonts w:ascii="Times New Roman" w:hAnsi="Times New Roman" w:cs="Times New Roman"/>
          <w:b/>
          <w:sz w:val="24"/>
          <w:lang w:val="en-US"/>
        </w:rPr>
        <w:t>τ=-0.584; p=0.02)</w:t>
      </w:r>
      <w:r w:rsidRPr="0079232C">
        <w:rPr>
          <w:rFonts w:ascii="Times New Roman" w:hAnsi="Times New Roman"/>
          <w:b/>
          <w:sz w:val="24"/>
          <w:lang w:val="en-US"/>
        </w:rPr>
        <w:t>. B) Impulsive choice (as defined by the AUC</w:t>
      </w:r>
      <w:r>
        <w:rPr>
          <w:rFonts w:ascii="Times New Roman" w:hAnsi="Times New Roman"/>
          <w:b/>
          <w:sz w:val="24"/>
          <w:lang w:val="en-US"/>
        </w:rPr>
        <w:t>,</w:t>
      </w:r>
      <w:r w:rsidRPr="0079232C">
        <w:rPr>
          <w:rFonts w:ascii="Times New Roman" w:hAnsi="Times New Roman"/>
          <w:b/>
          <w:sz w:val="24"/>
          <w:lang w:val="en-US"/>
        </w:rPr>
        <w:t xml:space="preserve"> without removing the outliers) was positively </w:t>
      </w:r>
      <w:r w:rsidRPr="0079232C">
        <w:rPr>
          <w:rFonts w:ascii="Times New Roman" w:hAnsi="Times New Roman"/>
          <w:b/>
          <w:sz w:val="24"/>
          <w:lang w:val="en-US"/>
        </w:rPr>
        <w:lastRenderedPageBreak/>
        <w:t xml:space="preserve">correlated with </w:t>
      </w:r>
      <w:r w:rsidRPr="0079232C">
        <w:rPr>
          <w:rFonts w:ascii="Times New Roman" w:hAnsi="Times New Roman"/>
          <w:b/>
          <w:i/>
          <w:sz w:val="24"/>
          <w:lang w:val="en-US"/>
        </w:rPr>
        <w:t>Cnr1</w:t>
      </w:r>
      <w:r w:rsidRPr="0079232C">
        <w:rPr>
          <w:rFonts w:ascii="Times New Roman" w:hAnsi="Times New Roman"/>
          <w:b/>
          <w:sz w:val="24"/>
          <w:lang w:val="en-US"/>
        </w:rPr>
        <w:t xml:space="preserve"> (CB</w:t>
      </w:r>
      <w:r w:rsidRPr="0079232C">
        <w:rPr>
          <w:rFonts w:ascii="Times New Roman" w:hAnsi="Times New Roman"/>
          <w:b/>
          <w:sz w:val="24"/>
          <w:vertAlign w:val="subscript"/>
          <w:lang w:val="en-US"/>
        </w:rPr>
        <w:t>1</w:t>
      </w:r>
      <w:r w:rsidRPr="0079232C">
        <w:rPr>
          <w:rFonts w:ascii="Times New Roman" w:hAnsi="Times New Roman"/>
          <w:b/>
          <w:sz w:val="24"/>
          <w:lang w:val="en-US"/>
        </w:rPr>
        <w:t xml:space="preserve"> cannabinoid receptor) gene expression the </w:t>
      </w:r>
      <w:proofErr w:type="spellStart"/>
      <w:r w:rsidRPr="0079232C">
        <w:rPr>
          <w:rFonts w:ascii="Times New Roman" w:hAnsi="Times New Roman"/>
          <w:b/>
          <w:sz w:val="24"/>
          <w:lang w:val="en-US"/>
        </w:rPr>
        <w:t>mOFC</w:t>
      </w:r>
      <w:proofErr w:type="spellEnd"/>
      <w:r w:rsidRPr="0079232C">
        <w:rPr>
          <w:rFonts w:ascii="Times New Roman" w:hAnsi="Times New Roman"/>
          <w:b/>
          <w:sz w:val="24"/>
          <w:lang w:val="en-US"/>
        </w:rPr>
        <w:t xml:space="preserve"> (Kendall’s </w:t>
      </w:r>
      <w:r w:rsidRPr="0079232C">
        <w:rPr>
          <w:rFonts w:ascii="Times New Roman" w:hAnsi="Times New Roman" w:cs="Times New Roman"/>
          <w:b/>
          <w:sz w:val="24"/>
          <w:lang w:val="en-US"/>
        </w:rPr>
        <w:t>τ-0.629=; p=0.012)</w:t>
      </w:r>
      <w:r w:rsidRPr="0079232C">
        <w:rPr>
          <w:rFonts w:ascii="Times New Roman" w:hAnsi="Times New Roman"/>
          <w:b/>
          <w:sz w:val="24"/>
          <w:lang w:val="en-US"/>
        </w:rPr>
        <w:t>. C) Impulsive choice (as defined by the normalized AUC without the</w:t>
      </w:r>
      <w:r>
        <w:rPr>
          <w:rFonts w:ascii="Times New Roman" w:hAnsi="Times New Roman"/>
          <w:b/>
          <w:sz w:val="24"/>
          <w:lang w:val="en-US"/>
        </w:rPr>
        <w:t xml:space="preserve"> two</w:t>
      </w:r>
      <w:r w:rsidRPr="0079232C">
        <w:rPr>
          <w:rFonts w:ascii="Times New Roman" w:hAnsi="Times New Roman"/>
          <w:b/>
          <w:sz w:val="24"/>
          <w:lang w:val="en-US"/>
        </w:rPr>
        <w:t xml:space="preserve"> outliers) was positively correlated with </w:t>
      </w:r>
      <w:r w:rsidRPr="0079232C">
        <w:rPr>
          <w:rFonts w:ascii="Times New Roman" w:hAnsi="Times New Roman"/>
          <w:b/>
          <w:i/>
          <w:sz w:val="24"/>
          <w:lang w:val="en-US"/>
        </w:rPr>
        <w:t>Cnr1</w:t>
      </w:r>
      <w:r w:rsidRPr="0079232C">
        <w:rPr>
          <w:rFonts w:ascii="Times New Roman" w:hAnsi="Times New Roman"/>
          <w:b/>
          <w:sz w:val="24"/>
          <w:lang w:val="en-US"/>
        </w:rPr>
        <w:t xml:space="preserve"> (CB</w:t>
      </w:r>
      <w:r w:rsidRPr="0079232C">
        <w:rPr>
          <w:rFonts w:ascii="Times New Roman" w:hAnsi="Times New Roman"/>
          <w:b/>
          <w:sz w:val="24"/>
          <w:vertAlign w:val="subscript"/>
          <w:lang w:val="en-US"/>
        </w:rPr>
        <w:t>1</w:t>
      </w:r>
      <w:r w:rsidRPr="0079232C">
        <w:rPr>
          <w:rFonts w:ascii="Times New Roman" w:hAnsi="Times New Roman"/>
          <w:b/>
          <w:sz w:val="24"/>
          <w:lang w:val="en-US"/>
        </w:rPr>
        <w:t xml:space="preserve"> cannabinoid receptor) gene expression the </w:t>
      </w:r>
      <w:proofErr w:type="spellStart"/>
      <w:r w:rsidRPr="0079232C">
        <w:rPr>
          <w:rFonts w:ascii="Times New Roman" w:hAnsi="Times New Roman"/>
          <w:b/>
          <w:sz w:val="24"/>
          <w:lang w:val="en-US"/>
        </w:rPr>
        <w:t>mOFC</w:t>
      </w:r>
      <w:proofErr w:type="spellEnd"/>
      <w:r w:rsidRPr="0079232C">
        <w:rPr>
          <w:rFonts w:ascii="Times New Roman" w:hAnsi="Times New Roman"/>
          <w:b/>
          <w:sz w:val="24"/>
          <w:lang w:val="en-US"/>
        </w:rPr>
        <w:t xml:space="preserve"> (Pearson’s r</w:t>
      </w:r>
      <w:r w:rsidRPr="0079232C">
        <w:rPr>
          <w:rFonts w:ascii="Times New Roman" w:hAnsi="Times New Roman" w:cs="Times New Roman"/>
          <w:b/>
          <w:sz w:val="24"/>
          <w:lang w:val="en-US"/>
        </w:rPr>
        <w:t>=-0.747; p=0.033)</w:t>
      </w:r>
      <w:r w:rsidRPr="0079232C">
        <w:rPr>
          <w:rFonts w:ascii="Times New Roman" w:hAnsi="Times New Roman"/>
          <w:b/>
          <w:sz w:val="24"/>
          <w:lang w:val="en-US"/>
        </w:rPr>
        <w:t xml:space="preserve">. D) Impulsive choice (as defined by the AUC without the outliers) was positively correlated with </w:t>
      </w:r>
      <w:r w:rsidRPr="0079232C">
        <w:rPr>
          <w:rFonts w:ascii="Times New Roman" w:hAnsi="Times New Roman"/>
          <w:b/>
          <w:i/>
          <w:sz w:val="24"/>
          <w:lang w:val="en-US"/>
        </w:rPr>
        <w:t>Cnr1</w:t>
      </w:r>
      <w:r w:rsidRPr="0079232C">
        <w:rPr>
          <w:rFonts w:ascii="Times New Roman" w:hAnsi="Times New Roman"/>
          <w:b/>
          <w:sz w:val="24"/>
          <w:lang w:val="en-US"/>
        </w:rPr>
        <w:t xml:space="preserve"> (CB</w:t>
      </w:r>
      <w:r w:rsidRPr="0079232C">
        <w:rPr>
          <w:rFonts w:ascii="Times New Roman" w:hAnsi="Times New Roman"/>
          <w:b/>
          <w:sz w:val="24"/>
          <w:vertAlign w:val="subscript"/>
          <w:lang w:val="en-US"/>
        </w:rPr>
        <w:t>1</w:t>
      </w:r>
      <w:r w:rsidRPr="0079232C">
        <w:rPr>
          <w:rFonts w:ascii="Times New Roman" w:hAnsi="Times New Roman"/>
          <w:b/>
          <w:sz w:val="24"/>
          <w:lang w:val="en-US"/>
        </w:rPr>
        <w:t xml:space="preserve"> cannabinoid receptor) gene expression </w:t>
      </w:r>
      <w:r>
        <w:rPr>
          <w:rFonts w:ascii="Times New Roman" w:hAnsi="Times New Roman"/>
          <w:b/>
          <w:sz w:val="24"/>
          <w:lang w:val="en-US"/>
        </w:rPr>
        <w:t xml:space="preserve">in </w:t>
      </w:r>
      <w:r w:rsidRPr="0079232C">
        <w:rPr>
          <w:rFonts w:ascii="Times New Roman" w:hAnsi="Times New Roman"/>
          <w:b/>
          <w:sz w:val="24"/>
          <w:lang w:val="en-US"/>
        </w:rPr>
        <w:t xml:space="preserve">the </w:t>
      </w:r>
      <w:proofErr w:type="spellStart"/>
      <w:r w:rsidRPr="0079232C">
        <w:rPr>
          <w:rFonts w:ascii="Times New Roman" w:hAnsi="Times New Roman"/>
          <w:b/>
          <w:sz w:val="24"/>
          <w:lang w:val="en-US"/>
        </w:rPr>
        <w:t>mOFC</w:t>
      </w:r>
      <w:proofErr w:type="spellEnd"/>
      <w:r w:rsidRPr="0079232C">
        <w:rPr>
          <w:rFonts w:ascii="Times New Roman" w:hAnsi="Times New Roman"/>
          <w:b/>
          <w:sz w:val="24"/>
          <w:lang w:val="en-US"/>
        </w:rPr>
        <w:t xml:space="preserve"> (Pearson’s r</w:t>
      </w:r>
      <w:r w:rsidRPr="0079232C">
        <w:rPr>
          <w:rFonts w:ascii="Times New Roman" w:hAnsi="Times New Roman" w:cs="Times New Roman"/>
          <w:b/>
          <w:sz w:val="24"/>
          <w:lang w:val="en-US"/>
        </w:rPr>
        <w:t>=-0.740; p=0.036)</w:t>
      </w:r>
      <w:r w:rsidRPr="0079232C">
        <w:rPr>
          <w:rFonts w:ascii="Times New Roman" w:hAnsi="Times New Roman"/>
          <w:b/>
          <w:sz w:val="24"/>
          <w:lang w:val="en-US"/>
        </w:rPr>
        <w:t>.</w:t>
      </w:r>
    </w:p>
    <w:bookmarkEnd w:id="0"/>
    <w:p w14:paraId="27F3A40A" w14:textId="77777777" w:rsidR="00A02B18" w:rsidRPr="0079232C" w:rsidRDefault="00A02B18" w:rsidP="00A02B18">
      <w:pPr>
        <w:ind w:left="-993"/>
        <w:jc w:val="both"/>
        <w:rPr>
          <w:rFonts w:ascii="Times New Roman" w:hAnsi="Times New Roman"/>
          <w:b/>
          <w:sz w:val="24"/>
          <w:lang w:val="en-US"/>
        </w:rPr>
      </w:pPr>
    </w:p>
    <w:p w14:paraId="48E8CF0D" w14:textId="77777777" w:rsidR="00A02B18" w:rsidRDefault="00A02B18" w:rsidP="00A02B18">
      <w:pPr>
        <w:ind w:left="-993"/>
        <w:jc w:val="both"/>
        <w:rPr>
          <w:rFonts w:ascii="Times New Roman" w:hAnsi="Times New Roman"/>
          <w:b/>
          <w:sz w:val="24"/>
          <w:lang w:val="en-US"/>
        </w:rPr>
      </w:pPr>
    </w:p>
    <w:p w14:paraId="265C0123" w14:textId="77777777" w:rsidR="00A02B18" w:rsidRPr="0079232C" w:rsidRDefault="00A02B18" w:rsidP="00A02B18">
      <w:pPr>
        <w:ind w:left="-993" w:hanging="141"/>
        <w:jc w:val="both"/>
        <w:rPr>
          <w:rFonts w:ascii="Times New Roman" w:hAnsi="Times New Roman"/>
          <w:b/>
          <w:sz w:val="24"/>
          <w:lang w:val="en-US"/>
        </w:rPr>
      </w:pPr>
      <w:r w:rsidRPr="0079232C">
        <w:rPr>
          <w:rFonts w:ascii="Times New Roman" w:hAnsi="Times New Roman"/>
          <w:b/>
          <w:sz w:val="24"/>
          <w:lang w:val="en-US"/>
        </w:rPr>
        <w:t>SI Table 1. Primer sets used for RT-</w:t>
      </w:r>
      <w:proofErr w:type="spellStart"/>
      <w:r w:rsidRPr="0079232C">
        <w:rPr>
          <w:rFonts w:ascii="Times New Roman" w:hAnsi="Times New Roman"/>
          <w:b/>
          <w:sz w:val="24"/>
          <w:lang w:val="en-US"/>
        </w:rPr>
        <w:t>qPCR</w:t>
      </w:r>
      <w:proofErr w:type="spellEnd"/>
      <w:r w:rsidRPr="0079232C">
        <w:rPr>
          <w:rFonts w:ascii="Times New Roman" w:hAnsi="Times New Roman"/>
          <w:b/>
          <w:sz w:val="24"/>
          <w:lang w:val="en-US"/>
        </w:rPr>
        <w:t xml:space="preserve"> amplification. </w:t>
      </w:r>
    </w:p>
    <w:tbl>
      <w:tblPr>
        <w:tblpPr w:leftFromText="141" w:rightFromText="141" w:vertAnchor="page" w:horzAnchor="page" w:tblpX="512" w:tblpY="5018"/>
        <w:tblW w:w="11118" w:type="dxa"/>
        <w:tblLayout w:type="fixed"/>
        <w:tblCellMar>
          <w:left w:w="70" w:type="dxa"/>
          <w:right w:w="70" w:type="dxa"/>
        </w:tblCellMar>
        <w:tblLook w:val="04A0" w:firstRow="1" w:lastRow="0" w:firstColumn="1" w:lastColumn="0" w:noHBand="0" w:noVBand="1"/>
      </w:tblPr>
      <w:tblGrid>
        <w:gridCol w:w="1063"/>
        <w:gridCol w:w="4678"/>
        <w:gridCol w:w="2977"/>
        <w:gridCol w:w="2400"/>
      </w:tblGrid>
      <w:tr w:rsidR="00AE1642" w:rsidRPr="0079232C" w14:paraId="2478CA5B" w14:textId="77777777" w:rsidTr="00AE1642">
        <w:trPr>
          <w:trHeight w:val="278"/>
        </w:trPr>
        <w:tc>
          <w:tcPr>
            <w:tcW w:w="1063" w:type="dxa"/>
            <w:tcBorders>
              <w:top w:val="single" w:sz="4" w:space="0" w:color="5B9BD5"/>
              <w:left w:val="single" w:sz="4" w:space="0" w:color="5B9BD5"/>
              <w:bottom w:val="nil"/>
              <w:right w:val="nil"/>
            </w:tcBorders>
            <w:shd w:val="clear" w:color="5B9BD5" w:fill="5B9BD5"/>
            <w:noWrap/>
            <w:vAlign w:val="center"/>
            <w:hideMark/>
          </w:tcPr>
          <w:p w14:paraId="32A46645"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b/>
                <w:bCs/>
                <w:color w:val="FFFFFF"/>
                <w:sz w:val="18"/>
                <w:lang w:eastAsia="es-ES"/>
              </w:rPr>
            </w:pPr>
            <w:r w:rsidRPr="007C50C8">
              <w:rPr>
                <w:rFonts w:ascii="Calibri" w:eastAsia="Times New Roman" w:hAnsi="Calibri" w:cs="Times New Roman"/>
                <w:b/>
                <w:bCs/>
                <w:color w:val="FFFFFF"/>
                <w:sz w:val="18"/>
                <w:lang w:eastAsia="es-ES"/>
              </w:rPr>
              <w:t>Gene</w:t>
            </w:r>
          </w:p>
        </w:tc>
        <w:tc>
          <w:tcPr>
            <w:tcW w:w="4678" w:type="dxa"/>
            <w:tcBorders>
              <w:top w:val="single" w:sz="4" w:space="0" w:color="5B9BD5"/>
              <w:left w:val="nil"/>
              <w:bottom w:val="nil"/>
              <w:right w:val="nil"/>
            </w:tcBorders>
            <w:shd w:val="clear" w:color="5B9BD5" w:fill="5B9BD5"/>
            <w:noWrap/>
            <w:vAlign w:val="bottom"/>
            <w:hideMark/>
          </w:tcPr>
          <w:p w14:paraId="67F434A3"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b/>
                <w:bCs/>
                <w:color w:val="FFFFFF"/>
                <w:sz w:val="18"/>
                <w:lang w:eastAsia="es-ES"/>
              </w:rPr>
            </w:pPr>
            <w:proofErr w:type="spellStart"/>
            <w:r w:rsidRPr="007C50C8">
              <w:rPr>
                <w:rFonts w:ascii="Calibri" w:eastAsia="Times New Roman" w:hAnsi="Calibri" w:cs="Times New Roman"/>
                <w:b/>
                <w:bCs/>
                <w:color w:val="FFFFFF"/>
                <w:sz w:val="18"/>
                <w:lang w:eastAsia="es-ES"/>
              </w:rPr>
              <w:t>Description</w:t>
            </w:r>
            <w:proofErr w:type="spellEnd"/>
          </w:p>
        </w:tc>
        <w:tc>
          <w:tcPr>
            <w:tcW w:w="2977" w:type="dxa"/>
            <w:tcBorders>
              <w:top w:val="single" w:sz="4" w:space="0" w:color="5B9BD5"/>
              <w:left w:val="nil"/>
              <w:bottom w:val="nil"/>
              <w:right w:val="nil"/>
            </w:tcBorders>
            <w:shd w:val="clear" w:color="5B9BD5" w:fill="5B9BD5"/>
            <w:noWrap/>
            <w:vAlign w:val="bottom"/>
            <w:hideMark/>
          </w:tcPr>
          <w:p w14:paraId="1E944DAC"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b/>
                <w:bCs/>
                <w:color w:val="FFFFFF"/>
                <w:sz w:val="18"/>
                <w:lang w:eastAsia="es-ES"/>
              </w:rPr>
            </w:pPr>
            <w:r w:rsidRPr="007C50C8">
              <w:rPr>
                <w:rFonts w:ascii="Calibri" w:eastAsia="Times New Roman" w:hAnsi="Calibri" w:cs="Times New Roman"/>
                <w:b/>
                <w:bCs/>
                <w:color w:val="FFFFFF"/>
                <w:sz w:val="18"/>
                <w:lang w:eastAsia="es-ES"/>
              </w:rPr>
              <w:t>Forward primer</w:t>
            </w:r>
          </w:p>
        </w:tc>
        <w:tc>
          <w:tcPr>
            <w:tcW w:w="2400" w:type="dxa"/>
            <w:tcBorders>
              <w:top w:val="single" w:sz="4" w:space="0" w:color="5B9BD5"/>
              <w:left w:val="nil"/>
              <w:bottom w:val="nil"/>
              <w:right w:val="single" w:sz="4" w:space="0" w:color="5B9BD5"/>
            </w:tcBorders>
            <w:shd w:val="clear" w:color="5B9BD5" w:fill="5B9BD5"/>
            <w:noWrap/>
            <w:vAlign w:val="bottom"/>
            <w:hideMark/>
          </w:tcPr>
          <w:p w14:paraId="3A748E03"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b/>
                <w:bCs/>
                <w:color w:val="FFFFFF"/>
                <w:sz w:val="18"/>
                <w:lang w:eastAsia="es-ES"/>
              </w:rPr>
            </w:pPr>
            <w:r w:rsidRPr="007C50C8">
              <w:rPr>
                <w:rFonts w:ascii="Calibri" w:eastAsia="Times New Roman" w:hAnsi="Calibri" w:cs="Times New Roman"/>
                <w:b/>
                <w:bCs/>
                <w:color w:val="FFFFFF"/>
                <w:sz w:val="18"/>
                <w:lang w:eastAsia="es-ES"/>
              </w:rPr>
              <w:t>Reverse primer</w:t>
            </w:r>
          </w:p>
        </w:tc>
      </w:tr>
      <w:tr w:rsidR="00AE1642" w:rsidRPr="00151FC8" w14:paraId="50AB1A1A"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48F7C08D"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Grin1</w:t>
            </w:r>
          </w:p>
        </w:tc>
        <w:tc>
          <w:tcPr>
            <w:tcW w:w="4678" w:type="dxa"/>
            <w:tcBorders>
              <w:top w:val="single" w:sz="4" w:space="0" w:color="5B9BD5"/>
              <w:left w:val="nil"/>
              <w:bottom w:val="nil"/>
              <w:right w:val="nil"/>
            </w:tcBorders>
            <w:shd w:val="clear" w:color="auto" w:fill="auto"/>
            <w:noWrap/>
            <w:vAlign w:val="bottom"/>
            <w:hideMark/>
          </w:tcPr>
          <w:p w14:paraId="63A2C39A"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glutamate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ionotropic</w:t>
            </w:r>
            <w:proofErr w:type="spellEnd"/>
            <w:r w:rsidRPr="007C50C8">
              <w:rPr>
                <w:rFonts w:ascii="Calibri" w:eastAsia="Times New Roman" w:hAnsi="Calibri" w:cs="Times New Roman"/>
                <w:color w:val="000000"/>
                <w:sz w:val="18"/>
                <w:lang w:eastAsia="es-ES"/>
              </w:rPr>
              <w:t xml:space="preserve"> receptor NMDA </w:t>
            </w:r>
            <w:proofErr w:type="spellStart"/>
            <w:r w:rsidRPr="007C50C8">
              <w:rPr>
                <w:rFonts w:ascii="Calibri" w:eastAsia="Times New Roman" w:hAnsi="Calibri" w:cs="Times New Roman"/>
                <w:color w:val="000000"/>
                <w:sz w:val="18"/>
                <w:lang w:eastAsia="es-ES"/>
              </w:rPr>
              <w:t>type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subunit</w:t>
            </w:r>
            <w:proofErr w:type="spellEnd"/>
            <w:r w:rsidRPr="007C50C8">
              <w:rPr>
                <w:rFonts w:ascii="Calibri" w:eastAsia="Times New Roman" w:hAnsi="Calibri" w:cs="Times New Roman"/>
                <w:color w:val="000000"/>
                <w:sz w:val="18"/>
                <w:lang w:eastAsia="es-ES"/>
              </w:rPr>
              <w:t xml:space="preserve"> 1 </w:t>
            </w:r>
          </w:p>
        </w:tc>
        <w:tc>
          <w:tcPr>
            <w:tcW w:w="2977" w:type="dxa"/>
            <w:tcBorders>
              <w:top w:val="single" w:sz="4" w:space="0" w:color="5B9BD5"/>
              <w:left w:val="nil"/>
              <w:bottom w:val="nil"/>
              <w:right w:val="nil"/>
            </w:tcBorders>
            <w:shd w:val="clear" w:color="auto" w:fill="auto"/>
            <w:noWrap/>
            <w:vAlign w:val="bottom"/>
            <w:hideMark/>
          </w:tcPr>
          <w:p w14:paraId="7636D7BD"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AACCTGCAGAACCGCAAG</w:t>
            </w:r>
          </w:p>
        </w:tc>
        <w:tc>
          <w:tcPr>
            <w:tcW w:w="2400" w:type="dxa"/>
            <w:tcBorders>
              <w:top w:val="single" w:sz="4" w:space="0" w:color="5B9BD5"/>
              <w:left w:val="nil"/>
              <w:bottom w:val="nil"/>
              <w:right w:val="single" w:sz="4" w:space="0" w:color="5B9BD5"/>
            </w:tcBorders>
            <w:shd w:val="clear" w:color="auto" w:fill="auto"/>
            <w:noWrap/>
            <w:vAlign w:val="bottom"/>
            <w:hideMark/>
          </w:tcPr>
          <w:p w14:paraId="30FF63F9"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GCTTGATGAGCAGGTCTATGC</w:t>
            </w:r>
          </w:p>
        </w:tc>
      </w:tr>
      <w:tr w:rsidR="00AE1642" w:rsidRPr="00151FC8" w14:paraId="7F8C8158"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4F153EB2"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Grin2a</w:t>
            </w:r>
          </w:p>
        </w:tc>
        <w:tc>
          <w:tcPr>
            <w:tcW w:w="4678" w:type="dxa"/>
            <w:tcBorders>
              <w:top w:val="single" w:sz="4" w:space="0" w:color="5B9BD5"/>
              <w:left w:val="nil"/>
              <w:bottom w:val="nil"/>
              <w:right w:val="nil"/>
            </w:tcBorders>
            <w:shd w:val="clear" w:color="auto" w:fill="auto"/>
            <w:noWrap/>
            <w:vAlign w:val="bottom"/>
            <w:hideMark/>
          </w:tcPr>
          <w:p w14:paraId="7D13180A"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glutamate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ionotropic</w:t>
            </w:r>
            <w:proofErr w:type="spellEnd"/>
            <w:r w:rsidRPr="007C50C8">
              <w:rPr>
                <w:rFonts w:ascii="Calibri" w:eastAsia="Times New Roman" w:hAnsi="Calibri" w:cs="Times New Roman"/>
                <w:color w:val="000000"/>
                <w:sz w:val="18"/>
                <w:lang w:eastAsia="es-ES"/>
              </w:rPr>
              <w:t xml:space="preserve"> receptor NMDA </w:t>
            </w:r>
            <w:proofErr w:type="spellStart"/>
            <w:r w:rsidRPr="007C50C8">
              <w:rPr>
                <w:rFonts w:ascii="Calibri" w:eastAsia="Times New Roman" w:hAnsi="Calibri" w:cs="Times New Roman"/>
                <w:color w:val="000000"/>
                <w:sz w:val="18"/>
                <w:lang w:eastAsia="es-ES"/>
              </w:rPr>
              <w:t>type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subunit</w:t>
            </w:r>
            <w:proofErr w:type="spellEnd"/>
            <w:r w:rsidRPr="007C50C8">
              <w:rPr>
                <w:rFonts w:ascii="Calibri" w:eastAsia="Times New Roman" w:hAnsi="Calibri" w:cs="Times New Roman"/>
                <w:color w:val="000000"/>
                <w:sz w:val="18"/>
                <w:lang w:eastAsia="es-ES"/>
              </w:rPr>
              <w:t xml:space="preserve"> 2A </w:t>
            </w:r>
          </w:p>
        </w:tc>
        <w:tc>
          <w:tcPr>
            <w:tcW w:w="2977" w:type="dxa"/>
            <w:tcBorders>
              <w:top w:val="single" w:sz="4" w:space="0" w:color="5B9BD5"/>
              <w:left w:val="nil"/>
              <w:bottom w:val="nil"/>
              <w:right w:val="nil"/>
            </w:tcBorders>
            <w:shd w:val="clear" w:color="auto" w:fill="auto"/>
            <w:noWrap/>
            <w:vAlign w:val="bottom"/>
            <w:hideMark/>
          </w:tcPr>
          <w:p w14:paraId="608E2E9E"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TGTGAAGAAATGCTGCAAGG</w:t>
            </w:r>
          </w:p>
        </w:tc>
        <w:tc>
          <w:tcPr>
            <w:tcW w:w="2400" w:type="dxa"/>
            <w:tcBorders>
              <w:top w:val="single" w:sz="4" w:space="0" w:color="5B9BD5"/>
              <w:left w:val="nil"/>
              <w:bottom w:val="nil"/>
              <w:right w:val="single" w:sz="4" w:space="0" w:color="5B9BD5"/>
            </w:tcBorders>
            <w:shd w:val="clear" w:color="auto" w:fill="auto"/>
            <w:noWrap/>
            <w:vAlign w:val="bottom"/>
            <w:hideMark/>
          </w:tcPr>
          <w:p w14:paraId="499F4E52"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GAACGCTCCTCATTGATGGT</w:t>
            </w:r>
          </w:p>
        </w:tc>
      </w:tr>
      <w:tr w:rsidR="00AE1642" w:rsidRPr="00151FC8" w14:paraId="4C9A069F"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4C4AF9D7"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Gria1</w:t>
            </w:r>
          </w:p>
        </w:tc>
        <w:tc>
          <w:tcPr>
            <w:tcW w:w="4678" w:type="dxa"/>
            <w:tcBorders>
              <w:top w:val="single" w:sz="4" w:space="0" w:color="5B9BD5"/>
              <w:left w:val="nil"/>
              <w:bottom w:val="nil"/>
              <w:right w:val="nil"/>
            </w:tcBorders>
            <w:shd w:val="clear" w:color="auto" w:fill="auto"/>
            <w:noWrap/>
            <w:vAlign w:val="bottom"/>
            <w:hideMark/>
          </w:tcPr>
          <w:p w14:paraId="735F8418"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glutamate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ionotropic</w:t>
            </w:r>
            <w:proofErr w:type="spellEnd"/>
            <w:r w:rsidRPr="007C50C8">
              <w:rPr>
                <w:rFonts w:ascii="Calibri" w:eastAsia="Times New Roman" w:hAnsi="Calibri" w:cs="Times New Roman"/>
                <w:color w:val="000000"/>
                <w:sz w:val="18"/>
                <w:lang w:eastAsia="es-ES"/>
              </w:rPr>
              <w:t xml:space="preserve"> receptor AMPA </w:t>
            </w:r>
            <w:proofErr w:type="spellStart"/>
            <w:r w:rsidRPr="007C50C8">
              <w:rPr>
                <w:rFonts w:ascii="Calibri" w:eastAsia="Times New Roman" w:hAnsi="Calibri" w:cs="Times New Roman"/>
                <w:color w:val="000000"/>
                <w:sz w:val="18"/>
                <w:lang w:eastAsia="es-ES"/>
              </w:rPr>
              <w:t>type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subunit</w:t>
            </w:r>
            <w:proofErr w:type="spellEnd"/>
            <w:r w:rsidRPr="007C50C8">
              <w:rPr>
                <w:rFonts w:ascii="Calibri" w:eastAsia="Times New Roman" w:hAnsi="Calibri" w:cs="Times New Roman"/>
                <w:color w:val="000000"/>
                <w:sz w:val="18"/>
                <w:lang w:eastAsia="es-ES"/>
              </w:rPr>
              <w:t xml:space="preserve"> 1</w:t>
            </w:r>
          </w:p>
        </w:tc>
        <w:tc>
          <w:tcPr>
            <w:tcW w:w="2977" w:type="dxa"/>
            <w:tcBorders>
              <w:top w:val="single" w:sz="4" w:space="0" w:color="5B9BD5"/>
              <w:left w:val="nil"/>
              <w:bottom w:val="nil"/>
              <w:right w:val="nil"/>
            </w:tcBorders>
            <w:shd w:val="clear" w:color="auto" w:fill="auto"/>
            <w:noWrap/>
            <w:vAlign w:val="bottom"/>
            <w:hideMark/>
          </w:tcPr>
          <w:p w14:paraId="325B8880"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AGAGGCTGGTGGTGGTTGACT</w:t>
            </w:r>
          </w:p>
        </w:tc>
        <w:tc>
          <w:tcPr>
            <w:tcW w:w="2400" w:type="dxa"/>
            <w:tcBorders>
              <w:top w:val="single" w:sz="4" w:space="0" w:color="5B9BD5"/>
              <w:left w:val="nil"/>
              <w:bottom w:val="nil"/>
              <w:right w:val="single" w:sz="4" w:space="0" w:color="5B9BD5"/>
            </w:tcBorders>
            <w:shd w:val="clear" w:color="auto" w:fill="auto"/>
            <w:noWrap/>
            <w:vAlign w:val="bottom"/>
            <w:hideMark/>
          </w:tcPr>
          <w:p w14:paraId="7C907308"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ACCCTGGTATGGTCTCGGGA</w:t>
            </w:r>
          </w:p>
        </w:tc>
      </w:tr>
      <w:tr w:rsidR="00AE1642" w:rsidRPr="00151FC8" w14:paraId="3E94650A"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4BFCE065"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Gria2</w:t>
            </w:r>
          </w:p>
        </w:tc>
        <w:tc>
          <w:tcPr>
            <w:tcW w:w="4678" w:type="dxa"/>
            <w:tcBorders>
              <w:top w:val="single" w:sz="4" w:space="0" w:color="5B9BD5"/>
              <w:left w:val="nil"/>
              <w:bottom w:val="nil"/>
              <w:right w:val="nil"/>
            </w:tcBorders>
            <w:shd w:val="clear" w:color="auto" w:fill="auto"/>
            <w:noWrap/>
            <w:vAlign w:val="bottom"/>
            <w:hideMark/>
          </w:tcPr>
          <w:p w14:paraId="3F396C57"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glutamate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ionotropic</w:t>
            </w:r>
            <w:proofErr w:type="spellEnd"/>
            <w:r w:rsidRPr="007C50C8">
              <w:rPr>
                <w:rFonts w:ascii="Calibri" w:eastAsia="Times New Roman" w:hAnsi="Calibri" w:cs="Times New Roman"/>
                <w:color w:val="000000"/>
                <w:sz w:val="18"/>
                <w:lang w:eastAsia="es-ES"/>
              </w:rPr>
              <w:t xml:space="preserve"> receptor AMPA </w:t>
            </w:r>
            <w:proofErr w:type="spellStart"/>
            <w:r w:rsidRPr="007C50C8">
              <w:rPr>
                <w:rFonts w:ascii="Calibri" w:eastAsia="Times New Roman" w:hAnsi="Calibri" w:cs="Times New Roman"/>
                <w:color w:val="000000"/>
                <w:sz w:val="18"/>
                <w:lang w:eastAsia="es-ES"/>
              </w:rPr>
              <w:t>type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subunit</w:t>
            </w:r>
            <w:proofErr w:type="spellEnd"/>
            <w:r w:rsidRPr="007C50C8">
              <w:rPr>
                <w:rFonts w:ascii="Calibri" w:eastAsia="Times New Roman" w:hAnsi="Calibri" w:cs="Times New Roman"/>
                <w:color w:val="000000"/>
                <w:sz w:val="18"/>
                <w:lang w:eastAsia="es-ES"/>
              </w:rPr>
              <w:t xml:space="preserve"> 2</w:t>
            </w:r>
          </w:p>
        </w:tc>
        <w:tc>
          <w:tcPr>
            <w:tcW w:w="2977" w:type="dxa"/>
            <w:tcBorders>
              <w:top w:val="single" w:sz="4" w:space="0" w:color="5B9BD5"/>
              <w:left w:val="nil"/>
              <w:bottom w:val="nil"/>
              <w:right w:val="nil"/>
            </w:tcBorders>
            <w:shd w:val="clear" w:color="auto" w:fill="auto"/>
            <w:noWrap/>
            <w:vAlign w:val="bottom"/>
            <w:hideMark/>
          </w:tcPr>
          <w:p w14:paraId="18FE23C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GGCGTGTAATCCTGGACTGT</w:t>
            </w:r>
          </w:p>
        </w:tc>
        <w:tc>
          <w:tcPr>
            <w:tcW w:w="2400" w:type="dxa"/>
            <w:tcBorders>
              <w:top w:val="single" w:sz="4" w:space="0" w:color="5B9BD5"/>
              <w:left w:val="nil"/>
              <w:bottom w:val="nil"/>
              <w:right w:val="single" w:sz="4" w:space="0" w:color="5B9BD5"/>
            </w:tcBorders>
            <w:shd w:val="clear" w:color="auto" w:fill="auto"/>
            <w:noWrap/>
            <w:vAlign w:val="bottom"/>
            <w:hideMark/>
          </w:tcPr>
          <w:p w14:paraId="68AFE295"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ACACCAGGGAATCGTCGTAG</w:t>
            </w:r>
          </w:p>
        </w:tc>
      </w:tr>
      <w:tr w:rsidR="00AE1642" w:rsidRPr="00151FC8" w14:paraId="4F0A1D4C"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5DF51496"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Gabrg2</w:t>
            </w:r>
          </w:p>
        </w:tc>
        <w:tc>
          <w:tcPr>
            <w:tcW w:w="4678" w:type="dxa"/>
            <w:tcBorders>
              <w:top w:val="single" w:sz="4" w:space="0" w:color="5B9BD5"/>
              <w:left w:val="nil"/>
              <w:bottom w:val="nil"/>
              <w:right w:val="nil"/>
            </w:tcBorders>
            <w:shd w:val="clear" w:color="auto" w:fill="auto"/>
            <w:noWrap/>
            <w:vAlign w:val="bottom"/>
            <w:hideMark/>
          </w:tcPr>
          <w:p w14:paraId="1E23A42C"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val="en-US" w:eastAsia="es-ES"/>
              </w:rPr>
            </w:pPr>
            <w:proofErr w:type="gramStart"/>
            <w:r w:rsidRPr="007C50C8">
              <w:rPr>
                <w:rFonts w:ascii="Calibri" w:eastAsia="Times New Roman" w:hAnsi="Calibri" w:cs="Times New Roman"/>
                <w:color w:val="000000"/>
                <w:sz w:val="18"/>
                <w:lang w:val="en-US" w:eastAsia="es-ES"/>
              </w:rPr>
              <w:t>gamma</w:t>
            </w:r>
            <w:proofErr w:type="gramEnd"/>
            <w:r w:rsidRPr="007C50C8">
              <w:rPr>
                <w:rFonts w:ascii="Calibri" w:eastAsia="Times New Roman" w:hAnsi="Calibri" w:cs="Times New Roman"/>
                <w:color w:val="000000"/>
                <w:sz w:val="18"/>
                <w:lang w:val="en-US" w:eastAsia="es-ES"/>
              </w:rPr>
              <w:t>-</w:t>
            </w:r>
            <w:proofErr w:type="spellStart"/>
            <w:r w:rsidRPr="007C50C8">
              <w:rPr>
                <w:rFonts w:ascii="Calibri" w:eastAsia="Times New Roman" w:hAnsi="Calibri" w:cs="Times New Roman"/>
                <w:color w:val="000000"/>
                <w:sz w:val="18"/>
                <w:lang w:val="en-US" w:eastAsia="es-ES"/>
              </w:rPr>
              <w:t>aminobutyric</w:t>
            </w:r>
            <w:proofErr w:type="spellEnd"/>
            <w:r w:rsidRPr="007C50C8">
              <w:rPr>
                <w:rFonts w:ascii="Calibri" w:eastAsia="Times New Roman" w:hAnsi="Calibri" w:cs="Times New Roman"/>
                <w:color w:val="000000"/>
                <w:sz w:val="18"/>
                <w:lang w:val="en-US" w:eastAsia="es-ES"/>
              </w:rPr>
              <w:t xml:space="preserve"> acid type A receptor gamma 2 subunit</w:t>
            </w:r>
          </w:p>
        </w:tc>
        <w:tc>
          <w:tcPr>
            <w:tcW w:w="2977" w:type="dxa"/>
            <w:tcBorders>
              <w:top w:val="single" w:sz="4" w:space="0" w:color="5B9BD5"/>
              <w:left w:val="nil"/>
              <w:bottom w:val="nil"/>
              <w:right w:val="nil"/>
            </w:tcBorders>
            <w:shd w:val="clear" w:color="auto" w:fill="auto"/>
            <w:noWrap/>
            <w:vAlign w:val="bottom"/>
            <w:hideMark/>
          </w:tcPr>
          <w:p w14:paraId="585DF21E"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CGGAAACCAAGCAAGGATAA</w:t>
            </w:r>
          </w:p>
        </w:tc>
        <w:tc>
          <w:tcPr>
            <w:tcW w:w="2400" w:type="dxa"/>
            <w:tcBorders>
              <w:top w:val="single" w:sz="4" w:space="0" w:color="5B9BD5"/>
              <w:left w:val="nil"/>
              <w:bottom w:val="nil"/>
              <w:right w:val="single" w:sz="4" w:space="0" w:color="5B9BD5"/>
            </w:tcBorders>
            <w:shd w:val="clear" w:color="auto" w:fill="auto"/>
            <w:noWrap/>
            <w:vAlign w:val="bottom"/>
            <w:hideMark/>
          </w:tcPr>
          <w:p w14:paraId="271E4357"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ACAGTCCTTGCCATCCAAAC</w:t>
            </w:r>
          </w:p>
        </w:tc>
      </w:tr>
      <w:tr w:rsidR="00AE1642" w:rsidRPr="00151FC8" w14:paraId="34D81DF0"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5212CB65"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proofErr w:type="spellStart"/>
            <w:r w:rsidRPr="007C50C8">
              <w:rPr>
                <w:rFonts w:ascii="Calibri" w:eastAsia="Times New Roman" w:hAnsi="Calibri" w:cs="Times New Roman"/>
                <w:i/>
                <w:iCs/>
                <w:color w:val="000000"/>
                <w:sz w:val="18"/>
                <w:lang w:eastAsia="es-ES"/>
              </w:rPr>
              <w:t>Gabrd</w:t>
            </w:r>
            <w:proofErr w:type="spellEnd"/>
          </w:p>
        </w:tc>
        <w:tc>
          <w:tcPr>
            <w:tcW w:w="4678" w:type="dxa"/>
            <w:tcBorders>
              <w:top w:val="single" w:sz="4" w:space="0" w:color="5B9BD5"/>
              <w:left w:val="nil"/>
              <w:bottom w:val="nil"/>
              <w:right w:val="nil"/>
            </w:tcBorders>
            <w:shd w:val="clear" w:color="auto" w:fill="auto"/>
            <w:noWrap/>
            <w:vAlign w:val="bottom"/>
            <w:hideMark/>
          </w:tcPr>
          <w:p w14:paraId="3611B2EA"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gamma-</w:t>
            </w:r>
            <w:proofErr w:type="spellStart"/>
            <w:r w:rsidRPr="007C50C8">
              <w:rPr>
                <w:rFonts w:ascii="Calibri" w:eastAsia="Times New Roman" w:hAnsi="Calibri" w:cs="Times New Roman"/>
                <w:color w:val="000000"/>
                <w:sz w:val="18"/>
                <w:lang w:eastAsia="es-ES"/>
              </w:rPr>
              <w:t>aminobutyric</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acid</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type</w:t>
            </w:r>
            <w:proofErr w:type="spellEnd"/>
            <w:r w:rsidRPr="007C50C8">
              <w:rPr>
                <w:rFonts w:ascii="Calibri" w:eastAsia="Times New Roman" w:hAnsi="Calibri" w:cs="Times New Roman"/>
                <w:color w:val="000000"/>
                <w:sz w:val="18"/>
                <w:lang w:eastAsia="es-ES"/>
              </w:rPr>
              <w:t xml:space="preserve"> A receptor delta </w:t>
            </w:r>
            <w:proofErr w:type="spellStart"/>
            <w:r w:rsidRPr="007C50C8">
              <w:rPr>
                <w:rFonts w:ascii="Calibri" w:eastAsia="Times New Roman" w:hAnsi="Calibri" w:cs="Times New Roman"/>
                <w:color w:val="000000"/>
                <w:sz w:val="18"/>
                <w:lang w:eastAsia="es-ES"/>
              </w:rPr>
              <w:t>subunit</w:t>
            </w:r>
            <w:proofErr w:type="spellEnd"/>
          </w:p>
        </w:tc>
        <w:tc>
          <w:tcPr>
            <w:tcW w:w="2977" w:type="dxa"/>
            <w:tcBorders>
              <w:top w:val="single" w:sz="4" w:space="0" w:color="5B9BD5"/>
              <w:left w:val="nil"/>
              <w:bottom w:val="nil"/>
              <w:right w:val="nil"/>
            </w:tcBorders>
            <w:shd w:val="clear" w:color="auto" w:fill="auto"/>
            <w:noWrap/>
            <w:vAlign w:val="bottom"/>
            <w:hideMark/>
          </w:tcPr>
          <w:p w14:paraId="600990F3"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GCTGGACCTGGAGAGCTATG</w:t>
            </w:r>
          </w:p>
        </w:tc>
        <w:tc>
          <w:tcPr>
            <w:tcW w:w="2400" w:type="dxa"/>
            <w:tcBorders>
              <w:top w:val="single" w:sz="4" w:space="0" w:color="5B9BD5"/>
              <w:left w:val="nil"/>
              <w:bottom w:val="nil"/>
              <w:right w:val="single" w:sz="4" w:space="0" w:color="5B9BD5"/>
            </w:tcBorders>
            <w:shd w:val="clear" w:color="auto" w:fill="auto"/>
            <w:noWrap/>
            <w:vAlign w:val="bottom"/>
            <w:hideMark/>
          </w:tcPr>
          <w:p w14:paraId="6A0AA13A"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CCGAAGCTGGAAGTGTAAGC</w:t>
            </w:r>
          </w:p>
        </w:tc>
      </w:tr>
      <w:tr w:rsidR="00AE1642" w:rsidRPr="00151FC8" w14:paraId="1DF93A35"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6201614B"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Gabra1</w:t>
            </w:r>
          </w:p>
        </w:tc>
        <w:tc>
          <w:tcPr>
            <w:tcW w:w="4678" w:type="dxa"/>
            <w:tcBorders>
              <w:top w:val="single" w:sz="4" w:space="0" w:color="5B9BD5"/>
              <w:left w:val="nil"/>
              <w:bottom w:val="nil"/>
              <w:right w:val="nil"/>
            </w:tcBorders>
            <w:shd w:val="clear" w:color="auto" w:fill="auto"/>
            <w:noWrap/>
            <w:vAlign w:val="bottom"/>
            <w:hideMark/>
          </w:tcPr>
          <w:p w14:paraId="69FE63A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val="en-US" w:eastAsia="es-ES"/>
              </w:rPr>
            </w:pPr>
            <w:proofErr w:type="gramStart"/>
            <w:r w:rsidRPr="007C50C8">
              <w:rPr>
                <w:rFonts w:ascii="Calibri" w:eastAsia="Times New Roman" w:hAnsi="Calibri" w:cs="Times New Roman"/>
                <w:color w:val="000000"/>
                <w:sz w:val="18"/>
                <w:lang w:val="en-US" w:eastAsia="es-ES"/>
              </w:rPr>
              <w:t>gamma</w:t>
            </w:r>
            <w:proofErr w:type="gramEnd"/>
            <w:r w:rsidRPr="007C50C8">
              <w:rPr>
                <w:rFonts w:ascii="Calibri" w:eastAsia="Times New Roman" w:hAnsi="Calibri" w:cs="Times New Roman"/>
                <w:color w:val="000000"/>
                <w:sz w:val="18"/>
                <w:lang w:val="en-US" w:eastAsia="es-ES"/>
              </w:rPr>
              <w:t>-</w:t>
            </w:r>
            <w:proofErr w:type="spellStart"/>
            <w:r w:rsidRPr="007C50C8">
              <w:rPr>
                <w:rFonts w:ascii="Calibri" w:eastAsia="Times New Roman" w:hAnsi="Calibri" w:cs="Times New Roman"/>
                <w:color w:val="000000"/>
                <w:sz w:val="18"/>
                <w:lang w:val="en-US" w:eastAsia="es-ES"/>
              </w:rPr>
              <w:t>aminobutyric</w:t>
            </w:r>
            <w:proofErr w:type="spellEnd"/>
            <w:r w:rsidRPr="007C50C8">
              <w:rPr>
                <w:rFonts w:ascii="Calibri" w:eastAsia="Times New Roman" w:hAnsi="Calibri" w:cs="Times New Roman"/>
                <w:color w:val="000000"/>
                <w:sz w:val="18"/>
                <w:lang w:val="en-US" w:eastAsia="es-ES"/>
              </w:rPr>
              <w:t xml:space="preserve"> acid type A receptor alpha 1 subunit </w:t>
            </w:r>
          </w:p>
        </w:tc>
        <w:tc>
          <w:tcPr>
            <w:tcW w:w="2977" w:type="dxa"/>
            <w:tcBorders>
              <w:top w:val="single" w:sz="4" w:space="0" w:color="5B9BD5"/>
              <w:left w:val="nil"/>
              <w:bottom w:val="nil"/>
              <w:right w:val="nil"/>
            </w:tcBorders>
            <w:shd w:val="clear" w:color="auto" w:fill="auto"/>
            <w:noWrap/>
            <w:vAlign w:val="bottom"/>
            <w:hideMark/>
          </w:tcPr>
          <w:p w14:paraId="5F4286C3"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TTGACTGTGAGAGCCGAATG</w:t>
            </w:r>
          </w:p>
        </w:tc>
        <w:tc>
          <w:tcPr>
            <w:tcW w:w="2400" w:type="dxa"/>
            <w:tcBorders>
              <w:top w:val="single" w:sz="4" w:space="0" w:color="5B9BD5"/>
              <w:left w:val="nil"/>
              <w:bottom w:val="nil"/>
              <w:right w:val="single" w:sz="4" w:space="0" w:color="5B9BD5"/>
            </w:tcBorders>
            <w:shd w:val="clear" w:color="auto" w:fill="auto"/>
            <w:noWrap/>
            <w:vAlign w:val="bottom"/>
            <w:hideMark/>
          </w:tcPr>
          <w:p w14:paraId="1638D968"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AAACGTGACCCATCTTCTGC</w:t>
            </w:r>
          </w:p>
        </w:tc>
      </w:tr>
      <w:tr w:rsidR="00AE1642" w:rsidRPr="00151FC8" w14:paraId="3B9DBFFE"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7D3ACB68"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Gabra2</w:t>
            </w:r>
          </w:p>
        </w:tc>
        <w:tc>
          <w:tcPr>
            <w:tcW w:w="4678" w:type="dxa"/>
            <w:tcBorders>
              <w:top w:val="single" w:sz="4" w:space="0" w:color="5B9BD5"/>
              <w:left w:val="nil"/>
              <w:bottom w:val="nil"/>
              <w:right w:val="nil"/>
            </w:tcBorders>
            <w:shd w:val="clear" w:color="auto" w:fill="auto"/>
            <w:noWrap/>
            <w:vAlign w:val="bottom"/>
            <w:hideMark/>
          </w:tcPr>
          <w:p w14:paraId="539A51E9"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val="en-US" w:eastAsia="es-ES"/>
              </w:rPr>
            </w:pPr>
            <w:proofErr w:type="gramStart"/>
            <w:r w:rsidRPr="007C50C8">
              <w:rPr>
                <w:rFonts w:ascii="Calibri" w:eastAsia="Times New Roman" w:hAnsi="Calibri" w:cs="Times New Roman"/>
                <w:color w:val="000000"/>
                <w:sz w:val="18"/>
                <w:lang w:val="en-US" w:eastAsia="es-ES"/>
              </w:rPr>
              <w:t>gamma</w:t>
            </w:r>
            <w:proofErr w:type="gramEnd"/>
            <w:r w:rsidRPr="007C50C8">
              <w:rPr>
                <w:rFonts w:ascii="Calibri" w:eastAsia="Times New Roman" w:hAnsi="Calibri" w:cs="Times New Roman"/>
                <w:color w:val="000000"/>
                <w:sz w:val="18"/>
                <w:lang w:val="en-US" w:eastAsia="es-ES"/>
              </w:rPr>
              <w:t>-</w:t>
            </w:r>
            <w:proofErr w:type="spellStart"/>
            <w:r w:rsidRPr="007C50C8">
              <w:rPr>
                <w:rFonts w:ascii="Calibri" w:eastAsia="Times New Roman" w:hAnsi="Calibri" w:cs="Times New Roman"/>
                <w:color w:val="000000"/>
                <w:sz w:val="18"/>
                <w:lang w:val="en-US" w:eastAsia="es-ES"/>
              </w:rPr>
              <w:t>aminobutyric</w:t>
            </w:r>
            <w:proofErr w:type="spellEnd"/>
            <w:r w:rsidRPr="007C50C8">
              <w:rPr>
                <w:rFonts w:ascii="Calibri" w:eastAsia="Times New Roman" w:hAnsi="Calibri" w:cs="Times New Roman"/>
                <w:color w:val="000000"/>
                <w:sz w:val="18"/>
                <w:lang w:val="en-US" w:eastAsia="es-ES"/>
              </w:rPr>
              <w:t xml:space="preserve"> acid type A receptor alpha 2 subunit </w:t>
            </w:r>
          </w:p>
        </w:tc>
        <w:tc>
          <w:tcPr>
            <w:tcW w:w="2977" w:type="dxa"/>
            <w:tcBorders>
              <w:top w:val="single" w:sz="4" w:space="0" w:color="5B9BD5"/>
              <w:left w:val="nil"/>
              <w:bottom w:val="nil"/>
              <w:right w:val="nil"/>
            </w:tcBorders>
            <w:shd w:val="clear" w:color="auto" w:fill="auto"/>
            <w:noWrap/>
            <w:vAlign w:val="bottom"/>
            <w:hideMark/>
          </w:tcPr>
          <w:p w14:paraId="62453EA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CCATGCACTTGGAGGACTT</w:t>
            </w:r>
          </w:p>
        </w:tc>
        <w:tc>
          <w:tcPr>
            <w:tcW w:w="2400" w:type="dxa"/>
            <w:tcBorders>
              <w:top w:val="single" w:sz="4" w:space="0" w:color="5B9BD5"/>
              <w:left w:val="nil"/>
              <w:bottom w:val="nil"/>
              <w:right w:val="single" w:sz="4" w:space="0" w:color="5B9BD5"/>
            </w:tcBorders>
            <w:shd w:val="clear" w:color="auto" w:fill="auto"/>
            <w:noWrap/>
            <w:vAlign w:val="bottom"/>
            <w:hideMark/>
          </w:tcPr>
          <w:p w14:paraId="15821CF6"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ACTGGCCCAGCAAATCATAC</w:t>
            </w:r>
          </w:p>
        </w:tc>
      </w:tr>
      <w:tr w:rsidR="00AE1642" w:rsidRPr="00151FC8" w14:paraId="78A9630A"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2DDB36B6"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r w:rsidRPr="007C50C8">
              <w:rPr>
                <w:rFonts w:ascii="Calibri" w:eastAsia="Times New Roman" w:hAnsi="Calibri" w:cs="Times New Roman"/>
                <w:i/>
                <w:iCs/>
                <w:color w:val="000000"/>
                <w:sz w:val="18"/>
                <w:lang w:eastAsia="es-ES"/>
              </w:rPr>
              <w:t>Cnr1</w:t>
            </w:r>
          </w:p>
        </w:tc>
        <w:tc>
          <w:tcPr>
            <w:tcW w:w="4678" w:type="dxa"/>
            <w:tcBorders>
              <w:top w:val="single" w:sz="4" w:space="0" w:color="5B9BD5"/>
              <w:left w:val="nil"/>
              <w:bottom w:val="nil"/>
              <w:right w:val="nil"/>
            </w:tcBorders>
            <w:shd w:val="clear" w:color="auto" w:fill="auto"/>
            <w:noWrap/>
            <w:vAlign w:val="bottom"/>
            <w:hideMark/>
          </w:tcPr>
          <w:p w14:paraId="4DCEA9E0"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cannabinoid</w:t>
            </w:r>
            <w:proofErr w:type="spellEnd"/>
            <w:r w:rsidRPr="007C50C8">
              <w:rPr>
                <w:rFonts w:ascii="Calibri" w:eastAsia="Times New Roman" w:hAnsi="Calibri" w:cs="Times New Roman"/>
                <w:color w:val="000000"/>
                <w:sz w:val="18"/>
                <w:lang w:eastAsia="es-ES"/>
              </w:rPr>
              <w:t xml:space="preserve"> receptor 1 </w:t>
            </w:r>
          </w:p>
        </w:tc>
        <w:tc>
          <w:tcPr>
            <w:tcW w:w="2977" w:type="dxa"/>
            <w:tcBorders>
              <w:top w:val="single" w:sz="4" w:space="0" w:color="5B9BD5"/>
              <w:left w:val="nil"/>
              <w:bottom w:val="nil"/>
              <w:right w:val="nil"/>
            </w:tcBorders>
            <w:shd w:val="clear" w:color="auto" w:fill="auto"/>
            <w:noWrap/>
            <w:vAlign w:val="bottom"/>
            <w:hideMark/>
          </w:tcPr>
          <w:p w14:paraId="0C57D457"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GTCGATCCTAGATGGCCTTGC</w:t>
            </w:r>
          </w:p>
        </w:tc>
        <w:tc>
          <w:tcPr>
            <w:tcW w:w="2400" w:type="dxa"/>
            <w:tcBorders>
              <w:top w:val="single" w:sz="4" w:space="0" w:color="5B9BD5"/>
              <w:left w:val="nil"/>
              <w:bottom w:val="nil"/>
              <w:right w:val="single" w:sz="4" w:space="0" w:color="5B9BD5"/>
            </w:tcBorders>
            <w:shd w:val="clear" w:color="auto" w:fill="auto"/>
            <w:noWrap/>
            <w:vAlign w:val="bottom"/>
            <w:hideMark/>
          </w:tcPr>
          <w:p w14:paraId="2079B88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GTCATTCGAGCCCACGTAGAG</w:t>
            </w:r>
          </w:p>
        </w:tc>
      </w:tr>
      <w:tr w:rsidR="00AE1642" w:rsidRPr="00151FC8" w14:paraId="048FB1E5"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15497FD4"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proofErr w:type="spellStart"/>
            <w:r w:rsidRPr="007C50C8">
              <w:rPr>
                <w:rFonts w:ascii="Calibri" w:eastAsia="Times New Roman" w:hAnsi="Calibri" w:cs="Times New Roman"/>
                <w:i/>
                <w:iCs/>
                <w:color w:val="000000"/>
                <w:sz w:val="18"/>
                <w:lang w:eastAsia="es-ES"/>
              </w:rPr>
              <w:t>Dagla</w:t>
            </w:r>
            <w:proofErr w:type="spellEnd"/>
          </w:p>
        </w:tc>
        <w:tc>
          <w:tcPr>
            <w:tcW w:w="4678" w:type="dxa"/>
            <w:tcBorders>
              <w:top w:val="single" w:sz="4" w:space="0" w:color="5B9BD5"/>
              <w:left w:val="nil"/>
              <w:bottom w:val="nil"/>
              <w:right w:val="nil"/>
            </w:tcBorders>
            <w:shd w:val="clear" w:color="auto" w:fill="auto"/>
            <w:noWrap/>
            <w:vAlign w:val="bottom"/>
            <w:hideMark/>
          </w:tcPr>
          <w:p w14:paraId="3FB9B1F8"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diacylglycerol</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lipase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alpha</w:t>
            </w:r>
            <w:proofErr w:type="spellEnd"/>
          </w:p>
        </w:tc>
        <w:tc>
          <w:tcPr>
            <w:tcW w:w="2977" w:type="dxa"/>
            <w:tcBorders>
              <w:top w:val="single" w:sz="4" w:space="0" w:color="5B9BD5"/>
              <w:left w:val="nil"/>
              <w:bottom w:val="nil"/>
              <w:right w:val="nil"/>
            </w:tcBorders>
            <w:shd w:val="clear" w:color="auto" w:fill="auto"/>
            <w:noWrap/>
            <w:vAlign w:val="bottom"/>
            <w:hideMark/>
          </w:tcPr>
          <w:p w14:paraId="51ED5BA6"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CTTTGCTGAATTTTTCCGTGACC</w:t>
            </w:r>
          </w:p>
        </w:tc>
        <w:tc>
          <w:tcPr>
            <w:tcW w:w="2400" w:type="dxa"/>
            <w:tcBorders>
              <w:top w:val="single" w:sz="4" w:space="0" w:color="5B9BD5"/>
              <w:left w:val="nil"/>
              <w:bottom w:val="nil"/>
              <w:right w:val="single" w:sz="4" w:space="0" w:color="5B9BD5"/>
            </w:tcBorders>
            <w:shd w:val="clear" w:color="auto" w:fill="auto"/>
            <w:noWrap/>
            <w:vAlign w:val="bottom"/>
            <w:hideMark/>
          </w:tcPr>
          <w:p w14:paraId="19E1C001"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TTGTTTGCCTCATCCAGCAC</w:t>
            </w:r>
          </w:p>
        </w:tc>
      </w:tr>
      <w:tr w:rsidR="00AE1642" w:rsidRPr="00151FC8" w14:paraId="7AA32A03"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17A85544"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proofErr w:type="spellStart"/>
            <w:r w:rsidRPr="007C50C8">
              <w:rPr>
                <w:rFonts w:ascii="Calibri" w:eastAsia="Times New Roman" w:hAnsi="Calibri" w:cs="Times New Roman"/>
                <w:i/>
                <w:iCs/>
                <w:color w:val="000000"/>
                <w:sz w:val="18"/>
                <w:lang w:eastAsia="es-ES"/>
              </w:rPr>
              <w:t>Mgll</w:t>
            </w:r>
            <w:proofErr w:type="spellEnd"/>
          </w:p>
        </w:tc>
        <w:tc>
          <w:tcPr>
            <w:tcW w:w="4678" w:type="dxa"/>
            <w:tcBorders>
              <w:top w:val="single" w:sz="4" w:space="0" w:color="5B9BD5"/>
              <w:left w:val="nil"/>
              <w:bottom w:val="nil"/>
              <w:right w:val="nil"/>
            </w:tcBorders>
            <w:shd w:val="clear" w:color="auto" w:fill="auto"/>
            <w:noWrap/>
            <w:vAlign w:val="bottom"/>
            <w:hideMark/>
          </w:tcPr>
          <w:p w14:paraId="2FDBD896"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monoacylglycerol</w:t>
            </w:r>
            <w:proofErr w:type="spellEnd"/>
            <w:r w:rsidRPr="007C50C8">
              <w:rPr>
                <w:rFonts w:ascii="Calibri" w:eastAsia="Times New Roman" w:hAnsi="Calibri" w:cs="Times New Roman"/>
                <w:color w:val="000000"/>
                <w:sz w:val="18"/>
                <w:lang w:eastAsia="es-ES"/>
              </w:rPr>
              <w:t> </w:t>
            </w:r>
            <w:proofErr w:type="spellStart"/>
            <w:r w:rsidRPr="007C50C8">
              <w:rPr>
                <w:rFonts w:ascii="Calibri" w:eastAsia="Times New Roman" w:hAnsi="Calibri" w:cs="Times New Roman"/>
                <w:color w:val="000000"/>
                <w:sz w:val="18"/>
                <w:lang w:eastAsia="es-ES"/>
              </w:rPr>
              <w:t>lipase</w:t>
            </w:r>
            <w:proofErr w:type="spellEnd"/>
          </w:p>
        </w:tc>
        <w:tc>
          <w:tcPr>
            <w:tcW w:w="2977" w:type="dxa"/>
            <w:tcBorders>
              <w:top w:val="single" w:sz="4" w:space="0" w:color="5B9BD5"/>
              <w:left w:val="nil"/>
              <w:bottom w:val="nil"/>
              <w:right w:val="nil"/>
            </w:tcBorders>
            <w:shd w:val="clear" w:color="auto" w:fill="auto"/>
            <w:noWrap/>
            <w:vAlign w:val="bottom"/>
            <w:hideMark/>
          </w:tcPr>
          <w:p w14:paraId="2010C5E4"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CTACCTGCTCATGGAATC</w:t>
            </w:r>
          </w:p>
        </w:tc>
        <w:tc>
          <w:tcPr>
            <w:tcW w:w="2400" w:type="dxa"/>
            <w:tcBorders>
              <w:top w:val="single" w:sz="4" w:space="0" w:color="5B9BD5"/>
              <w:left w:val="nil"/>
              <w:bottom w:val="nil"/>
              <w:right w:val="single" w:sz="4" w:space="0" w:color="5B9BD5"/>
            </w:tcBorders>
            <w:shd w:val="clear" w:color="auto" w:fill="auto"/>
            <w:noWrap/>
            <w:vAlign w:val="bottom"/>
            <w:hideMark/>
          </w:tcPr>
          <w:p w14:paraId="3E8475AC"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GACACCCACGTATTTATTTC</w:t>
            </w:r>
          </w:p>
        </w:tc>
      </w:tr>
      <w:tr w:rsidR="00AE1642" w:rsidRPr="00151FC8" w14:paraId="4133B466"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608FAFD2"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proofErr w:type="spellStart"/>
            <w:r w:rsidRPr="007C50C8">
              <w:rPr>
                <w:rFonts w:ascii="Calibri" w:eastAsia="Times New Roman" w:hAnsi="Calibri" w:cs="Times New Roman"/>
                <w:i/>
                <w:iCs/>
                <w:color w:val="000000"/>
                <w:sz w:val="18"/>
                <w:lang w:eastAsia="es-ES"/>
              </w:rPr>
              <w:t>Napepld</w:t>
            </w:r>
            <w:proofErr w:type="spellEnd"/>
          </w:p>
        </w:tc>
        <w:tc>
          <w:tcPr>
            <w:tcW w:w="4678" w:type="dxa"/>
            <w:tcBorders>
              <w:top w:val="single" w:sz="4" w:space="0" w:color="5B9BD5"/>
              <w:left w:val="nil"/>
              <w:bottom w:val="nil"/>
              <w:right w:val="nil"/>
            </w:tcBorders>
            <w:shd w:val="clear" w:color="auto" w:fill="auto"/>
            <w:noWrap/>
            <w:vAlign w:val="bottom"/>
            <w:hideMark/>
          </w:tcPr>
          <w:p w14:paraId="0358F983"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val="en-US" w:eastAsia="es-ES"/>
              </w:rPr>
            </w:pPr>
            <w:r w:rsidRPr="007C50C8">
              <w:rPr>
                <w:rFonts w:ascii="Calibri" w:eastAsia="Times New Roman" w:hAnsi="Calibri" w:cs="Times New Roman"/>
                <w:i/>
                <w:iCs/>
                <w:color w:val="000000"/>
                <w:sz w:val="18"/>
                <w:lang w:val="en-US" w:eastAsia="es-ES"/>
              </w:rPr>
              <w:t>N</w:t>
            </w:r>
            <w:r w:rsidRPr="007C50C8">
              <w:rPr>
                <w:rFonts w:ascii="Calibri" w:eastAsia="Times New Roman" w:hAnsi="Calibri" w:cs="Times New Roman"/>
                <w:color w:val="000000"/>
                <w:sz w:val="18"/>
                <w:lang w:val="en-US" w:eastAsia="es-ES"/>
              </w:rPr>
              <w:t xml:space="preserve">-acyl </w:t>
            </w:r>
            <w:proofErr w:type="spellStart"/>
            <w:r w:rsidRPr="007C50C8">
              <w:rPr>
                <w:rFonts w:ascii="Calibri" w:eastAsia="Times New Roman" w:hAnsi="Calibri" w:cs="Times New Roman"/>
                <w:color w:val="000000"/>
                <w:sz w:val="18"/>
                <w:lang w:val="en-US" w:eastAsia="es-ES"/>
              </w:rPr>
              <w:t>phosphatidylethanolamine</w:t>
            </w:r>
            <w:proofErr w:type="spellEnd"/>
            <w:r w:rsidRPr="007C50C8">
              <w:rPr>
                <w:rFonts w:ascii="Calibri" w:eastAsia="Times New Roman" w:hAnsi="Calibri" w:cs="Times New Roman"/>
                <w:color w:val="000000"/>
                <w:sz w:val="18"/>
                <w:lang w:val="en-US" w:eastAsia="es-ES"/>
              </w:rPr>
              <w:t xml:space="preserve"> phospholipase D</w:t>
            </w:r>
          </w:p>
        </w:tc>
        <w:tc>
          <w:tcPr>
            <w:tcW w:w="2977" w:type="dxa"/>
            <w:tcBorders>
              <w:top w:val="single" w:sz="4" w:space="0" w:color="5B9BD5"/>
              <w:left w:val="nil"/>
              <w:bottom w:val="nil"/>
              <w:right w:val="nil"/>
            </w:tcBorders>
            <w:shd w:val="clear" w:color="auto" w:fill="auto"/>
            <w:noWrap/>
            <w:vAlign w:val="bottom"/>
            <w:hideMark/>
          </w:tcPr>
          <w:p w14:paraId="0768D17D"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AGATATGGACTCAAGAGTGAAGACTTC</w:t>
            </w:r>
          </w:p>
        </w:tc>
        <w:tc>
          <w:tcPr>
            <w:tcW w:w="2400" w:type="dxa"/>
            <w:tcBorders>
              <w:top w:val="single" w:sz="4" w:space="0" w:color="5B9BD5"/>
              <w:left w:val="nil"/>
              <w:bottom w:val="nil"/>
              <w:right w:val="single" w:sz="4" w:space="0" w:color="5B9BD5"/>
            </w:tcBorders>
            <w:shd w:val="clear" w:color="auto" w:fill="auto"/>
            <w:noWrap/>
            <w:vAlign w:val="bottom"/>
            <w:hideMark/>
          </w:tcPr>
          <w:p w14:paraId="5B39530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TCCTCAAAGGCTTTGTCATCGG</w:t>
            </w:r>
          </w:p>
        </w:tc>
      </w:tr>
      <w:tr w:rsidR="00AE1642" w:rsidRPr="00151FC8" w14:paraId="7100B2F7" w14:textId="77777777" w:rsidTr="00AE1642">
        <w:trPr>
          <w:trHeight w:val="278"/>
        </w:trPr>
        <w:tc>
          <w:tcPr>
            <w:tcW w:w="1063" w:type="dxa"/>
            <w:tcBorders>
              <w:top w:val="single" w:sz="4" w:space="0" w:color="5B9BD5"/>
              <w:left w:val="single" w:sz="4" w:space="0" w:color="5B9BD5"/>
              <w:bottom w:val="nil"/>
              <w:right w:val="nil"/>
            </w:tcBorders>
            <w:shd w:val="clear" w:color="auto" w:fill="auto"/>
            <w:noWrap/>
            <w:vAlign w:val="center"/>
            <w:hideMark/>
          </w:tcPr>
          <w:p w14:paraId="779C7A01"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proofErr w:type="spellStart"/>
            <w:r w:rsidRPr="007C50C8">
              <w:rPr>
                <w:rFonts w:ascii="Calibri" w:eastAsia="Times New Roman" w:hAnsi="Calibri" w:cs="Times New Roman"/>
                <w:i/>
                <w:iCs/>
                <w:color w:val="000000"/>
                <w:sz w:val="18"/>
                <w:lang w:eastAsia="es-ES"/>
              </w:rPr>
              <w:t>Faah</w:t>
            </w:r>
            <w:proofErr w:type="spellEnd"/>
          </w:p>
        </w:tc>
        <w:tc>
          <w:tcPr>
            <w:tcW w:w="4678" w:type="dxa"/>
            <w:tcBorders>
              <w:top w:val="single" w:sz="4" w:space="0" w:color="5B9BD5"/>
              <w:left w:val="nil"/>
              <w:bottom w:val="nil"/>
              <w:right w:val="nil"/>
            </w:tcBorders>
            <w:shd w:val="clear" w:color="auto" w:fill="auto"/>
            <w:noWrap/>
            <w:vAlign w:val="bottom"/>
            <w:hideMark/>
          </w:tcPr>
          <w:p w14:paraId="4901671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proofErr w:type="spellStart"/>
            <w:r w:rsidRPr="007C50C8">
              <w:rPr>
                <w:rFonts w:ascii="Calibri" w:eastAsia="Times New Roman" w:hAnsi="Calibri" w:cs="Times New Roman"/>
                <w:color w:val="000000"/>
                <w:sz w:val="18"/>
                <w:lang w:eastAsia="es-ES"/>
              </w:rPr>
              <w:t>fatty</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acid</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amide</w:t>
            </w:r>
            <w:proofErr w:type="spellEnd"/>
            <w:r w:rsidRPr="007C50C8">
              <w:rPr>
                <w:rFonts w:ascii="Calibri" w:eastAsia="Times New Roman" w:hAnsi="Calibri" w:cs="Times New Roman"/>
                <w:color w:val="000000"/>
                <w:sz w:val="18"/>
                <w:lang w:eastAsia="es-ES"/>
              </w:rPr>
              <w:t xml:space="preserve"> </w:t>
            </w:r>
            <w:proofErr w:type="spellStart"/>
            <w:r w:rsidRPr="007C50C8">
              <w:rPr>
                <w:rFonts w:ascii="Calibri" w:eastAsia="Times New Roman" w:hAnsi="Calibri" w:cs="Times New Roman"/>
                <w:color w:val="000000"/>
                <w:sz w:val="18"/>
                <w:lang w:eastAsia="es-ES"/>
              </w:rPr>
              <w:t>hydrolase</w:t>
            </w:r>
            <w:proofErr w:type="spellEnd"/>
          </w:p>
        </w:tc>
        <w:tc>
          <w:tcPr>
            <w:tcW w:w="2977" w:type="dxa"/>
            <w:tcBorders>
              <w:top w:val="single" w:sz="4" w:space="0" w:color="5B9BD5"/>
              <w:left w:val="nil"/>
              <w:bottom w:val="nil"/>
              <w:right w:val="nil"/>
            </w:tcBorders>
            <w:shd w:val="clear" w:color="auto" w:fill="auto"/>
            <w:noWrap/>
            <w:vAlign w:val="bottom"/>
            <w:hideMark/>
          </w:tcPr>
          <w:p w14:paraId="55DD62A1"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GTTACAGAGTGGAGAGCTGTCC</w:t>
            </w:r>
          </w:p>
        </w:tc>
        <w:tc>
          <w:tcPr>
            <w:tcW w:w="2400" w:type="dxa"/>
            <w:tcBorders>
              <w:top w:val="single" w:sz="4" w:space="0" w:color="5B9BD5"/>
              <w:left w:val="nil"/>
              <w:bottom w:val="nil"/>
              <w:right w:val="single" w:sz="4" w:space="0" w:color="5B9BD5"/>
            </w:tcBorders>
            <w:shd w:val="clear" w:color="auto" w:fill="auto"/>
            <w:noWrap/>
            <w:vAlign w:val="bottom"/>
            <w:hideMark/>
          </w:tcPr>
          <w:p w14:paraId="291DA2F1"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GTCTCACAGTCGGTCAGATAGG</w:t>
            </w:r>
          </w:p>
        </w:tc>
      </w:tr>
      <w:tr w:rsidR="00AE1642" w:rsidRPr="00151FC8" w14:paraId="78B2E24E" w14:textId="77777777" w:rsidTr="00AE1642">
        <w:trPr>
          <w:trHeight w:val="278"/>
        </w:trPr>
        <w:tc>
          <w:tcPr>
            <w:tcW w:w="1063" w:type="dxa"/>
            <w:tcBorders>
              <w:top w:val="single" w:sz="4" w:space="0" w:color="5B9BD5"/>
              <w:left w:val="single" w:sz="4" w:space="0" w:color="5B9BD5"/>
              <w:bottom w:val="single" w:sz="4" w:space="0" w:color="5B9BD5"/>
              <w:right w:val="nil"/>
            </w:tcBorders>
            <w:shd w:val="clear" w:color="auto" w:fill="auto"/>
            <w:noWrap/>
            <w:vAlign w:val="center"/>
            <w:hideMark/>
          </w:tcPr>
          <w:p w14:paraId="42DEAF82" w14:textId="77777777" w:rsidR="00AE1642" w:rsidRPr="007C50C8" w:rsidRDefault="00AE1642" w:rsidP="00AE1642">
            <w:pPr>
              <w:tabs>
                <w:tab w:val="left" w:pos="2268"/>
              </w:tabs>
              <w:spacing w:after="0" w:line="240" w:lineRule="auto"/>
              <w:ind w:left="-142" w:firstLine="62"/>
              <w:jc w:val="center"/>
              <w:rPr>
                <w:rFonts w:ascii="Calibri" w:eastAsia="Times New Roman" w:hAnsi="Calibri" w:cs="Times New Roman"/>
                <w:i/>
                <w:iCs/>
                <w:color w:val="000000"/>
                <w:sz w:val="18"/>
                <w:lang w:eastAsia="es-ES"/>
              </w:rPr>
            </w:pPr>
            <w:proofErr w:type="spellStart"/>
            <w:r w:rsidRPr="007C50C8">
              <w:rPr>
                <w:rFonts w:ascii="Calibri" w:eastAsia="Times New Roman" w:hAnsi="Calibri" w:cs="Times New Roman"/>
                <w:i/>
                <w:iCs/>
                <w:color w:val="000000"/>
                <w:sz w:val="18"/>
                <w:lang w:eastAsia="es-ES"/>
              </w:rPr>
              <w:t>Gapdh</w:t>
            </w:r>
            <w:proofErr w:type="spellEnd"/>
          </w:p>
        </w:tc>
        <w:tc>
          <w:tcPr>
            <w:tcW w:w="4678" w:type="dxa"/>
            <w:tcBorders>
              <w:top w:val="single" w:sz="4" w:space="0" w:color="5B9BD5"/>
              <w:left w:val="nil"/>
              <w:bottom w:val="single" w:sz="4" w:space="0" w:color="5B9BD5"/>
              <w:right w:val="nil"/>
            </w:tcBorders>
            <w:shd w:val="clear" w:color="auto" w:fill="auto"/>
            <w:noWrap/>
            <w:vAlign w:val="bottom"/>
            <w:hideMark/>
          </w:tcPr>
          <w:p w14:paraId="73FFD8C7"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 xml:space="preserve">glyceraldehyde-3-phosphate </w:t>
            </w:r>
            <w:proofErr w:type="spellStart"/>
            <w:r w:rsidRPr="007C50C8">
              <w:rPr>
                <w:rFonts w:ascii="Calibri" w:eastAsia="Times New Roman" w:hAnsi="Calibri" w:cs="Times New Roman"/>
                <w:color w:val="000000"/>
                <w:sz w:val="18"/>
                <w:lang w:eastAsia="es-ES"/>
              </w:rPr>
              <w:t>dehydrogenase</w:t>
            </w:r>
            <w:proofErr w:type="spellEnd"/>
          </w:p>
        </w:tc>
        <w:tc>
          <w:tcPr>
            <w:tcW w:w="2977" w:type="dxa"/>
            <w:tcBorders>
              <w:top w:val="single" w:sz="4" w:space="0" w:color="5B9BD5"/>
              <w:left w:val="nil"/>
              <w:bottom w:val="single" w:sz="4" w:space="0" w:color="5B9BD5"/>
              <w:right w:val="nil"/>
            </w:tcBorders>
            <w:shd w:val="clear" w:color="auto" w:fill="auto"/>
            <w:noWrap/>
            <w:vAlign w:val="bottom"/>
            <w:hideMark/>
          </w:tcPr>
          <w:p w14:paraId="392C403B"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TCCCTGTTCTAGAGACAG</w:t>
            </w:r>
          </w:p>
        </w:tc>
        <w:tc>
          <w:tcPr>
            <w:tcW w:w="2400" w:type="dxa"/>
            <w:tcBorders>
              <w:top w:val="single" w:sz="4" w:space="0" w:color="5B9BD5"/>
              <w:left w:val="nil"/>
              <w:bottom w:val="single" w:sz="4" w:space="0" w:color="5B9BD5"/>
              <w:right w:val="single" w:sz="4" w:space="0" w:color="5B9BD5"/>
            </w:tcBorders>
            <w:shd w:val="clear" w:color="auto" w:fill="auto"/>
            <w:noWrap/>
            <w:vAlign w:val="bottom"/>
            <w:hideMark/>
          </w:tcPr>
          <w:p w14:paraId="71A8EDAC" w14:textId="77777777" w:rsidR="00AE1642" w:rsidRPr="007C50C8" w:rsidRDefault="00AE1642" w:rsidP="00AE1642">
            <w:pPr>
              <w:tabs>
                <w:tab w:val="left" w:pos="2268"/>
              </w:tabs>
              <w:spacing w:after="0" w:line="240" w:lineRule="auto"/>
              <w:ind w:left="-142" w:firstLine="62"/>
              <w:rPr>
                <w:rFonts w:ascii="Calibri" w:eastAsia="Times New Roman" w:hAnsi="Calibri" w:cs="Times New Roman"/>
                <w:color w:val="000000"/>
                <w:sz w:val="18"/>
                <w:lang w:eastAsia="es-ES"/>
              </w:rPr>
            </w:pPr>
            <w:r w:rsidRPr="007C50C8">
              <w:rPr>
                <w:rFonts w:ascii="Calibri" w:eastAsia="Times New Roman" w:hAnsi="Calibri" w:cs="Times New Roman"/>
                <w:color w:val="000000"/>
                <w:sz w:val="18"/>
                <w:lang w:eastAsia="es-ES"/>
              </w:rPr>
              <w:t>CCACTTTGTCACAAGAGA</w:t>
            </w:r>
          </w:p>
        </w:tc>
      </w:tr>
    </w:tbl>
    <w:p w14:paraId="01A0D03D" w14:textId="77777777" w:rsidR="00145B23" w:rsidRDefault="00145B23"/>
    <w:p w14:paraId="1161580E" w14:textId="77777777" w:rsidR="00AE1642" w:rsidRDefault="00AE1642">
      <w:pPr>
        <w:spacing w:after="0" w:line="240" w:lineRule="auto"/>
        <w:rPr>
          <w:rFonts w:ascii="Times New Roman" w:hAnsi="Times New Roman"/>
          <w:b/>
          <w:sz w:val="24"/>
          <w:lang w:val="en-US"/>
        </w:rPr>
      </w:pPr>
      <w:r>
        <w:rPr>
          <w:rFonts w:ascii="Times New Roman" w:hAnsi="Times New Roman"/>
          <w:b/>
          <w:sz w:val="24"/>
          <w:lang w:val="en-US"/>
        </w:rPr>
        <w:br w:type="page"/>
      </w:r>
    </w:p>
    <w:p w14:paraId="5E7BC4C9" w14:textId="77777777" w:rsidR="00AE1642" w:rsidRPr="0079232C" w:rsidRDefault="00AE1642" w:rsidP="00AE1642">
      <w:pPr>
        <w:ind w:left="-993" w:hanging="141"/>
        <w:jc w:val="both"/>
        <w:rPr>
          <w:rFonts w:ascii="Times New Roman" w:hAnsi="Times New Roman"/>
          <w:b/>
          <w:sz w:val="24"/>
          <w:lang w:val="en-US"/>
        </w:rPr>
      </w:pPr>
      <w:r>
        <w:rPr>
          <w:rFonts w:ascii="Times New Roman" w:hAnsi="Times New Roman"/>
          <w:b/>
          <w:sz w:val="24"/>
          <w:lang w:val="en-US"/>
        </w:rPr>
        <w:t>SI Table 2</w:t>
      </w:r>
      <w:r w:rsidRPr="0079232C">
        <w:rPr>
          <w:rFonts w:ascii="Times New Roman" w:hAnsi="Times New Roman"/>
          <w:b/>
          <w:sz w:val="24"/>
          <w:lang w:val="en-US"/>
        </w:rPr>
        <w:t xml:space="preserve">. </w:t>
      </w:r>
      <w:r>
        <w:rPr>
          <w:rFonts w:ascii="Times New Roman" w:hAnsi="Times New Roman"/>
          <w:b/>
          <w:sz w:val="24"/>
          <w:lang w:val="en-US"/>
        </w:rPr>
        <w:t>Uncorrected p-values for all the t-tests performed. Red cells show significant values and cells with border contain the values that are significant after the FDR correction.</w:t>
      </w:r>
    </w:p>
    <w:p w14:paraId="4D394519" w14:textId="77777777" w:rsidR="00AE1642" w:rsidRDefault="00AE1642" w:rsidP="00AE1642">
      <w:bookmarkStart w:id="1" w:name="_GoBack"/>
      <w:bookmarkEnd w:id="1"/>
    </w:p>
    <w:tbl>
      <w:tblPr>
        <w:tblW w:w="10882" w:type="dxa"/>
        <w:tblInd w:w="-1064" w:type="dxa"/>
        <w:tblCellMar>
          <w:left w:w="70" w:type="dxa"/>
          <w:right w:w="70" w:type="dxa"/>
        </w:tblCellMar>
        <w:tblLook w:val="04A0" w:firstRow="1" w:lastRow="0" w:firstColumn="1" w:lastColumn="0" w:noHBand="0" w:noVBand="1"/>
      </w:tblPr>
      <w:tblGrid>
        <w:gridCol w:w="1880"/>
        <w:gridCol w:w="1084"/>
        <w:gridCol w:w="1164"/>
        <w:gridCol w:w="1088"/>
        <w:gridCol w:w="1305"/>
        <w:gridCol w:w="1001"/>
        <w:gridCol w:w="1074"/>
        <w:gridCol w:w="1212"/>
        <w:gridCol w:w="1074"/>
      </w:tblGrid>
      <w:tr w:rsidR="00AE1642" w:rsidRPr="00F657F3" w14:paraId="7874C247" w14:textId="77777777" w:rsidTr="00786C11">
        <w:trPr>
          <w:trHeight w:val="280"/>
        </w:trPr>
        <w:tc>
          <w:tcPr>
            <w:tcW w:w="1880" w:type="dxa"/>
            <w:tcBorders>
              <w:top w:val="single" w:sz="4" w:space="0" w:color="auto"/>
              <w:left w:val="single" w:sz="4" w:space="0" w:color="auto"/>
              <w:bottom w:val="nil"/>
              <w:right w:val="single" w:sz="4" w:space="0" w:color="3F3F3F"/>
            </w:tcBorders>
            <w:shd w:val="clear" w:color="000000" w:fill="F2F2F2"/>
            <w:noWrap/>
            <w:vAlign w:val="bottom"/>
            <w:hideMark/>
          </w:tcPr>
          <w:p w14:paraId="291CABCC" w14:textId="77777777" w:rsidR="00AE1642" w:rsidRPr="00F657F3" w:rsidRDefault="00AE1642" w:rsidP="00786C11">
            <w:pPr>
              <w:spacing w:after="0" w:line="240" w:lineRule="auto"/>
              <w:rPr>
                <w:rFonts w:ascii="Calibri" w:eastAsia="Times New Roman" w:hAnsi="Calibri" w:cs="Times New Roman"/>
                <w:b/>
                <w:bCs/>
                <w:color w:val="3F3F3F"/>
                <w:lang w:eastAsia="es-ES"/>
              </w:rPr>
            </w:pPr>
            <w:proofErr w:type="spellStart"/>
            <w:r w:rsidRPr="00F657F3">
              <w:rPr>
                <w:rFonts w:ascii="Calibri" w:eastAsia="Times New Roman" w:hAnsi="Calibri" w:cs="Times New Roman"/>
                <w:b/>
                <w:bCs/>
                <w:color w:val="3F3F3F"/>
                <w:lang w:eastAsia="es-ES"/>
              </w:rPr>
              <w:t>Statistical</w:t>
            </w:r>
            <w:proofErr w:type="spellEnd"/>
            <w:r w:rsidRPr="00F657F3">
              <w:rPr>
                <w:rFonts w:ascii="Calibri" w:eastAsia="Times New Roman" w:hAnsi="Calibri" w:cs="Times New Roman"/>
                <w:b/>
                <w:bCs/>
                <w:color w:val="3F3F3F"/>
                <w:lang w:eastAsia="es-ES"/>
              </w:rPr>
              <w:t xml:space="preserve"> </w:t>
            </w:r>
            <w:proofErr w:type="spellStart"/>
            <w:r w:rsidRPr="00F657F3">
              <w:rPr>
                <w:rFonts w:ascii="Calibri" w:eastAsia="Times New Roman" w:hAnsi="Calibri" w:cs="Times New Roman"/>
                <w:b/>
                <w:bCs/>
                <w:color w:val="3F3F3F"/>
                <w:lang w:eastAsia="es-ES"/>
              </w:rPr>
              <w:t>aproach</w:t>
            </w:r>
            <w:proofErr w:type="spellEnd"/>
          </w:p>
        </w:tc>
        <w:tc>
          <w:tcPr>
            <w:tcW w:w="4641" w:type="dxa"/>
            <w:gridSpan w:val="4"/>
            <w:tcBorders>
              <w:top w:val="single" w:sz="4" w:space="0" w:color="auto"/>
              <w:left w:val="nil"/>
              <w:bottom w:val="nil"/>
              <w:right w:val="single" w:sz="4" w:space="0" w:color="3F3F3F"/>
            </w:tcBorders>
            <w:shd w:val="clear" w:color="000000" w:fill="F2F2F2"/>
            <w:noWrap/>
            <w:vAlign w:val="bottom"/>
            <w:hideMark/>
          </w:tcPr>
          <w:p w14:paraId="4BF7712C" w14:textId="77777777" w:rsidR="00AE1642" w:rsidRPr="00F657F3" w:rsidRDefault="00AE1642" w:rsidP="00786C11">
            <w:pPr>
              <w:spacing w:after="0" w:line="240" w:lineRule="auto"/>
              <w:jc w:val="center"/>
              <w:rPr>
                <w:rFonts w:ascii="Calibri" w:eastAsia="Times New Roman" w:hAnsi="Calibri" w:cs="Times New Roman"/>
                <w:b/>
                <w:bCs/>
                <w:color w:val="3F3F3F"/>
                <w:lang w:eastAsia="es-ES"/>
              </w:rPr>
            </w:pPr>
            <w:proofErr w:type="spellStart"/>
            <w:r w:rsidRPr="00F657F3">
              <w:rPr>
                <w:rFonts w:ascii="Calibri" w:eastAsia="Times New Roman" w:hAnsi="Calibri" w:cs="Times New Roman"/>
                <w:b/>
                <w:bCs/>
                <w:color w:val="3F3F3F"/>
                <w:lang w:eastAsia="es-ES"/>
              </w:rPr>
              <w:t>Clustering</w:t>
            </w:r>
            <w:proofErr w:type="spellEnd"/>
            <w:r w:rsidRPr="00F657F3">
              <w:rPr>
                <w:rFonts w:ascii="Calibri" w:eastAsia="Times New Roman" w:hAnsi="Calibri" w:cs="Times New Roman"/>
                <w:b/>
                <w:bCs/>
                <w:color w:val="3F3F3F"/>
                <w:lang w:eastAsia="es-ES"/>
              </w:rPr>
              <w:t xml:space="preserve"> </w:t>
            </w:r>
            <w:proofErr w:type="spellStart"/>
            <w:r w:rsidRPr="00F657F3">
              <w:rPr>
                <w:rFonts w:ascii="Calibri" w:eastAsia="Times New Roman" w:hAnsi="Calibri" w:cs="Times New Roman"/>
                <w:b/>
                <w:bCs/>
                <w:color w:val="3F3F3F"/>
                <w:lang w:eastAsia="es-ES"/>
              </w:rPr>
              <w:t>aproach</w:t>
            </w:r>
            <w:proofErr w:type="spellEnd"/>
          </w:p>
        </w:tc>
        <w:tc>
          <w:tcPr>
            <w:tcW w:w="4361" w:type="dxa"/>
            <w:gridSpan w:val="4"/>
            <w:tcBorders>
              <w:top w:val="single" w:sz="4" w:space="0" w:color="auto"/>
              <w:left w:val="nil"/>
              <w:bottom w:val="nil"/>
              <w:right w:val="single" w:sz="4" w:space="0" w:color="000000"/>
            </w:tcBorders>
            <w:shd w:val="clear" w:color="000000" w:fill="F2F2F2"/>
            <w:noWrap/>
            <w:vAlign w:val="bottom"/>
            <w:hideMark/>
          </w:tcPr>
          <w:p w14:paraId="6EBD8A6F" w14:textId="77777777" w:rsidR="00AE1642" w:rsidRPr="00F657F3" w:rsidRDefault="00AE1642" w:rsidP="00786C11">
            <w:pPr>
              <w:spacing w:after="0" w:line="240" w:lineRule="auto"/>
              <w:jc w:val="center"/>
              <w:rPr>
                <w:rFonts w:ascii="Calibri" w:eastAsia="Times New Roman" w:hAnsi="Calibri" w:cs="Times New Roman"/>
                <w:b/>
                <w:bCs/>
                <w:color w:val="3F3F3F"/>
                <w:lang w:eastAsia="es-ES"/>
              </w:rPr>
            </w:pPr>
            <w:proofErr w:type="spellStart"/>
            <w:r w:rsidRPr="00F657F3">
              <w:rPr>
                <w:rFonts w:ascii="Calibri" w:eastAsia="Times New Roman" w:hAnsi="Calibri" w:cs="Times New Roman"/>
                <w:b/>
                <w:bCs/>
                <w:color w:val="3F3F3F"/>
                <w:lang w:eastAsia="es-ES"/>
              </w:rPr>
              <w:t>Correlational</w:t>
            </w:r>
            <w:proofErr w:type="spellEnd"/>
            <w:r w:rsidRPr="00F657F3">
              <w:rPr>
                <w:rFonts w:ascii="Calibri" w:eastAsia="Times New Roman" w:hAnsi="Calibri" w:cs="Times New Roman"/>
                <w:b/>
                <w:bCs/>
                <w:color w:val="3F3F3F"/>
                <w:lang w:eastAsia="es-ES"/>
              </w:rPr>
              <w:t xml:space="preserve"> </w:t>
            </w:r>
            <w:proofErr w:type="spellStart"/>
            <w:r w:rsidRPr="00F657F3">
              <w:rPr>
                <w:rFonts w:ascii="Calibri" w:eastAsia="Times New Roman" w:hAnsi="Calibri" w:cs="Times New Roman"/>
                <w:b/>
                <w:bCs/>
                <w:color w:val="3F3F3F"/>
                <w:lang w:eastAsia="es-ES"/>
              </w:rPr>
              <w:t>aproach</w:t>
            </w:r>
            <w:proofErr w:type="spellEnd"/>
          </w:p>
        </w:tc>
      </w:tr>
      <w:tr w:rsidR="00AE1642" w:rsidRPr="00F657F3" w14:paraId="5FA37F12" w14:textId="77777777" w:rsidTr="00786C11">
        <w:trPr>
          <w:trHeight w:val="280"/>
        </w:trPr>
        <w:tc>
          <w:tcPr>
            <w:tcW w:w="1880" w:type="dxa"/>
            <w:vMerge w:val="restart"/>
            <w:tcBorders>
              <w:top w:val="single" w:sz="4" w:space="0" w:color="auto"/>
              <w:left w:val="single" w:sz="4" w:space="0" w:color="auto"/>
              <w:bottom w:val="single" w:sz="4" w:space="0" w:color="5B9BD5"/>
              <w:right w:val="single" w:sz="4" w:space="0" w:color="auto"/>
            </w:tcBorders>
            <w:shd w:val="clear" w:color="auto" w:fill="auto"/>
            <w:noWrap/>
            <w:vAlign w:val="bottom"/>
            <w:hideMark/>
          </w:tcPr>
          <w:p w14:paraId="324E04A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 </w:t>
            </w:r>
          </w:p>
        </w:tc>
        <w:tc>
          <w:tcPr>
            <w:tcW w:w="2248" w:type="dxa"/>
            <w:gridSpan w:val="2"/>
            <w:tcBorders>
              <w:top w:val="single" w:sz="4" w:space="0" w:color="auto"/>
              <w:left w:val="nil"/>
              <w:bottom w:val="single" w:sz="4" w:space="0" w:color="auto"/>
              <w:right w:val="nil"/>
            </w:tcBorders>
            <w:shd w:val="clear" w:color="auto" w:fill="auto"/>
            <w:noWrap/>
            <w:vAlign w:val="center"/>
            <w:hideMark/>
          </w:tcPr>
          <w:p w14:paraId="7615FD18"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DDT</w:t>
            </w:r>
          </w:p>
        </w:tc>
        <w:tc>
          <w:tcPr>
            <w:tcW w:w="2393" w:type="dxa"/>
            <w:gridSpan w:val="2"/>
            <w:tcBorders>
              <w:top w:val="single" w:sz="4" w:space="0" w:color="auto"/>
              <w:left w:val="nil"/>
              <w:bottom w:val="single" w:sz="4" w:space="0" w:color="auto"/>
              <w:right w:val="nil"/>
            </w:tcBorders>
            <w:shd w:val="clear" w:color="auto" w:fill="auto"/>
            <w:noWrap/>
            <w:vAlign w:val="center"/>
            <w:hideMark/>
          </w:tcPr>
          <w:p w14:paraId="449B6DE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2-CSRTT</w:t>
            </w:r>
          </w:p>
        </w:tc>
        <w:tc>
          <w:tcPr>
            <w:tcW w:w="207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9D48EF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DDT</w:t>
            </w:r>
          </w:p>
        </w:tc>
        <w:tc>
          <w:tcPr>
            <w:tcW w:w="228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A7C5A5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2-CSRTT</w:t>
            </w:r>
          </w:p>
        </w:tc>
      </w:tr>
      <w:tr w:rsidR="00AE1642" w:rsidRPr="00F657F3" w14:paraId="1743DDBF" w14:textId="77777777" w:rsidTr="00786C11">
        <w:trPr>
          <w:trHeight w:val="280"/>
        </w:trPr>
        <w:tc>
          <w:tcPr>
            <w:tcW w:w="1880" w:type="dxa"/>
            <w:vMerge/>
            <w:tcBorders>
              <w:top w:val="single" w:sz="4" w:space="0" w:color="auto"/>
              <w:left w:val="single" w:sz="4" w:space="0" w:color="auto"/>
              <w:bottom w:val="single" w:sz="4" w:space="0" w:color="5B9BD5"/>
              <w:right w:val="single" w:sz="4" w:space="0" w:color="auto"/>
            </w:tcBorders>
            <w:vAlign w:val="center"/>
            <w:hideMark/>
          </w:tcPr>
          <w:p w14:paraId="1E4EB4DA" w14:textId="77777777" w:rsidR="00AE1642" w:rsidRPr="00F657F3" w:rsidRDefault="00AE1642" w:rsidP="00786C11">
            <w:pPr>
              <w:spacing w:after="0" w:line="240" w:lineRule="auto"/>
              <w:rPr>
                <w:rFonts w:ascii="Calibri" w:eastAsia="Times New Roman" w:hAnsi="Calibri" w:cs="Times New Roman"/>
                <w:color w:val="000000"/>
                <w:lang w:eastAsia="es-ES"/>
              </w:rPr>
            </w:pPr>
          </w:p>
        </w:tc>
        <w:tc>
          <w:tcPr>
            <w:tcW w:w="1084" w:type="dxa"/>
            <w:tcBorders>
              <w:top w:val="nil"/>
              <w:left w:val="nil"/>
              <w:bottom w:val="single" w:sz="4" w:space="0" w:color="auto"/>
              <w:right w:val="nil"/>
            </w:tcBorders>
            <w:shd w:val="clear" w:color="auto" w:fill="auto"/>
            <w:noWrap/>
            <w:vAlign w:val="center"/>
            <w:hideMark/>
          </w:tcPr>
          <w:p w14:paraId="4C7CC478"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lOFC</w:t>
            </w:r>
            <w:proofErr w:type="spellEnd"/>
          </w:p>
        </w:tc>
        <w:tc>
          <w:tcPr>
            <w:tcW w:w="1164" w:type="dxa"/>
            <w:tcBorders>
              <w:top w:val="nil"/>
              <w:left w:val="nil"/>
              <w:bottom w:val="single" w:sz="4" w:space="0" w:color="auto"/>
              <w:right w:val="nil"/>
            </w:tcBorders>
            <w:shd w:val="clear" w:color="auto" w:fill="auto"/>
            <w:noWrap/>
            <w:vAlign w:val="center"/>
            <w:hideMark/>
          </w:tcPr>
          <w:p w14:paraId="698A0F0D"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mOFC</w:t>
            </w:r>
            <w:proofErr w:type="spellEnd"/>
          </w:p>
        </w:tc>
        <w:tc>
          <w:tcPr>
            <w:tcW w:w="1088" w:type="dxa"/>
            <w:tcBorders>
              <w:top w:val="nil"/>
              <w:left w:val="nil"/>
              <w:bottom w:val="single" w:sz="4" w:space="0" w:color="auto"/>
              <w:right w:val="nil"/>
            </w:tcBorders>
            <w:shd w:val="clear" w:color="auto" w:fill="auto"/>
            <w:noWrap/>
            <w:vAlign w:val="center"/>
            <w:hideMark/>
          </w:tcPr>
          <w:p w14:paraId="70704F4B"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lOFC</w:t>
            </w:r>
            <w:proofErr w:type="spellEnd"/>
          </w:p>
        </w:tc>
        <w:tc>
          <w:tcPr>
            <w:tcW w:w="1305" w:type="dxa"/>
            <w:tcBorders>
              <w:top w:val="nil"/>
              <w:left w:val="nil"/>
              <w:bottom w:val="single" w:sz="4" w:space="0" w:color="auto"/>
              <w:right w:val="nil"/>
            </w:tcBorders>
            <w:shd w:val="clear" w:color="auto" w:fill="auto"/>
            <w:noWrap/>
            <w:vAlign w:val="center"/>
            <w:hideMark/>
          </w:tcPr>
          <w:p w14:paraId="1F9EEDD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mOFC</w:t>
            </w:r>
            <w:proofErr w:type="spellEnd"/>
          </w:p>
        </w:tc>
        <w:tc>
          <w:tcPr>
            <w:tcW w:w="1001" w:type="dxa"/>
            <w:tcBorders>
              <w:top w:val="nil"/>
              <w:left w:val="single" w:sz="4" w:space="0" w:color="auto"/>
              <w:bottom w:val="single" w:sz="4" w:space="0" w:color="auto"/>
              <w:right w:val="nil"/>
            </w:tcBorders>
            <w:shd w:val="clear" w:color="auto" w:fill="auto"/>
            <w:noWrap/>
            <w:vAlign w:val="center"/>
            <w:hideMark/>
          </w:tcPr>
          <w:p w14:paraId="2F16A1F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lOFC</w:t>
            </w:r>
            <w:proofErr w:type="spellEnd"/>
          </w:p>
        </w:tc>
        <w:tc>
          <w:tcPr>
            <w:tcW w:w="1074" w:type="dxa"/>
            <w:tcBorders>
              <w:top w:val="nil"/>
              <w:left w:val="nil"/>
              <w:bottom w:val="single" w:sz="4" w:space="0" w:color="auto"/>
              <w:right w:val="nil"/>
            </w:tcBorders>
            <w:shd w:val="clear" w:color="auto" w:fill="auto"/>
            <w:noWrap/>
            <w:vAlign w:val="center"/>
            <w:hideMark/>
          </w:tcPr>
          <w:p w14:paraId="1250C3FF"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mOFC</w:t>
            </w:r>
            <w:proofErr w:type="spellEnd"/>
          </w:p>
        </w:tc>
        <w:tc>
          <w:tcPr>
            <w:tcW w:w="1212" w:type="dxa"/>
            <w:tcBorders>
              <w:top w:val="nil"/>
              <w:left w:val="nil"/>
              <w:bottom w:val="single" w:sz="4" w:space="0" w:color="auto"/>
              <w:right w:val="nil"/>
            </w:tcBorders>
            <w:shd w:val="clear" w:color="auto" w:fill="auto"/>
            <w:noWrap/>
            <w:vAlign w:val="center"/>
            <w:hideMark/>
          </w:tcPr>
          <w:p w14:paraId="3F7BCEC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lOFC</w:t>
            </w:r>
            <w:proofErr w:type="spellEnd"/>
          </w:p>
        </w:tc>
        <w:tc>
          <w:tcPr>
            <w:tcW w:w="1074" w:type="dxa"/>
            <w:tcBorders>
              <w:top w:val="nil"/>
              <w:left w:val="nil"/>
              <w:bottom w:val="single" w:sz="4" w:space="0" w:color="auto"/>
              <w:right w:val="single" w:sz="4" w:space="0" w:color="auto"/>
            </w:tcBorders>
            <w:shd w:val="clear" w:color="auto" w:fill="auto"/>
            <w:noWrap/>
            <w:vAlign w:val="center"/>
            <w:hideMark/>
          </w:tcPr>
          <w:p w14:paraId="0BB76FA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proofErr w:type="spellStart"/>
            <w:r w:rsidRPr="00F657F3">
              <w:rPr>
                <w:rFonts w:ascii="Calibri" w:eastAsia="Times New Roman" w:hAnsi="Calibri" w:cs="Times New Roman"/>
                <w:color w:val="000000"/>
                <w:lang w:eastAsia="es-ES"/>
              </w:rPr>
              <w:t>mOFC</w:t>
            </w:r>
            <w:proofErr w:type="spellEnd"/>
          </w:p>
        </w:tc>
      </w:tr>
      <w:tr w:rsidR="00AE1642" w:rsidRPr="00F657F3" w14:paraId="1BFDBF1D" w14:textId="77777777" w:rsidTr="00786C11">
        <w:trPr>
          <w:trHeight w:val="280"/>
        </w:trPr>
        <w:tc>
          <w:tcPr>
            <w:tcW w:w="1880" w:type="dxa"/>
            <w:tcBorders>
              <w:top w:val="nil"/>
              <w:left w:val="single" w:sz="4" w:space="0" w:color="auto"/>
              <w:bottom w:val="nil"/>
              <w:right w:val="single" w:sz="4" w:space="0" w:color="auto"/>
            </w:tcBorders>
            <w:shd w:val="clear" w:color="auto" w:fill="auto"/>
            <w:noWrap/>
            <w:vAlign w:val="center"/>
            <w:hideMark/>
          </w:tcPr>
          <w:p w14:paraId="219EAE12"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Grin1</w:t>
            </w:r>
          </w:p>
        </w:tc>
        <w:tc>
          <w:tcPr>
            <w:tcW w:w="1084" w:type="dxa"/>
            <w:tcBorders>
              <w:top w:val="nil"/>
              <w:left w:val="nil"/>
              <w:bottom w:val="nil"/>
              <w:right w:val="nil"/>
            </w:tcBorders>
            <w:shd w:val="clear" w:color="auto" w:fill="auto"/>
            <w:noWrap/>
            <w:vAlign w:val="center"/>
            <w:hideMark/>
          </w:tcPr>
          <w:p w14:paraId="5F88BF87"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0,972</w:t>
            </w:r>
          </w:p>
        </w:tc>
        <w:tc>
          <w:tcPr>
            <w:tcW w:w="1164" w:type="dxa"/>
            <w:tcBorders>
              <w:top w:val="nil"/>
              <w:left w:val="nil"/>
              <w:bottom w:val="nil"/>
              <w:right w:val="nil"/>
            </w:tcBorders>
            <w:shd w:val="clear" w:color="auto" w:fill="auto"/>
            <w:noWrap/>
            <w:vAlign w:val="center"/>
            <w:hideMark/>
          </w:tcPr>
          <w:p w14:paraId="1C2899D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0,814</w:t>
            </w:r>
          </w:p>
        </w:tc>
        <w:tc>
          <w:tcPr>
            <w:tcW w:w="1088" w:type="dxa"/>
            <w:tcBorders>
              <w:top w:val="nil"/>
              <w:left w:val="nil"/>
              <w:bottom w:val="nil"/>
              <w:right w:val="nil"/>
            </w:tcBorders>
            <w:shd w:val="clear" w:color="auto" w:fill="auto"/>
            <w:noWrap/>
            <w:vAlign w:val="center"/>
            <w:hideMark/>
          </w:tcPr>
          <w:p w14:paraId="5CA2103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1,000</w:t>
            </w:r>
          </w:p>
        </w:tc>
        <w:tc>
          <w:tcPr>
            <w:tcW w:w="1305" w:type="dxa"/>
            <w:tcBorders>
              <w:top w:val="nil"/>
              <w:left w:val="nil"/>
              <w:bottom w:val="nil"/>
              <w:right w:val="nil"/>
            </w:tcBorders>
            <w:shd w:val="clear" w:color="auto" w:fill="auto"/>
            <w:noWrap/>
            <w:vAlign w:val="center"/>
            <w:hideMark/>
          </w:tcPr>
          <w:p w14:paraId="5053E7C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0,424</w:t>
            </w:r>
          </w:p>
        </w:tc>
        <w:tc>
          <w:tcPr>
            <w:tcW w:w="1001" w:type="dxa"/>
            <w:tcBorders>
              <w:top w:val="nil"/>
              <w:left w:val="single" w:sz="4" w:space="0" w:color="auto"/>
              <w:bottom w:val="nil"/>
              <w:right w:val="nil"/>
            </w:tcBorders>
            <w:shd w:val="clear" w:color="auto" w:fill="auto"/>
            <w:noWrap/>
            <w:vAlign w:val="center"/>
            <w:hideMark/>
          </w:tcPr>
          <w:p w14:paraId="3DF00ED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0,683</w:t>
            </w:r>
          </w:p>
        </w:tc>
        <w:tc>
          <w:tcPr>
            <w:tcW w:w="1074" w:type="dxa"/>
            <w:tcBorders>
              <w:top w:val="nil"/>
              <w:left w:val="nil"/>
              <w:bottom w:val="nil"/>
              <w:right w:val="nil"/>
            </w:tcBorders>
            <w:shd w:val="clear" w:color="auto" w:fill="auto"/>
            <w:noWrap/>
            <w:vAlign w:val="center"/>
            <w:hideMark/>
          </w:tcPr>
          <w:p w14:paraId="3D77365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0,842</w:t>
            </w:r>
          </w:p>
        </w:tc>
        <w:tc>
          <w:tcPr>
            <w:tcW w:w="1212" w:type="dxa"/>
            <w:tcBorders>
              <w:top w:val="nil"/>
              <w:left w:val="nil"/>
              <w:bottom w:val="nil"/>
              <w:right w:val="nil"/>
            </w:tcBorders>
            <w:shd w:val="clear" w:color="auto" w:fill="auto"/>
            <w:noWrap/>
            <w:vAlign w:val="center"/>
            <w:hideMark/>
          </w:tcPr>
          <w:p w14:paraId="216D4DD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0,189</w:t>
            </w:r>
          </w:p>
        </w:tc>
        <w:tc>
          <w:tcPr>
            <w:tcW w:w="1074" w:type="dxa"/>
            <w:tcBorders>
              <w:top w:val="nil"/>
              <w:left w:val="nil"/>
              <w:bottom w:val="nil"/>
              <w:right w:val="single" w:sz="4" w:space="0" w:color="auto"/>
            </w:tcBorders>
            <w:shd w:val="clear" w:color="auto" w:fill="auto"/>
            <w:noWrap/>
            <w:vAlign w:val="center"/>
            <w:hideMark/>
          </w:tcPr>
          <w:p w14:paraId="79506348"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0,336</w:t>
            </w:r>
          </w:p>
        </w:tc>
      </w:tr>
      <w:tr w:rsidR="00AE1642" w:rsidRPr="00F657F3" w14:paraId="54B94BF0"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70997C0C"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Grin2a</w:t>
            </w:r>
          </w:p>
        </w:tc>
        <w:tc>
          <w:tcPr>
            <w:tcW w:w="1084" w:type="dxa"/>
            <w:tcBorders>
              <w:top w:val="nil"/>
              <w:left w:val="nil"/>
              <w:bottom w:val="nil"/>
              <w:right w:val="nil"/>
            </w:tcBorders>
            <w:shd w:val="clear" w:color="auto" w:fill="auto"/>
            <w:noWrap/>
            <w:vAlign w:val="center"/>
            <w:hideMark/>
          </w:tcPr>
          <w:p w14:paraId="4B38C14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0,947</w:t>
            </w:r>
          </w:p>
        </w:tc>
        <w:tc>
          <w:tcPr>
            <w:tcW w:w="1164" w:type="dxa"/>
            <w:tcBorders>
              <w:top w:val="nil"/>
              <w:left w:val="nil"/>
              <w:bottom w:val="nil"/>
              <w:right w:val="nil"/>
            </w:tcBorders>
            <w:shd w:val="clear" w:color="auto" w:fill="auto"/>
            <w:noWrap/>
            <w:vAlign w:val="center"/>
            <w:hideMark/>
          </w:tcPr>
          <w:p w14:paraId="5B5AE63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0,374</w:t>
            </w:r>
          </w:p>
        </w:tc>
        <w:tc>
          <w:tcPr>
            <w:tcW w:w="1088" w:type="dxa"/>
            <w:tcBorders>
              <w:top w:val="nil"/>
              <w:left w:val="nil"/>
              <w:bottom w:val="nil"/>
              <w:right w:val="nil"/>
            </w:tcBorders>
            <w:shd w:val="clear" w:color="auto" w:fill="auto"/>
            <w:noWrap/>
            <w:vAlign w:val="center"/>
            <w:hideMark/>
          </w:tcPr>
          <w:p w14:paraId="493E41F1"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0,069</w:t>
            </w:r>
          </w:p>
        </w:tc>
        <w:tc>
          <w:tcPr>
            <w:tcW w:w="1305" w:type="dxa"/>
            <w:tcBorders>
              <w:top w:val="nil"/>
              <w:left w:val="nil"/>
              <w:bottom w:val="nil"/>
              <w:right w:val="nil"/>
            </w:tcBorders>
            <w:shd w:val="clear" w:color="auto" w:fill="auto"/>
            <w:noWrap/>
            <w:vAlign w:val="center"/>
            <w:hideMark/>
          </w:tcPr>
          <w:p w14:paraId="7474875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0,549</w:t>
            </w:r>
          </w:p>
        </w:tc>
        <w:tc>
          <w:tcPr>
            <w:tcW w:w="1001" w:type="dxa"/>
            <w:tcBorders>
              <w:top w:val="nil"/>
              <w:left w:val="single" w:sz="4" w:space="0" w:color="auto"/>
              <w:bottom w:val="nil"/>
              <w:right w:val="nil"/>
            </w:tcBorders>
            <w:shd w:val="clear" w:color="auto" w:fill="auto"/>
            <w:noWrap/>
            <w:vAlign w:val="center"/>
            <w:hideMark/>
          </w:tcPr>
          <w:p w14:paraId="35796881"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0,945</w:t>
            </w:r>
          </w:p>
        </w:tc>
        <w:tc>
          <w:tcPr>
            <w:tcW w:w="1074" w:type="dxa"/>
            <w:tcBorders>
              <w:top w:val="nil"/>
              <w:left w:val="nil"/>
              <w:bottom w:val="nil"/>
              <w:right w:val="nil"/>
            </w:tcBorders>
            <w:shd w:val="clear" w:color="auto" w:fill="auto"/>
            <w:noWrap/>
            <w:vAlign w:val="center"/>
            <w:hideMark/>
          </w:tcPr>
          <w:p w14:paraId="0DAAEA6B"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0,805</w:t>
            </w:r>
          </w:p>
        </w:tc>
        <w:tc>
          <w:tcPr>
            <w:tcW w:w="1212" w:type="dxa"/>
            <w:tcBorders>
              <w:top w:val="nil"/>
              <w:left w:val="nil"/>
              <w:bottom w:val="nil"/>
              <w:right w:val="nil"/>
            </w:tcBorders>
            <w:shd w:val="clear" w:color="auto" w:fill="auto"/>
            <w:noWrap/>
            <w:vAlign w:val="center"/>
            <w:hideMark/>
          </w:tcPr>
          <w:p w14:paraId="70EFBE4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0,449</w:t>
            </w:r>
          </w:p>
        </w:tc>
        <w:tc>
          <w:tcPr>
            <w:tcW w:w="1074" w:type="dxa"/>
            <w:tcBorders>
              <w:top w:val="nil"/>
              <w:left w:val="nil"/>
              <w:bottom w:val="nil"/>
              <w:right w:val="single" w:sz="4" w:space="0" w:color="auto"/>
            </w:tcBorders>
            <w:shd w:val="clear" w:color="auto" w:fill="auto"/>
            <w:noWrap/>
            <w:vAlign w:val="center"/>
            <w:hideMark/>
          </w:tcPr>
          <w:p w14:paraId="38634E2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0,484</w:t>
            </w:r>
          </w:p>
        </w:tc>
      </w:tr>
      <w:tr w:rsidR="00AE1642" w:rsidRPr="00F657F3" w14:paraId="6E487EB1"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63A30B01"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Gria1</w:t>
            </w:r>
          </w:p>
        </w:tc>
        <w:tc>
          <w:tcPr>
            <w:tcW w:w="1084" w:type="dxa"/>
            <w:tcBorders>
              <w:top w:val="nil"/>
              <w:left w:val="nil"/>
              <w:bottom w:val="nil"/>
              <w:right w:val="nil"/>
            </w:tcBorders>
            <w:shd w:val="clear" w:color="auto" w:fill="auto"/>
            <w:noWrap/>
            <w:vAlign w:val="center"/>
            <w:hideMark/>
          </w:tcPr>
          <w:p w14:paraId="00EA16E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0,763</w:t>
            </w:r>
          </w:p>
        </w:tc>
        <w:tc>
          <w:tcPr>
            <w:tcW w:w="1164" w:type="dxa"/>
            <w:tcBorders>
              <w:top w:val="nil"/>
              <w:left w:val="nil"/>
              <w:bottom w:val="nil"/>
              <w:right w:val="nil"/>
            </w:tcBorders>
            <w:shd w:val="clear" w:color="auto" w:fill="auto"/>
            <w:noWrap/>
            <w:vAlign w:val="center"/>
            <w:hideMark/>
          </w:tcPr>
          <w:p w14:paraId="2F7C96B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0,263</w:t>
            </w:r>
          </w:p>
        </w:tc>
        <w:tc>
          <w:tcPr>
            <w:tcW w:w="1088" w:type="dxa"/>
            <w:tcBorders>
              <w:top w:val="nil"/>
              <w:left w:val="nil"/>
              <w:bottom w:val="nil"/>
              <w:right w:val="nil"/>
            </w:tcBorders>
            <w:shd w:val="clear" w:color="000000" w:fill="FFC7CE"/>
            <w:noWrap/>
            <w:vAlign w:val="center"/>
            <w:hideMark/>
          </w:tcPr>
          <w:p w14:paraId="59AE0627" w14:textId="77777777" w:rsidR="00AE1642" w:rsidRPr="00F657F3" w:rsidRDefault="00AE1642" w:rsidP="00786C11">
            <w:pPr>
              <w:spacing w:after="0" w:line="240" w:lineRule="auto"/>
              <w:jc w:val="center"/>
              <w:rPr>
                <w:rFonts w:ascii="Calibri" w:eastAsia="Times New Roman" w:hAnsi="Calibri" w:cs="Times New Roman"/>
                <w:color w:val="9C0006"/>
                <w:lang w:eastAsia="es-ES"/>
              </w:rPr>
            </w:pPr>
            <w:r w:rsidRPr="00F657F3">
              <w:rPr>
                <w:rFonts w:ascii="Calibri" w:eastAsia="Times New Roman" w:hAnsi="Calibri" w:cs="Times New Roman"/>
                <w:color w:val="9C0006"/>
                <w:lang w:eastAsia="es-ES"/>
              </w:rPr>
              <w:t>0,035</w:t>
            </w:r>
          </w:p>
        </w:tc>
        <w:tc>
          <w:tcPr>
            <w:tcW w:w="1305" w:type="dxa"/>
            <w:tcBorders>
              <w:top w:val="nil"/>
              <w:left w:val="nil"/>
              <w:bottom w:val="nil"/>
              <w:right w:val="nil"/>
            </w:tcBorders>
            <w:shd w:val="clear" w:color="auto" w:fill="auto"/>
            <w:noWrap/>
            <w:vAlign w:val="center"/>
            <w:hideMark/>
          </w:tcPr>
          <w:p w14:paraId="042EE33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0,792</w:t>
            </w:r>
          </w:p>
        </w:tc>
        <w:tc>
          <w:tcPr>
            <w:tcW w:w="1001" w:type="dxa"/>
            <w:tcBorders>
              <w:top w:val="nil"/>
              <w:left w:val="single" w:sz="4" w:space="0" w:color="auto"/>
              <w:bottom w:val="nil"/>
              <w:right w:val="nil"/>
            </w:tcBorders>
            <w:shd w:val="clear" w:color="auto" w:fill="auto"/>
            <w:noWrap/>
            <w:vAlign w:val="center"/>
            <w:hideMark/>
          </w:tcPr>
          <w:p w14:paraId="15CEA8D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0,913</w:t>
            </w:r>
          </w:p>
        </w:tc>
        <w:tc>
          <w:tcPr>
            <w:tcW w:w="1074" w:type="dxa"/>
            <w:tcBorders>
              <w:top w:val="nil"/>
              <w:left w:val="nil"/>
              <w:bottom w:val="nil"/>
              <w:right w:val="nil"/>
            </w:tcBorders>
            <w:shd w:val="clear" w:color="000000" w:fill="FFC7CE"/>
            <w:noWrap/>
            <w:vAlign w:val="center"/>
            <w:hideMark/>
          </w:tcPr>
          <w:p w14:paraId="34310CDD" w14:textId="77777777" w:rsidR="00AE1642" w:rsidRPr="00F657F3" w:rsidRDefault="00AE1642" w:rsidP="00786C11">
            <w:pPr>
              <w:spacing w:after="0" w:line="240" w:lineRule="auto"/>
              <w:jc w:val="center"/>
              <w:rPr>
                <w:rFonts w:ascii="Calibri" w:eastAsia="Times New Roman" w:hAnsi="Calibri" w:cs="Times New Roman"/>
                <w:color w:val="9C0006"/>
                <w:lang w:eastAsia="es-ES"/>
              </w:rPr>
            </w:pPr>
            <w:r w:rsidRPr="00F657F3">
              <w:rPr>
                <w:rFonts w:ascii="Calibri" w:eastAsia="Times New Roman" w:hAnsi="Calibri" w:cs="Times New Roman"/>
                <w:color w:val="9C0006"/>
                <w:lang w:eastAsia="es-ES"/>
              </w:rPr>
              <w:t>0,040</w:t>
            </w:r>
          </w:p>
        </w:tc>
        <w:tc>
          <w:tcPr>
            <w:tcW w:w="1212" w:type="dxa"/>
            <w:tcBorders>
              <w:top w:val="nil"/>
              <w:left w:val="nil"/>
              <w:bottom w:val="nil"/>
              <w:right w:val="nil"/>
            </w:tcBorders>
            <w:shd w:val="clear" w:color="auto" w:fill="auto"/>
            <w:noWrap/>
            <w:vAlign w:val="center"/>
            <w:hideMark/>
          </w:tcPr>
          <w:p w14:paraId="58C7474F"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0,351</w:t>
            </w:r>
          </w:p>
        </w:tc>
        <w:tc>
          <w:tcPr>
            <w:tcW w:w="1074" w:type="dxa"/>
            <w:tcBorders>
              <w:top w:val="nil"/>
              <w:left w:val="nil"/>
              <w:bottom w:val="nil"/>
              <w:right w:val="single" w:sz="4" w:space="0" w:color="auto"/>
            </w:tcBorders>
            <w:shd w:val="clear" w:color="auto" w:fill="auto"/>
            <w:noWrap/>
            <w:vAlign w:val="center"/>
            <w:hideMark/>
          </w:tcPr>
          <w:p w14:paraId="7007976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0,848</w:t>
            </w:r>
          </w:p>
        </w:tc>
      </w:tr>
      <w:tr w:rsidR="00AE1642" w:rsidRPr="00F657F3" w14:paraId="4126624C"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6E314DB3"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Gria2</w:t>
            </w:r>
          </w:p>
        </w:tc>
        <w:tc>
          <w:tcPr>
            <w:tcW w:w="1084" w:type="dxa"/>
            <w:tcBorders>
              <w:top w:val="nil"/>
              <w:left w:val="nil"/>
              <w:bottom w:val="nil"/>
              <w:right w:val="nil"/>
            </w:tcBorders>
            <w:shd w:val="clear" w:color="auto" w:fill="auto"/>
            <w:noWrap/>
            <w:vAlign w:val="center"/>
            <w:hideMark/>
          </w:tcPr>
          <w:p w14:paraId="747EC08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0,711</w:t>
            </w:r>
          </w:p>
        </w:tc>
        <w:tc>
          <w:tcPr>
            <w:tcW w:w="1164" w:type="dxa"/>
            <w:tcBorders>
              <w:top w:val="nil"/>
              <w:left w:val="nil"/>
              <w:bottom w:val="nil"/>
              <w:right w:val="nil"/>
            </w:tcBorders>
            <w:shd w:val="clear" w:color="auto" w:fill="auto"/>
            <w:noWrap/>
            <w:vAlign w:val="center"/>
            <w:hideMark/>
          </w:tcPr>
          <w:p w14:paraId="3DAD595B"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0,792</w:t>
            </w:r>
          </w:p>
        </w:tc>
        <w:tc>
          <w:tcPr>
            <w:tcW w:w="1088" w:type="dxa"/>
            <w:tcBorders>
              <w:top w:val="nil"/>
              <w:left w:val="nil"/>
              <w:bottom w:val="nil"/>
              <w:right w:val="nil"/>
            </w:tcBorders>
            <w:shd w:val="clear" w:color="auto" w:fill="auto"/>
            <w:noWrap/>
            <w:vAlign w:val="center"/>
            <w:hideMark/>
          </w:tcPr>
          <w:p w14:paraId="3E49CF33"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0,157</w:t>
            </w:r>
          </w:p>
        </w:tc>
        <w:tc>
          <w:tcPr>
            <w:tcW w:w="1305" w:type="dxa"/>
            <w:tcBorders>
              <w:top w:val="nil"/>
              <w:left w:val="nil"/>
              <w:bottom w:val="nil"/>
              <w:right w:val="nil"/>
            </w:tcBorders>
            <w:shd w:val="clear" w:color="auto" w:fill="auto"/>
            <w:noWrap/>
            <w:vAlign w:val="center"/>
            <w:hideMark/>
          </w:tcPr>
          <w:p w14:paraId="309EBAE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0,915</w:t>
            </w:r>
          </w:p>
        </w:tc>
        <w:tc>
          <w:tcPr>
            <w:tcW w:w="1001" w:type="dxa"/>
            <w:tcBorders>
              <w:top w:val="nil"/>
              <w:left w:val="single" w:sz="4" w:space="0" w:color="auto"/>
              <w:bottom w:val="nil"/>
              <w:right w:val="nil"/>
            </w:tcBorders>
            <w:shd w:val="clear" w:color="auto" w:fill="auto"/>
            <w:noWrap/>
            <w:vAlign w:val="center"/>
            <w:hideMark/>
          </w:tcPr>
          <w:p w14:paraId="5474446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0,732</w:t>
            </w:r>
          </w:p>
        </w:tc>
        <w:tc>
          <w:tcPr>
            <w:tcW w:w="1074" w:type="dxa"/>
            <w:tcBorders>
              <w:top w:val="nil"/>
              <w:left w:val="nil"/>
              <w:bottom w:val="nil"/>
              <w:right w:val="nil"/>
            </w:tcBorders>
            <w:shd w:val="clear" w:color="auto" w:fill="auto"/>
            <w:noWrap/>
            <w:vAlign w:val="center"/>
            <w:hideMark/>
          </w:tcPr>
          <w:p w14:paraId="0B70BDC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0,938</w:t>
            </w:r>
          </w:p>
        </w:tc>
        <w:tc>
          <w:tcPr>
            <w:tcW w:w="1212" w:type="dxa"/>
            <w:tcBorders>
              <w:top w:val="nil"/>
              <w:left w:val="nil"/>
              <w:bottom w:val="nil"/>
              <w:right w:val="nil"/>
            </w:tcBorders>
            <w:shd w:val="clear" w:color="auto" w:fill="auto"/>
            <w:noWrap/>
            <w:vAlign w:val="center"/>
            <w:hideMark/>
          </w:tcPr>
          <w:p w14:paraId="7F2DEC2F"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0,518</w:t>
            </w:r>
          </w:p>
        </w:tc>
        <w:tc>
          <w:tcPr>
            <w:tcW w:w="1074" w:type="dxa"/>
            <w:tcBorders>
              <w:top w:val="nil"/>
              <w:left w:val="nil"/>
              <w:bottom w:val="nil"/>
              <w:right w:val="single" w:sz="4" w:space="0" w:color="auto"/>
            </w:tcBorders>
            <w:shd w:val="clear" w:color="auto" w:fill="auto"/>
            <w:noWrap/>
            <w:vAlign w:val="center"/>
            <w:hideMark/>
          </w:tcPr>
          <w:p w14:paraId="1FCAC64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0,672</w:t>
            </w:r>
          </w:p>
        </w:tc>
      </w:tr>
      <w:tr w:rsidR="00AE1642" w:rsidRPr="00F657F3" w14:paraId="33B3736D"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7895CDC8"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Gabrg2</w:t>
            </w:r>
          </w:p>
        </w:tc>
        <w:tc>
          <w:tcPr>
            <w:tcW w:w="1084" w:type="dxa"/>
            <w:tcBorders>
              <w:top w:val="nil"/>
              <w:left w:val="nil"/>
              <w:bottom w:val="nil"/>
              <w:right w:val="nil"/>
            </w:tcBorders>
            <w:shd w:val="clear" w:color="auto" w:fill="auto"/>
            <w:noWrap/>
            <w:vAlign w:val="center"/>
            <w:hideMark/>
          </w:tcPr>
          <w:p w14:paraId="2604592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0,485</w:t>
            </w:r>
          </w:p>
        </w:tc>
        <w:tc>
          <w:tcPr>
            <w:tcW w:w="1164" w:type="dxa"/>
            <w:tcBorders>
              <w:top w:val="nil"/>
              <w:left w:val="nil"/>
              <w:bottom w:val="nil"/>
              <w:right w:val="nil"/>
            </w:tcBorders>
            <w:shd w:val="clear" w:color="auto" w:fill="auto"/>
            <w:noWrap/>
            <w:vAlign w:val="center"/>
            <w:hideMark/>
          </w:tcPr>
          <w:p w14:paraId="0FDC415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0,933</w:t>
            </w:r>
          </w:p>
        </w:tc>
        <w:tc>
          <w:tcPr>
            <w:tcW w:w="1088" w:type="dxa"/>
            <w:tcBorders>
              <w:top w:val="nil"/>
              <w:left w:val="nil"/>
              <w:bottom w:val="nil"/>
              <w:right w:val="nil"/>
            </w:tcBorders>
            <w:shd w:val="clear" w:color="auto" w:fill="auto"/>
            <w:noWrap/>
            <w:vAlign w:val="center"/>
            <w:hideMark/>
          </w:tcPr>
          <w:p w14:paraId="0FC3BE9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0,100</w:t>
            </w:r>
          </w:p>
        </w:tc>
        <w:tc>
          <w:tcPr>
            <w:tcW w:w="1305" w:type="dxa"/>
            <w:tcBorders>
              <w:top w:val="nil"/>
              <w:left w:val="nil"/>
              <w:bottom w:val="nil"/>
              <w:right w:val="nil"/>
            </w:tcBorders>
            <w:shd w:val="clear" w:color="auto" w:fill="auto"/>
            <w:noWrap/>
            <w:vAlign w:val="center"/>
            <w:hideMark/>
          </w:tcPr>
          <w:p w14:paraId="63725BDF"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0,981</w:t>
            </w:r>
          </w:p>
        </w:tc>
        <w:tc>
          <w:tcPr>
            <w:tcW w:w="1001" w:type="dxa"/>
            <w:tcBorders>
              <w:top w:val="nil"/>
              <w:left w:val="single" w:sz="4" w:space="0" w:color="auto"/>
              <w:bottom w:val="nil"/>
              <w:right w:val="nil"/>
            </w:tcBorders>
            <w:shd w:val="clear" w:color="auto" w:fill="auto"/>
            <w:noWrap/>
            <w:vAlign w:val="center"/>
            <w:hideMark/>
          </w:tcPr>
          <w:p w14:paraId="353B77B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0,845</w:t>
            </w:r>
          </w:p>
        </w:tc>
        <w:tc>
          <w:tcPr>
            <w:tcW w:w="1074" w:type="dxa"/>
            <w:tcBorders>
              <w:top w:val="nil"/>
              <w:left w:val="nil"/>
              <w:bottom w:val="nil"/>
              <w:right w:val="nil"/>
            </w:tcBorders>
            <w:shd w:val="clear" w:color="auto" w:fill="auto"/>
            <w:noWrap/>
            <w:vAlign w:val="center"/>
            <w:hideMark/>
          </w:tcPr>
          <w:p w14:paraId="456D85E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0,609</w:t>
            </w:r>
          </w:p>
        </w:tc>
        <w:tc>
          <w:tcPr>
            <w:tcW w:w="1212" w:type="dxa"/>
            <w:tcBorders>
              <w:top w:val="nil"/>
              <w:left w:val="nil"/>
              <w:bottom w:val="nil"/>
              <w:right w:val="nil"/>
            </w:tcBorders>
            <w:shd w:val="clear" w:color="auto" w:fill="auto"/>
            <w:noWrap/>
            <w:vAlign w:val="center"/>
            <w:hideMark/>
          </w:tcPr>
          <w:p w14:paraId="15B776AB"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0,231</w:t>
            </w:r>
          </w:p>
        </w:tc>
        <w:tc>
          <w:tcPr>
            <w:tcW w:w="1074" w:type="dxa"/>
            <w:tcBorders>
              <w:top w:val="nil"/>
              <w:left w:val="nil"/>
              <w:bottom w:val="nil"/>
              <w:right w:val="single" w:sz="4" w:space="0" w:color="auto"/>
            </w:tcBorders>
            <w:shd w:val="clear" w:color="auto" w:fill="auto"/>
            <w:noWrap/>
            <w:vAlign w:val="center"/>
            <w:hideMark/>
          </w:tcPr>
          <w:p w14:paraId="3A503FF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0,784</w:t>
            </w:r>
          </w:p>
        </w:tc>
      </w:tr>
      <w:tr w:rsidR="00AE1642" w:rsidRPr="00F657F3" w14:paraId="647C3045" w14:textId="77777777" w:rsidTr="00786C11">
        <w:trPr>
          <w:trHeight w:val="30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065FDE04"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proofErr w:type="spellStart"/>
            <w:r w:rsidRPr="00F657F3">
              <w:rPr>
                <w:rFonts w:ascii="Calibri" w:eastAsia="Times New Roman" w:hAnsi="Calibri" w:cs="Times New Roman"/>
                <w:i/>
                <w:iCs/>
                <w:color w:val="000000"/>
                <w:lang w:eastAsia="es-ES"/>
              </w:rPr>
              <w:t>Gabrd</w:t>
            </w:r>
            <w:proofErr w:type="spellEnd"/>
          </w:p>
        </w:tc>
        <w:tc>
          <w:tcPr>
            <w:tcW w:w="1084" w:type="dxa"/>
            <w:tcBorders>
              <w:top w:val="nil"/>
              <w:left w:val="nil"/>
              <w:bottom w:val="nil"/>
              <w:right w:val="nil"/>
            </w:tcBorders>
            <w:shd w:val="clear" w:color="auto" w:fill="auto"/>
            <w:noWrap/>
            <w:vAlign w:val="center"/>
            <w:hideMark/>
          </w:tcPr>
          <w:p w14:paraId="26D4E28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0,338</w:t>
            </w:r>
          </w:p>
        </w:tc>
        <w:tc>
          <w:tcPr>
            <w:tcW w:w="1164" w:type="dxa"/>
            <w:tcBorders>
              <w:top w:val="nil"/>
              <w:left w:val="nil"/>
              <w:bottom w:val="nil"/>
              <w:right w:val="nil"/>
            </w:tcBorders>
            <w:shd w:val="clear" w:color="auto" w:fill="auto"/>
            <w:noWrap/>
            <w:vAlign w:val="center"/>
            <w:hideMark/>
          </w:tcPr>
          <w:p w14:paraId="5002E27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0,933</w:t>
            </w:r>
          </w:p>
        </w:tc>
        <w:tc>
          <w:tcPr>
            <w:tcW w:w="1088" w:type="dxa"/>
            <w:tcBorders>
              <w:top w:val="nil"/>
              <w:left w:val="nil"/>
              <w:bottom w:val="nil"/>
              <w:right w:val="nil"/>
            </w:tcBorders>
            <w:shd w:val="clear" w:color="auto" w:fill="auto"/>
            <w:noWrap/>
            <w:vAlign w:val="center"/>
            <w:hideMark/>
          </w:tcPr>
          <w:p w14:paraId="19B669B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0,660</w:t>
            </w:r>
          </w:p>
        </w:tc>
        <w:tc>
          <w:tcPr>
            <w:tcW w:w="1305" w:type="dxa"/>
            <w:tcBorders>
              <w:top w:val="nil"/>
              <w:left w:val="nil"/>
              <w:bottom w:val="nil"/>
              <w:right w:val="nil"/>
            </w:tcBorders>
            <w:shd w:val="clear" w:color="auto" w:fill="auto"/>
            <w:noWrap/>
            <w:vAlign w:val="center"/>
            <w:hideMark/>
          </w:tcPr>
          <w:p w14:paraId="06014DD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0,905</w:t>
            </w:r>
          </w:p>
        </w:tc>
        <w:tc>
          <w:tcPr>
            <w:tcW w:w="1001" w:type="dxa"/>
            <w:tcBorders>
              <w:top w:val="nil"/>
              <w:left w:val="single" w:sz="4" w:space="0" w:color="auto"/>
              <w:bottom w:val="nil"/>
              <w:right w:val="nil"/>
            </w:tcBorders>
            <w:shd w:val="clear" w:color="auto" w:fill="auto"/>
            <w:noWrap/>
            <w:vAlign w:val="center"/>
            <w:hideMark/>
          </w:tcPr>
          <w:p w14:paraId="7B14273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0,177</w:t>
            </w:r>
          </w:p>
        </w:tc>
        <w:tc>
          <w:tcPr>
            <w:tcW w:w="1074" w:type="dxa"/>
            <w:tcBorders>
              <w:top w:val="nil"/>
              <w:left w:val="nil"/>
              <w:bottom w:val="nil"/>
              <w:right w:val="nil"/>
            </w:tcBorders>
            <w:shd w:val="clear" w:color="auto" w:fill="auto"/>
            <w:noWrap/>
            <w:vAlign w:val="center"/>
            <w:hideMark/>
          </w:tcPr>
          <w:p w14:paraId="4F3066D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0,815</w:t>
            </w:r>
          </w:p>
        </w:tc>
        <w:tc>
          <w:tcPr>
            <w:tcW w:w="1212" w:type="dxa"/>
            <w:tcBorders>
              <w:top w:val="nil"/>
              <w:left w:val="nil"/>
              <w:bottom w:val="nil"/>
              <w:right w:val="nil"/>
            </w:tcBorders>
            <w:shd w:val="clear" w:color="auto" w:fill="auto"/>
            <w:noWrap/>
            <w:vAlign w:val="center"/>
            <w:hideMark/>
          </w:tcPr>
          <w:p w14:paraId="0EE5BFBD"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0,902</w:t>
            </w:r>
          </w:p>
        </w:tc>
        <w:tc>
          <w:tcPr>
            <w:tcW w:w="1074" w:type="dxa"/>
            <w:tcBorders>
              <w:top w:val="nil"/>
              <w:left w:val="nil"/>
              <w:bottom w:val="nil"/>
              <w:right w:val="single" w:sz="4" w:space="0" w:color="auto"/>
            </w:tcBorders>
            <w:shd w:val="clear" w:color="auto" w:fill="auto"/>
            <w:noWrap/>
            <w:vAlign w:val="center"/>
            <w:hideMark/>
          </w:tcPr>
          <w:p w14:paraId="1EF97EA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0,646</w:t>
            </w:r>
          </w:p>
        </w:tc>
      </w:tr>
      <w:tr w:rsidR="00AE1642" w:rsidRPr="00F657F3" w14:paraId="0E813857" w14:textId="77777777" w:rsidTr="00786C11">
        <w:trPr>
          <w:trHeight w:val="30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0B54A6FA"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Gabra1</w:t>
            </w:r>
          </w:p>
        </w:tc>
        <w:tc>
          <w:tcPr>
            <w:tcW w:w="1084" w:type="dxa"/>
            <w:tcBorders>
              <w:top w:val="nil"/>
              <w:left w:val="nil"/>
              <w:bottom w:val="nil"/>
              <w:right w:val="nil"/>
            </w:tcBorders>
            <w:shd w:val="clear" w:color="auto" w:fill="auto"/>
            <w:noWrap/>
            <w:vAlign w:val="center"/>
            <w:hideMark/>
          </w:tcPr>
          <w:p w14:paraId="49968B7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0,636</w:t>
            </w:r>
          </w:p>
        </w:tc>
        <w:tc>
          <w:tcPr>
            <w:tcW w:w="1164" w:type="dxa"/>
            <w:tcBorders>
              <w:top w:val="nil"/>
              <w:left w:val="nil"/>
              <w:bottom w:val="nil"/>
              <w:right w:val="nil"/>
            </w:tcBorders>
            <w:shd w:val="clear" w:color="auto" w:fill="auto"/>
            <w:noWrap/>
            <w:vAlign w:val="center"/>
            <w:hideMark/>
          </w:tcPr>
          <w:p w14:paraId="2F71AC2D"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0,559</w:t>
            </w:r>
          </w:p>
        </w:tc>
        <w:tc>
          <w:tcPr>
            <w:tcW w:w="1088" w:type="dxa"/>
            <w:tcBorders>
              <w:top w:val="single" w:sz="8" w:space="0" w:color="C00000"/>
              <w:left w:val="single" w:sz="8" w:space="0" w:color="C00000"/>
              <w:bottom w:val="single" w:sz="8" w:space="0" w:color="C00000"/>
              <w:right w:val="single" w:sz="8" w:space="0" w:color="C00000"/>
            </w:tcBorders>
            <w:shd w:val="clear" w:color="000000" w:fill="FFC7CE"/>
            <w:noWrap/>
            <w:vAlign w:val="center"/>
            <w:hideMark/>
          </w:tcPr>
          <w:p w14:paraId="36E7008E" w14:textId="77777777" w:rsidR="00AE1642" w:rsidRPr="00F657F3" w:rsidRDefault="00AE1642" w:rsidP="00786C11">
            <w:pPr>
              <w:spacing w:after="0" w:line="240" w:lineRule="auto"/>
              <w:jc w:val="center"/>
              <w:rPr>
                <w:rFonts w:ascii="Calibri" w:eastAsia="Times New Roman" w:hAnsi="Calibri" w:cs="Times New Roman"/>
                <w:b/>
                <w:bCs/>
                <w:color w:val="9C0006"/>
                <w:lang w:eastAsia="es-ES"/>
              </w:rPr>
            </w:pPr>
            <w:r w:rsidRPr="00F657F3">
              <w:rPr>
                <w:rFonts w:ascii="Calibri" w:eastAsia="Times New Roman" w:hAnsi="Calibri" w:cs="Times New Roman"/>
                <w:b/>
                <w:bCs/>
                <w:color w:val="9C0006"/>
                <w:lang w:eastAsia="es-ES"/>
              </w:rPr>
              <w:t>0,006</w:t>
            </w:r>
          </w:p>
        </w:tc>
        <w:tc>
          <w:tcPr>
            <w:tcW w:w="1305" w:type="dxa"/>
            <w:tcBorders>
              <w:top w:val="nil"/>
              <w:left w:val="nil"/>
              <w:bottom w:val="nil"/>
              <w:right w:val="nil"/>
            </w:tcBorders>
            <w:shd w:val="clear" w:color="auto" w:fill="auto"/>
            <w:noWrap/>
            <w:vAlign w:val="center"/>
            <w:hideMark/>
          </w:tcPr>
          <w:p w14:paraId="570D28F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0,394</w:t>
            </w:r>
          </w:p>
        </w:tc>
        <w:tc>
          <w:tcPr>
            <w:tcW w:w="1001" w:type="dxa"/>
            <w:tcBorders>
              <w:top w:val="nil"/>
              <w:left w:val="single" w:sz="4" w:space="0" w:color="auto"/>
              <w:bottom w:val="nil"/>
              <w:right w:val="nil"/>
            </w:tcBorders>
            <w:shd w:val="clear" w:color="auto" w:fill="auto"/>
            <w:noWrap/>
            <w:vAlign w:val="center"/>
            <w:hideMark/>
          </w:tcPr>
          <w:p w14:paraId="2EEA773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0,889</w:t>
            </w:r>
          </w:p>
        </w:tc>
        <w:tc>
          <w:tcPr>
            <w:tcW w:w="1074" w:type="dxa"/>
            <w:tcBorders>
              <w:top w:val="nil"/>
              <w:left w:val="nil"/>
              <w:bottom w:val="nil"/>
              <w:right w:val="nil"/>
            </w:tcBorders>
            <w:shd w:val="clear" w:color="auto" w:fill="auto"/>
            <w:noWrap/>
            <w:vAlign w:val="center"/>
            <w:hideMark/>
          </w:tcPr>
          <w:p w14:paraId="73EC0B6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0,223</w:t>
            </w:r>
          </w:p>
        </w:tc>
        <w:tc>
          <w:tcPr>
            <w:tcW w:w="1212" w:type="dxa"/>
            <w:tcBorders>
              <w:top w:val="nil"/>
              <w:left w:val="nil"/>
              <w:bottom w:val="nil"/>
              <w:right w:val="nil"/>
            </w:tcBorders>
            <w:shd w:val="clear" w:color="000000" w:fill="FFC7CE"/>
            <w:noWrap/>
            <w:vAlign w:val="center"/>
            <w:hideMark/>
          </w:tcPr>
          <w:p w14:paraId="417EAF35" w14:textId="77777777" w:rsidR="00AE1642" w:rsidRPr="00F657F3" w:rsidRDefault="00AE1642" w:rsidP="00786C11">
            <w:pPr>
              <w:spacing w:after="0" w:line="240" w:lineRule="auto"/>
              <w:jc w:val="center"/>
              <w:rPr>
                <w:rFonts w:ascii="Calibri" w:eastAsia="Times New Roman" w:hAnsi="Calibri" w:cs="Times New Roman"/>
                <w:color w:val="9C0006"/>
                <w:lang w:eastAsia="es-ES"/>
              </w:rPr>
            </w:pPr>
            <w:r w:rsidRPr="00F657F3">
              <w:rPr>
                <w:rFonts w:ascii="Calibri" w:eastAsia="Times New Roman" w:hAnsi="Calibri" w:cs="Times New Roman"/>
                <w:color w:val="9C0006"/>
                <w:lang w:eastAsia="es-ES"/>
              </w:rPr>
              <w:t>0,0498</w:t>
            </w:r>
          </w:p>
        </w:tc>
        <w:tc>
          <w:tcPr>
            <w:tcW w:w="1074" w:type="dxa"/>
            <w:tcBorders>
              <w:top w:val="nil"/>
              <w:left w:val="nil"/>
              <w:bottom w:val="nil"/>
              <w:right w:val="single" w:sz="4" w:space="0" w:color="auto"/>
            </w:tcBorders>
            <w:shd w:val="clear" w:color="auto" w:fill="auto"/>
            <w:noWrap/>
            <w:vAlign w:val="center"/>
            <w:hideMark/>
          </w:tcPr>
          <w:p w14:paraId="34146C08"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0,585</w:t>
            </w:r>
          </w:p>
        </w:tc>
      </w:tr>
      <w:tr w:rsidR="00AE1642" w:rsidRPr="00F657F3" w14:paraId="393249D5" w14:textId="77777777" w:rsidTr="00786C11">
        <w:trPr>
          <w:trHeight w:val="30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0E5B1562"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Gabra2</w:t>
            </w:r>
          </w:p>
        </w:tc>
        <w:tc>
          <w:tcPr>
            <w:tcW w:w="1084" w:type="dxa"/>
            <w:tcBorders>
              <w:top w:val="nil"/>
              <w:left w:val="nil"/>
              <w:bottom w:val="nil"/>
              <w:right w:val="nil"/>
            </w:tcBorders>
            <w:shd w:val="clear" w:color="auto" w:fill="auto"/>
            <w:noWrap/>
            <w:vAlign w:val="center"/>
            <w:hideMark/>
          </w:tcPr>
          <w:p w14:paraId="575017C8"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0,836</w:t>
            </w:r>
          </w:p>
        </w:tc>
        <w:tc>
          <w:tcPr>
            <w:tcW w:w="1164" w:type="dxa"/>
            <w:tcBorders>
              <w:top w:val="nil"/>
              <w:left w:val="nil"/>
              <w:bottom w:val="single" w:sz="8" w:space="0" w:color="C00000"/>
              <w:right w:val="nil"/>
            </w:tcBorders>
            <w:shd w:val="clear" w:color="auto" w:fill="auto"/>
            <w:noWrap/>
            <w:vAlign w:val="center"/>
            <w:hideMark/>
          </w:tcPr>
          <w:p w14:paraId="36AD42ED"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0,886</w:t>
            </w:r>
          </w:p>
        </w:tc>
        <w:tc>
          <w:tcPr>
            <w:tcW w:w="1088" w:type="dxa"/>
            <w:tcBorders>
              <w:top w:val="nil"/>
              <w:left w:val="nil"/>
              <w:bottom w:val="nil"/>
              <w:right w:val="nil"/>
            </w:tcBorders>
            <w:shd w:val="clear" w:color="auto" w:fill="auto"/>
            <w:noWrap/>
            <w:vAlign w:val="center"/>
            <w:hideMark/>
          </w:tcPr>
          <w:p w14:paraId="2FED4DD3"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0,558</w:t>
            </w:r>
          </w:p>
        </w:tc>
        <w:tc>
          <w:tcPr>
            <w:tcW w:w="1305" w:type="dxa"/>
            <w:tcBorders>
              <w:top w:val="nil"/>
              <w:left w:val="nil"/>
              <w:bottom w:val="nil"/>
              <w:right w:val="nil"/>
            </w:tcBorders>
            <w:shd w:val="clear" w:color="auto" w:fill="auto"/>
            <w:noWrap/>
            <w:vAlign w:val="center"/>
            <w:hideMark/>
          </w:tcPr>
          <w:p w14:paraId="3DCF555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0,832</w:t>
            </w:r>
          </w:p>
        </w:tc>
        <w:tc>
          <w:tcPr>
            <w:tcW w:w="1001" w:type="dxa"/>
            <w:tcBorders>
              <w:top w:val="nil"/>
              <w:left w:val="single" w:sz="4" w:space="0" w:color="auto"/>
              <w:bottom w:val="nil"/>
              <w:right w:val="nil"/>
            </w:tcBorders>
            <w:shd w:val="clear" w:color="auto" w:fill="auto"/>
            <w:noWrap/>
            <w:vAlign w:val="center"/>
            <w:hideMark/>
          </w:tcPr>
          <w:p w14:paraId="5608F11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0,835</w:t>
            </w:r>
          </w:p>
        </w:tc>
        <w:tc>
          <w:tcPr>
            <w:tcW w:w="1074" w:type="dxa"/>
            <w:tcBorders>
              <w:top w:val="nil"/>
              <w:left w:val="nil"/>
              <w:bottom w:val="nil"/>
              <w:right w:val="nil"/>
            </w:tcBorders>
            <w:shd w:val="clear" w:color="auto" w:fill="auto"/>
            <w:noWrap/>
            <w:vAlign w:val="center"/>
            <w:hideMark/>
          </w:tcPr>
          <w:p w14:paraId="301527E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0,820</w:t>
            </w:r>
          </w:p>
        </w:tc>
        <w:tc>
          <w:tcPr>
            <w:tcW w:w="1212" w:type="dxa"/>
            <w:tcBorders>
              <w:top w:val="nil"/>
              <w:left w:val="nil"/>
              <w:bottom w:val="nil"/>
              <w:right w:val="nil"/>
            </w:tcBorders>
            <w:shd w:val="clear" w:color="auto" w:fill="auto"/>
            <w:noWrap/>
            <w:vAlign w:val="center"/>
            <w:hideMark/>
          </w:tcPr>
          <w:p w14:paraId="36A916D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0,811</w:t>
            </w:r>
          </w:p>
        </w:tc>
        <w:tc>
          <w:tcPr>
            <w:tcW w:w="1074" w:type="dxa"/>
            <w:tcBorders>
              <w:top w:val="nil"/>
              <w:left w:val="nil"/>
              <w:bottom w:val="nil"/>
              <w:right w:val="single" w:sz="4" w:space="0" w:color="auto"/>
            </w:tcBorders>
            <w:shd w:val="clear" w:color="auto" w:fill="auto"/>
            <w:noWrap/>
            <w:vAlign w:val="center"/>
            <w:hideMark/>
          </w:tcPr>
          <w:p w14:paraId="0FDD55D3"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0,744</w:t>
            </w:r>
          </w:p>
        </w:tc>
      </w:tr>
      <w:tr w:rsidR="00AE1642" w:rsidRPr="00F657F3" w14:paraId="7057FD83" w14:textId="77777777" w:rsidTr="00786C11">
        <w:trPr>
          <w:trHeight w:val="30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59474379"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r w:rsidRPr="00F657F3">
              <w:rPr>
                <w:rFonts w:ascii="Calibri" w:eastAsia="Times New Roman" w:hAnsi="Calibri" w:cs="Times New Roman"/>
                <w:i/>
                <w:iCs/>
                <w:color w:val="000000"/>
                <w:lang w:eastAsia="es-ES"/>
              </w:rPr>
              <w:t>Cnr1</w:t>
            </w:r>
          </w:p>
        </w:tc>
        <w:tc>
          <w:tcPr>
            <w:tcW w:w="1084" w:type="dxa"/>
            <w:tcBorders>
              <w:top w:val="nil"/>
              <w:left w:val="nil"/>
              <w:bottom w:val="nil"/>
              <w:right w:val="nil"/>
            </w:tcBorders>
            <w:shd w:val="clear" w:color="auto" w:fill="auto"/>
            <w:noWrap/>
            <w:vAlign w:val="center"/>
            <w:hideMark/>
          </w:tcPr>
          <w:p w14:paraId="1DF463A8"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0,421</w:t>
            </w:r>
          </w:p>
        </w:tc>
        <w:tc>
          <w:tcPr>
            <w:tcW w:w="1164" w:type="dxa"/>
            <w:tcBorders>
              <w:top w:val="single" w:sz="8" w:space="0" w:color="C00000"/>
              <w:left w:val="single" w:sz="8" w:space="0" w:color="C00000"/>
              <w:bottom w:val="single" w:sz="8" w:space="0" w:color="C00000"/>
              <w:right w:val="single" w:sz="8" w:space="0" w:color="C00000"/>
            </w:tcBorders>
            <w:shd w:val="clear" w:color="000000" w:fill="FFC7CE"/>
            <w:noWrap/>
            <w:vAlign w:val="center"/>
            <w:hideMark/>
          </w:tcPr>
          <w:p w14:paraId="439FF0AF" w14:textId="77777777" w:rsidR="00AE1642" w:rsidRPr="00F657F3" w:rsidRDefault="00AE1642" w:rsidP="00786C11">
            <w:pPr>
              <w:spacing w:after="0" w:line="240" w:lineRule="auto"/>
              <w:jc w:val="center"/>
              <w:rPr>
                <w:rFonts w:ascii="Calibri" w:eastAsia="Times New Roman" w:hAnsi="Calibri" w:cs="Times New Roman"/>
                <w:b/>
                <w:bCs/>
                <w:color w:val="9C0006"/>
                <w:lang w:eastAsia="es-ES"/>
              </w:rPr>
            </w:pPr>
            <w:r w:rsidRPr="00F657F3">
              <w:rPr>
                <w:rFonts w:ascii="Calibri" w:eastAsia="Times New Roman" w:hAnsi="Calibri" w:cs="Times New Roman"/>
                <w:b/>
                <w:bCs/>
                <w:color w:val="9C0006"/>
                <w:lang w:eastAsia="es-ES"/>
              </w:rPr>
              <w:t>0,003</w:t>
            </w:r>
          </w:p>
        </w:tc>
        <w:tc>
          <w:tcPr>
            <w:tcW w:w="1088" w:type="dxa"/>
            <w:tcBorders>
              <w:top w:val="nil"/>
              <w:left w:val="nil"/>
              <w:bottom w:val="nil"/>
              <w:right w:val="nil"/>
            </w:tcBorders>
            <w:shd w:val="clear" w:color="auto" w:fill="auto"/>
            <w:noWrap/>
            <w:vAlign w:val="center"/>
            <w:hideMark/>
          </w:tcPr>
          <w:p w14:paraId="69E13C71"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0,936</w:t>
            </w:r>
          </w:p>
        </w:tc>
        <w:tc>
          <w:tcPr>
            <w:tcW w:w="1305" w:type="dxa"/>
            <w:tcBorders>
              <w:top w:val="nil"/>
              <w:left w:val="nil"/>
              <w:bottom w:val="nil"/>
              <w:right w:val="nil"/>
            </w:tcBorders>
            <w:shd w:val="clear" w:color="auto" w:fill="auto"/>
            <w:noWrap/>
            <w:vAlign w:val="center"/>
            <w:hideMark/>
          </w:tcPr>
          <w:p w14:paraId="00D8B736"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0,609</w:t>
            </w:r>
          </w:p>
        </w:tc>
        <w:tc>
          <w:tcPr>
            <w:tcW w:w="1001" w:type="dxa"/>
            <w:tcBorders>
              <w:top w:val="nil"/>
              <w:left w:val="single" w:sz="4" w:space="0" w:color="auto"/>
              <w:bottom w:val="nil"/>
              <w:right w:val="nil"/>
            </w:tcBorders>
            <w:shd w:val="clear" w:color="auto" w:fill="auto"/>
            <w:noWrap/>
            <w:vAlign w:val="center"/>
            <w:hideMark/>
          </w:tcPr>
          <w:p w14:paraId="14F94546"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0,266</w:t>
            </w:r>
          </w:p>
        </w:tc>
        <w:tc>
          <w:tcPr>
            <w:tcW w:w="1074" w:type="dxa"/>
            <w:tcBorders>
              <w:top w:val="nil"/>
              <w:left w:val="nil"/>
              <w:bottom w:val="nil"/>
              <w:right w:val="nil"/>
            </w:tcBorders>
            <w:shd w:val="clear" w:color="000000" w:fill="FFC7CE"/>
            <w:noWrap/>
            <w:vAlign w:val="center"/>
            <w:hideMark/>
          </w:tcPr>
          <w:p w14:paraId="39E339D1" w14:textId="77777777" w:rsidR="00AE1642" w:rsidRPr="00F657F3" w:rsidRDefault="00AE1642" w:rsidP="00786C11">
            <w:pPr>
              <w:spacing w:after="0" w:line="240" w:lineRule="auto"/>
              <w:jc w:val="center"/>
              <w:rPr>
                <w:rFonts w:ascii="Calibri" w:eastAsia="Times New Roman" w:hAnsi="Calibri" w:cs="Times New Roman"/>
                <w:color w:val="9C0006"/>
                <w:lang w:eastAsia="es-ES"/>
              </w:rPr>
            </w:pPr>
            <w:r w:rsidRPr="00F657F3">
              <w:rPr>
                <w:rFonts w:ascii="Calibri" w:eastAsia="Times New Roman" w:hAnsi="Calibri" w:cs="Times New Roman"/>
                <w:color w:val="9C0006"/>
                <w:lang w:eastAsia="es-ES"/>
              </w:rPr>
              <w:t>0,009</w:t>
            </w:r>
          </w:p>
        </w:tc>
        <w:tc>
          <w:tcPr>
            <w:tcW w:w="1212" w:type="dxa"/>
            <w:tcBorders>
              <w:top w:val="nil"/>
              <w:left w:val="nil"/>
              <w:bottom w:val="nil"/>
              <w:right w:val="nil"/>
            </w:tcBorders>
            <w:shd w:val="clear" w:color="auto" w:fill="auto"/>
            <w:noWrap/>
            <w:vAlign w:val="center"/>
            <w:hideMark/>
          </w:tcPr>
          <w:p w14:paraId="5D2DCC6C"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0,669</w:t>
            </w:r>
          </w:p>
        </w:tc>
        <w:tc>
          <w:tcPr>
            <w:tcW w:w="1074" w:type="dxa"/>
            <w:tcBorders>
              <w:top w:val="nil"/>
              <w:left w:val="nil"/>
              <w:bottom w:val="nil"/>
              <w:right w:val="single" w:sz="4" w:space="0" w:color="auto"/>
            </w:tcBorders>
            <w:shd w:val="clear" w:color="auto" w:fill="auto"/>
            <w:noWrap/>
            <w:vAlign w:val="center"/>
            <w:hideMark/>
          </w:tcPr>
          <w:p w14:paraId="410823F3"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0,324</w:t>
            </w:r>
          </w:p>
        </w:tc>
      </w:tr>
      <w:tr w:rsidR="00AE1642" w:rsidRPr="00F657F3" w14:paraId="5061C6BF"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7AA57B6E"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proofErr w:type="spellStart"/>
            <w:r w:rsidRPr="00F657F3">
              <w:rPr>
                <w:rFonts w:ascii="Calibri" w:eastAsia="Times New Roman" w:hAnsi="Calibri" w:cs="Times New Roman"/>
                <w:i/>
                <w:iCs/>
                <w:color w:val="000000"/>
                <w:lang w:eastAsia="es-ES"/>
              </w:rPr>
              <w:t>Dagla</w:t>
            </w:r>
            <w:proofErr w:type="spellEnd"/>
          </w:p>
        </w:tc>
        <w:tc>
          <w:tcPr>
            <w:tcW w:w="1084" w:type="dxa"/>
            <w:tcBorders>
              <w:top w:val="nil"/>
              <w:left w:val="nil"/>
              <w:bottom w:val="nil"/>
              <w:right w:val="nil"/>
            </w:tcBorders>
            <w:shd w:val="clear" w:color="auto" w:fill="auto"/>
            <w:noWrap/>
            <w:vAlign w:val="center"/>
            <w:hideMark/>
          </w:tcPr>
          <w:p w14:paraId="397D1A1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0,940</w:t>
            </w:r>
          </w:p>
        </w:tc>
        <w:tc>
          <w:tcPr>
            <w:tcW w:w="1164" w:type="dxa"/>
            <w:tcBorders>
              <w:top w:val="nil"/>
              <w:left w:val="nil"/>
              <w:bottom w:val="nil"/>
              <w:right w:val="nil"/>
            </w:tcBorders>
            <w:shd w:val="clear" w:color="auto" w:fill="auto"/>
            <w:noWrap/>
            <w:vAlign w:val="center"/>
            <w:hideMark/>
          </w:tcPr>
          <w:p w14:paraId="0F5E597F"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0,153</w:t>
            </w:r>
          </w:p>
        </w:tc>
        <w:tc>
          <w:tcPr>
            <w:tcW w:w="1088" w:type="dxa"/>
            <w:tcBorders>
              <w:top w:val="nil"/>
              <w:left w:val="nil"/>
              <w:bottom w:val="nil"/>
              <w:right w:val="nil"/>
            </w:tcBorders>
            <w:shd w:val="clear" w:color="auto" w:fill="auto"/>
            <w:noWrap/>
            <w:vAlign w:val="center"/>
            <w:hideMark/>
          </w:tcPr>
          <w:p w14:paraId="319C03A7"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0,967</w:t>
            </w:r>
          </w:p>
        </w:tc>
        <w:tc>
          <w:tcPr>
            <w:tcW w:w="1305" w:type="dxa"/>
            <w:tcBorders>
              <w:top w:val="nil"/>
              <w:left w:val="nil"/>
              <w:bottom w:val="nil"/>
              <w:right w:val="nil"/>
            </w:tcBorders>
            <w:shd w:val="clear" w:color="auto" w:fill="auto"/>
            <w:noWrap/>
            <w:vAlign w:val="center"/>
            <w:hideMark/>
          </w:tcPr>
          <w:p w14:paraId="4944DF1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0,964</w:t>
            </w:r>
          </w:p>
        </w:tc>
        <w:tc>
          <w:tcPr>
            <w:tcW w:w="1001" w:type="dxa"/>
            <w:tcBorders>
              <w:top w:val="nil"/>
              <w:left w:val="single" w:sz="4" w:space="0" w:color="auto"/>
              <w:bottom w:val="nil"/>
              <w:right w:val="nil"/>
            </w:tcBorders>
            <w:shd w:val="clear" w:color="auto" w:fill="auto"/>
            <w:noWrap/>
            <w:vAlign w:val="center"/>
            <w:hideMark/>
          </w:tcPr>
          <w:p w14:paraId="722EF20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0,430</w:t>
            </w:r>
          </w:p>
        </w:tc>
        <w:tc>
          <w:tcPr>
            <w:tcW w:w="1074" w:type="dxa"/>
            <w:tcBorders>
              <w:top w:val="nil"/>
              <w:left w:val="nil"/>
              <w:bottom w:val="nil"/>
              <w:right w:val="nil"/>
            </w:tcBorders>
            <w:shd w:val="clear" w:color="auto" w:fill="auto"/>
            <w:noWrap/>
            <w:vAlign w:val="center"/>
            <w:hideMark/>
          </w:tcPr>
          <w:p w14:paraId="0E090397"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0,178</w:t>
            </w:r>
          </w:p>
        </w:tc>
        <w:tc>
          <w:tcPr>
            <w:tcW w:w="1212" w:type="dxa"/>
            <w:tcBorders>
              <w:top w:val="nil"/>
              <w:left w:val="nil"/>
              <w:bottom w:val="nil"/>
              <w:right w:val="nil"/>
            </w:tcBorders>
            <w:shd w:val="clear" w:color="auto" w:fill="auto"/>
            <w:noWrap/>
            <w:vAlign w:val="center"/>
            <w:hideMark/>
          </w:tcPr>
          <w:p w14:paraId="0ADB7F1E"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0,476</w:t>
            </w:r>
          </w:p>
        </w:tc>
        <w:tc>
          <w:tcPr>
            <w:tcW w:w="1074" w:type="dxa"/>
            <w:tcBorders>
              <w:top w:val="nil"/>
              <w:left w:val="nil"/>
              <w:bottom w:val="nil"/>
              <w:right w:val="single" w:sz="4" w:space="0" w:color="auto"/>
            </w:tcBorders>
            <w:shd w:val="clear" w:color="auto" w:fill="auto"/>
            <w:noWrap/>
            <w:vAlign w:val="center"/>
            <w:hideMark/>
          </w:tcPr>
          <w:p w14:paraId="21A84B6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0,595</w:t>
            </w:r>
          </w:p>
        </w:tc>
      </w:tr>
      <w:tr w:rsidR="00AE1642" w:rsidRPr="00F657F3" w14:paraId="3372CB08"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521271CA"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proofErr w:type="spellStart"/>
            <w:r w:rsidRPr="00F657F3">
              <w:rPr>
                <w:rFonts w:ascii="Calibri" w:eastAsia="Times New Roman" w:hAnsi="Calibri" w:cs="Times New Roman"/>
                <w:i/>
                <w:iCs/>
                <w:color w:val="000000"/>
                <w:lang w:eastAsia="es-ES"/>
              </w:rPr>
              <w:t>Mgll</w:t>
            </w:r>
            <w:proofErr w:type="spellEnd"/>
          </w:p>
        </w:tc>
        <w:tc>
          <w:tcPr>
            <w:tcW w:w="1084" w:type="dxa"/>
            <w:tcBorders>
              <w:top w:val="nil"/>
              <w:left w:val="nil"/>
              <w:bottom w:val="nil"/>
              <w:right w:val="nil"/>
            </w:tcBorders>
            <w:shd w:val="clear" w:color="auto" w:fill="auto"/>
            <w:noWrap/>
            <w:vAlign w:val="center"/>
            <w:hideMark/>
          </w:tcPr>
          <w:p w14:paraId="28A43B8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0,863</w:t>
            </w:r>
          </w:p>
        </w:tc>
        <w:tc>
          <w:tcPr>
            <w:tcW w:w="1164" w:type="dxa"/>
            <w:tcBorders>
              <w:top w:val="nil"/>
              <w:left w:val="nil"/>
              <w:bottom w:val="nil"/>
              <w:right w:val="nil"/>
            </w:tcBorders>
            <w:shd w:val="clear" w:color="auto" w:fill="auto"/>
            <w:noWrap/>
            <w:vAlign w:val="center"/>
            <w:hideMark/>
          </w:tcPr>
          <w:p w14:paraId="3F8BBDFF"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0,927</w:t>
            </w:r>
          </w:p>
        </w:tc>
        <w:tc>
          <w:tcPr>
            <w:tcW w:w="1088" w:type="dxa"/>
            <w:tcBorders>
              <w:top w:val="nil"/>
              <w:left w:val="nil"/>
              <w:bottom w:val="nil"/>
              <w:right w:val="nil"/>
            </w:tcBorders>
            <w:shd w:val="clear" w:color="auto" w:fill="auto"/>
            <w:noWrap/>
            <w:vAlign w:val="center"/>
            <w:hideMark/>
          </w:tcPr>
          <w:p w14:paraId="6F04BC5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0,202</w:t>
            </w:r>
          </w:p>
        </w:tc>
        <w:tc>
          <w:tcPr>
            <w:tcW w:w="1305" w:type="dxa"/>
            <w:tcBorders>
              <w:top w:val="nil"/>
              <w:left w:val="nil"/>
              <w:bottom w:val="nil"/>
              <w:right w:val="nil"/>
            </w:tcBorders>
            <w:shd w:val="clear" w:color="auto" w:fill="auto"/>
            <w:noWrap/>
            <w:vAlign w:val="center"/>
            <w:hideMark/>
          </w:tcPr>
          <w:p w14:paraId="23B98A1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0,536</w:t>
            </w:r>
          </w:p>
        </w:tc>
        <w:tc>
          <w:tcPr>
            <w:tcW w:w="1001" w:type="dxa"/>
            <w:tcBorders>
              <w:top w:val="nil"/>
              <w:left w:val="single" w:sz="4" w:space="0" w:color="auto"/>
              <w:bottom w:val="nil"/>
              <w:right w:val="nil"/>
            </w:tcBorders>
            <w:shd w:val="clear" w:color="auto" w:fill="auto"/>
            <w:noWrap/>
            <w:vAlign w:val="center"/>
            <w:hideMark/>
          </w:tcPr>
          <w:p w14:paraId="1FF2F783"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0,956</w:t>
            </w:r>
          </w:p>
        </w:tc>
        <w:tc>
          <w:tcPr>
            <w:tcW w:w="1074" w:type="dxa"/>
            <w:tcBorders>
              <w:top w:val="nil"/>
              <w:left w:val="nil"/>
              <w:bottom w:val="nil"/>
              <w:right w:val="nil"/>
            </w:tcBorders>
            <w:shd w:val="clear" w:color="auto" w:fill="auto"/>
            <w:noWrap/>
            <w:vAlign w:val="center"/>
            <w:hideMark/>
          </w:tcPr>
          <w:p w14:paraId="470E12B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0,896</w:t>
            </w:r>
          </w:p>
        </w:tc>
        <w:tc>
          <w:tcPr>
            <w:tcW w:w="1212" w:type="dxa"/>
            <w:tcBorders>
              <w:top w:val="nil"/>
              <w:left w:val="nil"/>
              <w:bottom w:val="nil"/>
              <w:right w:val="nil"/>
            </w:tcBorders>
            <w:shd w:val="clear" w:color="auto" w:fill="auto"/>
            <w:noWrap/>
            <w:vAlign w:val="center"/>
            <w:hideMark/>
          </w:tcPr>
          <w:p w14:paraId="01EFC953"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0,470</w:t>
            </w:r>
          </w:p>
        </w:tc>
        <w:tc>
          <w:tcPr>
            <w:tcW w:w="1074" w:type="dxa"/>
            <w:tcBorders>
              <w:top w:val="nil"/>
              <w:left w:val="nil"/>
              <w:bottom w:val="nil"/>
              <w:right w:val="single" w:sz="4" w:space="0" w:color="auto"/>
            </w:tcBorders>
            <w:shd w:val="clear" w:color="auto" w:fill="auto"/>
            <w:noWrap/>
            <w:vAlign w:val="center"/>
            <w:hideMark/>
          </w:tcPr>
          <w:p w14:paraId="670B316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0,804</w:t>
            </w:r>
          </w:p>
        </w:tc>
      </w:tr>
      <w:tr w:rsidR="00AE1642" w:rsidRPr="00F657F3" w14:paraId="5C9F93E8" w14:textId="77777777" w:rsidTr="00786C11">
        <w:trPr>
          <w:trHeight w:val="280"/>
        </w:trPr>
        <w:tc>
          <w:tcPr>
            <w:tcW w:w="1880" w:type="dxa"/>
            <w:tcBorders>
              <w:top w:val="single" w:sz="4" w:space="0" w:color="5B9BD5"/>
              <w:left w:val="single" w:sz="4" w:space="0" w:color="auto"/>
              <w:bottom w:val="nil"/>
              <w:right w:val="single" w:sz="4" w:space="0" w:color="auto"/>
            </w:tcBorders>
            <w:shd w:val="clear" w:color="auto" w:fill="auto"/>
            <w:noWrap/>
            <w:vAlign w:val="center"/>
            <w:hideMark/>
          </w:tcPr>
          <w:p w14:paraId="55E3CC7E"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proofErr w:type="spellStart"/>
            <w:r w:rsidRPr="00F657F3">
              <w:rPr>
                <w:rFonts w:ascii="Calibri" w:eastAsia="Times New Roman" w:hAnsi="Calibri" w:cs="Times New Roman"/>
                <w:i/>
                <w:iCs/>
                <w:color w:val="000000"/>
                <w:lang w:eastAsia="es-ES"/>
              </w:rPr>
              <w:t>Napepld</w:t>
            </w:r>
            <w:proofErr w:type="spellEnd"/>
          </w:p>
        </w:tc>
        <w:tc>
          <w:tcPr>
            <w:tcW w:w="1084" w:type="dxa"/>
            <w:tcBorders>
              <w:top w:val="nil"/>
              <w:left w:val="nil"/>
              <w:bottom w:val="nil"/>
              <w:right w:val="nil"/>
            </w:tcBorders>
            <w:shd w:val="clear" w:color="auto" w:fill="auto"/>
            <w:noWrap/>
            <w:vAlign w:val="center"/>
            <w:hideMark/>
          </w:tcPr>
          <w:p w14:paraId="1F28EEC5"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0,621</w:t>
            </w:r>
          </w:p>
        </w:tc>
        <w:tc>
          <w:tcPr>
            <w:tcW w:w="1164" w:type="dxa"/>
            <w:tcBorders>
              <w:top w:val="nil"/>
              <w:left w:val="nil"/>
              <w:bottom w:val="nil"/>
              <w:right w:val="nil"/>
            </w:tcBorders>
            <w:shd w:val="clear" w:color="auto" w:fill="auto"/>
            <w:noWrap/>
            <w:vAlign w:val="center"/>
            <w:hideMark/>
          </w:tcPr>
          <w:p w14:paraId="005CABC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0,111</w:t>
            </w:r>
          </w:p>
        </w:tc>
        <w:tc>
          <w:tcPr>
            <w:tcW w:w="1088" w:type="dxa"/>
            <w:tcBorders>
              <w:top w:val="nil"/>
              <w:left w:val="nil"/>
              <w:bottom w:val="nil"/>
              <w:right w:val="nil"/>
            </w:tcBorders>
            <w:shd w:val="clear" w:color="auto" w:fill="auto"/>
            <w:noWrap/>
            <w:vAlign w:val="center"/>
            <w:hideMark/>
          </w:tcPr>
          <w:p w14:paraId="7E35905B"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0,065</w:t>
            </w:r>
          </w:p>
        </w:tc>
        <w:tc>
          <w:tcPr>
            <w:tcW w:w="1305" w:type="dxa"/>
            <w:tcBorders>
              <w:top w:val="nil"/>
              <w:left w:val="nil"/>
              <w:bottom w:val="nil"/>
              <w:right w:val="nil"/>
            </w:tcBorders>
            <w:shd w:val="clear" w:color="auto" w:fill="auto"/>
            <w:noWrap/>
            <w:vAlign w:val="center"/>
            <w:hideMark/>
          </w:tcPr>
          <w:p w14:paraId="67EFE852"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0,126</w:t>
            </w:r>
          </w:p>
        </w:tc>
        <w:tc>
          <w:tcPr>
            <w:tcW w:w="1001" w:type="dxa"/>
            <w:tcBorders>
              <w:top w:val="nil"/>
              <w:left w:val="single" w:sz="4" w:space="0" w:color="auto"/>
              <w:bottom w:val="nil"/>
              <w:right w:val="nil"/>
            </w:tcBorders>
            <w:shd w:val="clear" w:color="auto" w:fill="auto"/>
            <w:noWrap/>
            <w:vAlign w:val="center"/>
            <w:hideMark/>
          </w:tcPr>
          <w:p w14:paraId="79B0845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0,337</w:t>
            </w:r>
          </w:p>
        </w:tc>
        <w:tc>
          <w:tcPr>
            <w:tcW w:w="1074" w:type="dxa"/>
            <w:tcBorders>
              <w:top w:val="nil"/>
              <w:left w:val="nil"/>
              <w:bottom w:val="nil"/>
              <w:right w:val="nil"/>
            </w:tcBorders>
            <w:shd w:val="clear" w:color="000000" w:fill="FFC7CE"/>
            <w:noWrap/>
            <w:vAlign w:val="center"/>
            <w:hideMark/>
          </w:tcPr>
          <w:p w14:paraId="03D2667D" w14:textId="77777777" w:rsidR="00AE1642" w:rsidRPr="00F657F3" w:rsidRDefault="00AE1642" w:rsidP="00786C11">
            <w:pPr>
              <w:spacing w:after="0" w:line="240" w:lineRule="auto"/>
              <w:jc w:val="center"/>
              <w:rPr>
                <w:rFonts w:ascii="Calibri" w:eastAsia="Times New Roman" w:hAnsi="Calibri" w:cs="Times New Roman"/>
                <w:color w:val="9C0006"/>
                <w:lang w:eastAsia="es-ES"/>
              </w:rPr>
            </w:pPr>
            <w:r w:rsidRPr="00F657F3">
              <w:rPr>
                <w:rFonts w:ascii="Calibri" w:eastAsia="Times New Roman" w:hAnsi="Calibri" w:cs="Times New Roman"/>
                <w:color w:val="9C0006"/>
                <w:lang w:eastAsia="es-ES"/>
              </w:rPr>
              <w:t>0,048</w:t>
            </w:r>
          </w:p>
        </w:tc>
        <w:tc>
          <w:tcPr>
            <w:tcW w:w="1212" w:type="dxa"/>
            <w:tcBorders>
              <w:top w:val="nil"/>
              <w:left w:val="nil"/>
              <w:bottom w:val="nil"/>
              <w:right w:val="nil"/>
            </w:tcBorders>
            <w:shd w:val="clear" w:color="auto" w:fill="auto"/>
            <w:noWrap/>
            <w:vAlign w:val="center"/>
            <w:hideMark/>
          </w:tcPr>
          <w:p w14:paraId="39B26B34"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0,052</w:t>
            </w:r>
          </w:p>
        </w:tc>
        <w:tc>
          <w:tcPr>
            <w:tcW w:w="1074" w:type="dxa"/>
            <w:tcBorders>
              <w:top w:val="nil"/>
              <w:left w:val="nil"/>
              <w:bottom w:val="nil"/>
              <w:right w:val="single" w:sz="4" w:space="0" w:color="auto"/>
            </w:tcBorders>
            <w:shd w:val="clear" w:color="auto" w:fill="auto"/>
            <w:noWrap/>
            <w:vAlign w:val="center"/>
            <w:hideMark/>
          </w:tcPr>
          <w:p w14:paraId="0CC780A9"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0,640</w:t>
            </w:r>
          </w:p>
        </w:tc>
      </w:tr>
      <w:tr w:rsidR="00AE1642" w:rsidRPr="00F657F3" w14:paraId="3475754B" w14:textId="77777777" w:rsidTr="00786C11">
        <w:trPr>
          <w:trHeight w:val="280"/>
        </w:trPr>
        <w:tc>
          <w:tcPr>
            <w:tcW w:w="1880" w:type="dxa"/>
            <w:tcBorders>
              <w:top w:val="single" w:sz="4" w:space="0" w:color="5B9BD5"/>
              <w:left w:val="single" w:sz="4" w:space="0" w:color="auto"/>
              <w:bottom w:val="single" w:sz="4" w:space="0" w:color="auto"/>
              <w:right w:val="single" w:sz="4" w:space="0" w:color="auto"/>
            </w:tcBorders>
            <w:shd w:val="clear" w:color="auto" w:fill="auto"/>
            <w:noWrap/>
            <w:vAlign w:val="center"/>
            <w:hideMark/>
          </w:tcPr>
          <w:p w14:paraId="70FA142E" w14:textId="77777777" w:rsidR="00AE1642" w:rsidRPr="00F657F3" w:rsidRDefault="00AE1642" w:rsidP="00786C11">
            <w:pPr>
              <w:spacing w:after="0" w:line="240" w:lineRule="auto"/>
              <w:jc w:val="center"/>
              <w:rPr>
                <w:rFonts w:ascii="Calibri" w:eastAsia="Times New Roman" w:hAnsi="Calibri" w:cs="Times New Roman"/>
                <w:i/>
                <w:iCs/>
                <w:color w:val="000000"/>
                <w:lang w:eastAsia="es-ES"/>
              </w:rPr>
            </w:pPr>
            <w:proofErr w:type="spellStart"/>
            <w:r w:rsidRPr="00F657F3">
              <w:rPr>
                <w:rFonts w:ascii="Calibri" w:eastAsia="Times New Roman" w:hAnsi="Calibri" w:cs="Times New Roman"/>
                <w:i/>
                <w:iCs/>
                <w:color w:val="000000"/>
                <w:lang w:eastAsia="es-ES"/>
              </w:rPr>
              <w:t>Faah</w:t>
            </w:r>
            <w:proofErr w:type="spellEnd"/>
          </w:p>
        </w:tc>
        <w:tc>
          <w:tcPr>
            <w:tcW w:w="1084" w:type="dxa"/>
            <w:tcBorders>
              <w:top w:val="nil"/>
              <w:left w:val="nil"/>
              <w:bottom w:val="single" w:sz="4" w:space="0" w:color="auto"/>
              <w:right w:val="nil"/>
            </w:tcBorders>
            <w:shd w:val="clear" w:color="auto" w:fill="auto"/>
            <w:noWrap/>
            <w:vAlign w:val="center"/>
            <w:hideMark/>
          </w:tcPr>
          <w:p w14:paraId="44E50DF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1,000</w:t>
            </w:r>
          </w:p>
        </w:tc>
        <w:tc>
          <w:tcPr>
            <w:tcW w:w="1164" w:type="dxa"/>
            <w:tcBorders>
              <w:top w:val="nil"/>
              <w:left w:val="nil"/>
              <w:bottom w:val="single" w:sz="4" w:space="0" w:color="auto"/>
              <w:right w:val="nil"/>
            </w:tcBorders>
            <w:shd w:val="clear" w:color="auto" w:fill="auto"/>
            <w:noWrap/>
            <w:vAlign w:val="center"/>
            <w:hideMark/>
          </w:tcPr>
          <w:p w14:paraId="2254995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0,063</w:t>
            </w:r>
          </w:p>
        </w:tc>
        <w:tc>
          <w:tcPr>
            <w:tcW w:w="1088" w:type="dxa"/>
            <w:tcBorders>
              <w:top w:val="nil"/>
              <w:left w:val="nil"/>
              <w:bottom w:val="single" w:sz="4" w:space="0" w:color="auto"/>
              <w:right w:val="nil"/>
            </w:tcBorders>
            <w:shd w:val="clear" w:color="auto" w:fill="auto"/>
            <w:noWrap/>
            <w:vAlign w:val="center"/>
            <w:hideMark/>
          </w:tcPr>
          <w:p w14:paraId="228A65D6"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0,425</w:t>
            </w:r>
          </w:p>
        </w:tc>
        <w:tc>
          <w:tcPr>
            <w:tcW w:w="1305" w:type="dxa"/>
            <w:tcBorders>
              <w:top w:val="nil"/>
              <w:left w:val="nil"/>
              <w:bottom w:val="single" w:sz="4" w:space="0" w:color="auto"/>
              <w:right w:val="nil"/>
            </w:tcBorders>
            <w:shd w:val="clear" w:color="auto" w:fill="auto"/>
            <w:noWrap/>
            <w:vAlign w:val="center"/>
            <w:hideMark/>
          </w:tcPr>
          <w:p w14:paraId="32717911"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0,724</w:t>
            </w:r>
          </w:p>
        </w:tc>
        <w:tc>
          <w:tcPr>
            <w:tcW w:w="1001" w:type="dxa"/>
            <w:tcBorders>
              <w:top w:val="nil"/>
              <w:left w:val="single" w:sz="4" w:space="0" w:color="auto"/>
              <w:bottom w:val="single" w:sz="4" w:space="0" w:color="auto"/>
              <w:right w:val="nil"/>
            </w:tcBorders>
            <w:shd w:val="clear" w:color="auto" w:fill="auto"/>
            <w:noWrap/>
            <w:vAlign w:val="center"/>
            <w:hideMark/>
          </w:tcPr>
          <w:p w14:paraId="463E4F1A"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0,835</w:t>
            </w:r>
          </w:p>
        </w:tc>
        <w:tc>
          <w:tcPr>
            <w:tcW w:w="1074" w:type="dxa"/>
            <w:tcBorders>
              <w:top w:val="nil"/>
              <w:left w:val="nil"/>
              <w:bottom w:val="single" w:sz="4" w:space="0" w:color="auto"/>
              <w:right w:val="nil"/>
            </w:tcBorders>
            <w:shd w:val="clear" w:color="auto" w:fill="auto"/>
            <w:noWrap/>
            <w:vAlign w:val="center"/>
            <w:hideMark/>
          </w:tcPr>
          <w:p w14:paraId="5F6D6EB0"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0,436</w:t>
            </w:r>
          </w:p>
        </w:tc>
        <w:tc>
          <w:tcPr>
            <w:tcW w:w="1212" w:type="dxa"/>
            <w:tcBorders>
              <w:top w:val="nil"/>
              <w:left w:val="nil"/>
              <w:bottom w:val="single" w:sz="4" w:space="0" w:color="auto"/>
              <w:right w:val="nil"/>
            </w:tcBorders>
            <w:shd w:val="clear" w:color="auto" w:fill="auto"/>
            <w:noWrap/>
            <w:vAlign w:val="center"/>
            <w:hideMark/>
          </w:tcPr>
          <w:p w14:paraId="043C3267"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0,955</w:t>
            </w:r>
          </w:p>
        </w:tc>
        <w:tc>
          <w:tcPr>
            <w:tcW w:w="1074" w:type="dxa"/>
            <w:tcBorders>
              <w:top w:val="nil"/>
              <w:left w:val="nil"/>
              <w:bottom w:val="single" w:sz="4" w:space="0" w:color="auto"/>
              <w:right w:val="single" w:sz="4" w:space="0" w:color="auto"/>
            </w:tcBorders>
            <w:shd w:val="clear" w:color="auto" w:fill="auto"/>
            <w:noWrap/>
            <w:vAlign w:val="center"/>
            <w:hideMark/>
          </w:tcPr>
          <w:p w14:paraId="14665271" w14:textId="77777777" w:rsidR="00AE1642" w:rsidRPr="00F657F3" w:rsidRDefault="00AE1642" w:rsidP="00786C11">
            <w:pPr>
              <w:spacing w:after="0" w:line="240" w:lineRule="auto"/>
              <w:jc w:val="center"/>
              <w:rPr>
                <w:rFonts w:ascii="Calibri" w:eastAsia="Times New Roman" w:hAnsi="Calibri" w:cs="Times New Roman"/>
                <w:color w:val="000000"/>
                <w:lang w:eastAsia="es-ES"/>
              </w:rPr>
            </w:pPr>
            <w:r w:rsidRPr="00F657F3">
              <w:rPr>
                <w:rFonts w:ascii="Calibri" w:eastAsia="Times New Roman" w:hAnsi="Calibri" w:cs="Times New Roman"/>
                <w:color w:val="000000"/>
                <w:lang w:eastAsia="es-ES"/>
              </w:rPr>
              <w:t>0,515</w:t>
            </w:r>
          </w:p>
        </w:tc>
      </w:tr>
    </w:tbl>
    <w:p w14:paraId="19219996" w14:textId="77777777" w:rsidR="00AE1642" w:rsidRDefault="00AE1642"/>
    <w:sectPr w:rsidR="00AE1642" w:rsidSect="00A02B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18"/>
    <w:rsid w:val="00145B23"/>
    <w:rsid w:val="005656D6"/>
    <w:rsid w:val="006F149A"/>
    <w:rsid w:val="00A02B18"/>
    <w:rsid w:val="00AE164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4326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18"/>
    <w:pPr>
      <w:spacing w:after="160" w:line="259" w:lineRule="auto"/>
    </w:pPr>
    <w:rPr>
      <w:rFonts w:eastAsiaTheme="minorHAnsi"/>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2B18"/>
    <w:pPr>
      <w:ind w:left="720"/>
      <w:contextualSpacing/>
    </w:pPr>
  </w:style>
  <w:style w:type="paragraph" w:styleId="Textodeglobo">
    <w:name w:val="Balloon Text"/>
    <w:basedOn w:val="Normal"/>
    <w:link w:val="TextodegloboCar"/>
    <w:uiPriority w:val="99"/>
    <w:semiHidden/>
    <w:unhideWhenUsed/>
    <w:rsid w:val="00A02B18"/>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02B18"/>
    <w:rPr>
      <w:rFonts w:ascii="Lucida Grande" w:eastAsiaTheme="minorHAnsi" w:hAnsi="Lucida Grande" w:cs="Lucida Grande"/>
      <w:sz w:val="18"/>
      <w:szCs w:val="18"/>
      <w:lang w:val="es-E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18"/>
    <w:pPr>
      <w:spacing w:after="160" w:line="259" w:lineRule="auto"/>
    </w:pPr>
    <w:rPr>
      <w:rFonts w:eastAsiaTheme="minorHAnsi"/>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2B18"/>
    <w:pPr>
      <w:ind w:left="720"/>
      <w:contextualSpacing/>
    </w:pPr>
  </w:style>
  <w:style w:type="paragraph" w:styleId="Textodeglobo">
    <w:name w:val="Balloon Text"/>
    <w:basedOn w:val="Normal"/>
    <w:link w:val="TextodegloboCar"/>
    <w:uiPriority w:val="99"/>
    <w:semiHidden/>
    <w:unhideWhenUsed/>
    <w:rsid w:val="00A02B18"/>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02B18"/>
    <w:rPr>
      <w:rFonts w:ascii="Lucida Grande" w:eastAsiaTheme="minorHAnsi" w:hAnsi="Lucida Grande" w:cs="Lucida Grande"/>
      <w:sz w:val="18"/>
      <w:szCs w:val="18"/>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1521</Words>
  <Characters>8368</Characters>
  <Application>Microsoft Macintosh Word</Application>
  <DocSecurity>0</DocSecurity>
  <Lines>69</Lines>
  <Paragraphs>19</Paragraphs>
  <ScaleCrop>false</ScaleCrop>
  <Company>UNED</Company>
  <LinksUpToDate>false</LinksUpToDate>
  <CharactersWithSpaces>9870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Higuera Matas</dc:creator>
  <cp:keywords/>
  <dc:description/>
  <cp:lastModifiedBy>Alejandro  Higuera Matas</cp:lastModifiedBy>
  <cp:revision>3</cp:revision>
  <dcterms:created xsi:type="dcterms:W3CDTF">2019-02-02T19:34:00Z</dcterms:created>
  <dcterms:modified xsi:type="dcterms:W3CDTF">2019-02-02T23:12:00Z</dcterms:modified>
</cp:coreProperties>
</file>