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58F03" w14:textId="3722D6CC" w:rsidR="008A13A2" w:rsidRPr="008E1A7B" w:rsidRDefault="008A13A2" w:rsidP="008A13A2">
      <w:pPr>
        <w:pStyle w:val="Heading1"/>
        <w:spacing w:line="240" w:lineRule="auto"/>
        <w:rPr>
          <w:color w:val="000000" w:themeColor="text1"/>
          <w:lang w:val="en-US"/>
        </w:rPr>
      </w:pPr>
      <w:r w:rsidRPr="7E0C1A9E">
        <w:rPr>
          <w:color w:val="000000" w:themeColor="text1"/>
          <w:lang w:val="en-US"/>
        </w:rPr>
        <w:t xml:space="preserve">Astrocytic </w:t>
      </w:r>
      <w:proofErr w:type="spellStart"/>
      <w:r w:rsidRPr="7E0C1A9E">
        <w:rPr>
          <w:i/>
          <w:iCs/>
          <w:color w:val="000000" w:themeColor="text1"/>
          <w:lang w:val="en-US"/>
        </w:rPr>
        <w:t>Dagla</w:t>
      </w:r>
      <w:proofErr w:type="spellEnd"/>
      <w:r w:rsidRPr="7E0C1A9E">
        <w:rPr>
          <w:color w:val="000000" w:themeColor="text1"/>
          <w:lang w:val="en-US"/>
        </w:rPr>
        <w:t xml:space="preserve"> deletion decreases hedonic feeding in female mice</w:t>
      </w:r>
      <w:r>
        <w:rPr>
          <w:color w:val="000000" w:themeColor="text1"/>
          <w:lang w:val="en-US"/>
        </w:rPr>
        <w:t xml:space="preserve">, </w:t>
      </w:r>
      <w:r w:rsidRPr="008A13A2">
        <w:rPr>
          <w:color w:val="000000" w:themeColor="text1"/>
        </w:rPr>
        <w:t xml:space="preserve">Leidmaa et </w:t>
      </w:r>
      <w:proofErr w:type="gramStart"/>
      <w:r w:rsidRPr="008A13A2">
        <w:rPr>
          <w:color w:val="000000" w:themeColor="text1"/>
        </w:rPr>
        <w:t>al</w:t>
      </w:r>
      <w:proofErr w:type="gramEnd"/>
    </w:p>
    <w:p w14:paraId="12534ADB" w14:textId="499C2AA6" w:rsidR="00D5297B" w:rsidRDefault="00D5297B" w:rsidP="00C65190">
      <w:pPr>
        <w:rPr>
          <w:b/>
          <w:bCs/>
          <w:sz w:val="28"/>
          <w:szCs w:val="28"/>
        </w:rPr>
      </w:pPr>
    </w:p>
    <w:p w14:paraId="54DC937D" w14:textId="1E007348" w:rsidR="002908DA" w:rsidRPr="008A13A2" w:rsidRDefault="002908DA" w:rsidP="00C65190">
      <w:pPr>
        <w:rPr>
          <w:b/>
          <w:bCs/>
          <w:sz w:val="32"/>
          <w:szCs w:val="32"/>
        </w:rPr>
      </w:pPr>
      <w:r w:rsidRPr="008A13A2">
        <w:rPr>
          <w:b/>
          <w:bCs/>
          <w:sz w:val="32"/>
          <w:szCs w:val="32"/>
        </w:rPr>
        <w:t>Supplemental information</w:t>
      </w:r>
    </w:p>
    <w:p w14:paraId="431A71E4" w14:textId="6EDC0C9C" w:rsidR="002908DA" w:rsidRPr="008A13A2" w:rsidRDefault="00397F19" w:rsidP="00C65190">
      <w:pPr>
        <w:rPr>
          <w:b/>
          <w:bCs/>
          <w:sz w:val="28"/>
          <w:szCs w:val="28"/>
        </w:rPr>
      </w:pPr>
      <w:r w:rsidRPr="008A13A2">
        <w:rPr>
          <w:b/>
          <w:bCs/>
          <w:sz w:val="28"/>
          <w:szCs w:val="28"/>
        </w:rPr>
        <w:t xml:space="preserve">Materials and </w:t>
      </w:r>
      <w:r w:rsidR="002908DA" w:rsidRPr="008A13A2">
        <w:rPr>
          <w:b/>
          <w:bCs/>
          <w:sz w:val="28"/>
          <w:szCs w:val="28"/>
        </w:rPr>
        <w:t>Methods</w:t>
      </w:r>
    </w:p>
    <w:p w14:paraId="73F4BFC0" w14:textId="1859D99C" w:rsidR="0005736A" w:rsidRPr="0005736A" w:rsidRDefault="0005736A" w:rsidP="005E66CE">
      <w:pPr>
        <w:pStyle w:val="Heading2"/>
      </w:pPr>
      <w:r>
        <w:t>Animals</w:t>
      </w:r>
    </w:p>
    <w:p w14:paraId="06A09CCF" w14:textId="3E4B4E42" w:rsidR="00F76ED4" w:rsidRDefault="004857C6" w:rsidP="00BF49C7">
      <w:pPr>
        <w:jc w:val="both"/>
      </w:pPr>
      <w:r w:rsidRPr="00C65190">
        <w:t xml:space="preserve">Male mice were injected with tamoxifen at 4-6 weeks and females at 8-10 weeks. Male mice were injected earlier because, in our initial experiment, mice from both control and KO groups injected with tamoxifen later than 8 weeks of age developed fat deposits in the testicular region. In female mice, the deletion of </w:t>
      </w:r>
      <w:proofErr w:type="spellStart"/>
      <w:r w:rsidRPr="00C76677">
        <w:rPr>
          <w:i/>
          <w:iCs/>
        </w:rPr>
        <w:t>Dagla</w:t>
      </w:r>
      <w:proofErr w:type="spellEnd"/>
      <w:r w:rsidRPr="00C65190">
        <w:t xml:space="preserve"> was induced in adulthood to avoid any programming effects by tamoxifen, as puberty has an organizational effect on how sex hormones affect feeding circuits in females </w:t>
      </w:r>
      <w:sdt>
        <w:sdtPr>
          <w:rPr>
            <w:color w:val="000000"/>
          </w:rPr>
          <w:tag w:val="MENDELEY_CITATION_v3_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"/>
          <w:id w:val="1693383670"/>
          <w:placeholder>
            <w:docPart w:val="47C34763DD416F4D93F75C2BDA19C501"/>
          </w:placeholder>
        </w:sdtPr>
        <w:sdtContent>
          <w:r w:rsidR="002D5B9C" w:rsidRPr="002D5B9C">
            <w:rPr>
              <w:color w:val="000000"/>
            </w:rPr>
            <w:t>(1,2)</w:t>
          </w:r>
        </w:sdtContent>
      </w:sdt>
      <w:r w:rsidRPr="00C65190">
        <w:t>. Experiments started 4 weeks after the tamoxifen injections. Mice that are heterozygous for Cre and homozygous for “</w:t>
      </w:r>
      <w:proofErr w:type="spellStart"/>
      <w:r w:rsidRPr="00C65190">
        <w:t>floxed</w:t>
      </w:r>
      <w:proofErr w:type="spellEnd"/>
      <w:r w:rsidRPr="00C65190">
        <w:t>” (GLAST-</w:t>
      </w:r>
      <w:proofErr w:type="spellStart"/>
      <w:r w:rsidRPr="00C65190">
        <w:t>Dagla</w:t>
      </w:r>
      <w:proofErr w:type="spellEnd"/>
      <w:r w:rsidRPr="00C65190">
        <w:t xml:space="preserve"> KO) showed an astrocytic </w:t>
      </w:r>
      <w:proofErr w:type="spellStart"/>
      <w:r w:rsidRPr="00C76677">
        <w:rPr>
          <w:i/>
          <w:iCs/>
        </w:rPr>
        <w:t>Dagla</w:t>
      </w:r>
      <w:proofErr w:type="spellEnd"/>
      <w:r w:rsidRPr="00C65190">
        <w:t xml:space="preserve"> deletion after the induction with tamoxifen. Deletion of </w:t>
      </w:r>
      <w:proofErr w:type="spellStart"/>
      <w:r w:rsidRPr="00C65190">
        <w:t>Dagla</w:t>
      </w:r>
      <w:proofErr w:type="spellEnd"/>
      <w:r w:rsidRPr="00C65190">
        <w:t xml:space="preserve"> specifically from astrocytes and not from neurons or microglia was verified </w:t>
      </w:r>
      <w:sdt>
        <w:sdtPr>
          <w:rPr>
            <w:color w:val="000000"/>
          </w:rPr>
          <w:tag w:val="MENDELEY_CITATION_v3_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"/>
          <w:id w:val="1815140072"/>
          <w:placeholder>
            <w:docPart w:val="47C34763DD416F4D93F75C2BDA19C501"/>
          </w:placeholder>
        </w:sdtPr>
        <w:sdtContent>
          <w:r w:rsidR="002D5B9C" w:rsidRPr="002D5B9C">
            <w:rPr>
              <w:color w:val="000000"/>
            </w:rPr>
            <w:t>(3)</w:t>
          </w:r>
        </w:sdtContent>
      </w:sdt>
      <w:r w:rsidRPr="00C65190">
        <w:t>. The littermates not expressing the Cre gene that were homozygous for “</w:t>
      </w:r>
      <w:proofErr w:type="spellStart"/>
      <w:r w:rsidRPr="00C65190">
        <w:t>floxed</w:t>
      </w:r>
      <w:proofErr w:type="spellEnd"/>
      <w:r w:rsidRPr="00C65190">
        <w:t xml:space="preserve">” </w:t>
      </w:r>
      <w:proofErr w:type="spellStart"/>
      <w:r w:rsidRPr="00C76677">
        <w:rPr>
          <w:i/>
          <w:iCs/>
        </w:rPr>
        <w:t>Dagla</w:t>
      </w:r>
      <w:proofErr w:type="spellEnd"/>
      <w:r w:rsidRPr="00C76677">
        <w:rPr>
          <w:i/>
          <w:iCs/>
        </w:rPr>
        <w:t xml:space="preserve"> </w:t>
      </w:r>
      <w:r w:rsidRPr="00C65190">
        <w:t>(</w:t>
      </w:r>
      <w:proofErr w:type="spellStart"/>
      <w:r w:rsidRPr="00C65190">
        <w:t>Dagla</w:t>
      </w:r>
      <w:proofErr w:type="spellEnd"/>
      <w:r w:rsidRPr="00C65190">
        <w:t xml:space="preserve"> </w:t>
      </w:r>
      <w:proofErr w:type="spellStart"/>
      <w:r w:rsidRPr="00C65190">
        <w:t>fl</w:t>
      </w:r>
      <w:proofErr w:type="spellEnd"/>
      <w:r w:rsidRPr="00C65190">
        <w:t>/</w:t>
      </w:r>
      <w:proofErr w:type="spellStart"/>
      <w:r w:rsidRPr="00C65190">
        <w:t>fl</w:t>
      </w:r>
      <w:proofErr w:type="spellEnd"/>
      <w:r w:rsidRPr="00C65190">
        <w:t>) were used as controls. The "</w:t>
      </w:r>
      <w:proofErr w:type="spellStart"/>
      <w:r w:rsidRPr="00C65190">
        <w:t>floxed</w:t>
      </w:r>
      <w:proofErr w:type="spellEnd"/>
      <w:r w:rsidRPr="00C65190">
        <w:t xml:space="preserve">" </w:t>
      </w:r>
      <w:proofErr w:type="spellStart"/>
      <w:r w:rsidRPr="00C76677">
        <w:rPr>
          <w:i/>
          <w:iCs/>
        </w:rPr>
        <w:t>Dagla</w:t>
      </w:r>
      <w:proofErr w:type="spellEnd"/>
      <w:r w:rsidRPr="00C76677">
        <w:rPr>
          <w:i/>
          <w:iCs/>
        </w:rPr>
        <w:t xml:space="preserve"> </w:t>
      </w:r>
      <w:r w:rsidRPr="00C65190">
        <w:t xml:space="preserve">allele, the wild-type allele, the deleted </w:t>
      </w:r>
      <w:proofErr w:type="spellStart"/>
      <w:r w:rsidRPr="00C76677">
        <w:rPr>
          <w:i/>
          <w:iCs/>
        </w:rPr>
        <w:t>Dagla</w:t>
      </w:r>
      <w:proofErr w:type="spellEnd"/>
      <w:r w:rsidRPr="00C65190">
        <w:t xml:space="preserve"> allele, and the Cre locus were identified by polymerase chain reaction using appropriate primers (</w:t>
      </w:r>
      <w:proofErr w:type="spellStart"/>
      <w:r w:rsidRPr="00C65190">
        <w:t>Dagla_fwd</w:t>
      </w:r>
      <w:proofErr w:type="spellEnd"/>
      <w:r w:rsidRPr="00C65190">
        <w:t xml:space="preserve"> TAGCTTAGCCCCCATGTGAC, </w:t>
      </w:r>
      <w:proofErr w:type="spellStart"/>
      <w:r w:rsidRPr="00C65190">
        <w:t>Dalga</w:t>
      </w:r>
      <w:proofErr w:type="spellEnd"/>
      <w:r w:rsidRPr="00C65190">
        <w:t xml:space="preserve"> WT rev GAGATGGGTTCCACCTCCTT, </w:t>
      </w:r>
      <w:proofErr w:type="spellStart"/>
      <w:r w:rsidRPr="00C65190">
        <w:t>Dagla</w:t>
      </w:r>
      <w:proofErr w:type="spellEnd"/>
      <w:r w:rsidRPr="00C65190">
        <w:t xml:space="preserve"> </w:t>
      </w:r>
      <w:proofErr w:type="spellStart"/>
      <w:r w:rsidRPr="00C65190">
        <w:t>fl</w:t>
      </w:r>
      <w:proofErr w:type="spellEnd"/>
      <w:r w:rsidRPr="00C65190">
        <w:t>/</w:t>
      </w:r>
      <w:proofErr w:type="spellStart"/>
      <w:r w:rsidRPr="00C65190">
        <w:t>KO_rev</w:t>
      </w:r>
      <w:proofErr w:type="spellEnd"/>
      <w:r w:rsidRPr="00C65190">
        <w:t xml:space="preserve"> CGCAGCCCAAAAGATACAAT, Cre1_fwd CATTTGGGCCAGCTAAACAT, Cre2_fwd GCATTTCTGGGGATTGCTTA, Cre1_rev CCCGGCAAAACAGGTAGTTA, Cre2_rev TGCATGATCTCCGGTATTGA). The presence of Cre under the GLAST promoter was validated by the GLAST-CreERT2-specific PCR (GlastCreERT2_ GAGGCACTTGGCTAGGCTCTGAGGA, GAGGAGATCCTGACCGATCAGTTGG, GGTGTACGGTCAGTAAATTGGACAT). </w:t>
      </w:r>
    </w:p>
    <w:p w14:paraId="69E83875" w14:textId="02D2EA8F" w:rsidR="00BF49C7" w:rsidRDefault="004857C6" w:rsidP="00BF49C7">
      <w:pPr>
        <w:jc w:val="both"/>
      </w:pPr>
      <w:r w:rsidRPr="00C65190">
        <w:t>Animal care followed guidelines of the European Community’s Directive 86/609/EEC and the German Animal Protection Law regulating animal research.</w:t>
      </w:r>
      <w:r w:rsidR="00BF49C7">
        <w:t xml:space="preserve"> </w:t>
      </w:r>
      <w:r w:rsidR="00F76ED4" w:rsidRPr="00C65190">
        <w:t xml:space="preserve">All experiments were approved by the North Rhine-Westphalia State Environment Agency (LANUV, </w:t>
      </w:r>
      <w:proofErr w:type="spellStart"/>
      <w:r w:rsidR="00F76ED4" w:rsidRPr="00C65190">
        <w:t>Landesamt</w:t>
      </w:r>
      <w:proofErr w:type="spellEnd"/>
      <w:r w:rsidR="00F76ED4" w:rsidRPr="00C65190">
        <w:t xml:space="preserve"> für </w:t>
      </w:r>
      <w:proofErr w:type="spellStart"/>
      <w:r w:rsidR="00F76ED4" w:rsidRPr="00C65190">
        <w:t>Natur</w:t>
      </w:r>
      <w:proofErr w:type="spellEnd"/>
      <w:r w:rsidR="00F76ED4" w:rsidRPr="00C65190">
        <w:t xml:space="preserve">, Umwelt und </w:t>
      </w:r>
      <w:proofErr w:type="spellStart"/>
      <w:r w:rsidR="00F76ED4" w:rsidRPr="00C65190">
        <w:t>Verbraucherschutz</w:t>
      </w:r>
      <w:proofErr w:type="spellEnd"/>
      <w:r w:rsidR="00F76ED4" w:rsidRPr="00C65190">
        <w:t>) and were performed in accordance with the relevant guidelines and regulations.</w:t>
      </w:r>
      <w:r w:rsidR="00C76677">
        <w:t xml:space="preserve"> </w:t>
      </w:r>
      <w:r w:rsidR="00BF49C7" w:rsidRPr="00C65190">
        <w:t>The study was conducted in compliance with the ARRIVE guidelines.</w:t>
      </w:r>
    </w:p>
    <w:p w14:paraId="37A6667D" w14:textId="0CCAC762" w:rsidR="004857C6" w:rsidRDefault="004857C6" w:rsidP="005E66CE">
      <w:pPr>
        <w:jc w:val="both"/>
      </w:pPr>
    </w:p>
    <w:p w14:paraId="46795EA4" w14:textId="73DD88C9" w:rsidR="007E1D1D" w:rsidRDefault="007E1D1D" w:rsidP="005E66CE">
      <w:pPr>
        <w:pStyle w:val="Heading2"/>
        <w:jc w:val="both"/>
      </w:pPr>
      <w:r>
        <w:t>Food preference experiments</w:t>
      </w:r>
    </w:p>
    <w:p w14:paraId="5E5787A5" w14:textId="26103913" w:rsidR="008E7ECE" w:rsidRDefault="007E1D1D" w:rsidP="00532B9D">
      <w:pPr>
        <w:jc w:val="both"/>
        <w:rPr>
          <w:color w:val="000000" w:themeColor="text1"/>
        </w:rPr>
      </w:pPr>
      <w:r w:rsidRPr="00AB46D2">
        <w:t>The milk solution was made of dairy cooking crème (</w:t>
      </w:r>
      <w:proofErr w:type="spellStart"/>
      <w:r w:rsidRPr="00AB46D2">
        <w:t>Molkerei</w:t>
      </w:r>
      <w:proofErr w:type="spellEnd"/>
      <w:r w:rsidRPr="00AB46D2">
        <w:t xml:space="preserve"> </w:t>
      </w:r>
      <w:proofErr w:type="spellStart"/>
      <w:r w:rsidRPr="00AB46D2">
        <w:t>Weihenstephan</w:t>
      </w:r>
      <w:proofErr w:type="spellEnd"/>
      <w:r w:rsidRPr="00AB46D2">
        <w:t xml:space="preserve">, Germany) diluted in water to provide 1.64 kcal/g and a final composition of 5% fat, 1.3% carbohydrate, 1% protein </w:t>
      </w:r>
      <w:sdt>
        <w:sdtPr>
          <w:rPr>
            <w:color w:val="000000"/>
          </w:rPr>
          <w:tag w:val="MENDELEY_CITATION_v3_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"/>
          <w:id w:val="2060977093"/>
          <w:placeholder>
            <w:docPart w:val="E39E94752A330345BD01691DFC36659A"/>
          </w:placeholder>
        </w:sdtPr>
        <w:sdtEndPr>
          <w:rPr>
            <w:lang w:val="de-DE"/>
          </w:rPr>
        </w:sdtEndPr>
        <w:sdtContent>
          <w:r w:rsidR="002D5B9C" w:rsidRPr="002D5B9C">
            <w:rPr>
              <w:color w:val="000000"/>
            </w:rPr>
            <w:t>(4)</w:t>
          </w:r>
        </w:sdtContent>
      </w:sdt>
      <w:r w:rsidRPr="00AB46D2">
        <w:t>. The milk preference test was also conducted after 24 h of fasting (food removed but water available). The</w:t>
      </w:r>
      <w:r w:rsidRPr="00AB46D2">
        <w:rPr>
          <w:i/>
        </w:rPr>
        <w:t xml:space="preserve"> </w:t>
      </w:r>
      <w:r w:rsidRPr="00AB46D2">
        <w:t>intake of food, water and the test solutions were measured after 1, 3, 6, and 24 h.</w:t>
      </w:r>
      <w:r>
        <w:t xml:space="preserve"> The milk preference test was stopped at the 6 h time-point since the milk spoiled at room temperature when kept for 24 h.</w:t>
      </w:r>
      <w:r w:rsidRPr="00AB46D2">
        <w:t xml:space="preserve"> Preference for palatable solutions was calculated over total liquid intake (solution of choice / (solution of choice + water)) x 100</w:t>
      </w:r>
      <w:r w:rsidRPr="00D9699C">
        <w:rPr>
          <w:color w:val="000000" w:themeColor="text1"/>
        </w:rPr>
        <w:t xml:space="preserve">). We considered mice to have developed a preference when they showed more than a 75% preference for the </w:t>
      </w:r>
      <w:r w:rsidRPr="00D9699C">
        <w:rPr>
          <w:color w:val="000000" w:themeColor="text1"/>
        </w:rPr>
        <w:lastRenderedPageBreak/>
        <w:t xml:space="preserve">solution of choice. Milk preference developed the fastest, after 1h of exposure, sucrose preference by 6 h and saccharine preference by 24 h, thus the respective time points are shown on graphs. </w:t>
      </w:r>
      <w:bookmarkStart w:id="0" w:name="_75tjj3a99arx" w:colFirst="0" w:colLast="0"/>
      <w:bookmarkEnd w:id="0"/>
    </w:p>
    <w:p w14:paraId="0A64DCF8" w14:textId="77777777" w:rsidR="00FA1598" w:rsidRDefault="00FA1598" w:rsidP="00532B9D">
      <w:pPr>
        <w:jc w:val="both"/>
        <w:rPr>
          <w:color w:val="000000" w:themeColor="text1"/>
        </w:rPr>
      </w:pPr>
    </w:p>
    <w:p w14:paraId="24E1AC47" w14:textId="0C1F6080" w:rsidR="00FA1598" w:rsidRPr="00FA1598" w:rsidRDefault="00FA1598" w:rsidP="00532B9D">
      <w:pPr>
        <w:jc w:val="both"/>
        <w:rPr>
          <w:b/>
          <w:bCs/>
          <w:color w:val="000000" w:themeColor="text1"/>
        </w:rPr>
      </w:pPr>
      <w:r w:rsidRPr="00FA1598">
        <w:rPr>
          <w:b/>
          <w:bCs/>
          <w:color w:val="000000" w:themeColor="text1"/>
        </w:rPr>
        <w:t>References</w:t>
      </w:r>
    </w:p>
    <w:sdt>
      <w:sdtPr>
        <w:tag w:val="MENDELEY_BIBLIOGRAPHY"/>
        <w:id w:val="1807661966"/>
        <w:placeholder>
          <w:docPart w:val="DefaultPlaceholder_-1854013440"/>
        </w:placeholder>
      </w:sdtPr>
      <w:sdtContent>
        <w:p w14:paraId="10AF72DF" w14:textId="77777777" w:rsidR="002D5B9C" w:rsidRDefault="002D5B9C">
          <w:pPr>
            <w:autoSpaceDE w:val="0"/>
            <w:autoSpaceDN w:val="0"/>
            <w:ind w:hanging="640"/>
            <w:divId w:val="1429305540"/>
            <w:rPr>
              <w:rFonts w:eastAsia="Times New Roman"/>
            </w:rPr>
          </w:pPr>
          <w:r>
            <w:rPr>
              <w:rFonts w:eastAsia="Times New Roman"/>
            </w:rPr>
            <w:t>1.</w:t>
          </w:r>
          <w:r>
            <w:rPr>
              <w:rFonts w:eastAsia="Times New Roman"/>
            </w:rPr>
            <w:tab/>
            <w:t xml:space="preserve">Massa MG, Correa SM. Sexes on the Brain: Sex as Multiple Biological Variables in the Neuronal Control of Feeding. </w:t>
          </w:r>
          <w:proofErr w:type="spellStart"/>
          <w:r>
            <w:rPr>
              <w:rFonts w:eastAsia="Times New Roman"/>
            </w:rPr>
            <w:t>Biochim</w:t>
          </w:r>
          <w:proofErr w:type="spellEnd"/>
          <w:r>
            <w:rPr>
              <w:rFonts w:eastAsia="Times New Roman"/>
            </w:rPr>
            <w:t xml:space="preserve"> </w:t>
          </w:r>
          <w:proofErr w:type="spellStart"/>
          <w:r>
            <w:rPr>
              <w:rFonts w:eastAsia="Times New Roman"/>
            </w:rPr>
            <w:t>Biophys</w:t>
          </w:r>
          <w:proofErr w:type="spellEnd"/>
          <w:r>
            <w:rPr>
              <w:rFonts w:eastAsia="Times New Roman"/>
            </w:rPr>
            <w:t xml:space="preserve"> Acta Mol Basis Dis. 2020 Oct 10;1866(10):165840. </w:t>
          </w:r>
        </w:p>
        <w:p w14:paraId="35D69706" w14:textId="77777777" w:rsidR="002D5B9C" w:rsidRPr="002D5B9C" w:rsidRDefault="002D5B9C">
          <w:pPr>
            <w:autoSpaceDE w:val="0"/>
            <w:autoSpaceDN w:val="0"/>
            <w:ind w:hanging="640"/>
            <w:divId w:val="617299017"/>
            <w:rPr>
              <w:rFonts w:eastAsia="Times New Roman"/>
              <w:lang w:val="de-DE"/>
            </w:rPr>
          </w:pPr>
          <w:r>
            <w:rPr>
              <w:rFonts w:eastAsia="Times New Roman"/>
            </w:rPr>
            <w:t>2.</w:t>
          </w:r>
          <w:r>
            <w:rPr>
              <w:rFonts w:eastAsia="Times New Roman"/>
            </w:rPr>
            <w:tab/>
          </w:r>
          <w:proofErr w:type="spellStart"/>
          <w:r>
            <w:rPr>
              <w:rFonts w:eastAsia="Times New Roman"/>
            </w:rPr>
            <w:t>Mauvais</w:t>
          </w:r>
          <w:proofErr w:type="spellEnd"/>
          <w:r>
            <w:rPr>
              <w:rFonts w:eastAsia="Times New Roman"/>
            </w:rPr>
            <w:t xml:space="preserve">-Jarvis F. Sex differences in metabolic homeostasis, diabetes, and obesity. </w:t>
          </w:r>
          <w:proofErr w:type="spellStart"/>
          <w:r w:rsidRPr="002D5B9C">
            <w:rPr>
              <w:rFonts w:eastAsia="Times New Roman"/>
              <w:lang w:val="de-DE"/>
            </w:rPr>
            <w:t>Biol</w:t>
          </w:r>
          <w:proofErr w:type="spellEnd"/>
          <w:r w:rsidRPr="002D5B9C">
            <w:rPr>
              <w:rFonts w:eastAsia="Times New Roman"/>
              <w:lang w:val="de-DE"/>
            </w:rPr>
            <w:t xml:space="preserve"> Sex </w:t>
          </w:r>
          <w:proofErr w:type="spellStart"/>
          <w:r w:rsidRPr="002D5B9C">
            <w:rPr>
              <w:rFonts w:eastAsia="Times New Roman"/>
              <w:lang w:val="de-DE"/>
            </w:rPr>
            <w:t>Differ</w:t>
          </w:r>
          <w:proofErr w:type="spellEnd"/>
          <w:r w:rsidRPr="002D5B9C">
            <w:rPr>
              <w:rFonts w:eastAsia="Times New Roman"/>
              <w:lang w:val="de-DE"/>
            </w:rPr>
            <w:t xml:space="preserve">. 2015 </w:t>
          </w:r>
          <w:proofErr w:type="spellStart"/>
          <w:r w:rsidRPr="002D5B9C">
            <w:rPr>
              <w:rFonts w:eastAsia="Times New Roman"/>
              <w:lang w:val="de-DE"/>
            </w:rPr>
            <w:t>Dec</w:t>
          </w:r>
          <w:proofErr w:type="spellEnd"/>
          <w:r w:rsidRPr="002D5B9C">
            <w:rPr>
              <w:rFonts w:eastAsia="Times New Roman"/>
              <w:lang w:val="de-DE"/>
            </w:rPr>
            <w:t xml:space="preserve"> 1;6(1):1–9. </w:t>
          </w:r>
        </w:p>
        <w:p w14:paraId="046C9BFF" w14:textId="77777777" w:rsidR="002D5B9C" w:rsidRDefault="002D5B9C">
          <w:pPr>
            <w:autoSpaceDE w:val="0"/>
            <w:autoSpaceDN w:val="0"/>
            <w:ind w:hanging="640"/>
            <w:divId w:val="1409575665"/>
            <w:rPr>
              <w:rFonts w:eastAsia="Times New Roman"/>
            </w:rPr>
          </w:pPr>
          <w:r w:rsidRPr="002D5B9C">
            <w:rPr>
              <w:rFonts w:eastAsia="Times New Roman"/>
              <w:lang w:val="de-DE"/>
            </w:rPr>
            <w:t>3.</w:t>
          </w:r>
          <w:r w:rsidRPr="002D5B9C">
            <w:rPr>
              <w:rFonts w:eastAsia="Times New Roman"/>
              <w:lang w:val="de-DE"/>
            </w:rPr>
            <w:tab/>
          </w:r>
          <w:proofErr w:type="spellStart"/>
          <w:r w:rsidRPr="002D5B9C">
            <w:rPr>
              <w:rFonts w:eastAsia="Times New Roman"/>
              <w:lang w:val="de-DE"/>
            </w:rPr>
            <w:t>Schuele</w:t>
          </w:r>
          <w:proofErr w:type="spellEnd"/>
          <w:r w:rsidRPr="002D5B9C">
            <w:rPr>
              <w:rFonts w:eastAsia="Times New Roman"/>
              <w:lang w:val="de-DE"/>
            </w:rPr>
            <w:t xml:space="preserve"> LL, Glasmacher S, Gertsch J, </w:t>
          </w:r>
          <w:proofErr w:type="spellStart"/>
          <w:r w:rsidRPr="002D5B9C">
            <w:rPr>
              <w:rFonts w:eastAsia="Times New Roman"/>
              <w:lang w:val="de-DE"/>
            </w:rPr>
            <w:t>Roggan</w:t>
          </w:r>
          <w:proofErr w:type="spellEnd"/>
          <w:r w:rsidRPr="002D5B9C">
            <w:rPr>
              <w:rFonts w:eastAsia="Times New Roman"/>
              <w:lang w:val="de-DE"/>
            </w:rPr>
            <w:t xml:space="preserve"> MD, Transfeld JL, </w:t>
          </w:r>
          <w:proofErr w:type="spellStart"/>
          <w:r w:rsidRPr="002D5B9C">
            <w:rPr>
              <w:rFonts w:eastAsia="Times New Roman"/>
              <w:lang w:val="de-DE"/>
            </w:rPr>
            <w:t>Bindila</w:t>
          </w:r>
          <w:proofErr w:type="spellEnd"/>
          <w:r w:rsidRPr="002D5B9C">
            <w:rPr>
              <w:rFonts w:eastAsia="Times New Roman"/>
              <w:lang w:val="de-DE"/>
            </w:rPr>
            <w:t xml:space="preserve"> L, et al. </w:t>
          </w:r>
          <w:r>
            <w:rPr>
              <w:rFonts w:eastAsia="Times New Roman"/>
            </w:rPr>
            <w:t xml:space="preserve">Diacylglycerol lipase alpha in astrocytes is involved in maternal care and affective behaviors. Glia. 2021 Feb 1;69(2):377–91. </w:t>
          </w:r>
        </w:p>
        <w:p w14:paraId="55A93ECE" w14:textId="77777777" w:rsidR="002D5B9C" w:rsidRDefault="002D5B9C">
          <w:pPr>
            <w:autoSpaceDE w:val="0"/>
            <w:autoSpaceDN w:val="0"/>
            <w:ind w:hanging="640"/>
            <w:divId w:val="1063211380"/>
            <w:rPr>
              <w:rFonts w:eastAsia="Times New Roman"/>
            </w:rPr>
          </w:pPr>
          <w:r>
            <w:rPr>
              <w:rFonts w:eastAsia="Times New Roman"/>
            </w:rPr>
            <w:t>4.</w:t>
          </w:r>
          <w:r>
            <w:rPr>
              <w:rFonts w:eastAsia="Times New Roman"/>
            </w:rPr>
            <w:tab/>
            <w:t xml:space="preserve">Leidmaa E, </w:t>
          </w:r>
          <w:proofErr w:type="spellStart"/>
          <w:r>
            <w:rPr>
              <w:rFonts w:eastAsia="Times New Roman"/>
            </w:rPr>
            <w:t>Gazea</w:t>
          </w:r>
          <w:proofErr w:type="spellEnd"/>
          <w:r>
            <w:rPr>
              <w:rFonts w:eastAsia="Times New Roman"/>
            </w:rPr>
            <w:t xml:space="preserve"> M, </w:t>
          </w:r>
          <w:proofErr w:type="spellStart"/>
          <w:r>
            <w:rPr>
              <w:rFonts w:eastAsia="Times New Roman"/>
            </w:rPr>
            <w:t>Patchev</w:t>
          </w:r>
          <w:proofErr w:type="spellEnd"/>
          <w:r>
            <w:rPr>
              <w:rFonts w:eastAsia="Times New Roman"/>
            </w:rPr>
            <w:t xml:space="preserve"> A V., </w:t>
          </w:r>
          <w:proofErr w:type="spellStart"/>
          <w:r>
            <w:rPr>
              <w:rFonts w:eastAsia="Times New Roman"/>
            </w:rPr>
            <w:t>Pissioti</w:t>
          </w:r>
          <w:proofErr w:type="spellEnd"/>
          <w:r>
            <w:rPr>
              <w:rFonts w:eastAsia="Times New Roman"/>
            </w:rPr>
            <w:t xml:space="preserve"> A, Christian </w:t>
          </w:r>
          <w:proofErr w:type="spellStart"/>
          <w:r>
            <w:rPr>
              <w:rFonts w:eastAsia="Times New Roman"/>
            </w:rPr>
            <w:t>Gassen</w:t>
          </w:r>
          <w:proofErr w:type="spellEnd"/>
          <w:r>
            <w:rPr>
              <w:rFonts w:eastAsia="Times New Roman"/>
            </w:rPr>
            <w:t xml:space="preserve"> N, Kimura M, et al. Blunted leptin sensitivity during hedonic overeating can be reinstated by activating galanin 2 receptors (Gal2R) in the lateral hypothalamus. Acta </w:t>
          </w:r>
          <w:proofErr w:type="spellStart"/>
          <w:r>
            <w:rPr>
              <w:rFonts w:eastAsia="Times New Roman"/>
            </w:rPr>
            <w:t>Physiologica</w:t>
          </w:r>
          <w:proofErr w:type="spellEnd"/>
          <w:r>
            <w:rPr>
              <w:rFonts w:eastAsia="Times New Roman"/>
            </w:rPr>
            <w:t xml:space="preserve">. </w:t>
          </w:r>
          <w:proofErr w:type="gramStart"/>
          <w:r>
            <w:rPr>
              <w:rFonts w:eastAsia="Times New Roman"/>
            </w:rPr>
            <w:t>2019;</w:t>
          </w:r>
          <w:proofErr w:type="gramEnd"/>
          <w:r>
            <w:rPr>
              <w:rFonts w:eastAsia="Times New Roman"/>
            </w:rPr>
            <w:t xml:space="preserve"> </w:t>
          </w:r>
        </w:p>
        <w:p w14:paraId="24747FBA" w14:textId="58DB5561" w:rsidR="002D5B9C" w:rsidRDefault="002D5B9C" w:rsidP="00532B9D">
          <w:pPr>
            <w:jc w:val="both"/>
          </w:pPr>
          <w:r>
            <w:rPr>
              <w:rFonts w:eastAsia="Times New Roman"/>
            </w:rPr>
            <w:t> </w:t>
          </w:r>
        </w:p>
      </w:sdtContent>
    </w:sdt>
    <w:sectPr w:rsidR="002D5B9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E92F16"/>
    <w:rsid w:val="00010367"/>
    <w:rsid w:val="0005736A"/>
    <w:rsid w:val="000E181B"/>
    <w:rsid w:val="00201198"/>
    <w:rsid w:val="0022621B"/>
    <w:rsid w:val="002908DA"/>
    <w:rsid w:val="002A0400"/>
    <w:rsid w:val="002B6926"/>
    <w:rsid w:val="002D5B9C"/>
    <w:rsid w:val="00397F19"/>
    <w:rsid w:val="004857C6"/>
    <w:rsid w:val="00532B9D"/>
    <w:rsid w:val="005E66CE"/>
    <w:rsid w:val="007E1D1D"/>
    <w:rsid w:val="008A13A2"/>
    <w:rsid w:val="008E7ECE"/>
    <w:rsid w:val="00A13363"/>
    <w:rsid w:val="00B34827"/>
    <w:rsid w:val="00BF49C7"/>
    <w:rsid w:val="00C65190"/>
    <w:rsid w:val="00C76677"/>
    <w:rsid w:val="00CE29B5"/>
    <w:rsid w:val="00D5297B"/>
    <w:rsid w:val="00D71D7C"/>
    <w:rsid w:val="00DE5316"/>
    <w:rsid w:val="00EF1ED4"/>
    <w:rsid w:val="00EF3B48"/>
    <w:rsid w:val="00F76ED4"/>
    <w:rsid w:val="00FA1598"/>
    <w:rsid w:val="64E92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92F16"/>
  <w15:chartTrackingRefBased/>
  <w15:docId w15:val="{D41B19B0-F1D5-4068-8F68-80290EC2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190"/>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8A13A2"/>
    <w:pPr>
      <w:keepNext/>
      <w:keepLines/>
      <w:spacing w:before="240" w:after="0" w:line="480" w:lineRule="auto"/>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next w:val="Normal"/>
    <w:link w:val="Heading2Char"/>
    <w:uiPriority w:val="9"/>
    <w:unhideWhenUsed/>
    <w:qFormat/>
    <w:rsid w:val="005E66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66CE"/>
    <w:rPr>
      <w:rFonts w:asciiTheme="majorHAnsi" w:eastAsiaTheme="majorEastAsia" w:hAnsiTheme="majorHAnsi" w:cstheme="majorBidi"/>
      <w:color w:val="2F5496" w:themeColor="accent1" w:themeShade="BF"/>
      <w:sz w:val="26"/>
      <w:szCs w:val="26"/>
      <w:lang w:val="en-US"/>
    </w:rPr>
  </w:style>
  <w:style w:type="character" w:styleId="PlaceholderText">
    <w:name w:val="Placeholder Text"/>
    <w:basedOn w:val="DefaultParagraphFont"/>
    <w:uiPriority w:val="99"/>
    <w:semiHidden/>
    <w:rsid w:val="002D5B9C"/>
    <w:rPr>
      <w:color w:val="808080"/>
    </w:rPr>
  </w:style>
  <w:style w:type="character" w:customStyle="1" w:styleId="Heading1Char">
    <w:name w:val="Heading 1 Char"/>
    <w:basedOn w:val="DefaultParagraphFont"/>
    <w:link w:val="Heading1"/>
    <w:uiPriority w:val="9"/>
    <w:rsid w:val="008A13A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938405">
      <w:bodyDiv w:val="1"/>
      <w:marLeft w:val="0"/>
      <w:marRight w:val="0"/>
      <w:marTop w:val="0"/>
      <w:marBottom w:val="0"/>
      <w:divBdr>
        <w:top w:val="none" w:sz="0" w:space="0" w:color="auto"/>
        <w:left w:val="none" w:sz="0" w:space="0" w:color="auto"/>
        <w:bottom w:val="none" w:sz="0" w:space="0" w:color="auto"/>
        <w:right w:val="none" w:sz="0" w:space="0" w:color="auto"/>
      </w:divBdr>
      <w:divsChild>
        <w:div w:id="1429305540">
          <w:marLeft w:val="640"/>
          <w:marRight w:val="0"/>
          <w:marTop w:val="0"/>
          <w:marBottom w:val="0"/>
          <w:divBdr>
            <w:top w:val="none" w:sz="0" w:space="0" w:color="auto"/>
            <w:left w:val="none" w:sz="0" w:space="0" w:color="auto"/>
            <w:bottom w:val="none" w:sz="0" w:space="0" w:color="auto"/>
            <w:right w:val="none" w:sz="0" w:space="0" w:color="auto"/>
          </w:divBdr>
        </w:div>
        <w:div w:id="617299017">
          <w:marLeft w:val="640"/>
          <w:marRight w:val="0"/>
          <w:marTop w:val="0"/>
          <w:marBottom w:val="0"/>
          <w:divBdr>
            <w:top w:val="none" w:sz="0" w:space="0" w:color="auto"/>
            <w:left w:val="none" w:sz="0" w:space="0" w:color="auto"/>
            <w:bottom w:val="none" w:sz="0" w:space="0" w:color="auto"/>
            <w:right w:val="none" w:sz="0" w:space="0" w:color="auto"/>
          </w:divBdr>
        </w:div>
        <w:div w:id="1409575665">
          <w:marLeft w:val="640"/>
          <w:marRight w:val="0"/>
          <w:marTop w:val="0"/>
          <w:marBottom w:val="0"/>
          <w:divBdr>
            <w:top w:val="none" w:sz="0" w:space="0" w:color="auto"/>
            <w:left w:val="none" w:sz="0" w:space="0" w:color="auto"/>
            <w:bottom w:val="none" w:sz="0" w:space="0" w:color="auto"/>
            <w:right w:val="none" w:sz="0" w:space="0" w:color="auto"/>
          </w:divBdr>
        </w:div>
        <w:div w:id="106321138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C34763DD416F4D93F75C2BDA19C501"/>
        <w:category>
          <w:name w:val="General"/>
          <w:gallery w:val="placeholder"/>
        </w:category>
        <w:types>
          <w:type w:val="bbPlcHdr"/>
        </w:types>
        <w:behaviors>
          <w:behavior w:val="content"/>
        </w:behaviors>
        <w:guid w:val="{CC88861D-392D-9946-AC49-D18507C2BD28}"/>
      </w:docPartPr>
      <w:docPartBody>
        <w:p w:rsidR="00F1659D" w:rsidRDefault="0066171D" w:rsidP="0066171D">
          <w:pPr>
            <w:pStyle w:val="47C34763DD416F4D93F75C2BDA19C501"/>
          </w:pPr>
          <w:r w:rsidRPr="00F8435D">
            <w:rPr>
              <w:rStyle w:val="PlaceholderText"/>
            </w:rPr>
            <w:t>Click or tap here to enter text.</w:t>
          </w:r>
        </w:p>
      </w:docPartBody>
    </w:docPart>
    <w:docPart>
      <w:docPartPr>
        <w:name w:val="E39E94752A330345BD01691DFC36659A"/>
        <w:category>
          <w:name w:val="General"/>
          <w:gallery w:val="placeholder"/>
        </w:category>
        <w:types>
          <w:type w:val="bbPlcHdr"/>
        </w:types>
        <w:behaviors>
          <w:behavior w:val="content"/>
        </w:behaviors>
        <w:guid w:val="{286C04E9-E5C8-AD4C-9AFC-B855FEBBAE40}"/>
      </w:docPartPr>
      <w:docPartBody>
        <w:p w:rsidR="00F1659D" w:rsidRDefault="0066171D" w:rsidP="0066171D">
          <w:pPr>
            <w:pStyle w:val="E39E94752A330345BD01691DFC36659A"/>
          </w:pPr>
          <w:r w:rsidRPr="00F8435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74DE3C25-4D86-AB4C-80FE-E96AF29D31E1}"/>
      </w:docPartPr>
      <w:docPartBody>
        <w:p w:rsidR="00000000" w:rsidRDefault="004B5E60">
          <w:r w:rsidRPr="008850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71D"/>
    <w:rsid w:val="0015393C"/>
    <w:rsid w:val="004B5E60"/>
    <w:rsid w:val="00576451"/>
    <w:rsid w:val="0066171D"/>
    <w:rsid w:val="006E5615"/>
    <w:rsid w:val="00F16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5E60"/>
    <w:rPr>
      <w:color w:val="808080"/>
    </w:rPr>
  </w:style>
  <w:style w:type="paragraph" w:customStyle="1" w:styleId="47C34763DD416F4D93F75C2BDA19C501">
    <w:name w:val="47C34763DD416F4D93F75C2BDA19C501"/>
    <w:rsid w:val="0066171D"/>
  </w:style>
  <w:style w:type="paragraph" w:customStyle="1" w:styleId="E39E94752A330345BD01691DFC36659A">
    <w:name w:val="E39E94752A330345BD01691DFC36659A"/>
    <w:rsid w:val="006617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34AF9E-36E3-7C4C-A4EE-8DD889410E26}">
  <we:reference id="wa104382081" version="1.55.1.0" store="en-US" storeType="OMEX"/>
  <we:alternateReferences>
    <we:reference id="wa104382081" version="1.55.1.0" store="" storeType="OMEX"/>
  </we:alternateReferences>
  <we:properties>
    <we:property name="MENDELEY_CITATIONS" value="[{&quot;citationID&quot;:&quot;MENDELEY_CITATION_590419ab-d4b7-4be3-9d76-904860c48d78&quot;,&quot;properties&quot;:{&quot;noteIndex&quot;:0},&quot;isEdited&quot;:false,&quot;manualOverride&quot;:{&quot;citeprocText&quot;:&quot;(1,2)&quot;,&quot;isManuallyOverridden&quot;:false,&quot;manualOverrideText&quot;:&quot;&quot;},&quot;citationTag&quot;:&quot;MENDELEY_CITATION_v3_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&quot;,&quot;citationItems&quot;:[{&quot;id&quot;:&quot;bfdbf0a3-20ac-38f7-814e-9519579accb3&quot;,&quot;itemData&quot;:{&quot;type&quot;:&quot;article-journal&quot;,&quot;id&quot;:&quot;bfdbf0a3-20ac-38f7-814e-9519579accb3&quot;,&quot;title&quot;:&quot;Sexes on the Brain: Sex as Multiple Biological Variables in the Neuronal Control of Feeding&quot;,&quot;author&quot;:[{&quot;family&quot;:&quot;Massa&quot;,&quot;given&quot;:&quot;Megan G.&quot;,&quot;parse-names&quot;:false,&quot;dropping-particle&quot;:&quot;&quot;,&quot;non-dropping-particle&quot;:&quot;&quot;},{&quot;family&quot;:&quot;Correa&quot;,&quot;given&quot;:&quot;Stephanie M.&quot;,&quot;parse-names&quot;:false,&quot;dropping-particle&quot;:&quot;&quot;,&quot;non-dropping-particle&quot;:&quot;&quot;}],&quot;container-title&quot;:&quot;Biochimica et biophysica acta. Molecular basis of disease&quot;,&quot;accessed&quot;:{&quot;date-parts&quot;:[[2022,5,25]]},&quot;DOI&quot;:&quot;10.1016/J.BBADIS.2020.165840&quot;,&quot;ISSN&quot;:&quot;1879260X&quot;,&quot;PMID&quot;:&quot;32428559&quot;,&quot;URL&quot;:&quot;/pmc/articles/PMC7442728/&quot;,&quot;issued&quot;:{&quot;date-parts&quot;:[[2020,10,10]]},&quot;page&quot;:&quot;165840&quot;,&quot;abstract&quot;:&quot;Neuronal interactions at the level of vagal, homeostatic, and hedonic circuitry work to regulate the neuronal control of feeding. This integrative system appears to vary across sex and gender in the animal and human worlds. Most feeding research investigating these variations across sex and gender focus on how the organizational and activational mechanisms of hormones contribute to these differences. However, in limited studies spanning both the central and peripheral nervous systems, sex differences in feeding have been shown to manifest not just at the level of the hormonal, but also at the chromosomal, epigenetic, cellular, and even circuitry levels to alter food intake. In this review, we provide a brief orientation to the current understanding of how these neuronal systems interact before dissecting selected studies from the recent literature to exemplify how feeding physiology at all levels can be affected by the various components of sex.&quot;,&quot;publisher&quot;:&quot;NIH Public Access&quot;,&quot;issue&quot;:&quot;10&quot;,&quot;volume&quot;:&quot;1866&quot;,&quot;container-title-short&quot;:&quot;Biochim Biophys Acta Mol Basis Dis&quot;},&quot;uris&quot;:[&quot;http://www.mendeley.com/documents/?uuid=bfdbf0a3-20ac-38f7-814e-9519579accb3&quot;],&quot;isTemporary&quot;:false,&quot;legacyDesktopId&quot;:&quot;bfdbf0a3-20ac-38f7-814e-9519579accb3&quot;},{&quot;id&quot;:&quot;fccf72d6-bdf0-3976-9b83-9e9788c7d18d&quot;,&quot;itemData&quot;:{&quot;type&quot;:&quot;article-journal&quot;,&quot;id&quot;:&quot;fccf72d6-bdf0-3976-9b83-9e9788c7d18d&quot;,&quot;title&quot;:&quot;Sex differences in metabolic homeostasis, diabetes, and obesity&quot;,&quot;author&quot;:[{&quot;family&quot;:&quot;Mauvais-Jarvis&quot;,&quot;given&quot;:&quot;Franck&quot;,&quot;parse-names&quot;:false,&quot;dropping-particle&quot;:&quot;&quot;,&quot;non-dropping-particle&quot;:&quot;&quot;}],&quot;container-title&quot;:&quot;Biology of Sex Differences&quot;,&quot;accessed&quot;:{&quot;date-parts&quot;:[[2022,5,25]]},&quot;DOI&quot;:&quot;10.1186/S13293-015-0033-Y/FIGURES/4&quot;,&quot;ISSN&quot;:&quot;20426410&quot;,&quot;URL&quot;:&quot;https://bsd.biomedcentral.com/articles/10.1186/s13293-015-0033-y&quot;,&quot;issued&quot;:{&quot;date-parts&quot;:[[2015,12,1]]},&quot;page&quot;:&quot;1-9&quot;,&quot;abstract&quot;:&quot;There are fundamental aspects of the control of metabolic homeostasis that are regulated differently in males and females. This sex asymmetry represents an evolutionary paradigm for females to resist the loss of energy stores. This perspective discusses the most fundamental sex differences in metabolic homeostasis, diabetes, and obesity. Together, the role of genetic sex, the programming effect of testosterone in the prenatal period in males, and the activational role of sex hormones at puberty produce two different biological systems in males and females that need to be studied separately. These sex-specific differences in energy homeostasis and metabolic dysfunction represent an untested source of factors that can be harnessed to develop relevant sex-based therapeutic avenues for diabetes, metabolic syndrome, and obesity.&quot;,&quot;publisher&quot;:&quot;BioMed Central Ltd.&quot;,&quot;issue&quot;:&quot;1&quot;,&quot;volume&quot;:&quot;6&quot;,&quot;container-title-short&quot;:&quot;Biol Sex Differ&quot;},&quot;uris&quot;:[&quot;http://www.mendeley.com/documents/?uuid=fccf72d6-bdf0-3976-9b83-9e9788c7d18d&quot;],&quot;isTemporary&quot;:false,&quot;legacyDesktopId&quot;:&quot;fccf72d6-bdf0-3976-9b83-9e9788c7d18d&quot;}]},{&quot;citationID&quot;:&quot;MENDELEY_CITATION_b96b4f0b-44a5-48bf-9827-0536c3c44ba7&quot;,&quot;properties&quot;:{&quot;noteIndex&quot;:0},&quot;isEdited&quot;:false,&quot;manualOverride&quot;:{&quot;citeprocText&quot;:&quot;(3)&quot;,&quot;isManuallyOverridden&quot;:false,&quot;manualOverrideText&quot;:&quot;&quot;},&quot;citationTag&quot;:&quot;MENDELEY_CITATION_v3_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&quot;,&quot;citationItems&quot;:[{&quot;id&quot;:&quot;cd453a77-7ba5-30bb-9c95-42e0c9f5b529&quot;,&quot;itemData&quot;:{&quot;type&quot;:&quot;article-journal&quot;,&quot;id&quot;:&quot;cd453a77-7ba5-30bb-9c95-42e0c9f5b529&quot;,&quot;title&quot;:&quot;Diacylglycerol lipase alpha in astrocytes is involved in maternal care and affective behaviors&quot;,&quot;author&quot;:[{&quot;family&quot;:&quot;Schuele&quot;,&quot;given&quot;:&quot;Lena Louise&quot;,&quot;parse-names&quot;:false,&quot;dropping-particle&quot;:&quot;&quot;,&quot;non-dropping-particle&quot;:&quot;&quot;},{&quot;family&quot;:&quot;Glasmacher&quot;,&quot;given&quot;:&quot;Sandra&quot;,&quot;parse-names&quot;:false,&quot;dropping-particle&quot;:&quot;&quot;,&quot;non-dropping-particle&quot;:&quot;&quot;},{&quot;family&quot;:&quot;Gertsch&quot;,&quot;given&quot;:&quot;Jürg&quot;,&quot;parse-names&quot;:false,&quot;dropping-particle&quot;:&quot;&quot;,&quot;non-dropping-particle&quot;:&quot;&quot;},{&quot;family&quot;:&quot;Roggan&quot;,&quot;given&quot;:&quot;Marie Denise&quot;,&quot;parse-names&quot;:false,&quot;dropping-particle&quot;:&quot;&quot;,&quot;non-dropping-particle&quot;:&quot;&quot;},{&quot;family&quot;:&quot;Transfeld&quot;,&quot;given&quot;:&quot;Janis Lisa&quot;,&quot;parse-names&quot;:false,&quot;dropping-particle&quot;:&quot;&quot;,&quot;non-dropping-particle&quot;:&quot;&quot;},{&quot;family&quot;:&quot;Bindila&quot;,&quot;given&quot;:&quot;Laura&quot;,&quot;parse-names&quot;:false,&quot;dropping-particle&quot;:&quot;&quot;,&quot;non-dropping-particle&quot;:&quot;&quot;},{&quot;family&quot;:&quot;Lutz&quot;,&quot;given&quot;:&quot;Beat&quot;,&quot;parse-names&quot;:false,&quot;dropping-particle&quot;:&quot;&quot;,&quot;non-dropping-particle&quot;:&quot;&quot;},{&quot;family&quot;:&quot;Kolbe&quot;,&quot;given&quot;:&quot;Carl Christian&quot;,&quot;parse-names&quot;:false,&quot;dropping-particle&quot;:&quot;&quot;,&quot;non-dropping-particle&quot;:&quot;&quot;},{&quot;family&quot;:&quot;Bilkei-Gorzo&quot;,&quot;given&quot;:&quot;Andras&quot;,&quot;parse-names&quot;:false,&quot;dropping-particle&quot;:&quot;&quot;,&quot;non-dropping-particle&quot;:&quot;&quot;},{&quot;family&quot;:&quot;Zimmer&quot;,&quot;given&quot;:&quot;Andreas&quot;,&quot;parse-names&quot;:false,&quot;dropping-particle&quot;:&quot;&quot;,&quot;non-dropping-particle&quot;:&quot;&quot;},{&quot;family&quot;:&quot;Leidmaa&quot;,&quot;given&quot;:&quot;Este&quot;,&quot;parse-names&quot;:false,&quot;dropping-particle&quot;:&quot;&quot;,&quot;non-dropping-particle&quot;:&quot;&quot;}],&quot;container-title&quot;:&quot;GLIA&quot;,&quot;accessed&quot;:{&quot;date-parts&quot;:[[2021,1,26]]},&quot;DOI&quot;:&quot;10.1002/glia.23903&quot;,&quot;ISSN&quot;:&quot;10981136&quot;,&quot;PMID&quot;:&quot;32876968&quot;,&quot;issued&quot;:{&quot;date-parts&quot;:[[2021,2,1]]},&quot;page&quot;:&quot;377-391&quot;,&quot;abstract&quot;:&quot;Genetic deletion of cannabinoid CB1 receptors or diacylglycerol lipase alpha (DAGLa), the main enzyme involved in the synthesis of the endocannabinoid (eCB) 2-arachidonoylglycerol (2-AG), produced profound phenotypes in animal models of depression-related behaviors. Furthermore, clinical studies have shown that antagonists of CB1 can increase the incidence and severity of major depressive episodes. However, the underlying pathomechanisms are largely unknown. In this study, we have focused on the possible involvement of astrocytes. Using the highly sensitive RNAscope technology, we show for the first time that a subpopulation of astrocytes in the adult mouse brain expresses Dagla, albeit at low levels. Targeted lipidomics revealed that astrocytic DAGLa only accounts for a minor percentage of the steady-state brain 2-AG levels and other arachidonic acid derived lipids like prostaglandins. Nevertheless, the deletion of Dagla in adult mouse astrocytes had profound behavioral consequences with significantly increased depressive-like behavioral responses and striking effects on maternal behavior, corresponding with increased levels of serum progesterone and estradiol. Our findings therefore indicate that lipids from the DAGLa metabolic axis in astrocytes play a key regulatory role in affective behaviors.&quot;,&quot;publisher&quot;:&quot;John Wiley and Sons Inc&quot;,&quot;issue&quot;:&quot;2&quot;,&quot;volume&quot;:&quot;69&quot;,&quot;container-title-short&quot;:&quot;Glia&quot;},&quot;uris&quot;:[&quot;http://www.mendeley.com/documents/?uuid=cd453a77-7ba5-30bb-9c95-42e0c9f5b529&quot;],&quot;isTemporary&quot;:false,&quot;legacyDesktopId&quot;:&quot;cd453a77-7ba5-30bb-9c95-42e0c9f5b529&quot;}]},{&quot;citationID&quot;:&quot;MENDELEY_CITATION_4ec4cb9b-06fb-40dc-9844-07aaa3abb5c1&quot;,&quot;properties&quot;:{&quot;noteIndex&quot;:0},&quot;isEdited&quot;:false,&quot;manualOverride&quot;:{&quot;citeprocText&quot;:&quot;(4)&quot;,&quot;isManuallyOverridden&quot;:false,&quot;manualOverrideText&quot;:&quot;&quot;},&quot;citationTag&quot;:&quot;MENDELEY_CITATION_v3_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&quot;,&quot;citationItems&quot;:[{&quot;id&quot;:&quot;50fab7af-b7d8-3fa4-b670-b05d513dc960&quot;,&quot;itemData&quot;:{&quot;DOI&quot;:&quot;10.1111/apha.13345&quot;,&quot;ISSN&quot;:&quot;17481716&quot;,&quot;abstract&quot;:&quot;Aim: Since foods with high hedonic value are often consumed in excess of energetic needs, this study was designed to identify the mechanisms that may counter anorexigenic signalling in the presence of hedonic foods in lean animals. Methods: Mice, in different states of satiety (fed/fasted, or fed/fasted and treated with ghrelin or leptin, respectively), were allowed to choose between high-fat/high-sucrose and standard foods. Intake of each food type and the activity of hypothalamic neuropetidergic neurons that regulate appetite were monitored. In some cases, food choice was monitored in leptin-injected fasted mice that received microinjections of galanin receptor agonists into the lateral hypothalamus. Results: Appetite-stimulating orexin neurons in the lateral hypothalamus are rapidly activated when lean, satiated mice consume a highly palatable food (PF); such activation (upregulated c-Fos expression) occurred even after administration of the anorexigenic hormone leptin and despite intact leptin signalling in the hypothalamus. The ability of leptin to restrain PF eating is restored when a galanin receptor 2 (Gal2R) agonist is injected into the lateral hypothalamus. Conclusion: Hedonically-loaded foods interrupt the inhibitory actions of leptin on orexin neurons and interfere with the homeostatic control of feeding. Overeating of palatable foods can be curtailed in lean animals by activating Gal2R in the lateral hypothalamus.&quot;,&quot;author&quot;:[{&quot;dropping-particle&quot;:&quot;&quot;,&quot;family&quot;:&quot;Leidmaa&quot;,&quot;given&quot;:&quot;Este&quot;,&quot;non-dropping-particle&quot;:&quot;&quot;,&quot;parse-names&quot;:false,&quot;suffix&quot;:&quot;&quot;},{&quot;dropping-particle&quot;:&quot;&quot;,&quot;family&quot;:&quot;Gazea&quot;,&quot;given&quot;:&quot;Mary&quot;,&quot;non-dropping-particle&quot;:&quot;&quot;,&quot;parse-names&quot;:false,&quot;suffix&quot;:&quot;&quot;},{&quot;dropping-particle&quot;:&quot;V.&quot;,&quot;family&quot;:&quot;Patchev&quot;,&quot;given&quot;:&quot;Alexandre&quot;,&quot;non-dropping-particle&quot;:&quot;&quot;,&quot;parse-names&quot;:false,&quot;suffix&quot;:&quot;&quot;},{&quot;dropping-particle&quot;:&quot;&quot;,&quot;family&quot;:&quot;Pissioti&quot;,&quot;given&quot;:&quot;Anna&quot;,&quot;non-dropping-particle&quot;:&quot;&quot;,&quot;parse-names&quot;:false,&quot;suffix&quot;:&quot;&quot;},{&quot;dropping-particle&quot;:&quot;&quot;,&quot;family&quot;:&quot;Christian Gassen&quot;,&quot;given&quot;:&quot;Nils&quot;,&quot;non-dropping-particle&quot;:&quot;&quot;,&quot;parse-names&quot;:false,&quot;suffix&quot;:&quot;&quot;},{&quot;dropping-particle&quot;:&quot;&quot;,&quot;family&quot;:&quot;Kimura&quot;,&quot;given&quot;:&quot;Mayumi&quot;,&quot;non-dropping-particle&quot;:&quot;&quot;,&quot;parse-names&quot;:false,&quot;suffix&quot;:&quot;&quot;},{&quot;dropping-particle&quot;:&quot;&quot;,&quot;family&quot;:&quot;Liposits&quot;,&quot;given&quot;:&quot;Zsolt&quot;,&quot;non-dropping-particle&quot;:&quot;&quot;,&quot;parse-names&quot;:false,&quot;suffix&quot;:&quot;&quot;},{&quot;dropping-particle&quot;:&quot;&quot;,&quot;family&quot;:&quot;Kallo&quot;,&quot;given&quot;:&quot;Imre&quot;,&quot;non-dropping-particle&quot;:&quot;&quot;,&quot;parse-names&quot;:false,&quot;suffix&quot;:&quot;&quot;},{&quot;dropping-particle&quot;:&quot;&quot;,&quot;family&quot;:&quot;Almeida&quot;,&quot;given&quot;:&quot;Osborne F.X.&quot;,&quot;non-dropping-particle&quot;:&quot;&quot;,&quot;parse-names&quot;:false,&quot;suffix&quot;:&quot;&quot;}],&quot;container-title&quot;:&quot;Acta Physiologica&quot;,&quot;id&quot;:&quot;50fab7af-b7d8-3fa4-b670-b05d513dc960&quot;,&quot;issued&quot;:{&quot;date-parts&quot;:[[&quot;2019&quot;]]},&quot;publisher&quot;:&quot;Blackwell Publishing Ltd&quot;,&quot;title&quot;:&quot;Blunted leptin sensitivity during hedonic overeating can be reinstated by activating galanin 2 receptors (Gal2R) in the lateral hypothalamus&quot;,&quot;type&quot;:&quot;article-journal&quot;,&quot;container-title-short&quot;:&quot;&quot;},&quot;uris&quot;:[&quot;http://www.mendeley.com/documents/?uuid=50fab7af-b7d8-3fa4-b670-b05d513dc960&quot;],&quot;isTemporary&quot;:false,&quot;legacyDesktopId&quot;:&quot;50fab7af-b7d8-3fa4-b670-b05d513dc960&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C91AF-2351-DD41-AD24-2CE827020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574</Words>
  <Characters>3275</Characters>
  <Application>Microsoft Office Word</Application>
  <DocSecurity>0</DocSecurity>
  <Lines>27</Lines>
  <Paragraphs>7</Paragraphs>
  <ScaleCrop>false</ScaleCrop>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 Leidmaa</dc:creator>
  <cp:keywords/>
  <dc:description/>
  <cp:lastModifiedBy>Este Leidmaa</cp:lastModifiedBy>
  <cp:revision>24</cp:revision>
  <dcterms:created xsi:type="dcterms:W3CDTF">2023-08-26T08:28:00Z</dcterms:created>
  <dcterms:modified xsi:type="dcterms:W3CDTF">2023-11-14T10:58:00Z</dcterms:modified>
</cp:coreProperties>
</file>