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6FB4D" w14:textId="393BA856" w:rsidR="00C25946" w:rsidRPr="00AF7E86" w:rsidRDefault="00C25946" w:rsidP="00BE50A1">
      <w:pPr>
        <w:spacing w:line="480" w:lineRule="auto"/>
        <w:jc w:val="center"/>
        <w:rPr>
          <w:rFonts w:ascii="Times New Roman" w:hAnsi="Times New Roman" w:cs="Times New Roman"/>
          <w:b/>
          <w:color w:val="000000" w:themeColor="text1"/>
          <w:u w:val="single"/>
          <w:lang w:val="en-US"/>
        </w:rPr>
      </w:pPr>
      <w:bookmarkStart w:id="0" w:name="_GoBack"/>
      <w:r w:rsidRPr="00AF7E86">
        <w:rPr>
          <w:rFonts w:ascii="Times New Roman" w:hAnsi="Times New Roman" w:cs="Times New Roman"/>
          <w:b/>
          <w:color w:val="000000" w:themeColor="text1"/>
          <w:u w:val="single"/>
          <w:lang w:val="en-US"/>
        </w:rPr>
        <w:t>Supplemental Material</w:t>
      </w:r>
    </w:p>
    <w:p w14:paraId="40B5C648" w14:textId="77777777" w:rsidR="00C25946" w:rsidRPr="00AF7E86" w:rsidRDefault="00C25946" w:rsidP="00BE50A1">
      <w:pPr>
        <w:spacing w:line="480" w:lineRule="auto"/>
        <w:jc w:val="center"/>
        <w:rPr>
          <w:rFonts w:ascii="Times New Roman" w:hAnsi="Times New Roman" w:cs="Times New Roman"/>
          <w:b/>
          <w:color w:val="000000" w:themeColor="text1"/>
          <w:lang w:val="en-US"/>
        </w:rPr>
      </w:pPr>
    </w:p>
    <w:p w14:paraId="3B7FC572" w14:textId="2128E73C" w:rsidR="00B90338" w:rsidRPr="00AF7E86" w:rsidRDefault="00B90338" w:rsidP="00BE50A1">
      <w:pPr>
        <w:spacing w:line="480" w:lineRule="auto"/>
        <w:jc w:val="both"/>
        <w:rPr>
          <w:rFonts w:ascii="Times New Roman" w:hAnsi="Times New Roman" w:cs="Times New Roman"/>
          <w:b/>
          <w:color w:val="000000" w:themeColor="text1"/>
          <w:lang w:val="en-US"/>
        </w:rPr>
      </w:pPr>
      <w:r w:rsidRPr="00AF7E86">
        <w:rPr>
          <w:rFonts w:ascii="Times New Roman" w:hAnsi="Times New Roman" w:cs="Times New Roman"/>
          <w:b/>
          <w:color w:val="000000" w:themeColor="text1"/>
          <w:lang w:val="en-US"/>
        </w:rPr>
        <w:t>Materials and Methods</w:t>
      </w:r>
    </w:p>
    <w:p w14:paraId="6EC09436" w14:textId="77777777" w:rsidR="00B90338" w:rsidRPr="00AF7E86" w:rsidRDefault="00B90338" w:rsidP="00BE50A1">
      <w:pPr>
        <w:spacing w:line="480" w:lineRule="auto"/>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u w:val="single"/>
          <w:lang w:val="en-US"/>
        </w:rPr>
        <w:t>Macroscopic Tissue Damage Score</w:t>
      </w:r>
    </w:p>
    <w:p w14:paraId="6D02CC9B" w14:textId="084FBB30" w:rsidR="00B90338" w:rsidRPr="00AF7E86" w:rsidRDefault="00B90338"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Upon removal, colons were washed with ice-cold physiological saline (0.9%) and cut open longitudinally and macroscopically scored for damage and inflammation, based on the presence of adhesions, diarrhea and degree of ulceration. This score was adapted from those previously reported </w:t>
      </w:r>
      <w:r w:rsidR="00C25946" w:rsidRPr="00AF7E86">
        <w:rPr>
          <w:rFonts w:ascii="Times New Roman" w:hAnsi="Times New Roman" w:cs="Times New Roman"/>
          <w:color w:val="000000" w:themeColor="text1"/>
          <w:lang w:val="en-US"/>
        </w:rPr>
        <w:fldChar w:fldCharType="begin"/>
      </w:r>
      <w:r w:rsidR="000866ED" w:rsidRPr="00AF7E86">
        <w:rPr>
          <w:rFonts w:ascii="Times New Roman" w:hAnsi="Times New Roman" w:cs="Times New Roman"/>
          <w:color w:val="000000" w:themeColor="text1"/>
          <w:lang w:val="en-US"/>
        </w:rPr>
        <w:instrText xml:space="preserve"> ADDIN ZOTERO_ITEM CSL_CITATION {"citationID":"tLK06uCQ","properties":{"formattedCitation":"(1\\uc0\\u8211{}4)","plainCitation":"(1–4)","noteIndex":0},"citationItems":[{"id":955,"uris":["http://zotero.org/users/6692466/items/X29DYXVN"],"uri":["http://zotero.org/users/6692466/items/X29DYXVN"],"itemData":{"id":955,"type":"article-journal","abstract":"Neuropeptides liberated from enteric neurons have been suggested to contribute to the inflammatory process in colitis. Based in part on this evidence, lidocaine enemas have recently been suggested as a treatment for ulcerative colitis, but their effects have yet to be fully characterized. We have assessed the effects of lidocaine on the development and maintenance of colitis induced by trinitrobenzenesulfonic acid (TNBS) in rats. In the initial experiments, rats were given lidocaine [5-100 mg/kg intrarectally] 30 min before TNBS administration, and the severity of colitis was assessed 6-24 h later. In subsequent experiments, rats received lidocaine intrarectally or subcutaneously 30 min before TNBS administration and once daily for 7 days. The severity of colitis was assessed by blind macroscopic scoring, measurement of myeloperoxidase activity, and histological evaluation. Lidocaine dose dependently reduced the severity of colitis and the infiltration of granulocytes at 24 h and 7 days post-TNBS. At the latter time point, lidocaine was also found to improve the histological appearance of the tissue and significantly reduce mucosal mast cell hyperplasia. Beneficial effects were also evident when intrarectal lidocaine treatment was initiated after induction of colitis or when lidocaine was given subcutaneously. Granulocyte infiltration into the colon could also be attenuated by a substance P receptor antagonist. These results suggest that lidocaine can exert anti-inflammatory effects in colitis, perhaps by virtue of its effects on intrinsic and/or extrinsic nerves.","container-title":"The American Journal of Physiology","DOI":"10.1152/ajpgi.1994.266.4.G560","ISSN":"0002-9513","issue":"4 Pt 1","journalAbbreviation":"Am. J. Physiol.","language":"eng","note":"PMID: 8178994","page":"G560-567","source":"PubMed","title":"Beneficial effects of local or systemic lidocaine in experimental colitis","volume":"266","author":[{"family":"McCafferty","given":"D. M."},{"family":"Sharkey","given":"K. A."},{"family":"Wallace","given":"J. L."}],"issued":{"date-parts":[["1994",4]]}}},{"id":1474,"uris":["http://zotero.org/users/6692466/items/PAKAIWLW"],"uri":["http://zotero.org/users/6692466/items/PAKAIWLW"],"itemData":{"id":1474,"type":"article-journal","abstract":"Well-documented central nervous system changes during colitis suggest possible alterations of blood-brain barrier (BBB) permeability, yet the integrity of the BBB has not been fully evaluated in experimental colitis. Our aim was to investigate whether trinitrobenzene sulphonic acid (TNBS) colitis was associated with an increase in the permeability of the BBB. Sprague-Dawley rats were given an intracolonic injection of saline or TNBS and studied 1, 2, 3, 7 and 21 days after treatment. The extravasation of endogenous immunoglobulin G, a large molecule, was not altered at any time after TNBS treatment. In contrast, significant increases in the BBB leakage of sodium fluorescein, a much smaller molecule, were observed 1 and 2 days after the induction of colitis, in and around the circumventricular organs; the organum vasculosum of the lamina terminalis, subfornical organ and median eminence of the hypothalamus. TNBS-treated rats also exhibited sodium fluorescein leakage in focal areas in the brain parenchyma. The expression of endothelial barrier antigen, a protein associated with the BBB, was reduced about 60% 48 h after the induction of colitis. This returned to control values by 3 weeks, when colitis had largely subsided. In conclusion, experimental colitis transiently increased permeability of the brain to small molecules through a mild disruption of the BBB.","container-title":"Neurogastroenterology and Motility: The Official Journal of the European Gastrointestinal Motility Society","DOI":"10.1111/j.1365-2982.2005.00654.x","ISSN":"1350-1925","issue":"3","journalAbbreviation":"Neurogastroenterol. Motil.","language":"eng","note":"PMID: 15916631","page":"433-446","source":"PubMed","title":"Disruption of the blood-brain barrier during TNBS colitis","volume":"17","author":[{"family":"Natah","given":"S. S."},{"family":"Mouihate","given":"A."},{"family":"Pittman","given":"Q. J."},{"family":"Sharkey","given":"K. A."}],"issued":{"date-parts":[["2005",6]]}}},{"id":3067,"uris":["http://zotero.org/users/6692466/items/9B7PX9RD"],"uri":["http://zotero.org/users/6692466/items/9B7PX9RD"],"itemData":{"id":3067,"type":"article-journal","abstract":"Early life events and childhood infections have been associated with the development and onset of inflammatory bowel disease in adulthood. However, the consequences of neonatal infection in the development and severity of colitis are not established. We investigated the effects of a neonatal (postnatal day 14) or juvenile (postnatal day 28) immune challenge with LPS on 2,4,6-trinitrobenzenesulfonic acid (TNBS)-induced damage and weight loss, as well as on food intake and body temperature in adult rats. Neonatally (n)LPS-treated rats developed more severe colitis than control animals, reflected in a greater loss of weight and a significantly increased macroscopic tissue damage score. These findings were associated with a hypothermic response after TNBS treatment in nLPS rats, but not in neonatally saline-treated rats receiving TNBS. These differences were not seen after TNBS in rats that had received LPS on postnatal day 28. Plasma corticosterone was measured as an index of adult hypothalamic-pituitary-adrenal (HPA) axis activation as was TNF-alpha, a proinflammatory cytokine associated with inflammatory bowel disease. Four days after TNBS treatment, plasma corticosterone was unaltered in all groups; however, TNF-alpha was significantly increased in adult TNBS-treated rats that had LPS as neonates compared with all other groups. In conclusion, neonatal, but not later, exposure to LPS produces long-term exacerbations in the development of colitis in adults. This change is independent of HPA axis activation 4 days after TNBS treatment but is associated with increased circulating TNF-alpha, suggestive of an exaggerated immune response in adults exposed to neonatal infection.","container-title":"American Journal of Physiology. Regulatory, Integrative and Comparative Physiology","DOI":"10.1152/ajpregu.00398.2006","ISSN":"0363-6119","issue":"1","journalAbbreviation":"Am. J. Physiol. Regul. Integr. Comp. Physiol.","language":"eng","note":"PMID: 16973935","page":"R308-315","source":"PubMed","title":"Neonatal immune challenge exacerbates experimental colitis in adult rats: potential role for TNF-alpha","title-short":"Neonatal immune challenge exacerbates experimental colitis in adult rats","volume":"292","author":[{"family":"Spencer","given":"Sarah J."},{"family":"Hyland","given":"Niall P."},{"family":"Sharkey","given":"Keith A."},{"family":"Pittman","given":"Quentin J."}],"issued":{"date-parts":[["2007",1]]}}},{"id":957,"uris":["http://zotero.org/users/6692466/items/G3LDC75J"],"uri":["http://zotero.org/users/6692466/items/G3LDC75J"],"itemData":{"id":957,"type":"article-journal","abstract":"Peripheral inflammation leads to a number of centrally mediated physiological and behavioral changes. The underlying mechanisms and the signaling pathways involved in these phenomena are not yet well understood. We hypothesized that peripheral inflammation leads to increased neuronal excitability arising from a CNS immune response. We induced inflammation in the gut by intracolonic administration of 2,4,6-trinitrobenzene sulfonic acid (TNBS) to adult male rats. To examine the excitability of the brain in vivo, we administered pentylenetetrazole (PTZ; a GABAergic antagonist) intravenously to evoke clonic seizures. Rats treated with TNBS showed increased susceptibility to PTZ seizures that was strongly correlated with the severity and progression of intestinal inflammation. In vitro hippocampal slices from inflamed, TNBS-treated rats showed increased spontaneous interictal burst firing following application of 4-aminopyridine, indicating increased intrinsic excitability. The TNBS-treated rats exhibited a marked, reversible inflammatory response within the hippocampus, characterized by microglial activation and increases in tumor necrosis factor alpha (TNFalpha) levels. Central antagonism of TNFalpha using a monoclonal antibody or inhibition of microglial activation by i.c.v. injection of minocycline prevented the increase in seizure susceptibility. Moreover, i.c.v. infusion of TNFalpha in untreated rats for 4 days also increased seizure susceptibility and thus mimicked the changes in seizure threshold observed with intestinal inflammation. Our finding of a microglia-dependent TNFalpha-mediated increase in CNS excitability provides insight into potential mechanisms underlying the disparate neurological and behavioral changes associated with chronic inflammation.","container-title":"Proceedings of the National Academy of Sciences of the United States of America","DOI":"10.1073/pnas.0806682105","ISSN":"1091-6490","issue":"44","journalAbbreviation":"Proc. Natl. Acad. Sci. U.S.A.","language":"eng","note":"PMID: 18955701\nPMCID: PMC2579393","page":"17151-17156","source":"PubMed","title":"Microglial activation and TNFalpha production mediate altered CNS excitability following peripheral inflammation","volume":"105","author":[{"family":"Riazi","given":"Kiarash"},{"family":"Galic","given":"Michael A."},{"family":"Kuzmiski","given":"J. Brent"},{"family":"Ho","given":"Winnie"},{"family":"Sharkey","given":"Keith A."},{"family":"Pittman","given":"Quentin J."}],"issued":{"date-parts":[["2008",11,4]]}}}],"schema":"https://github.com/citation-style-language/schema/raw/master/csl-citation.json"} </w:instrText>
      </w:r>
      <w:r w:rsidR="00C25946" w:rsidRPr="00AF7E86">
        <w:rPr>
          <w:rFonts w:ascii="Times New Roman" w:hAnsi="Times New Roman" w:cs="Times New Roman"/>
          <w:color w:val="000000" w:themeColor="text1"/>
          <w:lang w:val="en-US"/>
        </w:rPr>
        <w:fldChar w:fldCharType="separate"/>
      </w:r>
      <w:r w:rsidR="000866ED" w:rsidRPr="00AF7E86">
        <w:rPr>
          <w:rFonts w:ascii="Times New Roman" w:hAnsi="Times New Roman" w:cs="Times New Roman"/>
          <w:color w:val="000000" w:themeColor="text1"/>
          <w:lang w:val="en-US"/>
        </w:rPr>
        <w:t>(1–4)</w:t>
      </w:r>
      <w:r w:rsidR="00C25946"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Specifically</w:t>
      </w:r>
      <w:r w:rsidR="004625B0" w:rsidRPr="00AF7E86">
        <w:rPr>
          <w:rFonts w:ascii="Times New Roman" w:hAnsi="Times New Roman" w:cs="Times New Roman"/>
          <w:color w:val="000000" w:themeColor="text1"/>
          <w:lang w:val="en-US"/>
        </w:rPr>
        <w:t xml:space="preserve"> the</w:t>
      </w:r>
      <w:r w:rsidR="00C25946" w:rsidRPr="00AF7E86">
        <w:rPr>
          <w:rFonts w:ascii="Times New Roman" w:hAnsi="Times New Roman" w:cs="Times New Roman"/>
          <w:color w:val="000000" w:themeColor="text1"/>
          <w:lang w:val="en-US"/>
        </w:rPr>
        <w:t xml:space="preserve"> score is the</w:t>
      </w:r>
      <w:r w:rsidR="004625B0" w:rsidRPr="00AF7E86">
        <w:rPr>
          <w:rFonts w:ascii="Times New Roman" w:hAnsi="Times New Roman" w:cs="Times New Roman"/>
          <w:color w:val="000000" w:themeColor="text1"/>
          <w:lang w:val="en-US"/>
        </w:rPr>
        <w:t xml:space="preserve"> summation of</w:t>
      </w:r>
      <w:r w:rsidRPr="00AF7E86">
        <w:rPr>
          <w:rFonts w:ascii="Times New Roman" w:hAnsi="Times New Roman" w:cs="Times New Roman"/>
          <w:color w:val="000000" w:themeColor="text1"/>
          <w:lang w:val="en-US"/>
        </w:rPr>
        <w:t>: ulceration (0—normal appearance; 1—focal hyperemia, no ulcers; 2—ulceration without hyperemia or bowel wall thickening; 3—ulceration with inflammation at one site; 4—2 or more sites of damage and ulceration; 5—major sites of damage extending &gt;1 cm along length of colon; 6+—major sites of damage extending &gt;2 cm along length of colon, increased by 1 for each 1 cm of damage); + adhesions (0—no adhesions; 1—minor adhesions (e.g. one organ involved; easily separated from other tissues); 2—major adhesions); + diarrhea (0—absent; 1—present); + thickness (maximal bowel thickness in mm).</w:t>
      </w:r>
    </w:p>
    <w:p w14:paraId="1F705337" w14:textId="77777777" w:rsidR="00B90338" w:rsidRPr="00AF7E86" w:rsidRDefault="00B90338" w:rsidP="00BE50A1">
      <w:pPr>
        <w:spacing w:line="480" w:lineRule="auto"/>
        <w:jc w:val="both"/>
        <w:rPr>
          <w:rFonts w:ascii="Times New Roman" w:hAnsi="Times New Roman" w:cs="Times New Roman"/>
          <w:color w:val="000000" w:themeColor="text1"/>
          <w:u w:val="single"/>
          <w:lang w:val="en-US"/>
        </w:rPr>
      </w:pPr>
    </w:p>
    <w:p w14:paraId="33353707" w14:textId="77777777" w:rsidR="00B90338" w:rsidRPr="00AF7E86" w:rsidRDefault="00B90338" w:rsidP="00BE50A1">
      <w:pPr>
        <w:spacing w:line="480" w:lineRule="auto"/>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u w:val="single"/>
          <w:lang w:val="en-US"/>
        </w:rPr>
        <w:t>Myeloperoxidase Activity</w:t>
      </w:r>
    </w:p>
    <w:p w14:paraId="1B8CDD6A" w14:textId="61BE5EFF" w:rsidR="00B90338" w:rsidRPr="00AF7E86" w:rsidRDefault="00207E19" w:rsidP="00BE50A1">
      <w:pPr>
        <w:spacing w:line="480" w:lineRule="auto"/>
        <w:jc w:val="both"/>
        <w:rPr>
          <w:rFonts w:ascii="Times New Roman" w:hAnsi="Times New Roman" w:cs="Times New Roman"/>
          <w:color w:val="000000" w:themeColor="text1"/>
          <w:highlight w:val="yellow"/>
        </w:rPr>
      </w:pPr>
      <w:r w:rsidRPr="00AF7E86">
        <w:rPr>
          <w:rFonts w:ascii="Times New Roman" w:hAnsi="Times New Roman" w:cs="Times New Roman"/>
          <w:color w:val="000000" w:themeColor="text1"/>
          <w:lang w:val="en-US"/>
        </w:rPr>
        <w:t xml:space="preserve">After it was </w:t>
      </w:r>
      <w:r w:rsidR="00B90338" w:rsidRPr="00AF7E86">
        <w:rPr>
          <w:rFonts w:ascii="Times New Roman" w:hAnsi="Times New Roman" w:cs="Times New Roman"/>
          <w:color w:val="000000" w:themeColor="text1"/>
          <w:lang w:val="en-US"/>
        </w:rPr>
        <w:t>scor</w:t>
      </w:r>
      <w:r w:rsidRPr="00AF7E86">
        <w:rPr>
          <w:rFonts w:ascii="Times New Roman" w:hAnsi="Times New Roman" w:cs="Times New Roman"/>
          <w:color w:val="000000" w:themeColor="text1"/>
          <w:lang w:val="en-US"/>
        </w:rPr>
        <w:t>ed</w:t>
      </w:r>
      <w:r w:rsidR="00B90338" w:rsidRPr="00AF7E86">
        <w:rPr>
          <w:rFonts w:ascii="Times New Roman" w:hAnsi="Times New Roman" w:cs="Times New Roman"/>
          <w:color w:val="000000" w:themeColor="text1"/>
          <w:lang w:val="en-US"/>
        </w:rPr>
        <w:t xml:space="preserve"> for macroscopic damage, a &lt;100mg sample of colon was excised, snap frozen and stored at -80°C for later use in a myeloperoxidase (MPO) activity assay, which is a marker of </w:t>
      </w:r>
      <w:r w:rsidR="004625B0" w:rsidRPr="00AF7E86">
        <w:rPr>
          <w:rFonts w:ascii="Times New Roman" w:hAnsi="Times New Roman" w:cs="Times New Roman"/>
          <w:color w:val="000000" w:themeColor="text1"/>
          <w:lang w:val="en-US"/>
        </w:rPr>
        <w:t xml:space="preserve">neutrophil mediated </w:t>
      </w:r>
      <w:r w:rsidR="00B90338" w:rsidRPr="00AF7E86">
        <w:rPr>
          <w:rFonts w:ascii="Times New Roman" w:hAnsi="Times New Roman" w:cs="Times New Roman"/>
          <w:color w:val="000000" w:themeColor="text1"/>
          <w:lang w:val="en-US"/>
        </w:rPr>
        <w:t xml:space="preserve">inflammation. Adapted from previous work </w:t>
      </w:r>
      <w:r w:rsidR="00C25946" w:rsidRPr="00AF7E86">
        <w:rPr>
          <w:rFonts w:ascii="Times New Roman" w:hAnsi="Times New Roman" w:cs="Times New Roman"/>
          <w:color w:val="000000" w:themeColor="text1"/>
          <w:lang w:val="en-US"/>
        </w:rPr>
        <w:fldChar w:fldCharType="begin"/>
      </w:r>
      <w:r w:rsidR="000866ED" w:rsidRPr="00AF7E86">
        <w:rPr>
          <w:rFonts w:ascii="Times New Roman" w:hAnsi="Times New Roman" w:cs="Times New Roman"/>
          <w:color w:val="000000" w:themeColor="text1"/>
          <w:lang w:val="en-US"/>
        </w:rPr>
        <w:instrText xml:space="preserve"> ADDIN ZOTERO_ITEM CSL_CITATION {"citationID":"7VEKMYjY","properties":{"formattedCitation":"(1\\uc0\\u8211{}4)","plainCitation":"(1–4)","noteIndex":0},"citationItems":[{"id":955,"uris":["http://zotero.org/users/6692466/items/X29DYXVN"],"uri":["http://zotero.org/users/6692466/items/X29DYXVN"],"itemData":{"id":955,"type":"article-journal","abstract":"Neuropeptides liberated from enteric neurons have been suggested to contribute to the inflammatory process in colitis. Based in part on this evidence, lidocaine enemas have recently been suggested as a treatment for ulcerative colitis, but their effects have yet to be fully characterized. We have assessed the effects of lidocaine on the development and maintenance of colitis induced by trinitrobenzenesulfonic acid (TNBS) in rats. In the initial experiments, rats were given lidocaine [5-100 mg/kg intrarectally] 30 min before TNBS administration, and the severity of colitis was assessed 6-24 h later. In subsequent experiments, rats received lidocaine intrarectally or subcutaneously 30 min before TNBS administration and once daily for 7 days. The severity of colitis was assessed by blind macroscopic scoring, measurement of myeloperoxidase activity, and histological evaluation. Lidocaine dose dependently reduced the severity of colitis and the infiltration of granulocytes at 24 h and 7 days post-TNBS. At the latter time point, lidocaine was also found to improve the histological appearance of the tissue and significantly reduce mucosal mast cell hyperplasia. Beneficial effects were also evident when intrarectal lidocaine treatment was initiated after induction of colitis or when lidocaine was given subcutaneously. Granulocyte infiltration into the colon could also be attenuated by a substance P receptor antagonist. These results suggest that lidocaine can exert anti-inflammatory effects in colitis, perhaps by virtue of its effects on intrinsic and/or extrinsic nerves.","container-title":"The American Journal of Physiology","DOI":"10.1152/ajpgi.1994.266.4.G560","ISSN":"0002-9513","issue":"4 Pt 1","journalAbbreviation":"Am. J. Physiol.","language":"eng","note":"PMID: 8178994","page":"G560-567","source":"PubMed","title":"Beneficial effects of local or systemic lidocaine in experimental colitis","volume":"266","author":[{"family":"McCafferty","given":"D. M."},{"family":"Sharkey","given":"K. A."},{"family":"Wallace","given":"J. L."}],"issued":{"date-parts":[["1994",4]]}}},{"id":1474,"uris":["http://zotero.org/users/6692466/items/PAKAIWLW"],"uri":["http://zotero.org/users/6692466/items/PAKAIWLW"],"itemData":{"id":1474,"type":"article-journal","abstract":"Well-documented central nervous system changes during colitis suggest possible alterations of blood-brain barrier (BBB) permeability, yet the integrity of the BBB has not been fully evaluated in experimental colitis. Our aim was to investigate whether trinitrobenzene sulphonic acid (TNBS) colitis was associated with an increase in the permeability of the BBB. Sprague-Dawley rats were given an intracolonic injection of saline or TNBS and studied 1, 2, 3, 7 and 21 days after treatment. The extravasation of endogenous immunoglobulin G, a large molecule, was not altered at any time after TNBS treatment. In contrast, significant increases in the BBB leakage of sodium fluorescein, a much smaller molecule, were observed 1 and 2 days after the induction of colitis, in and around the circumventricular organs; the organum vasculosum of the lamina terminalis, subfornical organ and median eminence of the hypothalamus. TNBS-treated rats also exhibited sodium fluorescein leakage in focal areas in the brain parenchyma. The expression of endothelial barrier antigen, a protein associated with the BBB, was reduced about 60% 48 h after the induction of colitis. This returned to control values by 3 weeks, when colitis had largely subsided. In conclusion, experimental colitis transiently increased permeability of the brain to small molecules through a mild disruption of the BBB.","container-title":"Neurogastroenterology and Motility: The Official Journal of the European Gastrointestinal Motility Society","DOI":"10.1111/j.1365-2982.2005.00654.x","ISSN":"1350-1925","issue":"3","journalAbbreviation":"Neurogastroenterol. Motil.","language":"eng","note":"PMID: 15916631","page":"433-446","source":"PubMed","title":"Disruption of the blood-brain barrier during TNBS colitis","volume":"17","author":[{"family":"Natah","given":"S. S."},{"family":"Mouihate","given":"A."},{"family":"Pittman","given":"Q. J."},{"family":"Sharkey","given":"K. A."}],"issued":{"date-parts":[["2005",6]]}}},{"id":3067,"uris":["http://zotero.org/users/6692466/items/9B7PX9RD"],"uri":["http://zotero.org/users/6692466/items/9B7PX9RD"],"itemData":{"id":3067,"type":"article-journal","abstract":"Early life events and childhood infections have been associated with the development and onset of inflammatory bowel disease in adulthood. However, the consequences of neonatal infection in the development and severity of colitis are not established. We investigated the effects of a neonatal (postnatal day 14) or juvenile (postnatal day 28) immune challenge with LPS on 2,4,6-trinitrobenzenesulfonic acid (TNBS)-induced damage and weight loss, as well as on food intake and body temperature in adult rats. Neonatally (n)LPS-treated rats developed more severe colitis than control animals, reflected in a greater loss of weight and a significantly increased macroscopic tissue damage score. These findings were associated with a hypothermic response after TNBS treatment in nLPS rats, but not in neonatally saline-treated rats receiving TNBS. These differences were not seen after TNBS in rats that had received LPS on postnatal day 28. Plasma corticosterone was measured as an index of adult hypothalamic-pituitary-adrenal (HPA) axis activation as was TNF-alpha, a proinflammatory cytokine associated with inflammatory bowel disease. Four days after TNBS treatment, plasma corticosterone was unaltered in all groups; however, TNF-alpha was significantly increased in adult TNBS-treated rats that had LPS as neonates compared with all other groups. In conclusion, neonatal, but not later, exposure to LPS produces long-term exacerbations in the development of colitis in adults. This change is independent of HPA axis activation 4 days after TNBS treatment but is associated with increased circulating TNF-alpha, suggestive of an exaggerated immune response in adults exposed to neonatal infection.","container-title":"American Journal of Physiology. Regulatory, Integrative and Comparative Physiology","DOI":"10.1152/ajpregu.00398.2006","ISSN":"0363-6119","issue":"1","journalAbbreviation":"Am. J. Physiol. Regul. Integr. Comp. Physiol.","language":"eng","note":"PMID: 16973935","page":"R308-315","source":"PubMed","title":"Neonatal immune challenge exacerbates experimental colitis in adult rats: potential role for TNF-alpha","title-short":"Neonatal immune challenge exacerbates experimental colitis in adult rats","volume":"292","author":[{"family":"Spencer","given":"Sarah J."},{"family":"Hyland","given":"Niall P."},{"family":"Sharkey","given":"Keith A."},{"family":"Pittman","given":"Quentin J."}],"issued":{"date-parts":[["2007",1]]}}},{"id":957,"uris":["http://zotero.org/users/6692466/items/G3LDC75J"],"uri":["http://zotero.org/users/6692466/items/G3LDC75J"],"itemData":{"id":957,"type":"article-journal","abstract":"Peripheral inflammation leads to a number of centrally mediated physiological and behavioral changes. The underlying mechanisms and the signaling pathways involved in these phenomena are not yet well understood. We hypothesized that peripheral inflammation leads to increased neuronal excitability arising from a CNS immune response. We induced inflammation in the gut by intracolonic administration of 2,4,6-trinitrobenzene sulfonic acid (TNBS) to adult male rats. To examine the excitability of the brain in vivo, we administered pentylenetetrazole (PTZ; a GABAergic antagonist) intravenously to evoke clonic seizures. Rats treated with TNBS showed increased susceptibility to PTZ seizures that was strongly correlated with the severity and progression of intestinal inflammation. In vitro hippocampal slices from inflamed, TNBS-treated rats showed increased spontaneous interictal burst firing following application of 4-aminopyridine, indicating increased intrinsic excitability. The TNBS-treated rats exhibited a marked, reversible inflammatory response within the hippocampus, characterized by microglial activation and increases in tumor necrosis factor alpha (TNFalpha) levels. Central antagonism of TNFalpha using a monoclonal antibody or inhibition of microglial activation by i.c.v. injection of minocycline prevented the increase in seizure susceptibility. Moreover, i.c.v. infusion of TNFalpha in untreated rats for 4 days also increased seizure susceptibility and thus mimicked the changes in seizure threshold observed with intestinal inflammation. Our finding of a microglia-dependent TNFalpha-mediated increase in CNS excitability provides insight into potential mechanisms underlying the disparate neurological and behavioral changes associated with chronic inflammation.","container-title":"Proceedings of the National Academy of Sciences of the United States of America","DOI":"10.1073/pnas.0806682105","ISSN":"1091-6490","issue":"44","journalAbbreviation":"Proc. Natl. Acad. Sci. U.S.A.","language":"eng","note":"PMID: 18955701\nPMCID: PMC2579393","page":"17151-17156","source":"PubMed","title":"Microglial activation and TNFalpha production mediate altered CNS excitability following peripheral inflammation","volume":"105","author":[{"family":"Riazi","given":"Kiarash"},{"family":"Galic","given":"Michael A."},{"family":"Kuzmiski","given":"J. Brent"},{"family":"Ho","given":"Winnie"},{"family":"Sharkey","given":"Keith A."},{"family":"Pittman","given":"Quentin J."}],"issued":{"date-parts":[["2008",11,4]]}}}],"schema":"https://github.com/citation-style-language/schema/raw/master/csl-citation.json"} </w:instrText>
      </w:r>
      <w:r w:rsidR="00C25946" w:rsidRPr="00AF7E86">
        <w:rPr>
          <w:rFonts w:ascii="Times New Roman" w:hAnsi="Times New Roman" w:cs="Times New Roman"/>
          <w:color w:val="000000" w:themeColor="text1"/>
          <w:lang w:val="en-US"/>
        </w:rPr>
        <w:fldChar w:fldCharType="separate"/>
      </w:r>
      <w:r w:rsidR="000866ED" w:rsidRPr="00AF7E86">
        <w:rPr>
          <w:rFonts w:ascii="Times New Roman" w:hAnsi="Times New Roman" w:cs="Times New Roman"/>
          <w:color w:val="000000" w:themeColor="text1"/>
          <w:lang w:val="en-US"/>
        </w:rPr>
        <w:t>(1–4)</w:t>
      </w:r>
      <w:r w:rsidR="00C25946" w:rsidRPr="00AF7E86">
        <w:rPr>
          <w:rFonts w:ascii="Times New Roman" w:hAnsi="Times New Roman" w:cs="Times New Roman"/>
          <w:color w:val="000000" w:themeColor="text1"/>
          <w:lang w:val="en-US"/>
        </w:rPr>
        <w:fldChar w:fldCharType="end"/>
      </w:r>
      <w:r w:rsidR="00B90338" w:rsidRPr="00AF7E86">
        <w:rPr>
          <w:rFonts w:ascii="Times New Roman" w:hAnsi="Times New Roman" w:cs="Times New Roman"/>
          <w:color w:val="000000" w:themeColor="text1"/>
          <w:lang w:val="en-US"/>
        </w:rPr>
        <w:t>, frozen colons were weighed, and placed in a solution of hexadecyltrimethylammonium bromide (HTAB)</w:t>
      </w:r>
      <w:r w:rsidR="004625B0" w:rsidRPr="00AF7E86">
        <w:rPr>
          <w:rFonts w:ascii="Times New Roman" w:hAnsi="Times New Roman" w:cs="Times New Roman"/>
          <w:color w:val="000000" w:themeColor="text1"/>
          <w:lang w:val="en-US"/>
        </w:rPr>
        <w:t xml:space="preserve"> (</w:t>
      </w:r>
      <w:r w:rsidR="00B5361F" w:rsidRPr="00AF7E86">
        <w:rPr>
          <w:rFonts w:ascii="Times New Roman" w:hAnsi="Times New Roman" w:cs="Times New Roman"/>
          <w:color w:val="000000" w:themeColor="text1"/>
          <w:lang w:val="en-US"/>
        </w:rPr>
        <w:t>Sigma-Aldrich, Darmstadt, Germany</w:t>
      </w:r>
      <w:r w:rsidR="0078262F" w:rsidRPr="00AF7E86">
        <w:rPr>
          <w:rFonts w:ascii="Times New Roman" w:hAnsi="Times New Roman" w:cs="Times New Roman"/>
          <w:color w:val="000000" w:themeColor="text1"/>
          <w:lang w:val="en-US"/>
        </w:rPr>
        <w:t xml:space="preserve">, </w:t>
      </w:r>
      <w:r w:rsidR="00B5361F" w:rsidRPr="00AF7E86">
        <w:rPr>
          <w:rFonts w:ascii="Times New Roman" w:hAnsi="Times New Roman" w:cs="Times New Roman"/>
          <w:color w:val="000000" w:themeColor="text1"/>
          <w:lang w:val="en-US"/>
        </w:rPr>
        <w:t>#</w:t>
      </w:r>
      <w:r w:rsidR="00285CE0" w:rsidRPr="00AF7E86">
        <w:rPr>
          <w:rFonts w:ascii="Times New Roman" w:hAnsi="Times New Roman" w:cs="Times New Roman"/>
          <w:color w:val="000000" w:themeColor="text1"/>
          <w:lang w:val="en-US"/>
        </w:rPr>
        <w:t>H5882</w:t>
      </w:r>
      <w:r w:rsidR="004625B0" w:rsidRPr="00AF7E86">
        <w:rPr>
          <w:rFonts w:ascii="Times New Roman" w:hAnsi="Times New Roman" w:cs="Times New Roman"/>
          <w:color w:val="000000" w:themeColor="text1"/>
          <w:lang w:val="en-US"/>
        </w:rPr>
        <w:t>)</w:t>
      </w:r>
      <w:r w:rsidR="00B90338" w:rsidRPr="00AF7E86">
        <w:rPr>
          <w:rFonts w:ascii="Times New Roman" w:hAnsi="Times New Roman" w:cs="Times New Roman"/>
          <w:color w:val="000000" w:themeColor="text1"/>
          <w:lang w:val="en-US"/>
        </w:rPr>
        <w:t xml:space="preserve"> in potassium phosphate (PP) buffer</w:t>
      </w:r>
      <w:r w:rsidR="00285CE0" w:rsidRPr="00AF7E86">
        <w:rPr>
          <w:rFonts w:ascii="Times New Roman" w:hAnsi="Times New Roman" w:cs="Times New Roman"/>
          <w:color w:val="000000" w:themeColor="text1"/>
          <w:lang w:val="en-US"/>
        </w:rPr>
        <w:t xml:space="preserve"> (95:5 5% monobasic potassium phosphate:5% dibasic potassium phosphate)</w:t>
      </w:r>
      <w:r w:rsidR="00B90338" w:rsidRPr="00AF7E86">
        <w:rPr>
          <w:rFonts w:ascii="Times New Roman" w:hAnsi="Times New Roman" w:cs="Times New Roman"/>
          <w:color w:val="000000" w:themeColor="text1"/>
          <w:lang w:val="en-US"/>
        </w:rPr>
        <w:t xml:space="preserve"> (50mM, pH 6.0, 0.5% HTAB weight/volume; 1mL buffer/50mg tissue). Homogenization of the colon occurred using 50mm </w:t>
      </w:r>
      <w:r w:rsidR="00B90338" w:rsidRPr="00AF7E86">
        <w:rPr>
          <w:rFonts w:ascii="Times New Roman" w:hAnsi="Times New Roman" w:cs="Times New Roman"/>
          <w:color w:val="000000" w:themeColor="text1"/>
          <w:lang w:val="en-US"/>
        </w:rPr>
        <w:lastRenderedPageBreak/>
        <w:t>stainless steel bead</w:t>
      </w:r>
      <w:r w:rsidR="00C25946" w:rsidRPr="00AF7E86">
        <w:rPr>
          <w:rFonts w:ascii="Times New Roman" w:hAnsi="Times New Roman" w:cs="Times New Roman"/>
          <w:color w:val="000000" w:themeColor="text1"/>
          <w:lang w:val="en-US"/>
        </w:rPr>
        <w:t>s (Qiagen, Hilden, Germany</w:t>
      </w:r>
      <w:r w:rsidR="00B5361F" w:rsidRPr="00AF7E86">
        <w:rPr>
          <w:rFonts w:ascii="Times New Roman" w:hAnsi="Times New Roman" w:cs="Times New Roman"/>
          <w:color w:val="000000" w:themeColor="text1"/>
          <w:lang w:val="en-US"/>
        </w:rPr>
        <w:t>,</w:t>
      </w:r>
      <w:r w:rsidR="00C25946" w:rsidRPr="00AF7E86">
        <w:rPr>
          <w:rFonts w:ascii="Times New Roman" w:hAnsi="Times New Roman" w:cs="Times New Roman"/>
          <w:color w:val="000000" w:themeColor="text1"/>
          <w:lang w:val="en-US"/>
        </w:rPr>
        <w:t xml:space="preserve"> #69989)</w:t>
      </w:r>
      <w:r w:rsidR="00B90338" w:rsidRPr="00AF7E86">
        <w:rPr>
          <w:rFonts w:ascii="Times New Roman" w:hAnsi="Times New Roman" w:cs="Times New Roman"/>
          <w:color w:val="000000" w:themeColor="text1"/>
          <w:lang w:val="en-US"/>
        </w:rPr>
        <w:t xml:space="preserve"> and the </w:t>
      </w:r>
      <w:proofErr w:type="spellStart"/>
      <w:r w:rsidR="00B90338" w:rsidRPr="00AF7E86">
        <w:rPr>
          <w:rFonts w:ascii="Times New Roman" w:hAnsi="Times New Roman" w:cs="Times New Roman"/>
          <w:color w:val="000000" w:themeColor="text1"/>
          <w:lang w:val="en-US"/>
        </w:rPr>
        <w:t>TissueLyser</w:t>
      </w:r>
      <w:proofErr w:type="spellEnd"/>
      <w:r w:rsidR="00B90338" w:rsidRPr="00AF7E86">
        <w:rPr>
          <w:rFonts w:ascii="Times New Roman" w:hAnsi="Times New Roman" w:cs="Times New Roman"/>
          <w:color w:val="000000" w:themeColor="text1"/>
          <w:lang w:val="en-US"/>
        </w:rPr>
        <w:t xml:space="preserve"> LT bead homogenizer</w:t>
      </w:r>
      <w:r w:rsidR="00C25946" w:rsidRPr="00AF7E86">
        <w:rPr>
          <w:rFonts w:ascii="Times New Roman" w:hAnsi="Times New Roman" w:cs="Times New Roman"/>
          <w:color w:val="000000" w:themeColor="text1"/>
          <w:lang w:val="en-US"/>
        </w:rPr>
        <w:t xml:space="preserve"> (Qiagen)</w:t>
      </w:r>
      <w:r w:rsidR="00B90338" w:rsidRPr="00AF7E86">
        <w:rPr>
          <w:rFonts w:ascii="Times New Roman" w:hAnsi="Times New Roman" w:cs="Times New Roman"/>
          <w:color w:val="000000" w:themeColor="text1"/>
          <w:lang w:val="en-US"/>
        </w:rPr>
        <w:t xml:space="preserve"> for 10 minutes (min) at 50Hz. Samples were then centrifuged for 10min at </w:t>
      </w:r>
      <w:r w:rsidR="00FA779B" w:rsidRPr="00AF7E86">
        <w:rPr>
          <w:rFonts w:ascii="Times New Roman" w:hAnsi="Times New Roman" w:cs="Times New Roman"/>
          <w:color w:val="000000" w:themeColor="text1"/>
        </w:rPr>
        <w:t xml:space="preserve">15871 x </w:t>
      </w:r>
      <w:r w:rsidR="00FA779B" w:rsidRPr="00AF7E86">
        <w:rPr>
          <w:rFonts w:ascii="Times New Roman" w:hAnsi="Times New Roman" w:cs="Times New Roman"/>
          <w:i/>
          <w:color w:val="000000" w:themeColor="text1"/>
        </w:rPr>
        <w:t>g</w:t>
      </w:r>
      <w:r w:rsidR="00B90338" w:rsidRPr="00AF7E86">
        <w:rPr>
          <w:rFonts w:ascii="Times New Roman" w:hAnsi="Times New Roman" w:cs="Times New Roman"/>
          <w:color w:val="000000" w:themeColor="text1"/>
          <w:lang w:val="en-US"/>
        </w:rPr>
        <w:t xml:space="preserve"> at 4°C. 7µL of the supernatant was added to 200µL of 0.00005% </w:t>
      </w:r>
      <w:r w:rsidR="00904CB6" w:rsidRPr="00AF7E86">
        <w:rPr>
          <w:rFonts w:ascii="Times New Roman" w:hAnsi="Times New Roman" w:cs="Times New Roman"/>
          <w:color w:val="000000" w:themeColor="text1"/>
          <w:lang w:val="en-US"/>
        </w:rPr>
        <w:t>H</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O</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 xml:space="preserve"> </w:t>
      </w:r>
      <w:r w:rsidR="00B90338" w:rsidRPr="00AF7E86">
        <w:rPr>
          <w:rFonts w:ascii="Times New Roman" w:hAnsi="Times New Roman" w:cs="Times New Roman"/>
          <w:color w:val="000000" w:themeColor="text1"/>
          <w:lang w:val="en-US"/>
        </w:rPr>
        <w:t>in o-dianisidine dihydrochloride</w:t>
      </w:r>
      <w:r w:rsidR="00C25946" w:rsidRPr="00AF7E86">
        <w:rPr>
          <w:rFonts w:ascii="Times New Roman" w:hAnsi="Times New Roman" w:cs="Times New Roman"/>
          <w:color w:val="000000" w:themeColor="text1"/>
          <w:lang w:val="en-US"/>
        </w:rPr>
        <w:t xml:space="preserve"> (</w:t>
      </w:r>
      <w:r w:rsidR="00904CB6" w:rsidRPr="00AF7E86">
        <w:rPr>
          <w:rFonts w:ascii="Times New Roman" w:hAnsi="Times New Roman" w:cs="Times New Roman"/>
          <w:color w:val="000000" w:themeColor="text1"/>
          <w:lang w:val="en-US"/>
        </w:rPr>
        <w:t>Sigma</w:t>
      </w:r>
      <w:r w:rsidR="005D380E" w:rsidRPr="00AF7E86">
        <w:rPr>
          <w:rFonts w:ascii="Times New Roman" w:hAnsi="Times New Roman" w:cs="Times New Roman"/>
          <w:color w:val="000000" w:themeColor="text1"/>
          <w:lang w:val="en-US"/>
        </w:rPr>
        <w:t>-Aldrich</w:t>
      </w:r>
      <w:r w:rsidR="00904CB6" w:rsidRPr="00AF7E86">
        <w:rPr>
          <w:rFonts w:ascii="Times New Roman" w:hAnsi="Times New Roman" w:cs="Times New Roman"/>
          <w:color w:val="000000" w:themeColor="text1"/>
          <w:lang w:val="en-US"/>
        </w:rPr>
        <w:t>, #</w:t>
      </w:r>
      <w:r w:rsidR="00904CB6" w:rsidRPr="00AF7E86">
        <w:rPr>
          <w:rFonts w:ascii="Times New Roman" w:hAnsi="Times New Roman" w:cs="Times New Roman"/>
          <w:bCs/>
          <w:color w:val="000000" w:themeColor="text1"/>
        </w:rPr>
        <w:t>D3252</w:t>
      </w:r>
      <w:r w:rsidR="00C25946" w:rsidRPr="00AF7E86">
        <w:rPr>
          <w:rFonts w:ascii="Times New Roman" w:hAnsi="Times New Roman" w:cs="Times New Roman"/>
          <w:color w:val="000000" w:themeColor="text1"/>
          <w:lang w:val="en-US"/>
        </w:rPr>
        <w:t>)</w:t>
      </w:r>
      <w:r w:rsidR="00904CB6" w:rsidRPr="00AF7E86">
        <w:rPr>
          <w:rFonts w:ascii="Times New Roman" w:hAnsi="Times New Roman" w:cs="Times New Roman"/>
          <w:color w:val="000000" w:themeColor="text1"/>
          <w:lang w:val="en-US"/>
        </w:rPr>
        <w:t xml:space="preserve"> buffer (per 150mL: 16.7 mg </w:t>
      </w:r>
      <w:r w:rsidR="002B5D7D" w:rsidRPr="00AF7E86">
        <w:rPr>
          <w:rFonts w:ascii="Times New Roman" w:hAnsi="Times New Roman" w:cs="Times New Roman"/>
          <w:color w:val="000000" w:themeColor="text1"/>
          <w:lang w:val="en-US"/>
        </w:rPr>
        <w:t>o</w:t>
      </w:r>
      <w:r w:rsidR="00904CB6" w:rsidRPr="00AF7E86">
        <w:rPr>
          <w:rFonts w:ascii="Times New Roman" w:hAnsi="Times New Roman" w:cs="Times New Roman"/>
          <w:color w:val="000000" w:themeColor="text1"/>
          <w:lang w:val="en-US"/>
        </w:rPr>
        <w:t>-dianisidine dihydrochloride, 90mL ddH</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O, 10mL PP buffer, 50µL 1% H</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O</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w:t>
      </w:r>
      <w:r w:rsidR="00B90338" w:rsidRPr="00AF7E86">
        <w:rPr>
          <w:rFonts w:ascii="Times New Roman" w:hAnsi="Times New Roman" w:cs="Times New Roman"/>
          <w:color w:val="000000" w:themeColor="text1"/>
          <w:lang w:val="en-US"/>
        </w:rPr>
        <w:t xml:space="preserve"> in a 96 well-plate. Absorbance (A) was measured every 30 seconds (sec) at 450nm over 1 min (3 reads total). Each 1 Unit (U) of MPO activity was the amount of enzyme required to split 1µmol </w:t>
      </w:r>
      <w:r w:rsidR="00904CB6" w:rsidRPr="00AF7E86">
        <w:rPr>
          <w:rFonts w:ascii="Times New Roman" w:hAnsi="Times New Roman" w:cs="Times New Roman"/>
          <w:color w:val="000000" w:themeColor="text1"/>
          <w:lang w:val="en-US"/>
        </w:rPr>
        <w:t>H</w:t>
      </w:r>
      <w:r w:rsidR="00904CB6" w:rsidRPr="00AF7E86">
        <w:rPr>
          <w:rFonts w:ascii="Times New Roman" w:hAnsi="Times New Roman" w:cs="Times New Roman"/>
          <w:color w:val="000000" w:themeColor="text1"/>
          <w:vertAlign w:val="subscript"/>
          <w:lang w:val="en-US"/>
        </w:rPr>
        <w:t>2</w:t>
      </w:r>
      <w:r w:rsidR="00904CB6" w:rsidRPr="00AF7E86">
        <w:rPr>
          <w:rFonts w:ascii="Times New Roman" w:hAnsi="Times New Roman" w:cs="Times New Roman"/>
          <w:color w:val="000000" w:themeColor="text1"/>
          <w:lang w:val="en-US"/>
        </w:rPr>
        <w:t>O</w:t>
      </w:r>
      <w:r w:rsidR="00904CB6" w:rsidRPr="00AF7E86">
        <w:rPr>
          <w:rFonts w:ascii="Times New Roman" w:hAnsi="Times New Roman" w:cs="Times New Roman"/>
          <w:color w:val="000000" w:themeColor="text1"/>
          <w:vertAlign w:val="subscript"/>
          <w:lang w:val="en-US"/>
        </w:rPr>
        <w:t>2</w:t>
      </w:r>
      <w:r w:rsidR="00B90338" w:rsidRPr="00AF7E86">
        <w:rPr>
          <w:rFonts w:ascii="Times New Roman" w:hAnsi="Times New Roman" w:cs="Times New Roman"/>
          <w:color w:val="000000" w:themeColor="text1"/>
          <w:lang w:val="en-US"/>
        </w:rPr>
        <w:t xml:space="preserve"> per min at 25°C.</w:t>
      </w:r>
    </w:p>
    <w:p w14:paraId="698FB92F" w14:textId="46A60E9F" w:rsidR="00B90338" w:rsidRPr="00AF7E86" w:rsidRDefault="00B90338" w:rsidP="00BE50A1">
      <w:pPr>
        <w:spacing w:line="480" w:lineRule="auto"/>
        <w:jc w:val="both"/>
        <w:rPr>
          <w:rFonts w:ascii="Times New Roman" w:hAnsi="Times New Roman" w:cs="Times New Roman"/>
          <w:color w:val="000000" w:themeColor="text1"/>
          <w:lang w:val="en-US"/>
        </w:rPr>
      </w:pPr>
    </w:p>
    <w:p w14:paraId="17205415" w14:textId="0AACDD97" w:rsidR="00654A42" w:rsidRPr="00AF7E86" w:rsidRDefault="00654A42" w:rsidP="00BE50A1">
      <w:pPr>
        <w:spacing w:line="480" w:lineRule="auto"/>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u w:val="single"/>
          <w:lang w:val="en-US"/>
        </w:rPr>
        <w:t>Elevated Plus Maze</w:t>
      </w:r>
      <w:r w:rsidR="00904CB6" w:rsidRPr="00AF7E86">
        <w:rPr>
          <w:rFonts w:ascii="Times New Roman" w:hAnsi="Times New Roman" w:cs="Times New Roman"/>
          <w:color w:val="000000" w:themeColor="text1"/>
          <w:u w:val="single"/>
          <w:lang w:val="en-US"/>
        </w:rPr>
        <w:t xml:space="preserve"> (EPM)</w:t>
      </w:r>
    </w:p>
    <w:p w14:paraId="4C5917FB" w14:textId="04D92A95" w:rsidR="00654A42" w:rsidRPr="00AF7E86" w:rsidRDefault="00654A42"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The EPM (Med Associates, Fairfax, VT, USA) was made of black plastic, elevated 48cm above the floor, with open arms that were 48cm long and 15cm wide, with closed arms having the same width and length and a wall height of 38cm. The open arms were exposed to 50 lumens of light, and the closed arms were at 5-10 lumens of light; the maze was under</w:t>
      </w:r>
      <w:r w:rsidR="00904CB6"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lit with infrared light to facilitate video-recording with an infrared sensing camera </w:t>
      </w:r>
      <w:r w:rsidRPr="00AF7E86">
        <w:rPr>
          <w:rFonts w:ascii="Times New Roman" w:hAnsi="Times New Roman" w:cs="Times New Roman"/>
          <w:color w:val="000000" w:themeColor="text1"/>
          <w:lang w:val="en-US"/>
        </w:rPr>
        <w:fldChar w:fldCharType="begin"/>
      </w:r>
      <w:r w:rsidR="000866ED" w:rsidRPr="00AF7E86">
        <w:rPr>
          <w:rFonts w:ascii="Times New Roman" w:hAnsi="Times New Roman" w:cs="Times New Roman"/>
          <w:color w:val="000000" w:themeColor="text1"/>
          <w:lang w:val="en-US"/>
        </w:rPr>
        <w:instrText xml:space="preserve"> ADDIN ZOTERO_ITEM CSL_CITATION {"citationID":"T6qLTQxl","properties":{"formattedCitation":"(5)","plainCitation":"(5)","noteIndex":0},"citationItems":[{"id":951,"uris":["http://zotero.org/users/6692466/items/66BM3WD4"],"uri":["http://zotero.org/users/6692466/items/66BM3WD4"],"itemData":{"id":951,"type":"article-journal","abstract":"Increased anandamide (AEA) signaling through inhibition of its catabolic enzyme fatty acid amide hydrolase (FAAH) in the basolateral complex of amygdala (BLA) is thought to buffer against the effects of stress and reduces behavioral signs of anxiety and fear. However, examining the role of AEA signaling in stress, anxiety, and fear through pharmacological depletion has been challenging due to the redundant complexity of its biosynthesis and the lack of a pharmacological synthesis inhibitor. We developed a herpes simplex viral vector to rapidly yet transiently overexpress FAAH specifically within the BLA to assess the impact of suppressing AEA signaling on stress, fear, and anxiety in male rats. Surprisingly, FAAH overexpression in BLA dampened stress-induced corticosterone release, reduced anxiety-like behaviors, and decreased conditioned fear expression. Interestingly, depleting AEA signaling in the BLA did not prevent fear conditioning itself or fear reinstatement. These effects were specific to the overexpression of FAAH because they were reversed by intra-BLA administration of an FAAH inhibitor. Moreover, the fear-suppressive effects of FAAH overexpression were also mitigated by intra-BLA administration of a low dose of a GABAA receptor antagonist, but not an NMDA/AMPA/kainate receptor antagonist, suggesting that they were mediated by an increase in GABAergic neurotransmission. Our data suggest that a permissive AEA tone within the BLA might gate GABA release and that loss of this tone through elevated AEA hydrolysis increases inhibition in the BLA, which in turn reduces stress, anxiety, and fear. These data provide new insights on the mechanisms by which amygdalar endocannabinoid signaling regulates emotional behavior.SIGNIFICANCE STATEMENT Amygdala endocannabinoid signaling is involved in the regulation of stress, anxiety, and fear. Our data indicate that viral-mediated augmentation of anandamide hydrolysis within the basolateral amygdala reduces behavioral indices of stress, anxiety, and conditioned fear expression. These same effects have been previously documented with inhibition of anandamide hydrolysis in the same brain region. Our results indicate that the ability of anandamide signaling to regulate emotional behavior is nonlinear and may involve actions at distinct neuronal populations, which could be influenced by the basal level of anandamide. Modulation of anandamide signaling is a current clinical therapeutic target for stress-related psychiatric illnesses, so these data underscore the importance of fully understanding the mechanisms by which anandamide signaling regulates amygdala-dependent changes in emotionality.","container-title":"The Journal of Neuroscience: The Official Journal of the Society for Neuroscience","DOI":"10.1523/JNEUROSCI.2251-18.2018","ISSN":"1529-2401","issue":"7","journalAbbreviation":"J. Neurosci.","language":"eng","note":"PMID: 30573646\nPMCID: PMC6381235","page":"1275-1292","source":"PubMed","title":"Upregulation of Anandamide Hydrolysis in the Basolateral Complex of Amygdala Reduces Fear Memory Expression and Indices of Stress and Anxiety","volume":"39","author":[{"family":"Morena","given":"Maria"},{"family":"Aukema","given":"Robert J."},{"family":"Leitl","given":"Kira D."},{"family":"Rashid","given":"Asim J."},{"family":"Vecchiarelli","given":"Haley A."},{"family":"Josselyn","given":"Sheena A."},{"family":"Hill","given":"Matthew N."}],"issued":{"date-parts":[["2019",2,13]]}}}],"schema":"https://github.com/citation-style-language/schema/raw/master/csl-citation.json"}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0866ED" w:rsidRPr="00AF7E86">
        <w:rPr>
          <w:rFonts w:ascii="Times New Roman" w:hAnsi="Times New Roman" w:cs="Times New Roman"/>
          <w:color w:val="000000" w:themeColor="text1"/>
          <w:lang w:val="en-US"/>
        </w:rPr>
        <w:t>(5)</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xml:space="preserve">. Each session of the EPM lasted for 5 min and began when the rats were placed in the center of the maze facing an open arm. Total time spent in open and closed arms, latency to enter an open arm, total number of entries into the open and closed arms, stretch attend postures (rat </w:t>
      </w:r>
      <w:r w:rsidR="00904CB6" w:rsidRPr="00AF7E86">
        <w:rPr>
          <w:rFonts w:ascii="Times New Roman" w:hAnsi="Times New Roman" w:cs="Times New Roman"/>
          <w:color w:val="000000" w:themeColor="text1"/>
          <w:lang w:val="en-US"/>
        </w:rPr>
        <w:t>stretches</w:t>
      </w:r>
      <w:r w:rsidRPr="00AF7E86">
        <w:rPr>
          <w:rFonts w:ascii="Times New Roman" w:hAnsi="Times New Roman" w:cs="Times New Roman"/>
          <w:color w:val="000000" w:themeColor="text1"/>
          <w:lang w:val="en-US"/>
        </w:rPr>
        <w:t xml:space="preserve"> forward then returns to the original position without moving forward; associated with increased anxiety-like behavior and risk assessment behavior) and head dips (rat leaned head over side of EPM investigate below EPM; associated with reduced anxiety-like behavior) were scored by a blinded observer. Entries and time spent in the open/closed arms were only considered if all 4 paws and full body not including the tail were into the arms </w:t>
      </w:r>
      <w:r w:rsidRPr="00AF7E86">
        <w:rPr>
          <w:rFonts w:ascii="Times New Roman" w:hAnsi="Times New Roman" w:cs="Times New Roman"/>
          <w:color w:val="000000" w:themeColor="text1"/>
          <w:lang w:val="en-US"/>
        </w:rPr>
        <w:fldChar w:fldCharType="begin"/>
      </w:r>
      <w:r w:rsidR="000866ED" w:rsidRPr="00AF7E86">
        <w:rPr>
          <w:rFonts w:ascii="Times New Roman" w:hAnsi="Times New Roman" w:cs="Times New Roman"/>
          <w:color w:val="000000" w:themeColor="text1"/>
          <w:lang w:val="en-US"/>
        </w:rPr>
        <w:instrText xml:space="preserve"> ADDIN ZOTERO_ITEM CSL_CITATION {"citationID":"8LEaLaV6","properties":{"formattedCitation":"(5)","plainCitation":"(5)","noteIndex":0},"citationItems":[{"id":951,"uris":["http://zotero.org/users/6692466/items/66BM3WD4"],"uri":["http://zotero.org/users/6692466/items/66BM3WD4"],"itemData":{"id":951,"type":"article-journal","abstract":"Increased anandamide (AEA) signaling through inhibition of its catabolic enzyme fatty acid amide hydrolase (FAAH) in the basolateral complex of amygdala (BLA) is thought to buffer against the effects of stress and reduces behavioral signs of anxiety and fear. However, examining the role of AEA signaling in stress, anxiety, and fear through pharmacological depletion has been challenging due to the redundant complexity of its biosynthesis and the lack of a pharmacological synthesis inhibitor. We developed a herpes simplex viral vector to rapidly yet transiently overexpress FAAH specifically within the BLA to assess the impact of suppressing AEA signaling on stress, fear, and anxiety in male rats. Surprisingly, FAAH overexpression in BLA dampened stress-induced corticosterone release, reduced anxiety-like behaviors, and decreased conditioned fear expression. Interestingly, depleting AEA signaling in the BLA did not prevent fear conditioning itself or fear reinstatement. These effects were specific to the overexpression of FAAH because they were reversed by intra-BLA administration of an FAAH inhibitor. Moreover, the fear-suppressive effects of FAAH overexpression were also mitigated by intra-BLA administration of a low dose of a GABAA receptor antagonist, but not an NMDA/AMPA/kainate receptor antagonist, suggesting that they were mediated by an increase in GABAergic neurotransmission. Our data suggest that a permissive AEA tone within the BLA might gate GABA release and that loss of this tone through elevated AEA hydrolysis increases inhibition in the BLA, which in turn reduces stress, anxiety, and fear. These data provide new insights on the mechanisms by which amygdalar endocannabinoid signaling regulates emotional behavior.SIGNIFICANCE STATEMENT Amygdala endocannabinoid signaling is involved in the regulation of stress, anxiety, and fear. Our data indicate that viral-mediated augmentation of anandamide hydrolysis within the basolateral amygdala reduces behavioral indices of stress, anxiety, and conditioned fear expression. These same effects have been previously documented with inhibition of anandamide hydrolysis in the same brain region. Our results indicate that the ability of anandamide signaling to regulate emotional behavior is nonlinear and may involve actions at distinct neuronal populations, which could be influenced by the basal level of anandamide. Modulation of anandamide signaling is a current clinical therapeutic target for stress-related psychiatric illnesses, so these data underscore the importance of fully understanding the mechanisms by which anandamide signaling regulates amygdala-dependent changes in emotionality.","container-title":"The Journal of Neuroscience: The Official Journal of the Society for Neuroscience","DOI":"10.1523/JNEUROSCI.2251-18.2018","ISSN":"1529-2401","issue":"7","journalAbbreviation":"J. Neurosci.","language":"eng","note":"PMID: 30573646\nPMCID: PMC6381235","page":"1275-1292","source":"PubMed","title":"Upregulation of Anandamide Hydrolysis in the Basolateral Complex of Amygdala Reduces Fear Memory Expression and Indices of Stress and Anxiety","volume":"39","author":[{"family":"Morena","given":"Maria"},{"family":"Aukema","given":"Robert J."},{"family":"Leitl","given":"Kira D."},{"family":"Rashid","given":"Asim J."},{"family":"Vecchiarelli","given":"Haley A."},{"family":"Josselyn","given":"Sheena A."},{"family":"Hill","given":"Matthew N."}],"issued":{"date-parts":[["2019",2,13]]}}}],"schema":"https://github.com/citation-style-language/schema/raw/master/csl-citation.json"}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0866ED" w:rsidRPr="00AF7E86">
        <w:rPr>
          <w:rFonts w:ascii="Times New Roman" w:hAnsi="Times New Roman" w:cs="Times New Roman"/>
          <w:color w:val="000000" w:themeColor="text1"/>
          <w:lang w:val="en-US"/>
        </w:rPr>
        <w:t>(5)</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w:t>
      </w:r>
      <w:r w:rsidR="000D2D97" w:rsidRPr="00AF7E86">
        <w:rPr>
          <w:rFonts w:ascii="Times New Roman" w:hAnsi="Times New Roman" w:cs="Times New Roman"/>
          <w:color w:val="000000" w:themeColor="text1"/>
          <w:lang w:val="en-US"/>
        </w:rPr>
        <w:t xml:space="preserve"> The EPM was </w:t>
      </w:r>
      <w:r w:rsidR="00DF029F" w:rsidRPr="00AF7E86">
        <w:rPr>
          <w:rFonts w:ascii="Times New Roman" w:hAnsi="Times New Roman" w:cs="Times New Roman"/>
          <w:color w:val="000000" w:themeColor="text1"/>
          <w:lang w:val="en-US"/>
        </w:rPr>
        <w:t>thoroughly cleaned between each test run.</w:t>
      </w:r>
    </w:p>
    <w:p w14:paraId="01E84E66" w14:textId="77777777" w:rsidR="00654A42" w:rsidRPr="00AF7E86" w:rsidRDefault="00654A42" w:rsidP="00BE50A1">
      <w:pPr>
        <w:spacing w:line="480" w:lineRule="auto"/>
        <w:jc w:val="both"/>
        <w:rPr>
          <w:rFonts w:ascii="Times New Roman" w:hAnsi="Times New Roman" w:cs="Times New Roman"/>
          <w:color w:val="000000" w:themeColor="text1"/>
          <w:u w:val="single"/>
          <w:shd w:val="clear" w:color="auto" w:fill="FFFFFF"/>
          <w:lang w:val="en-US"/>
        </w:rPr>
      </w:pPr>
    </w:p>
    <w:p w14:paraId="5EACC59E" w14:textId="7EE7139C" w:rsidR="00B90338" w:rsidRPr="00AF7E86" w:rsidRDefault="00B90338" w:rsidP="00BE50A1">
      <w:pPr>
        <w:spacing w:line="480" w:lineRule="auto"/>
        <w:jc w:val="both"/>
        <w:rPr>
          <w:rFonts w:ascii="Times New Roman" w:hAnsi="Times New Roman" w:cs="Times New Roman"/>
          <w:color w:val="000000" w:themeColor="text1"/>
          <w:u w:val="single"/>
          <w:shd w:val="clear" w:color="auto" w:fill="FFFFFF"/>
          <w:lang w:val="en-US"/>
        </w:rPr>
      </w:pPr>
      <w:r w:rsidRPr="00AF7E86">
        <w:rPr>
          <w:rFonts w:ascii="Times New Roman" w:hAnsi="Times New Roman" w:cs="Times New Roman"/>
          <w:color w:val="000000" w:themeColor="text1"/>
          <w:u w:val="single"/>
          <w:shd w:val="clear" w:color="auto" w:fill="FFFFFF"/>
          <w:lang w:val="en-US"/>
        </w:rPr>
        <w:lastRenderedPageBreak/>
        <w:t>Endocannabinoid Measurement</w:t>
      </w:r>
    </w:p>
    <w:p w14:paraId="2526267A" w14:textId="0839A199" w:rsidR="00B90338" w:rsidRPr="00AF7E86" w:rsidRDefault="00B90338"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AEA and 2-AG were measured using liquid chromatography/tandem mass spectrometry </w:t>
      </w:r>
      <w:r w:rsidRPr="00AF7E86">
        <w:rPr>
          <w:rFonts w:ascii="Times New Roman" w:hAnsi="Times New Roman" w:cs="Times New Roman"/>
          <w:color w:val="000000" w:themeColor="text1"/>
          <w:lang w:val="en-US"/>
        </w:rPr>
        <w:fldChar w:fldCharType="begin"/>
      </w:r>
      <w:r w:rsidR="00635284" w:rsidRPr="00AF7E86">
        <w:rPr>
          <w:rFonts w:ascii="Times New Roman" w:hAnsi="Times New Roman" w:cs="Times New Roman"/>
          <w:color w:val="000000" w:themeColor="text1"/>
          <w:lang w:val="en-US"/>
        </w:rPr>
        <w:instrText xml:space="preserve"> ADDIN ZOTERO_ITEM CSL_CITATION {"citationID":"ai793i9lep","properties":{"formattedCitation":"(6)","plainCitation":"(6)","noteIndex":0},"citationItems":[{"id":950,"uris":["http://zotero.org/users/6692466/items/M2VGVII3"],"uri":["http://zotero.org/users/6692466/items/M2VGVII3"],"itemData":{"id":950,"type":"article-journal","abstract":"RATIONALE: Methods for quantifying anandamide (AEA) and 2-arachidonoyl glycerol (2-AG) are needed to support programs investigating molecular mechanisms of the central nervous system. Existing methods, while useful, are not well adapted to efficiently process large numbers of very small tissue samples. A unique challenge involves the disparity in endogenous levels of AEA (pmol/g tissue) and 2-AG (nmol/g tissue).\nMETHODS: A simplified one-step solvent extraction procedure was developed for recovering endocannabinoids from rat brain tissues, and combined with capillary liquid chromatography/tandem mass spectrometry (LC/MS/MS). Various multiple reaction monitoring (MRM)-based methods were evaluated for limit of detection (LOD) and robustness.\nRESULTS: The optimized simultaneous quantitation method achieves an LOQ of 50 amol for AEA and 25 fmol for 2-AG, both with a linearity over 3 orders of magnitude, and elution times under 3 min. Accuracy, expressed as relative error (RE), is less than 12% for AEA and less than 6% for 2-AG. Precision, expressed as relative standard deviation (RSD), is less than 6% for AEA and less than 3% for 2-AG. Sample handling routines are sufficiently robust to support the automated analysis of thousands of samples from a range of tissue types.\nCONCLUSIONS: The microscale method is a sensitive, economical and robust alternative to the larger scale LC/MS methods currently implemented for quantitation of AEA and 2-AG.","container-title":"Rapid communications in mass spectrometry: RCM","DOI":"10.1002/rcm.7277","ISSN":"1097-0231","issue":"20","journalAbbreviation":"Rapid Commun. Mass Spectrom.","language":"eng","note":"PMID: 26411510","page":"1889-1897","source":"PubMed","title":"A robust capillary liquid chromatography/tandem mass spectrometry method for quantitation of neuromodulatory endocannabinoids","volume":"29","author":[{"family":"Qi","given":"Ming"},{"family":"Morena","given":"Maria"},{"family":"Vecchiarelli","given":"Haley A."},{"family":"Hill","given":"Matthew N."},{"family":"Schriemer","given":"David C."}],"issued":{"date-parts":[["2015",10,30]]}}}],"schema":"https://github.com/citation-style-language/schema/raw/master/csl-citation.json"}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635284" w:rsidRPr="00AF7E86">
        <w:rPr>
          <w:rFonts w:ascii="Times New Roman" w:hAnsi="Times New Roman" w:cs="Times New Roman"/>
          <w:color w:val="000000" w:themeColor="text1"/>
          <w:lang w:val="en-US"/>
        </w:rPr>
        <w:t>(6)</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xml:space="preserve">. </w:t>
      </w:r>
      <w:r w:rsidR="00B93BE3" w:rsidRPr="00AF7E86">
        <w:rPr>
          <w:rFonts w:ascii="Times New Roman" w:hAnsi="Times New Roman" w:cs="Times New Roman"/>
          <w:color w:val="000000" w:themeColor="text1"/>
          <w:lang w:val="en-US"/>
        </w:rPr>
        <w:t>Dissections and e</w:t>
      </w:r>
      <w:r w:rsidRPr="00AF7E86">
        <w:rPr>
          <w:rFonts w:ascii="Times New Roman" w:hAnsi="Times New Roman" w:cs="Times New Roman"/>
          <w:color w:val="000000" w:themeColor="text1"/>
          <w:lang w:val="en-US"/>
        </w:rPr>
        <w:t>xcisions of corticolimbic brain structures were performed on ice and samples were then immediately snap frozen and stored at -80°C</w:t>
      </w:r>
      <w:r w:rsidR="00B93BE3" w:rsidRPr="00AF7E86">
        <w:rPr>
          <w:rFonts w:ascii="Times New Roman" w:hAnsi="Times New Roman" w:cs="Times New Roman"/>
          <w:color w:val="000000" w:themeColor="text1"/>
          <w:lang w:val="en-US"/>
        </w:rPr>
        <w:t xml:space="preserve"> as previously extensively described</w:t>
      </w:r>
      <w:r w:rsidR="000A6D08" w:rsidRPr="00AF7E86">
        <w:rPr>
          <w:rFonts w:ascii="Times New Roman" w:hAnsi="Times New Roman" w:cs="Times New Roman"/>
          <w:color w:val="000000" w:themeColor="text1"/>
          <w:lang w:val="en-US"/>
        </w:rPr>
        <w:t xml:space="preserve"> </w:t>
      </w:r>
      <w:r w:rsidR="000A6D08" w:rsidRPr="00AF7E86">
        <w:rPr>
          <w:rFonts w:ascii="Times New Roman" w:hAnsi="Times New Roman" w:cs="Times New Roman"/>
          <w:color w:val="000000" w:themeColor="text1"/>
          <w:lang w:val="en-US"/>
        </w:rPr>
        <w:fldChar w:fldCharType="begin"/>
      </w:r>
      <w:r w:rsidR="00A05A13" w:rsidRPr="00AF7E86">
        <w:rPr>
          <w:rFonts w:ascii="Times New Roman" w:hAnsi="Times New Roman" w:cs="Times New Roman"/>
          <w:color w:val="000000" w:themeColor="text1"/>
          <w:lang w:val="en-US"/>
        </w:rPr>
        <w:instrText xml:space="preserve"> ADDIN ZOTERO_ITEM CSL_CITATION {"citationID":"a1f72uoftpt","properties":{"formattedCitation":"(7)","plainCitation":"(7)","noteIndex":0},"citationItems":[{"id":2837,"uris":["http://zotero.org/users/6692466/items/JRCJAI92"],"uri":["http://zotero.org/users/6692466/items/JRCJAI92"],"itemData":{"id":2837,"type":"article-journal","abstract":"Functional interactions between glucocorticoids and the endocannabinoid system have been repeatedly documented; yet, to date, no studies have demonstrated in vivo that glucocorticoid hormones regulate endocannabinoid signaling. We demonstrate that systemic administration of the glucocorticoid corticosterone (3 and 10 mg/kg) resulted in an increase in the tissue content of the endocannabinoid N-arachidonylethanolamine (AEA) within several limbic structures (amygdala, hippocampus, hypothalamus), but not the prefrontal cortex, of male rats. Tissue AEA content was increased at 10min and returned to control 1h post-corticosterone administration. The other primary endocannabinoid, 2-arachidonoylglycerol, was found to be elevated by corticosterone exclusively within the hypothalamus. The rapidity of the change suggests that glucocorticoids act through a non-genomic pathway. Tissue contents of two other N-acylethanolamines, palmitoylethanolamide and oleolyethanolamide, were not affected by corticosterone treatment, suggesting that the mechanism of regulation is neither fatty acid amide nor N-acylphosphatidylethanolamine phospholipase D. These data provide in vivo support for non-genomic steroid effects in mammals and suggest that AEA is a mediator of these effects.","container-title":"Psychoneuroendocrinology","DOI":"10.1016/j.psyneuen.2010.03.005","ISSN":"1873-3360","issue":"9","journalAbbreviation":"Psychoneuroendocrinology","language":"eng","note":"PMID: 20399021\nPMCID: PMC2914801","page":"1333-1338","source":"PubMed","title":"Rapid elevations in limbic endocannabinoid content by glucocorticoid hormones in vivo","volume":"35","author":[{"family":"Hill","given":"Matthew N."},{"family":"Karatsoreos","given":"Ilia N."},{"family":"Hillard","given":"Cecilia J."},{"family":"McEwen","given":"Bruce S."}],"issued":{"date-parts":[["2010",10]]}}}],"schema":"https://github.com/citation-style-language/schema/raw/master/csl-citation.json"} </w:instrText>
      </w:r>
      <w:r w:rsidR="000A6D08" w:rsidRPr="00AF7E86">
        <w:rPr>
          <w:rFonts w:ascii="Times New Roman" w:hAnsi="Times New Roman" w:cs="Times New Roman"/>
          <w:color w:val="000000" w:themeColor="text1"/>
          <w:lang w:val="en-US"/>
        </w:rPr>
        <w:fldChar w:fldCharType="separate"/>
      </w:r>
      <w:r w:rsidR="00A05A13" w:rsidRPr="00AF7E86">
        <w:rPr>
          <w:rFonts w:ascii="Times New Roman" w:hAnsi="Times New Roman" w:cs="Times New Roman"/>
          <w:color w:val="000000" w:themeColor="text1"/>
          <w:lang w:val="en-US"/>
        </w:rPr>
        <w:t>(7)</w:t>
      </w:r>
      <w:r w:rsidR="000A6D08"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Frozen tissue was homogenized in a borosilicate glass tube containing 2mL of acetonitrile with 5pmol d8-AEA</w:t>
      </w:r>
      <w:r w:rsidR="00B5361F" w:rsidRPr="00AF7E86">
        <w:rPr>
          <w:rFonts w:ascii="Times New Roman" w:hAnsi="Times New Roman" w:cs="Times New Roman"/>
          <w:color w:val="000000" w:themeColor="text1"/>
          <w:lang w:val="en-US"/>
        </w:rPr>
        <w:t xml:space="preserve"> (</w:t>
      </w:r>
      <w:r w:rsidR="005D380E" w:rsidRPr="00AF7E86">
        <w:rPr>
          <w:rFonts w:ascii="Times New Roman" w:hAnsi="Times New Roman" w:cs="Times New Roman"/>
          <w:color w:val="000000" w:themeColor="text1"/>
          <w:lang w:val="en-US"/>
        </w:rPr>
        <w:t>Cayman Chemical Company, Ann Arbor, Michigan, USA, #390050</w:t>
      </w:r>
      <w:r w:rsidR="00B5361F"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and 5nmol d8-2-AG</w:t>
      </w:r>
      <w:r w:rsidR="00B5361F" w:rsidRPr="00AF7E86">
        <w:rPr>
          <w:rFonts w:ascii="Times New Roman" w:hAnsi="Times New Roman" w:cs="Times New Roman"/>
          <w:color w:val="000000" w:themeColor="text1"/>
          <w:lang w:val="en-US"/>
        </w:rPr>
        <w:t xml:space="preserve"> (</w:t>
      </w:r>
      <w:r w:rsidR="00291726" w:rsidRPr="00AF7E86">
        <w:rPr>
          <w:rFonts w:ascii="Times New Roman" w:hAnsi="Times New Roman" w:cs="Times New Roman"/>
          <w:color w:val="000000" w:themeColor="text1"/>
          <w:lang w:val="en-US"/>
        </w:rPr>
        <w:t>Cayman Chemical Company, #362160</w:t>
      </w:r>
      <w:r w:rsidR="00B5361F"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with a glass rod. Following sonication</w:t>
      </w:r>
      <w:r w:rsidR="00A15CCE" w:rsidRPr="00AF7E86">
        <w:rPr>
          <w:rFonts w:ascii="Times New Roman" w:hAnsi="Times New Roman" w:cs="Times New Roman"/>
          <w:color w:val="000000" w:themeColor="text1"/>
          <w:lang w:val="en-US"/>
        </w:rPr>
        <w:t xml:space="preserve"> of the tissue</w:t>
      </w:r>
      <w:r w:rsidRPr="00AF7E86">
        <w:rPr>
          <w:rFonts w:ascii="Times New Roman" w:hAnsi="Times New Roman" w:cs="Times New Roman"/>
          <w:color w:val="000000" w:themeColor="text1"/>
          <w:lang w:val="en-US"/>
        </w:rPr>
        <w:t xml:space="preserve">, an overnight incubation at -20°C and centrifugation at 1,500 x </w:t>
      </w:r>
      <w:r w:rsidRPr="00AF7E86">
        <w:rPr>
          <w:rFonts w:ascii="Times New Roman" w:hAnsi="Times New Roman" w:cs="Times New Roman"/>
          <w:i/>
          <w:color w:val="000000" w:themeColor="text1"/>
          <w:lang w:val="en-US"/>
        </w:rPr>
        <w:t>g</w:t>
      </w:r>
      <w:r w:rsidRPr="00AF7E86">
        <w:rPr>
          <w:rFonts w:ascii="Times New Roman" w:hAnsi="Times New Roman" w:cs="Times New Roman"/>
          <w:color w:val="000000" w:themeColor="text1"/>
          <w:lang w:val="en-US"/>
        </w:rPr>
        <w:t xml:space="preserve">, proteins were removed. Supernatants containing lipids were transferred to a new tube and evaporated under nitrogen gas, washed with acetonitrile and evaporated again. Final reconstitution was in 200µL of acetonitrile before storage at -80°C. </w:t>
      </w:r>
    </w:p>
    <w:p w14:paraId="439ED543" w14:textId="69774D3D" w:rsidR="00B90338" w:rsidRPr="00AF7E86" w:rsidRDefault="00B90338" w:rsidP="00BE50A1">
      <w:pPr>
        <w:spacing w:line="480" w:lineRule="auto"/>
        <w:ind w:firstLine="720"/>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Analysis of AEA and 2-AG </w:t>
      </w:r>
      <w:r w:rsidR="00285CE0" w:rsidRPr="00AF7E86">
        <w:rPr>
          <w:rFonts w:ascii="Times New Roman" w:hAnsi="Times New Roman" w:cs="Times New Roman"/>
          <w:color w:val="000000" w:themeColor="text1"/>
          <w:lang w:val="en-US"/>
        </w:rPr>
        <w:t>were</w:t>
      </w:r>
      <w:r w:rsidRPr="00AF7E86">
        <w:rPr>
          <w:rFonts w:ascii="Times New Roman" w:hAnsi="Times New Roman" w:cs="Times New Roman"/>
          <w:color w:val="000000" w:themeColor="text1"/>
          <w:lang w:val="en-US"/>
        </w:rPr>
        <w:t xml:space="preserve"> conducted through liquid chromatography/tandem mass spectrometry on a </w:t>
      </w:r>
      <w:proofErr w:type="spellStart"/>
      <w:r w:rsidRPr="00AF7E86">
        <w:rPr>
          <w:rFonts w:ascii="Times New Roman" w:hAnsi="Times New Roman" w:cs="Times New Roman"/>
          <w:color w:val="000000" w:themeColor="text1"/>
          <w:lang w:val="en-US"/>
        </w:rPr>
        <w:t>Eksigent</w:t>
      </w:r>
      <w:proofErr w:type="spellEnd"/>
      <w:r w:rsidRPr="00AF7E86">
        <w:rPr>
          <w:rFonts w:ascii="Times New Roman" w:hAnsi="Times New Roman" w:cs="Times New Roman"/>
          <w:color w:val="000000" w:themeColor="text1"/>
          <w:lang w:val="en-US"/>
        </w:rPr>
        <w:t xml:space="preserve"> </w:t>
      </w:r>
      <w:proofErr w:type="spellStart"/>
      <w:r w:rsidRPr="00AF7E86">
        <w:rPr>
          <w:rFonts w:ascii="Times New Roman" w:hAnsi="Times New Roman" w:cs="Times New Roman"/>
          <w:color w:val="000000" w:themeColor="text1"/>
          <w:lang w:val="en-US"/>
        </w:rPr>
        <w:t>ekspert</w:t>
      </w:r>
      <w:proofErr w:type="spellEnd"/>
      <w:r w:rsidRPr="00AF7E86">
        <w:rPr>
          <w:rFonts w:ascii="Times New Roman" w:hAnsi="Times New Roman" w:cs="Times New Roman"/>
          <w:color w:val="000000" w:themeColor="text1"/>
          <w:lang w:val="en-US"/>
        </w:rPr>
        <w:t xml:space="preserve"> micro liquid chromatographer 200 coupled to an AB </w:t>
      </w:r>
      <w:proofErr w:type="spellStart"/>
      <w:r w:rsidRPr="00AF7E86">
        <w:rPr>
          <w:rFonts w:ascii="Times New Roman" w:hAnsi="Times New Roman" w:cs="Times New Roman"/>
          <w:color w:val="000000" w:themeColor="text1"/>
          <w:lang w:val="en-US"/>
        </w:rPr>
        <w:t>Sciex</w:t>
      </w:r>
      <w:proofErr w:type="spellEnd"/>
      <w:r w:rsidRPr="00AF7E86">
        <w:rPr>
          <w:rFonts w:ascii="Times New Roman" w:hAnsi="Times New Roman" w:cs="Times New Roman"/>
          <w:color w:val="000000" w:themeColor="text1"/>
          <w:lang w:val="en-US"/>
        </w:rPr>
        <w:t xml:space="preserve"> </w:t>
      </w:r>
      <w:proofErr w:type="spellStart"/>
      <w:r w:rsidRPr="00AF7E86">
        <w:rPr>
          <w:rFonts w:ascii="Times New Roman" w:hAnsi="Times New Roman" w:cs="Times New Roman"/>
          <w:color w:val="000000" w:themeColor="text1"/>
          <w:lang w:val="en-US"/>
        </w:rPr>
        <w:t>Qtrap</w:t>
      </w:r>
      <w:proofErr w:type="spellEnd"/>
      <w:r w:rsidRPr="00AF7E86">
        <w:rPr>
          <w:rFonts w:ascii="Times New Roman" w:hAnsi="Times New Roman" w:cs="Times New Roman"/>
          <w:color w:val="000000" w:themeColor="text1"/>
          <w:lang w:val="en-US"/>
        </w:rPr>
        <w:t xml:space="preserve"> 5500 mass spectrometer</w:t>
      </w:r>
      <w:r w:rsidR="000866ED" w:rsidRPr="00AF7E86">
        <w:rPr>
          <w:rFonts w:ascii="Times New Roman" w:hAnsi="Times New Roman" w:cs="Times New Roman"/>
          <w:color w:val="000000" w:themeColor="text1"/>
          <w:lang w:val="en-US"/>
        </w:rPr>
        <w:t xml:space="preserve"> (</w:t>
      </w:r>
      <w:r w:rsidR="000A6D08" w:rsidRPr="00AF7E86">
        <w:rPr>
          <w:rFonts w:ascii="Times New Roman" w:hAnsi="Times New Roman" w:cs="Times New Roman"/>
          <w:color w:val="000000" w:themeColor="text1"/>
          <w:lang w:val="en-US"/>
        </w:rPr>
        <w:t xml:space="preserve">SCIEX, </w:t>
      </w:r>
      <w:r w:rsidR="000866ED" w:rsidRPr="00AF7E86">
        <w:rPr>
          <w:rFonts w:ascii="Times New Roman" w:hAnsi="Times New Roman" w:cs="Times New Roman"/>
          <w:color w:val="000000" w:themeColor="text1"/>
          <w:lang w:val="en-US"/>
        </w:rPr>
        <w:t>Framingham, MA, USA)</w:t>
      </w:r>
      <w:r w:rsidRPr="00AF7E86">
        <w:rPr>
          <w:rFonts w:ascii="Times New Roman" w:hAnsi="Times New Roman" w:cs="Times New Roman"/>
          <w:color w:val="000000" w:themeColor="text1"/>
          <w:lang w:val="en-US"/>
        </w:rPr>
        <w:t xml:space="preserve">, which was outfitted with a Turbo V Spray ion source at the Southern Alberta Mass Spectrometry Centre at the University of Calgary </w:t>
      </w:r>
      <w:r w:rsidRPr="00AF7E86">
        <w:rPr>
          <w:rFonts w:ascii="Times New Roman" w:hAnsi="Times New Roman" w:cs="Times New Roman"/>
          <w:color w:val="000000" w:themeColor="text1"/>
          <w:lang w:val="en-US"/>
        </w:rPr>
        <w:fldChar w:fldCharType="begin"/>
      </w:r>
      <w:r w:rsidR="00635284" w:rsidRPr="00AF7E86">
        <w:rPr>
          <w:rFonts w:ascii="Times New Roman" w:hAnsi="Times New Roman" w:cs="Times New Roman"/>
          <w:color w:val="000000" w:themeColor="text1"/>
          <w:lang w:val="en-US"/>
        </w:rPr>
        <w:instrText xml:space="preserve"> ADDIN ZOTERO_ITEM CSL_CITATION {"citationID":"a1lump0jqcm","properties":{"formattedCitation":"(6)","plainCitation":"(6)","noteIndex":0},"citationItems":[{"id":950,"uris":["http://zotero.org/users/6692466/items/M2VGVII3"],"uri":["http://zotero.org/users/6692466/items/M2VGVII3"],"itemData":{"id":950,"type":"article-journal","abstract":"RATIONALE: Methods for quantifying anandamide (AEA) and 2-arachidonoyl glycerol (2-AG) are needed to support programs investigating molecular mechanisms of the central nervous system. Existing methods, while useful, are not well adapted to efficiently process large numbers of very small tissue samples. A unique challenge involves the disparity in endogenous levels of AEA (pmol/g tissue) and 2-AG (nmol/g tissue).\nMETHODS: A simplified one-step solvent extraction procedure was developed for recovering endocannabinoids from rat brain tissues, and combined with capillary liquid chromatography/tandem mass spectrometry (LC/MS/MS). Various multiple reaction monitoring (MRM)-based methods were evaluated for limit of detection (LOD) and robustness.\nRESULTS: The optimized simultaneous quantitation method achieves an LOQ of 50 amol for AEA and 25 fmol for 2-AG, both with a linearity over 3 orders of magnitude, and elution times under 3 min. Accuracy, expressed as relative error (RE), is less than 12% for AEA and less than 6% for 2-AG. Precision, expressed as relative standard deviation (RSD), is less than 6% for AEA and less than 3% for 2-AG. Sample handling routines are sufficiently robust to support the automated analysis of thousands of samples from a range of tissue types.\nCONCLUSIONS: The microscale method is a sensitive, economical and robust alternative to the larger scale LC/MS methods currently implemented for quantitation of AEA and 2-AG.","container-title":"Rapid communications in mass spectrometry: RCM","DOI":"10.1002/rcm.7277","ISSN":"1097-0231","issue":"20","journalAbbreviation":"Rapid Commun. Mass Spectrom.","language":"eng","note":"PMID: 26411510","page":"1889-1897","source":"PubMed","title":"A robust capillary liquid chromatography/tandem mass spectrometry method for quantitation of neuromodulatory endocannabinoids","volume":"29","author":[{"family":"Qi","given":"Ming"},{"family":"Morena","given":"Maria"},{"family":"Vecchiarelli","given":"Haley A."},{"family":"Hill","given":"Matthew N."},{"family":"Schriemer","given":"David C."}],"issued":{"date-parts":[["2015",10,30]]}}}],"schema":"https://github.com/citation-style-language/schema/raw/master/csl-citation.json"}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635284" w:rsidRPr="00AF7E86">
        <w:rPr>
          <w:rFonts w:ascii="Times New Roman" w:hAnsi="Times New Roman" w:cs="Times New Roman"/>
          <w:color w:val="000000" w:themeColor="text1"/>
          <w:lang w:val="en-US"/>
        </w:rPr>
        <w:t>(6)</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The separation of AEA and 2-AG occurred using a</w:t>
      </w:r>
      <w:r w:rsidR="00B5361F" w:rsidRPr="00AF7E86">
        <w:rPr>
          <w:rFonts w:ascii="Times New Roman" w:hAnsi="Times New Roman" w:cs="Times New Roman"/>
          <w:color w:val="000000" w:themeColor="text1"/>
          <w:lang w:val="en-US"/>
        </w:rPr>
        <w:t>n</w:t>
      </w:r>
      <w:r w:rsidRPr="00AF7E86">
        <w:rPr>
          <w:rFonts w:ascii="Times New Roman" w:hAnsi="Times New Roman" w:cs="Times New Roman"/>
          <w:color w:val="000000" w:themeColor="text1"/>
          <w:lang w:val="en-US"/>
        </w:rPr>
        <w:t xml:space="preserve"> </w:t>
      </w:r>
      <w:proofErr w:type="spellStart"/>
      <w:r w:rsidRPr="00AF7E86">
        <w:rPr>
          <w:rFonts w:ascii="Times New Roman" w:hAnsi="Times New Roman" w:cs="Times New Roman"/>
          <w:color w:val="000000" w:themeColor="text1"/>
          <w:lang w:val="en-US"/>
        </w:rPr>
        <w:t>Eksigent</w:t>
      </w:r>
      <w:proofErr w:type="spellEnd"/>
      <w:r w:rsidRPr="00AF7E86">
        <w:rPr>
          <w:rFonts w:ascii="Times New Roman" w:hAnsi="Times New Roman" w:cs="Times New Roman"/>
          <w:color w:val="000000" w:themeColor="text1"/>
          <w:lang w:val="en-US"/>
        </w:rPr>
        <w:t xml:space="preserve"> HALO C18 high performance liquid chromatography column (1 x 50mm, 2.7µm particle size, 90A pores)</w:t>
      </w:r>
      <w:r w:rsidR="000866ED" w:rsidRPr="00AF7E86">
        <w:rPr>
          <w:rFonts w:ascii="Times New Roman" w:hAnsi="Times New Roman" w:cs="Times New Roman"/>
          <w:color w:val="000000" w:themeColor="text1"/>
          <w:lang w:val="en-US"/>
        </w:rPr>
        <w:t xml:space="preserve"> (</w:t>
      </w:r>
      <w:r w:rsidR="000A6D08" w:rsidRPr="00AF7E86">
        <w:rPr>
          <w:rFonts w:ascii="Times New Roman" w:hAnsi="Times New Roman" w:cs="Times New Roman"/>
          <w:color w:val="000000" w:themeColor="text1"/>
          <w:lang w:val="en-US"/>
        </w:rPr>
        <w:t>SCIEX)</w:t>
      </w:r>
      <w:r w:rsidRPr="00AF7E86">
        <w:rPr>
          <w:rFonts w:ascii="Times New Roman" w:hAnsi="Times New Roman" w:cs="Times New Roman"/>
          <w:color w:val="000000" w:themeColor="text1"/>
          <w:lang w:val="en-US"/>
        </w:rPr>
        <w:t>, with a fast, 5 min gradient, at a flow rate of 30µL/min, with a solvent consisting of 15% of mobile phase A (10mM ammonium acetate in water) and 85% mobile phase B (acetonitrile). AEA</w:t>
      </w:r>
      <w:r w:rsidR="000A6D08" w:rsidRPr="00AF7E86">
        <w:rPr>
          <w:rFonts w:ascii="Times New Roman" w:hAnsi="Times New Roman" w:cs="Times New Roman"/>
          <w:color w:val="000000" w:themeColor="text1"/>
          <w:lang w:val="en-US"/>
        </w:rPr>
        <w:t xml:space="preserve"> (</w:t>
      </w:r>
      <w:r w:rsidR="00291726" w:rsidRPr="00AF7E86">
        <w:rPr>
          <w:rFonts w:ascii="Times New Roman" w:hAnsi="Times New Roman" w:cs="Times New Roman"/>
          <w:color w:val="000000" w:themeColor="text1"/>
          <w:lang w:val="en-US"/>
        </w:rPr>
        <w:t>Cayman Chemical Company, #90050</w:t>
      </w:r>
      <w:r w:rsidR="000A6D08"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and AEA-d8 were monitored in their protonated form (348m/z and 356m/z, respectively). 2-AG</w:t>
      </w:r>
      <w:r w:rsidR="000A6D08" w:rsidRPr="00AF7E86">
        <w:rPr>
          <w:rFonts w:ascii="Times New Roman" w:hAnsi="Times New Roman" w:cs="Times New Roman"/>
          <w:color w:val="000000" w:themeColor="text1"/>
          <w:lang w:val="en-US"/>
        </w:rPr>
        <w:t xml:space="preserve"> (</w:t>
      </w:r>
      <w:r w:rsidR="00291726" w:rsidRPr="00AF7E86">
        <w:rPr>
          <w:rFonts w:ascii="Times New Roman" w:hAnsi="Times New Roman" w:cs="Times New Roman"/>
          <w:color w:val="000000" w:themeColor="text1"/>
          <w:lang w:val="en-US"/>
        </w:rPr>
        <w:t>Cayman Chemical Company, #62160</w:t>
      </w:r>
      <w:r w:rsidR="000A6D08"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and 2-AG-d8 were monitored as ammonium ion adducts (396 m/z and 404 m/z, respectively). Cannabinoids were detected in multiple reaction monitoring mode using Q1 and Q3 at unit resolution and </w:t>
      </w:r>
      <w:r w:rsidRPr="00AF7E86">
        <w:rPr>
          <w:rFonts w:ascii="Times New Roman" w:hAnsi="Times New Roman" w:cs="Times New Roman"/>
          <w:color w:val="000000" w:themeColor="text1"/>
          <w:lang w:val="en-US"/>
        </w:rPr>
        <w:lastRenderedPageBreak/>
        <w:t>collision energies optimized for these transitions: AEA (348&gt;62), AEA-d8 (356&gt;62), 2-AG (396&gt;287 and 396&gt;259) and 2-AG-d8 (404&gt;294 and 404&gt;313). Quantification was based on extracted ion chromatogram peak area (however, since 2-AG isomerizes to 1-AG during sample preparation, the peak of both isomers was used for quantification). Data were processed using Analyst 1.5.2 software</w:t>
      </w:r>
      <w:r w:rsidR="000A6D08" w:rsidRPr="00AF7E86">
        <w:rPr>
          <w:rFonts w:ascii="Times New Roman" w:hAnsi="Times New Roman" w:cs="Times New Roman"/>
          <w:color w:val="000000" w:themeColor="text1"/>
          <w:lang w:val="en-US"/>
        </w:rPr>
        <w:t xml:space="preserve"> (SCIEX)</w:t>
      </w:r>
      <w:r w:rsidRPr="00AF7E86">
        <w:rPr>
          <w:rFonts w:ascii="Times New Roman" w:hAnsi="Times New Roman" w:cs="Times New Roman"/>
          <w:color w:val="000000" w:themeColor="text1"/>
          <w:lang w:val="en-US"/>
        </w:rPr>
        <w:t xml:space="preserve"> and linear regression of the ratio of analyte peak areas to internal standard was performed over analyte concentration range. For this method, a calibration set of six dilutions of both AEA (0.05-50nM) and 2-AG (0.025-25µM) was utilized.</w:t>
      </w:r>
    </w:p>
    <w:p w14:paraId="67336D85" w14:textId="77777777" w:rsidR="00B90338" w:rsidRPr="00AF7E86" w:rsidRDefault="00B90338" w:rsidP="00BE50A1">
      <w:pPr>
        <w:spacing w:line="480" w:lineRule="auto"/>
        <w:jc w:val="both"/>
        <w:rPr>
          <w:rFonts w:ascii="Times New Roman" w:hAnsi="Times New Roman" w:cs="Times New Roman"/>
          <w:color w:val="000000" w:themeColor="text1"/>
          <w:u w:val="single"/>
          <w:lang w:val="en-US"/>
        </w:rPr>
      </w:pPr>
    </w:p>
    <w:p w14:paraId="4D54938D" w14:textId="3F742EC7" w:rsidR="00B90338" w:rsidRPr="00AF7E86" w:rsidRDefault="00B90338" w:rsidP="00BE50A1">
      <w:pPr>
        <w:spacing w:line="480" w:lineRule="auto"/>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u w:val="single"/>
          <w:lang w:val="en-US"/>
        </w:rPr>
        <w:t>Enzyme Activity Assays</w:t>
      </w:r>
    </w:p>
    <w:p w14:paraId="40AD54E0" w14:textId="5F192D4C" w:rsidR="00B90338" w:rsidRPr="00AF7E86" w:rsidRDefault="00B90338"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Corticolimbic brain structures were excised on ice and samples were then immediately snap frozen and stored at -80°C. Prior to enzyme activity assays, corticolimbic brain regions were homogenized and membrane fractions were isolated as described previously</w:t>
      </w:r>
      <w:r w:rsidR="0002753A" w:rsidRPr="00AF7E86">
        <w:rPr>
          <w:rFonts w:ascii="Times New Roman" w:hAnsi="Times New Roman" w:cs="Times New Roman"/>
          <w:color w:val="000000" w:themeColor="text1"/>
          <w:lang w:val="en-US"/>
        </w:rPr>
        <w:t xml:space="preserve"> </w:t>
      </w:r>
      <w:r w:rsidR="000A6D08" w:rsidRPr="00AF7E86">
        <w:rPr>
          <w:rFonts w:ascii="Times New Roman" w:hAnsi="Times New Roman" w:cs="Times New Roman"/>
          <w:color w:val="000000" w:themeColor="text1"/>
          <w:lang w:val="en-US"/>
        </w:rPr>
        <w:fldChar w:fldCharType="begin"/>
      </w:r>
      <w:r w:rsidR="00A05A13" w:rsidRPr="00AF7E86">
        <w:rPr>
          <w:rFonts w:ascii="Times New Roman" w:hAnsi="Times New Roman" w:cs="Times New Roman"/>
          <w:color w:val="000000" w:themeColor="text1"/>
          <w:lang w:val="en-US"/>
        </w:rPr>
        <w:instrText xml:space="preserve"> ADDIN ZOTERO_ITEM CSL_CITATION {"citationID":"ajnmukole","properties":{"formattedCitation":"(8)","plainCitation":"(8)","noteIndex":0},"citationItems":[{"id":898,"uris":["http://zotero.org/users/6692466/items/6TVNY5XI"],"uri":["http://zotero.org/users/6692466/items/6TVNY5XI"],"itemData":{"id":898,"type":"article-journal","abstract":"Corticotropin-releasing hormone (CRH) is a central integrator in the brain of endocrine and behavioral stress responses, whereas activation of the endocannabinoid CB1 receptor suppresses these responses. Although these systems regulate overlapping functions, few studies have investigated whether these systems interact. Here we demonstrate a novel mechanism of CRH-induced anxiety that relies on modulation of endocannabinoids. Specifically, we found that CRH, through activation of the CRH receptor type 1 (CRHR1), evokes a rapid induction of the enzyme fatty acid amide hydrolase (FAAH), which causes a reduction in the endocannabinoid anandamide (AEA), within the amygdala. Similarly, the ability of acute stress to modulate amygdala FAAH and AEA in both rats and mice is also mediated through CRHR1 activation. This interaction occurs specifically in amygdala pyramidal neurons and represents a novel mechanism of endocannabinoid-CRH interactions in regulating amygdala output. Functionally, we found that CRH signaling in the amygdala promotes an anxious phenotype that is prevented by FAAH inhibition. Together, this work suggests that rapid reductions in amygdala AEA signaling following stress may prime the amygdala and facilitate the generation of downstream stress-linked behaviors. Given that endocannabinoid signaling is thought to exert \"tonic\" regulation on stress and anxiety responses, these data suggest that CRH signaling coordinates a disruption of tonic AEA activity to promote a state of anxiety, which in turn may represent an endogenous mechanism by which stress enhances anxiety. These data suggest that FAAH inhibitors may represent a novel class of anxiolytics that specifically target stress-induced anxiety.","container-title":"The Journal of Neuroscience: The Official Journal of the Society for Neuroscience","DOI":"10.1523/JNEUROSCI.2737-14.2015","ISSN":"1529-2401","issue":"9","journalAbbreviation":"J. Neurosci.","language":"eng","note":"PMID: 25740517\nPMCID: PMC4348185","page":"3879-3892","source":"PubMed","title":"Corticotropin-releasing hormone drives anandamide hydrolysis in the amygdala to promote anxiety","volume":"35","author":[{"family":"Gray","given":"J. Megan"},{"family":"Vecchiarelli","given":"Haley A."},{"family":"Morena","given":"Maria"},{"family":"Lee","given":"Tiffany T. Y."},{"family":"Hermanson","given":"Daniel J."},{"family":"Kim","given":"Alexander B."},{"family":"McLaughlin","given":"Ryan J."},{"family":"Hassan","given":"Kowther I."},{"family":"Kühne","given":"Claudia"},{"family":"Wotjak","given":"Carsten T."},{"family":"Deussing","given":"Jan M."},{"family":"Patel","given":"Sachin"},{"family":"Hill","given":"Matthew N."}],"issued":{"date-parts":[["2015",3,4]]}}}],"schema":"https://github.com/citation-style-language/schema/raw/master/csl-citation.json"} </w:instrText>
      </w:r>
      <w:r w:rsidR="000A6D08" w:rsidRPr="00AF7E86">
        <w:rPr>
          <w:rFonts w:ascii="Times New Roman" w:hAnsi="Times New Roman" w:cs="Times New Roman"/>
          <w:color w:val="000000" w:themeColor="text1"/>
          <w:lang w:val="en-US"/>
        </w:rPr>
        <w:fldChar w:fldCharType="separate"/>
      </w:r>
      <w:r w:rsidR="00A05A13" w:rsidRPr="00AF7E86">
        <w:rPr>
          <w:rFonts w:ascii="Times New Roman" w:hAnsi="Times New Roman" w:cs="Times New Roman"/>
          <w:color w:val="000000" w:themeColor="text1"/>
          <w:lang w:val="en-US"/>
        </w:rPr>
        <w:t>(8)</w:t>
      </w:r>
      <w:r w:rsidR="000A6D08"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Briefly, tissue was homogenized in 10x its mass in volume of tris-magnesium-ethylenediaminetetraacetic acid (EDTA) (TME) Buffer (50mM Tris HCl, 1mM EDTA and 3mM MgCl</w:t>
      </w:r>
      <w:r w:rsidRPr="00AF7E86">
        <w:rPr>
          <w:rFonts w:ascii="Times New Roman" w:hAnsi="Times New Roman" w:cs="Times New Roman"/>
          <w:color w:val="000000" w:themeColor="text1"/>
          <w:vertAlign w:val="subscript"/>
          <w:lang w:val="en-US"/>
        </w:rPr>
        <w:t>2</w:t>
      </w:r>
      <w:r w:rsidRPr="00AF7E86">
        <w:rPr>
          <w:rFonts w:ascii="Times New Roman" w:hAnsi="Times New Roman" w:cs="Times New Roman"/>
          <w:color w:val="000000" w:themeColor="text1"/>
          <w:lang w:val="en-US"/>
        </w:rPr>
        <w:t xml:space="preserve">, pH 7.4) using a glass mortar and pestle. Homogenized tissue was </w:t>
      </w:r>
      <w:r w:rsidR="00B76AFB" w:rsidRPr="00AF7E86">
        <w:rPr>
          <w:rFonts w:ascii="Times New Roman" w:hAnsi="Times New Roman" w:cs="Times New Roman"/>
          <w:color w:val="000000" w:themeColor="text1"/>
          <w:lang w:val="en-US"/>
        </w:rPr>
        <w:t>centrifuged</w:t>
      </w:r>
      <w:r w:rsidRPr="00AF7E86">
        <w:rPr>
          <w:rFonts w:ascii="Times New Roman" w:hAnsi="Times New Roman" w:cs="Times New Roman"/>
          <w:color w:val="000000" w:themeColor="text1"/>
          <w:lang w:val="en-US"/>
        </w:rPr>
        <w:t xml:space="preserve"> for 20 min at 18,000 x </w:t>
      </w:r>
      <w:r w:rsidRPr="00AF7E86">
        <w:rPr>
          <w:rFonts w:ascii="Times New Roman" w:hAnsi="Times New Roman" w:cs="Times New Roman"/>
          <w:i/>
          <w:iCs/>
          <w:color w:val="000000" w:themeColor="text1"/>
          <w:lang w:val="en-US"/>
        </w:rPr>
        <w:t>g</w:t>
      </w:r>
      <w:r w:rsidRPr="00AF7E86">
        <w:rPr>
          <w:rFonts w:ascii="Times New Roman" w:hAnsi="Times New Roman" w:cs="Times New Roman"/>
          <w:color w:val="000000" w:themeColor="text1"/>
          <w:lang w:val="en-US"/>
        </w:rPr>
        <w:t xml:space="preserve"> at 4°C. Pellets containing crude membrane fractions were resuspended again in 10x volume. A Pierce bicinchoninic acid (BCA) protein assay was performed to quantify protein concentration according the manufacturer’s protocol (Thermo Fisher Scientific</w:t>
      </w:r>
      <w:r w:rsidR="00B76AFB" w:rsidRPr="00AF7E86">
        <w:rPr>
          <w:rFonts w:ascii="Times New Roman" w:hAnsi="Times New Roman" w:cs="Times New Roman"/>
          <w:color w:val="000000" w:themeColor="text1"/>
          <w:lang w:val="en-US"/>
        </w:rPr>
        <w:t>, Waltham, MA, USA, #</w:t>
      </w:r>
      <w:r w:rsidR="003D42AC" w:rsidRPr="00AF7E86">
        <w:rPr>
          <w:rFonts w:ascii="Times New Roman" w:hAnsi="Times New Roman" w:cs="Times New Roman"/>
          <w:color w:val="000000" w:themeColor="text1"/>
          <w:lang w:val="en-US"/>
        </w:rPr>
        <w:t>23225</w:t>
      </w:r>
      <w:r w:rsidRPr="00AF7E86">
        <w:rPr>
          <w:rFonts w:ascii="Times New Roman" w:hAnsi="Times New Roman" w:cs="Times New Roman"/>
          <w:color w:val="000000" w:themeColor="text1"/>
          <w:lang w:val="en-US"/>
        </w:rPr>
        <w:t>)</w:t>
      </w:r>
      <w:r w:rsidR="00285CE0"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fldChar w:fldCharType="begin"/>
      </w:r>
      <w:r w:rsidR="00635284" w:rsidRPr="00AF7E86">
        <w:rPr>
          <w:rFonts w:ascii="Times New Roman" w:hAnsi="Times New Roman" w:cs="Times New Roman"/>
          <w:color w:val="000000" w:themeColor="text1"/>
          <w:lang w:val="en-US"/>
        </w:rPr>
        <w:instrText xml:space="preserve"> ADDIN ZOTERO_ITEM CSL_CITATION {"citationID":"a24tguc532","properties":{"formattedCitation":"(9)","plainCitation":"(9)","noteIndex":0},"citationItems":[{"id":893,"uris":["http://zotero.org/users/6692466/items/A4I8G7ZB"],"uri":["http://zotero.org/users/6692466/items/A4I8G7ZB"],"itemData":{"id":893,"type":"article-journal","abstract":"There is now a growing body of literature that indicates that stress can initiate inflammatory processes, both in the periphery and brain; however, the spatiotemporal nature of this response is not well characterized. The aim of this study was to examine the effects of an acute psychological stress on changes in mRNA and protein levels of a wide range of inflammatory mediators across a broad temporal range, in key corticolimbic brain regions involved in the regulation of the stress response (amygdala, hippocampus, hypothalamus, medial prefrontal cortex). mRNA levels of inflammatory mediators were analyzed immediately following 30min or 120min of acute restraint stress and protein levels were examined 0h through 24h post-termination of 120min of acute restraint stress using both multiplex and ELISA methods. Our data demonstrate, for the first time, that exposure to acute psychological stress results in an increase in the protein level of several inflammatory mediators in the amygdala while concomitantly producing a decrease in the protein level of multiple inflammatory mediators within the medial prefrontal cortex. This pattern of changes seemed largely restricted to the amygdala and medial prefrontal cortex, with stress producing few changes in the mRNA or protein levels of inflammatory mediators within the hippocampus or hypothalamus. Consistent with previous research, stress resulted in a general elevation in multiple inflammatory mediators within the circulation. These data indicate that neuroinflammatory responses to stress do not appear to be generalized across brain structures and exhibit a high degree of spatiotemporal specificity. Given the impact of inflammatory signaling on neural excitability and emotional behavior, these data may provide a platform with which to explore the importance of inflammatory signaling within the prefrontocortical-amygdala circuit in the regulation of the neurobehavioral responses to stress.","container-title":"Brain, Behavior, and Immunity","DOI":"10.1016/j.bbi.2015.07.026","ISSN":"1090-2139","journalAbbreviation":"Brain Behav. Immun.","language":"eng","note":"PMID: 26260453","page":"70-91","source":"PubMed","title":"Divergent responses of inflammatory mediators within the amygdala and medial prefrontal cortex to acute psychological stress","volume":"51","author":[{"family":"Vecchiarelli","given":"Haley A."},{"family":"Gandhi","given":"Chaitanya P."},{"family":"Gray","given":"J. Megan"},{"family":"Morena","given":"Maria"},{"family":"Hassan","given":"Kowther I."},{"family":"Hill","given":"Matthew N."}],"issued":{"date-parts":[["2016",1]]}}}],"schema":"https://github.com/citation-style-language/schema/raw/master/csl-citation.json"}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635284" w:rsidRPr="00AF7E86">
        <w:rPr>
          <w:rFonts w:ascii="Times New Roman" w:hAnsi="Times New Roman" w:cs="Times New Roman"/>
          <w:color w:val="000000" w:themeColor="text1"/>
          <w:lang w:val="en-US"/>
        </w:rPr>
        <w:t>(9)</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w:t>
      </w:r>
    </w:p>
    <w:p w14:paraId="113D12D4" w14:textId="54D1BE16" w:rsidR="001A5490" w:rsidRPr="00AF7E86" w:rsidRDefault="00B90338" w:rsidP="00BE50A1">
      <w:pPr>
        <w:spacing w:line="480" w:lineRule="auto"/>
        <w:ind w:firstLine="720"/>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FAAH activity was measured as the conversion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H]-AEA</w:t>
      </w:r>
      <w:r w:rsidR="003D42AC" w:rsidRPr="00AF7E86">
        <w:rPr>
          <w:rFonts w:ascii="Times New Roman" w:hAnsi="Times New Roman" w:cs="Times New Roman"/>
          <w:color w:val="000000" w:themeColor="text1"/>
          <w:lang w:val="en-US"/>
        </w:rPr>
        <w:t xml:space="preserve"> (</w:t>
      </w:r>
      <w:r w:rsidR="004B0CAA" w:rsidRPr="00AF7E86">
        <w:rPr>
          <w:rFonts w:ascii="Times New Roman" w:hAnsi="Times New Roman" w:cs="Times New Roman"/>
          <w:color w:val="000000" w:themeColor="text1"/>
          <w:lang w:val="en-US"/>
        </w:rPr>
        <w:t>American Radiolabeled Chemicals, Inc</w:t>
      </w:r>
      <w:r w:rsidR="004E26B6" w:rsidRPr="00AF7E86">
        <w:rPr>
          <w:rFonts w:ascii="Times New Roman" w:hAnsi="Times New Roman" w:cs="Times New Roman"/>
          <w:color w:val="000000" w:themeColor="text1"/>
          <w:lang w:val="en-US"/>
        </w:rPr>
        <w:t>.</w:t>
      </w:r>
      <w:r w:rsidR="004B0CAA" w:rsidRPr="00AF7E86">
        <w:rPr>
          <w:rFonts w:ascii="Times New Roman" w:hAnsi="Times New Roman" w:cs="Times New Roman"/>
          <w:color w:val="000000" w:themeColor="text1"/>
          <w:lang w:val="en-US"/>
        </w:rPr>
        <w:t>, St. Louis, MO, USA, #ART 0626</w:t>
      </w:r>
      <w:r w:rsidR="003D42AC"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to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H]-ethanolamine as previously described</w:t>
      </w:r>
      <w:r w:rsidR="00285CE0"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fldChar w:fldCharType="begin"/>
      </w:r>
      <w:r w:rsidR="00635284" w:rsidRPr="00AF7E86">
        <w:rPr>
          <w:rFonts w:ascii="Times New Roman" w:hAnsi="Times New Roman" w:cs="Times New Roman"/>
          <w:color w:val="000000" w:themeColor="text1"/>
          <w:lang w:val="en-US"/>
        </w:rPr>
        <w:instrText xml:space="preserve"> ADDIN ZOTERO_ITEM CSL_CITATION {"citationID":"ikjxSwCn","properties":{"formattedCitation":"(10)","plainCitation":"(10)","noteIndex":0},"citationItems":[{"id":946,"uris":["http://zotero.org/users/6692466/items/ZUGHXC86"],"uri":["http://zotero.org/users/6692466/items/ZUGHXC86"],"itemData":{"id":946,"type":"article-journal","abstract":"Early-life stress (ELS) creates life-long vulnerability to stress-related anxiety disorders through altering stress and fear systems in the brain. The endocannabinoid system has emerged as an important regulator of the stress response through a crosstalk with the glucocorticoid system, yet whether it plays a role in the persistent effects of ELS remains unanswered. By combining, behavioral, pharmacological and biochemical approaches in adult male rats, we examined the impact of ELS on the regulation of endocannabinoid function by stress and glucocorticoids. We employed a postnatal limited-nesting/bedding induced ELS between postnatal days 2-9 in rats. Exposure to postnatal ELS compromised the ability of both acute stress and glucocorticoid administration to mobilize the endocannabinoid ligand 2-arachidonoyl glycerol (2-AG) in the hippocampus of adult male rats. These findings suggest that ELS compromises the coupling of the glucocorticoid and endocannabinoid systems in the hippocampus. Since 2-AG signaling is essential in mediating glucocorticoid-induced suppression of fear recall, we further examined the impact of ELS on the ability of glucocorticoids to suppress fear memory recall. While ELS did not affect normative fear recall, it impaired the ability of glucocorticoids to dampen fear recall. Notably, bypassing glucocorticoids and directly amplifying hippocampal 2-AG signaling with a monoacyl glycerol lipase inhibitor produced a suppression of fear memory recall in animals exposed to ELS. These findings suggest that ELS results in an uncoupling of glucocorticoid-endocannabinoid signaling in the hippocampus, which, in turn, relates to alterations in stress regulation of memory recall. These data provide compelling evidence that ELS-induced deficits in the glucocorticoid-endocannabinoid coupling following stress could predispose susceptibility to stress-related psychopathology.","container-title":"Psychoneuroendocrinology","DOI":"10.1016/j.psyneuen.2018.02.021","ISSN":"1873-3360","journalAbbreviation":"Psychoneuroendocrinology","language":"eng","note":"PMID: 29524763","page":"41-49","source":"PubMed","title":"Glucocorticoid-endocannabinoid uncoupling mediates fear suppression deficits after early - Life stress","volume":"91","author":[{"family":"Atsak","given":"Piray"},{"family":"Morena","given":"Maria"},{"family":"Schoenmaker","given":"Chantal"},{"family":"Tabak","given":"Emma"},{"family":"Oomen","given":"Charlotte A."},{"family":"Jamil","given":"Sara"},{"family":"Hill","given":"Matthew N."},{"family":"Roozendaal","given":"Benno"}],"issued":{"date-parts":[["2018"]]}}}],"schema":"https://github.com/citation-style-language/schema/raw/master/csl-citation.json"}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635284" w:rsidRPr="00AF7E86">
        <w:rPr>
          <w:rFonts w:ascii="Times New Roman" w:hAnsi="Times New Roman" w:cs="Times New Roman"/>
          <w:color w:val="000000" w:themeColor="text1"/>
          <w:lang w:val="en-US"/>
        </w:rPr>
        <w:t>(10)</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Briefly, in triplicate, membrane fractions (10µg) were incubated in TME Buffer with bovine serum albumin (BSA)</w:t>
      </w:r>
      <w:r w:rsidR="003D42AC" w:rsidRPr="00AF7E86">
        <w:rPr>
          <w:rFonts w:ascii="Times New Roman" w:hAnsi="Times New Roman" w:cs="Times New Roman"/>
          <w:color w:val="000000" w:themeColor="text1"/>
          <w:lang w:val="en-US"/>
        </w:rPr>
        <w:t xml:space="preserve"> (Millipore Sigma, Darmstadt, Germany, #</w:t>
      </w:r>
      <w:r w:rsidR="005D380E" w:rsidRPr="00AF7E86">
        <w:rPr>
          <w:rFonts w:ascii="Times New Roman" w:hAnsi="Times New Roman" w:cs="Times New Roman"/>
          <w:color w:val="000000" w:themeColor="text1"/>
          <w:lang w:val="en-US"/>
        </w:rPr>
        <w:t>Sigma A6003</w:t>
      </w:r>
      <w:r w:rsidR="003D42AC"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0.2nm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H]-AEA and non-tritiated AEA</w:t>
      </w:r>
      <w:r w:rsidR="004E26B6" w:rsidRPr="00AF7E86">
        <w:rPr>
          <w:rFonts w:ascii="Times New Roman" w:hAnsi="Times New Roman" w:cs="Times New Roman"/>
          <w:color w:val="000000" w:themeColor="text1"/>
          <w:lang w:val="en-US"/>
        </w:rPr>
        <w:t xml:space="preserve"> (Cayman Chemical Company, #90050)</w:t>
      </w:r>
      <w:r w:rsidRPr="00AF7E86">
        <w:rPr>
          <w:rFonts w:ascii="Times New Roman" w:hAnsi="Times New Roman" w:cs="Times New Roman"/>
          <w:color w:val="000000" w:themeColor="text1"/>
          <w:lang w:val="en-US"/>
        </w:rPr>
        <w:t xml:space="preserve"> in 8 concentrations (10nM to </w:t>
      </w:r>
      <w:r w:rsidRPr="00AF7E86">
        <w:rPr>
          <w:rFonts w:ascii="Times New Roman" w:hAnsi="Times New Roman" w:cs="Times New Roman"/>
          <w:color w:val="000000" w:themeColor="text1"/>
          <w:lang w:val="en-US"/>
        </w:rPr>
        <w:lastRenderedPageBreak/>
        <w:t>10mM). Reactions were carried out at 3</w:t>
      </w:r>
      <w:r w:rsidR="00FA779B" w:rsidRPr="00AF7E86">
        <w:rPr>
          <w:rFonts w:ascii="Times New Roman" w:hAnsi="Times New Roman" w:cs="Times New Roman"/>
          <w:color w:val="000000" w:themeColor="text1"/>
          <w:lang w:val="en-US"/>
        </w:rPr>
        <w:t>0</w:t>
      </w:r>
      <w:r w:rsidRPr="00AF7E86">
        <w:rPr>
          <w:rFonts w:ascii="Times New Roman" w:hAnsi="Times New Roman" w:cs="Times New Roman"/>
          <w:color w:val="000000" w:themeColor="text1"/>
          <w:lang w:val="en-US"/>
        </w:rPr>
        <w:t>°C for 30 min and stopped by addition of 2mL of chloroform/methanol (1:2). React</w:t>
      </w:r>
      <w:r w:rsidR="00387FC7" w:rsidRPr="00AF7E86">
        <w:rPr>
          <w:rFonts w:ascii="Times New Roman" w:hAnsi="Times New Roman" w:cs="Times New Roman"/>
          <w:color w:val="000000" w:themeColor="text1"/>
          <w:lang w:val="en-US"/>
        </w:rPr>
        <w:t>ed products</w:t>
      </w:r>
      <w:r w:rsidRPr="00AF7E86">
        <w:rPr>
          <w:rFonts w:ascii="Times New Roman" w:hAnsi="Times New Roman" w:cs="Times New Roman"/>
          <w:color w:val="000000" w:themeColor="text1"/>
          <w:lang w:val="en-US"/>
        </w:rPr>
        <w:t xml:space="preserve"> then sat at room temperature (RT) for 30 min, with intermittent </w:t>
      </w:r>
      <w:proofErr w:type="spellStart"/>
      <w:r w:rsidRPr="00AF7E86">
        <w:rPr>
          <w:rFonts w:ascii="Times New Roman" w:hAnsi="Times New Roman" w:cs="Times New Roman"/>
          <w:color w:val="000000" w:themeColor="text1"/>
          <w:lang w:val="en-US"/>
        </w:rPr>
        <w:t>vortexing</w:t>
      </w:r>
      <w:proofErr w:type="spellEnd"/>
      <w:r w:rsidRPr="00AF7E86">
        <w:rPr>
          <w:rFonts w:ascii="Times New Roman" w:hAnsi="Times New Roman" w:cs="Times New Roman"/>
          <w:color w:val="000000" w:themeColor="text1"/>
          <w:lang w:val="en-US"/>
        </w:rPr>
        <w:t xml:space="preserve">, after which 0.67mL of chloroform and 0.6mL of water were added. Organic and aqueous phases were separated via centrifugation (1500 </w:t>
      </w:r>
      <w:r w:rsidR="00FA779B" w:rsidRPr="00AF7E86">
        <w:rPr>
          <w:rFonts w:ascii="Times New Roman" w:hAnsi="Times New Roman" w:cs="Times New Roman"/>
          <w:color w:val="000000" w:themeColor="text1"/>
          <w:lang w:val="en-US"/>
        </w:rPr>
        <w:t xml:space="preserve">x </w:t>
      </w:r>
      <w:r w:rsidR="00FA779B" w:rsidRPr="00AF7E86">
        <w:rPr>
          <w:rFonts w:ascii="Times New Roman" w:hAnsi="Times New Roman" w:cs="Times New Roman"/>
          <w:i/>
          <w:color w:val="000000" w:themeColor="text1"/>
          <w:lang w:val="en-US"/>
        </w:rPr>
        <w:t>g</w:t>
      </w:r>
      <w:r w:rsidRPr="00AF7E86">
        <w:rPr>
          <w:rFonts w:ascii="Times New Roman" w:hAnsi="Times New Roman" w:cs="Times New Roman"/>
          <w:color w:val="000000" w:themeColor="text1"/>
          <w:lang w:val="en-US"/>
        </w:rPr>
        <w:t xml:space="preserve"> for 10 min at 4°C). The amount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 in 0.5mL of the aqueous phase was obtained using liquid scintillation counting in disintegrations per min (DPM). The conversion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H]-AEA to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H]-ethanolamine was calculated. As the radioactive epitope was present on the ethanolamine portion, radioactivity present in the aqueous phase (containing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H]-ethanolamine but not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H]-AEA) represented the amount of metabolized AEA. The maximal hydrolytic activity of FAAH (V</w:t>
      </w:r>
      <w:r w:rsidRPr="00AF7E86">
        <w:rPr>
          <w:rFonts w:ascii="Times New Roman" w:hAnsi="Times New Roman" w:cs="Times New Roman"/>
          <w:color w:val="000000" w:themeColor="text1"/>
          <w:vertAlign w:val="subscript"/>
          <w:lang w:val="en-US"/>
        </w:rPr>
        <w:t>max</w:t>
      </w:r>
      <w:r w:rsidRPr="00AF7E86">
        <w:rPr>
          <w:rFonts w:ascii="Times New Roman" w:hAnsi="Times New Roman" w:cs="Times New Roman"/>
          <w:color w:val="000000" w:themeColor="text1"/>
          <w:lang w:val="en-US"/>
        </w:rPr>
        <w:t>) and the binding affinity of AEA for FAAH (K</w:t>
      </w:r>
      <w:r w:rsidRPr="00AF7E86">
        <w:rPr>
          <w:rFonts w:ascii="Times New Roman" w:hAnsi="Times New Roman" w:cs="Times New Roman"/>
          <w:color w:val="000000" w:themeColor="text1"/>
          <w:vertAlign w:val="subscript"/>
          <w:lang w:val="en-US"/>
        </w:rPr>
        <w:t>m</w:t>
      </w:r>
      <w:r w:rsidRPr="00AF7E86">
        <w:rPr>
          <w:rFonts w:ascii="Times New Roman" w:hAnsi="Times New Roman" w:cs="Times New Roman"/>
          <w:color w:val="000000" w:themeColor="text1"/>
          <w:lang w:val="en-US"/>
        </w:rPr>
        <w:t xml:space="preserve">) for this conversion were determined by fitting the data to the Michaelis-Menten equation using </w:t>
      </w:r>
      <w:r w:rsidR="001A5490" w:rsidRPr="00AF7E86">
        <w:rPr>
          <w:rFonts w:ascii="Times New Roman" w:hAnsi="Times New Roman" w:cs="Times New Roman"/>
          <w:color w:val="000000" w:themeColor="text1"/>
          <w:lang w:val="en-US"/>
        </w:rPr>
        <w:t>Prism v8 (GraphPad, San Diego, CA, USA, RRID:SCR_002798).</w:t>
      </w:r>
    </w:p>
    <w:p w14:paraId="27CC92F4" w14:textId="5CC93437" w:rsidR="00B90338" w:rsidRPr="00AF7E86" w:rsidRDefault="00B90338" w:rsidP="00BE50A1">
      <w:pPr>
        <w:spacing w:line="480" w:lineRule="auto"/>
        <w:ind w:firstLine="720"/>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lang w:val="en-US"/>
        </w:rPr>
        <w:t>Similarly, MAGL activity was measured as the conversion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H]-2-oleoylglycerol (2-OG)</w:t>
      </w:r>
      <w:r w:rsidR="004E26B6" w:rsidRPr="00AF7E86">
        <w:rPr>
          <w:rFonts w:ascii="Times New Roman" w:hAnsi="Times New Roman" w:cs="Times New Roman"/>
          <w:color w:val="000000" w:themeColor="text1"/>
          <w:lang w:val="en-US"/>
        </w:rPr>
        <w:t xml:space="preserve"> (American Radiolabeled Chemicals, Inc., #ART 0400)</w:t>
      </w:r>
      <w:r w:rsidRPr="00AF7E86">
        <w:rPr>
          <w:rFonts w:ascii="Times New Roman" w:hAnsi="Times New Roman" w:cs="Times New Roman"/>
          <w:color w:val="000000" w:themeColor="text1"/>
          <w:lang w:val="en-US"/>
        </w:rPr>
        <w:t xml:space="preserve"> to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H]-glycerol, as previous described</w:t>
      </w:r>
      <w:r w:rsidR="00285CE0"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fldChar w:fldCharType="begin"/>
      </w:r>
      <w:r w:rsidR="00635284" w:rsidRPr="00AF7E86">
        <w:rPr>
          <w:rFonts w:ascii="Times New Roman" w:hAnsi="Times New Roman" w:cs="Times New Roman"/>
          <w:color w:val="000000" w:themeColor="text1"/>
          <w:lang w:val="en-US"/>
        </w:rPr>
        <w:instrText xml:space="preserve"> ADDIN ZOTERO_ITEM CSL_CITATION {"citationID":"CcHC9WQL","properties":{"formattedCitation":"(11)","plainCitation":"(11)","noteIndex":0},"citationItems":[{"id":948,"uris":["http://zotero.org/users/6692466/items/REW4I9UB"],"uri":["http://zotero.org/users/6692466/items/REW4I9UB"],"itemData":{"id":948,"type":"article-journal","abstract":"BACKGROUND: The ability to effectively cope with stress is a critical determinant of disease susceptibility. The lateral habenula (LHb) and the endocannabinoid (ECB) system have independently been shown to be involved in the selection of stress coping strategies, yet the role of ECB signaling in the LHb remains unknown.\nMETHODS: Using a battery of complementary techniques in rats, we examined the localization of type-1 cannabinoid receptors (CB1Rs) and assessed the behavioral and neuroendocrine effects of intra-LHb CB1R manipulations. We further tested the extent to which the ECB system in the LHb is impacted following chronic unpredictable stress or social defeat stress, and whether manipulation of LHb CB1Rs can bias coping strategies in rats with a history of chronic stress.\nRESULTS: Electron microscopy studies revealed CB1R expression on presynaptic axon terminals, postsynaptic membranes, mitochondria, and glial processes in the rat LHb. In vivo microdialysis experiments indicated that acute stress increased the amount of 2-arachidonoylglycerol in the LHb, while intra-LHb CB1R blockade increased basal corticosterone, augmented proactive coping strategies, and reduced anxiety-like behavior. Basal LHb 2-arachidonoylglycerol content was similarly elevated in rats that were subjected to chronic unpredictable stress or social defeat stress and positively correlated with adrenal weight. Finally, intra-LHb CB1R blockade increased proactive behaviors in response to a novel conspecific, increasing approach behaviors irrespective of stress history and decreasing the latency to be attacked during an agonistic encounter.\nCONCLUSIONS: Alterations in LHb ECB signaling may be relevant for development of stress-related pathologies in which LHb dysfunction and stress-coping impairments are hallmark symptoms.","container-title":"Biological Psychiatry","DOI":"10.1016/j.biopsych.2018.04.018","ISSN":"1873-2402","issue":"8","journalAbbreviation":"Biol. Psychiatry","language":"eng","note":"PMID: 29887035\nPMCID: PMC6162143","page":"611-623","source":"PubMed","title":"The Lateral Habenula Directs Coping Styles Under Conditions of Stress via Recruitment of the Endocannabinoid System","volume":"84","author":[{"family":"Berger","given":"Anthony L."},{"family":"Henricks","given":"Angela M."},{"family":"Lugo","given":"Janelle M."},{"family":"Wright","given":"Hayden R."},{"family":"Warrick","given":"Collin R."},{"family":"Sticht","given":"Martin A."},{"family":"Morena","given":"Maria"},{"family":"Bonilla","given":"Itziar"},{"family":"Laredo","given":"Sarah A."},{"family":"Craft","given":"Rebecca M."},{"family":"Parsons","given":"Loren H."},{"family":"Grandes","given":"Pedro R."},{"family":"Hillard","given":"Cecilia J."},{"family":"Hill","given":"Matthew N."},{"family":"McLaughlin","given":"Ryan J."}],"issued":{"date-parts":[["2018",10,15]]}}}],"schema":"https://github.com/citation-style-language/schema/raw/master/csl-citation.json"}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635284" w:rsidRPr="00AF7E86">
        <w:rPr>
          <w:rFonts w:ascii="Times New Roman" w:hAnsi="Times New Roman" w:cs="Times New Roman"/>
          <w:color w:val="000000" w:themeColor="text1"/>
          <w:lang w:val="en-US"/>
        </w:rPr>
        <w:t>(11)</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Briefly, in triplicate, membranes (at a concentration of 300µg/mL) were incubated in 0.5mL of TME buffer containing 1mg/mL BSA, 300nM URB597 (a FAAH inhibitor)</w:t>
      </w:r>
      <w:r w:rsidR="001A5490" w:rsidRPr="00AF7E86">
        <w:rPr>
          <w:rFonts w:ascii="Times New Roman" w:hAnsi="Times New Roman" w:cs="Times New Roman"/>
          <w:color w:val="000000" w:themeColor="text1"/>
          <w:lang w:val="en-US"/>
        </w:rPr>
        <w:t xml:space="preserve"> (</w:t>
      </w:r>
      <w:r w:rsidR="004E26B6" w:rsidRPr="00AF7E86">
        <w:rPr>
          <w:rFonts w:ascii="Times New Roman" w:hAnsi="Times New Roman" w:cs="Times New Roman"/>
          <w:color w:val="000000" w:themeColor="text1"/>
          <w:lang w:val="en-US"/>
        </w:rPr>
        <w:t>Cayman Chemical Company, #10046</w:t>
      </w:r>
      <w:r w:rsidR="001A5490"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and 100,00 DPM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H]-2-OG. Non-tritiated 2-OG</w:t>
      </w:r>
      <w:r w:rsidR="004E26B6" w:rsidRPr="00AF7E86">
        <w:rPr>
          <w:rFonts w:ascii="Times New Roman" w:hAnsi="Times New Roman" w:cs="Times New Roman"/>
          <w:color w:val="000000" w:themeColor="text1"/>
          <w:lang w:val="en-US"/>
        </w:rPr>
        <w:t xml:space="preserve"> (Sigma-Aldrich, #M2787)</w:t>
      </w:r>
      <w:r w:rsidRPr="00AF7E86">
        <w:rPr>
          <w:rFonts w:ascii="Times New Roman" w:hAnsi="Times New Roman" w:cs="Times New Roman"/>
          <w:color w:val="000000" w:themeColor="text1"/>
          <w:lang w:val="en-US"/>
        </w:rPr>
        <w:t xml:space="preserve"> was added in 6 concentrations between 10 and 500µM. Similar to the FAAH enzymatic activity assay, reactions were carried out at 3</w:t>
      </w:r>
      <w:r w:rsidR="00FA779B" w:rsidRPr="00AF7E86">
        <w:rPr>
          <w:rFonts w:ascii="Times New Roman" w:hAnsi="Times New Roman" w:cs="Times New Roman"/>
          <w:color w:val="000000" w:themeColor="text1"/>
          <w:lang w:val="en-US"/>
        </w:rPr>
        <w:t>0</w:t>
      </w:r>
      <w:r w:rsidRPr="00AF7E86">
        <w:rPr>
          <w:rFonts w:ascii="Times New Roman" w:hAnsi="Times New Roman" w:cs="Times New Roman"/>
          <w:color w:val="000000" w:themeColor="text1"/>
          <w:lang w:val="en-US"/>
        </w:rPr>
        <w:t>°C for 30 min and stopped by addition of 2mL of chloroform/methanol (1:2). React</w:t>
      </w:r>
      <w:r w:rsidR="00387FC7" w:rsidRPr="00AF7E86">
        <w:rPr>
          <w:rFonts w:ascii="Times New Roman" w:hAnsi="Times New Roman" w:cs="Times New Roman"/>
          <w:color w:val="000000" w:themeColor="text1"/>
          <w:lang w:val="en-US"/>
        </w:rPr>
        <w:t>ed products</w:t>
      </w:r>
      <w:r w:rsidRPr="00AF7E86">
        <w:rPr>
          <w:rFonts w:ascii="Times New Roman" w:hAnsi="Times New Roman" w:cs="Times New Roman"/>
          <w:color w:val="000000" w:themeColor="text1"/>
          <w:lang w:val="en-US"/>
        </w:rPr>
        <w:t xml:space="preserve"> then sat at RT for 30 min, with intermittent </w:t>
      </w:r>
      <w:proofErr w:type="spellStart"/>
      <w:r w:rsidRPr="00AF7E86">
        <w:rPr>
          <w:rFonts w:ascii="Times New Roman" w:hAnsi="Times New Roman" w:cs="Times New Roman"/>
          <w:color w:val="000000" w:themeColor="text1"/>
          <w:lang w:val="en-US"/>
        </w:rPr>
        <w:t>vortexing</w:t>
      </w:r>
      <w:proofErr w:type="spellEnd"/>
      <w:r w:rsidRPr="00AF7E86">
        <w:rPr>
          <w:rFonts w:ascii="Times New Roman" w:hAnsi="Times New Roman" w:cs="Times New Roman"/>
          <w:color w:val="000000" w:themeColor="text1"/>
          <w:lang w:val="en-US"/>
        </w:rPr>
        <w:t>, after which 0.67mL of chloroform and 0.6mL of water were added. Organic and aqueous phases were separated via centrifugation (</w:t>
      </w:r>
      <w:r w:rsidR="00FA779B" w:rsidRPr="00AF7E86">
        <w:rPr>
          <w:rFonts w:ascii="Times New Roman" w:hAnsi="Times New Roman" w:cs="Times New Roman"/>
          <w:color w:val="000000" w:themeColor="text1"/>
          <w:lang w:val="en-US"/>
        </w:rPr>
        <w:t xml:space="preserve">1500 x </w:t>
      </w:r>
      <w:r w:rsidR="00FA779B" w:rsidRPr="00AF7E86">
        <w:rPr>
          <w:rFonts w:ascii="Times New Roman" w:hAnsi="Times New Roman" w:cs="Times New Roman"/>
          <w:i/>
          <w:color w:val="000000" w:themeColor="text1"/>
          <w:lang w:val="en-US"/>
        </w:rPr>
        <w:t>g</w:t>
      </w:r>
      <w:r w:rsidR="00FA779B"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t>for 10 min at 4°C). The amount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 in 0.5mL of the aqueous phase was obtained using liquid scintillation counting in DPM. The conversion of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H]-2-OG to [</w:t>
      </w:r>
      <w:r w:rsidRPr="00AF7E86">
        <w:rPr>
          <w:rFonts w:ascii="Times New Roman" w:hAnsi="Times New Roman" w:cs="Times New Roman"/>
          <w:color w:val="000000" w:themeColor="text1"/>
          <w:vertAlign w:val="superscript"/>
          <w:lang w:val="en-US"/>
        </w:rPr>
        <w:t>3</w:t>
      </w:r>
      <w:r w:rsidRPr="00AF7E86">
        <w:rPr>
          <w:rFonts w:ascii="Times New Roman" w:hAnsi="Times New Roman" w:cs="Times New Roman"/>
          <w:color w:val="000000" w:themeColor="text1"/>
          <w:lang w:val="en-US"/>
        </w:rPr>
        <w:t xml:space="preserve">H]-glycerol was calculated. Similar to the FAAH assay as described </w:t>
      </w:r>
      <w:r w:rsidRPr="00AF7E86">
        <w:rPr>
          <w:rFonts w:ascii="Times New Roman" w:hAnsi="Times New Roman" w:cs="Times New Roman"/>
          <w:color w:val="000000" w:themeColor="text1"/>
          <w:lang w:val="en-US"/>
        </w:rPr>
        <w:lastRenderedPageBreak/>
        <w:t>above, only radioactivity attached to glycerol, not that attached to 2-OG, is measured, and thus representative of metabolized 2-OG. The maximal hydrolytic activity of MAGL (V</w:t>
      </w:r>
      <w:r w:rsidRPr="00AF7E86">
        <w:rPr>
          <w:rFonts w:ascii="Times New Roman" w:hAnsi="Times New Roman" w:cs="Times New Roman"/>
          <w:color w:val="000000" w:themeColor="text1"/>
          <w:vertAlign w:val="subscript"/>
          <w:lang w:val="en-US"/>
        </w:rPr>
        <w:t>max</w:t>
      </w:r>
      <w:r w:rsidRPr="00AF7E86">
        <w:rPr>
          <w:rFonts w:ascii="Times New Roman" w:hAnsi="Times New Roman" w:cs="Times New Roman"/>
          <w:color w:val="000000" w:themeColor="text1"/>
          <w:lang w:val="en-US"/>
        </w:rPr>
        <w:t>) and the binding affinity of 2-OG for MAGL (K</w:t>
      </w:r>
      <w:r w:rsidRPr="00AF7E86">
        <w:rPr>
          <w:rFonts w:ascii="Times New Roman" w:hAnsi="Times New Roman" w:cs="Times New Roman"/>
          <w:color w:val="000000" w:themeColor="text1"/>
          <w:vertAlign w:val="subscript"/>
          <w:lang w:val="en-US"/>
        </w:rPr>
        <w:t>m</w:t>
      </w:r>
      <w:r w:rsidRPr="00AF7E86">
        <w:rPr>
          <w:rFonts w:ascii="Times New Roman" w:hAnsi="Times New Roman" w:cs="Times New Roman"/>
          <w:color w:val="000000" w:themeColor="text1"/>
          <w:lang w:val="en-US"/>
        </w:rPr>
        <w:t xml:space="preserve">) for this conversion were determined by fitting the data to the Michaelis-Menten equation using </w:t>
      </w:r>
      <w:r w:rsidR="001A5490" w:rsidRPr="00AF7E86">
        <w:rPr>
          <w:rFonts w:ascii="Times New Roman" w:hAnsi="Times New Roman" w:cs="Times New Roman"/>
          <w:color w:val="000000" w:themeColor="text1"/>
          <w:lang w:val="en-US"/>
        </w:rPr>
        <w:t>Prism v8.</w:t>
      </w:r>
    </w:p>
    <w:p w14:paraId="4858450D" w14:textId="77777777" w:rsidR="001A5490" w:rsidRPr="00AF7E86" w:rsidRDefault="001A5490" w:rsidP="00BE50A1">
      <w:pPr>
        <w:spacing w:line="480" w:lineRule="auto"/>
        <w:jc w:val="both"/>
        <w:rPr>
          <w:rFonts w:ascii="Times New Roman" w:hAnsi="Times New Roman" w:cs="Times New Roman"/>
          <w:color w:val="000000" w:themeColor="text1"/>
          <w:u w:val="single"/>
          <w:lang w:val="en-US"/>
        </w:rPr>
      </w:pPr>
    </w:p>
    <w:p w14:paraId="6AA21B63" w14:textId="08553829" w:rsidR="00B90338" w:rsidRPr="00AF7E86" w:rsidRDefault="00B90338" w:rsidP="00BE50A1">
      <w:pPr>
        <w:spacing w:line="480" w:lineRule="auto"/>
        <w:jc w:val="both"/>
        <w:rPr>
          <w:rFonts w:ascii="Times New Roman" w:hAnsi="Times New Roman" w:cs="Times New Roman"/>
          <w:color w:val="000000" w:themeColor="text1"/>
          <w:u w:val="single"/>
          <w:lang w:val="en-US"/>
        </w:rPr>
      </w:pPr>
      <w:r w:rsidRPr="00AF7E86">
        <w:rPr>
          <w:rFonts w:ascii="Times New Roman" w:hAnsi="Times New Roman" w:cs="Times New Roman"/>
          <w:color w:val="000000" w:themeColor="text1"/>
          <w:u w:val="single"/>
          <w:lang w:val="en-US"/>
        </w:rPr>
        <w:t>Gene Expression Analysis</w:t>
      </w:r>
    </w:p>
    <w:p w14:paraId="68019761" w14:textId="347960E1" w:rsidR="00B90338" w:rsidRPr="00AF7E86" w:rsidRDefault="00B90338" w:rsidP="00BE50A1">
      <w:pPr>
        <w:spacing w:line="480" w:lineRule="auto"/>
        <w:jc w:val="both"/>
        <w:rPr>
          <w:rFonts w:ascii="Times New Roman" w:hAnsi="Times New Roman" w:cs="Times New Roman"/>
          <w:color w:val="000000" w:themeColor="text1"/>
        </w:rPr>
      </w:pPr>
      <w:r w:rsidRPr="00AF7E86">
        <w:rPr>
          <w:rFonts w:ascii="Times New Roman" w:hAnsi="Times New Roman" w:cs="Times New Roman"/>
          <w:color w:val="000000" w:themeColor="text1"/>
          <w:lang w:val="en-US"/>
        </w:rPr>
        <w:t>Messenger ribonucleic acid (mRNA) isolation and complementary deoxyribonucleic acid (cDNA) synthesis from corticolimbic brain regions was carried out as previously described</w:t>
      </w:r>
      <w:r w:rsidR="008C388F"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fldChar w:fldCharType="begin"/>
      </w:r>
      <w:r w:rsidR="00A05A13" w:rsidRPr="00AF7E86">
        <w:rPr>
          <w:rFonts w:ascii="Times New Roman" w:hAnsi="Times New Roman" w:cs="Times New Roman"/>
          <w:color w:val="000000" w:themeColor="text1"/>
          <w:lang w:val="en-US"/>
        </w:rPr>
        <w:instrText xml:space="preserve"> ADDIN ZOTERO_ITEM CSL_CITATION {"citationID":"a2q5v89igil","properties":{"formattedCitation":"(8,9,12)","plainCitation":"(8,9,12)","noteIndex":0},"citationItems":[{"id":898,"uris":["http://zotero.org/users/6692466/items/6TVNY5XI"],"uri":["http://zotero.org/users/6692466/items/6TVNY5XI"],"itemData":{"id":898,"type":"article-journal","abstract":"Corticotropin-releasing hormone (CRH) is a central integrator in the brain of endocrine and behavioral stress responses, whereas activation of the endocannabinoid CB1 receptor suppresses these responses. Although these systems regulate overlapping functions, few studies have investigated whether these systems interact. Here we demonstrate a novel mechanism of CRH-induced anxiety that relies on modulation of endocannabinoids. Specifically, we found that CRH, through activation of the CRH receptor type 1 (CRHR1), evokes a rapid induction of the enzyme fatty acid amide hydrolase (FAAH), which causes a reduction in the endocannabinoid anandamide (AEA), within the amygdala. Similarly, the ability of acute stress to modulate amygdala FAAH and AEA in both rats and mice is also mediated through CRHR1 activation. This interaction occurs specifically in amygdala pyramidal neurons and represents a novel mechanism of endocannabinoid-CRH interactions in regulating amygdala output. Functionally, we found that CRH signaling in the amygdala promotes an anxious phenotype that is prevented by FAAH inhibition. Together, this work suggests that rapid reductions in amygdala AEA signaling following stress may prime the amygdala and facilitate the generation of downstream stress-linked behaviors. Given that endocannabinoid signaling is thought to exert \"tonic\" regulation on stress and anxiety responses, these data suggest that CRH signaling coordinates a disruption of tonic AEA activity to promote a state of anxiety, which in turn may represent an endogenous mechanism by which stress enhances anxiety. These data suggest that FAAH inhibitors may represent a novel class of anxiolytics that specifically target stress-induced anxiety.","container-title":"The Journal of Neuroscience: The Official Journal of the Society for Neuroscience","DOI":"10.1523/JNEUROSCI.2737-14.2015","ISSN":"1529-2401","issue":"9","journalAbbreviation":"J. Neurosci.","language":"eng","note":"PMID: 25740517\nPMCID: PMC4348185","page":"3879-3892","source":"PubMed","title":"Corticotropin-releasing hormone drives anandamide hydrolysis in the amygdala to promote anxiety","volume":"35","author":[{"family":"Gray","given":"J. Megan"},{"family":"Vecchiarelli","given":"Haley A."},{"family":"Morena","given":"Maria"},{"family":"Lee","given":"Tiffany T. Y."},{"family":"Hermanson","given":"Daniel J."},{"family":"Kim","given":"Alexander B."},{"family":"McLaughlin","given":"Ryan J."},{"family":"Hassan","given":"Kowther I."},{"family":"Kühne","given":"Claudia"},{"family":"Wotjak","given":"Carsten T."},{"family":"Deussing","given":"Jan M."},{"family":"Patel","given":"Sachin"},{"family":"Hill","given":"Matthew N."}],"issued":{"date-parts":[["2015",3,4]]}}},{"id":893,"uris":["http://zotero.org/users/6692466/items/A4I8G7ZB"],"uri":["http://zotero.org/users/6692466/items/A4I8G7ZB"],"itemData":{"id":893,"type":"article-journal","abstract":"There is now a growing body of literature that indicates that stress can initiate inflammatory processes, both in the periphery and brain; however, the spatiotemporal nature of this response is not well characterized. The aim of this study was to examine the effects of an acute psychological stress on changes in mRNA and protein levels of a wide range of inflammatory mediators across a broad temporal range, in key corticolimbic brain regions involved in the regulation of the stress response (amygdala, hippocampus, hypothalamus, medial prefrontal cortex). mRNA levels of inflammatory mediators were analyzed immediately following 30min or 120min of acute restraint stress and protein levels were examined 0h through 24h post-termination of 120min of acute restraint stress using both multiplex and ELISA methods. Our data demonstrate, for the first time, that exposure to acute psychological stress results in an increase in the protein level of several inflammatory mediators in the amygdala while concomitantly producing a decrease in the protein level of multiple inflammatory mediators within the medial prefrontal cortex. This pattern of changes seemed largely restricted to the amygdala and medial prefrontal cortex, with stress producing few changes in the mRNA or protein levels of inflammatory mediators within the hippocampus or hypothalamus. Consistent with previous research, stress resulted in a general elevation in multiple inflammatory mediators within the circulation. These data indicate that neuroinflammatory responses to stress do not appear to be generalized across brain structures and exhibit a high degree of spatiotemporal specificity. Given the impact of inflammatory signaling on neural excitability and emotional behavior, these data may provide a platform with which to explore the importance of inflammatory signaling within the prefrontocortical-amygdala circuit in the regulation of the neurobehavioral responses to stress.","container-title":"Brain, Behavior, and Immunity","DOI":"10.1016/j.bbi.2015.07.026","ISSN":"1090-2139","journalAbbreviation":"Brain Behav. Immun.","language":"eng","note":"PMID: 26260453","page":"70-91","source":"PubMed","title":"Divergent responses of inflammatory mediators within the amygdala and medial prefrontal cortex to acute psychological stress","volume":"51","author":[{"family":"Vecchiarelli","given":"Haley A."},{"family":"Gandhi","given":"Chaitanya P."},{"family":"Gray","given":"J. Megan"},{"family":"Morena","given":"Maria"},{"family":"Hassan","given":"Kowther I."},{"family":"Hill","given":"Matthew N."}],"issued":{"date-parts":[["2016",1]]}}},{"id":945,"uris":["http://zotero.org/users/6692466/items/TZHIZTDJ"],"uri":["http://zotero.org/users/6692466/items/TZHIZTDJ"],"itemData":{"id":945,"type":"article-journal","abstract":"Tryptophan is an essential dietary amino acid that is necessary for protein synthesis, but also serves as the precursor for serotonin. However, in addition to these biological functions, tryptophan also serves as a precursor for the kynurenine pathway, which has neurotoxic (quinolinic acid) and neuroprotective (kynurenic acid) metabolites. Glucocorticoid hormones and inflammatory mediators, both of which are increased by stress, have been shown to bias tryptophan along the kynurenine pathway and away from serotonin synthesis; however, to date, there is no published data regarding the effects of stress on enzymes regulating the kynurenine pathway in a regional manner throughout the brain. Herein, we examined the effects of an acute psychological stress (120 min restraint) on gene expression patterns of enzymes along the kynurenine pathway over a protracted time-course (1-24 h post-stress termination) within the amygdala, hippocampus, hypothalamus, and medial prefrontal cortex. Time-dependent changes in differential enzymes along the kynurenine metabolism pathway, particularly those involved in the production of quinolinic acid, were found within the amygdala, hypothalamus, and medial prefrontal cortex, with no changes seen in the hippocampus. These regional differences acutely may provide mechanistic insight into processes that become dysregulated chronically in stress-associated disorders.","container-title":"Neural Plasticity","DOI":"10.1155/2016/7215684","ISSN":"1687-5443","journalAbbreviation":"Neural Plast.","language":"eng","note":"PMID: 26819772\nPMCID: PMC4706967","page":"7215684","source":"PubMed","title":"Acute Psychological Stress Modulates the Expression of Enzymes Involved in the Kynurenine Pathway throughout Corticolimbic Circuits in Adult Male Rats","volume":"2016","author":[{"family":"Vecchiarelli","given":"Haley A."},{"family":"Gandhi","given":"Chaitanya P."},{"family":"Hill","given":"Matthew N."}],"issued":{"date-parts":[["2016"]]}}}],"schema":"https://github.com/citation-style-language/schema/raw/master/csl-citation.json"}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A05A13" w:rsidRPr="00AF7E86">
        <w:rPr>
          <w:rFonts w:ascii="Times New Roman" w:hAnsi="Times New Roman" w:cs="Times New Roman"/>
          <w:color w:val="000000" w:themeColor="text1"/>
          <w:lang w:val="en-US"/>
        </w:rPr>
        <w:t>(8,9,12)</w:t>
      </w:r>
      <w:r w:rsidRPr="00AF7E86">
        <w:rPr>
          <w:rFonts w:ascii="Times New Roman" w:hAnsi="Times New Roman" w:cs="Times New Roman"/>
          <w:color w:val="000000" w:themeColor="text1"/>
          <w:lang w:val="en-US"/>
        </w:rPr>
        <w:fldChar w:fldCharType="end"/>
      </w:r>
      <w:r w:rsidR="001A5490" w:rsidRPr="00AF7E86">
        <w:rPr>
          <w:rFonts w:ascii="Times New Roman" w:hAnsi="Times New Roman" w:cs="Times New Roman"/>
          <w:color w:val="000000" w:themeColor="text1"/>
          <w:lang w:val="en-US"/>
        </w:rPr>
        <w:t xml:space="preserve"> using a Qiagen RNeasy Plus Universal Mini kit (Qiagen, #73404)</w:t>
      </w:r>
      <w:r w:rsidRPr="00AF7E86">
        <w:rPr>
          <w:rFonts w:ascii="Times New Roman" w:hAnsi="Times New Roman" w:cs="Times New Roman"/>
          <w:color w:val="000000" w:themeColor="text1"/>
          <w:lang w:val="en-US"/>
        </w:rPr>
        <w:t>. Brain regions were homogenized using 50mm stainless steel beads</w:t>
      </w:r>
      <w:r w:rsidR="001A5490" w:rsidRPr="00AF7E86">
        <w:rPr>
          <w:rFonts w:ascii="Times New Roman" w:hAnsi="Times New Roman" w:cs="Times New Roman"/>
          <w:color w:val="000000" w:themeColor="text1"/>
          <w:lang w:val="en-US"/>
        </w:rPr>
        <w:t xml:space="preserve"> (Qiagen, #69989)</w:t>
      </w:r>
      <w:r w:rsidRPr="00AF7E86">
        <w:rPr>
          <w:rFonts w:ascii="Times New Roman" w:hAnsi="Times New Roman" w:cs="Times New Roman"/>
          <w:color w:val="000000" w:themeColor="text1"/>
          <w:lang w:val="en-US"/>
        </w:rPr>
        <w:t xml:space="preserve"> and the </w:t>
      </w:r>
      <w:proofErr w:type="spellStart"/>
      <w:r w:rsidRPr="00AF7E86">
        <w:rPr>
          <w:rFonts w:ascii="Times New Roman" w:hAnsi="Times New Roman" w:cs="Times New Roman"/>
          <w:color w:val="000000" w:themeColor="text1"/>
          <w:lang w:val="en-US"/>
        </w:rPr>
        <w:t>TissueLyser</w:t>
      </w:r>
      <w:proofErr w:type="spellEnd"/>
      <w:r w:rsidRPr="00AF7E86">
        <w:rPr>
          <w:rFonts w:ascii="Times New Roman" w:hAnsi="Times New Roman" w:cs="Times New Roman"/>
          <w:color w:val="000000" w:themeColor="text1"/>
          <w:lang w:val="en-US"/>
        </w:rPr>
        <w:t xml:space="preserve"> LT bead </w:t>
      </w:r>
      <w:proofErr w:type="spellStart"/>
      <w:r w:rsidRPr="00AF7E86">
        <w:rPr>
          <w:rFonts w:ascii="Times New Roman" w:hAnsi="Times New Roman" w:cs="Times New Roman"/>
          <w:color w:val="000000" w:themeColor="text1"/>
          <w:lang w:val="en-US"/>
        </w:rPr>
        <w:t>lyser</w:t>
      </w:r>
      <w:proofErr w:type="spellEnd"/>
      <w:r w:rsidR="001A5490" w:rsidRPr="00AF7E86">
        <w:rPr>
          <w:rFonts w:ascii="Times New Roman" w:hAnsi="Times New Roman" w:cs="Times New Roman"/>
          <w:color w:val="000000" w:themeColor="text1"/>
          <w:lang w:val="en-US"/>
        </w:rPr>
        <w:t xml:space="preserve"> (Qiagen)</w:t>
      </w:r>
      <w:r w:rsidRPr="00AF7E86">
        <w:rPr>
          <w:rFonts w:ascii="Times New Roman" w:hAnsi="Times New Roman" w:cs="Times New Roman"/>
          <w:color w:val="000000" w:themeColor="text1"/>
          <w:lang w:val="en-US"/>
        </w:rPr>
        <w:t xml:space="preserve"> (50 Hz for 2 min) in 1mL of </w:t>
      </w:r>
      <w:proofErr w:type="spellStart"/>
      <w:r w:rsidRPr="00AF7E86">
        <w:rPr>
          <w:rFonts w:ascii="Times New Roman" w:hAnsi="Times New Roman" w:cs="Times New Roman"/>
          <w:color w:val="000000" w:themeColor="text1"/>
          <w:lang w:val="en-US"/>
        </w:rPr>
        <w:t>QIAzol</w:t>
      </w:r>
      <w:proofErr w:type="spellEnd"/>
      <w:r w:rsidRPr="00AF7E86">
        <w:rPr>
          <w:rFonts w:ascii="Times New Roman" w:hAnsi="Times New Roman" w:cs="Times New Roman"/>
          <w:color w:val="000000" w:themeColor="text1"/>
          <w:lang w:val="en-US"/>
        </w:rPr>
        <w:t xml:space="preserve"> lysis reagent.</w:t>
      </w:r>
      <w:r w:rsidR="006649D9" w:rsidRPr="00AF7E86">
        <w:rPr>
          <w:rFonts w:ascii="Times New Roman" w:hAnsi="Times New Roman" w:cs="Times New Roman"/>
          <w:color w:val="000000" w:themeColor="text1"/>
          <w:lang w:val="en-US"/>
        </w:rPr>
        <w:t xml:space="preserve"> S</w:t>
      </w:r>
      <w:r w:rsidRPr="00AF7E86">
        <w:rPr>
          <w:rFonts w:ascii="Times New Roman" w:hAnsi="Times New Roman" w:cs="Times New Roman"/>
          <w:color w:val="000000" w:themeColor="text1"/>
          <w:lang w:val="en-US"/>
        </w:rPr>
        <w:t>amples were</w:t>
      </w:r>
      <w:r w:rsidR="006649D9" w:rsidRPr="00AF7E86">
        <w:rPr>
          <w:rFonts w:ascii="Times New Roman" w:hAnsi="Times New Roman" w:cs="Times New Roman"/>
          <w:color w:val="000000" w:themeColor="text1"/>
          <w:lang w:val="en-US"/>
        </w:rPr>
        <w:t xml:space="preserve"> homogenized, then</w:t>
      </w:r>
      <w:r w:rsidRPr="00AF7E86">
        <w:rPr>
          <w:rFonts w:ascii="Times New Roman" w:hAnsi="Times New Roman" w:cs="Times New Roman"/>
          <w:color w:val="000000" w:themeColor="text1"/>
          <w:lang w:val="en-US"/>
        </w:rPr>
        <w:t xml:space="preserve"> incubated with genomic DNA (gDNA) eliminator solution and chloroform and spun at 12,000 x </w:t>
      </w:r>
      <w:r w:rsidRPr="00AF7E86">
        <w:rPr>
          <w:rFonts w:ascii="Times New Roman" w:hAnsi="Times New Roman" w:cs="Times New Roman"/>
          <w:i/>
          <w:iCs/>
          <w:color w:val="000000" w:themeColor="text1"/>
          <w:lang w:val="en-US"/>
        </w:rPr>
        <w:t>g</w:t>
      </w:r>
      <w:r w:rsidRPr="00AF7E86">
        <w:rPr>
          <w:rFonts w:ascii="Times New Roman" w:hAnsi="Times New Roman" w:cs="Times New Roman"/>
          <w:color w:val="000000" w:themeColor="text1"/>
          <w:lang w:val="en-US"/>
        </w:rPr>
        <w:t xml:space="preserve"> for 15 min at 4°C. Total mRNA was isolated from the aqueous phase of each sample using a Qiagen RNeasy Plus Universal Mini kit </w:t>
      </w:r>
      <w:r w:rsidR="001A5490" w:rsidRPr="00AF7E86">
        <w:rPr>
          <w:rFonts w:ascii="Times New Roman" w:hAnsi="Times New Roman" w:cs="Times New Roman"/>
          <w:color w:val="000000" w:themeColor="text1"/>
          <w:lang w:val="en-US"/>
        </w:rPr>
        <w:t>with</w:t>
      </w:r>
      <w:r w:rsidRPr="00AF7E86">
        <w:rPr>
          <w:rFonts w:ascii="Times New Roman" w:hAnsi="Times New Roman" w:cs="Times New Roman"/>
          <w:color w:val="000000" w:themeColor="text1"/>
          <w:lang w:val="en-US"/>
        </w:rPr>
        <w:t xml:space="preserve"> a </w:t>
      </w:r>
      <w:proofErr w:type="spellStart"/>
      <w:r w:rsidRPr="00AF7E86">
        <w:rPr>
          <w:rFonts w:ascii="Times New Roman" w:hAnsi="Times New Roman" w:cs="Times New Roman"/>
          <w:color w:val="000000" w:themeColor="text1"/>
          <w:lang w:val="en-US"/>
        </w:rPr>
        <w:t>Qiacube</w:t>
      </w:r>
      <w:proofErr w:type="spellEnd"/>
      <w:r w:rsidRPr="00AF7E86">
        <w:rPr>
          <w:rFonts w:ascii="Times New Roman" w:hAnsi="Times New Roman" w:cs="Times New Roman"/>
          <w:color w:val="000000" w:themeColor="text1"/>
          <w:lang w:val="en-US"/>
        </w:rPr>
        <w:t xml:space="preserve"> according to the manufacturer’s protocol. Samples were eluted in 100µL water and mRNA content and purity were ascertained using a Nanodrop</w:t>
      </w:r>
      <w:r w:rsidR="001A5490" w:rsidRPr="00AF7E86">
        <w:rPr>
          <w:rFonts w:ascii="Times New Roman" w:hAnsi="Times New Roman" w:cs="Times New Roman"/>
          <w:color w:val="000000" w:themeColor="text1"/>
          <w:lang w:val="en-US"/>
        </w:rPr>
        <w:t xml:space="preserve"> 2000</w:t>
      </w:r>
      <w:r w:rsidRPr="00AF7E86">
        <w:rPr>
          <w:rFonts w:ascii="Times New Roman" w:hAnsi="Times New Roman" w:cs="Times New Roman"/>
          <w:color w:val="000000" w:themeColor="text1"/>
          <w:lang w:val="en-US"/>
        </w:rPr>
        <w:t xml:space="preserve"> spectrophotometer</w:t>
      </w:r>
      <w:r w:rsidR="001A5490" w:rsidRPr="00AF7E86">
        <w:rPr>
          <w:rFonts w:ascii="Times New Roman" w:hAnsi="Times New Roman" w:cs="Times New Roman"/>
          <w:color w:val="000000" w:themeColor="text1"/>
          <w:lang w:val="en-US"/>
        </w:rPr>
        <w:t xml:space="preserve"> (</w:t>
      </w:r>
      <w:r w:rsidR="00BE50A1" w:rsidRPr="00AF7E86">
        <w:rPr>
          <w:rFonts w:ascii="Times New Roman" w:hAnsi="Times New Roman" w:cs="Times New Roman"/>
          <w:color w:val="000000" w:themeColor="text1"/>
          <w:lang w:val="en-US"/>
        </w:rPr>
        <w:t>Thermo Fisher Scientific, NC-2000;</w:t>
      </w:r>
      <w:r w:rsidR="00BE50A1" w:rsidRPr="00AF7E86">
        <w:rPr>
          <w:rFonts w:ascii="Times New Roman" w:hAnsi="Times New Roman" w:cs="Times New Roman"/>
          <w:color w:val="000000" w:themeColor="text1"/>
        </w:rPr>
        <w:t xml:space="preserve"> RRID:SCR_018042</w:t>
      </w:r>
      <w:r w:rsidR="001A5490"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(A260 nm/A280 nm ratio) before </w:t>
      </w:r>
      <w:r w:rsidR="00172868" w:rsidRPr="00AF7E86">
        <w:rPr>
          <w:rFonts w:ascii="Times New Roman" w:hAnsi="Times New Roman" w:cs="Times New Roman"/>
          <w:color w:val="000000" w:themeColor="text1"/>
          <w:lang w:val="en-US"/>
        </w:rPr>
        <w:t xml:space="preserve">they were </w:t>
      </w:r>
      <w:r w:rsidRPr="00AF7E86">
        <w:rPr>
          <w:rFonts w:ascii="Times New Roman" w:hAnsi="Times New Roman" w:cs="Times New Roman"/>
          <w:color w:val="000000" w:themeColor="text1"/>
          <w:lang w:val="en-US"/>
        </w:rPr>
        <w:t>aliquot</w:t>
      </w:r>
      <w:r w:rsidR="00172868" w:rsidRPr="00AF7E86">
        <w:rPr>
          <w:rFonts w:ascii="Times New Roman" w:hAnsi="Times New Roman" w:cs="Times New Roman"/>
          <w:color w:val="000000" w:themeColor="text1"/>
          <w:lang w:val="en-US"/>
        </w:rPr>
        <w:t>ed</w:t>
      </w:r>
      <w:r w:rsidRPr="00AF7E86">
        <w:rPr>
          <w:rFonts w:ascii="Times New Roman" w:hAnsi="Times New Roman" w:cs="Times New Roman"/>
          <w:color w:val="000000" w:themeColor="text1"/>
          <w:lang w:val="en-US"/>
        </w:rPr>
        <w:t xml:space="preserve"> and fr</w:t>
      </w:r>
      <w:r w:rsidR="00172868" w:rsidRPr="00AF7E86">
        <w:rPr>
          <w:rFonts w:ascii="Times New Roman" w:hAnsi="Times New Roman" w:cs="Times New Roman"/>
          <w:color w:val="000000" w:themeColor="text1"/>
          <w:lang w:val="en-US"/>
        </w:rPr>
        <w:t>ozen</w:t>
      </w:r>
      <w:r w:rsidRPr="00AF7E86">
        <w:rPr>
          <w:rFonts w:ascii="Times New Roman" w:hAnsi="Times New Roman" w:cs="Times New Roman"/>
          <w:color w:val="000000" w:themeColor="text1"/>
          <w:lang w:val="en-US"/>
        </w:rPr>
        <w:t xml:space="preserve"> at -80°C.</w:t>
      </w:r>
    </w:p>
    <w:p w14:paraId="20194C17" w14:textId="35FD49D1" w:rsidR="00B90338" w:rsidRPr="00AF7E86" w:rsidRDefault="00B90338" w:rsidP="00BE50A1">
      <w:pPr>
        <w:spacing w:line="480" w:lineRule="auto"/>
        <w:rPr>
          <w:rFonts w:ascii="Times New Roman" w:eastAsia="Times New Roman" w:hAnsi="Times New Roman" w:cs="Times New Roman"/>
          <w:color w:val="000000" w:themeColor="text1"/>
        </w:rPr>
      </w:pPr>
      <w:r w:rsidRPr="00AF7E86">
        <w:rPr>
          <w:rFonts w:ascii="Times New Roman" w:hAnsi="Times New Roman" w:cs="Times New Roman"/>
          <w:color w:val="000000" w:themeColor="text1"/>
          <w:lang w:val="en-US"/>
        </w:rPr>
        <w:tab/>
        <w:t xml:space="preserve">mRNA was transformed into cDNA using the </w:t>
      </w:r>
      <w:proofErr w:type="spellStart"/>
      <w:r w:rsidRPr="00AF7E86">
        <w:rPr>
          <w:rFonts w:ascii="Times New Roman" w:hAnsi="Times New Roman" w:cs="Times New Roman"/>
          <w:color w:val="000000" w:themeColor="text1"/>
          <w:lang w:val="en-US"/>
        </w:rPr>
        <w:t>QuantiTect</w:t>
      </w:r>
      <w:proofErr w:type="spellEnd"/>
      <w:r w:rsidRPr="00AF7E86">
        <w:rPr>
          <w:rFonts w:ascii="Times New Roman" w:hAnsi="Times New Roman" w:cs="Times New Roman"/>
          <w:color w:val="000000" w:themeColor="text1"/>
          <w:lang w:val="en-US"/>
        </w:rPr>
        <w:t xml:space="preserve"> Reverse Transcription Kit</w:t>
      </w:r>
      <w:r w:rsidR="00BE50A1" w:rsidRPr="00AF7E86">
        <w:rPr>
          <w:rFonts w:ascii="Times New Roman" w:hAnsi="Times New Roman" w:cs="Times New Roman"/>
          <w:color w:val="000000" w:themeColor="text1"/>
          <w:lang w:val="en-US"/>
        </w:rPr>
        <w:t xml:space="preserve"> (Qiagen, #</w:t>
      </w:r>
      <w:r w:rsidR="00BE50A1" w:rsidRPr="00AF7E86">
        <w:rPr>
          <w:rFonts w:ascii="Times New Roman" w:eastAsia="Times New Roman" w:hAnsi="Times New Roman" w:cs="Times New Roman"/>
          <w:color w:val="000000" w:themeColor="text1"/>
          <w:shd w:val="clear" w:color="auto" w:fill="FFFFFF"/>
        </w:rPr>
        <w:t>205314</w:t>
      </w:r>
      <w:r w:rsidR="00BE50A1"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according to the manufacturer’s protocol. 2µg of mRNA per sample was incubated in gDNA Wipeout Buffer for 2 min at 42°C, after which, samples were incubated with buffer containing RNase inhibitors, a reverse transcriptase enzyme, a random primer mix and (</w:t>
      </w:r>
      <w:proofErr w:type="spellStart"/>
      <w:r w:rsidRPr="00AF7E86">
        <w:rPr>
          <w:rFonts w:ascii="Times New Roman" w:hAnsi="Times New Roman" w:cs="Times New Roman"/>
          <w:color w:val="000000" w:themeColor="text1"/>
          <w:lang w:val="en-US"/>
        </w:rPr>
        <w:t>deoxynucleoside</w:t>
      </w:r>
      <w:proofErr w:type="spellEnd"/>
      <w:r w:rsidRPr="00AF7E86">
        <w:rPr>
          <w:rFonts w:ascii="Times New Roman" w:hAnsi="Times New Roman" w:cs="Times New Roman"/>
          <w:color w:val="000000" w:themeColor="text1"/>
          <w:lang w:val="en-US"/>
        </w:rPr>
        <w:t xml:space="preserve"> triphosphate) dNTPs for 15 min at 42°C, which was followed by an inactivation step at 95°C for 3 min. cDNA quantification was determined using a Nanodrop </w:t>
      </w:r>
      <w:r w:rsidRPr="00AF7E86">
        <w:rPr>
          <w:rFonts w:ascii="Times New Roman" w:hAnsi="Times New Roman" w:cs="Times New Roman"/>
          <w:color w:val="000000" w:themeColor="text1"/>
          <w:lang w:val="en-US"/>
        </w:rPr>
        <w:lastRenderedPageBreak/>
        <w:t>spectrophotometer, and then samples were aliquoted and frozen at -80°C. cDNA aliquots were diluted in water to a final cDNA concentration of 25ng/µL.</w:t>
      </w:r>
    </w:p>
    <w:p w14:paraId="0588DEC2" w14:textId="62799C07" w:rsidR="00B90338" w:rsidRPr="00AF7E86" w:rsidRDefault="00B90338" w:rsidP="00BE50A1">
      <w:pPr>
        <w:spacing w:line="480" w:lineRule="auto"/>
        <w:jc w:val="both"/>
        <w:rPr>
          <w:rFonts w:ascii="Times New Roman" w:hAnsi="Times New Roman" w:cs="Times New Roman"/>
          <w:color w:val="000000" w:themeColor="text1"/>
        </w:rPr>
      </w:pPr>
      <w:r w:rsidRPr="00AF7E86">
        <w:rPr>
          <w:rFonts w:ascii="Times New Roman" w:hAnsi="Times New Roman" w:cs="Times New Roman"/>
          <w:color w:val="000000" w:themeColor="text1"/>
          <w:lang w:val="en-US"/>
        </w:rPr>
        <w:tab/>
        <w:t xml:space="preserve">Primers were designed using </w:t>
      </w:r>
      <w:proofErr w:type="spellStart"/>
      <w:r w:rsidRPr="00AF7E86">
        <w:rPr>
          <w:rFonts w:ascii="Times New Roman" w:hAnsi="Times New Roman" w:cs="Times New Roman"/>
          <w:color w:val="000000" w:themeColor="text1"/>
          <w:lang w:val="en-US"/>
        </w:rPr>
        <w:t>PrimerQuest</w:t>
      </w:r>
      <w:proofErr w:type="spellEnd"/>
      <w:r w:rsidRPr="00AF7E86">
        <w:rPr>
          <w:rFonts w:ascii="Times New Roman" w:hAnsi="Times New Roman" w:cs="Times New Roman"/>
          <w:color w:val="000000" w:themeColor="text1"/>
          <w:lang w:val="en-US"/>
        </w:rPr>
        <w:t xml:space="preserve"> software (IDTDNA</w:t>
      </w:r>
      <w:r w:rsidR="00BE50A1" w:rsidRPr="00AF7E86">
        <w:rPr>
          <w:rFonts w:ascii="Times New Roman" w:hAnsi="Times New Roman" w:cs="Times New Roman"/>
          <w:color w:val="000000" w:themeColor="text1"/>
          <w:lang w:val="en-US"/>
        </w:rPr>
        <w:t>, Coralville, IO, USA</w:t>
      </w:r>
      <w:r w:rsidRPr="00AF7E86">
        <w:rPr>
          <w:rFonts w:ascii="Times New Roman" w:hAnsi="Times New Roman" w:cs="Times New Roman"/>
          <w:color w:val="000000" w:themeColor="text1"/>
          <w:lang w:val="en-US"/>
        </w:rPr>
        <w:t>)</w:t>
      </w:r>
      <w:r w:rsidR="00A05A13" w:rsidRPr="00AF7E86">
        <w:rPr>
          <w:rFonts w:ascii="Times New Roman" w:hAnsi="Times New Roman" w:cs="Times New Roman"/>
          <w:color w:val="000000" w:themeColor="text1"/>
          <w:lang w:val="en-US"/>
        </w:rPr>
        <w:t xml:space="preserve"> </w:t>
      </w:r>
      <w:r w:rsidR="00A05A13" w:rsidRPr="00AF7E86">
        <w:rPr>
          <w:rFonts w:ascii="Times New Roman" w:hAnsi="Times New Roman" w:cs="Times New Roman"/>
          <w:color w:val="000000" w:themeColor="text1"/>
          <w:lang w:val="en-US"/>
        </w:rPr>
        <w:fldChar w:fldCharType="begin"/>
      </w:r>
      <w:r w:rsidR="00A05A13" w:rsidRPr="00AF7E86">
        <w:rPr>
          <w:rFonts w:ascii="Times New Roman" w:hAnsi="Times New Roman" w:cs="Times New Roman"/>
          <w:color w:val="000000" w:themeColor="text1"/>
          <w:lang w:val="en-US"/>
        </w:rPr>
        <w:instrText xml:space="preserve"> ADDIN ZOTERO_ITEM CSL_CITATION {"citationID":"aouckth2db","properties":{"formattedCitation":"(8,9,13,14)","plainCitation":"(8,9,13,14)","noteIndex":0},"citationItems":[{"id":898,"uris":["http://zotero.org/users/6692466/items/6TVNY5XI"],"uri":["http://zotero.org/users/6692466/items/6TVNY5XI"],"itemData":{"id":898,"type":"article-journal","abstract":"Corticotropin-releasing hormone (CRH) is a central integrator in the brain of endocrine and behavioral stress responses, whereas activation of the endocannabinoid CB1 receptor suppresses these responses. Although these systems regulate overlapping functions, few studies have investigated whether these systems interact. Here we demonstrate a novel mechanism of CRH-induced anxiety that relies on modulation of endocannabinoids. Specifically, we found that CRH, through activation of the CRH receptor type 1 (CRHR1), evokes a rapid induction of the enzyme fatty acid amide hydrolase (FAAH), which causes a reduction in the endocannabinoid anandamide (AEA), within the amygdala. Similarly, the ability of acute stress to modulate amygdala FAAH and AEA in both rats and mice is also mediated through CRHR1 activation. This interaction occurs specifically in amygdala pyramidal neurons and represents a novel mechanism of endocannabinoid-CRH interactions in regulating amygdala output. Functionally, we found that CRH signaling in the amygdala promotes an anxious phenotype that is prevented by FAAH inhibition. Together, this work suggests that rapid reductions in amygdala AEA signaling following stress may prime the amygdala and facilitate the generation of downstream stress-linked behaviors. Given that endocannabinoid signaling is thought to exert \"tonic\" regulation on stress and anxiety responses, these data suggest that CRH signaling coordinates a disruption of tonic AEA activity to promote a state of anxiety, which in turn may represent an endogenous mechanism by which stress enhances anxiety. These data suggest that FAAH inhibitors may represent a novel class of anxiolytics that specifically target stress-induced anxiety.","container-title":"The Journal of Neuroscience: The Official Journal of the Society for Neuroscience","DOI":"10.1523/JNEUROSCI.2737-14.2015","ISSN":"1529-2401","issue":"9","journalAbbreviation":"J. Neurosci.","language":"eng","note":"PMID: 25740517\nPMCID: PMC4348185","page":"3879-3892","source":"PubMed","title":"Corticotropin-releasing hormone drives anandamide hydrolysis in the amygdala to promote anxiety","volume":"35","author":[{"family":"Gray","given":"J. Megan"},{"family":"Vecchiarelli","given":"Haley A."},{"family":"Morena","given":"Maria"},{"family":"Lee","given":"Tiffany T. Y."},{"family":"Hermanson","given":"Daniel J."},{"family":"Kim","given":"Alexander B."},{"family":"McLaughlin","given":"Ryan J."},{"family":"Hassan","given":"Kowther I."},{"family":"Kühne","given":"Claudia"},{"family":"Wotjak","given":"Carsten T."},{"family":"Deussing","given":"Jan M."},{"family":"Patel","given":"Sachin"},{"family":"Hill","given":"Matthew N."}],"issued":{"date-parts":[["2015",3,4]]}}},{"id":733,"uris":["http://zotero.org/users/6692466/items/LNA5R6YJ"],"uri":["http://zotero.org/users/6692466/items/LNA5R6YJ"],"itemData":{"id":733,"type":"article-journal","abstract":"Primary vagal afferent neurons express a multitude of thermosensitive ion channels. Within this family of ion channels, the heat-sensitive capsaicin receptor (TRPV1) greatly influences vagal afferent signaling by determining the threshold for action-potential ...","container-title":"American journal of physiology. Regulatory, integrative and comparative physiology","DOI":"10.1152/ajpregu.00366.2015","ISSN":"0363-6119","issue":"9","journalAbbreviation":"Am J Physiol Regul Integr Comp Physiol","language":"eng","note":"PMID: 26843581","page":"R794-805","source":"europepmc.org","title":"Genetic and pharmacological evidence for low-abundance TRPV3 expression in primary vagal afferent neurons.","volume":"310","author":[{"family":"Wu","given":"S. W."},{"family":"Lindberg","given":"J. E."},{"family":"Peters","given":"J. H."}],"issued":{"date-parts":[["2016",5,1]]}}},{"id":893,"uris":["http://zotero.org/users/6692466/items/A4I8G7ZB"],"uri":["http://zotero.org/users/6692466/items/A4I8G7ZB"],"itemData":{"id":893,"type":"article-journal","abstract":"There is now a growing body of literature that indicates that stress can initiate inflammatory processes, both in the periphery and brain; however, the spatiotemporal nature of this response is not well characterized. The aim of this study was to examine the effects of an acute psychological stress on changes in mRNA and protein levels of a wide range of inflammatory mediators across a broad temporal range, in key corticolimbic brain regions involved in the regulation of the stress response (amygdala, hippocampus, hypothalamus, medial prefrontal cortex). mRNA levels of inflammatory mediators were analyzed immediately following 30min or 120min of acute restraint stress and protein levels were examined 0h through 24h post-termination of 120min of acute restraint stress using both multiplex and ELISA methods. Our data demonstrate, for the first time, that exposure to acute psychological stress results in an increase in the protein level of several inflammatory mediators in the amygdala while concomitantly producing a decrease in the protein level of multiple inflammatory mediators within the medial prefrontal cortex. This pattern of changes seemed largely restricted to the amygdala and medial prefrontal cortex, with stress producing few changes in the mRNA or protein levels of inflammatory mediators within the hippocampus or hypothalamus. Consistent with previous research, stress resulted in a general elevation in multiple inflammatory mediators within the circulation. These data indicate that neuroinflammatory responses to stress do not appear to be generalized across brain structures and exhibit a high degree of spatiotemporal specificity. Given the impact of inflammatory signaling on neural excitability and emotional behavior, these data may provide a platform with which to explore the importance of inflammatory signaling within the prefrontocortical-amygdala circuit in the regulation of the neurobehavioral responses to stress.","container-title":"Brain, Behavior, and Immunity","DOI":"10.1016/j.bbi.2015.07.026","ISSN":"1090-2139","journalAbbreviation":"Brain Behav. Immun.","language":"eng","note":"PMID: 26260453","page":"70-91","source":"PubMed","title":"Divergent responses of inflammatory mediators within the amygdala and medial prefrontal cortex to acute psychological stress","volume":"51","author":[{"family":"Vecchiarelli","given":"Haley A."},{"family":"Gandhi","given":"Chaitanya P."},{"family":"Gray","given":"J. Megan"},{"family":"Morena","given":"Maria"},{"family":"Hassan","given":"Kowther I."},{"family":"Hill","given":"Matthew N."}],"issued":{"date-parts":[["2016",1]]}}},{"id":734,"uris":["http://zotero.org/users/6692466/items/QMCN9AHR"],"uri":["http://zotero.org/users/6692466/items/QMCN9AHR"],"itemData":{"id":734,"type":"article-journal","abstract":"BACKGROUND: N-acetyl-p-aminophenol (APAP, acetaminophen, paracetamol) is a widely used analgesic/antipyretic with weak inhibitory effects on cyclooxygenase (COX) compared to non-steroidal anti-inflammatory drugs (NSAIDs). The mechanism of action of APAP is mediated by its metabolite that activates transient receptor potential channels, including transient receptor potential vanilloid 1 (TRPV1) and TRP ankyrin 1 (TRPA1) or the cannabinoid receptor type 1 (CB1). However, the exact molecular mechanism and target underlying the cellular actions of APAP remain unclear. Therefore, we investigated the effect of APAP on osteoblastic differentiation and cell migration, with a particular focus on TRP channels and CB1.\nMETHODS: Effects of APAP on osteoblastic differentiation and cell migration of MC3T3-E1, a mouse pre-osteoblast cell line, were assessed by the increase in alkaline phosphatase (ALP) activity, and both wound-healing and transwell-migration assays, respectively.\nRESULTS: APAP dose-dependently inhibited osteoblastic differentiation, which was well correlated with the effects on COX activity compared with other NSAIDs. In contrast, cell migration was promoted by APAP, and this effect was not correlated with COX inhibition. None of the agonists or antagonists of TRP channels and the CB receptor affected the APAP-induced cell migration, while the effect of APAP on cell migration was abolished by down-regulating TRPV4 gene expression.\nCONCLUSION: APAP inhibited osteoblastic differentiation via COX inactivation while it promoted cell migration independently of previously known targets such as COX, TRPV1, TRPA1 channels, and CB receptors, but through the mechanism involving TRPV4. APAP may have still unidentified molecular targets that modify cellular functions.","container-title":"Pharmacological reports: PR","DOI":"10.1016/j.pharep.2017.07.006","ISSN":"1734-1140","issue":"1","journalAbbreviation":"Pharmacol Rep","language":"eng","note":"PMID: 29306760","page":"29-36","source":"PubMed","title":"Effect of acetaminophen on osteoblastic differentiation and migration of MC3T3-E1 cells","volume":"70","author":[{"family":"Nakatsu","given":"Yoshihiro"},{"family":"Nakagawa","given":"Fumio"},{"family":"Higashi","given":"Sen"},{"family":"Ohsumi","given":"Tomoko"},{"family":"Shiiba","given":"Shunji"},{"family":"Watanabe","given":"Seiji"},{"family":"Takeuchi","given":"Hiroshi"}],"issued":{"date-parts":[["2018",2]]}}}],"schema":"https://github.com/citation-style-language/schema/raw/master/csl-citation.json"} </w:instrText>
      </w:r>
      <w:r w:rsidR="00A05A13" w:rsidRPr="00AF7E86">
        <w:rPr>
          <w:rFonts w:ascii="Times New Roman" w:hAnsi="Times New Roman" w:cs="Times New Roman"/>
          <w:color w:val="000000" w:themeColor="text1"/>
          <w:lang w:val="en-US"/>
        </w:rPr>
        <w:fldChar w:fldCharType="separate"/>
      </w:r>
      <w:r w:rsidR="00A05A13" w:rsidRPr="00AF7E86">
        <w:rPr>
          <w:rFonts w:ascii="Times New Roman" w:hAnsi="Times New Roman" w:cs="Times New Roman"/>
          <w:color w:val="000000" w:themeColor="text1"/>
          <w:lang w:val="en-US"/>
        </w:rPr>
        <w:t>(8,9,13,14)</w:t>
      </w:r>
      <w:r w:rsidR="00A05A13"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xml:space="preserve">. All efforts were taken to check literature for duplication of previous primers, and any replication of previously published primers not cited is purely accidental and likely </w:t>
      </w:r>
      <w:r w:rsidR="008B00E5" w:rsidRPr="00AF7E86">
        <w:rPr>
          <w:rFonts w:ascii="Times New Roman" w:hAnsi="Times New Roman" w:cs="Times New Roman"/>
          <w:color w:val="000000" w:themeColor="text1"/>
          <w:lang w:val="en-US"/>
        </w:rPr>
        <w:t xml:space="preserve">was </w:t>
      </w:r>
      <w:r w:rsidRPr="00AF7E86">
        <w:rPr>
          <w:rFonts w:ascii="Times New Roman" w:hAnsi="Times New Roman" w:cs="Times New Roman"/>
          <w:color w:val="000000" w:themeColor="text1"/>
          <w:lang w:val="en-US"/>
        </w:rPr>
        <w:t>due to us</w:t>
      </w:r>
      <w:r w:rsidR="008B00E5" w:rsidRPr="00AF7E86">
        <w:rPr>
          <w:rFonts w:ascii="Times New Roman" w:hAnsi="Times New Roman" w:cs="Times New Roman"/>
          <w:color w:val="000000" w:themeColor="text1"/>
          <w:lang w:val="en-US"/>
        </w:rPr>
        <w:t>e of the</w:t>
      </w:r>
      <w:r w:rsidRPr="00AF7E86">
        <w:rPr>
          <w:rFonts w:ascii="Times New Roman" w:hAnsi="Times New Roman" w:cs="Times New Roman"/>
          <w:color w:val="000000" w:themeColor="text1"/>
          <w:lang w:val="en-US"/>
        </w:rPr>
        <w:t xml:space="preserve"> same software program. mRNA sequences of primers of interest were obtained </w:t>
      </w:r>
      <w:r w:rsidR="008B00E5" w:rsidRPr="00AF7E86">
        <w:rPr>
          <w:rFonts w:ascii="Times New Roman" w:hAnsi="Times New Roman" w:cs="Times New Roman"/>
          <w:color w:val="000000" w:themeColor="text1"/>
          <w:lang w:val="en-US"/>
        </w:rPr>
        <w:t xml:space="preserve">by </w:t>
      </w:r>
      <w:r w:rsidRPr="00AF7E86">
        <w:rPr>
          <w:rFonts w:ascii="Times New Roman" w:hAnsi="Times New Roman" w:cs="Times New Roman"/>
          <w:color w:val="000000" w:themeColor="text1"/>
          <w:lang w:val="en-US"/>
        </w:rPr>
        <w:t>searching the NCBI Nucleotide database</w:t>
      </w:r>
      <w:r w:rsidR="00BE50A1" w:rsidRPr="00AF7E86">
        <w:rPr>
          <w:rFonts w:ascii="Times New Roman" w:hAnsi="Times New Roman" w:cs="Times New Roman"/>
          <w:color w:val="000000" w:themeColor="text1"/>
          <w:lang w:val="en-US"/>
        </w:rPr>
        <w:t xml:space="preserve"> (</w:t>
      </w:r>
      <w:r w:rsidR="00BE50A1" w:rsidRPr="00AF7E86">
        <w:rPr>
          <w:rFonts w:ascii="Times New Roman" w:hAnsi="Times New Roman" w:cs="Times New Roman"/>
          <w:color w:val="000000" w:themeColor="text1"/>
        </w:rPr>
        <w:t>RRID:SCR_006472</w:t>
      </w:r>
      <w:r w:rsidR="00BE50A1"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w:t>
      </w:r>
      <w:proofErr w:type="spellStart"/>
      <w:r w:rsidRPr="00AF7E86">
        <w:rPr>
          <w:rFonts w:ascii="Times New Roman" w:hAnsi="Times New Roman" w:cs="Times New Roman"/>
          <w:color w:val="000000" w:themeColor="text1"/>
          <w:lang w:val="en-US"/>
        </w:rPr>
        <w:t>PrimerQuest</w:t>
      </w:r>
      <w:proofErr w:type="spellEnd"/>
      <w:r w:rsidRPr="00AF7E86">
        <w:rPr>
          <w:rFonts w:ascii="Times New Roman" w:hAnsi="Times New Roman" w:cs="Times New Roman"/>
          <w:color w:val="000000" w:themeColor="text1"/>
          <w:lang w:val="en-US"/>
        </w:rPr>
        <w:t xml:space="preserve"> was instructed to create primers that would result in primer products that were not larger than 200 base pairs (bp) and had annealing temperatures of 55°C </w:t>
      </w:r>
      <w:r w:rsidR="008C388F"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1°C. Primer pairs that met these criteria were analyzed with the NCBI BLAST tool</w:t>
      </w:r>
      <w:r w:rsidR="00BE50A1" w:rsidRPr="00AF7E86">
        <w:rPr>
          <w:rFonts w:ascii="Times New Roman" w:hAnsi="Times New Roman" w:cs="Times New Roman"/>
          <w:color w:val="000000" w:themeColor="text1"/>
          <w:lang w:val="en-US"/>
        </w:rPr>
        <w:t xml:space="preserve"> (</w:t>
      </w:r>
      <w:r w:rsidR="00BE50A1" w:rsidRPr="00AF7E86">
        <w:rPr>
          <w:rFonts w:ascii="Times New Roman" w:hAnsi="Times New Roman" w:cs="Times New Roman"/>
          <w:color w:val="000000" w:themeColor="text1"/>
        </w:rPr>
        <w:t>RRID:SCR_004870</w:t>
      </w:r>
      <w:r w:rsidR="00BE50A1" w:rsidRPr="00AF7E86">
        <w:rPr>
          <w:rFonts w:ascii="Times New Roman" w:hAnsi="Times New Roman" w:cs="Times New Roman"/>
          <w:color w:val="000000" w:themeColor="text1"/>
          <w:lang w:val="en-US"/>
        </w:rPr>
        <w:t>)</w:t>
      </w:r>
      <w:r w:rsidRPr="00AF7E86">
        <w:rPr>
          <w:rFonts w:ascii="Times New Roman" w:hAnsi="Times New Roman" w:cs="Times New Roman"/>
          <w:color w:val="000000" w:themeColor="text1"/>
          <w:lang w:val="en-US"/>
        </w:rPr>
        <w:t xml:space="preserve">, to </w:t>
      </w:r>
      <w:r w:rsidR="00BE50A1" w:rsidRPr="00AF7E86">
        <w:rPr>
          <w:rFonts w:ascii="Times New Roman" w:hAnsi="Times New Roman" w:cs="Times New Roman"/>
          <w:color w:val="000000" w:themeColor="text1"/>
          <w:lang w:val="en-US"/>
        </w:rPr>
        <w:t>check</w:t>
      </w:r>
      <w:r w:rsidRPr="00AF7E86">
        <w:rPr>
          <w:rFonts w:ascii="Times New Roman" w:hAnsi="Times New Roman" w:cs="Times New Roman"/>
          <w:color w:val="000000" w:themeColor="text1"/>
          <w:lang w:val="en-US"/>
        </w:rPr>
        <w:t xml:space="preserve"> for specificity, as well as dimerization and hairpin probability. Primers were diluted in RNase-free water, for a final stock concentration of 10µM. For a list of primer sequences see </w:t>
      </w:r>
      <w:r w:rsidR="00EA6B91" w:rsidRPr="00AF7E86">
        <w:rPr>
          <w:rFonts w:ascii="Times New Roman" w:hAnsi="Times New Roman" w:cs="Times New Roman"/>
          <w:color w:val="000000" w:themeColor="text1"/>
          <w:lang w:val="en-US"/>
        </w:rPr>
        <w:t xml:space="preserve">Supplemental </w:t>
      </w:r>
      <w:r w:rsidRPr="00AF7E86">
        <w:rPr>
          <w:rFonts w:ascii="Times New Roman" w:hAnsi="Times New Roman" w:cs="Times New Roman"/>
          <w:color w:val="000000" w:themeColor="text1"/>
          <w:lang w:val="en-US"/>
        </w:rPr>
        <w:t xml:space="preserve">Table </w:t>
      </w:r>
      <w:r w:rsidR="0007236B" w:rsidRPr="00AF7E86">
        <w:rPr>
          <w:rFonts w:ascii="Times New Roman" w:hAnsi="Times New Roman" w:cs="Times New Roman"/>
          <w:color w:val="000000" w:themeColor="text1"/>
          <w:lang w:val="en-US"/>
        </w:rPr>
        <w:t>1</w:t>
      </w:r>
      <w:r w:rsidRPr="00AF7E86">
        <w:rPr>
          <w:rFonts w:ascii="Times New Roman" w:hAnsi="Times New Roman" w:cs="Times New Roman"/>
          <w:color w:val="000000" w:themeColor="text1"/>
          <w:lang w:val="en-US"/>
        </w:rPr>
        <w:t>.</w:t>
      </w:r>
    </w:p>
    <w:p w14:paraId="6ED66821" w14:textId="2066894B" w:rsidR="00B90338" w:rsidRPr="00AF7E86" w:rsidRDefault="00B90338" w:rsidP="00BE50A1">
      <w:pPr>
        <w:spacing w:line="480" w:lineRule="auto"/>
        <w:ind w:firstLine="720"/>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Quantitative polymerase chain reaction (qPCR) was performed as previously described</w:t>
      </w:r>
      <w:r w:rsidR="008C388F" w:rsidRPr="00AF7E86">
        <w:rPr>
          <w:rFonts w:ascii="Times New Roman" w:hAnsi="Times New Roman" w:cs="Times New Roman"/>
          <w:color w:val="000000" w:themeColor="text1"/>
          <w:lang w:val="en-US"/>
        </w:rPr>
        <w:t xml:space="preserve"> </w:t>
      </w:r>
      <w:r w:rsidRPr="00AF7E86">
        <w:rPr>
          <w:rFonts w:ascii="Times New Roman" w:hAnsi="Times New Roman" w:cs="Times New Roman"/>
          <w:color w:val="000000" w:themeColor="text1"/>
          <w:lang w:val="en-US"/>
        </w:rPr>
        <w:fldChar w:fldCharType="begin"/>
      </w:r>
      <w:r w:rsidR="00A05A13" w:rsidRPr="00AF7E86">
        <w:rPr>
          <w:rFonts w:ascii="Times New Roman" w:hAnsi="Times New Roman" w:cs="Times New Roman"/>
          <w:color w:val="000000" w:themeColor="text1"/>
          <w:lang w:val="en-US"/>
        </w:rPr>
        <w:instrText xml:space="preserve"> ADDIN ZOTERO_ITEM CSL_CITATION {"citationID":"asrmkkp5q4","properties":{"formattedCitation":"(8,9,12)","plainCitation":"(8,9,12)","noteIndex":0},"citationItems":[{"id":898,"uris":["http://zotero.org/users/6692466/items/6TVNY5XI"],"uri":["http://zotero.org/users/6692466/items/6TVNY5XI"],"itemData":{"id":898,"type":"article-journal","abstract":"Corticotropin-releasing hormone (CRH) is a central integrator in the brain of endocrine and behavioral stress responses, whereas activation of the endocannabinoid CB1 receptor suppresses these responses. Although these systems regulate overlapping functions, few studies have investigated whether these systems interact. Here we demonstrate a novel mechanism of CRH-induced anxiety that relies on modulation of endocannabinoids. Specifically, we found that CRH, through activation of the CRH receptor type 1 (CRHR1), evokes a rapid induction of the enzyme fatty acid amide hydrolase (FAAH), which causes a reduction in the endocannabinoid anandamide (AEA), within the amygdala. Similarly, the ability of acute stress to modulate amygdala FAAH and AEA in both rats and mice is also mediated through CRHR1 activation. This interaction occurs specifically in amygdala pyramidal neurons and represents a novel mechanism of endocannabinoid-CRH interactions in regulating amygdala output. Functionally, we found that CRH signaling in the amygdala promotes an anxious phenotype that is prevented by FAAH inhibition. Together, this work suggests that rapid reductions in amygdala AEA signaling following stress may prime the amygdala and facilitate the generation of downstream stress-linked behaviors. Given that endocannabinoid signaling is thought to exert \"tonic\" regulation on stress and anxiety responses, these data suggest that CRH signaling coordinates a disruption of tonic AEA activity to promote a state of anxiety, which in turn may represent an endogenous mechanism by which stress enhances anxiety. These data suggest that FAAH inhibitors may represent a novel class of anxiolytics that specifically target stress-induced anxiety.","container-title":"The Journal of Neuroscience: The Official Journal of the Society for Neuroscience","DOI":"10.1523/JNEUROSCI.2737-14.2015","ISSN":"1529-2401","issue":"9","journalAbbreviation":"J. Neurosci.","language":"eng","note":"PMID: 25740517\nPMCID: PMC4348185","page":"3879-3892","source":"PubMed","title":"Corticotropin-releasing hormone drives anandamide hydrolysis in the amygdala to promote anxiety","volume":"35","author":[{"family":"Gray","given":"J. Megan"},{"family":"Vecchiarelli","given":"Haley A."},{"family":"Morena","given":"Maria"},{"family":"Lee","given":"Tiffany T. Y."},{"family":"Hermanson","given":"Daniel J."},{"family":"Kim","given":"Alexander B."},{"family":"McLaughlin","given":"Ryan J."},{"family":"Hassan","given":"Kowther I."},{"family":"Kühne","given":"Claudia"},{"family":"Wotjak","given":"Carsten T."},{"family":"Deussing","given":"Jan M."},{"family":"Patel","given":"Sachin"},{"family":"Hill","given":"Matthew N."}],"issued":{"date-parts":[["2015",3,4]]}}},{"id":893,"uris":["http://zotero.org/users/6692466/items/A4I8G7ZB"],"uri":["http://zotero.org/users/6692466/items/A4I8G7ZB"],"itemData":{"id":893,"type":"article-journal","abstract":"There is now a growing body of literature that indicates that stress can initiate inflammatory processes, both in the periphery and brain; however, the spatiotemporal nature of this response is not well characterized. The aim of this study was to examine the effects of an acute psychological stress on changes in mRNA and protein levels of a wide range of inflammatory mediators across a broad temporal range, in key corticolimbic brain regions involved in the regulation of the stress response (amygdala, hippocampus, hypothalamus, medial prefrontal cortex). mRNA levels of inflammatory mediators were analyzed immediately following 30min or 120min of acute restraint stress and protein levels were examined 0h through 24h post-termination of 120min of acute restraint stress using both multiplex and ELISA methods. Our data demonstrate, for the first time, that exposure to acute psychological stress results in an increase in the protein level of several inflammatory mediators in the amygdala while concomitantly producing a decrease in the protein level of multiple inflammatory mediators within the medial prefrontal cortex. This pattern of changes seemed largely restricted to the amygdala and medial prefrontal cortex, with stress producing few changes in the mRNA or protein levels of inflammatory mediators within the hippocampus or hypothalamus. Consistent with previous research, stress resulted in a general elevation in multiple inflammatory mediators within the circulation. These data indicate that neuroinflammatory responses to stress do not appear to be generalized across brain structures and exhibit a high degree of spatiotemporal specificity. Given the impact of inflammatory signaling on neural excitability and emotional behavior, these data may provide a platform with which to explore the importance of inflammatory signaling within the prefrontocortical-amygdala circuit in the regulation of the neurobehavioral responses to stress.","container-title":"Brain, Behavior, and Immunity","DOI":"10.1016/j.bbi.2015.07.026","ISSN":"1090-2139","journalAbbreviation":"Brain Behav. Immun.","language":"eng","note":"PMID: 26260453","page":"70-91","source":"PubMed","title":"Divergent responses of inflammatory mediators within the amygdala and medial prefrontal cortex to acute psychological stress","volume":"51","author":[{"family":"Vecchiarelli","given":"Haley A."},{"family":"Gandhi","given":"Chaitanya P."},{"family":"Gray","given":"J. Megan"},{"family":"Morena","given":"Maria"},{"family":"Hassan","given":"Kowther I."},{"family":"Hill","given":"Matthew N."}],"issued":{"date-parts":[["2016",1]]}}},{"id":945,"uris":["http://zotero.org/users/6692466/items/TZHIZTDJ"],"uri":["http://zotero.org/users/6692466/items/TZHIZTDJ"],"itemData":{"id":945,"type":"article-journal","abstract":"Tryptophan is an essential dietary amino acid that is necessary for protein synthesis, but also serves as the precursor for serotonin. However, in addition to these biological functions, tryptophan also serves as a precursor for the kynurenine pathway, which has neurotoxic (quinolinic acid) and neuroprotective (kynurenic acid) metabolites. Glucocorticoid hormones and inflammatory mediators, both of which are increased by stress, have been shown to bias tryptophan along the kynurenine pathway and away from serotonin synthesis; however, to date, there is no published data regarding the effects of stress on enzymes regulating the kynurenine pathway in a regional manner throughout the brain. Herein, we examined the effects of an acute psychological stress (120 min restraint) on gene expression patterns of enzymes along the kynurenine pathway over a protracted time-course (1-24 h post-stress termination) within the amygdala, hippocampus, hypothalamus, and medial prefrontal cortex. Time-dependent changes in differential enzymes along the kynurenine metabolism pathway, particularly those involved in the production of quinolinic acid, were found within the amygdala, hypothalamus, and medial prefrontal cortex, with no changes seen in the hippocampus. These regional differences acutely may provide mechanistic insight into processes that become dysregulated chronically in stress-associated disorders.","container-title":"Neural Plasticity","DOI":"10.1155/2016/7215684","ISSN":"1687-5443","journalAbbreviation":"Neural Plast.","language":"eng","note":"PMID: 26819772\nPMCID: PMC4706967","page":"7215684","source":"PubMed","title":"Acute Psychological Stress Modulates the Expression of Enzymes Involved in the Kynurenine Pathway throughout Corticolimbic Circuits in Adult Male Rats","volume":"2016","author":[{"family":"Vecchiarelli","given":"Haley A."},{"family":"Gandhi","given":"Chaitanya P."},{"family":"Hill","given":"Matthew N."}],"issued":{"date-parts":[["2016"]]}}}],"schema":"https://github.com/citation-style-language/schema/raw/master/csl-citation.json"} </w:instrText>
      </w:r>
      <w:r w:rsidRPr="00AF7E86">
        <w:rPr>
          <w:rFonts w:ascii="Times New Roman" w:hAnsi="Times New Roman" w:cs="Times New Roman"/>
          <w:color w:val="000000" w:themeColor="text1"/>
          <w:lang w:val="en-US"/>
        </w:rPr>
        <w:fldChar w:fldCharType="separate"/>
      </w:r>
      <w:r w:rsidR="00A05A13" w:rsidRPr="00AF7E86">
        <w:rPr>
          <w:rFonts w:ascii="Times New Roman" w:hAnsi="Times New Roman" w:cs="Times New Roman"/>
          <w:color w:val="000000" w:themeColor="text1"/>
          <w:lang w:val="en-US"/>
        </w:rPr>
        <w:t>(8,9,12)</w:t>
      </w:r>
      <w:r w:rsidRPr="00AF7E86">
        <w:rPr>
          <w:rFonts w:ascii="Times New Roman" w:hAnsi="Times New Roman" w:cs="Times New Roman"/>
          <w:color w:val="000000" w:themeColor="text1"/>
          <w:lang w:val="en-US"/>
        </w:rPr>
        <w:fldChar w:fldCharType="end"/>
      </w:r>
      <w:r w:rsidRPr="00AF7E86">
        <w:rPr>
          <w:rFonts w:ascii="Times New Roman" w:hAnsi="Times New Roman" w:cs="Times New Roman"/>
          <w:color w:val="000000" w:themeColor="text1"/>
          <w:lang w:val="en-US"/>
        </w:rPr>
        <w:t xml:space="preserve"> using  </w:t>
      </w:r>
      <w:proofErr w:type="spellStart"/>
      <w:r w:rsidRPr="00AF7E86">
        <w:rPr>
          <w:rFonts w:ascii="Times New Roman" w:hAnsi="Times New Roman" w:cs="Times New Roman"/>
          <w:color w:val="000000" w:themeColor="text1"/>
          <w:lang w:val="en-US"/>
        </w:rPr>
        <w:t>PerfeCTa</w:t>
      </w:r>
      <w:proofErr w:type="spellEnd"/>
      <w:r w:rsidRPr="00AF7E86">
        <w:rPr>
          <w:rFonts w:ascii="Times New Roman" w:hAnsi="Times New Roman" w:cs="Times New Roman"/>
          <w:color w:val="000000" w:themeColor="text1"/>
          <w:lang w:val="en-US"/>
        </w:rPr>
        <w:t xml:space="preserve"> SYBR Green Fast Mix</w:t>
      </w:r>
      <w:r w:rsidR="007F7323" w:rsidRPr="00AF7E86">
        <w:rPr>
          <w:rFonts w:ascii="Times New Roman" w:hAnsi="Times New Roman" w:cs="Times New Roman"/>
          <w:color w:val="000000" w:themeColor="text1"/>
          <w:lang w:val="en-US"/>
        </w:rPr>
        <w:t xml:space="preserve"> (</w:t>
      </w:r>
      <w:proofErr w:type="spellStart"/>
      <w:r w:rsidR="007F7323" w:rsidRPr="00AF7E86">
        <w:rPr>
          <w:rFonts w:ascii="Times New Roman" w:hAnsi="Times New Roman" w:cs="Times New Roman"/>
          <w:color w:val="000000" w:themeColor="text1"/>
          <w:lang w:val="en-US"/>
        </w:rPr>
        <w:t>QuantaBio</w:t>
      </w:r>
      <w:proofErr w:type="spellEnd"/>
      <w:r w:rsidR="007F7323" w:rsidRPr="00AF7E86">
        <w:rPr>
          <w:rFonts w:ascii="Times New Roman" w:hAnsi="Times New Roman" w:cs="Times New Roman"/>
          <w:color w:val="000000" w:themeColor="text1"/>
          <w:lang w:val="en-US"/>
        </w:rPr>
        <w:t>, Beverly, MA, USA, #95072)</w:t>
      </w:r>
      <w:r w:rsidRPr="00AF7E86">
        <w:rPr>
          <w:rFonts w:ascii="Times New Roman" w:hAnsi="Times New Roman" w:cs="Times New Roman"/>
          <w:color w:val="000000" w:themeColor="text1"/>
          <w:lang w:val="en-US"/>
        </w:rPr>
        <w:t xml:space="preserve"> on a </w:t>
      </w:r>
      <w:proofErr w:type="spellStart"/>
      <w:r w:rsidRPr="00AF7E86">
        <w:rPr>
          <w:rFonts w:ascii="Times New Roman" w:hAnsi="Times New Roman" w:cs="Times New Roman"/>
          <w:color w:val="000000" w:themeColor="text1"/>
          <w:lang w:val="en-US"/>
        </w:rPr>
        <w:t>RotoGene</w:t>
      </w:r>
      <w:proofErr w:type="spellEnd"/>
      <w:r w:rsidRPr="00AF7E86">
        <w:rPr>
          <w:rFonts w:ascii="Times New Roman" w:hAnsi="Times New Roman" w:cs="Times New Roman"/>
          <w:color w:val="000000" w:themeColor="text1"/>
          <w:lang w:val="en-US"/>
        </w:rPr>
        <w:t xml:space="preserve"> Q light cycler</w:t>
      </w:r>
      <w:r w:rsidR="007F7323" w:rsidRPr="00AF7E86">
        <w:rPr>
          <w:rFonts w:ascii="Times New Roman" w:hAnsi="Times New Roman" w:cs="Times New Roman"/>
          <w:color w:val="000000" w:themeColor="text1"/>
          <w:lang w:val="en-US"/>
        </w:rPr>
        <w:t xml:space="preserve"> (Qiagen)</w:t>
      </w:r>
      <w:r w:rsidRPr="00AF7E86">
        <w:rPr>
          <w:rFonts w:ascii="Times New Roman" w:hAnsi="Times New Roman" w:cs="Times New Roman"/>
          <w:color w:val="000000" w:themeColor="text1"/>
          <w:lang w:val="en-US"/>
        </w:rPr>
        <w:t xml:space="preserve"> according to the manufacturer’s instructions. Briefly, 50ng of cDNA, primers (1µM final concentration) and buffer containing SYBR Green and dNTPs were added to tubes for a final volume of 10µL.</w:t>
      </w:r>
    </w:p>
    <w:p w14:paraId="3265A7E9" w14:textId="771A9E6A" w:rsidR="00B90338" w:rsidRPr="00AF7E86" w:rsidRDefault="00B90338"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ab/>
        <w:t xml:space="preserve">Each primer was analyzed in a serially diluted standard curve in triplicate to assess proper reaction conditions (i.e. number of cycles and annealing temperature) and check primer reaction efficiency (must be between 80% and 120%). All reactions were run with the following cycler specifications: 3 min at 90°C, followed by 40 cycles of 90°C for 10 seconds (sec) and 60°C for 30 sec. A melt step was performed after each run to assess for single products. Each primer for genes of interest was compared against all primers for reference genes to ascertain which one had similar </w:t>
      </w:r>
      <w:r w:rsidRPr="00AF7E86">
        <w:rPr>
          <w:rFonts w:ascii="Times New Roman" w:hAnsi="Times New Roman" w:cs="Times New Roman"/>
          <w:color w:val="000000" w:themeColor="text1"/>
          <w:lang w:val="en-US"/>
        </w:rPr>
        <w:lastRenderedPageBreak/>
        <w:t>reaction efficiencies. For each gene of interest, one reference gene was chosen that matched its efficiency.</w:t>
      </w:r>
    </w:p>
    <w:p w14:paraId="578D1EF9" w14:textId="77777777" w:rsidR="00B90338" w:rsidRPr="00AF7E86" w:rsidRDefault="00B90338" w:rsidP="00BE50A1">
      <w:pPr>
        <w:spacing w:line="480" w:lineRule="auto"/>
        <w:ind w:firstLine="720"/>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As all samples per brain region could not fit on one run, each machine run contained at least one sample from each group. For each run, a standard curve for each primer, both the primer for the reference gene and gene of interest, was performed, to validate primer efficiency across multiple runs. For each sample, reference genes were assayed in triplicate, genes of interest were assayed in triplicate, and a no template control was assayed.</w:t>
      </w:r>
    </w:p>
    <w:p w14:paraId="5BEA1D55" w14:textId="77777777" w:rsidR="00B90338" w:rsidRPr="00AF7E86" w:rsidRDefault="00B90338"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ab/>
        <w:t xml:space="preserve">Using the </w:t>
      </w:r>
      <w:proofErr w:type="spellStart"/>
      <w:r w:rsidRPr="00AF7E86">
        <w:rPr>
          <w:rFonts w:ascii="Times New Roman" w:hAnsi="Times New Roman" w:cs="Times New Roman"/>
          <w:color w:val="000000" w:themeColor="text1"/>
          <w:lang w:val="en-US"/>
        </w:rPr>
        <w:t>RotoGene</w:t>
      </w:r>
      <w:proofErr w:type="spellEnd"/>
      <w:r w:rsidRPr="00AF7E86">
        <w:rPr>
          <w:rFonts w:ascii="Times New Roman" w:hAnsi="Times New Roman" w:cs="Times New Roman"/>
          <w:color w:val="000000" w:themeColor="text1"/>
          <w:lang w:val="en-US"/>
        </w:rPr>
        <w:t xml:space="preserve"> Q software, the C</w:t>
      </w:r>
      <w:r w:rsidRPr="00AF7E86">
        <w:rPr>
          <w:rFonts w:ascii="Times New Roman" w:hAnsi="Times New Roman" w:cs="Times New Roman"/>
          <w:color w:val="000000" w:themeColor="text1"/>
          <w:vertAlign w:val="subscript"/>
          <w:lang w:val="en-US"/>
        </w:rPr>
        <w:t>t</w:t>
      </w:r>
      <w:r w:rsidRPr="00AF7E86">
        <w:rPr>
          <w:rFonts w:ascii="Times New Roman" w:hAnsi="Times New Roman" w:cs="Times New Roman"/>
          <w:color w:val="000000" w:themeColor="text1"/>
          <w:lang w:val="en-US"/>
        </w:rPr>
        <w:t xml:space="preserve"> value, or the point at which fluorescent detection crosses the threshold, was assayed for each well. The triplicate C</w:t>
      </w:r>
      <w:r w:rsidRPr="00AF7E86">
        <w:rPr>
          <w:rFonts w:ascii="Times New Roman" w:hAnsi="Times New Roman" w:cs="Times New Roman"/>
          <w:color w:val="000000" w:themeColor="text1"/>
          <w:vertAlign w:val="subscript"/>
          <w:lang w:val="en-US"/>
        </w:rPr>
        <w:t>t</w:t>
      </w:r>
      <w:r w:rsidRPr="00AF7E86">
        <w:rPr>
          <w:rFonts w:ascii="Times New Roman" w:hAnsi="Times New Roman" w:cs="Times New Roman"/>
          <w:color w:val="000000" w:themeColor="text1"/>
          <w:lang w:val="en-US"/>
        </w:rPr>
        <w:t xml:space="preserve"> value per sample was averaged for both the reference gene and gene of interest. The delta C</w:t>
      </w:r>
      <w:r w:rsidRPr="00AF7E86">
        <w:rPr>
          <w:rFonts w:ascii="Times New Roman" w:hAnsi="Times New Roman" w:cs="Times New Roman"/>
          <w:color w:val="000000" w:themeColor="text1"/>
          <w:vertAlign w:val="subscript"/>
          <w:lang w:val="en-US"/>
        </w:rPr>
        <w:t>t</w:t>
      </w:r>
      <w:r w:rsidRPr="00AF7E86">
        <w:rPr>
          <w:rFonts w:ascii="Times New Roman" w:hAnsi="Times New Roman" w:cs="Times New Roman"/>
          <w:color w:val="000000" w:themeColor="text1"/>
          <w:lang w:val="en-US"/>
        </w:rPr>
        <w:t xml:space="preserve"> between the reference gene and gene of interest was calculated and then the delta, delta C</w:t>
      </w:r>
      <w:r w:rsidRPr="00AF7E86">
        <w:rPr>
          <w:rFonts w:ascii="Times New Roman" w:hAnsi="Times New Roman" w:cs="Times New Roman"/>
          <w:color w:val="000000" w:themeColor="text1"/>
          <w:vertAlign w:val="subscript"/>
          <w:lang w:val="en-US"/>
        </w:rPr>
        <w:t>t</w:t>
      </w:r>
      <w:r w:rsidRPr="00AF7E86">
        <w:rPr>
          <w:rFonts w:ascii="Times New Roman" w:hAnsi="Times New Roman" w:cs="Times New Roman"/>
          <w:color w:val="000000" w:themeColor="text1"/>
          <w:lang w:val="en-US"/>
        </w:rPr>
        <w:t>, which was the change between the control (saline) and test (TNBS) groups was calculated. Data were normalized so that the average of the control group was 1.</w:t>
      </w:r>
    </w:p>
    <w:p w14:paraId="177AD792" w14:textId="52C302EB" w:rsidR="00B90338" w:rsidRPr="00AF7E86" w:rsidRDefault="00B90338" w:rsidP="00BE50A1">
      <w:pPr>
        <w:spacing w:line="480" w:lineRule="auto"/>
        <w:jc w:val="both"/>
        <w:rPr>
          <w:rFonts w:ascii="Times New Roman" w:hAnsi="Times New Roman" w:cs="Times New Roman"/>
          <w:color w:val="000000" w:themeColor="text1"/>
          <w:lang w:val="en-US"/>
        </w:rPr>
      </w:pPr>
    </w:p>
    <w:p w14:paraId="1E53DBFF" w14:textId="122B8B53" w:rsidR="000866ED" w:rsidRPr="00AF7E86" w:rsidRDefault="000866ED" w:rsidP="00BE50A1">
      <w:pPr>
        <w:spacing w:line="480" w:lineRule="auto"/>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br w:type="page"/>
      </w:r>
    </w:p>
    <w:p w14:paraId="2B8C9FC8" w14:textId="77E9BF39" w:rsidR="000866ED" w:rsidRPr="00AF7E86" w:rsidRDefault="000866ED" w:rsidP="00BE50A1">
      <w:pPr>
        <w:spacing w:line="480" w:lineRule="auto"/>
        <w:jc w:val="both"/>
        <w:rPr>
          <w:rFonts w:ascii="Times New Roman" w:hAnsi="Times New Roman" w:cs="Times New Roman"/>
          <w:b/>
          <w:color w:val="000000" w:themeColor="text1"/>
          <w:lang w:val="en-US"/>
        </w:rPr>
      </w:pPr>
      <w:r w:rsidRPr="00AF7E86">
        <w:rPr>
          <w:rFonts w:ascii="Times New Roman" w:hAnsi="Times New Roman" w:cs="Times New Roman"/>
          <w:b/>
          <w:color w:val="000000" w:themeColor="text1"/>
          <w:lang w:val="en-US"/>
        </w:rPr>
        <w:lastRenderedPageBreak/>
        <w:t>References</w:t>
      </w:r>
    </w:p>
    <w:p w14:paraId="289D3947" w14:textId="77777777" w:rsidR="00A05A13" w:rsidRPr="00AF7E86" w:rsidRDefault="00B76AFB" w:rsidP="00A05A13">
      <w:pPr>
        <w:pStyle w:val="Bibliography"/>
        <w:rPr>
          <w:rFonts w:ascii="Times New Roman" w:hAnsi="Times New Roman" w:cs="Times New Roman"/>
          <w:color w:val="000000" w:themeColor="text1"/>
          <w:lang w:val="en-US"/>
        </w:rPr>
      </w:pPr>
      <w:r w:rsidRPr="00AF7E86">
        <w:rPr>
          <w:color w:val="000000" w:themeColor="text1"/>
          <w:lang w:val="en-US"/>
        </w:rPr>
        <w:fldChar w:fldCharType="begin"/>
      </w:r>
      <w:r w:rsidR="00A05A13" w:rsidRPr="00AF7E86">
        <w:rPr>
          <w:color w:val="000000" w:themeColor="text1"/>
          <w:lang w:val="en-US"/>
        </w:rPr>
        <w:instrText xml:space="preserve"> ADDIN ZOTERO_BIBL {"uncited":[],"omitted":[],"custom":[]} CSL_BIBLIOGRAPHY </w:instrText>
      </w:r>
      <w:r w:rsidRPr="00AF7E86">
        <w:rPr>
          <w:color w:val="000000" w:themeColor="text1"/>
          <w:lang w:val="en-US"/>
        </w:rPr>
        <w:fldChar w:fldCharType="separate"/>
      </w:r>
      <w:r w:rsidR="00A05A13" w:rsidRPr="00AF7E86">
        <w:rPr>
          <w:rFonts w:ascii="Times New Roman" w:hAnsi="Times New Roman" w:cs="Times New Roman"/>
          <w:color w:val="000000" w:themeColor="text1"/>
          <w:lang w:val="en-US"/>
        </w:rPr>
        <w:t xml:space="preserve">1. McCafferty DM, Sharkey KA, Wallace JL (1994): Beneficial effects of local or systemic lidocaine in experimental colitis. </w:t>
      </w:r>
      <w:r w:rsidR="00A05A13" w:rsidRPr="00AF7E86">
        <w:rPr>
          <w:rFonts w:ascii="Times New Roman" w:hAnsi="Times New Roman" w:cs="Times New Roman"/>
          <w:i/>
          <w:iCs/>
          <w:color w:val="000000" w:themeColor="text1"/>
          <w:lang w:val="en-US"/>
        </w:rPr>
        <w:t>Am J Physiol</w:t>
      </w:r>
      <w:r w:rsidR="00A05A13" w:rsidRPr="00AF7E86">
        <w:rPr>
          <w:rFonts w:ascii="Times New Roman" w:hAnsi="Times New Roman" w:cs="Times New Roman"/>
          <w:color w:val="000000" w:themeColor="text1"/>
          <w:lang w:val="en-US"/>
        </w:rPr>
        <w:t xml:space="preserve"> 266: G560-567.</w:t>
      </w:r>
    </w:p>
    <w:p w14:paraId="32AB3328"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2. Natah SS, Mouihate A, Pittman QJ, Sharkey KA (2005): Disruption of the blood-brain barrier during TNBS colitis. </w:t>
      </w:r>
      <w:r w:rsidRPr="00AF7E86">
        <w:rPr>
          <w:rFonts w:ascii="Times New Roman" w:hAnsi="Times New Roman" w:cs="Times New Roman"/>
          <w:i/>
          <w:iCs/>
          <w:color w:val="000000" w:themeColor="text1"/>
          <w:lang w:val="en-US"/>
        </w:rPr>
        <w:t>Neurogastroenterol Motil</w:t>
      </w:r>
      <w:r w:rsidRPr="00AF7E86">
        <w:rPr>
          <w:rFonts w:ascii="Times New Roman" w:hAnsi="Times New Roman" w:cs="Times New Roman"/>
          <w:color w:val="000000" w:themeColor="text1"/>
          <w:lang w:val="en-US"/>
        </w:rPr>
        <w:t xml:space="preserve"> 17: 433–446.</w:t>
      </w:r>
    </w:p>
    <w:p w14:paraId="6CD6619E"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3. Spencer SJ, Hyland NP, Sharkey KA, Pittman QJ (2007): Neonatal immune challenge exacerbates experimental colitis in adult rats: potential role for TNF-alpha. </w:t>
      </w:r>
      <w:r w:rsidRPr="00AF7E86">
        <w:rPr>
          <w:rFonts w:ascii="Times New Roman" w:hAnsi="Times New Roman" w:cs="Times New Roman"/>
          <w:i/>
          <w:iCs/>
          <w:color w:val="000000" w:themeColor="text1"/>
          <w:lang w:val="en-US"/>
        </w:rPr>
        <w:t>Am J Physiol Regul Integr Comp Physiol</w:t>
      </w:r>
      <w:r w:rsidRPr="00AF7E86">
        <w:rPr>
          <w:rFonts w:ascii="Times New Roman" w:hAnsi="Times New Roman" w:cs="Times New Roman"/>
          <w:color w:val="000000" w:themeColor="text1"/>
          <w:lang w:val="en-US"/>
        </w:rPr>
        <w:t xml:space="preserve"> 292: R308-315.</w:t>
      </w:r>
    </w:p>
    <w:p w14:paraId="776BCD4D"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4. Riazi K, Galic MA, Kuzmiski JB, Ho W, Sharkey KA, Pittman QJ (2008): Microglial activation and TNFalpha production mediate altered CNS excitability following peripheral inflammation. </w:t>
      </w:r>
      <w:r w:rsidRPr="00AF7E86">
        <w:rPr>
          <w:rFonts w:ascii="Times New Roman" w:hAnsi="Times New Roman" w:cs="Times New Roman"/>
          <w:i/>
          <w:iCs/>
          <w:color w:val="000000" w:themeColor="text1"/>
          <w:lang w:val="en-US"/>
        </w:rPr>
        <w:t>Proc Natl Acad Sci USA</w:t>
      </w:r>
      <w:r w:rsidRPr="00AF7E86">
        <w:rPr>
          <w:rFonts w:ascii="Times New Roman" w:hAnsi="Times New Roman" w:cs="Times New Roman"/>
          <w:color w:val="000000" w:themeColor="text1"/>
          <w:lang w:val="en-US"/>
        </w:rPr>
        <w:t xml:space="preserve"> 105: 17151–17156.</w:t>
      </w:r>
    </w:p>
    <w:p w14:paraId="7DAFFA2E"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5. Morena M, Aukema RJ, Leitl KD, Rashid AJ, Vecchiarelli HA, Josselyn SA, Hill MN (2019): Upregulation of Anandamide Hydrolysis in the Basolateral Complex of Amygdala Reduces Fear Memory Expression and Indices of Stress and Anxiety. </w:t>
      </w:r>
      <w:r w:rsidRPr="00AF7E86">
        <w:rPr>
          <w:rFonts w:ascii="Times New Roman" w:hAnsi="Times New Roman" w:cs="Times New Roman"/>
          <w:i/>
          <w:iCs/>
          <w:color w:val="000000" w:themeColor="text1"/>
          <w:lang w:val="en-US"/>
        </w:rPr>
        <w:t>J Neurosci</w:t>
      </w:r>
      <w:r w:rsidRPr="00AF7E86">
        <w:rPr>
          <w:rFonts w:ascii="Times New Roman" w:hAnsi="Times New Roman" w:cs="Times New Roman"/>
          <w:color w:val="000000" w:themeColor="text1"/>
          <w:lang w:val="en-US"/>
        </w:rPr>
        <w:t xml:space="preserve"> 39: 1275–1292.</w:t>
      </w:r>
    </w:p>
    <w:p w14:paraId="631DB69D"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6. Qi M, Morena M, Vecchiarelli HA, Hill MN, Schriemer DC (2015): A robust capillary liquid chromatography/tandem mass spectrometry method for quantitation of neuromodulatory endocannabinoids. </w:t>
      </w:r>
      <w:r w:rsidRPr="00AF7E86">
        <w:rPr>
          <w:rFonts w:ascii="Times New Roman" w:hAnsi="Times New Roman" w:cs="Times New Roman"/>
          <w:i/>
          <w:iCs/>
          <w:color w:val="000000" w:themeColor="text1"/>
          <w:lang w:val="en-US"/>
        </w:rPr>
        <w:t>Rapid Commun Mass Spectrom</w:t>
      </w:r>
      <w:r w:rsidRPr="00AF7E86">
        <w:rPr>
          <w:rFonts w:ascii="Times New Roman" w:hAnsi="Times New Roman" w:cs="Times New Roman"/>
          <w:color w:val="000000" w:themeColor="text1"/>
          <w:lang w:val="en-US"/>
        </w:rPr>
        <w:t xml:space="preserve"> 29: 1889–1897.</w:t>
      </w:r>
    </w:p>
    <w:p w14:paraId="05F38147"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7. Hill MN, Karatsoreos IN, Hillard CJ, McEwen BS (2010): Rapid elevations in limbic endocannabinoid content by glucocorticoid hormones in vivo. </w:t>
      </w:r>
      <w:r w:rsidRPr="00AF7E86">
        <w:rPr>
          <w:rFonts w:ascii="Times New Roman" w:hAnsi="Times New Roman" w:cs="Times New Roman"/>
          <w:i/>
          <w:iCs/>
          <w:color w:val="000000" w:themeColor="text1"/>
          <w:lang w:val="en-US"/>
        </w:rPr>
        <w:t>Psychoneuroendocrinology</w:t>
      </w:r>
      <w:r w:rsidRPr="00AF7E86">
        <w:rPr>
          <w:rFonts w:ascii="Times New Roman" w:hAnsi="Times New Roman" w:cs="Times New Roman"/>
          <w:color w:val="000000" w:themeColor="text1"/>
          <w:lang w:val="en-US"/>
        </w:rPr>
        <w:t xml:space="preserve"> 35: 1333–1338.</w:t>
      </w:r>
    </w:p>
    <w:p w14:paraId="69B324E8"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lastRenderedPageBreak/>
        <w:t xml:space="preserve">8. Gray JM, Vecchiarelli HA, Morena M, Lee TTY, Hermanson DJ, Kim AB, </w:t>
      </w:r>
      <w:r w:rsidRPr="00AF7E86">
        <w:rPr>
          <w:rFonts w:ascii="Times New Roman" w:hAnsi="Times New Roman" w:cs="Times New Roman"/>
          <w:i/>
          <w:iCs/>
          <w:color w:val="000000" w:themeColor="text1"/>
          <w:lang w:val="en-US"/>
        </w:rPr>
        <w:t>et al.</w:t>
      </w:r>
      <w:r w:rsidRPr="00AF7E86">
        <w:rPr>
          <w:rFonts w:ascii="Times New Roman" w:hAnsi="Times New Roman" w:cs="Times New Roman"/>
          <w:color w:val="000000" w:themeColor="text1"/>
          <w:lang w:val="en-US"/>
        </w:rPr>
        <w:t xml:space="preserve"> (2015): Corticotropin-releasing hormone drives anandamide hydrolysis in the amygdala to promote anxiety. </w:t>
      </w:r>
      <w:r w:rsidRPr="00AF7E86">
        <w:rPr>
          <w:rFonts w:ascii="Times New Roman" w:hAnsi="Times New Roman" w:cs="Times New Roman"/>
          <w:i/>
          <w:iCs/>
          <w:color w:val="000000" w:themeColor="text1"/>
          <w:lang w:val="en-US"/>
        </w:rPr>
        <w:t>J Neurosci</w:t>
      </w:r>
      <w:r w:rsidRPr="00AF7E86">
        <w:rPr>
          <w:rFonts w:ascii="Times New Roman" w:hAnsi="Times New Roman" w:cs="Times New Roman"/>
          <w:color w:val="000000" w:themeColor="text1"/>
          <w:lang w:val="en-US"/>
        </w:rPr>
        <w:t xml:space="preserve"> 35: 3879–3892.</w:t>
      </w:r>
    </w:p>
    <w:p w14:paraId="189BC741"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9. Vecchiarelli HA, Gandhi CP, Gray JM, Morena M, Hassan KI, Hill MN (2016): Divergent responses of inflammatory mediators within the amygdala and medial prefrontal cortex to acute psychological stress. </w:t>
      </w:r>
      <w:r w:rsidRPr="00AF7E86">
        <w:rPr>
          <w:rFonts w:ascii="Times New Roman" w:hAnsi="Times New Roman" w:cs="Times New Roman"/>
          <w:i/>
          <w:iCs/>
          <w:color w:val="000000" w:themeColor="text1"/>
          <w:lang w:val="en-US"/>
        </w:rPr>
        <w:t>Brain Behav Immun</w:t>
      </w:r>
      <w:r w:rsidRPr="00AF7E86">
        <w:rPr>
          <w:rFonts w:ascii="Times New Roman" w:hAnsi="Times New Roman" w:cs="Times New Roman"/>
          <w:color w:val="000000" w:themeColor="text1"/>
          <w:lang w:val="en-US"/>
        </w:rPr>
        <w:t xml:space="preserve"> 51: 70–91.</w:t>
      </w:r>
    </w:p>
    <w:p w14:paraId="2B37BC77"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10. Atsak P, Morena M, Schoenmaker C, Tabak E, Oomen CA, Jamil S, </w:t>
      </w:r>
      <w:r w:rsidRPr="00AF7E86">
        <w:rPr>
          <w:rFonts w:ascii="Times New Roman" w:hAnsi="Times New Roman" w:cs="Times New Roman"/>
          <w:i/>
          <w:iCs/>
          <w:color w:val="000000" w:themeColor="text1"/>
          <w:lang w:val="en-US"/>
        </w:rPr>
        <w:t>et al.</w:t>
      </w:r>
      <w:r w:rsidRPr="00AF7E86">
        <w:rPr>
          <w:rFonts w:ascii="Times New Roman" w:hAnsi="Times New Roman" w:cs="Times New Roman"/>
          <w:color w:val="000000" w:themeColor="text1"/>
          <w:lang w:val="en-US"/>
        </w:rPr>
        <w:t xml:space="preserve"> (2018): Glucocorticoid-endocannabinoid uncoupling mediates fear suppression deficits after early - Life stress. </w:t>
      </w:r>
      <w:r w:rsidRPr="00AF7E86">
        <w:rPr>
          <w:rFonts w:ascii="Times New Roman" w:hAnsi="Times New Roman" w:cs="Times New Roman"/>
          <w:i/>
          <w:iCs/>
          <w:color w:val="000000" w:themeColor="text1"/>
          <w:lang w:val="en-US"/>
        </w:rPr>
        <w:t>Psychoneuroendocrinology</w:t>
      </w:r>
      <w:r w:rsidRPr="00AF7E86">
        <w:rPr>
          <w:rFonts w:ascii="Times New Roman" w:hAnsi="Times New Roman" w:cs="Times New Roman"/>
          <w:color w:val="000000" w:themeColor="text1"/>
          <w:lang w:val="en-US"/>
        </w:rPr>
        <w:t xml:space="preserve"> 91: 41–49.</w:t>
      </w:r>
    </w:p>
    <w:p w14:paraId="1445EF62"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11. Berger AL, Henricks AM, Lugo JM, Wright HR, Warrick CR, Sticht MA, </w:t>
      </w:r>
      <w:r w:rsidRPr="00AF7E86">
        <w:rPr>
          <w:rFonts w:ascii="Times New Roman" w:hAnsi="Times New Roman" w:cs="Times New Roman"/>
          <w:i/>
          <w:iCs/>
          <w:color w:val="000000" w:themeColor="text1"/>
          <w:lang w:val="en-US"/>
        </w:rPr>
        <w:t>et al.</w:t>
      </w:r>
      <w:r w:rsidRPr="00AF7E86">
        <w:rPr>
          <w:rFonts w:ascii="Times New Roman" w:hAnsi="Times New Roman" w:cs="Times New Roman"/>
          <w:color w:val="000000" w:themeColor="text1"/>
          <w:lang w:val="en-US"/>
        </w:rPr>
        <w:t xml:space="preserve"> (2018): The Lateral Habenula Directs Coping Styles Under Conditions of Stress via Recruitment of the Endocannabinoid System. </w:t>
      </w:r>
      <w:r w:rsidRPr="00AF7E86">
        <w:rPr>
          <w:rFonts w:ascii="Times New Roman" w:hAnsi="Times New Roman" w:cs="Times New Roman"/>
          <w:i/>
          <w:iCs/>
          <w:color w:val="000000" w:themeColor="text1"/>
          <w:lang w:val="en-US"/>
        </w:rPr>
        <w:t>Biol Psychiatry</w:t>
      </w:r>
      <w:r w:rsidRPr="00AF7E86">
        <w:rPr>
          <w:rFonts w:ascii="Times New Roman" w:hAnsi="Times New Roman" w:cs="Times New Roman"/>
          <w:color w:val="000000" w:themeColor="text1"/>
          <w:lang w:val="en-US"/>
        </w:rPr>
        <w:t xml:space="preserve"> 84: 611–623.</w:t>
      </w:r>
    </w:p>
    <w:p w14:paraId="59FD4762"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12. Vecchiarelli HA, Gandhi CP, Hill MN (2016): Acute Psychological Stress Modulates the Expression of Enzymes Involved in the Kynurenine Pathway throughout Corticolimbic Circuits in Adult Male Rats. </w:t>
      </w:r>
      <w:r w:rsidRPr="00AF7E86">
        <w:rPr>
          <w:rFonts w:ascii="Times New Roman" w:hAnsi="Times New Roman" w:cs="Times New Roman"/>
          <w:i/>
          <w:iCs/>
          <w:color w:val="000000" w:themeColor="text1"/>
          <w:lang w:val="en-US"/>
        </w:rPr>
        <w:t>Neural Plast</w:t>
      </w:r>
      <w:r w:rsidRPr="00AF7E86">
        <w:rPr>
          <w:rFonts w:ascii="Times New Roman" w:hAnsi="Times New Roman" w:cs="Times New Roman"/>
          <w:color w:val="000000" w:themeColor="text1"/>
          <w:lang w:val="en-US"/>
        </w:rPr>
        <w:t xml:space="preserve"> 2016: 7215684.</w:t>
      </w:r>
    </w:p>
    <w:p w14:paraId="64A87110"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13. Wu SW, Lindberg JE, Peters JH (2016): Genetic and pharmacological evidence for low-abundance TRPV3 expression in primary vagal afferent neurons. </w:t>
      </w:r>
      <w:r w:rsidRPr="00AF7E86">
        <w:rPr>
          <w:rFonts w:ascii="Times New Roman" w:hAnsi="Times New Roman" w:cs="Times New Roman"/>
          <w:i/>
          <w:iCs/>
          <w:color w:val="000000" w:themeColor="text1"/>
          <w:lang w:val="en-US"/>
        </w:rPr>
        <w:t>Am J Physiol Regul Integr Comp Physiol</w:t>
      </w:r>
      <w:r w:rsidRPr="00AF7E86">
        <w:rPr>
          <w:rFonts w:ascii="Times New Roman" w:hAnsi="Times New Roman" w:cs="Times New Roman"/>
          <w:color w:val="000000" w:themeColor="text1"/>
          <w:lang w:val="en-US"/>
        </w:rPr>
        <w:t xml:space="preserve"> 310: R794-805.</w:t>
      </w:r>
    </w:p>
    <w:p w14:paraId="2D065352" w14:textId="77777777" w:rsidR="00A05A13" w:rsidRPr="00AF7E86" w:rsidRDefault="00A05A13" w:rsidP="00A05A13">
      <w:pPr>
        <w:pStyle w:val="Bibliography"/>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t xml:space="preserve">14. Nakatsu Y, Nakagawa F, Higashi S, Ohsumi T, Shiiba S, Watanabe S, Takeuchi H (2018): Effect of acetaminophen on osteoblastic differentiation and migration of MC3T3-E1 cells. </w:t>
      </w:r>
      <w:r w:rsidRPr="00AF7E86">
        <w:rPr>
          <w:rFonts w:ascii="Times New Roman" w:hAnsi="Times New Roman" w:cs="Times New Roman"/>
          <w:i/>
          <w:iCs/>
          <w:color w:val="000000" w:themeColor="text1"/>
          <w:lang w:val="en-US"/>
        </w:rPr>
        <w:t>Pharmacol Rep</w:t>
      </w:r>
      <w:r w:rsidRPr="00AF7E86">
        <w:rPr>
          <w:rFonts w:ascii="Times New Roman" w:hAnsi="Times New Roman" w:cs="Times New Roman"/>
          <w:color w:val="000000" w:themeColor="text1"/>
          <w:lang w:val="en-US"/>
        </w:rPr>
        <w:t xml:space="preserve"> 70: 29–36.</w:t>
      </w:r>
    </w:p>
    <w:p w14:paraId="5D59ED3C" w14:textId="588AD248" w:rsidR="000866ED" w:rsidRPr="00AF7E86" w:rsidRDefault="00B76AFB" w:rsidP="00BE50A1">
      <w:pPr>
        <w:spacing w:line="480" w:lineRule="auto"/>
        <w:jc w:val="both"/>
        <w:rPr>
          <w:rFonts w:ascii="Times New Roman" w:hAnsi="Times New Roman" w:cs="Times New Roman"/>
          <w:color w:val="000000" w:themeColor="text1"/>
          <w:lang w:val="en-US"/>
        </w:rPr>
      </w:pPr>
      <w:r w:rsidRPr="00AF7E86">
        <w:rPr>
          <w:rFonts w:ascii="Times New Roman" w:hAnsi="Times New Roman" w:cs="Times New Roman"/>
          <w:color w:val="000000" w:themeColor="text1"/>
          <w:lang w:val="en-US"/>
        </w:rPr>
        <w:fldChar w:fldCharType="end"/>
      </w:r>
      <w:bookmarkEnd w:id="0"/>
    </w:p>
    <w:sectPr w:rsidR="000866ED" w:rsidRPr="00AF7E86" w:rsidSect="000814F4">
      <w:footerReference w:type="even" r:id="rId6"/>
      <w:footerReference w:type="default" r:id="rId7"/>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2A8BD" w16cex:dateUtc="2020-10-27T20:10:00Z"/>
  <w16cex:commentExtensible w16cex:durableId="2342A9CD" w16cex:dateUtc="2020-10-27T20:14:00Z"/>
  <w16cex:commentExtensible w16cex:durableId="2342A91D" w16cex:dateUtc="2020-10-27T20:11:00Z"/>
  <w16cex:commentExtensible w16cex:durableId="2342A977" w16cex:dateUtc="2020-10-27T20:13:00Z"/>
  <w16cex:commentExtensible w16cex:durableId="2342B1F7" w16cex:dateUtc="2020-10-27T20:49:00Z"/>
  <w16cex:commentExtensible w16cex:durableId="2342B246" w16cex:dateUtc="2020-10-27T20:50:00Z"/>
  <w16cex:commentExtensible w16cex:durableId="2342B2C7" w16cex:dateUtc="2020-10-27T20:52:00Z"/>
  <w16cex:commentExtensible w16cex:durableId="2342B33D" w16cex:dateUtc="2020-10-27T20: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5D628" w14:textId="77777777" w:rsidR="000A4EF2" w:rsidRDefault="000A4EF2" w:rsidP="00117FF8">
      <w:r>
        <w:separator/>
      </w:r>
    </w:p>
  </w:endnote>
  <w:endnote w:type="continuationSeparator" w:id="0">
    <w:p w14:paraId="0210ED8E" w14:textId="77777777" w:rsidR="000A4EF2" w:rsidRDefault="000A4EF2" w:rsidP="0011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1160979"/>
      <w:docPartObj>
        <w:docPartGallery w:val="Page Numbers (Bottom of Page)"/>
        <w:docPartUnique/>
      </w:docPartObj>
    </w:sdtPr>
    <w:sdtEndPr>
      <w:rPr>
        <w:rStyle w:val="PageNumber"/>
      </w:rPr>
    </w:sdtEndPr>
    <w:sdtContent>
      <w:p w14:paraId="528D12FE" w14:textId="741C42E1" w:rsidR="00117FF8" w:rsidRDefault="00117FF8" w:rsidP="00393C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123BCE" w14:textId="77777777" w:rsidR="00117FF8" w:rsidRDefault="00117FF8" w:rsidP="00117F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70178340"/>
      <w:docPartObj>
        <w:docPartGallery w:val="Page Numbers (Bottom of Page)"/>
        <w:docPartUnique/>
      </w:docPartObj>
    </w:sdtPr>
    <w:sdtEndPr>
      <w:rPr>
        <w:rStyle w:val="PageNumber"/>
      </w:rPr>
    </w:sdtEndPr>
    <w:sdtContent>
      <w:p w14:paraId="732B797E" w14:textId="512078D0" w:rsidR="00117FF8" w:rsidRDefault="00117FF8" w:rsidP="00393C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87FC7">
          <w:rPr>
            <w:rStyle w:val="PageNumber"/>
            <w:noProof/>
          </w:rPr>
          <w:t>1</w:t>
        </w:r>
        <w:r>
          <w:rPr>
            <w:rStyle w:val="PageNumber"/>
          </w:rPr>
          <w:fldChar w:fldCharType="end"/>
        </w:r>
      </w:p>
    </w:sdtContent>
  </w:sdt>
  <w:p w14:paraId="4C8A5D56" w14:textId="77777777" w:rsidR="00117FF8" w:rsidRDefault="00117FF8" w:rsidP="00117F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9DE65" w14:textId="77777777" w:rsidR="000A4EF2" w:rsidRDefault="000A4EF2" w:rsidP="00117FF8">
      <w:r>
        <w:separator/>
      </w:r>
    </w:p>
  </w:footnote>
  <w:footnote w:type="continuationSeparator" w:id="0">
    <w:p w14:paraId="167C1876" w14:textId="77777777" w:rsidR="000A4EF2" w:rsidRDefault="000A4EF2" w:rsidP="00117F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38"/>
    <w:rsid w:val="00023206"/>
    <w:rsid w:val="0002753A"/>
    <w:rsid w:val="000329C4"/>
    <w:rsid w:val="000529C5"/>
    <w:rsid w:val="0007236B"/>
    <w:rsid w:val="000814F4"/>
    <w:rsid w:val="000866ED"/>
    <w:rsid w:val="000A4EF2"/>
    <w:rsid w:val="000A6D08"/>
    <w:rsid w:val="000C1833"/>
    <w:rsid w:val="000D2D97"/>
    <w:rsid w:val="001125BB"/>
    <w:rsid w:val="00117FF8"/>
    <w:rsid w:val="001323F1"/>
    <w:rsid w:val="00172868"/>
    <w:rsid w:val="00181E98"/>
    <w:rsid w:val="001A5490"/>
    <w:rsid w:val="00207E19"/>
    <w:rsid w:val="00285CE0"/>
    <w:rsid w:val="00291726"/>
    <w:rsid w:val="00292DE0"/>
    <w:rsid w:val="002B5D7D"/>
    <w:rsid w:val="002D259D"/>
    <w:rsid w:val="00387FC7"/>
    <w:rsid w:val="003D42AC"/>
    <w:rsid w:val="00412A63"/>
    <w:rsid w:val="00451BDF"/>
    <w:rsid w:val="004625B0"/>
    <w:rsid w:val="004B0CAA"/>
    <w:rsid w:val="004D7127"/>
    <w:rsid w:val="004E26B6"/>
    <w:rsid w:val="00530CED"/>
    <w:rsid w:val="00566989"/>
    <w:rsid w:val="00580CBB"/>
    <w:rsid w:val="005D380E"/>
    <w:rsid w:val="00623C76"/>
    <w:rsid w:val="00635284"/>
    <w:rsid w:val="006359D4"/>
    <w:rsid w:val="00654A42"/>
    <w:rsid w:val="006649D9"/>
    <w:rsid w:val="006C4B4F"/>
    <w:rsid w:val="0078262F"/>
    <w:rsid w:val="007F7323"/>
    <w:rsid w:val="008138B0"/>
    <w:rsid w:val="008252A6"/>
    <w:rsid w:val="00853E99"/>
    <w:rsid w:val="008B00E5"/>
    <w:rsid w:val="008C0A77"/>
    <w:rsid w:val="008C388F"/>
    <w:rsid w:val="00904CB6"/>
    <w:rsid w:val="00966FFB"/>
    <w:rsid w:val="009F59DA"/>
    <w:rsid w:val="00A05A13"/>
    <w:rsid w:val="00A15CCE"/>
    <w:rsid w:val="00A828E2"/>
    <w:rsid w:val="00AF7E86"/>
    <w:rsid w:val="00B444A1"/>
    <w:rsid w:val="00B5361F"/>
    <w:rsid w:val="00B76AFB"/>
    <w:rsid w:val="00B90338"/>
    <w:rsid w:val="00B93BE3"/>
    <w:rsid w:val="00BE50A1"/>
    <w:rsid w:val="00C25946"/>
    <w:rsid w:val="00C42D95"/>
    <w:rsid w:val="00C87A8E"/>
    <w:rsid w:val="00D034CA"/>
    <w:rsid w:val="00DF029F"/>
    <w:rsid w:val="00E4248F"/>
    <w:rsid w:val="00E73B33"/>
    <w:rsid w:val="00EA6B91"/>
    <w:rsid w:val="00ED7F3B"/>
    <w:rsid w:val="00F378EE"/>
    <w:rsid w:val="00FA779B"/>
    <w:rsid w:val="00FF18C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FB9329"/>
  <w15:docId w15:val="{2F431B81-5A40-BF41-AEE3-8EDBA511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654A42"/>
    <w:rPr>
      <w:lang w:val="en-US"/>
    </w:rPr>
  </w:style>
  <w:style w:type="character" w:customStyle="1" w:styleId="CommentTextChar">
    <w:name w:val="Comment Text Char"/>
    <w:basedOn w:val="DefaultParagraphFont"/>
    <w:link w:val="CommentText"/>
    <w:uiPriority w:val="99"/>
    <w:semiHidden/>
    <w:rsid w:val="00654A42"/>
    <w:rPr>
      <w:lang w:val="en-US"/>
    </w:rPr>
  </w:style>
  <w:style w:type="character" w:styleId="CommentReference">
    <w:name w:val="annotation reference"/>
    <w:basedOn w:val="DefaultParagraphFont"/>
    <w:uiPriority w:val="99"/>
    <w:semiHidden/>
    <w:unhideWhenUsed/>
    <w:rsid w:val="00654A42"/>
    <w:rPr>
      <w:sz w:val="18"/>
      <w:szCs w:val="18"/>
    </w:rPr>
  </w:style>
  <w:style w:type="paragraph" w:styleId="BalloonText">
    <w:name w:val="Balloon Text"/>
    <w:basedOn w:val="Normal"/>
    <w:link w:val="BalloonTextChar"/>
    <w:uiPriority w:val="99"/>
    <w:semiHidden/>
    <w:unhideWhenUsed/>
    <w:rsid w:val="00654A4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4A42"/>
    <w:rPr>
      <w:rFonts w:ascii="Times New Roman" w:hAnsi="Times New Roman" w:cs="Times New Roman"/>
      <w:sz w:val="18"/>
      <w:szCs w:val="18"/>
    </w:rPr>
  </w:style>
  <w:style w:type="paragraph" w:styleId="Bibliography">
    <w:name w:val="Bibliography"/>
    <w:basedOn w:val="Normal"/>
    <w:next w:val="Normal"/>
    <w:uiPriority w:val="37"/>
    <w:unhideWhenUsed/>
    <w:rsid w:val="000866ED"/>
    <w:pPr>
      <w:spacing w:line="480" w:lineRule="auto"/>
      <w:ind w:left="720" w:hanging="720"/>
    </w:pPr>
  </w:style>
  <w:style w:type="paragraph" w:styleId="Footer">
    <w:name w:val="footer"/>
    <w:basedOn w:val="Normal"/>
    <w:link w:val="FooterChar"/>
    <w:uiPriority w:val="99"/>
    <w:unhideWhenUsed/>
    <w:rsid w:val="00117FF8"/>
    <w:pPr>
      <w:tabs>
        <w:tab w:val="center" w:pos="4680"/>
        <w:tab w:val="right" w:pos="9360"/>
      </w:tabs>
    </w:pPr>
  </w:style>
  <w:style w:type="character" w:customStyle="1" w:styleId="FooterChar">
    <w:name w:val="Footer Char"/>
    <w:basedOn w:val="DefaultParagraphFont"/>
    <w:link w:val="Footer"/>
    <w:uiPriority w:val="99"/>
    <w:rsid w:val="00117FF8"/>
  </w:style>
  <w:style w:type="character" w:styleId="PageNumber">
    <w:name w:val="page number"/>
    <w:basedOn w:val="DefaultParagraphFont"/>
    <w:uiPriority w:val="99"/>
    <w:semiHidden/>
    <w:unhideWhenUsed/>
    <w:rsid w:val="00117FF8"/>
  </w:style>
  <w:style w:type="paragraph" w:styleId="CommentSubject">
    <w:name w:val="annotation subject"/>
    <w:basedOn w:val="CommentText"/>
    <w:next w:val="CommentText"/>
    <w:link w:val="CommentSubjectChar"/>
    <w:uiPriority w:val="99"/>
    <w:semiHidden/>
    <w:unhideWhenUsed/>
    <w:rsid w:val="00F378EE"/>
    <w:rPr>
      <w:b/>
      <w:bCs/>
      <w:sz w:val="20"/>
      <w:szCs w:val="20"/>
      <w:lang w:val="en-CA"/>
    </w:rPr>
  </w:style>
  <w:style w:type="character" w:customStyle="1" w:styleId="CommentSubjectChar">
    <w:name w:val="Comment Subject Char"/>
    <w:basedOn w:val="CommentTextChar"/>
    <w:link w:val="CommentSubject"/>
    <w:uiPriority w:val="99"/>
    <w:semiHidden/>
    <w:rsid w:val="00F378EE"/>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79551">
      <w:bodyDiv w:val="1"/>
      <w:marLeft w:val="0"/>
      <w:marRight w:val="0"/>
      <w:marTop w:val="0"/>
      <w:marBottom w:val="0"/>
      <w:divBdr>
        <w:top w:val="none" w:sz="0" w:space="0" w:color="auto"/>
        <w:left w:val="none" w:sz="0" w:space="0" w:color="auto"/>
        <w:bottom w:val="none" w:sz="0" w:space="0" w:color="auto"/>
        <w:right w:val="none" w:sz="0" w:space="0" w:color="auto"/>
      </w:divBdr>
    </w:div>
    <w:div w:id="528756596">
      <w:bodyDiv w:val="1"/>
      <w:marLeft w:val="0"/>
      <w:marRight w:val="0"/>
      <w:marTop w:val="0"/>
      <w:marBottom w:val="0"/>
      <w:divBdr>
        <w:top w:val="none" w:sz="0" w:space="0" w:color="auto"/>
        <w:left w:val="none" w:sz="0" w:space="0" w:color="auto"/>
        <w:bottom w:val="none" w:sz="0" w:space="0" w:color="auto"/>
        <w:right w:val="none" w:sz="0" w:space="0" w:color="auto"/>
      </w:divBdr>
    </w:div>
    <w:div w:id="662046378">
      <w:bodyDiv w:val="1"/>
      <w:marLeft w:val="0"/>
      <w:marRight w:val="0"/>
      <w:marTop w:val="0"/>
      <w:marBottom w:val="0"/>
      <w:divBdr>
        <w:top w:val="none" w:sz="0" w:space="0" w:color="auto"/>
        <w:left w:val="none" w:sz="0" w:space="0" w:color="auto"/>
        <w:bottom w:val="none" w:sz="0" w:space="0" w:color="auto"/>
        <w:right w:val="none" w:sz="0" w:space="0" w:color="auto"/>
      </w:divBdr>
    </w:div>
    <w:div w:id="767890238">
      <w:bodyDiv w:val="1"/>
      <w:marLeft w:val="0"/>
      <w:marRight w:val="0"/>
      <w:marTop w:val="0"/>
      <w:marBottom w:val="0"/>
      <w:divBdr>
        <w:top w:val="none" w:sz="0" w:space="0" w:color="auto"/>
        <w:left w:val="none" w:sz="0" w:space="0" w:color="auto"/>
        <w:bottom w:val="none" w:sz="0" w:space="0" w:color="auto"/>
        <w:right w:val="none" w:sz="0" w:space="0" w:color="auto"/>
      </w:divBdr>
    </w:div>
    <w:div w:id="784498259">
      <w:bodyDiv w:val="1"/>
      <w:marLeft w:val="0"/>
      <w:marRight w:val="0"/>
      <w:marTop w:val="0"/>
      <w:marBottom w:val="0"/>
      <w:divBdr>
        <w:top w:val="none" w:sz="0" w:space="0" w:color="auto"/>
        <w:left w:val="none" w:sz="0" w:space="0" w:color="auto"/>
        <w:bottom w:val="none" w:sz="0" w:space="0" w:color="auto"/>
        <w:right w:val="none" w:sz="0" w:space="0" w:color="auto"/>
      </w:divBdr>
    </w:div>
    <w:div w:id="813762185">
      <w:bodyDiv w:val="1"/>
      <w:marLeft w:val="0"/>
      <w:marRight w:val="0"/>
      <w:marTop w:val="0"/>
      <w:marBottom w:val="0"/>
      <w:divBdr>
        <w:top w:val="none" w:sz="0" w:space="0" w:color="auto"/>
        <w:left w:val="none" w:sz="0" w:space="0" w:color="auto"/>
        <w:bottom w:val="none" w:sz="0" w:space="0" w:color="auto"/>
        <w:right w:val="none" w:sz="0" w:space="0" w:color="auto"/>
      </w:divBdr>
    </w:div>
    <w:div w:id="1086801785">
      <w:bodyDiv w:val="1"/>
      <w:marLeft w:val="0"/>
      <w:marRight w:val="0"/>
      <w:marTop w:val="0"/>
      <w:marBottom w:val="0"/>
      <w:divBdr>
        <w:top w:val="none" w:sz="0" w:space="0" w:color="auto"/>
        <w:left w:val="none" w:sz="0" w:space="0" w:color="auto"/>
        <w:bottom w:val="none" w:sz="0" w:space="0" w:color="auto"/>
        <w:right w:val="none" w:sz="0" w:space="0" w:color="auto"/>
      </w:divBdr>
    </w:div>
    <w:div w:id="1099832701">
      <w:bodyDiv w:val="1"/>
      <w:marLeft w:val="0"/>
      <w:marRight w:val="0"/>
      <w:marTop w:val="0"/>
      <w:marBottom w:val="0"/>
      <w:divBdr>
        <w:top w:val="none" w:sz="0" w:space="0" w:color="auto"/>
        <w:left w:val="none" w:sz="0" w:space="0" w:color="auto"/>
        <w:bottom w:val="none" w:sz="0" w:space="0" w:color="auto"/>
        <w:right w:val="none" w:sz="0" w:space="0" w:color="auto"/>
      </w:divBdr>
    </w:div>
    <w:div w:id="1168785385">
      <w:bodyDiv w:val="1"/>
      <w:marLeft w:val="0"/>
      <w:marRight w:val="0"/>
      <w:marTop w:val="0"/>
      <w:marBottom w:val="0"/>
      <w:divBdr>
        <w:top w:val="none" w:sz="0" w:space="0" w:color="auto"/>
        <w:left w:val="none" w:sz="0" w:space="0" w:color="auto"/>
        <w:bottom w:val="none" w:sz="0" w:space="0" w:color="auto"/>
        <w:right w:val="none" w:sz="0" w:space="0" w:color="auto"/>
      </w:divBdr>
    </w:div>
    <w:div w:id="1273319558">
      <w:bodyDiv w:val="1"/>
      <w:marLeft w:val="0"/>
      <w:marRight w:val="0"/>
      <w:marTop w:val="0"/>
      <w:marBottom w:val="0"/>
      <w:divBdr>
        <w:top w:val="none" w:sz="0" w:space="0" w:color="auto"/>
        <w:left w:val="none" w:sz="0" w:space="0" w:color="auto"/>
        <w:bottom w:val="none" w:sz="0" w:space="0" w:color="auto"/>
        <w:right w:val="none" w:sz="0" w:space="0" w:color="auto"/>
      </w:divBdr>
    </w:div>
    <w:div w:id="1393773271">
      <w:bodyDiv w:val="1"/>
      <w:marLeft w:val="0"/>
      <w:marRight w:val="0"/>
      <w:marTop w:val="0"/>
      <w:marBottom w:val="0"/>
      <w:divBdr>
        <w:top w:val="none" w:sz="0" w:space="0" w:color="auto"/>
        <w:left w:val="none" w:sz="0" w:space="0" w:color="auto"/>
        <w:bottom w:val="none" w:sz="0" w:space="0" w:color="auto"/>
        <w:right w:val="none" w:sz="0" w:space="0" w:color="auto"/>
      </w:divBdr>
    </w:div>
    <w:div w:id="172394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13636</Words>
  <Characters>77727</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Haley Vecchiarelli</cp:lastModifiedBy>
  <cp:revision>3</cp:revision>
  <dcterms:created xsi:type="dcterms:W3CDTF">2020-11-10T02:13:00Z</dcterms:created>
  <dcterms:modified xsi:type="dcterms:W3CDTF">2020-11-13T07:56:00Z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id="8ZPa5DNY"/&gt;&lt;style id="http://www.zotero.org/styles/biological-psychiatry" hasBibliography="1" bibliographyStyleHasBeenSet="1"/&gt;&lt;prefs&gt;&lt;pref name="fieldType" value="Field"/&gt;&lt;pref name="delayCitati</vt:lpwstr>
  </property>
  <property fmtid="{D5CDD505-2E9C-101B-9397-08002B2CF9AE}" pid="3" name="ZOTERO_PREF_2">
    <vt:lpwstr>onUpdates" value="true"/&gt;&lt;pref name="dontAskDelayCitationUpdates" value="true"/&gt;&lt;/prefs&gt;&lt;/data&gt;</vt:lpwstr>
  </property>
</Properties>
</file>