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DD6BAF" w14:textId="77777777" w:rsidR="00F338F3" w:rsidRDefault="00F338F3" w:rsidP="00F338F3">
      <w:pPr>
        <w:rPr>
          <w:rFonts w:ascii="Arial" w:hAnsi="Arial" w:cs="Arial"/>
          <w:lang w:val="en-US"/>
        </w:rPr>
      </w:pPr>
      <w:r w:rsidRPr="00DD02A4">
        <w:rPr>
          <w:rFonts w:ascii="Arial" w:hAnsi="Arial" w:cs="Arial"/>
          <w:lang w:val="en-US"/>
        </w:rPr>
        <w:t>Behavioral and molecular responses to exogenous cannabinoids during</w:t>
      </w:r>
      <w:r>
        <w:rPr>
          <w:rFonts w:ascii="Arial" w:hAnsi="Arial" w:cs="Arial"/>
          <w:lang w:val="en-US"/>
        </w:rPr>
        <w:t xml:space="preserve"> </w:t>
      </w:r>
      <w:r w:rsidRPr="00DD02A4">
        <w:rPr>
          <w:rFonts w:ascii="Arial" w:hAnsi="Arial" w:cs="Arial"/>
          <w:lang w:val="en-US"/>
        </w:rPr>
        <w:t>pentylenetetrazol - induced convulsions in male and female rats.</w:t>
      </w:r>
    </w:p>
    <w:p w14:paraId="4BC118B3" w14:textId="77777777" w:rsidR="00F338F3" w:rsidRDefault="00F338F3">
      <w:pPr>
        <w:rPr>
          <w:rFonts w:ascii="Arial" w:hAnsi="Arial" w:cs="Arial"/>
          <w:lang w:val="en-US"/>
        </w:rPr>
      </w:pPr>
    </w:p>
    <w:p w14:paraId="476C8851" w14:textId="42E44F40" w:rsidR="0013377E" w:rsidRPr="00AA127A" w:rsidRDefault="00EE11D9">
      <w:pPr>
        <w:rPr>
          <w:rFonts w:ascii="Arial" w:hAnsi="Arial" w:cs="Arial"/>
          <w:lang w:val="en-US"/>
        </w:rPr>
      </w:pPr>
      <w:r w:rsidRPr="00AA127A">
        <w:rPr>
          <w:rFonts w:ascii="Arial" w:hAnsi="Arial" w:cs="Arial"/>
          <w:lang w:val="en-US"/>
        </w:rPr>
        <w:t>Supplementary Methods</w:t>
      </w:r>
    </w:p>
    <w:p w14:paraId="02F71398" w14:textId="47F44A5A" w:rsidR="00EE11D9" w:rsidRPr="00AA127A" w:rsidRDefault="00EE11D9">
      <w:pPr>
        <w:rPr>
          <w:rFonts w:ascii="Arial" w:hAnsi="Arial" w:cs="Arial"/>
          <w:lang w:val="en-US"/>
        </w:rPr>
      </w:pPr>
    </w:p>
    <w:p w14:paraId="16C0DFD6" w14:textId="7F9491DA" w:rsidR="00EE11D9" w:rsidRPr="00AA127A" w:rsidRDefault="00EE11D9" w:rsidP="00EE11D9">
      <w:pPr>
        <w:rPr>
          <w:rFonts w:ascii="Arial" w:hAnsi="Arial" w:cs="Arial"/>
          <w:lang w:val="en-US"/>
        </w:rPr>
      </w:pPr>
      <w:r w:rsidRPr="007B2436">
        <w:rPr>
          <w:rFonts w:ascii="Arial" w:hAnsi="Arial" w:cs="Arial"/>
          <w:b/>
          <w:bCs/>
          <w:lang w:val="en-US"/>
        </w:rPr>
        <w:t>Behavioral evaluation</w:t>
      </w:r>
      <w:r w:rsidR="007B2436">
        <w:rPr>
          <w:rFonts w:ascii="Arial" w:hAnsi="Arial" w:cs="Arial"/>
          <w:lang w:val="en-US"/>
        </w:rPr>
        <w:t>.</w:t>
      </w:r>
      <w:r w:rsidRPr="00AA127A">
        <w:rPr>
          <w:rFonts w:ascii="Arial" w:hAnsi="Arial" w:cs="Arial"/>
          <w:lang w:val="en-US"/>
        </w:rPr>
        <w:t xml:space="preserve"> Grooming and locomotor activity. Grooming and locomotion activity were measured for 25 minutes, one hour after an injection of DMSO or WIN. Grooming was evaluated as the time spent by the animal performing repetitive paw strokes and body licking as has been established previously </w:t>
      </w:r>
      <w:r w:rsidRPr="00AA127A">
        <w:rPr>
          <w:rFonts w:ascii="Arial" w:hAnsi="Arial" w:cs="Arial"/>
          <w:lang w:val="en-US"/>
        </w:rPr>
        <w:fldChar w:fldCharType="begin" w:fldLock="1"/>
      </w:r>
      <w:r w:rsidRPr="00AA127A">
        <w:rPr>
          <w:rFonts w:ascii="Arial" w:hAnsi="Arial" w:cs="Arial"/>
          <w:lang w:val="en-US"/>
        </w:rPr>
        <w:instrText>ADDIN CSL_CITATION {"citationItems":[{"id":"ITEM-1","itemData":{"DOI":"10.1038/nrn.2015.8","ISSN":"14710048","PMID":"26675822","abstract":"Self-grooming is a complex innate behaviour with an evolutionarily conserved sequencing pattern and is one of the most frequently performed behavioural activities in rodents. In this Review, we discuss the neurobiology of rodent self-grooming, and we highlight studies of rodent models of neuropsychiatric disorders-including models of autism spectrum disorder and obsessive compulsive disorder-that have assessed self-grooming phenotypes. We suggest that rodent self-grooming may be a useful measure of repetitive behaviour in such models, and therefore of value to translational psychiatry. Assessment of rodent self-grooming may also be useful for understanding the neural circuits that are involved in complex sequential patterns of action.","author":[{"dropping-particle":"V.","family":"Kalueff","given":"Allan","non-dropping-particle":"","parse-names":false,"suffix":""},{"dropping-particle":"","family":"Stewart","given":"Adam Michael","non-dropping-particle":"","parse-names":false,"suffix":""},{"dropping-particle":"","family":"Song","given":"Cai","non-dropping-particle":"","parse-names":false,"suffix":""},{"dropping-particle":"","family":"Berridge","given":"Kent C.","non-dropping-particle":"","parse-names":false,"suffix":""},{"dropping-particle":"","family":"Graybiel","given":"Ann M.","non-dropping-particle":"","parse-names":false,"suffix":""},{"dropping-particle":"","family":"Fentress","given":"John C.","non-dropping-particle":"","parse-names":false,"suffix":""}],"container-title":"Nature Reviews Neuroscience","id":"ITEM-1","issue":"1","issued":{"date-parts":[["2016"]]},"page":"45-59","title":"Neurobiology of rodent self-grooming and its value for translational neuroscience","type":"article-journal","volume":"17"},"uris":["http://www.mendeley.com/documents/?uuid=b3cacb4d-4b9b-4264-9faa-5bf033a30e83"]}],"mendeley":{"formattedCitation":"(Kalueff et al., 2016)","plainTextFormattedCitation":"(Kalueff et al., 2016)","previouslyFormattedCitation":"(Kalueff et al., 2016)"},"properties":{"noteIndex":0},"schema":"https://github.com/citation-style-language/schema/raw/master/csl-citation.json"}</w:instrText>
      </w:r>
      <w:r w:rsidRPr="00AA127A">
        <w:rPr>
          <w:rFonts w:ascii="Arial" w:hAnsi="Arial" w:cs="Arial"/>
          <w:lang w:val="en-US"/>
        </w:rPr>
        <w:fldChar w:fldCharType="separate"/>
      </w:r>
      <w:r w:rsidRPr="00AA127A">
        <w:rPr>
          <w:rFonts w:ascii="Arial" w:hAnsi="Arial" w:cs="Arial"/>
          <w:noProof/>
          <w:lang w:val="en-US"/>
        </w:rPr>
        <w:t>(Kalueff et al., 2016)</w:t>
      </w:r>
      <w:r w:rsidRPr="00AA127A">
        <w:rPr>
          <w:rFonts w:ascii="Arial" w:hAnsi="Arial" w:cs="Arial"/>
          <w:lang w:val="en-US"/>
        </w:rPr>
        <w:fldChar w:fldCharType="end"/>
      </w:r>
      <w:r w:rsidRPr="00AA127A">
        <w:rPr>
          <w:rFonts w:ascii="Arial" w:hAnsi="Arial" w:cs="Arial"/>
          <w:lang w:val="en-US"/>
        </w:rPr>
        <w:t xml:space="preserve">. Locomotor activity was measured as the distance travelled and the time spent motionless during 25 min. Both measurements were performed offline using an animal tracking software, </w:t>
      </w:r>
      <w:proofErr w:type="spellStart"/>
      <w:r w:rsidRPr="00AA127A">
        <w:rPr>
          <w:rFonts w:ascii="Arial" w:hAnsi="Arial" w:cs="Arial"/>
          <w:lang w:val="en-US"/>
        </w:rPr>
        <w:t>ToxTrac</w:t>
      </w:r>
      <w:proofErr w:type="spellEnd"/>
      <w:r w:rsidRPr="00AA127A">
        <w:rPr>
          <w:rFonts w:ascii="Arial" w:hAnsi="Arial" w:cs="Arial"/>
          <w:lang w:val="en-US"/>
        </w:rPr>
        <w:t xml:space="preserve"> </w:t>
      </w:r>
      <w:r w:rsidRPr="00AA127A">
        <w:rPr>
          <w:rFonts w:ascii="Arial" w:hAnsi="Arial" w:cs="Arial"/>
          <w:lang w:val="en-US"/>
        </w:rPr>
        <w:fldChar w:fldCharType="begin" w:fldLock="1"/>
      </w:r>
      <w:r w:rsidRPr="00AA127A">
        <w:rPr>
          <w:rFonts w:ascii="Arial" w:hAnsi="Arial" w:cs="Arial"/>
          <w:lang w:val="en-US"/>
        </w:rPr>
        <w:instrText>ADDIN CSL_CITATION {"citationItems":[{"id":"ITEM-1","itemData":{"DOI":"10.1111/2041-210X.12874","ISSN":"2041210X","abstract":"Behavioural analysis based on video recording is becoming increasingly popular within research fields such as; ecology, medicine, ecotoxicology and toxicology. However, the programs available to analyse the data, which are free of cost, user-friendly, versatile, robust, fast and provide reliable statistics for different organisms (invertebrates, vertebrates and mammals) are significantly limited. We present an automated open-source executable software (ToxTrac) for image-based tracking that can simultaneously handle several organisms monitored in a laboratory environment. We compare the performance of ToxTrac with current accessible programs on the web. The main advantages of ToxTrac are as follows: (i) no specific knowledge of the geometry of the tracked bodies is needed; (ii) processing speed, ToxTrac can operate at a rate &gt;25 frames per second in HD videos using modern computers; (iii) simultaneous tracking of multiple organisms in multiple arenas; (iv) integrated distortion correction and camera calibration; (v) robust against false positives; (vi) preservation of individual identification; (vii) useful statistics and heat maps in real scale are exported in image, text and excel formats. ToxTrac can be used for high speed tracking of insects, fish, rodents or other species, and provides useful locomotor information in animal behavior experiments. Download ToxTrac here: https://toxtrac.sourceforge.io (Current version v2.61).","author":[{"dropping-particle":"","family":"Rodriguez","given":"Alvaro","non-dropping-particle":"","parse-names":false,"suffix":""},{"dropping-particle":"","family":"Zhang","given":"Hanqing","non-dropping-particle":"","parse-names":false,"suffix":""},{"dropping-particle":"","family":"Klaminder","given":"Jonatan","non-dropping-particle":"","parse-names":false,"suffix":""},{"dropping-particle":"","family":"Brodin","given":"Tomas","non-dropping-particle":"","parse-names":false,"suffix":""},{"dropping-particle":"","family":"Andersson","given":"Patrik L.","non-dropping-particle":"","parse-names":false,"suffix":""},{"dropping-particle":"","family":"Andersson","given":"Magnus","non-dropping-particle":"","parse-names":false,"suffix":""}],"container-title":"Methods in Ecology and Evolution","id":"ITEM-1","issue":"3","issued":{"date-parts":[["2018"]]},"page":"460-464","title":"ToxTrac: A fast and robust software for tracking organisms","type":"article-journal","volume":"9"},"uris":["http://www.mendeley.com/documents/?uuid=39e17337-3146-42de-b83f-3b95e3b8c935"]},{"id":"ITEM-2","itemData":{"DOI":"10.1038/s41598-017-15104-2","ISBN":"4159801715104","ISSN":"20452322","PMID":"29116122","abstract":"Video analysis of animal behaviour is widely used in fields such as ecology, ecotoxicology, and evolutionary research. However, when tracking multiple animals, occlusion and crossing are problematic, especially when the identity of each individual needs to be preserved. We present a new algorithm, ToxId, which preserves the identity of multiple animals by linking trajectory segments using their intensity histogram and Hu-moments. We verify the performance and accuracy of our algorithm using video sequences with different animals and experimental conditions. The results show that our algorithm achieves state-of-the-art accuracy using an efficient approach without the need of learning processes, complex feature maps or knowledge of the animal shape. ToxId is also computationally efficient, has low memory requirements, and operates without accessing future or past frames.","author":[{"dropping-particle":"","family":"Rodriguez","given":"Alvaro","non-dropping-particle":"","parse-names":false,"suffix":""},{"dropping-particle":"","family":"Zhang","given":"Hanqing","non-dropping-particle":"","parse-names":false,"suffix":""},{"dropping-particle":"","family":"Klaminder","given":"Jonatan","non-dropping-particle":"","parse-names":false,"suffix":""},{"dropping-particle":"","family":"Brodin","given":"Tomas","non-dropping-particle":"","parse-names":false,"suffix":""},{"dropping-particle":"","family":"Andersson","given":"Magnus","non-dropping-particle":"","parse-names":false,"suffix":""}],"container-title":"Scientific Reports","id":"ITEM-2","issue":"1","issued":{"date-parts":[["2017"]]},"page":"1-8","publisher":"Springer US","title":"ToxId: An efficient algorithm to solve occlusions when tracking multiple animals","type":"article-journal","volume":"7"},"uris":["http://www.mendeley.com/documents/?uuid=22077b49-c09f-4e1e-8f47-3e488978bf58"]}],"mendeley":{"formattedCitation":"(Rodriguez et al., 2018, 2017)","plainTextFormattedCitation":"(Rodriguez et al., 2018, 2017)","previouslyFormattedCitation":"(Rodriguez et al., 2018, 2017)"},"properties":{"noteIndex":0},"schema":"https://github.com/citation-style-language/schema/raw/master/csl-citation.json"}</w:instrText>
      </w:r>
      <w:r w:rsidRPr="00AA127A">
        <w:rPr>
          <w:rFonts w:ascii="Arial" w:hAnsi="Arial" w:cs="Arial"/>
          <w:lang w:val="en-US"/>
        </w:rPr>
        <w:fldChar w:fldCharType="separate"/>
      </w:r>
      <w:r w:rsidRPr="00AA127A">
        <w:rPr>
          <w:rFonts w:ascii="Arial" w:hAnsi="Arial" w:cs="Arial"/>
          <w:noProof/>
          <w:lang w:val="en-US"/>
        </w:rPr>
        <w:t>(Rodriguez et al., 2018, 2017)</w:t>
      </w:r>
      <w:r w:rsidRPr="00AA127A">
        <w:rPr>
          <w:rFonts w:ascii="Arial" w:hAnsi="Arial" w:cs="Arial"/>
          <w:lang w:val="en-US"/>
        </w:rPr>
        <w:fldChar w:fldCharType="end"/>
      </w:r>
      <w:r w:rsidRPr="00AA127A">
        <w:rPr>
          <w:rFonts w:ascii="Arial" w:hAnsi="Arial" w:cs="Arial"/>
          <w:lang w:val="en-US"/>
        </w:rPr>
        <w:t xml:space="preserve">. </w:t>
      </w:r>
    </w:p>
    <w:p w14:paraId="01D5286E" w14:textId="6C22F005" w:rsidR="00EE11D9" w:rsidRPr="00AA127A" w:rsidRDefault="00EE11D9">
      <w:pPr>
        <w:rPr>
          <w:rFonts w:ascii="Arial" w:hAnsi="Arial" w:cs="Arial"/>
          <w:lang w:val="en-US"/>
        </w:rPr>
      </w:pPr>
    </w:p>
    <w:p w14:paraId="135ED8F2" w14:textId="78E69767" w:rsidR="00EE11D9" w:rsidRPr="00AA127A" w:rsidRDefault="00EE11D9">
      <w:pPr>
        <w:rPr>
          <w:rFonts w:ascii="Arial" w:hAnsi="Arial" w:cs="Arial"/>
          <w:lang w:val="en-US"/>
        </w:rPr>
      </w:pPr>
      <w:r w:rsidRPr="007B2436">
        <w:rPr>
          <w:rFonts w:ascii="Arial" w:hAnsi="Arial" w:cs="Arial"/>
          <w:b/>
          <w:bCs/>
          <w:lang w:val="en-US"/>
        </w:rPr>
        <w:t>Injection Protocol</w:t>
      </w:r>
      <w:r w:rsidRPr="00AA127A">
        <w:rPr>
          <w:rFonts w:ascii="Arial" w:hAnsi="Arial" w:cs="Arial"/>
          <w:lang w:val="en-US"/>
        </w:rPr>
        <w:t xml:space="preserve">. Additional to the injections described in the “Methods” section of the paper, a </w:t>
      </w:r>
      <w:r w:rsidR="00B44EA3">
        <w:rPr>
          <w:rFonts w:ascii="Arial" w:hAnsi="Arial" w:cs="Arial"/>
          <w:lang w:val="en-US"/>
        </w:rPr>
        <w:t xml:space="preserve">small </w:t>
      </w:r>
      <w:r w:rsidRPr="00AA127A">
        <w:rPr>
          <w:rFonts w:ascii="Arial" w:hAnsi="Arial" w:cs="Arial"/>
          <w:lang w:val="en-US"/>
        </w:rPr>
        <w:t xml:space="preserve">group of animals received an initial </w:t>
      </w:r>
      <w:proofErr w:type="spellStart"/>
      <w:r w:rsidRPr="00AA127A">
        <w:rPr>
          <w:rFonts w:ascii="Arial" w:hAnsi="Arial" w:cs="Arial"/>
          <w:lang w:val="en-US"/>
        </w:rPr>
        <w:t>i.p.</w:t>
      </w:r>
      <w:proofErr w:type="spellEnd"/>
      <w:r w:rsidRPr="00AA127A">
        <w:rPr>
          <w:rFonts w:ascii="Arial" w:hAnsi="Arial" w:cs="Arial"/>
          <w:lang w:val="en-US"/>
        </w:rPr>
        <w:t xml:space="preserve"> injection of the CB1R antagonist AM251 (“AM251+WIN+PTZ” group) at 1mg/kg 30 min before the WIN injection, to corroborate that the observed results are due to CB1R activation. </w:t>
      </w:r>
    </w:p>
    <w:p w14:paraId="6F0F26F3" w14:textId="77777777" w:rsidR="00EE11D9" w:rsidRPr="00AA127A" w:rsidRDefault="00EE11D9">
      <w:pPr>
        <w:rPr>
          <w:rFonts w:ascii="Arial" w:hAnsi="Arial" w:cs="Arial"/>
          <w:lang w:val="en-US"/>
        </w:rPr>
      </w:pPr>
    </w:p>
    <w:p w14:paraId="6D91EE04" w14:textId="77777777" w:rsidR="00EE11D9" w:rsidRPr="00AA127A" w:rsidRDefault="00EE11D9" w:rsidP="00EE11D9">
      <w:pPr>
        <w:rPr>
          <w:rFonts w:ascii="Arial" w:hAnsi="Arial" w:cs="Arial"/>
          <w:lang w:val="en-US"/>
        </w:rPr>
      </w:pPr>
      <w:r w:rsidRPr="007B2436">
        <w:rPr>
          <w:rFonts w:ascii="Arial" w:hAnsi="Arial" w:cs="Arial"/>
          <w:b/>
          <w:bCs/>
          <w:lang w:val="en-US"/>
        </w:rPr>
        <w:t>Estrous cycle determination</w:t>
      </w:r>
      <w:r w:rsidRPr="00AA127A">
        <w:rPr>
          <w:rFonts w:ascii="Arial" w:hAnsi="Arial" w:cs="Arial"/>
          <w:lang w:val="en-US"/>
        </w:rPr>
        <w:t>. To establish the stage of the estrous cycle in females</w:t>
      </w:r>
    </w:p>
    <w:p w14:paraId="1265016C" w14:textId="77777777" w:rsidR="00EE11D9" w:rsidRPr="00AA127A" w:rsidRDefault="00EE11D9" w:rsidP="00EE11D9">
      <w:pPr>
        <w:rPr>
          <w:rFonts w:ascii="Arial" w:hAnsi="Arial" w:cs="Arial"/>
          <w:lang w:val="en-US"/>
        </w:rPr>
      </w:pPr>
      <w:r w:rsidRPr="00AA127A">
        <w:rPr>
          <w:rFonts w:ascii="Arial" w:hAnsi="Arial" w:cs="Arial"/>
          <w:lang w:val="en-US"/>
        </w:rPr>
        <w:t xml:space="preserve">vaginal smears were analyzed as previously described </w:t>
      </w:r>
      <w:r w:rsidRPr="00AA127A">
        <w:rPr>
          <w:rFonts w:ascii="Arial" w:hAnsi="Arial" w:cs="Arial"/>
          <w:lang w:val="en-US"/>
        </w:rPr>
        <w:fldChar w:fldCharType="begin" w:fldLock="1"/>
      </w:r>
      <w:r w:rsidRPr="00AA127A">
        <w:rPr>
          <w:rFonts w:ascii="Arial" w:hAnsi="Arial" w:cs="Arial"/>
          <w:lang w:val="en-US"/>
        </w:rPr>
        <w:instrText>ADDIN CSL_CITATION {"citationItems":[{"id":"ITEM-1","itemData":{"DOI":"10.1002/bdrb.20106","ISSN":"15429733","PMID":"17342777","abstract":"While an evaluation of the estrous cycle in laboratory rodents can be a useful measure of the integrity of the hypothalamic-pituitary-ovarian reproductive axis, it can also serve as a way of insuring that animals exhibiting abnormal cycling patterns are disincluded from a study prior to exposure to a test compound. Assessment of vaginal cytology in regularly cycling animals also provides a means to establish a comparable endocrine milieu for animals at necropsy. The procedure for obtaining a vaginal smear is relatively non-invasive and is one to which animals can become readily accustomed. It requires few supplies, and with some experience the assessments can be easily performed in fresh, unstained smears, or in fixed, stained ones. When incorporated as an adjunct to other endpoint measures, a determination of a female's cycling status can contribute important information about the nature of a toxicant insult to the reproductive system. In doing so, it can help to integrate the data into a more comprehensive mechanistic portrait of the effect, and in terms of risk assessment, may provide some indication of a toxicant's impact on human reproductive physiology.","author":[{"dropping-particle":"","family":"Goldman","given":"Jerome M.","non-dropping-particle":"","parse-names":false,"suffix":""},{"dropping-particle":"","family":"Murr","given":"Ashley S.","non-dropping-particle":"","parse-names":false,"suffix":""},{"dropping-particle":"","family":"Cooper","given":"Ralph L.","non-dropping-particle":"","parse-names":false,"suffix":""}],"container-title":"Birth Defects Research Part B - Developmental and Reproductive Toxicology","id":"ITEM-1","issue":"2","issued":{"date-parts":[["2007"]]},"page":"84-97","title":"The rodent estrous cycle: Characterization of vaginal cytology and its utility in toxicological studies","type":"article-journal","volume":"80"},"uris":["http://www.mendeley.com/documents/?uuid=c473c75c-dcc5-42d6-b428-8f57817cab56"]}],"mendeley":{"formattedCitation":"(Goldman et al., 2007)","plainTextFormattedCitation":"(Goldman et al., 2007)","previouslyFormattedCitation":"(Goldman et al., 2007)"},"properties":{"noteIndex":0},"schema":"https://github.com/citation-style-language/schema/raw/master/csl-citation.json"}</w:instrText>
      </w:r>
      <w:r w:rsidRPr="00AA127A">
        <w:rPr>
          <w:rFonts w:ascii="Arial" w:hAnsi="Arial" w:cs="Arial"/>
          <w:lang w:val="en-US"/>
        </w:rPr>
        <w:fldChar w:fldCharType="separate"/>
      </w:r>
      <w:r w:rsidRPr="00AA127A">
        <w:rPr>
          <w:rFonts w:ascii="Arial" w:hAnsi="Arial" w:cs="Arial"/>
          <w:noProof/>
          <w:lang w:val="en-US"/>
        </w:rPr>
        <w:t>(Goldman et al., 2007)</w:t>
      </w:r>
      <w:r w:rsidRPr="00AA127A">
        <w:rPr>
          <w:rFonts w:ascii="Arial" w:hAnsi="Arial" w:cs="Arial"/>
          <w:lang w:val="en-US"/>
        </w:rPr>
        <w:fldChar w:fldCharType="end"/>
      </w:r>
      <w:r w:rsidRPr="00AA127A">
        <w:rPr>
          <w:rFonts w:ascii="Arial" w:hAnsi="Arial" w:cs="Arial"/>
          <w:lang w:val="en-US"/>
        </w:rPr>
        <w:t>. Only distinct stages (</w:t>
      </w:r>
      <w:proofErr w:type="gramStart"/>
      <w:r w:rsidRPr="00AA127A">
        <w:rPr>
          <w:rFonts w:ascii="Arial" w:hAnsi="Arial" w:cs="Arial"/>
          <w:lang w:val="en-US"/>
        </w:rPr>
        <w:t>e.g.</w:t>
      </w:r>
      <w:proofErr w:type="gramEnd"/>
      <w:r w:rsidRPr="00AA127A">
        <w:rPr>
          <w:rFonts w:ascii="Arial" w:hAnsi="Arial" w:cs="Arial"/>
          <w:lang w:val="en-US"/>
        </w:rPr>
        <w:t xml:space="preserve"> estrus) were considered, not mixed ones (e.g. estrus/proestrus).</w:t>
      </w:r>
    </w:p>
    <w:p w14:paraId="26878BB1" w14:textId="629BA5DD" w:rsidR="00EE11D9" w:rsidRPr="00AA127A" w:rsidRDefault="00EE11D9">
      <w:pPr>
        <w:rPr>
          <w:rFonts w:ascii="Arial" w:hAnsi="Arial" w:cs="Arial"/>
          <w:lang w:val="en-US"/>
        </w:rPr>
      </w:pPr>
    </w:p>
    <w:p w14:paraId="0836FF88" w14:textId="4A6C4286" w:rsidR="00DA2CC3" w:rsidRPr="00AA127A" w:rsidRDefault="00DA2CC3">
      <w:pPr>
        <w:rPr>
          <w:rFonts w:ascii="Arial" w:hAnsi="Arial" w:cs="Arial"/>
          <w:lang w:val="en-US"/>
        </w:rPr>
      </w:pPr>
      <w:r w:rsidRPr="007B2436">
        <w:rPr>
          <w:rFonts w:ascii="Arial" w:hAnsi="Arial" w:cs="Arial"/>
          <w:b/>
          <w:bCs/>
          <w:lang w:val="en-US"/>
        </w:rPr>
        <w:t>Western Blots</w:t>
      </w:r>
      <w:r w:rsidR="007B2436">
        <w:rPr>
          <w:rFonts w:ascii="Arial" w:hAnsi="Arial" w:cs="Arial"/>
          <w:lang w:val="en-US"/>
        </w:rPr>
        <w:t>.</w:t>
      </w:r>
      <w:r w:rsidR="00ED71DA" w:rsidRPr="00AA127A">
        <w:rPr>
          <w:rFonts w:ascii="Arial" w:hAnsi="Arial" w:cs="Arial"/>
          <w:lang w:val="en-US"/>
        </w:rPr>
        <w:t xml:space="preserve"> To evaluate the success of</w:t>
      </w:r>
      <w:r w:rsidR="00B014B0" w:rsidRPr="00AA127A">
        <w:rPr>
          <w:rFonts w:ascii="Arial" w:hAnsi="Arial" w:cs="Arial"/>
          <w:lang w:val="en-US"/>
        </w:rPr>
        <w:t xml:space="preserve"> our cellular fractioning method (see “Methods” on the main paper), </w:t>
      </w:r>
      <w:r w:rsidR="00ED71DA" w:rsidRPr="00AA127A">
        <w:rPr>
          <w:rFonts w:ascii="Arial" w:hAnsi="Arial" w:cs="Arial"/>
          <w:lang w:val="en-US"/>
        </w:rPr>
        <w:t>we examined the intensity of the membrane bound protein N-cadherin and the cis-Golgi matrix protein GM130 in our “membrane” and “cytoplasmic” partitions. As expected, we observed higher levels of N-cadherin in our membrane fraction compared to the cytoplasm fraction (</w:t>
      </w:r>
      <w:r w:rsidR="00ED71DA" w:rsidRPr="00AA127A">
        <w:rPr>
          <w:rFonts w:ascii="Arial" w:hAnsi="Arial" w:cs="Arial"/>
          <w:b/>
          <w:bCs/>
          <w:lang w:val="en-US"/>
        </w:rPr>
        <w:t>Figure 3A, 3</w:t>
      </w:r>
      <w:proofErr w:type="gramStart"/>
      <w:r w:rsidR="00ED71DA" w:rsidRPr="00AA127A">
        <w:rPr>
          <w:rFonts w:ascii="Arial" w:hAnsi="Arial" w:cs="Arial"/>
          <w:b/>
          <w:bCs/>
          <w:lang w:val="en-US"/>
        </w:rPr>
        <w:t>B</w:t>
      </w:r>
      <w:r w:rsidR="00ED71DA" w:rsidRPr="00AA127A">
        <w:rPr>
          <w:rFonts w:ascii="Arial" w:hAnsi="Arial" w:cs="Arial"/>
          <w:lang w:val="en-US"/>
        </w:rPr>
        <w:t>)(</w:t>
      </w:r>
      <w:proofErr w:type="gramEnd"/>
      <w:r w:rsidR="00ED71DA" w:rsidRPr="001C4EC1">
        <w:rPr>
          <w:rFonts w:ascii="Arial" w:hAnsi="Arial" w:cs="Arial"/>
          <w:b/>
          <w:bCs/>
          <w:lang w:val="en-US"/>
        </w:rPr>
        <w:t>Suppl. Table 3</w:t>
      </w:r>
      <w:r w:rsidR="00ED71DA" w:rsidRPr="00AA127A">
        <w:rPr>
          <w:rFonts w:ascii="Arial" w:hAnsi="Arial" w:cs="Arial"/>
          <w:lang w:val="en-US"/>
        </w:rPr>
        <w:t>). We also obtained higher levels of GM130 in our membrane fraction, which suggests that membrane-bound proteins from internal organelles were also part of our membrane fraction (</w:t>
      </w:r>
      <w:r w:rsidR="00ED71DA" w:rsidRPr="00AA127A">
        <w:rPr>
          <w:rFonts w:ascii="Arial" w:hAnsi="Arial" w:cs="Arial"/>
          <w:b/>
          <w:bCs/>
          <w:lang w:val="en-US"/>
        </w:rPr>
        <w:t>Figure 3A, 3</w:t>
      </w:r>
      <w:proofErr w:type="gramStart"/>
      <w:r w:rsidR="00ED71DA" w:rsidRPr="00AA127A">
        <w:rPr>
          <w:rFonts w:ascii="Arial" w:hAnsi="Arial" w:cs="Arial"/>
          <w:b/>
          <w:bCs/>
          <w:lang w:val="en-US"/>
        </w:rPr>
        <w:t>C</w:t>
      </w:r>
      <w:r w:rsidR="00ED71DA" w:rsidRPr="00AA127A">
        <w:rPr>
          <w:rFonts w:ascii="Arial" w:hAnsi="Arial" w:cs="Arial"/>
          <w:lang w:val="en-US"/>
        </w:rPr>
        <w:t>)(</w:t>
      </w:r>
      <w:proofErr w:type="gramEnd"/>
      <w:r w:rsidR="00ED71DA" w:rsidRPr="001C4EC1">
        <w:rPr>
          <w:rFonts w:ascii="Arial" w:hAnsi="Arial" w:cs="Arial"/>
          <w:b/>
          <w:bCs/>
          <w:lang w:val="en-US"/>
        </w:rPr>
        <w:t>Suppl. Table 3</w:t>
      </w:r>
      <w:r w:rsidR="00ED71DA" w:rsidRPr="00AA127A">
        <w:rPr>
          <w:rFonts w:ascii="Arial" w:hAnsi="Arial" w:cs="Arial"/>
          <w:lang w:val="en-US"/>
        </w:rPr>
        <w:t xml:space="preserve">). Tubulin was used as the loading control protein, as, despite being a cytoplasmatic protein, it has a strong associations with plasmatic and organelle membranes </w:t>
      </w:r>
      <w:r w:rsidR="00ED71DA" w:rsidRPr="00AA127A">
        <w:rPr>
          <w:rFonts w:ascii="Arial" w:hAnsi="Arial" w:cs="Arial"/>
          <w:lang w:val="en-US"/>
        </w:rPr>
        <w:fldChar w:fldCharType="begin" w:fldLock="1"/>
      </w:r>
      <w:r w:rsidR="00ED71DA" w:rsidRPr="00AA127A">
        <w:rPr>
          <w:rFonts w:ascii="Arial" w:hAnsi="Arial" w:cs="Arial"/>
          <w:lang w:val="en-US"/>
        </w:rPr>
        <w:instrText>ADDIN CSL_CITATION {"citationItems":[{"id":"ITEM-1","itemData":{"DOI":"10.1016/j.bbamem.2009.03.013","ISSN":"00052736","PMID":"19328773","abstract":"The association of tubulin with the plasma membrane comprises multiple levels of penetration into the bilayer: from integral membrane protein, to attachment via palmitoylation, to surface binding, and to microtubules attached by linker proteins to proteins in the membrane. Here we discuss the soundness and weaknesses of the chemical and biochemical evidence marshaled to support these associations, as well as the mechanisms by which tubulin or microtubules may regulate functions at the plasma membrane.","author":[{"dropping-particle":"","family":"Wolff","given":"J.","non-dropping-particle":"","parse-names":false,"suffix":""}],"container-title":"Biochimica et Biophysica Acta - Biomembranes","id":"ITEM-1","issue":"7","issued":{"date-parts":[["2009"]]},"page":"1415-1433","publisher":"Elsevier B.V.","title":"Plasma membrane tubulin","type":"article-journal","volume":"1788"},"uris":["http://www.mendeley.com/documents/?uuid=ded6e1df-2f36-4aa3-8667-9fd74ac4da40"]}],"mendeley":{"formattedCitation":"(Wolff, 2009)","plainTextFormattedCitation":"(Wolff, 2009)","previouslyFormattedCitation":"(Wolff, 2009)"},"properties":{"noteIndex":0},"schema":"https://github.com/citation-style-language/schema/raw/master/csl-citation.json"}</w:instrText>
      </w:r>
      <w:r w:rsidR="00ED71DA" w:rsidRPr="00AA127A">
        <w:rPr>
          <w:rFonts w:ascii="Arial" w:hAnsi="Arial" w:cs="Arial"/>
          <w:lang w:val="en-US"/>
        </w:rPr>
        <w:fldChar w:fldCharType="separate"/>
      </w:r>
      <w:r w:rsidR="00ED71DA" w:rsidRPr="00AA127A">
        <w:rPr>
          <w:rFonts w:ascii="Arial" w:hAnsi="Arial" w:cs="Arial"/>
          <w:noProof/>
          <w:lang w:val="en-US"/>
        </w:rPr>
        <w:t>(Wolff, 2009)</w:t>
      </w:r>
      <w:r w:rsidR="00ED71DA" w:rsidRPr="00AA127A">
        <w:rPr>
          <w:rFonts w:ascii="Arial" w:hAnsi="Arial" w:cs="Arial"/>
          <w:lang w:val="en-US"/>
        </w:rPr>
        <w:fldChar w:fldCharType="end"/>
      </w:r>
      <w:r w:rsidR="00ED71DA" w:rsidRPr="00AA127A">
        <w:rPr>
          <w:rFonts w:ascii="Arial" w:hAnsi="Arial" w:cs="Arial"/>
          <w:lang w:val="en-US"/>
        </w:rPr>
        <w:t>.</w:t>
      </w:r>
      <w:r w:rsidR="003A0540" w:rsidRPr="00AA127A">
        <w:rPr>
          <w:rFonts w:ascii="Arial" w:hAnsi="Arial" w:cs="Arial"/>
          <w:lang w:val="en-US"/>
        </w:rPr>
        <w:t xml:space="preserve"> Our results indicate our “membrane” fraction was enriched in membrane-bound proteins from the plasmatic membrane but also contained intracellular membranes, though we cannot rule out some contamination from cytoplasmic proteins, or, conversely, of membrane-bound proteins (</w:t>
      </w:r>
      <w:proofErr w:type="gramStart"/>
      <w:r w:rsidR="003A0540" w:rsidRPr="00AA127A">
        <w:rPr>
          <w:rFonts w:ascii="Arial" w:hAnsi="Arial" w:cs="Arial"/>
          <w:lang w:val="en-US"/>
        </w:rPr>
        <w:t>e.g.</w:t>
      </w:r>
      <w:proofErr w:type="gramEnd"/>
      <w:r w:rsidR="003A0540" w:rsidRPr="00AA127A">
        <w:rPr>
          <w:rFonts w:ascii="Arial" w:hAnsi="Arial" w:cs="Arial"/>
          <w:lang w:val="en-US"/>
        </w:rPr>
        <w:t xml:space="preserve"> from small organelles or vesicles) in the cytoplasmic fraction.</w:t>
      </w:r>
    </w:p>
    <w:p w14:paraId="67366FFD" w14:textId="2E732031" w:rsidR="00461161" w:rsidRPr="00AA127A" w:rsidRDefault="00461161">
      <w:pPr>
        <w:rPr>
          <w:rFonts w:ascii="Arial" w:hAnsi="Arial" w:cs="Arial"/>
          <w:lang w:val="en-US"/>
        </w:rPr>
      </w:pPr>
    </w:p>
    <w:p w14:paraId="11A6C521" w14:textId="540C14B6" w:rsidR="00461161" w:rsidRPr="00AA127A" w:rsidRDefault="00461161">
      <w:pPr>
        <w:rPr>
          <w:rFonts w:ascii="Arial" w:hAnsi="Arial" w:cs="Arial"/>
          <w:lang w:val="en-US"/>
        </w:rPr>
      </w:pPr>
    </w:p>
    <w:p w14:paraId="6E83623B" w14:textId="415C62A7" w:rsidR="00982776" w:rsidRPr="00AA127A" w:rsidRDefault="00982776">
      <w:pPr>
        <w:rPr>
          <w:rFonts w:ascii="Arial" w:hAnsi="Arial" w:cs="Arial"/>
          <w:lang w:val="en-US"/>
        </w:rPr>
      </w:pPr>
    </w:p>
    <w:p w14:paraId="754CD12E" w14:textId="77777777" w:rsidR="00C32666" w:rsidRPr="00AA127A" w:rsidRDefault="00C32666">
      <w:pPr>
        <w:rPr>
          <w:rFonts w:ascii="Arial" w:hAnsi="Arial" w:cs="Arial"/>
          <w:lang w:val="en-US"/>
        </w:rPr>
      </w:pPr>
    </w:p>
    <w:sectPr w:rsidR="00C32666" w:rsidRPr="00AA127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926"/>
    <w:rsid w:val="00020415"/>
    <w:rsid w:val="00021E92"/>
    <w:rsid w:val="0008610C"/>
    <w:rsid w:val="0013377E"/>
    <w:rsid w:val="001377FE"/>
    <w:rsid w:val="001C4EC1"/>
    <w:rsid w:val="002B669D"/>
    <w:rsid w:val="00302F60"/>
    <w:rsid w:val="00363D79"/>
    <w:rsid w:val="00395E80"/>
    <w:rsid w:val="003A0540"/>
    <w:rsid w:val="003E4AE4"/>
    <w:rsid w:val="00407BBF"/>
    <w:rsid w:val="004308E1"/>
    <w:rsid w:val="00461161"/>
    <w:rsid w:val="00496FE9"/>
    <w:rsid w:val="004E3F8F"/>
    <w:rsid w:val="00532C22"/>
    <w:rsid w:val="0054219D"/>
    <w:rsid w:val="005B6312"/>
    <w:rsid w:val="005B6926"/>
    <w:rsid w:val="005E474A"/>
    <w:rsid w:val="005F12A0"/>
    <w:rsid w:val="00623B8F"/>
    <w:rsid w:val="006825B2"/>
    <w:rsid w:val="006A5BA5"/>
    <w:rsid w:val="006F76E1"/>
    <w:rsid w:val="00757FCC"/>
    <w:rsid w:val="007B2436"/>
    <w:rsid w:val="00804681"/>
    <w:rsid w:val="00870176"/>
    <w:rsid w:val="008C4705"/>
    <w:rsid w:val="008E435E"/>
    <w:rsid w:val="00940D19"/>
    <w:rsid w:val="00955762"/>
    <w:rsid w:val="00982776"/>
    <w:rsid w:val="009A20DF"/>
    <w:rsid w:val="00A36906"/>
    <w:rsid w:val="00A82130"/>
    <w:rsid w:val="00AA127A"/>
    <w:rsid w:val="00AC0815"/>
    <w:rsid w:val="00B014B0"/>
    <w:rsid w:val="00B44EA3"/>
    <w:rsid w:val="00B726F5"/>
    <w:rsid w:val="00BB2BA4"/>
    <w:rsid w:val="00BC4CE4"/>
    <w:rsid w:val="00C32666"/>
    <w:rsid w:val="00C4028C"/>
    <w:rsid w:val="00C9718F"/>
    <w:rsid w:val="00CB3B3C"/>
    <w:rsid w:val="00CC467E"/>
    <w:rsid w:val="00CE1AFB"/>
    <w:rsid w:val="00D01A0F"/>
    <w:rsid w:val="00D940E7"/>
    <w:rsid w:val="00DA2CC3"/>
    <w:rsid w:val="00E17B46"/>
    <w:rsid w:val="00E360A9"/>
    <w:rsid w:val="00E54646"/>
    <w:rsid w:val="00E775A9"/>
    <w:rsid w:val="00E97D75"/>
    <w:rsid w:val="00EB0C24"/>
    <w:rsid w:val="00ED71DA"/>
    <w:rsid w:val="00EE11D9"/>
    <w:rsid w:val="00F31A99"/>
    <w:rsid w:val="00F338F3"/>
    <w:rsid w:val="00F46C7E"/>
    <w:rsid w:val="00F50C02"/>
    <w:rsid w:val="00F9592E"/>
    <w:rsid w:val="00FC5818"/>
    <w:rsid w:val="00FE0F01"/>
  </w:rsids>
  <m:mathPr>
    <m:mathFont m:val="Cambria Math"/>
    <m:brkBin m:val="before"/>
    <m:brkBinSub m:val="--"/>
    <m:smallFrac m:val="0"/>
    <m:dispDef/>
    <m:lMargin m:val="0"/>
    <m:rMargin m:val="0"/>
    <m:defJc m:val="centerGroup"/>
    <m:wrapIndent m:val="1440"/>
    <m:intLim m:val="subSup"/>
    <m:naryLim m:val="undOvr"/>
  </m:mathPr>
  <w:themeFontLang w:val="en-CL"/>
  <w:clrSchemeMapping w:bg1="light1" w:t1="dark1" w:bg2="light2" w:t2="dark2" w:accent1="accent1" w:accent2="accent2" w:accent3="accent3" w:accent4="accent4" w:accent5="accent5" w:accent6="accent6" w:hyperlink="hyperlink" w:followedHyperlink="followedHyperlink"/>
  <w:decimalSymbol w:val="."/>
  <w:listSeparator w:val=","/>
  <w14:docId w14:val="5454FF03"/>
  <w15:chartTrackingRefBased/>
  <w15:docId w15:val="{FEE0575D-9016-7340-B374-30DD81ABA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2001</Words>
  <Characters>11408</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L</dc:creator>
  <cp:keywords/>
  <dc:description/>
  <cp:lastModifiedBy>C L</cp:lastModifiedBy>
  <cp:revision>6</cp:revision>
  <dcterms:created xsi:type="dcterms:W3CDTF">2022-05-23T12:51:00Z</dcterms:created>
  <dcterms:modified xsi:type="dcterms:W3CDTF">2022-05-26T06:48:00Z</dcterms:modified>
</cp:coreProperties>
</file>