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74D2B" w14:textId="4DAA538F" w:rsidR="00C9013B" w:rsidRPr="00D6301C" w:rsidRDefault="00C9013B" w:rsidP="00570432">
      <w:pPr>
        <w:spacing w:after="120" w:line="276" w:lineRule="auto"/>
        <w:rPr>
          <w:b/>
          <w:bCs/>
          <w:lang w:val="en-GB"/>
        </w:rPr>
      </w:pPr>
      <w:r w:rsidRPr="00D6301C">
        <w:rPr>
          <w:b/>
          <w:bCs/>
          <w:lang w:val="en-GB"/>
        </w:rPr>
        <w:t>Supplementary Methods</w:t>
      </w:r>
    </w:p>
    <w:p w14:paraId="59EA1478" w14:textId="345F5973" w:rsidR="00C9013B" w:rsidRPr="00D6301C" w:rsidRDefault="00C9013B" w:rsidP="00177195">
      <w:pPr>
        <w:spacing w:after="0" w:line="276" w:lineRule="auto"/>
        <w:rPr>
          <w:i/>
          <w:iCs/>
          <w:u w:val="single"/>
          <w:lang w:val="en-GB"/>
        </w:rPr>
      </w:pPr>
      <w:r w:rsidRPr="00D6301C">
        <w:rPr>
          <w:i/>
          <w:iCs/>
          <w:u w:val="single"/>
          <w:lang w:val="en-GB"/>
        </w:rPr>
        <w:t>Animals</w:t>
      </w:r>
    </w:p>
    <w:p w14:paraId="6220CCFE" w14:textId="572FFA79" w:rsidR="006B3685" w:rsidRPr="00D6301C" w:rsidRDefault="00C9013B" w:rsidP="00570432">
      <w:pPr>
        <w:spacing w:after="40" w:line="276" w:lineRule="auto"/>
        <w:jc w:val="both"/>
        <w:rPr>
          <w:lang w:val="en-GB"/>
        </w:rPr>
      </w:pPr>
      <w:r w:rsidRPr="00D6301C">
        <w:rPr>
          <w:lang w:val="en-GB"/>
        </w:rPr>
        <w:t xml:space="preserve">A total of </w:t>
      </w:r>
      <w:r w:rsidR="009444AE" w:rsidRPr="00D6301C">
        <w:rPr>
          <w:lang w:val="en-GB"/>
        </w:rPr>
        <w:t>2</w:t>
      </w:r>
      <w:r w:rsidR="00820966" w:rsidRPr="00D6301C">
        <w:rPr>
          <w:lang w:val="en-GB"/>
        </w:rPr>
        <w:t>4</w:t>
      </w:r>
      <w:r w:rsidR="009444AE" w:rsidRPr="00D6301C">
        <w:rPr>
          <w:lang w:val="en-GB"/>
        </w:rPr>
        <w:t xml:space="preserve"> </w:t>
      </w:r>
      <w:r w:rsidRPr="00D6301C">
        <w:rPr>
          <w:lang w:val="en-GB"/>
        </w:rPr>
        <w:t>adult Sprague-Dawley rats (</w:t>
      </w:r>
      <w:r w:rsidR="009444AE" w:rsidRPr="00D6301C">
        <w:rPr>
          <w:lang w:val="en-GB"/>
        </w:rPr>
        <w:t>MIA</w:t>
      </w:r>
      <w:r w:rsidR="00244CCF" w:rsidRPr="00D6301C">
        <w:rPr>
          <w:lang w:val="en-GB"/>
        </w:rPr>
        <w:t>: n=8</w:t>
      </w:r>
      <w:r w:rsidR="009444AE" w:rsidRPr="00D6301C">
        <w:rPr>
          <w:lang w:val="en-GB"/>
        </w:rPr>
        <w:t xml:space="preserve"> males, n=7</w:t>
      </w:r>
      <w:r w:rsidR="00244CCF" w:rsidRPr="00D6301C">
        <w:rPr>
          <w:lang w:val="en-GB"/>
        </w:rPr>
        <w:t xml:space="preserve"> females</w:t>
      </w:r>
      <w:r w:rsidR="005B5A53" w:rsidRPr="00D6301C">
        <w:rPr>
          <w:lang w:val="en-GB"/>
        </w:rPr>
        <w:t>; Sham: n=6 males, n=3 females</w:t>
      </w:r>
      <w:r w:rsidRPr="00D6301C">
        <w:rPr>
          <w:lang w:val="en-GB"/>
        </w:rPr>
        <w:t xml:space="preserve">; </w:t>
      </w:r>
      <w:r w:rsidR="000A02B6" w:rsidRPr="00D6301C">
        <w:rPr>
          <w:lang w:val="en-GB"/>
        </w:rPr>
        <w:t xml:space="preserve">8-9 weeks old on arrival, </w:t>
      </w:r>
      <w:r w:rsidRPr="00D6301C">
        <w:rPr>
          <w:lang w:val="en-GB"/>
        </w:rPr>
        <w:t>Charles River UK) were used for this study. Data from an additional cohort of 100 MIA-injected female</w:t>
      </w:r>
      <w:r w:rsidR="00443968" w:rsidRPr="00D6301C">
        <w:rPr>
          <w:lang w:val="en-GB"/>
        </w:rPr>
        <w:t xml:space="preserve"> rats</w:t>
      </w:r>
      <w:r w:rsidR="00C36E2A" w:rsidRPr="00D6301C">
        <w:rPr>
          <w:lang w:val="en-GB"/>
        </w:rPr>
        <w:t xml:space="preserve"> (8-9 weeks on arrival</w:t>
      </w:r>
      <w:r w:rsidR="006B3685" w:rsidRPr="00D6301C">
        <w:rPr>
          <w:lang w:val="en-GB"/>
        </w:rPr>
        <w:t>, Charles River UK)</w:t>
      </w:r>
      <w:r w:rsidRPr="00D6301C">
        <w:rPr>
          <w:lang w:val="en-GB"/>
        </w:rPr>
        <w:t xml:space="preserve">, obtained from ongoing studies in our laboratory using the same model, were </w:t>
      </w:r>
      <w:r w:rsidR="00316A25" w:rsidRPr="00D6301C">
        <w:rPr>
          <w:lang w:val="en-GB"/>
        </w:rPr>
        <w:t>analysed</w:t>
      </w:r>
      <w:r w:rsidRPr="00D6301C">
        <w:rPr>
          <w:lang w:val="en-GB"/>
        </w:rPr>
        <w:t xml:space="preserve"> to evaluate the influence of </w:t>
      </w:r>
      <w:r w:rsidR="00316A25" w:rsidRPr="00D6301C">
        <w:rPr>
          <w:lang w:val="en-GB"/>
        </w:rPr>
        <w:t>oestrous</w:t>
      </w:r>
      <w:r w:rsidRPr="00D6301C">
        <w:rPr>
          <w:lang w:val="en-GB"/>
        </w:rPr>
        <w:t xml:space="preserve"> cycle on pain</w:t>
      </w:r>
      <w:r w:rsidR="006B3685" w:rsidRPr="00D6301C">
        <w:rPr>
          <w:lang w:val="en-GB"/>
        </w:rPr>
        <w:t>-related</w:t>
      </w:r>
      <w:r w:rsidRPr="00D6301C">
        <w:rPr>
          <w:lang w:val="en-GB"/>
        </w:rPr>
        <w:t xml:space="preserve"> </w:t>
      </w:r>
      <w:r w:rsidR="00316A25" w:rsidRPr="00D6301C">
        <w:rPr>
          <w:lang w:val="en-GB"/>
        </w:rPr>
        <w:t>behaviours</w:t>
      </w:r>
      <w:r w:rsidRPr="00D6301C">
        <w:rPr>
          <w:lang w:val="en-GB"/>
        </w:rPr>
        <w:t>.</w:t>
      </w:r>
      <w:r w:rsidR="005F09E0" w:rsidRPr="00D6301C">
        <w:rPr>
          <w:lang w:val="en-GB"/>
        </w:rPr>
        <w:t xml:space="preserve"> </w:t>
      </w:r>
      <w:r w:rsidR="005F09E0" w:rsidRPr="00D6301C">
        <w:t xml:space="preserve">The sample size was determined based on similar studies reported in the literature (Ro et al., 2020). </w:t>
      </w:r>
      <w:r w:rsidRPr="00D6301C">
        <w:rPr>
          <w:lang w:val="en-GB"/>
        </w:rPr>
        <w:t>Rats were housed 2</w:t>
      </w:r>
      <w:r w:rsidR="00AB3326" w:rsidRPr="00D6301C">
        <w:rPr>
          <w:lang w:val="en-GB"/>
        </w:rPr>
        <w:t>-</w:t>
      </w:r>
      <w:r w:rsidRPr="00D6301C">
        <w:rPr>
          <w:lang w:val="en-GB"/>
        </w:rPr>
        <w:t>3 per cage under standard conditions (22±2 °C, 55</w:t>
      </w:r>
      <w:r w:rsidR="006B3685" w:rsidRPr="00D6301C">
        <w:rPr>
          <w:lang w:val="en-GB"/>
        </w:rPr>
        <w:t>-</w:t>
      </w:r>
      <w:r w:rsidRPr="00D6301C">
        <w:rPr>
          <w:lang w:val="en-GB"/>
        </w:rPr>
        <w:t>65% humidity, 12/12 h light/dark cycle</w:t>
      </w:r>
      <w:r w:rsidR="00337000" w:rsidRPr="00D6301C">
        <w:rPr>
          <w:lang w:val="en-GB"/>
        </w:rPr>
        <w:t xml:space="preserve">, lights on at </w:t>
      </w:r>
      <w:r w:rsidR="007A4316" w:rsidRPr="00D6301C">
        <w:rPr>
          <w:lang w:val="en-GB"/>
        </w:rPr>
        <w:t>07:00</w:t>
      </w:r>
      <w:r w:rsidR="00337000" w:rsidRPr="00D6301C">
        <w:rPr>
          <w:lang w:val="en-GB"/>
        </w:rPr>
        <w:t xml:space="preserve"> h</w:t>
      </w:r>
      <w:r w:rsidR="00AB3326" w:rsidRPr="00D6301C">
        <w:rPr>
          <w:lang w:val="en-GB"/>
        </w:rPr>
        <w:t>)</w:t>
      </w:r>
      <w:r w:rsidRPr="00D6301C">
        <w:rPr>
          <w:lang w:val="en-GB"/>
        </w:rPr>
        <w:t xml:space="preserve">. Food and water were available </w:t>
      </w:r>
      <w:r w:rsidRPr="00D6301C">
        <w:rPr>
          <w:i/>
          <w:iCs/>
          <w:lang w:val="en-GB"/>
        </w:rPr>
        <w:t>ad libitum</w:t>
      </w:r>
      <w:r w:rsidR="00241227" w:rsidRPr="00D6301C">
        <w:rPr>
          <w:i/>
          <w:iCs/>
          <w:lang w:val="en-GB"/>
        </w:rPr>
        <w:t xml:space="preserve">, </w:t>
      </w:r>
      <w:r w:rsidR="00241227" w:rsidRPr="00D6301C">
        <w:rPr>
          <w:lang w:val="en-GB"/>
        </w:rPr>
        <w:t>and environmental enrichment (plastic tube and nesting material Sizzlenest®) was provided in the home</w:t>
      </w:r>
      <w:r w:rsidR="007C2F94" w:rsidRPr="00D6301C">
        <w:rPr>
          <w:lang w:val="en-GB"/>
        </w:rPr>
        <w:t xml:space="preserve"> </w:t>
      </w:r>
      <w:r w:rsidR="00241227" w:rsidRPr="00D6301C">
        <w:rPr>
          <w:lang w:val="en-GB"/>
        </w:rPr>
        <w:t>cages</w:t>
      </w:r>
      <w:r w:rsidRPr="00D6301C">
        <w:rPr>
          <w:lang w:val="en-GB"/>
        </w:rPr>
        <w:t>.</w:t>
      </w:r>
    </w:p>
    <w:p w14:paraId="12224B1F" w14:textId="06D6EB2B" w:rsidR="00F538DF" w:rsidRPr="00D6301C" w:rsidRDefault="00C9013B" w:rsidP="00177195">
      <w:pPr>
        <w:spacing w:line="276" w:lineRule="auto"/>
        <w:jc w:val="both"/>
        <w:rPr>
          <w:u w:val="single"/>
          <w:lang w:val="en-GB"/>
        </w:rPr>
      </w:pPr>
      <w:r w:rsidRPr="00D6301C">
        <w:rPr>
          <w:lang w:val="en-GB"/>
        </w:rPr>
        <w:t xml:space="preserve">The experimental procedures were approved by the Animal Care and Research Ethics Committee (ACREC), University of Galway, </w:t>
      </w:r>
      <w:r w:rsidR="007039FF" w:rsidRPr="00D6301C">
        <w:rPr>
          <w:lang w:val="en-GB"/>
        </w:rPr>
        <w:t xml:space="preserve">and </w:t>
      </w:r>
      <w:r w:rsidR="00955C80" w:rsidRPr="00D6301C">
        <w:rPr>
          <w:lang w:val="en-GB"/>
        </w:rPr>
        <w:t xml:space="preserve">performed </w:t>
      </w:r>
      <w:r w:rsidRPr="00D6301C">
        <w:rPr>
          <w:lang w:val="en-GB"/>
        </w:rPr>
        <w:t xml:space="preserve">under </w:t>
      </w:r>
      <w:r w:rsidR="006C2EAB" w:rsidRPr="00D6301C">
        <w:rPr>
          <w:lang w:val="en-GB"/>
        </w:rPr>
        <w:t>license</w:t>
      </w:r>
      <w:r w:rsidRPr="00D6301C">
        <w:rPr>
          <w:lang w:val="en-GB"/>
        </w:rPr>
        <w:t xml:space="preserve"> from the Health Products Regulatory Authority in the Republic of Ireland (AE19125</w:t>
      </w:r>
      <w:r w:rsidR="00273F6F" w:rsidRPr="00D6301C">
        <w:rPr>
          <w:lang w:val="en-GB"/>
        </w:rPr>
        <w:t>/</w:t>
      </w:r>
      <w:r w:rsidRPr="00D6301C">
        <w:rPr>
          <w:lang w:val="en-GB"/>
        </w:rPr>
        <w:t>P104</w:t>
      </w:r>
      <w:r w:rsidR="00273F6F" w:rsidRPr="00D6301C">
        <w:rPr>
          <w:lang w:val="en-GB"/>
        </w:rPr>
        <w:t>)</w:t>
      </w:r>
      <w:r w:rsidRPr="00D6301C">
        <w:rPr>
          <w:lang w:val="en-GB"/>
        </w:rPr>
        <w:t>, and in accordance with EU Directive 2010/63.</w:t>
      </w:r>
      <w:r w:rsidR="00863A04" w:rsidRPr="00D6301C">
        <w:rPr>
          <w:lang w:val="en-GB"/>
        </w:rPr>
        <w:t xml:space="preserve"> </w:t>
      </w:r>
      <w:r w:rsidR="005F09E0" w:rsidRPr="00D6301C">
        <w:t xml:space="preserve">The study is reported in line with the ARRIVE 2.0 Essential 10 guidelines (Percie du Sert et al., 2020). </w:t>
      </w:r>
      <w:r w:rsidR="00863A04" w:rsidRPr="00D6301C">
        <w:rPr>
          <w:lang w:val="en-GB"/>
        </w:rPr>
        <w:t xml:space="preserve">All </w:t>
      </w:r>
      <w:r w:rsidR="00863A04" w:rsidRPr="00D6301C">
        <w:rPr>
          <w:i/>
          <w:iCs/>
          <w:lang w:val="en-GB"/>
        </w:rPr>
        <w:t>in vivo</w:t>
      </w:r>
      <w:r w:rsidR="00863A04" w:rsidRPr="00D6301C">
        <w:rPr>
          <w:lang w:val="en-GB"/>
        </w:rPr>
        <w:t xml:space="preserve"> work was carried out by female experimenters.</w:t>
      </w:r>
      <w:r w:rsidR="007B4F89" w:rsidRPr="00D6301C">
        <w:rPr>
          <w:lang w:val="en-GB"/>
        </w:rPr>
        <w:t xml:space="preserve"> </w:t>
      </w:r>
      <w:r w:rsidR="00D85A16" w:rsidRPr="00D6301C">
        <w:rPr>
          <w:lang w:val="en-GB"/>
        </w:rPr>
        <w:t>Each rat was considered to be an experimental unit.</w:t>
      </w:r>
    </w:p>
    <w:p w14:paraId="60A4702A" w14:textId="27C02A44" w:rsidR="00C9013B" w:rsidRPr="00D6301C" w:rsidRDefault="00C9013B" w:rsidP="00177195">
      <w:pPr>
        <w:spacing w:after="0" w:line="276" w:lineRule="auto"/>
        <w:jc w:val="both"/>
        <w:rPr>
          <w:i/>
          <w:iCs/>
          <w:u w:val="single"/>
          <w:lang w:val="en-GB"/>
        </w:rPr>
      </w:pPr>
      <w:r w:rsidRPr="00D6301C">
        <w:rPr>
          <w:i/>
          <w:iCs/>
          <w:u w:val="single"/>
          <w:lang w:val="en-GB"/>
        </w:rPr>
        <w:t xml:space="preserve">MIA-induced </w:t>
      </w:r>
      <w:r w:rsidR="00273F6F" w:rsidRPr="00D6301C">
        <w:rPr>
          <w:i/>
          <w:iCs/>
          <w:u w:val="single"/>
          <w:lang w:val="en-GB"/>
        </w:rPr>
        <w:t xml:space="preserve">knee </w:t>
      </w:r>
      <w:r w:rsidRPr="00D6301C">
        <w:rPr>
          <w:i/>
          <w:iCs/>
          <w:u w:val="single"/>
          <w:lang w:val="en-GB"/>
        </w:rPr>
        <w:t>OA</w:t>
      </w:r>
    </w:p>
    <w:p w14:paraId="08C06917" w14:textId="7445AD94" w:rsidR="00F538DF" w:rsidRPr="00D6301C" w:rsidRDefault="003C1F09" w:rsidP="00177195">
      <w:pPr>
        <w:spacing w:line="276" w:lineRule="auto"/>
        <w:jc w:val="both"/>
        <w:rPr>
          <w:u w:val="single"/>
          <w:lang w:val="en-GB"/>
        </w:rPr>
      </w:pPr>
      <w:r w:rsidRPr="00D6301C">
        <w:rPr>
          <w:lang w:val="en-GB"/>
        </w:rPr>
        <w:t xml:space="preserve">An </w:t>
      </w:r>
      <w:r w:rsidR="00C9013B" w:rsidRPr="00D6301C">
        <w:rPr>
          <w:lang w:val="en-GB"/>
        </w:rPr>
        <w:t xml:space="preserve">OA-like </w:t>
      </w:r>
      <w:r w:rsidRPr="00D6301C">
        <w:rPr>
          <w:lang w:val="en-GB"/>
        </w:rPr>
        <w:t xml:space="preserve">state was </w:t>
      </w:r>
      <w:r w:rsidR="00C9013B" w:rsidRPr="00D6301C">
        <w:rPr>
          <w:lang w:val="en-GB"/>
        </w:rPr>
        <w:t xml:space="preserve">induced </w:t>
      </w:r>
      <w:r w:rsidR="00571FB1" w:rsidRPr="00D6301C">
        <w:rPr>
          <w:lang w:val="en-GB"/>
        </w:rPr>
        <w:t xml:space="preserve">by </w:t>
      </w:r>
      <w:r w:rsidR="00C9013B" w:rsidRPr="00D6301C">
        <w:rPr>
          <w:lang w:val="en-GB"/>
        </w:rPr>
        <w:t xml:space="preserve">administering a single </w:t>
      </w:r>
      <w:r w:rsidR="00571FB1" w:rsidRPr="00D6301C">
        <w:rPr>
          <w:lang w:val="en-GB"/>
        </w:rPr>
        <w:t>intra-articular</w:t>
      </w:r>
      <w:r w:rsidR="00AD0073" w:rsidRPr="00D6301C">
        <w:rPr>
          <w:lang w:val="en-GB"/>
        </w:rPr>
        <w:t xml:space="preserve"> (</w:t>
      </w:r>
      <w:r w:rsidR="00C9013B" w:rsidRPr="00D6301C">
        <w:rPr>
          <w:lang w:val="en-GB"/>
        </w:rPr>
        <w:t>i.a.</w:t>
      </w:r>
      <w:r w:rsidR="00AD0073" w:rsidRPr="00D6301C">
        <w:rPr>
          <w:lang w:val="en-GB"/>
        </w:rPr>
        <w:t>)</w:t>
      </w:r>
      <w:r w:rsidR="008B0E97" w:rsidRPr="00D6301C">
        <w:rPr>
          <w:lang w:val="en-GB"/>
        </w:rPr>
        <w:t xml:space="preserve"> </w:t>
      </w:r>
      <w:r w:rsidR="00C9013B" w:rsidRPr="00D6301C">
        <w:rPr>
          <w:lang w:val="en-GB"/>
        </w:rPr>
        <w:t>injection of MIA (2 mg/50 µL) into the left knee joint</w:t>
      </w:r>
      <w:r w:rsidR="00A65C4A" w:rsidRPr="00D6301C">
        <w:rPr>
          <w:lang w:val="en-GB"/>
        </w:rPr>
        <w:t xml:space="preserve"> </w:t>
      </w:r>
      <w:r w:rsidR="00C9013B" w:rsidRPr="00D6301C">
        <w:rPr>
          <w:lang w:val="en-GB"/>
        </w:rPr>
        <w:fldChar w:fldCharType="begin" w:fldLock="1"/>
      </w:r>
      <w:r w:rsidR="00CD0E89" w:rsidRPr="00D6301C">
        <w:rPr>
          <w:lang w:val="en-GB"/>
        </w:rPr>
        <w:instrText>ADDIN CSL_CITATION {"citationItems":[{"id":"ITEM-1","itemData":{"DOI":"10.1016/j.pain.2004.11.008","ISSN":"0304-3959 (Print)","PMID":"15777859","abstract":"Osteoarthritis (OA) is an age-related joint disease characterized by degeneration  of articular cartilage and is associated with chronic pain. Although several experimental models of OA have been employed to investigate the underlying etiologies of the disease, there has been relatively little investigation into development of animal models of OA to study the pain associated with the condition. In the present study, we investigated OA induced by injection of either iodoacetate or papain into the knee joint of rats, and assessed the joint degeneration with radiographic analyses and measured pain behavior using hind limb weight bearing. We found that injection of iodoacetate, but not papain, resulted in a chronic joint degeneration as measured by decreased bone mineral content and bone mineral density, necrosis of articular cartilage and osteophyte formation. These pathological changes were associated with pain that manifested as time- and concentration-dependent alterations in hind limb weight bearing. These alterations in hind limb weight bearing were reversed with morphine, but were not significantly affected by acute administration of either indomethacin or celecoxib. However, administration of 30 mg/kg celecoxib twice daily for 10 days resulted in a significant restoration of hind limb weight bearing. We conclude that the iodoacetate model of OA is a relevant animal model to study pain associated with OA, and can be used to test potential therapeutic agents.","author":[{"dropping-particle":"","family":"Pomonis","given":"James D","non-dropping-particle":"","parse-names":false,"suffix":""},{"dropping-particle":"","family":"Boulet","given":"Jamie M","non-dropping-particle":"","parse-names":false,"suffix":""},{"dropping-particle":"","family":"Gottshall","given":"Susan L","non-dropping-particle":"","parse-names":false,"suffix":""},{"dropping-particle":"","family":"Phillips","given":"Steve","non-dropping-particle":"","parse-names":false,"suffix":""},{"dropping-particle":"","family":"Sellers","given":"Rani","non-dropping-particle":"","parse-names":false,"suffix":""},{"dropping-particle":"","family":"Bunton","given":"Tracie","non-dropping-particle":"","parse-names":false,"suffix":""},{"dropping-particle":"","family":"Walker","given":"Katharine","non-dropping-particle":"","parse-names":false,"suffix":""}],"container-title":"Pain","id":"ITEM-1","issue":"3","issued":{"date-parts":[["2005","4"]]},"language":"eng","page":"339-346","publisher-place":"United States","title":"Development and pharmacological characterization of a rat model of osteoarthritis  pain.","type":"article-journal","volume":"114"},"uris":["http://www.mendeley.com/documents/?uuid=ba1b10ee-79b9-4167-9b7f-c23b8351037d"]}],"mendeley":{"formattedCitation":"(Pomonis et al., 2005)","plainTextFormattedCitation":"(Pomonis et al., 2005)","previouslyFormattedCitation":"(Pomonis et al., 2005)"},"properties":{"noteIndex":0},"schema":"https://github.com/citation-style-language/schema/raw/master/csl-citation.json"}</w:instrText>
      </w:r>
      <w:r w:rsidR="00C9013B" w:rsidRPr="00D6301C">
        <w:rPr>
          <w:lang w:val="en-GB"/>
        </w:rPr>
        <w:fldChar w:fldCharType="separate"/>
      </w:r>
      <w:r w:rsidR="00241227" w:rsidRPr="00D6301C">
        <w:rPr>
          <w:noProof/>
          <w:lang w:val="en-GB"/>
        </w:rPr>
        <w:t>(Pomonis et al., 2005)</w:t>
      </w:r>
      <w:r w:rsidR="00C9013B" w:rsidRPr="00D6301C">
        <w:rPr>
          <w:lang w:val="en-GB"/>
        </w:rPr>
        <w:fldChar w:fldCharType="end"/>
      </w:r>
      <w:r w:rsidR="00C9013B" w:rsidRPr="00D6301C">
        <w:rPr>
          <w:lang w:val="en-GB"/>
        </w:rPr>
        <w:t xml:space="preserve">, using a sterile 30G needle-tipped insulin syringe at a volume of 50 µL under brief </w:t>
      </w:r>
      <w:r w:rsidR="00316A25" w:rsidRPr="00D6301C">
        <w:rPr>
          <w:lang w:val="en-GB"/>
        </w:rPr>
        <w:t>anaesthesia</w:t>
      </w:r>
      <w:r w:rsidR="00C9013B" w:rsidRPr="00D6301C">
        <w:rPr>
          <w:lang w:val="en-GB"/>
        </w:rPr>
        <w:t xml:space="preserve"> (2-3% isoflurane, 0.8 L</w:t>
      </w:r>
      <w:r w:rsidR="00D514A4" w:rsidRPr="00D6301C">
        <w:rPr>
          <w:lang w:val="en-GB"/>
        </w:rPr>
        <w:t>/</w:t>
      </w:r>
      <w:r w:rsidR="00C9013B" w:rsidRPr="00D6301C">
        <w:rPr>
          <w:lang w:val="en-GB"/>
        </w:rPr>
        <w:t>min O</w:t>
      </w:r>
      <w:r w:rsidR="00C9013B" w:rsidRPr="00D6301C">
        <w:rPr>
          <w:vertAlign w:val="subscript"/>
          <w:lang w:val="en-GB"/>
        </w:rPr>
        <w:t>2</w:t>
      </w:r>
      <w:r w:rsidR="00C9013B" w:rsidRPr="00D6301C">
        <w:rPr>
          <w:lang w:val="en-GB"/>
        </w:rPr>
        <w:t>).</w:t>
      </w:r>
      <w:r w:rsidR="009444AE" w:rsidRPr="00D6301C">
        <w:rPr>
          <w:lang w:val="en-GB"/>
        </w:rPr>
        <w:t xml:space="preserve"> Sham animals received an equivalent volume of sterile saline (NaCl 0.9%)</w:t>
      </w:r>
      <w:r w:rsidR="00DC25E8" w:rsidRPr="00D6301C">
        <w:rPr>
          <w:lang w:val="en-GB"/>
        </w:rPr>
        <w:t xml:space="preserve"> under similar </w:t>
      </w:r>
      <w:r w:rsidR="002A0649" w:rsidRPr="00D6301C">
        <w:rPr>
          <w:lang w:val="en-GB"/>
        </w:rPr>
        <w:t>conditions</w:t>
      </w:r>
      <w:r w:rsidR="009444AE" w:rsidRPr="00D6301C">
        <w:rPr>
          <w:lang w:val="en-GB"/>
        </w:rPr>
        <w:t>.</w:t>
      </w:r>
      <w:r w:rsidR="00C9013B" w:rsidRPr="00D6301C">
        <w:rPr>
          <w:lang w:val="en-GB"/>
        </w:rPr>
        <w:t xml:space="preserve"> The needle was inserted perpendicularly through the infrapatellar ligament into the joint space of the left tibiofemoral joint. The animals were returned to the home cage after </w:t>
      </w:r>
      <w:r w:rsidR="00316A25" w:rsidRPr="00D6301C">
        <w:rPr>
          <w:lang w:val="en-GB"/>
        </w:rPr>
        <w:t>anaesthetic</w:t>
      </w:r>
      <w:r w:rsidR="00C9013B" w:rsidRPr="00D6301C">
        <w:rPr>
          <w:lang w:val="en-GB"/>
        </w:rPr>
        <w:t xml:space="preserve"> recovery.</w:t>
      </w:r>
    </w:p>
    <w:p w14:paraId="226599B4" w14:textId="48A8A4A0" w:rsidR="00C9013B" w:rsidRPr="00D6301C" w:rsidRDefault="00C9013B" w:rsidP="00177195">
      <w:pPr>
        <w:spacing w:after="0" w:line="276" w:lineRule="auto"/>
        <w:jc w:val="both"/>
        <w:rPr>
          <w:i/>
          <w:iCs/>
          <w:u w:val="single"/>
          <w:lang w:val="en-GB"/>
        </w:rPr>
      </w:pPr>
      <w:r w:rsidRPr="00D6301C">
        <w:rPr>
          <w:i/>
          <w:iCs/>
          <w:u w:val="single"/>
          <w:lang w:val="en-GB"/>
        </w:rPr>
        <w:t>Experimental timeline</w:t>
      </w:r>
    </w:p>
    <w:p w14:paraId="2EC6422B" w14:textId="37E3ED1D" w:rsidR="00C9013B" w:rsidRPr="00D6301C" w:rsidRDefault="00C9013B" w:rsidP="00570432">
      <w:pPr>
        <w:spacing w:after="40" w:line="276" w:lineRule="auto"/>
        <w:jc w:val="both"/>
        <w:rPr>
          <w:lang w:val="en-GB"/>
        </w:rPr>
      </w:pPr>
      <w:r w:rsidRPr="00D6301C">
        <w:rPr>
          <w:lang w:val="en-GB"/>
        </w:rPr>
        <w:t xml:space="preserve">Upon arrival, animals were acclimated for one week. Two baseline (BL) measurements </w:t>
      </w:r>
      <w:r w:rsidR="00316A25" w:rsidRPr="00D6301C">
        <w:rPr>
          <w:lang w:val="en-GB"/>
        </w:rPr>
        <w:t xml:space="preserve">in the </w:t>
      </w:r>
      <w:r w:rsidR="00241227" w:rsidRPr="00D6301C">
        <w:rPr>
          <w:lang w:val="en-GB"/>
        </w:rPr>
        <w:t xml:space="preserve">static weight-bearing, electronic von Frey, and acetone drop tests </w:t>
      </w:r>
      <w:r w:rsidRPr="00D6301C">
        <w:rPr>
          <w:lang w:val="en-GB"/>
        </w:rPr>
        <w:t xml:space="preserve">were obtained prior to MIA induction, averaged, and reported as BL. </w:t>
      </w:r>
      <w:r w:rsidR="008B0E97" w:rsidRPr="00D6301C">
        <w:rPr>
          <w:lang w:val="en-GB"/>
        </w:rPr>
        <w:t>On Day 0, r</w:t>
      </w:r>
      <w:r w:rsidRPr="00D6301C">
        <w:rPr>
          <w:lang w:val="en-GB"/>
        </w:rPr>
        <w:t xml:space="preserve">ats received </w:t>
      </w:r>
      <w:r w:rsidR="003243C0" w:rsidRPr="00D6301C">
        <w:rPr>
          <w:lang w:val="en-GB"/>
        </w:rPr>
        <w:t xml:space="preserve">an </w:t>
      </w:r>
      <w:r w:rsidR="008B0E97" w:rsidRPr="00D6301C">
        <w:rPr>
          <w:lang w:val="en-GB"/>
        </w:rPr>
        <w:t>i.a.</w:t>
      </w:r>
      <w:r w:rsidRPr="00D6301C">
        <w:rPr>
          <w:lang w:val="en-GB"/>
        </w:rPr>
        <w:t>injection</w:t>
      </w:r>
      <w:r w:rsidR="009444AE" w:rsidRPr="00D6301C">
        <w:rPr>
          <w:lang w:val="en-GB"/>
        </w:rPr>
        <w:t xml:space="preserve"> of either MIA or saline</w:t>
      </w:r>
      <w:r w:rsidRPr="00D6301C">
        <w:rPr>
          <w:lang w:val="en-GB"/>
        </w:rPr>
        <w:t xml:space="preserve"> </w:t>
      </w:r>
      <w:r w:rsidR="008B0E97" w:rsidRPr="00D6301C">
        <w:rPr>
          <w:lang w:val="en-GB"/>
        </w:rPr>
        <w:t xml:space="preserve">in the left knee </w:t>
      </w:r>
      <w:r w:rsidRPr="00D6301C">
        <w:rPr>
          <w:lang w:val="en-GB"/>
        </w:rPr>
        <w:t xml:space="preserve">and were allowed to recover. Pain-related </w:t>
      </w:r>
      <w:r w:rsidR="00316A25" w:rsidRPr="00D6301C">
        <w:rPr>
          <w:lang w:val="en-GB"/>
        </w:rPr>
        <w:t>behaviours</w:t>
      </w:r>
      <w:r w:rsidRPr="00D6301C">
        <w:rPr>
          <w:lang w:val="en-GB"/>
        </w:rPr>
        <w:t xml:space="preserve"> (static weight</w:t>
      </w:r>
      <w:r w:rsidR="008B0E97" w:rsidRPr="00D6301C">
        <w:rPr>
          <w:lang w:val="en-GB"/>
        </w:rPr>
        <w:t>-</w:t>
      </w:r>
      <w:r w:rsidRPr="00D6301C">
        <w:rPr>
          <w:lang w:val="en-GB"/>
        </w:rPr>
        <w:t xml:space="preserve">bearing, electronic von Frey, and acetone drop tests) were </w:t>
      </w:r>
      <w:r w:rsidR="007F4FB0" w:rsidRPr="00D6301C">
        <w:rPr>
          <w:lang w:val="en-GB"/>
        </w:rPr>
        <w:t xml:space="preserve">further </w:t>
      </w:r>
      <w:r w:rsidRPr="00D6301C">
        <w:rPr>
          <w:lang w:val="en-GB"/>
        </w:rPr>
        <w:t>assessed on Days 5, 10, 14, 21, 28, 35, 42, and 63 post-MIA</w:t>
      </w:r>
      <w:r w:rsidR="002D6CB4" w:rsidRPr="00D6301C">
        <w:rPr>
          <w:lang w:val="en-GB"/>
        </w:rPr>
        <w:t xml:space="preserve"> injection</w:t>
      </w:r>
      <w:r w:rsidRPr="00D6301C">
        <w:rPr>
          <w:lang w:val="en-GB"/>
        </w:rPr>
        <w:t xml:space="preserve">. On </w:t>
      </w:r>
      <w:r w:rsidR="002D6CB4" w:rsidRPr="00D6301C">
        <w:rPr>
          <w:lang w:val="en-GB"/>
        </w:rPr>
        <w:t>D</w:t>
      </w:r>
      <w:r w:rsidRPr="00D6301C">
        <w:rPr>
          <w:lang w:val="en-GB"/>
        </w:rPr>
        <w:t>ay 6</w:t>
      </w:r>
      <w:r w:rsidR="00950062" w:rsidRPr="00D6301C">
        <w:rPr>
          <w:lang w:val="en-GB"/>
        </w:rPr>
        <w:t>4</w:t>
      </w:r>
      <w:r w:rsidRPr="00D6301C">
        <w:rPr>
          <w:lang w:val="en-GB"/>
        </w:rPr>
        <w:t xml:space="preserve">, animals were </w:t>
      </w:r>
      <w:r w:rsidR="006C2EAB" w:rsidRPr="00D6301C">
        <w:rPr>
          <w:lang w:val="en-GB"/>
        </w:rPr>
        <w:t>euthani</w:t>
      </w:r>
      <w:r w:rsidR="00F760DC" w:rsidRPr="00D6301C">
        <w:rPr>
          <w:lang w:val="en-GB"/>
        </w:rPr>
        <w:t>s</w:t>
      </w:r>
      <w:r w:rsidR="006C2EAB" w:rsidRPr="00D6301C">
        <w:rPr>
          <w:lang w:val="en-GB"/>
        </w:rPr>
        <w:t>ed</w:t>
      </w:r>
      <w:r w:rsidRPr="00D6301C">
        <w:rPr>
          <w:lang w:val="en-GB"/>
        </w:rPr>
        <w:t xml:space="preserve"> by decapitation, and </w:t>
      </w:r>
      <w:r w:rsidR="00A72471" w:rsidRPr="00D6301C">
        <w:rPr>
          <w:lang w:val="en-GB"/>
        </w:rPr>
        <w:t xml:space="preserve">various </w:t>
      </w:r>
      <w:r w:rsidRPr="00D6301C">
        <w:rPr>
          <w:lang w:val="en-GB"/>
        </w:rPr>
        <w:t>brain</w:t>
      </w:r>
      <w:r w:rsidR="00A72471" w:rsidRPr="00D6301C">
        <w:rPr>
          <w:lang w:val="en-GB"/>
        </w:rPr>
        <w:t xml:space="preserve"> regions</w:t>
      </w:r>
      <w:r w:rsidRPr="00D6301C">
        <w:rPr>
          <w:lang w:val="en-GB"/>
        </w:rPr>
        <w:t xml:space="preserve"> </w:t>
      </w:r>
      <w:r w:rsidR="00F760DC" w:rsidRPr="00D6301C">
        <w:rPr>
          <w:lang w:val="en-GB"/>
        </w:rPr>
        <w:t xml:space="preserve">and </w:t>
      </w:r>
      <w:r w:rsidR="00570432" w:rsidRPr="00D6301C">
        <w:rPr>
          <w:lang w:val="en-GB"/>
        </w:rPr>
        <w:t xml:space="preserve">dorsal </w:t>
      </w:r>
      <w:r w:rsidR="00F760DC" w:rsidRPr="00D6301C">
        <w:rPr>
          <w:lang w:val="en-GB"/>
        </w:rPr>
        <w:t xml:space="preserve">lumbar spinal cords </w:t>
      </w:r>
      <w:r w:rsidRPr="00D6301C">
        <w:rPr>
          <w:lang w:val="en-GB"/>
        </w:rPr>
        <w:t>were dissected</w:t>
      </w:r>
      <w:r w:rsidR="00F760DC" w:rsidRPr="00D6301C">
        <w:rPr>
          <w:lang w:val="en-GB"/>
        </w:rPr>
        <w:t>,</w:t>
      </w:r>
      <w:r w:rsidRPr="00D6301C">
        <w:rPr>
          <w:lang w:val="en-GB"/>
        </w:rPr>
        <w:t xml:space="preserve"> snap-frozen </w:t>
      </w:r>
      <w:r w:rsidR="00F760DC" w:rsidRPr="00D6301C">
        <w:rPr>
          <w:lang w:val="en-GB"/>
        </w:rPr>
        <w:t>on</w:t>
      </w:r>
      <w:r w:rsidRPr="00D6301C">
        <w:rPr>
          <w:lang w:val="en-GB"/>
        </w:rPr>
        <w:t xml:space="preserve"> dry ice</w:t>
      </w:r>
      <w:r w:rsidR="00F760DC" w:rsidRPr="00D6301C">
        <w:rPr>
          <w:lang w:val="en-GB"/>
        </w:rPr>
        <w:t>, and stored at -80°C</w:t>
      </w:r>
      <w:r w:rsidRPr="00D6301C">
        <w:rPr>
          <w:lang w:val="en-GB"/>
        </w:rPr>
        <w:t xml:space="preserve"> </w:t>
      </w:r>
      <w:r w:rsidR="00A72471" w:rsidRPr="00D6301C">
        <w:rPr>
          <w:lang w:val="en-GB"/>
        </w:rPr>
        <w:t>until</w:t>
      </w:r>
      <w:r w:rsidRPr="00D6301C">
        <w:rPr>
          <w:lang w:val="en-GB"/>
        </w:rPr>
        <w:t xml:space="preserve"> </w:t>
      </w:r>
      <w:r w:rsidR="00A72471" w:rsidRPr="00D6301C">
        <w:rPr>
          <w:lang w:val="en-GB"/>
        </w:rPr>
        <w:t xml:space="preserve">further </w:t>
      </w:r>
      <w:r w:rsidRPr="00D6301C">
        <w:rPr>
          <w:lang w:val="en-GB"/>
        </w:rPr>
        <w:t>neurochemical and biomolecular analyses.</w:t>
      </w:r>
    </w:p>
    <w:p w14:paraId="48878E67" w14:textId="77777777" w:rsidR="00F538DF" w:rsidRPr="00D6301C" w:rsidRDefault="00C9013B" w:rsidP="00570432">
      <w:pPr>
        <w:spacing w:after="40" w:line="276" w:lineRule="auto"/>
        <w:jc w:val="both"/>
        <w:rPr>
          <w:lang w:val="en-GB"/>
        </w:rPr>
      </w:pPr>
      <w:r w:rsidRPr="00D6301C">
        <w:rPr>
          <w:lang w:val="en-GB"/>
        </w:rPr>
        <w:t>An additional cohort of 100 female rats underwent the same acclimation, BL assessment, and MIA injection. In contrast to the main timeline, these animals were tested at two critical time points</w:t>
      </w:r>
      <w:r w:rsidR="00EA664D" w:rsidRPr="00D6301C">
        <w:rPr>
          <w:lang w:val="en-GB"/>
        </w:rPr>
        <w:t>:</w:t>
      </w:r>
      <w:r w:rsidRPr="00D6301C">
        <w:rPr>
          <w:lang w:val="en-GB"/>
        </w:rPr>
        <w:t xml:space="preserve"> Day 7 (MIA model inflammatory phase) and Day 14 (MIA model chronic phase establishment)</w:t>
      </w:r>
      <w:r w:rsidR="00EA664D" w:rsidRPr="00D6301C">
        <w:rPr>
          <w:lang w:val="en-GB"/>
        </w:rPr>
        <w:t xml:space="preserve">. </w:t>
      </w:r>
      <w:r w:rsidR="00314D76" w:rsidRPr="00D6301C">
        <w:rPr>
          <w:lang w:val="en-GB"/>
        </w:rPr>
        <w:t xml:space="preserve">After completing </w:t>
      </w:r>
      <w:r w:rsidR="00316A25" w:rsidRPr="00D6301C">
        <w:rPr>
          <w:lang w:val="en-GB"/>
        </w:rPr>
        <w:t>behavioural</w:t>
      </w:r>
      <w:r w:rsidR="00314D76" w:rsidRPr="00D6301C">
        <w:rPr>
          <w:lang w:val="en-GB"/>
        </w:rPr>
        <w:t xml:space="preserve"> testing</w:t>
      </w:r>
      <w:r w:rsidR="00120512" w:rsidRPr="00D6301C">
        <w:rPr>
          <w:lang w:val="en-GB"/>
        </w:rPr>
        <w:t xml:space="preserve"> at each of the 3 time points (BL, Day 7 and Day 14)</w:t>
      </w:r>
      <w:r w:rsidR="00314D76" w:rsidRPr="00D6301C">
        <w:rPr>
          <w:lang w:val="en-GB"/>
        </w:rPr>
        <w:t>, vaginal swabbing was performed</w:t>
      </w:r>
      <w:r w:rsidR="00F709F5" w:rsidRPr="00D6301C">
        <w:rPr>
          <w:lang w:val="en-GB"/>
        </w:rPr>
        <w:t xml:space="preserve"> to determine</w:t>
      </w:r>
      <w:r w:rsidRPr="00D6301C">
        <w:rPr>
          <w:lang w:val="en-GB"/>
        </w:rPr>
        <w:t xml:space="preserve"> </w:t>
      </w:r>
      <w:r w:rsidR="00316A25" w:rsidRPr="00D6301C">
        <w:rPr>
          <w:lang w:val="en-GB"/>
        </w:rPr>
        <w:t>oestrous</w:t>
      </w:r>
      <w:r w:rsidRPr="00D6301C">
        <w:rPr>
          <w:lang w:val="en-GB"/>
        </w:rPr>
        <w:t xml:space="preserve"> </w:t>
      </w:r>
      <w:r w:rsidR="00314D76" w:rsidRPr="00D6301C">
        <w:rPr>
          <w:lang w:val="en-GB"/>
        </w:rPr>
        <w:t xml:space="preserve">cycle </w:t>
      </w:r>
      <w:r w:rsidRPr="00D6301C">
        <w:rPr>
          <w:lang w:val="en-GB"/>
        </w:rPr>
        <w:t>stage</w:t>
      </w:r>
      <w:r w:rsidR="00F538DF" w:rsidRPr="00D6301C">
        <w:rPr>
          <w:lang w:val="en-GB"/>
        </w:rPr>
        <w:t xml:space="preserve"> according to previously described criteria </w:t>
      </w:r>
      <w:r w:rsidR="00F538DF" w:rsidRPr="00D6301C">
        <w:rPr>
          <w:lang w:val="en-GB"/>
        </w:rPr>
        <w:fldChar w:fldCharType="begin" w:fldLock="1"/>
      </w:r>
      <w:r w:rsidR="00F538DF" w:rsidRPr="00D6301C">
        <w:rPr>
          <w:lang w:val="en-GB"/>
        </w:rPr>
        <w:instrText>ADDIN CSL_CITATION {"citationItems":[{"id":"ITEM-1","itemData":{"DOI":"doi:10.3791/4389","ISSN":"1940-087X","abstract":"A rapid means of assessing reproductive status in rodents is useful not only in the study of reproductive dysfunction but is also required for the production of new mouse models of disease and investigations into the hormonal regulation of tissue degeneration (or regeneration) following pathological challenge.  The murine reproductive (or estrous) cycle is divided into 4 stages: proestrus, estrus, metestrus, and diestrus.  Defined fluctuations in circulating levels of the ovarian steroids 17-β-estradiol and progesterone, the gonadotropins luteinizing and follicle stimulating hormones, and the luteotropic hormone prolactin signal transition through these reproductive stages.  Changes in cell typology within the murine vaginal canal reflect these underlying endocrine events.  Daily assessment of the relative ratio of nucleated epithelial cells, cornified squamous epithelial cells, and leukocytes present in vaginal smears can be used to identify murine estrous stages.  The degree of invasiveness, however, employed in collecting these samples can alter reproductive status and elicit an inflammatory response that can confound cytological assessment of smears.  Here, we describe a simple, non-invasive protocol that can be used to determine the stage of the estrous cycle of a female mouse without altering her reproductive cycle.  We detail how to differentiate between the four stages of the estrous cycle by collection and analysis of predominant cell typology in vaginal smears and we show how these changes can be interpreted with respect to endocrine status.","author":[{"dropping-particle":"","family":"McLean","given":"Ashleigh C","non-dropping-particle":"","parse-names":false,"suffix":""},{"dropping-particle":"","family":"Valenzuela","given":"Nicolas","non-dropping-particle":"","parse-names":false,"suffix":""},{"dropping-particle":"","family":"Fai","given":"Stephen","non-dropping-particle":"","parse-names":false,"suffix":""},{"dropping-particle":"","family":"Bennett","given":"Steffany A L","non-dropping-particle":"","parse-names":false,"suffix":""}],"container-title":"JoVE","id":"ITEM-1","issue":"67","issued":{"date-parts":[["2012"]]},"page":"e4389","publisher":"MyJoVE Corp","title":"Performing Vaginal Lavage, Crystal Violet Staining, and Vaginal Cytological Evaluation for Mouse Estrous Cycle Staging Identification","type":"article-journal"},"uris":["http://www.mendeley.com/documents/?uuid=54d98c0d-7e0b-4fa0-9b8e-709d8754c661"]}],"mendeley":{"formattedCitation":"(McLean et al., 2012)","plainTextFormattedCitation":"(McLean et al., 2012)"},"properties":{"noteIndex":0},"schema":"https://github.com/citation-style-language/schema/raw/master/csl-citation.json"}</w:instrText>
      </w:r>
      <w:r w:rsidR="00F538DF" w:rsidRPr="00D6301C">
        <w:rPr>
          <w:lang w:val="en-GB"/>
        </w:rPr>
        <w:fldChar w:fldCharType="separate"/>
      </w:r>
      <w:r w:rsidR="00F538DF" w:rsidRPr="00D6301C">
        <w:rPr>
          <w:noProof/>
          <w:lang w:val="en-GB"/>
        </w:rPr>
        <w:t>(McLean et al., 2012)</w:t>
      </w:r>
      <w:r w:rsidR="00F538DF" w:rsidRPr="00D6301C">
        <w:rPr>
          <w:lang w:val="en-GB"/>
        </w:rPr>
        <w:fldChar w:fldCharType="end"/>
      </w:r>
      <w:r w:rsidRPr="00D6301C">
        <w:rPr>
          <w:lang w:val="en-GB"/>
        </w:rPr>
        <w:t xml:space="preserve">. </w:t>
      </w:r>
    </w:p>
    <w:p w14:paraId="33A1141B" w14:textId="4A9282B2" w:rsidR="008A52EE" w:rsidRPr="00D6301C" w:rsidRDefault="00F538DF" w:rsidP="00177195">
      <w:pPr>
        <w:spacing w:line="276" w:lineRule="auto"/>
        <w:jc w:val="both"/>
        <w:rPr>
          <w:i/>
          <w:iCs/>
          <w:u w:val="single"/>
          <w:lang w:val="en-GB"/>
        </w:rPr>
      </w:pPr>
      <w:r w:rsidRPr="00D6301C">
        <w:rPr>
          <w:lang w:val="en-GB"/>
        </w:rPr>
        <w:lastRenderedPageBreak/>
        <w:t>Representative images of the different oestr</w:t>
      </w:r>
      <w:r w:rsidR="004A37C2" w:rsidRPr="00D6301C">
        <w:rPr>
          <w:lang w:val="en-GB"/>
        </w:rPr>
        <w:t>o</w:t>
      </w:r>
      <w:r w:rsidRPr="00D6301C">
        <w:rPr>
          <w:lang w:val="en-GB"/>
        </w:rPr>
        <w:t xml:space="preserve">us stages are shown in </w:t>
      </w:r>
      <w:r w:rsidRPr="00D6301C">
        <w:rPr>
          <w:b/>
          <w:bCs/>
          <w:lang w:val="en-GB"/>
        </w:rPr>
        <w:t>Suppl. Fig. 1</w:t>
      </w:r>
      <w:r w:rsidRPr="00D6301C">
        <w:rPr>
          <w:lang w:val="en-GB"/>
        </w:rPr>
        <w:t xml:space="preserve">. </w:t>
      </w:r>
      <w:r w:rsidR="00C9013B" w:rsidRPr="00D6301C">
        <w:rPr>
          <w:lang w:val="en-GB"/>
        </w:rPr>
        <w:t xml:space="preserve">Thereafter, animals continued in separate experimental protocols not reported here. This cohort provided sufficient statistical power to evaluate the potential influence of </w:t>
      </w:r>
      <w:r w:rsidR="00316A25" w:rsidRPr="00D6301C">
        <w:rPr>
          <w:lang w:val="en-GB"/>
        </w:rPr>
        <w:t>oestrous</w:t>
      </w:r>
      <w:r w:rsidR="00C9013B" w:rsidRPr="00D6301C">
        <w:rPr>
          <w:lang w:val="en-GB"/>
        </w:rPr>
        <w:t xml:space="preserve"> cycle</w:t>
      </w:r>
      <w:r w:rsidR="008927D7" w:rsidRPr="00D6301C">
        <w:rPr>
          <w:lang w:val="en-GB"/>
        </w:rPr>
        <w:t xml:space="preserve"> stage</w:t>
      </w:r>
      <w:r w:rsidR="00C9013B" w:rsidRPr="00D6301C">
        <w:rPr>
          <w:lang w:val="en-GB"/>
        </w:rPr>
        <w:t xml:space="preserve"> on pain-related </w:t>
      </w:r>
      <w:r w:rsidR="00316A25" w:rsidRPr="00D6301C">
        <w:rPr>
          <w:lang w:val="en-GB"/>
        </w:rPr>
        <w:t>behaviours</w:t>
      </w:r>
      <w:r w:rsidR="00C9013B" w:rsidRPr="00D6301C">
        <w:rPr>
          <w:lang w:val="en-GB"/>
        </w:rPr>
        <w:t>.</w:t>
      </w:r>
    </w:p>
    <w:p w14:paraId="21DAD1BE" w14:textId="5E77C3D8" w:rsidR="00C9013B" w:rsidRPr="00D6301C" w:rsidRDefault="00C9013B" w:rsidP="00177195">
      <w:pPr>
        <w:spacing w:after="0" w:line="276" w:lineRule="auto"/>
        <w:jc w:val="both"/>
        <w:rPr>
          <w:i/>
          <w:iCs/>
          <w:u w:val="single"/>
          <w:lang w:val="en-GB"/>
        </w:rPr>
      </w:pPr>
      <w:r w:rsidRPr="00D6301C">
        <w:rPr>
          <w:i/>
          <w:iCs/>
          <w:u w:val="single"/>
          <w:lang w:val="en-GB"/>
        </w:rPr>
        <w:t>Static weight bearing test</w:t>
      </w:r>
    </w:p>
    <w:p w14:paraId="5FDD0A31" w14:textId="23BC074F" w:rsidR="00521DA8" w:rsidRPr="00D6301C" w:rsidRDefault="00C9013B" w:rsidP="009C627E">
      <w:pPr>
        <w:spacing w:after="40" w:line="276" w:lineRule="auto"/>
        <w:jc w:val="both"/>
        <w:rPr>
          <w:lang w:val="en-GB"/>
        </w:rPr>
      </w:pPr>
      <w:r w:rsidRPr="00D6301C">
        <w:rPr>
          <w:lang w:val="en-GB"/>
        </w:rPr>
        <w:t xml:space="preserve">Spontaneous </w:t>
      </w:r>
      <w:r w:rsidR="000E65BF" w:rsidRPr="00D6301C">
        <w:rPr>
          <w:lang w:val="en-GB"/>
        </w:rPr>
        <w:t xml:space="preserve">knee </w:t>
      </w:r>
      <w:r w:rsidRPr="00D6301C">
        <w:rPr>
          <w:lang w:val="en-GB"/>
        </w:rPr>
        <w:t>joint pain</w:t>
      </w:r>
      <w:r w:rsidR="000E65BF" w:rsidRPr="00D6301C">
        <w:rPr>
          <w:lang w:val="en-GB"/>
        </w:rPr>
        <w:t xml:space="preserve">-related </w:t>
      </w:r>
      <w:r w:rsidR="00316A25" w:rsidRPr="00D6301C">
        <w:rPr>
          <w:lang w:val="en-GB"/>
        </w:rPr>
        <w:t>behaviour</w:t>
      </w:r>
      <w:r w:rsidRPr="00D6301C">
        <w:rPr>
          <w:lang w:val="en-GB"/>
        </w:rPr>
        <w:t xml:space="preserve"> (primary site) was assessed </w:t>
      </w:r>
      <w:r w:rsidR="00394AC4" w:rsidRPr="00D6301C">
        <w:rPr>
          <w:lang w:val="en-GB"/>
        </w:rPr>
        <w:t xml:space="preserve">with </w:t>
      </w:r>
      <w:r w:rsidR="00DA71FC" w:rsidRPr="00D6301C">
        <w:rPr>
          <w:lang w:val="en-GB"/>
        </w:rPr>
        <w:t xml:space="preserve">the </w:t>
      </w:r>
      <w:r w:rsidR="00394AC4" w:rsidRPr="00D6301C">
        <w:rPr>
          <w:lang w:val="en-GB"/>
        </w:rPr>
        <w:t>s</w:t>
      </w:r>
      <w:r w:rsidRPr="00D6301C">
        <w:rPr>
          <w:lang w:val="en-GB"/>
        </w:rPr>
        <w:t>tatic weight</w:t>
      </w:r>
      <w:r w:rsidR="00394AC4" w:rsidRPr="00D6301C">
        <w:rPr>
          <w:lang w:val="en-GB"/>
        </w:rPr>
        <w:t>-</w:t>
      </w:r>
      <w:r w:rsidRPr="00D6301C">
        <w:rPr>
          <w:lang w:val="en-GB"/>
        </w:rPr>
        <w:t>bearing test</w:t>
      </w:r>
      <w:r w:rsidR="00A65C4A" w:rsidRPr="00D6301C">
        <w:rPr>
          <w:lang w:val="en-GB"/>
        </w:rPr>
        <w:t xml:space="preserve"> </w:t>
      </w:r>
      <w:r w:rsidRPr="00D6301C">
        <w:rPr>
          <w:lang w:val="en-GB"/>
        </w:rPr>
        <w:fldChar w:fldCharType="begin" w:fldLock="1"/>
      </w:r>
      <w:r w:rsidR="00CD0E89" w:rsidRPr="00D6301C">
        <w:rPr>
          <w:lang w:val="en-GB"/>
        </w:rPr>
        <w:instrText>ADDIN CSL_CITATION {"citationItems":[{"id":"ITEM-1","itemData":{"DOI":"10.1016/s1063-4584(03)00163-8","ISSN":"1063-4584 (Print)","PMID":"14609535","abstract":"OBJECTIVE: To describe an in vivo model in the rat in which change in weight  distribution is used as a measure of disease progression and efficacy of acetaminophen and two nonsteroidal anti-inflammatory drugs (NSAIDs) in a model of monosodium iodoacetate (MIA)-induced osteoarthritis (OA). METHODS: Intra-articular injections of MIA and saline were administered to male Wistar rats (175-200 g) into the right and left knee joints, respectively. Changes in hind paw weight distribution between the right (osteoarthritic) and left (contralateral control) limbs were utilized as an index of joint discomfort. Acetaminophen and two archetypal, orally administered NSAIDs, naproxen and rofecoxib, were examined for their ability to decrease MIA-induced change in weight distribution. RESULTS: A concentration-dependent increase in change in hind paw weight distribution was noted after intra-articular injection of MIA. Both naproxen and rofecoxib demonstrated the capacity to significantly (P&lt;0.05) decrease hind paw weight distribution in a dose-dependent fashion, indicating that the change in weight distribution associated with MIA injection is susceptible to pharmacological intervention. CONCLUSION: The determination of differences in hind paw weight distribution in the rat MIA model of OA is a technically straightforward, reproducible method that is predictive of the effects of anti-inflammatory and analgesic agents. This system may be useful for the discovery of novel pharmacologic agents in human OA.","author":[{"dropping-particle":"","family":"Bove","given":"S E","non-dropping-particle":"","parse-names":false,"suffix":""},{"dropping-particle":"","family":"Calcaterra","given":"S L","non-dropping-particle":"","parse-names":false,"suffix":""},{"dropping-particle":"","family":"Brooker","given":"R M","non-dropping-particle":"","parse-names":false,"suffix":""},{"dropping-particle":"","family":"Huber","given":"C M","non-dropping-particle":"","parse-names":false,"suffix":""},{"dropping-particle":"","family":"Guzman","given":"R E","non-dropping-particle":"","parse-names":false,"suffix":""},{"dropping-particle":"","family":"Juneau","given":"P L","non-dropping-particle":"","parse-names":false,"suffix":""},{"dropping-particle":"","family":"Schrier","given":"D J","non-dropping-particle":"","parse-names":false,"suffix":""},{"dropping-particle":"","family":"Kilgore","given":"K S","non-dropping-particle":"","parse-names":false,"suffix":""}],"container-title":"Osteoarthritis and cartilage","id":"ITEM-1","issue":"11","issued":{"date-parts":[["2003","11"]]},"language":"eng","page":"821-830","publisher-place":"England","title":"Weight bearing as a measure of disease progression and efficacy of  anti-inflammatory compounds in a model of monosodium iodoacetate-induced osteoarthritis.","type":"article-journal","volume":"11"},"uris":["http://www.mendeley.com/documents/?uuid=af121846-586a-40a2-ac6c-132397fcaa98"]}],"mendeley":{"formattedCitation":"(Bove et al., 2003)","plainTextFormattedCitation":"(Bove et al., 2003)","previouslyFormattedCitation":"(Bove et al., 2003)"},"properties":{"noteIndex":0},"schema":"https://github.com/citation-style-language/schema/raw/master/csl-citation.json"}</w:instrText>
      </w:r>
      <w:r w:rsidRPr="00D6301C">
        <w:rPr>
          <w:lang w:val="en-GB"/>
        </w:rPr>
        <w:fldChar w:fldCharType="separate"/>
      </w:r>
      <w:r w:rsidR="00241227" w:rsidRPr="00D6301C">
        <w:rPr>
          <w:noProof/>
          <w:lang w:val="en-GB"/>
        </w:rPr>
        <w:t>(Bove et al., 2003)</w:t>
      </w:r>
      <w:r w:rsidRPr="00D6301C">
        <w:rPr>
          <w:lang w:val="en-GB"/>
        </w:rPr>
        <w:fldChar w:fldCharType="end"/>
      </w:r>
      <w:r w:rsidRPr="00D6301C">
        <w:rPr>
          <w:lang w:val="en-GB"/>
        </w:rPr>
        <w:t xml:space="preserve">, using the </w:t>
      </w:r>
      <w:r w:rsidR="00394AC4" w:rsidRPr="00D6301C">
        <w:rPr>
          <w:lang w:val="en-GB"/>
        </w:rPr>
        <w:t>i</w:t>
      </w:r>
      <w:r w:rsidRPr="00D6301C">
        <w:rPr>
          <w:lang w:val="en-GB"/>
        </w:rPr>
        <w:t xml:space="preserve">ncapacitance tester (Linton Instrumentation, UK). </w:t>
      </w:r>
      <w:r w:rsidR="003E7191" w:rsidRPr="00D6301C">
        <w:rPr>
          <w:lang w:val="en-GB"/>
        </w:rPr>
        <w:t xml:space="preserve">Animals were habituated to the </w:t>
      </w:r>
      <w:r w:rsidR="000A7DA7" w:rsidRPr="00D6301C">
        <w:rPr>
          <w:lang w:val="en-GB"/>
        </w:rPr>
        <w:t>apparatus</w:t>
      </w:r>
      <w:r w:rsidR="00655E0F" w:rsidRPr="00D6301C">
        <w:rPr>
          <w:lang w:val="en-GB"/>
        </w:rPr>
        <w:t xml:space="preserve"> for two days prior to baseline assessment</w:t>
      </w:r>
      <w:r w:rsidR="00E87AE0" w:rsidRPr="00D6301C">
        <w:rPr>
          <w:lang w:val="en-GB"/>
        </w:rPr>
        <w:t xml:space="preserve"> (5 min each day). </w:t>
      </w:r>
      <w:r w:rsidR="00D94D76" w:rsidRPr="00D6301C">
        <w:rPr>
          <w:lang w:val="en-GB"/>
        </w:rPr>
        <w:t>For testing, r</w:t>
      </w:r>
      <w:r w:rsidRPr="00D6301C">
        <w:rPr>
          <w:lang w:val="en-GB"/>
        </w:rPr>
        <w:t>ats were placed with forepaws on the angled surface and hind paws on force sensor plates</w:t>
      </w:r>
      <w:r w:rsidR="00764DCC" w:rsidRPr="00D6301C">
        <w:rPr>
          <w:lang w:val="en-GB"/>
        </w:rPr>
        <w:t>. T</w:t>
      </w:r>
      <w:r w:rsidRPr="00D6301C">
        <w:rPr>
          <w:lang w:val="en-GB"/>
        </w:rPr>
        <w:t xml:space="preserve">he force (g) </w:t>
      </w:r>
      <w:r w:rsidR="00764DCC" w:rsidRPr="00D6301C">
        <w:rPr>
          <w:lang w:val="en-GB"/>
        </w:rPr>
        <w:t xml:space="preserve">exerted </w:t>
      </w:r>
      <w:r w:rsidR="00E87AE0" w:rsidRPr="00D6301C">
        <w:rPr>
          <w:lang w:val="en-GB"/>
        </w:rPr>
        <w:t xml:space="preserve">by </w:t>
      </w:r>
      <w:r w:rsidRPr="00D6301C">
        <w:rPr>
          <w:lang w:val="en-GB"/>
        </w:rPr>
        <w:t>each hind paw was averaged over 3 s.</w:t>
      </w:r>
      <w:r w:rsidR="00521DA8" w:rsidRPr="00D6301C">
        <w:rPr>
          <w:lang w:val="en-GB"/>
        </w:rPr>
        <w:t xml:space="preserve"> Percentage weight-bearing (%WB) on the ipsilateral (left) hind limb was calculated</w:t>
      </w:r>
      <w:r w:rsidR="007D3146" w:rsidRPr="00D6301C">
        <w:rPr>
          <w:lang w:val="en-GB"/>
        </w:rPr>
        <w:t xml:space="preserve"> using the following equation. Three readings per rat were taken, and </w:t>
      </w:r>
      <w:r w:rsidR="00142DFB" w:rsidRPr="00D6301C">
        <w:rPr>
          <w:lang w:val="en-GB"/>
        </w:rPr>
        <w:t>mean %WB calculated.</w:t>
      </w:r>
    </w:p>
    <w:p w14:paraId="443EE70B" w14:textId="77777777" w:rsidR="009C627E" w:rsidRPr="00D6301C" w:rsidRDefault="009C627E" w:rsidP="009C627E">
      <w:pPr>
        <w:spacing w:after="40" w:line="276" w:lineRule="auto"/>
        <w:jc w:val="both"/>
        <w:rPr>
          <w:lang w:val="en-GB"/>
        </w:rPr>
      </w:pPr>
      <m:oMathPara>
        <m:oMath>
          <m:r>
            <m:rPr>
              <m:sty m:val="p"/>
            </m:rPr>
            <w:rPr>
              <w:rFonts w:ascii="Cambria Math" w:hAnsi="Cambria Math"/>
              <w:sz w:val="20"/>
              <w:szCs w:val="20"/>
              <w:lang w:val="en-GB"/>
            </w:rPr>
            <m:t>%WB=</m:t>
          </m:r>
          <m:f>
            <m:fPr>
              <m:ctrlPr>
                <w:rPr>
                  <w:rFonts w:ascii="Cambria Math" w:hAnsi="Cambria Math"/>
                  <w:sz w:val="20"/>
                  <w:szCs w:val="20"/>
                  <w:lang w:val="en-GB"/>
                </w:rPr>
              </m:ctrlPr>
            </m:fPr>
            <m:num>
              <m:r>
                <m:rPr>
                  <m:sty m:val="p"/>
                </m:rPr>
                <w:rPr>
                  <w:rFonts w:ascii="Cambria Math" w:hAnsi="Cambria Math"/>
                  <w:sz w:val="20"/>
                  <w:szCs w:val="20"/>
                  <w:lang w:val="en-GB"/>
                </w:rPr>
                <m:t>Weight on ipsilateral hind limb</m:t>
              </m:r>
            </m:num>
            <m:den>
              <m:r>
                <m:rPr>
                  <m:sty m:val="p"/>
                </m:rPr>
                <w:rPr>
                  <w:rFonts w:ascii="Cambria Math" w:hAnsi="Cambria Math"/>
                  <w:sz w:val="20"/>
                  <w:szCs w:val="20"/>
                  <w:lang w:val="en-GB"/>
                </w:rPr>
                <m:t>Weight on contralateral+ipsilateral hind limbs</m:t>
              </m:r>
            </m:den>
          </m:f>
          <m:r>
            <m:rPr>
              <m:sty m:val="p"/>
            </m:rPr>
            <w:rPr>
              <w:rFonts w:ascii="Cambria Math" w:hAnsi="Cambria Math"/>
              <w:sz w:val="20"/>
              <w:szCs w:val="20"/>
              <w:lang w:val="en-GB"/>
            </w:rPr>
            <m:t xml:space="preserve"> ×100</m:t>
          </m:r>
        </m:oMath>
      </m:oMathPara>
    </w:p>
    <w:p w14:paraId="71B547CD" w14:textId="3C325E66" w:rsidR="009C627E" w:rsidRPr="00D6301C" w:rsidRDefault="009C627E" w:rsidP="00570432">
      <w:pPr>
        <w:spacing w:after="40" w:line="276" w:lineRule="auto"/>
        <w:jc w:val="both"/>
        <w:rPr>
          <w:lang w:val="en-GB"/>
        </w:rPr>
      </w:pPr>
    </w:p>
    <w:p w14:paraId="07C30328" w14:textId="0DCF16E1" w:rsidR="00C9013B" w:rsidRPr="00D6301C" w:rsidRDefault="00C9013B" w:rsidP="00570432">
      <w:pPr>
        <w:spacing w:after="40" w:line="276" w:lineRule="auto"/>
        <w:jc w:val="both"/>
        <w:rPr>
          <w:lang w:val="en-GB"/>
        </w:rPr>
      </w:pPr>
      <w:r w:rsidRPr="00D6301C">
        <w:rPr>
          <w:lang w:val="en-GB"/>
        </w:rPr>
        <w:t>The weight</w:t>
      </w:r>
      <w:r w:rsidR="00406D2E" w:rsidRPr="00D6301C">
        <w:rPr>
          <w:lang w:val="en-GB"/>
        </w:rPr>
        <w:t>-</w:t>
      </w:r>
      <w:r w:rsidRPr="00D6301C">
        <w:rPr>
          <w:lang w:val="en-GB"/>
        </w:rPr>
        <w:t>bearing percentage variation relative to baseline [WB%∆(BL)]</w:t>
      </w:r>
      <w:r w:rsidR="008E3DBC" w:rsidRPr="00D6301C">
        <w:rPr>
          <w:lang w:val="en-GB"/>
        </w:rPr>
        <w:t>,</w:t>
      </w:r>
      <w:r w:rsidR="00FC48CB" w:rsidRPr="00D6301C">
        <w:rPr>
          <w:lang w:val="en-GB"/>
        </w:rPr>
        <w:t xml:space="preserve"> </w:t>
      </w:r>
      <w:r w:rsidRPr="00D6301C">
        <w:rPr>
          <w:lang w:val="en-GB"/>
        </w:rPr>
        <w:t>for each measurement between Day 5 and Day 63, was calculated as:</w:t>
      </w:r>
    </w:p>
    <w:p w14:paraId="5F5CD78B" w14:textId="77777777" w:rsidR="00C9013B" w:rsidRPr="00D6301C" w:rsidRDefault="00C9013B" w:rsidP="00570432">
      <w:pPr>
        <w:spacing w:after="40" w:line="276" w:lineRule="auto"/>
        <w:jc w:val="both"/>
        <w:rPr>
          <w:lang w:val="en-GB"/>
        </w:rPr>
      </w:pPr>
      <m:oMathPara>
        <m:oMath>
          <m:r>
            <m:rPr>
              <m:sty m:val="p"/>
            </m:rPr>
            <w:rPr>
              <w:rFonts w:ascii="Cambria Math" w:hAnsi="Cambria Math"/>
              <w:sz w:val="20"/>
              <w:szCs w:val="20"/>
              <w:lang w:val="en-GB"/>
            </w:rPr>
            <m:t>WB%∆(BL)</m:t>
          </m:r>
          <m:r>
            <m:rPr>
              <m:sty m:val="p"/>
            </m:rPr>
            <w:rPr>
              <w:rFonts w:ascii="Cambria Math" w:hAnsi="Cambria Math"/>
              <w:sz w:val="18"/>
              <w:szCs w:val="18"/>
              <w:lang w:val="en-GB"/>
            </w:rPr>
            <m:t>=</m:t>
          </m:r>
          <m:f>
            <m:fPr>
              <m:ctrlPr>
                <w:rPr>
                  <w:rFonts w:ascii="Cambria Math" w:hAnsi="Cambria Math"/>
                  <w:sz w:val="18"/>
                  <w:szCs w:val="18"/>
                  <w:lang w:val="en-GB"/>
                </w:rPr>
              </m:ctrlPr>
            </m:fPr>
            <m:num>
              <m:r>
                <m:rPr>
                  <m:sty m:val="p"/>
                </m:rPr>
                <w:rPr>
                  <w:rFonts w:ascii="Cambria Math" w:hAnsi="Cambria Math"/>
                  <w:sz w:val="18"/>
                  <w:szCs w:val="18"/>
                  <w:lang w:val="en-GB"/>
                </w:rPr>
                <m:t>%WB on ipsilateral hind limb</m:t>
              </m:r>
              <m:d>
                <m:dPr>
                  <m:ctrlPr>
                    <w:rPr>
                      <w:rFonts w:ascii="Cambria Math" w:hAnsi="Cambria Math"/>
                      <w:sz w:val="18"/>
                      <w:szCs w:val="18"/>
                      <w:lang w:val="en-GB"/>
                    </w:rPr>
                  </m:ctrlPr>
                </m:dPr>
                <m:e>
                  <m:r>
                    <m:rPr>
                      <m:sty m:val="p"/>
                    </m:rPr>
                    <w:rPr>
                      <w:rFonts w:ascii="Cambria Math" w:hAnsi="Cambria Math"/>
                      <w:sz w:val="18"/>
                      <w:szCs w:val="18"/>
                      <w:lang w:val="en-GB"/>
                    </w:rPr>
                    <m:t>Day 5-63</m:t>
                  </m:r>
                </m:e>
              </m:d>
              <m:r>
                <w:rPr>
                  <w:rFonts w:ascii="Cambria Math" w:hAnsi="Cambria Math"/>
                  <w:sz w:val="18"/>
                  <w:szCs w:val="18"/>
                  <w:lang w:val="en-GB"/>
                </w:rPr>
                <m:t>-%</m:t>
              </m:r>
              <m:r>
                <m:rPr>
                  <m:sty m:val="p"/>
                </m:rPr>
                <w:rPr>
                  <w:rFonts w:ascii="Cambria Math" w:hAnsi="Cambria Math"/>
                  <w:sz w:val="18"/>
                  <w:szCs w:val="18"/>
                  <w:lang w:val="en-GB"/>
                </w:rPr>
                <m:t>WB on ipsilateral hind limb (BL)</m:t>
              </m:r>
              <m:r>
                <w:rPr>
                  <w:rFonts w:ascii="Cambria Math" w:hAnsi="Cambria Math"/>
                  <w:sz w:val="18"/>
                  <w:szCs w:val="18"/>
                  <w:lang w:val="en-GB"/>
                </w:rPr>
                <m:t xml:space="preserve"> </m:t>
              </m:r>
            </m:num>
            <m:den>
              <m:r>
                <w:rPr>
                  <w:rFonts w:ascii="Cambria Math" w:hAnsi="Cambria Math"/>
                  <w:sz w:val="18"/>
                  <w:szCs w:val="18"/>
                  <w:lang w:val="en-GB"/>
                </w:rPr>
                <m:t>%</m:t>
              </m:r>
              <m:r>
                <m:rPr>
                  <m:sty m:val="p"/>
                </m:rPr>
                <w:rPr>
                  <w:rFonts w:ascii="Cambria Math" w:hAnsi="Cambria Math"/>
                  <w:sz w:val="18"/>
                  <w:szCs w:val="18"/>
                  <w:lang w:val="en-GB"/>
                </w:rPr>
                <m:t>WB on ipsilateral hind limb (BL)</m:t>
              </m:r>
            </m:den>
          </m:f>
          <m:r>
            <m:rPr>
              <m:sty m:val="p"/>
            </m:rPr>
            <w:rPr>
              <w:rFonts w:ascii="Cambria Math" w:hAnsi="Cambria Math"/>
              <w:sz w:val="18"/>
              <w:szCs w:val="18"/>
              <w:lang w:val="en-GB"/>
            </w:rPr>
            <m:t xml:space="preserve"> ×100</m:t>
          </m:r>
        </m:oMath>
      </m:oMathPara>
    </w:p>
    <w:p w14:paraId="462FDD72" w14:textId="77777777" w:rsidR="00A25980" w:rsidRPr="00D6301C" w:rsidRDefault="00A25980" w:rsidP="00570432">
      <w:pPr>
        <w:spacing w:after="40" w:line="276" w:lineRule="auto"/>
        <w:jc w:val="both"/>
        <w:rPr>
          <w:lang w:val="en-GB"/>
        </w:rPr>
      </w:pPr>
    </w:p>
    <w:p w14:paraId="141933F4" w14:textId="77B2B2D9" w:rsidR="001472EE" w:rsidRPr="00D6301C" w:rsidRDefault="00142DFB" w:rsidP="00177195">
      <w:pPr>
        <w:spacing w:line="276" w:lineRule="auto"/>
        <w:jc w:val="both"/>
        <w:rPr>
          <w:lang w:val="en-GB"/>
        </w:rPr>
      </w:pPr>
      <w:r w:rsidRPr="00D6301C">
        <w:rPr>
          <w:lang w:val="en-GB"/>
        </w:rPr>
        <w:t>Values</w:t>
      </w:r>
      <w:r w:rsidR="00C9013B" w:rsidRPr="00D6301C">
        <w:rPr>
          <w:lang w:val="en-GB"/>
        </w:rPr>
        <w:t xml:space="preserve"> were then averaged to obtain a single representative index for each animal.</w:t>
      </w:r>
    </w:p>
    <w:p w14:paraId="74817FF9" w14:textId="47C60E23" w:rsidR="00C9013B" w:rsidRPr="00D6301C" w:rsidRDefault="00C9013B" w:rsidP="00177195">
      <w:pPr>
        <w:spacing w:after="0" w:line="276" w:lineRule="auto"/>
        <w:jc w:val="both"/>
        <w:rPr>
          <w:i/>
          <w:iCs/>
          <w:u w:val="single"/>
          <w:lang w:val="en-GB"/>
        </w:rPr>
      </w:pPr>
      <w:r w:rsidRPr="00D6301C">
        <w:rPr>
          <w:i/>
          <w:iCs/>
          <w:u w:val="single"/>
          <w:lang w:val="en-GB"/>
        </w:rPr>
        <w:t>Electronic von Frey test</w:t>
      </w:r>
    </w:p>
    <w:p w14:paraId="247BD436" w14:textId="4B34BE6E" w:rsidR="008848F0" w:rsidRPr="00D6301C" w:rsidRDefault="00C9013B" w:rsidP="00570432">
      <w:pPr>
        <w:spacing w:after="40" w:line="276" w:lineRule="auto"/>
        <w:jc w:val="both"/>
        <w:rPr>
          <w:lang w:val="en-GB"/>
        </w:rPr>
      </w:pPr>
      <w:r w:rsidRPr="00D6301C">
        <w:rPr>
          <w:lang w:val="en-GB"/>
        </w:rPr>
        <w:t xml:space="preserve">Mechanical hypersensitivity </w:t>
      </w:r>
      <w:r w:rsidR="00995265" w:rsidRPr="00D6301C">
        <w:rPr>
          <w:lang w:val="en-GB"/>
        </w:rPr>
        <w:t>at</w:t>
      </w:r>
      <w:r w:rsidRPr="00D6301C">
        <w:rPr>
          <w:lang w:val="en-GB"/>
        </w:rPr>
        <w:t xml:space="preserve"> the ipsilateral hind paw (secondary site) compared to the healthy contralateral side was measured using an electronic von Frey (eVF) </w:t>
      </w:r>
      <w:r w:rsidRPr="00D6301C">
        <w:rPr>
          <w:lang w:val="en-GB"/>
        </w:rPr>
        <w:fldChar w:fldCharType="begin" w:fldLock="1"/>
      </w:r>
      <w:r w:rsidR="00CD0E89" w:rsidRPr="00D6301C">
        <w:rPr>
          <w:lang w:val="en-GB"/>
        </w:rPr>
        <w:instrText>ADDIN CSL_CITATION {"citationItems":[{"id":"ITEM-1","itemData":{"DOI":"10.3389/fphar.2024.1505980","ISSN":"1663-9812 (Print)","PMID":"39830350","abstract":"Paclitaxel (PTX) is a commonly used chemotherapeutic drug, however, one of its  major adverse effects is chronic neuropathic pain, with the incidence being higher in women than in men. The neurobiological mechanisms behind this sex difference are still largely unclear, and the endocannabinoid system, which exhibits sexual dimorphism and plays a key role in pain regulation, is a promising area for further studies. The present study aimed to characterise pain-, cognition-, anxiety-, and depression-related behaviours in male and female rats following PTX administration, and associated alterations in the endocannabinoid system. After the induction of the model, pain-related behaviours were assessed using von Frey, Acetone Drop and Hargreaves' tests, Novel Object Recognition and T-Maze Spontaneous Alternation tests were used for cognition-related behaviours, Elevated Plus Maze, Open Field, and Light Dark Box tests were used to assess anxiety-related behaviours, and Sucrose Preference, Sucrose Splash, and Forced Swim tests for depression-related behaviours. At each time point analysed, animals treated with PTX exhibited mechanical and cold hypersensitivity, with females displaying lower hind paw withdrawal thresholds to mechanical stimulation than males. No PTX-induced alterations in the other behavioural tests were detected. Post-mortem measurement of endocannabinoid and related N-acylethanolamine levels in spinal cord and discrete brain regions revealed a PTX-induced increase of 2-Arachidonoyl Glycerol (2-AG), N-Palmitoylethanolamine (PEA) and N-Oleoylethanolamine (OEA) levels in the amygdala of male and female animals, but not in the other areas. Collectively, these results suggest that PTX causes similar long-lasting hypersensitivity to mechanical and cold stimuli, but not heat, in rats of both sexes, effects accompanied by increases in amygdalar levels of endocannabinoids and N-acylethanolamines.","author":[{"dropping-particle":"","family":"Marino","given":"Chiara","non-dropping-particle":"Di","parse-names":false,"suffix":""},{"dropping-particle":"","family":"Llorente-Berzal","given":"Álvaro","non-dropping-particle":"","parse-names":false,"suffix":""},{"dropping-particle":"","family":"Diego","given":"Alba M","non-dropping-particle":"","parse-names":false,"suffix":""},{"dropping-particle":"","family":"Bella","given":"Ariadni","non-dropping-particle":"","parse-names":false,"suffix":""},{"dropping-particle":"","family":"Boullon","given":"Laura","non-dropping-particle":"","parse-names":false,"suffix":""},{"dropping-particle":"","family":"Berrocoso","given":"Esther","non-dropping-particle":"","parse-names":false,"suffix":""},{"dropping-particle":"","family":"Roche","given":"Michelle","non-dropping-particle":"","parse-names":false,"suffix":""},{"dropping-particle":"","family":"Finn","given":"David P","non-dropping-particle":"","parse-names":false,"suffix":""}],"container-title":"Frontiers in pharmacology","id":"ITEM-1","issued":{"date-parts":[["2024"]]},"language":"eng","page":"1505980","publisher-place":"Switzerland","title":"Characterisation of the effects of the chemotherapeutic agent paclitaxel on  neuropathic pain-related behaviour, anxiodepressive behaviour, cognition, and the endocannabinoid system in male and female rats.","type":"article-journal","volume":"15"},"uris":["http://www.mendeley.com/documents/?uuid=429c8925-ab64-4c2e-919b-b7763af9560e"]}],"mendeley":{"formattedCitation":"(Di Marino et al., 2024)","plainTextFormattedCitation":"(Di Marino et al., 2024)","previouslyFormattedCitation":"(Di Marino et al., 2024)"},"properties":{"noteIndex":0},"schema":"https://github.com/citation-style-language/schema/raw/master/csl-citation.json"}</w:instrText>
      </w:r>
      <w:r w:rsidRPr="00D6301C">
        <w:rPr>
          <w:lang w:val="en-GB"/>
        </w:rPr>
        <w:fldChar w:fldCharType="separate"/>
      </w:r>
      <w:r w:rsidR="00241227" w:rsidRPr="00D6301C">
        <w:rPr>
          <w:noProof/>
          <w:lang w:val="en-GB"/>
        </w:rPr>
        <w:t>(Di Marino et al., 2024)</w:t>
      </w:r>
      <w:r w:rsidRPr="00D6301C">
        <w:rPr>
          <w:lang w:val="en-GB"/>
        </w:rPr>
        <w:fldChar w:fldCharType="end"/>
      </w:r>
      <w:r w:rsidRPr="00D6301C">
        <w:rPr>
          <w:lang w:val="en-GB"/>
        </w:rPr>
        <w:t xml:space="preserve"> aesthesiometer (IITC Life Science, USA). After 20 min </w:t>
      </w:r>
      <w:r w:rsidR="006211F0" w:rsidRPr="00D6301C">
        <w:rPr>
          <w:lang w:val="en-GB"/>
        </w:rPr>
        <w:t>acclimati</w:t>
      </w:r>
      <w:r w:rsidR="00114E6A" w:rsidRPr="00D6301C">
        <w:rPr>
          <w:lang w:val="en-GB"/>
        </w:rPr>
        <w:t>s</w:t>
      </w:r>
      <w:r w:rsidR="006211F0" w:rsidRPr="00D6301C">
        <w:rPr>
          <w:lang w:val="en-GB"/>
        </w:rPr>
        <w:t>ation</w:t>
      </w:r>
      <w:r w:rsidRPr="00D6301C">
        <w:rPr>
          <w:lang w:val="en-GB"/>
        </w:rPr>
        <w:t xml:space="preserve"> on a mesh floor, </w:t>
      </w:r>
      <w:r w:rsidR="005A2829" w:rsidRPr="00D6301C">
        <w:rPr>
          <w:lang w:val="en-GB"/>
        </w:rPr>
        <w:t xml:space="preserve">gradual </w:t>
      </w:r>
      <w:r w:rsidRPr="00D6301C">
        <w:rPr>
          <w:lang w:val="en-GB"/>
        </w:rPr>
        <w:t>pressure was applied with a rigid probe tip to the plantar surface of each hind paw. Paw withdrawal threshold (PWT) was recorded as the force (g) eliciting paw withdrawal</w:t>
      </w:r>
      <w:r w:rsidR="005432BA" w:rsidRPr="00D6301C">
        <w:rPr>
          <w:lang w:val="en-GB"/>
        </w:rPr>
        <w:t xml:space="preserve">, </w:t>
      </w:r>
      <w:r w:rsidRPr="00D6301C">
        <w:rPr>
          <w:lang w:val="en-GB"/>
        </w:rPr>
        <w:t>flinching</w:t>
      </w:r>
      <w:r w:rsidR="005432BA" w:rsidRPr="00D6301C">
        <w:rPr>
          <w:lang w:val="en-GB"/>
        </w:rPr>
        <w:t xml:space="preserve">, or </w:t>
      </w:r>
      <w:r w:rsidRPr="00D6301C">
        <w:rPr>
          <w:lang w:val="en-GB"/>
        </w:rPr>
        <w:t>licking. Each paw was tested three times (≥5 min interval), starting with the contralateral side, and average PWT calculated.</w:t>
      </w:r>
    </w:p>
    <w:p w14:paraId="27176CEB" w14:textId="55F82ABD" w:rsidR="00C9013B" w:rsidRPr="00D6301C" w:rsidRDefault="00C9013B" w:rsidP="00570432">
      <w:pPr>
        <w:spacing w:after="40" w:line="276" w:lineRule="auto"/>
        <w:jc w:val="both"/>
        <w:rPr>
          <w:lang w:val="en-GB"/>
        </w:rPr>
      </w:pPr>
      <w:r w:rsidRPr="00D6301C">
        <w:rPr>
          <w:lang w:val="en-GB"/>
        </w:rPr>
        <w:t>The PWT percentage variation relative to baseline [PWT%∆(BL)], or relative to the contralateral hind paw [PWT%∆(</w:t>
      </w:r>
      <w:r w:rsidR="00AF6B24" w:rsidRPr="00D6301C">
        <w:rPr>
          <w:lang w:val="en-GB"/>
        </w:rPr>
        <w:t>contra</w:t>
      </w:r>
      <w:r w:rsidRPr="00D6301C">
        <w:rPr>
          <w:lang w:val="en-GB"/>
        </w:rPr>
        <w:t>)]</w:t>
      </w:r>
      <w:r w:rsidR="00C044E9" w:rsidRPr="00D6301C">
        <w:rPr>
          <w:lang w:val="en-GB"/>
        </w:rPr>
        <w:t>,</w:t>
      </w:r>
      <w:r w:rsidRPr="00D6301C">
        <w:rPr>
          <w:lang w:val="en-GB"/>
        </w:rPr>
        <w:t xml:space="preserve"> for each measurement between Day 5 and Day 63, was calculated as:</w:t>
      </w:r>
    </w:p>
    <w:p w14:paraId="48BA37C8" w14:textId="77777777" w:rsidR="00C9013B" w:rsidRPr="00D6301C" w:rsidRDefault="00C9013B" w:rsidP="00570432">
      <w:pPr>
        <w:spacing w:after="40" w:line="276" w:lineRule="auto"/>
        <w:jc w:val="both"/>
        <w:rPr>
          <w:lang w:val="en-GB"/>
        </w:rPr>
      </w:pPr>
      <m:oMathPara>
        <m:oMath>
          <m:r>
            <m:rPr>
              <m:sty m:val="p"/>
            </m:rPr>
            <w:rPr>
              <w:rFonts w:ascii="Cambria Math" w:hAnsi="Cambria Math"/>
              <w:sz w:val="20"/>
              <w:szCs w:val="20"/>
              <w:lang w:val="en-GB"/>
            </w:rPr>
            <m:t>PWT%∆(BL)</m:t>
          </m:r>
          <m:r>
            <m:rPr>
              <m:sty m:val="p"/>
            </m:rPr>
            <w:rPr>
              <w:rFonts w:ascii="Cambria Math" w:hAnsi="Cambria Math"/>
              <w:sz w:val="18"/>
              <w:szCs w:val="18"/>
              <w:lang w:val="en-GB"/>
            </w:rPr>
            <m:t>=</m:t>
          </m:r>
          <m:f>
            <m:fPr>
              <m:ctrlPr>
                <w:rPr>
                  <w:rFonts w:ascii="Cambria Math" w:hAnsi="Cambria Math"/>
                  <w:sz w:val="18"/>
                  <w:szCs w:val="18"/>
                  <w:lang w:val="en-GB"/>
                </w:rPr>
              </m:ctrlPr>
            </m:fPr>
            <m:num>
              <m:r>
                <m:rPr>
                  <m:sty m:val="p"/>
                </m:rPr>
                <w:rPr>
                  <w:rFonts w:ascii="Cambria Math" w:hAnsi="Cambria Math"/>
                  <w:sz w:val="18"/>
                  <w:szCs w:val="18"/>
                  <w:lang w:val="en-GB"/>
                </w:rPr>
                <m:t>PWT ipsilateral hind limb</m:t>
              </m:r>
              <m:d>
                <m:dPr>
                  <m:ctrlPr>
                    <w:rPr>
                      <w:rFonts w:ascii="Cambria Math" w:hAnsi="Cambria Math"/>
                      <w:sz w:val="18"/>
                      <w:szCs w:val="18"/>
                      <w:lang w:val="en-GB"/>
                    </w:rPr>
                  </m:ctrlPr>
                </m:dPr>
                <m:e>
                  <m:r>
                    <m:rPr>
                      <m:sty m:val="p"/>
                    </m:rPr>
                    <w:rPr>
                      <w:rFonts w:ascii="Cambria Math" w:hAnsi="Cambria Math"/>
                      <w:sz w:val="18"/>
                      <w:szCs w:val="18"/>
                      <w:lang w:val="en-GB"/>
                    </w:rPr>
                    <m:t>Day 5-63</m:t>
                  </m:r>
                </m:e>
              </m:d>
              <m:r>
                <w:rPr>
                  <w:rFonts w:ascii="Cambria Math" w:hAnsi="Cambria Math"/>
                  <w:sz w:val="18"/>
                  <w:szCs w:val="18"/>
                  <w:lang w:val="en-GB"/>
                </w:rPr>
                <m:t>-</m:t>
              </m:r>
              <m:r>
                <m:rPr>
                  <m:sty m:val="p"/>
                </m:rPr>
                <w:rPr>
                  <w:rFonts w:ascii="Cambria Math" w:hAnsi="Cambria Math"/>
                  <w:sz w:val="18"/>
                  <w:szCs w:val="18"/>
                  <w:lang w:val="en-GB"/>
                </w:rPr>
                <m:t>PWT ipsilateral hind limb (BL)</m:t>
              </m:r>
              <m:r>
                <w:rPr>
                  <w:rFonts w:ascii="Cambria Math" w:hAnsi="Cambria Math"/>
                  <w:sz w:val="18"/>
                  <w:szCs w:val="18"/>
                  <w:lang w:val="en-GB"/>
                </w:rPr>
                <m:t xml:space="preserve"> </m:t>
              </m:r>
            </m:num>
            <m:den>
              <m:r>
                <m:rPr>
                  <m:sty m:val="p"/>
                </m:rPr>
                <w:rPr>
                  <w:rFonts w:ascii="Cambria Math" w:hAnsi="Cambria Math"/>
                  <w:sz w:val="18"/>
                  <w:szCs w:val="18"/>
                  <w:lang w:val="en-GB"/>
                </w:rPr>
                <m:t>PWT ipsilateral hind limb (BL)</m:t>
              </m:r>
            </m:den>
          </m:f>
          <m:r>
            <m:rPr>
              <m:sty m:val="p"/>
            </m:rPr>
            <w:rPr>
              <w:rFonts w:ascii="Cambria Math" w:hAnsi="Cambria Math"/>
              <w:sz w:val="18"/>
              <w:szCs w:val="18"/>
              <w:lang w:val="en-GB"/>
            </w:rPr>
            <m:t xml:space="preserve"> ×100</m:t>
          </m:r>
        </m:oMath>
      </m:oMathPara>
    </w:p>
    <w:p w14:paraId="2AFAC747" w14:textId="77777777" w:rsidR="00C9013B" w:rsidRPr="00D6301C" w:rsidRDefault="00C9013B" w:rsidP="00570432">
      <w:pPr>
        <w:spacing w:after="40" w:line="276" w:lineRule="auto"/>
        <w:jc w:val="both"/>
        <w:rPr>
          <w:lang w:val="en-GB"/>
        </w:rPr>
      </w:pPr>
      <m:oMathPara>
        <m:oMath>
          <m:r>
            <m:rPr>
              <m:sty m:val="p"/>
            </m:rPr>
            <w:rPr>
              <w:rFonts w:ascii="Cambria Math" w:hAnsi="Cambria Math"/>
              <w:sz w:val="20"/>
              <w:szCs w:val="20"/>
              <w:lang w:val="en-GB"/>
            </w:rPr>
            <m:t>PWT%∆(contra)</m:t>
          </m:r>
          <m:r>
            <m:rPr>
              <m:sty m:val="p"/>
            </m:rPr>
            <w:rPr>
              <w:rFonts w:ascii="Cambria Math" w:hAnsi="Cambria Math"/>
              <w:sz w:val="18"/>
              <w:szCs w:val="18"/>
              <w:lang w:val="en-GB"/>
            </w:rPr>
            <m:t>=</m:t>
          </m:r>
          <m:f>
            <m:fPr>
              <m:ctrlPr>
                <w:rPr>
                  <w:rFonts w:ascii="Cambria Math" w:hAnsi="Cambria Math"/>
                  <w:sz w:val="18"/>
                  <w:szCs w:val="18"/>
                  <w:lang w:val="en-GB"/>
                </w:rPr>
              </m:ctrlPr>
            </m:fPr>
            <m:num>
              <m:r>
                <m:rPr>
                  <m:sty m:val="p"/>
                </m:rPr>
                <w:rPr>
                  <w:rFonts w:ascii="Cambria Math" w:hAnsi="Cambria Math"/>
                  <w:sz w:val="18"/>
                  <w:szCs w:val="18"/>
                  <w:lang w:val="en-GB"/>
                </w:rPr>
                <m:t>PWT ipsilateral hind limb</m:t>
              </m:r>
              <m:d>
                <m:dPr>
                  <m:ctrlPr>
                    <w:rPr>
                      <w:rFonts w:ascii="Cambria Math" w:hAnsi="Cambria Math"/>
                      <w:sz w:val="18"/>
                      <w:szCs w:val="18"/>
                      <w:lang w:val="en-GB"/>
                    </w:rPr>
                  </m:ctrlPr>
                </m:dPr>
                <m:e>
                  <m:r>
                    <m:rPr>
                      <m:sty m:val="p"/>
                    </m:rPr>
                    <w:rPr>
                      <w:rFonts w:ascii="Cambria Math" w:hAnsi="Cambria Math"/>
                      <w:sz w:val="18"/>
                      <w:szCs w:val="18"/>
                      <w:lang w:val="en-GB"/>
                    </w:rPr>
                    <m:t>Day 5-63</m:t>
                  </m:r>
                </m:e>
              </m:d>
              <m:r>
                <w:rPr>
                  <w:rFonts w:ascii="Cambria Math" w:hAnsi="Cambria Math"/>
                  <w:sz w:val="18"/>
                  <w:szCs w:val="18"/>
                  <w:lang w:val="en-GB"/>
                </w:rPr>
                <m:t>-</m:t>
              </m:r>
              <m:r>
                <m:rPr>
                  <m:sty m:val="p"/>
                </m:rPr>
                <w:rPr>
                  <w:rFonts w:ascii="Cambria Math" w:hAnsi="Cambria Math"/>
                  <w:sz w:val="18"/>
                  <w:szCs w:val="18"/>
                  <w:lang w:val="en-GB"/>
                </w:rPr>
                <m:t>PWT contralateral hind limb</m:t>
              </m:r>
              <m:r>
                <w:rPr>
                  <w:rFonts w:ascii="Cambria Math" w:hAnsi="Cambria Math"/>
                  <w:sz w:val="18"/>
                  <w:szCs w:val="18"/>
                  <w:lang w:val="en-GB"/>
                </w:rPr>
                <m:t xml:space="preserve"> </m:t>
              </m:r>
            </m:num>
            <m:den>
              <m:r>
                <m:rPr>
                  <m:sty m:val="p"/>
                </m:rPr>
                <w:rPr>
                  <w:rFonts w:ascii="Cambria Math" w:hAnsi="Cambria Math"/>
                  <w:sz w:val="18"/>
                  <w:szCs w:val="18"/>
                  <w:lang w:val="en-GB"/>
                </w:rPr>
                <m:t>PWT ipsilateral hind limb (Day 5-63)</m:t>
              </m:r>
            </m:den>
          </m:f>
          <m:r>
            <m:rPr>
              <m:sty m:val="p"/>
            </m:rPr>
            <w:rPr>
              <w:rFonts w:ascii="Cambria Math" w:hAnsi="Cambria Math"/>
              <w:sz w:val="18"/>
              <w:szCs w:val="18"/>
              <w:lang w:val="en-GB"/>
            </w:rPr>
            <m:t xml:space="preserve"> ×100</m:t>
          </m:r>
        </m:oMath>
      </m:oMathPara>
    </w:p>
    <w:p w14:paraId="2301EFF7" w14:textId="77777777" w:rsidR="00C044E9" w:rsidRPr="00D6301C" w:rsidRDefault="00C044E9" w:rsidP="00570432">
      <w:pPr>
        <w:spacing w:after="40" w:line="276" w:lineRule="auto"/>
        <w:jc w:val="both"/>
        <w:rPr>
          <w:lang w:val="en-GB"/>
        </w:rPr>
      </w:pPr>
    </w:p>
    <w:p w14:paraId="78258301" w14:textId="48D1260A" w:rsidR="008A52EE" w:rsidRPr="00D6301C" w:rsidRDefault="00C044E9" w:rsidP="00177195">
      <w:pPr>
        <w:spacing w:line="276" w:lineRule="auto"/>
        <w:jc w:val="both"/>
        <w:rPr>
          <w:i/>
          <w:iCs/>
          <w:u w:val="single"/>
          <w:lang w:val="en-GB"/>
        </w:rPr>
      </w:pPr>
      <w:r w:rsidRPr="00D6301C">
        <w:rPr>
          <w:lang w:val="en-GB"/>
        </w:rPr>
        <w:t>Values</w:t>
      </w:r>
      <w:r w:rsidR="00C9013B" w:rsidRPr="00D6301C">
        <w:rPr>
          <w:lang w:val="en-GB"/>
        </w:rPr>
        <w:t xml:space="preserve"> were then averaged to obtain a single representative index for each animal.</w:t>
      </w:r>
    </w:p>
    <w:p w14:paraId="4A6353AA" w14:textId="74839CDB" w:rsidR="00C9013B" w:rsidRPr="00D6301C" w:rsidRDefault="00C9013B" w:rsidP="00177195">
      <w:pPr>
        <w:spacing w:after="0" w:line="276" w:lineRule="auto"/>
        <w:jc w:val="both"/>
        <w:rPr>
          <w:i/>
          <w:iCs/>
          <w:u w:val="single"/>
          <w:lang w:val="en-GB"/>
        </w:rPr>
      </w:pPr>
      <w:r w:rsidRPr="00D6301C">
        <w:rPr>
          <w:i/>
          <w:iCs/>
          <w:u w:val="single"/>
          <w:lang w:val="en-GB"/>
        </w:rPr>
        <w:t>Acetone drop test</w:t>
      </w:r>
    </w:p>
    <w:p w14:paraId="709B0531" w14:textId="2ACA7EBB" w:rsidR="001472EE" w:rsidRPr="00D6301C" w:rsidRDefault="00C9013B" w:rsidP="00177195">
      <w:pPr>
        <w:spacing w:line="276" w:lineRule="auto"/>
        <w:jc w:val="both"/>
        <w:rPr>
          <w:lang w:val="en-GB"/>
        </w:rPr>
      </w:pPr>
      <w:r w:rsidRPr="00D6301C">
        <w:rPr>
          <w:lang w:val="en-GB"/>
        </w:rPr>
        <w:t xml:space="preserve">Cold hypersensitivity of the ipsilateral hind paw (secondary site) compared to the healthy contralateral side was assessed </w:t>
      </w:r>
      <w:r w:rsidR="005432BA" w:rsidRPr="00D6301C">
        <w:rPr>
          <w:lang w:val="en-GB"/>
        </w:rPr>
        <w:t>using a</w:t>
      </w:r>
      <w:r w:rsidRPr="00D6301C">
        <w:rPr>
          <w:lang w:val="en-GB"/>
        </w:rPr>
        <w:t xml:space="preserve">cetone drop test, performed </w:t>
      </w:r>
      <w:r w:rsidR="00E155C0" w:rsidRPr="00D6301C">
        <w:rPr>
          <w:lang w:val="en-GB"/>
        </w:rPr>
        <w:t xml:space="preserve">15 min </w:t>
      </w:r>
      <w:r w:rsidRPr="00D6301C">
        <w:rPr>
          <w:lang w:val="en-GB"/>
        </w:rPr>
        <w:t xml:space="preserve">after </w:t>
      </w:r>
      <w:r w:rsidR="00E155C0" w:rsidRPr="00D6301C">
        <w:rPr>
          <w:lang w:val="en-GB"/>
        </w:rPr>
        <w:t>the v</w:t>
      </w:r>
      <w:r w:rsidRPr="00D6301C">
        <w:rPr>
          <w:lang w:val="en-GB"/>
        </w:rPr>
        <w:t xml:space="preserve">on Frey </w:t>
      </w:r>
      <w:r w:rsidRPr="00D6301C">
        <w:rPr>
          <w:lang w:val="en-GB"/>
        </w:rPr>
        <w:lastRenderedPageBreak/>
        <w:t>test and in the same apparatus, as previously described</w:t>
      </w:r>
      <w:r w:rsidR="00A87318" w:rsidRPr="00D6301C">
        <w:rPr>
          <w:lang w:val="en-GB"/>
        </w:rPr>
        <w:t xml:space="preserve"> </w:t>
      </w:r>
      <w:r w:rsidRPr="00D6301C">
        <w:rPr>
          <w:lang w:val="en-GB"/>
        </w:rPr>
        <w:fldChar w:fldCharType="begin" w:fldLock="1"/>
      </w:r>
      <w:r w:rsidR="00CD0E89" w:rsidRPr="00D6301C">
        <w:rPr>
          <w:lang w:val="en-GB"/>
        </w:rPr>
        <w:instrText>ADDIN CSL_CITATION {"citationItems":[{"id":"ITEM-1","itemData":{"DOI":"10.1016/0304-3959(94)90023-X","ISSN":"0304-3959 (Print)","PMID":"7708411","abstract":"Previous studies by our laboratory established a rat model of neuropathic pain  which displayed long-lasting heat hyperalgesia and mechanical allodynia that are sympathetically maintained. The present study was undertaken to extend our earlier findings by examining additional behavioral signs of ongoing pain and cold allodynia in our animal model and testing their sympathetic dependency. Neuropathic surgery was done by tightly ligating the L5 and L6 segmental spinal nerves of rats unilaterally. In addition to the behavioral signs of heat hyperalgesia and mechanical allodynia observed before, these rats displayed signs of ongoing pain (lasting at least 10 weeks) and cold allodynia (lasting at least 16 weeks). These behaviors were reduced markedly after surgical lumbar sympathectomy. The results of the present study, together with the previous study, suggest that our animal model exhibits neuropathic pain behaviors including ongoing pain, heat hyperalgesia, mechanical allodynia and cold allodynia. Since all of these behavioral signs are sympathetically maintained, our model represents a model for sympathetically maintained pain.","author":[{"dropping-particle":"","family":"Yoon","given":"Choi","non-dropping-particle":"","parse-names":false,"suffix":""},{"dropping-particle":"","family":"Wook","given":"Yoon Young","non-dropping-particle":"","parse-names":false,"suffix":""},{"dropping-particle":"","family":"Sik","given":"Na Heung","non-dropping-particle":"","parse-names":false,"suffix":""},{"dropping-particle":"","family":"Ho","given":"Kim Sun","non-dropping-particle":"","parse-names":false,"suffix":""},{"dropping-particle":"","family":"Mo","given":"Chung Jin","non-dropping-particle":"","parse-names":false,"suffix":""}],"container-title":"Pain","id":"ITEM-1","issue":"3","issued":{"date-parts":[["1994","12"]]},"language":"eng","page":"369-376","publisher-place":"United States","title":"Behavioral signs of ongoing pain and cold allodynia in a rat model of neuropathic  pain.","type":"article-journal","volume":"59"},"uris":["http://www.mendeley.com/documents/?uuid=5c355fdd-491a-4b8d-bb29-cf8330316e0e"]}],"mendeley":{"formattedCitation":"(Yoon et al., 1994)","plainTextFormattedCitation":"(Yoon et al., 1994)","previouslyFormattedCitation":"(Yoon et al., 1994)"},"properties":{"noteIndex":0},"schema":"https://github.com/citation-style-language/schema/raw/master/csl-citation.json"}</w:instrText>
      </w:r>
      <w:r w:rsidRPr="00D6301C">
        <w:rPr>
          <w:lang w:val="en-GB"/>
        </w:rPr>
        <w:fldChar w:fldCharType="separate"/>
      </w:r>
      <w:r w:rsidR="00241227" w:rsidRPr="00D6301C">
        <w:rPr>
          <w:noProof/>
          <w:lang w:val="en-GB"/>
        </w:rPr>
        <w:t>(Yoon et al., 1994)</w:t>
      </w:r>
      <w:r w:rsidRPr="00D6301C">
        <w:rPr>
          <w:lang w:val="en-GB"/>
        </w:rPr>
        <w:fldChar w:fldCharType="end"/>
      </w:r>
      <w:r w:rsidRPr="00D6301C">
        <w:rPr>
          <w:lang w:val="en-GB"/>
        </w:rPr>
        <w:t xml:space="preserve">. </w:t>
      </w:r>
      <w:r w:rsidR="00886F3A" w:rsidRPr="00D6301C">
        <w:rPr>
          <w:lang w:val="en-GB"/>
        </w:rPr>
        <w:t>Starting with the contralateral side, a</w:t>
      </w:r>
      <w:r w:rsidRPr="00D6301C">
        <w:rPr>
          <w:lang w:val="en-GB"/>
        </w:rPr>
        <w:t xml:space="preserve"> drop of acetone was applied to the central surface of the hind paw using a 1 mL syringe. </w:t>
      </w:r>
      <w:r w:rsidR="00B47F5D" w:rsidRPr="00D6301C">
        <w:rPr>
          <w:lang w:val="en-GB"/>
        </w:rPr>
        <w:t>T</w:t>
      </w:r>
      <w:r w:rsidRPr="00D6301C">
        <w:rPr>
          <w:lang w:val="en-GB"/>
        </w:rPr>
        <w:t>he latency</w:t>
      </w:r>
      <w:r w:rsidR="004F5300" w:rsidRPr="00D6301C">
        <w:rPr>
          <w:lang w:val="en-GB"/>
        </w:rPr>
        <w:t xml:space="preserve"> (s)</w:t>
      </w:r>
      <w:r w:rsidRPr="00D6301C">
        <w:rPr>
          <w:lang w:val="en-GB"/>
        </w:rPr>
        <w:t xml:space="preserve"> to the first </w:t>
      </w:r>
      <w:r w:rsidR="00287960" w:rsidRPr="00D6301C">
        <w:rPr>
          <w:lang w:val="en-GB"/>
        </w:rPr>
        <w:t>response (</w:t>
      </w:r>
      <w:r w:rsidRPr="00D6301C">
        <w:rPr>
          <w:lang w:val="en-GB"/>
        </w:rPr>
        <w:t>paw withdrawal</w:t>
      </w:r>
      <w:r w:rsidR="00287960" w:rsidRPr="00D6301C">
        <w:rPr>
          <w:lang w:val="en-GB"/>
        </w:rPr>
        <w:t>, flinching, licking, or shaking)</w:t>
      </w:r>
      <w:r w:rsidRPr="00D6301C">
        <w:rPr>
          <w:lang w:val="en-GB"/>
        </w:rPr>
        <w:t xml:space="preserve"> following acetone application</w:t>
      </w:r>
      <w:r w:rsidR="004F5300" w:rsidRPr="00D6301C">
        <w:rPr>
          <w:lang w:val="en-GB"/>
        </w:rPr>
        <w:t xml:space="preserve"> and </w:t>
      </w:r>
      <w:r w:rsidRPr="00D6301C">
        <w:rPr>
          <w:lang w:val="en-GB"/>
        </w:rPr>
        <w:t xml:space="preserve">the </w:t>
      </w:r>
      <w:r w:rsidR="00287960" w:rsidRPr="00D6301C">
        <w:rPr>
          <w:lang w:val="en-GB"/>
        </w:rPr>
        <w:t xml:space="preserve">total number </w:t>
      </w:r>
      <w:r w:rsidRPr="00D6301C">
        <w:rPr>
          <w:lang w:val="en-GB"/>
        </w:rPr>
        <w:t>of responses within 60 seconds</w:t>
      </w:r>
      <w:r w:rsidR="00287960" w:rsidRPr="00D6301C">
        <w:rPr>
          <w:lang w:val="en-GB"/>
        </w:rPr>
        <w:t xml:space="preserve"> were recorded</w:t>
      </w:r>
      <w:r w:rsidRPr="00D6301C">
        <w:rPr>
          <w:lang w:val="en-GB"/>
        </w:rPr>
        <w:t>.</w:t>
      </w:r>
      <w:r w:rsidR="00287960" w:rsidRPr="00D6301C">
        <w:rPr>
          <w:lang w:val="en-GB"/>
        </w:rPr>
        <w:t xml:space="preserve"> The test was repeated </w:t>
      </w:r>
      <w:r w:rsidR="00886F3A" w:rsidRPr="00D6301C">
        <w:rPr>
          <w:lang w:val="en-GB"/>
        </w:rPr>
        <w:t xml:space="preserve">three times and measurements </w:t>
      </w:r>
      <w:r w:rsidR="008E3DBC" w:rsidRPr="00D6301C">
        <w:rPr>
          <w:lang w:val="en-GB"/>
        </w:rPr>
        <w:t>averaged</w:t>
      </w:r>
      <w:r w:rsidR="00FA699D" w:rsidRPr="00D6301C">
        <w:rPr>
          <w:lang w:val="en-GB"/>
        </w:rPr>
        <w:t xml:space="preserve"> </w:t>
      </w:r>
      <w:r w:rsidR="00315BBA" w:rsidRPr="00D6301C">
        <w:rPr>
          <w:lang w:val="en-GB"/>
        </w:rPr>
        <w:t xml:space="preserve">for </w:t>
      </w:r>
      <w:r w:rsidR="00886F3A" w:rsidRPr="00D6301C">
        <w:rPr>
          <w:lang w:val="en-GB"/>
        </w:rPr>
        <w:t>each side per rat.</w:t>
      </w:r>
    </w:p>
    <w:p w14:paraId="5104187F" w14:textId="5B8AA2F9" w:rsidR="00C9013B" w:rsidRPr="00D6301C" w:rsidRDefault="00C9013B" w:rsidP="00177195">
      <w:pPr>
        <w:spacing w:after="0" w:line="276" w:lineRule="auto"/>
        <w:jc w:val="both"/>
        <w:rPr>
          <w:i/>
          <w:iCs/>
          <w:u w:val="single"/>
          <w:lang w:val="en-GB"/>
        </w:rPr>
      </w:pPr>
      <w:r w:rsidRPr="00D6301C">
        <w:rPr>
          <w:i/>
          <w:iCs/>
          <w:u w:val="single"/>
          <w:lang w:val="en-GB"/>
        </w:rPr>
        <w:t xml:space="preserve">LC-MS/MS measurement of endocannabinoids and </w:t>
      </w:r>
      <w:bookmarkStart w:id="0" w:name="_Hlk209001086"/>
      <w:r w:rsidRPr="00D6301C">
        <w:rPr>
          <w:i/>
          <w:iCs/>
          <w:u w:val="single"/>
          <w:lang w:val="en-GB"/>
        </w:rPr>
        <w:t>N-acylethanolamines</w:t>
      </w:r>
      <w:bookmarkEnd w:id="0"/>
    </w:p>
    <w:p w14:paraId="6221CECE" w14:textId="0941D843" w:rsidR="000E0D0A" w:rsidRPr="00D6301C" w:rsidRDefault="00A87318" w:rsidP="008C33AC">
      <w:pPr>
        <w:spacing w:line="276" w:lineRule="auto"/>
        <w:jc w:val="both"/>
      </w:pPr>
      <w:r w:rsidRPr="00D6301C">
        <w:rPr>
          <w:lang w:val="en-GB"/>
        </w:rPr>
        <w:t>E</w:t>
      </w:r>
      <w:r w:rsidR="00C9013B" w:rsidRPr="00D6301C">
        <w:rPr>
          <w:lang w:val="en-GB"/>
        </w:rPr>
        <w:t xml:space="preserve">ndocannabinoid (AEA, 2-AG) and related </w:t>
      </w:r>
      <w:r w:rsidR="00C9013B" w:rsidRPr="00D6301C">
        <w:rPr>
          <w:i/>
          <w:iCs/>
          <w:lang w:val="en-GB"/>
        </w:rPr>
        <w:t>N</w:t>
      </w:r>
      <w:r w:rsidR="00C9013B" w:rsidRPr="00D6301C">
        <w:rPr>
          <w:lang w:val="en-GB"/>
        </w:rPr>
        <w:t xml:space="preserve">-acylethanolamine (PEA, OEA) </w:t>
      </w:r>
      <w:r w:rsidRPr="00D6301C">
        <w:rPr>
          <w:lang w:val="en-GB"/>
        </w:rPr>
        <w:t xml:space="preserve">levels </w:t>
      </w:r>
      <w:r w:rsidR="00C9013B" w:rsidRPr="00D6301C">
        <w:rPr>
          <w:lang w:val="en-GB"/>
        </w:rPr>
        <w:t xml:space="preserve">were measured in </w:t>
      </w:r>
      <w:r w:rsidR="00FA699D" w:rsidRPr="00D6301C">
        <w:rPr>
          <w:lang w:val="en-GB"/>
        </w:rPr>
        <w:t>key regions involved in pain</w:t>
      </w:r>
      <w:r w:rsidR="00A65C4A" w:rsidRPr="00D6301C">
        <w:rPr>
          <w:lang w:val="en-GB"/>
        </w:rPr>
        <w:t xml:space="preserve">: </w:t>
      </w:r>
      <w:r w:rsidR="005A4A39" w:rsidRPr="00D6301C">
        <w:rPr>
          <w:lang w:val="en-GB"/>
        </w:rPr>
        <w:t xml:space="preserve">amygdala, periaqueductal grey, rostral ventral medulla, prefrontal cortex, </w:t>
      </w:r>
      <w:r w:rsidR="00C9013B" w:rsidRPr="00D6301C">
        <w:rPr>
          <w:lang w:val="en-GB"/>
        </w:rPr>
        <w:t>thalamus,</w:t>
      </w:r>
      <w:r w:rsidR="005A4A39" w:rsidRPr="00D6301C">
        <w:rPr>
          <w:lang w:val="en-GB"/>
        </w:rPr>
        <w:t xml:space="preserve"> and </w:t>
      </w:r>
      <w:r w:rsidR="00956D6F" w:rsidRPr="00D6301C">
        <w:rPr>
          <w:lang w:val="en-GB"/>
        </w:rPr>
        <w:t xml:space="preserve">dorsal lumbar </w:t>
      </w:r>
      <w:r w:rsidR="006D34A8" w:rsidRPr="00D6301C">
        <w:rPr>
          <w:lang w:val="en-GB"/>
        </w:rPr>
        <w:t xml:space="preserve">(L3-L6) </w:t>
      </w:r>
      <w:r w:rsidR="005A4A39" w:rsidRPr="00D6301C">
        <w:rPr>
          <w:lang w:val="en-GB"/>
        </w:rPr>
        <w:t xml:space="preserve">spinal cord, </w:t>
      </w:r>
      <w:r w:rsidR="00C9013B" w:rsidRPr="00D6301C">
        <w:rPr>
          <w:lang w:val="en-GB"/>
        </w:rPr>
        <w:t>following established protocols</w:t>
      </w:r>
      <w:r w:rsidR="00241227" w:rsidRPr="00D6301C">
        <w:rPr>
          <w:lang w:val="en-GB"/>
        </w:rPr>
        <w:t xml:space="preserve"> </w:t>
      </w:r>
      <w:r w:rsidR="00CD0E89" w:rsidRPr="00D6301C">
        <w:rPr>
          <w:lang w:val="en-GB"/>
        </w:rPr>
        <w:fldChar w:fldCharType="begin" w:fldLock="1"/>
      </w:r>
      <w:r w:rsidR="00CD0E89" w:rsidRPr="00D6301C">
        <w:rPr>
          <w:lang w:val="en-GB"/>
        </w:rPr>
        <w:instrText>ADDIN CSL_CITATION {"citationItems":[{"id":"ITEM-1","itemData":{"DOI":"10.3389/fphar.2024.1505980","ISSN":"1663-9812 (Print)","PMID":"39830350","abstract":"Paclitaxel (PTX) is a commonly used chemotherapeutic drug, however, one of its  major adverse effects is chronic neuropathic pain, with the incidence being higher in women than in men. The neurobiological mechanisms behind this sex difference are still largely unclear, and the endocannabinoid system, which exhibits sexual dimorphism and plays a key role in pain regulation, is a promising area for further studies. The present study aimed to characterise pain-, cognition-, anxiety-, and depression-related behaviours in male and female rats following PTX administration, and associated alterations in the endocannabinoid system. After the induction of the model, pain-related behaviours were assessed using von Frey, Acetone Drop and Hargreaves' tests, Novel Object Recognition and T-Maze Spontaneous Alternation tests were used for cognition-related behaviours, Elevated Plus Maze, Open Field, and Light Dark Box tests were used to assess anxiety-related behaviours, and Sucrose Preference, Sucrose Splash, and Forced Swim tests for depression-related behaviours. At each time point analysed, animals treated with PTX exhibited mechanical and cold hypersensitivity, with females displaying lower hind paw withdrawal thresholds to mechanical stimulation than males. No PTX-induced alterations in the other behavioural tests were detected. Post-mortem measurement of endocannabinoid and related N-acylethanolamine levels in spinal cord and discrete brain regions revealed a PTX-induced increase of 2-Arachidonoyl Glycerol (2-AG), N-Palmitoylethanolamine (PEA) and N-Oleoylethanolamine (OEA) levels in the amygdala of male and female animals, but not in the other areas. Collectively, these results suggest that PTX causes similar long-lasting hypersensitivity to mechanical and cold stimuli, but not heat, in rats of both sexes, effects accompanied by increases in amygdalar levels of endocannabinoids and N-acylethanolamines.","author":[{"dropping-particle":"","family":"Marino","given":"Chiara","non-dropping-particle":"Di","parse-names":false,"suffix":""},{"dropping-particle":"","family":"Llorente-Berzal","given":"Álvaro","non-dropping-particle":"","parse-names":false,"suffix":""},{"dropping-particle":"","family":"Diego","given":"Alba M","non-dropping-particle":"","parse-names":false,"suffix":""},{"dropping-particle":"","family":"Bella","given":"Ariadni","non-dropping-particle":"","parse-names":false,"suffix":""},{"dropping-particle":"","family":"Boullon","given":"Laura","non-dropping-particle":"","parse-names":false,"suffix":""},{"dropping-particle":"","family":"Berrocoso","given":"Esther","non-dropping-particle":"","parse-names":false,"suffix":""},{"dropping-particle":"","family":"Roche","given":"Michelle","non-dropping-particle":"","parse-names":false,"suffix":""},{"dropping-particle":"","family":"Finn","given":"David P","non-dropping-particle":"","parse-names":false,"suffix":""}],"container-title":"Frontiers in pharmacology","id":"ITEM-1","issued":{"date-parts":[["2024"]]},"language":"eng","page":"1505980","publisher-place":"Switzerland","title":"Characterisation of the effects of the chemotherapeutic agent paclitaxel on  neuropathic pain-related behaviour, anxiodepressive behaviour, cognition, and the endocannabinoid system in male and female rats.","type":"article-journal","volume":"15"},"uris":["http://www.mendeley.com/documents/?uuid=429c8925-ab64-4c2e-919b-b7763af9560e"]},{"id":"ITEM-2","itemData":{"DOI":"10.3389/fpain.2021.673638","ISSN":"2673-561X (Electronic)","PMID":"35295501","abstract":"Chronic neuropathic pain is a major unmet clinical need affecting 10% of the  world population, the majority of whom suffer from co-morbid mood disorders. Sex differences have been reported in pain prevalence, perception and response to analgesics. However, sexual dimorphism in chronic neuropathic pain and the associated neurobiology, are still poorly understood. The lack of efficacy and the adverse effects associated with current pharmacological treatments, further underline the need for new therapeutic targets. The endocannabinoid system (ECS) is a lipid signalling system which regulates a large number of physiological processes, including pain. The aim of this study was to investigate sexual dimorphism in pain-, anxiety- and depression-related behaviours, and concomitant alterations in supraspinal and spinal endocannabinoid levels in the spared nerve injury (SNI) animal model of peripheral neuropathic pain. Sham or SNI surgery was performed in adult male and female Sprague-Dawley rats. Mechanical and cold allodynia was tested weekly using von Frey and acetone drop tests, respectively. Development of depression-related behaviours was analysed using sucrose splash and sucrose preference tests. Locomotor activity and anxiety-related behaviours were assessed with open field and elevated plus maze tests. Levels of endocannabinoid ligands and related N-acylethanolamines in supraspinal regions of the descending inhibitory pain pathway, and spinal cord, were analysed 42 days post-surgery. SNI surgery induced allodynia in rats of both sexes. Female-SNI rats exhibited earlier onset and greater sensitivity to cold and mechanical allodynia than their male counterparts. In male rats, SNI induced a significant reduction of rearing, compared to sham controls. Trends for depressive-like behaviours in females and for anxiety-like behaviours in males were observed after SNI surgery but did not reach statistical significance. No concomitant alterations in levels of endogenous cannabinoid ligands and related N-acylethanolamines were observed in the regions analysed. Our results demonstrate differential development of SNI-induced nociceptive behaviour between male and female rats suggesting important sexually dimorphic modifications in pain pathways. SNI had no effect on depression- or anxiety-related behaviours in animals of either sex, or on levels of endocannabinoid ligands and related N-acylethanolamines across the regions involved in the descending modulation of noc…","author":[{"dropping-particle":"","family":"Boullon","given":"Laura","non-dropping-particle":"","parse-names":false,"suffix":""},{"dropping-particle":"","family":"Finn","given":"David P","non-dropping-particle":"","parse-names":false,"suffix":""},{"dropping-particle":"","family":"Llorente-Berzal","given":"Álvaro","non-dropping-particle":"","parse-names":false,"suffix":""}],"container-title":"Frontiers in pain research (Lausanne, Switzerland)","id":"ITEM-2","issued":{"date-parts":[["2021"]]},"language":"eng","page":"673638","publisher-place":"Switzerland","title":"Sex Differences in a Rat Model of Peripheral Neuropathic Pain and Associated  Levels of Endogenous Cannabinoid Ligands.","type":"article-journal","volume":"2"},"uris":["http://www.mendeley.com/documents/?uuid=c2386bed-9014-471d-b7cc-df491587ba61"]},{"id":"ITEM-3","itemData":{"DOI":"10.3390/ph19010043","ISSN":"1424-8247 (Print)","PMID":"41599645","abstract":"Background/Objectives: Wound-related pain is a common, yet inadequately managed  condition, and new therapeutic strategies are warranted. Limited data suggests that phytocannabinoids and cannabis may alleviate wound-related pain; however, further studies are required. This study investigated the effects of systemic administration of cannabidiol (CBD) on nociceptive behaviour following dorsum incision and on the endocannabinoid system. Methods: Male Sprague-Dawley rats (150-200 g on arrival, n = 9/group) underwent a 1.2 cm incision on the hairy skin of the dorsum or sham procedure. Back and hind paw mechanical withdrawal thresholds were assessed at baseline and post-surgery/sham days (PSDs) 1, 4, 7, and 8 using manual and electronic von Frey tests, respectively. On PSD 8, the effect of a single acute administration of CBD (3, 10, or 30 mg/kg, i.p.) on mechanical hypersensitivity in the dorsum and hind paws was assessed. The levels of endocannabinoids and N-acylethanolamines in the plasma and discrete brain regions following CBD administration were analysed. Results: Robust mechanical hypersensitivity was evident in the dorsum and hind paws following the incision. CBD (3 mg/kg) partially attenuated primary mechanical hypersensitivity in the dorsum, in a site- and dose-specific manner. CBD had no effect on secondary mechanical hypersensitivity. CBD did not alter the levels of endocannabinoids or N-acylethanolamines, but in rats that received CBD (3 mg/kg), levels of 2-AG were lower in the contralateral amygdala and levels of AEA were higher in the contralateral lumbar spinal cord, compared to the ipsilateral sides. Conclusions: These data provide evidence for antinociceptive effects of CBD in a model of incisional wound-related pain. Further research on CBD's mechanism(s) of action is warranted. The potential antinociceptive effects of other phytocannabinoids in this model should also be investigated.","author":[{"dropping-particle":"","family":"Redmond","given":"Maria C","non-dropping-particle":"","parse-names":false,"suffix":""},{"dropping-particle":"","family":"Healy","given":"Catherine R","non-drop</w:instrText>
      </w:r>
      <w:r w:rsidR="00CD0E89" w:rsidRPr="00D6301C">
        <w:rPr>
          <w:lang w:val="it-IT"/>
        </w:rPr>
        <w:instrText>ping-particle":"","parse-names":false,"suffix":""},{"dropping-particle":"","family":"Hopkins","given":"Mary","non-dropping-particle":"","parse-names":false,"suffix":""},{"dropping-particle":"","family":"Infantino","given":"Rosmara","non-dropping-particle":"","parse-names":false,"suffix":""},{"dropping-particle":"","family":"Gethin","given":"Georgina","non-dropping-particle":"","parse-names":false,"suffix":""},{"dropping-particle":"","family":"Pandit","given":"Abhay","non-dropping-particle":"","parse-names":false,"suffix":""},{"dropping-particle":"","family":"Finn","given":"David P","non-dropping-particle":"","parse-names":false,"suffix":""}],"container-title":"Pharmaceuticals (Basel, Switzerland)","id":"ITEM-3","issue":"1","issued":{"date-parts":[["2025","12"]]},"language":"eng","publisher-place":"Switzerland","title":"The Effect of Cannabidiol on Nociceptive Behaviour and the Endocannabinoid System  in an Incisional Wound Model.","type":"article-journal","volume":"19"},"uris":["http://www.mendeley.com/documents/?uuid=67d56ead-00ec-4f64-a4cd-097fed59c8d9"]}],"mendeley":{"formattedCitation":"(Boullon et al., 2021; Di Marino et al., 2024; Redmond et al., 2025)","plainTextFormattedCitation":"(Boullon et al., 2021; Di Marino et al., 2024; Redmond et al., 2025)","previouslyFormattedCitation":"(Boullon et al., 2021; Di Marino et al., 2024; Redmond et al., 2025)"},"properties":{"noteIndex":0},"schema":"https://github.com/citation-style-language/schema/raw/master/csl-citation.json"}</w:instrText>
      </w:r>
      <w:r w:rsidR="00CD0E89" w:rsidRPr="00D6301C">
        <w:rPr>
          <w:lang w:val="en-GB"/>
        </w:rPr>
        <w:fldChar w:fldCharType="separate"/>
      </w:r>
      <w:r w:rsidR="00CD0E89" w:rsidRPr="00D6301C">
        <w:rPr>
          <w:noProof/>
          <w:lang w:val="it-IT"/>
        </w:rPr>
        <w:t>(Boullon et al., 2021; Di Marino et al., 2024; Redmond et al., 2025)</w:t>
      </w:r>
      <w:r w:rsidR="00CD0E89" w:rsidRPr="00D6301C">
        <w:rPr>
          <w:lang w:val="en-GB"/>
        </w:rPr>
        <w:fldChar w:fldCharType="end"/>
      </w:r>
      <w:r w:rsidR="00C9013B" w:rsidRPr="00D6301C">
        <w:rPr>
          <w:lang w:val="it-IT"/>
        </w:rPr>
        <w:t>.</w:t>
      </w:r>
      <w:r w:rsidR="00270DDE" w:rsidRPr="00D6301C">
        <w:rPr>
          <w:lang w:val="it-IT"/>
        </w:rPr>
        <w:t xml:space="preserve"> </w:t>
      </w:r>
      <w:r w:rsidR="00270DDE" w:rsidRPr="00D6301C">
        <w:rPr>
          <w:lang w:val="en-GB"/>
        </w:rPr>
        <w:t xml:space="preserve">Samples were </w:t>
      </w:r>
      <w:r w:rsidR="007F4C43" w:rsidRPr="00D6301C">
        <w:rPr>
          <w:lang w:val="en-GB"/>
        </w:rPr>
        <w:t>analysed</w:t>
      </w:r>
      <w:r w:rsidR="00270DDE" w:rsidRPr="00D6301C">
        <w:rPr>
          <w:lang w:val="en-GB"/>
        </w:rPr>
        <w:t xml:space="preserve"> using an Agilent 1260 Infinity II HPLC system coupled to a Sciex QTRAP 4500 MS. </w:t>
      </w:r>
      <w:r w:rsidR="00B64439" w:rsidRPr="00D6301C">
        <w:rPr>
          <w:lang w:val="en-GB"/>
        </w:rPr>
        <w:t>Each sample (5</w:t>
      </w:r>
      <w:r w:rsidR="00270DDE" w:rsidRPr="00D6301C">
        <w:rPr>
          <w:lang w:val="en-GB"/>
        </w:rPr>
        <w:t xml:space="preserve"> μL</w:t>
      </w:r>
      <w:r w:rsidR="00B64439" w:rsidRPr="00D6301C">
        <w:rPr>
          <w:lang w:val="en-GB"/>
        </w:rPr>
        <w:t>)</w:t>
      </w:r>
      <w:r w:rsidR="00270DDE" w:rsidRPr="00D6301C">
        <w:rPr>
          <w:lang w:val="en-GB"/>
        </w:rPr>
        <w:t xml:space="preserve"> was injected from a cooled autosampler (4 °C) onto an Agilent Zorbax column (50 cm × 2.1 cm). Analytes were separated based on polarity, with less polar compounds eluting first, and detected by electrospray ioni</w:t>
      </w:r>
      <w:r w:rsidR="00B64439" w:rsidRPr="00D6301C">
        <w:rPr>
          <w:lang w:val="en-GB"/>
        </w:rPr>
        <w:t>s</w:t>
      </w:r>
      <w:r w:rsidR="00270DDE" w:rsidRPr="00D6301C">
        <w:rPr>
          <w:lang w:val="en-GB"/>
        </w:rPr>
        <w:t>ation. The mobile phase consisted of solution A (HPLC-grade water with 0.1% formic acid) and solution B (100% acetonitrile with 0.1% formic acid) at a flow rate of 0.2 mL</w:t>
      </w:r>
      <w:r w:rsidR="00B64439" w:rsidRPr="00D6301C">
        <w:rPr>
          <w:lang w:val="en-GB"/>
        </w:rPr>
        <w:t>.</w:t>
      </w:r>
      <w:r w:rsidR="00270DDE" w:rsidRPr="00D6301C">
        <w:rPr>
          <w:lang w:val="en-GB"/>
        </w:rPr>
        <w:t>min</w:t>
      </w:r>
      <w:r w:rsidR="00B64439" w:rsidRPr="00D6301C">
        <w:rPr>
          <w:vertAlign w:val="superscript"/>
          <w:lang w:val="en-GB"/>
        </w:rPr>
        <w:t>-1</w:t>
      </w:r>
      <w:r w:rsidR="00270DDE" w:rsidRPr="00D6301C">
        <w:rPr>
          <w:lang w:val="en-GB"/>
        </w:rPr>
        <w:t>. A reverse-phase gradient was applied: 45% B for 1 min, linearly increased to 100% B over 4 min, held at 100% B until 12 min, then returned to initial conditions with 5 min re-equilibration before the next injection. Retention times for 2-AG, AEA, OEA, and PEA were 8.2, 7.9, 8.7, and 8.4 min, respectively. Quanti</w:t>
      </w:r>
      <w:r w:rsidR="00B64439" w:rsidRPr="00D6301C">
        <w:rPr>
          <w:lang w:val="en-GB"/>
        </w:rPr>
        <w:t>fication</w:t>
      </w:r>
      <w:r w:rsidR="00270DDE" w:rsidRPr="00D6301C">
        <w:rPr>
          <w:lang w:val="en-GB"/>
        </w:rPr>
        <w:t xml:space="preserve"> was performed in MRM mode using deuterated and non-deuterated standards, and data were </w:t>
      </w:r>
      <w:r w:rsidR="007F4C43" w:rsidRPr="00D6301C">
        <w:rPr>
          <w:lang w:val="en-GB"/>
        </w:rPr>
        <w:t>analysed</w:t>
      </w:r>
      <w:r w:rsidR="00270DDE" w:rsidRPr="00D6301C">
        <w:rPr>
          <w:lang w:val="en-GB"/>
        </w:rPr>
        <w:t xml:space="preserve"> with Skyline software (v22.2).</w:t>
      </w:r>
      <w:r w:rsidR="00BA460B" w:rsidRPr="00D6301C">
        <w:rPr>
          <w:lang w:val="en-GB"/>
        </w:rPr>
        <w:t xml:space="preserve"> </w:t>
      </w:r>
      <w:r w:rsidR="000E0D0A" w:rsidRPr="00D6301C">
        <w:t>The laterali</w:t>
      </w:r>
      <w:r w:rsidR="00B64439" w:rsidRPr="00D6301C">
        <w:t>s</w:t>
      </w:r>
      <w:r w:rsidR="000E0D0A" w:rsidRPr="00D6301C">
        <w:t xml:space="preserve">ation index (LI) for left (L) and right (R) amygdala </w:t>
      </w:r>
      <w:r w:rsidR="00A92AC7" w:rsidRPr="00D6301C">
        <w:t xml:space="preserve">analyte </w:t>
      </w:r>
      <w:r w:rsidR="000E0D0A" w:rsidRPr="00D6301C">
        <w:t>levels (nmol</w:t>
      </w:r>
      <w:r w:rsidR="00A92AC7" w:rsidRPr="00D6301C">
        <w:t>/</w:t>
      </w:r>
      <w:r w:rsidR="000E0D0A" w:rsidRPr="00D6301C">
        <w:t>g tissue) was calculated for each animal as LI = (L − R) / (L + R).</w:t>
      </w:r>
    </w:p>
    <w:p w14:paraId="3B219D3C" w14:textId="07A42564" w:rsidR="00C9013B" w:rsidRPr="00D6301C" w:rsidRDefault="00C9013B" w:rsidP="008C33AC">
      <w:pPr>
        <w:spacing w:after="0" w:line="276" w:lineRule="auto"/>
        <w:jc w:val="both"/>
        <w:rPr>
          <w:rFonts w:eastAsiaTheme="minorEastAsia"/>
          <w:i/>
          <w:iCs/>
          <w:u w:val="single"/>
          <w:lang w:val="en-GB"/>
        </w:rPr>
      </w:pPr>
      <w:r w:rsidRPr="00D6301C">
        <w:rPr>
          <w:i/>
          <w:iCs/>
          <w:u w:val="single"/>
          <w:lang w:val="en-GB"/>
        </w:rPr>
        <w:t xml:space="preserve">Real time qPCR analysis of </w:t>
      </w:r>
      <w:r w:rsidR="00A92AC7" w:rsidRPr="00D6301C">
        <w:rPr>
          <w:i/>
          <w:iCs/>
          <w:u w:val="single"/>
          <w:lang w:val="en-GB"/>
        </w:rPr>
        <w:t>e</w:t>
      </w:r>
      <w:r w:rsidRPr="00D6301C">
        <w:rPr>
          <w:i/>
          <w:iCs/>
          <w:u w:val="single"/>
          <w:lang w:val="en-GB"/>
        </w:rPr>
        <w:t xml:space="preserve">ndocannabinoid </w:t>
      </w:r>
      <w:r w:rsidR="00A92AC7" w:rsidRPr="00D6301C">
        <w:rPr>
          <w:i/>
          <w:iCs/>
          <w:u w:val="single"/>
          <w:lang w:val="en-GB"/>
        </w:rPr>
        <w:t>s</w:t>
      </w:r>
      <w:r w:rsidRPr="00D6301C">
        <w:rPr>
          <w:i/>
          <w:iCs/>
          <w:u w:val="single"/>
          <w:lang w:val="en-GB"/>
        </w:rPr>
        <w:t>ystem-related genes</w:t>
      </w:r>
    </w:p>
    <w:p w14:paraId="1399D7F2" w14:textId="1B4540EA" w:rsidR="00C9013B" w:rsidRPr="00D6301C" w:rsidRDefault="00C9013B" w:rsidP="00570432">
      <w:pPr>
        <w:spacing w:after="40" w:line="276" w:lineRule="auto"/>
        <w:jc w:val="both"/>
        <w:rPr>
          <w:lang w:val="en-GB"/>
        </w:rPr>
      </w:pPr>
      <w:r w:rsidRPr="00D6301C">
        <w:rPr>
          <w:lang w:val="en-GB"/>
        </w:rPr>
        <w:t>Real time qPCR analysis was conducted as previously described</w:t>
      </w:r>
      <w:r w:rsidR="00103238" w:rsidRPr="00D6301C">
        <w:rPr>
          <w:lang w:val="en-GB"/>
        </w:rPr>
        <w:t xml:space="preserve"> </w:t>
      </w:r>
      <w:r w:rsidRPr="00D6301C">
        <w:rPr>
          <w:lang w:val="en-GB"/>
        </w:rPr>
        <w:fldChar w:fldCharType="begin" w:fldLock="1"/>
      </w:r>
      <w:r w:rsidR="00CD0E89" w:rsidRPr="00D6301C">
        <w:rPr>
          <w:lang w:val="en-GB"/>
        </w:rPr>
        <w:instrText>ADDIN CSL_CITATION {"citationItems":[{"id":"ITEM-1","itemData":{"DOI":"10.3389/fphar.2024.1505980","ISSN":"1663-9812 (Print)","PMID":"39830350","abstract":"Paclitaxel (PTX) is a commonly used chemotherapeutic drug, however, one of its  major adverse effects is chronic neuropathic pain, with the incidence being higher in women than in men. The neurobiological mechanisms behind this sex difference are still largely unclear, and the endocannabinoid system, which exhibits sexual dimorphism and plays a key role in pain regulation, is a promising area for further studies. The present study aimed to characterise pain-, cognition-, anxiety-, and depression-related behaviours in male and female rats following PTX administration, and associated alterations in the endocannabinoid system. After the induction of the model, pain-related behaviours were assessed using von Frey, Acetone Drop and Hargreaves' tests, Novel Object Recognition and T-Maze Spontaneous Alternation tests were used for cognition-related behaviours, Elevated Plus Maze, Open Field, and Light Dark Box tests were used to assess anxiety-related behaviours, and Sucrose Preference, Sucrose Splash, and Forced Swim tests for depression-related behaviours. At each time point analysed, animals treated with PTX exhibited mechanical and cold hypersensitivity, with females displaying lower hind paw withdrawal thresholds to mechanical stimulation than males. No PTX-induced alterations in the other behavioural tests were detected. Post-mortem measurement of endocannabinoid and related N-acylethanolamine levels in spinal cord and discrete brain regions revealed a PTX-induced increase of 2-Arachidonoyl Glycerol (2-AG), N-Palmitoylethanolamine (PEA) and N-Oleoylethanolamine (OEA) levels in the amygdala of male and female animals, but not in the other areas. Collectively, these results suggest that PTX causes similar long-lasting hypersensitivity to mechanical and cold stimuli, but not heat, in rats of both sexes, effects accompanied by increases in amygdalar levels of endocannabinoids and N-acylethanolamines.","author":[{"dropping-particle":"","family":"Marino","given":"Chiara","non-dropping-particle":"Di","parse-names":false,"suffix":""},{"dropping-particle":"","family":"Llorente-Berzal","given":"Álvaro","non-dropping-particle":"","parse-names":false,"suffix":""},{"dropping-particle":"","family":"Diego","given":"Alba M","non-dropping-particle":"","parse-names":false,"suffix":""},{"dropping-particle":"","family":"Bella","given":"Ariadni","non-dropping-particle":"","parse-names":false,"suffix":""},{"dropping-particle":"","family":"Boullon","given":"Laura","non-dropping-particle":"","parse-names":false,"suffix":""},{"dropping-particle":"","family":"Berrocoso","given":"Esther","non-dropping-particle":"","parse-names":false,"suffix":""},{"dropping-particle":"","family":"Roche","given":"Michelle","non-dropping-particle":"","parse-names":false,"suffix":""},{"dropping-particle":"","family":"Finn","given":"David P","non-dropping-particle":"","parse-names":false,"suffix":""}],"container-title":"Frontiers in pharmacology","id":"ITEM-1","issued":{"date-parts":[["2024"]]},"language":"eng","page":"1505980","publisher-place":"Switzerland","title":"Characterisation of the effects of the chemotherapeutic agent paclitaxel on  neuropathic pain-related behaviour, anxiodepressive behaviour, cognition, and the endocannabinoid system in male and female rats.","type":"article-journal","volume":"15"},"uris":["http://www.mendeley.com/documents/?uuid=429c8925-ab64-4c2e-919b-b7763af9560e"]},{"id":"ITEM-2","itemData":{"DOI":"10.3390/ph19010043","ISSN":"1424-8247 (Print)","PMID":"41599645","abstract":"Background/Objectives: Wound-related pain is a common, yet inadequately managed  condition, and new therapeutic strategies are warranted. Limited data suggests that phytocannabinoids and cannabis may alleviate wound-related pain; however, further studies are required. This study investigated the effects of systemic administration of cannabidiol (CBD) on nociceptive behaviour following dorsum incision and on the endocannabinoid system. Methods: Male Sprague-Dawley rats (150-200 g on arrival, n = 9/group) underwent a 1.2 cm incision on the hairy skin of the dorsum or sham procedure. Back and hind paw mechanical withdrawal thresholds were assessed at baseline and post-surgery/sham days (PSDs) 1, 4, 7, and 8 using manual and electronic von Frey tests, respectively. On PSD 8, the effect of a single acute administration of CBD (3, 10, or 30 mg/kg, i.p.) on mechanical hypersensitivity in the dorsum and hind paws was assessed. The levels of endocannabinoids and N-acylethanolamines in the plasma and discrete brain regions following CBD administration were analysed. Results: Robust mechanical hypersensitivity was evident in the dorsum and hind paws following the incision. CBD (3 mg/kg) partially attenuated primary mechanical hypersensitivity in the dorsum, in a site- and dose-specific manner. CBD had no effect on secondary mechanical hypersensitivity. CBD did not alter the levels of endocannabinoids or N-acylethanolamines, but in rats that received CBD (3 mg/kg), levels of 2-AG were lower in the contralateral amygdala and levels of AEA were higher in the contralateral lumbar spinal cord, compared to the ipsilateral sides. Conclusions: These data provide evidence for antinociceptive effects of CBD in a model of incisional wound-related pain. Further research on CBD's mechanism(s) of action is warranted. The potential antinociceptive effects of other phytocannabinoids in this model should also be investigated.","author":[{"dropping-particle":"","family":"Redmond","given":"Maria C","non-dropping-particle":"","parse-names":false,"suffix":""},{"dropping-particle":"","family":"Healy","given":"Catherine R","non-dropping-particle":"","parse-names":false,"suffix":""},{"dropping-particle":"","family":"Hopkins","given":"Mary","non-dropping-particle":"","parse-names":false,"suffix":""},{"dropping-particle":"","family":"Infantino","given":"Rosmara","non-dropping-particle":"","parse-names":false,"suffix":""},{"dropping-particle":"","family":"Gethin","given":"Georgina","non-dropping-particle":"","parse-names":false,"suffix":""},{"dropping-particle":"","family":"Pandit","given":"Abhay","non-dropping-particle":"","parse-names":false,"suffix":""},{"dropping-particle":"","family":"Finn","given":"David P","non-dropping-particle":"","parse-names":false,"suffix":""}],"container-title":"Pharmaceuticals (Basel, Switzerland)","id":"ITEM-2","issue":"1","issued":{"date-parts":[["2025","12"]]},"language":"eng","publisher-place":"Switzerland","title":"The Effect of Cannabidiol on Nociceptive Behaviour and the Endocannabinoid System  in an Incisional Wound Model.","type":"article-journal","volume":"19"},"uris":["http://www.mendeley.com/documents/?uuid=67d56ead-00ec-4f64-a4cd-097fed59c8d9"]}],"mendeley":{"formattedCitation":"(Di Marino et al., 2024; Redmond et al., 2025)","plainTextFormattedCitation":"(Di Marino et al., 2024; Redmond et al., 2025)","previouslyFormattedCitation":"(Di Marino et al., 2024; Redmond et al., 2025)"},"properties":{"noteIndex":0},"schema":"https://github.com/citation-style-language/schema/raw/master/csl-citation.json"}</w:instrText>
      </w:r>
      <w:r w:rsidRPr="00D6301C">
        <w:rPr>
          <w:lang w:val="en-GB"/>
        </w:rPr>
        <w:fldChar w:fldCharType="separate"/>
      </w:r>
      <w:r w:rsidR="00CD0E89" w:rsidRPr="00D6301C">
        <w:rPr>
          <w:noProof/>
          <w:lang w:val="en-GB"/>
        </w:rPr>
        <w:t>(Di Marino et al., 2024; Redmond et al., 2025)</w:t>
      </w:r>
      <w:r w:rsidRPr="00D6301C">
        <w:rPr>
          <w:lang w:val="en-GB"/>
        </w:rPr>
        <w:fldChar w:fldCharType="end"/>
      </w:r>
      <w:r w:rsidRPr="00D6301C">
        <w:rPr>
          <w:lang w:val="en-GB"/>
        </w:rPr>
        <w:t xml:space="preserve">. Total RNA was extracted from the pellets remaining after LC-MS/MS preparation using the NucleoSpin RNA Mini Kit (Macherey-Nagel; Fisher Scientific, Ireland), following the manufacturer’s instructions. RNA concentration, integrity, and purity were determined with a Nanodrop spectrophotometer (ND-1000; Nanodrop, Labtech International, UK). Purity </w:t>
      </w:r>
      <w:r w:rsidR="005926CA" w:rsidRPr="00D6301C">
        <w:rPr>
          <w:lang w:val="en-GB"/>
        </w:rPr>
        <w:t>and integrity</w:t>
      </w:r>
      <w:r w:rsidR="007414D6" w:rsidRPr="00D6301C">
        <w:rPr>
          <w:lang w:val="en-GB"/>
        </w:rPr>
        <w:t xml:space="preserve"> of samples</w:t>
      </w:r>
      <w:r w:rsidR="007C29D7" w:rsidRPr="00D6301C">
        <w:rPr>
          <w:lang w:val="en-GB"/>
        </w:rPr>
        <w:t xml:space="preserve"> were </w:t>
      </w:r>
      <w:r w:rsidRPr="00D6301C">
        <w:rPr>
          <w:lang w:val="en-GB"/>
        </w:rPr>
        <w:t>evaluated by the absorbance ratio</w:t>
      </w:r>
      <w:r w:rsidR="007C29D7" w:rsidRPr="00D6301C">
        <w:rPr>
          <w:lang w:val="en-GB"/>
        </w:rPr>
        <w:t>s</w:t>
      </w:r>
      <w:r w:rsidRPr="00D6301C">
        <w:rPr>
          <w:lang w:val="en-GB"/>
        </w:rPr>
        <w:t xml:space="preserve"> at 260/280</w:t>
      </w:r>
      <w:r w:rsidR="007C29D7" w:rsidRPr="00D6301C">
        <w:rPr>
          <w:lang w:val="en-GB"/>
        </w:rPr>
        <w:t xml:space="preserve"> (acceptable values ~2.0) and </w:t>
      </w:r>
      <w:r w:rsidRPr="00D6301C">
        <w:rPr>
          <w:lang w:val="en-GB"/>
        </w:rPr>
        <w:t xml:space="preserve">260/230 </w:t>
      </w:r>
      <w:r w:rsidR="0027192D" w:rsidRPr="00D6301C">
        <w:rPr>
          <w:lang w:val="en-GB"/>
        </w:rPr>
        <w:t xml:space="preserve">(acceptable values </w:t>
      </w:r>
      <w:r w:rsidRPr="00D6301C">
        <w:rPr>
          <w:lang w:val="en-GB"/>
        </w:rPr>
        <w:t>2.0</w:t>
      </w:r>
      <w:r w:rsidR="00A92AC7" w:rsidRPr="00D6301C">
        <w:rPr>
          <w:lang w:val="en-GB"/>
        </w:rPr>
        <w:t>-</w:t>
      </w:r>
      <w:r w:rsidRPr="00D6301C">
        <w:rPr>
          <w:lang w:val="en-GB"/>
        </w:rPr>
        <w:t>2.2</w:t>
      </w:r>
      <w:r w:rsidR="0027192D" w:rsidRPr="00D6301C">
        <w:rPr>
          <w:lang w:val="en-GB"/>
        </w:rPr>
        <w:t>)</w:t>
      </w:r>
      <w:r w:rsidR="00A92AC7" w:rsidRPr="00D6301C">
        <w:rPr>
          <w:lang w:val="en-GB"/>
        </w:rPr>
        <w:t>, respectively</w:t>
      </w:r>
      <w:r w:rsidRPr="00D6301C">
        <w:rPr>
          <w:lang w:val="en-GB"/>
        </w:rPr>
        <w:t xml:space="preserve">. Samples were </w:t>
      </w:r>
      <w:r w:rsidR="006211F0" w:rsidRPr="00D6301C">
        <w:rPr>
          <w:lang w:val="en-GB"/>
        </w:rPr>
        <w:t>normali</w:t>
      </w:r>
      <w:r w:rsidR="00A92AC7" w:rsidRPr="00D6301C">
        <w:rPr>
          <w:lang w:val="en-GB"/>
        </w:rPr>
        <w:t>s</w:t>
      </w:r>
      <w:r w:rsidR="006211F0" w:rsidRPr="00D6301C">
        <w:rPr>
          <w:lang w:val="en-GB"/>
        </w:rPr>
        <w:t>ed</w:t>
      </w:r>
      <w:r w:rsidRPr="00D6301C">
        <w:rPr>
          <w:lang w:val="en-GB"/>
        </w:rPr>
        <w:t xml:space="preserve"> to a concentration of 88 ng/μL.</w:t>
      </w:r>
    </w:p>
    <w:p w14:paraId="0F9BADD2" w14:textId="333B99BF" w:rsidR="00047332" w:rsidRPr="00D6301C" w:rsidRDefault="00C9013B" w:rsidP="008C33AC">
      <w:pPr>
        <w:spacing w:line="276" w:lineRule="auto"/>
        <w:jc w:val="both"/>
        <w:rPr>
          <w:i/>
          <w:iCs/>
          <w:u w:val="single"/>
          <w:lang w:val="en-GB"/>
        </w:rPr>
      </w:pPr>
      <w:r w:rsidRPr="00D6301C">
        <w:rPr>
          <w:lang w:val="en-GB"/>
        </w:rPr>
        <w:t>cDNA synthesis was performed using the High-Capacity cDNA Reverse Transcription Kit (ThermoFisher Scientific, Ireland). Gene expression analysis was carried out on an Applied Biosystems StepOne Plus</w:t>
      </w:r>
      <w:r w:rsidR="003B28BB" w:rsidRPr="00D6301C">
        <w:rPr>
          <w:lang w:val="en-GB"/>
        </w:rPr>
        <w:t>™</w:t>
      </w:r>
      <w:r w:rsidRPr="00D6301C">
        <w:rPr>
          <w:lang w:val="en-GB"/>
        </w:rPr>
        <w:t xml:space="preserve"> instrument (Bio-Sciences, Dun Laoghaire, Ireland)</w:t>
      </w:r>
      <w:r w:rsidR="003B28BB" w:rsidRPr="00D6301C">
        <w:rPr>
          <w:lang w:val="en-GB"/>
        </w:rPr>
        <w:t>.  TaqMan gene expression assays (Biosciences, Ireland) containing forward and reverse primers and FAM-labelled TaqMan probes (Biosciences, Ireland) were used to quantify the genes of interest</w:t>
      </w:r>
      <w:r w:rsidR="004612F8" w:rsidRPr="00D6301C">
        <w:rPr>
          <w:lang w:val="en-GB"/>
        </w:rPr>
        <w:t xml:space="preserve"> </w:t>
      </w:r>
      <w:r w:rsidRPr="00D6301C">
        <w:rPr>
          <w:lang w:val="en-GB"/>
        </w:rPr>
        <w:t>(</w:t>
      </w:r>
      <w:r w:rsidR="009B1407" w:rsidRPr="00D6301C">
        <w:rPr>
          <w:i/>
          <w:iCs/>
          <w:lang w:val="en-GB"/>
        </w:rPr>
        <w:t>C</w:t>
      </w:r>
      <w:r w:rsidRPr="00D6301C">
        <w:rPr>
          <w:i/>
          <w:iCs/>
          <w:lang w:val="en-GB"/>
        </w:rPr>
        <w:t>nr1</w:t>
      </w:r>
      <w:r w:rsidRPr="00D6301C">
        <w:rPr>
          <w:lang w:val="en-GB"/>
        </w:rPr>
        <w:t xml:space="preserve"> for CB1, assay ID: Rn00562880_m1; </w:t>
      </w:r>
      <w:r w:rsidR="009B1407" w:rsidRPr="00D6301C">
        <w:rPr>
          <w:i/>
          <w:iCs/>
          <w:lang w:val="en-GB"/>
        </w:rPr>
        <w:t>C</w:t>
      </w:r>
      <w:r w:rsidRPr="00D6301C">
        <w:rPr>
          <w:i/>
          <w:iCs/>
          <w:lang w:val="en-GB"/>
        </w:rPr>
        <w:t>nr2</w:t>
      </w:r>
      <w:r w:rsidRPr="00D6301C">
        <w:rPr>
          <w:lang w:val="en-GB"/>
        </w:rPr>
        <w:t xml:space="preserve"> for CB2, assay ID: Rn03993699_s1; </w:t>
      </w:r>
      <w:r w:rsidR="009B1407" w:rsidRPr="00D6301C">
        <w:rPr>
          <w:i/>
          <w:iCs/>
          <w:lang w:val="en-GB"/>
        </w:rPr>
        <w:t>F</w:t>
      </w:r>
      <w:r w:rsidRPr="00D6301C">
        <w:rPr>
          <w:i/>
          <w:iCs/>
          <w:lang w:val="en-GB"/>
        </w:rPr>
        <w:t>aah</w:t>
      </w:r>
      <w:r w:rsidRPr="00D6301C">
        <w:rPr>
          <w:lang w:val="en-GB"/>
        </w:rPr>
        <w:t xml:space="preserve"> for FAAH, assay ID: Rn00577086_m1; and </w:t>
      </w:r>
      <w:r w:rsidR="009B1407" w:rsidRPr="00D6301C">
        <w:rPr>
          <w:i/>
          <w:iCs/>
          <w:lang w:val="en-GB"/>
        </w:rPr>
        <w:t>M</w:t>
      </w:r>
      <w:r w:rsidRPr="00D6301C">
        <w:rPr>
          <w:i/>
          <w:iCs/>
          <w:lang w:val="en-GB"/>
        </w:rPr>
        <w:t>gll</w:t>
      </w:r>
      <w:r w:rsidRPr="00D6301C">
        <w:rPr>
          <w:lang w:val="en-GB"/>
        </w:rPr>
        <w:t xml:space="preserve"> for MGL, assay ID: Rn00593297_m1). A VIC-labelled probe for </w:t>
      </w:r>
      <w:r w:rsidR="002125CC" w:rsidRPr="00D6301C">
        <w:rPr>
          <w:i/>
          <w:iCs/>
          <w:lang w:val="en-GB"/>
        </w:rPr>
        <w:t>Actb</w:t>
      </w:r>
      <w:r w:rsidRPr="00D6301C">
        <w:rPr>
          <w:lang w:val="en-GB"/>
        </w:rPr>
        <w:t xml:space="preserve"> (β-actin</w:t>
      </w:r>
      <w:r w:rsidR="002125CC" w:rsidRPr="00D6301C">
        <w:rPr>
          <w:lang w:val="en-GB"/>
        </w:rPr>
        <w:t>,</w:t>
      </w:r>
      <w:r w:rsidRPr="00D6301C">
        <w:rPr>
          <w:lang w:val="en-GB"/>
        </w:rPr>
        <w:t xml:space="preserve"> assay ID: Rn00667869_m1) was used as the housekeeping control</w:t>
      </w:r>
      <w:r w:rsidR="004612F8" w:rsidRPr="00D6301C">
        <w:rPr>
          <w:lang w:val="en-GB"/>
        </w:rPr>
        <w:t xml:space="preserve"> gene</w:t>
      </w:r>
      <w:r w:rsidRPr="00D6301C">
        <w:rPr>
          <w:lang w:val="en-GB"/>
        </w:rPr>
        <w:t>.</w:t>
      </w:r>
      <w:r w:rsidR="001E7CAA" w:rsidRPr="00D6301C">
        <w:rPr>
          <w:lang w:val="en-GB"/>
        </w:rPr>
        <w:t xml:space="preserve"> </w:t>
      </w:r>
      <w:r w:rsidR="008E3DBC" w:rsidRPr="00D6301C">
        <w:rPr>
          <w:lang w:val="en-GB"/>
        </w:rPr>
        <w:t xml:space="preserve">The percentage fold change in gene expression was calculated using the 2^(-ΔΔCt) method, where ΔCt represents the difference between the target gene and the housekeeping gene Ct values, </w:t>
      </w:r>
      <w:r w:rsidR="008E3DBC" w:rsidRPr="00D6301C">
        <w:rPr>
          <w:lang w:val="en-GB"/>
        </w:rPr>
        <w:lastRenderedPageBreak/>
        <w:t xml:space="preserve">and ΔΔCt represents the difference between the ΔCt of the experimental sample and the ΔCt of the control sample. Results were expressed as </w:t>
      </w:r>
      <w:r w:rsidR="00964025" w:rsidRPr="00D6301C">
        <w:rPr>
          <w:lang w:val="en-GB"/>
        </w:rPr>
        <w:t>a percentage of levels in</w:t>
      </w:r>
      <w:r w:rsidR="009444AE" w:rsidRPr="00D6301C">
        <w:rPr>
          <w:lang w:val="en-GB"/>
        </w:rPr>
        <w:t xml:space="preserve"> Sham</w:t>
      </w:r>
      <w:r w:rsidR="008E3DBC" w:rsidRPr="00D6301C">
        <w:rPr>
          <w:lang w:val="en-GB"/>
        </w:rPr>
        <w:t xml:space="preserve"> </w:t>
      </w:r>
      <w:r w:rsidR="00964025" w:rsidRPr="00D6301C">
        <w:rPr>
          <w:lang w:val="en-GB"/>
        </w:rPr>
        <w:t xml:space="preserve">male </w:t>
      </w:r>
      <w:r w:rsidR="00005C1C" w:rsidRPr="00D6301C">
        <w:rPr>
          <w:lang w:val="en-GB"/>
        </w:rPr>
        <w:t>ipsilateral (left)</w:t>
      </w:r>
      <w:r w:rsidR="00C62382" w:rsidRPr="00D6301C">
        <w:rPr>
          <w:lang w:val="en-GB"/>
        </w:rPr>
        <w:t xml:space="preserve"> </w:t>
      </w:r>
      <w:r w:rsidR="00964025" w:rsidRPr="00D6301C">
        <w:rPr>
          <w:lang w:val="en-GB"/>
        </w:rPr>
        <w:t>samples</w:t>
      </w:r>
      <w:r w:rsidR="008E3DBC" w:rsidRPr="00D6301C">
        <w:rPr>
          <w:lang w:val="en-GB"/>
        </w:rPr>
        <w:t>.</w:t>
      </w:r>
    </w:p>
    <w:p w14:paraId="2533488A" w14:textId="29C1EC87" w:rsidR="00C9013B" w:rsidRPr="00D6301C" w:rsidRDefault="003304C3" w:rsidP="008C33AC">
      <w:pPr>
        <w:spacing w:after="0" w:line="276" w:lineRule="auto"/>
        <w:jc w:val="both"/>
        <w:rPr>
          <w:i/>
          <w:iCs/>
          <w:u w:val="single"/>
          <w:lang w:val="en-GB"/>
        </w:rPr>
      </w:pPr>
      <w:r w:rsidRPr="00D6301C">
        <w:rPr>
          <w:i/>
          <w:iCs/>
          <w:u w:val="single"/>
          <w:lang w:val="en-GB"/>
        </w:rPr>
        <w:t>Oestrous</w:t>
      </w:r>
      <w:r w:rsidR="00C9013B" w:rsidRPr="00D6301C">
        <w:rPr>
          <w:i/>
          <w:iCs/>
          <w:u w:val="single"/>
          <w:lang w:val="en-GB"/>
        </w:rPr>
        <w:t xml:space="preserve"> cycle </w:t>
      </w:r>
      <w:r w:rsidRPr="00D6301C">
        <w:rPr>
          <w:i/>
          <w:iCs/>
          <w:u w:val="single"/>
          <w:lang w:val="en-GB"/>
        </w:rPr>
        <w:t xml:space="preserve">stage </w:t>
      </w:r>
      <w:r w:rsidR="00C9013B" w:rsidRPr="00D6301C">
        <w:rPr>
          <w:i/>
          <w:iCs/>
          <w:u w:val="single"/>
          <w:lang w:val="en-GB"/>
        </w:rPr>
        <w:t>analysis</w:t>
      </w:r>
    </w:p>
    <w:p w14:paraId="5F45F574" w14:textId="4353E763" w:rsidR="008A52EE" w:rsidRPr="00D6301C" w:rsidRDefault="00C9013B" w:rsidP="008C33AC">
      <w:pPr>
        <w:spacing w:line="276" w:lineRule="auto"/>
        <w:jc w:val="both"/>
        <w:rPr>
          <w:lang w:val="en-GB"/>
        </w:rPr>
      </w:pPr>
      <w:r w:rsidRPr="00D6301C">
        <w:rPr>
          <w:lang w:val="en-GB"/>
        </w:rPr>
        <w:t xml:space="preserve">To assess the </w:t>
      </w:r>
      <w:r w:rsidR="003304C3" w:rsidRPr="00D6301C">
        <w:rPr>
          <w:lang w:val="en-GB"/>
        </w:rPr>
        <w:t>oestrous</w:t>
      </w:r>
      <w:r w:rsidRPr="00D6301C">
        <w:rPr>
          <w:lang w:val="en-GB"/>
        </w:rPr>
        <w:t xml:space="preserve"> cycle stage in female rats, vaginal smears were collected after </w:t>
      </w:r>
      <w:r w:rsidR="003304C3" w:rsidRPr="00D6301C">
        <w:rPr>
          <w:lang w:val="en-GB"/>
        </w:rPr>
        <w:t>behavioural</w:t>
      </w:r>
      <w:r w:rsidRPr="00D6301C">
        <w:rPr>
          <w:lang w:val="en-GB"/>
        </w:rPr>
        <w:t xml:space="preserve"> testing </w:t>
      </w:r>
      <w:r w:rsidR="0048316F" w:rsidRPr="00D6301C">
        <w:rPr>
          <w:lang w:val="en-GB"/>
        </w:rPr>
        <w:t xml:space="preserve">at </w:t>
      </w:r>
      <w:r w:rsidR="00AE542F" w:rsidRPr="00D6301C">
        <w:rPr>
          <w:lang w:val="en-GB"/>
        </w:rPr>
        <w:t>baseline (</w:t>
      </w:r>
      <w:r w:rsidR="004528EC" w:rsidRPr="00D6301C">
        <w:rPr>
          <w:lang w:val="en-GB"/>
        </w:rPr>
        <w:t>BL</w:t>
      </w:r>
      <w:r w:rsidR="00AE542F" w:rsidRPr="00D6301C">
        <w:rPr>
          <w:lang w:val="en-GB"/>
        </w:rPr>
        <w:t>)</w:t>
      </w:r>
      <w:r w:rsidR="004528EC" w:rsidRPr="00D6301C">
        <w:rPr>
          <w:lang w:val="en-GB"/>
        </w:rPr>
        <w:t xml:space="preserve">, </w:t>
      </w:r>
      <w:r w:rsidR="006317FF" w:rsidRPr="00D6301C">
        <w:rPr>
          <w:lang w:val="en-GB"/>
        </w:rPr>
        <w:t>on</w:t>
      </w:r>
      <w:r w:rsidRPr="00D6301C">
        <w:rPr>
          <w:lang w:val="en-GB"/>
        </w:rPr>
        <w:t xml:space="preserve"> Day 7 (inflammatory phase of </w:t>
      </w:r>
      <w:r w:rsidR="006317FF" w:rsidRPr="00D6301C">
        <w:rPr>
          <w:lang w:val="en-GB"/>
        </w:rPr>
        <w:t xml:space="preserve">the </w:t>
      </w:r>
      <w:r w:rsidRPr="00D6301C">
        <w:rPr>
          <w:lang w:val="en-GB"/>
        </w:rPr>
        <w:t xml:space="preserve">MIA model) and Day 14 (establishment of chronic phase of </w:t>
      </w:r>
      <w:r w:rsidR="009173F2" w:rsidRPr="00D6301C">
        <w:rPr>
          <w:lang w:val="en-GB"/>
        </w:rPr>
        <w:t xml:space="preserve">the </w:t>
      </w:r>
      <w:r w:rsidRPr="00D6301C">
        <w:rPr>
          <w:lang w:val="en-GB"/>
        </w:rPr>
        <w:t xml:space="preserve">MIA model) </w:t>
      </w:r>
      <w:r w:rsidR="009173F2" w:rsidRPr="00D6301C">
        <w:rPr>
          <w:lang w:val="en-GB"/>
        </w:rPr>
        <w:t xml:space="preserve">post-injection </w:t>
      </w:r>
      <w:r w:rsidRPr="00D6301C">
        <w:rPr>
          <w:lang w:val="en-GB"/>
        </w:rPr>
        <w:t>using sterile</w:t>
      </w:r>
      <w:r w:rsidR="00BA5409" w:rsidRPr="00D6301C">
        <w:rPr>
          <w:lang w:val="en-GB"/>
        </w:rPr>
        <w:t>,</w:t>
      </w:r>
      <w:r w:rsidRPr="00D6301C">
        <w:rPr>
          <w:lang w:val="en-GB"/>
        </w:rPr>
        <w:t xml:space="preserve"> saline</w:t>
      </w:r>
      <w:r w:rsidR="00BA5409" w:rsidRPr="00D6301C">
        <w:rPr>
          <w:lang w:val="en-GB"/>
        </w:rPr>
        <w:t>-</w:t>
      </w:r>
      <w:r w:rsidRPr="00D6301C">
        <w:rPr>
          <w:lang w:val="en-GB"/>
        </w:rPr>
        <w:t xml:space="preserve">moistened </w:t>
      </w:r>
      <w:r w:rsidR="00CD0E89" w:rsidRPr="00D6301C">
        <w:rPr>
          <w:lang w:val="en-GB"/>
        </w:rPr>
        <w:t>cotton buds</w:t>
      </w:r>
      <w:r w:rsidRPr="00D6301C">
        <w:rPr>
          <w:lang w:val="en-GB"/>
        </w:rPr>
        <w:t xml:space="preserve">. Samples were methanol-fixed, stained with eosin and methylene blue/azure, and examined by light microscopy. Based on established criteria </w:t>
      </w:r>
      <w:r w:rsidRPr="00D6301C">
        <w:rPr>
          <w:lang w:val="en-GB"/>
        </w:rPr>
        <w:fldChar w:fldCharType="begin" w:fldLock="1"/>
      </w:r>
      <w:r w:rsidR="00CD0E89" w:rsidRPr="00D6301C">
        <w:rPr>
          <w:lang w:val="en-GB"/>
        </w:rPr>
        <w:instrText>ADDIN CSL_CITATION {"citationItems":[{"id":"ITEM-1","itemData":{"DOI":"doi:10.3791/4389","ISSN":"1940-087X","abstract":"A rapid means of assessing reproductive status in rodents is useful not only in the study of reproductive dysfunction but is also required for the production of new mouse models of disease and investigations into the hormonal regulation of tissue degeneration (or regeneration) following pathological challenge.  The murine reproductive (or estrous) cycle is divided into 4 stages: proestrus, estrus, metestrus, and diestrus.  Defined fluctuations in circulating levels of the ovarian steroids 17-β-estradiol and progesterone, the gonadotropins luteinizing and follicle stimulating hormones, and the luteotropic hormone prolactin signal transition through these reproductive stages.  Changes in cell typology within the murine vaginal canal reflect these underlying endocrine events.  Daily assessment of the relative ratio of nucleated epithelial cells, cornified squamous epithelial cells, and leukocytes present in vaginal smears can be used to identify murine estrous stages.  The degree of invasiveness, however, employed in collecting these samples can alter reproductive status and elicit an inflammatory response that can confound cytological assessment of smears.  Here, we describe a simple, non-invasive protocol that can be used to determine the stage of the estrous cycle of a female mouse without altering her reproductive cycle.  We detail how to differentiate between the four stages of the estrous cycle by collection and analysis of predominant cell typology in vaginal smears and we show how these changes can be interpreted with respect to endocrine status.","author":[{"dropping-particle":"","family":"McLean","given":"Ashleigh C","non-dropping-particle":"","parse-names":false,"suffix":""},{"dropping-particle":"","family":"Valenzuela","given":"Nicolas","non-dropping-particle":"","parse-names":false,"suffix":""},{"dropping-particle":"","family":"Fai","given":"Stephen","non-dropping-particle":"","parse-names":false,"suffix":""},{"dropping-particle":"","family":"Bennett","given":"Steffany A L","non-dropping-particle":"","parse-names":false,"suffix":""}],"container-title":"JoVE","id":"ITEM-1","issue":"67","issued":{"date-parts":[["2012"]]},"page":"e4389","publisher":"MyJoVE Corp","title":"Performing Vaginal Lavage, Crystal Violet Staining, and Vaginal Cytological Evaluation for Mouse Estrous Cycle Staging Identification","type":"article-journal"},"uris":["http://www.mendeley.com/documents/?uuid=54d98c0d-7e0b-4fa0-9b8e-709d8754c661"]}],"mendeley":{"formattedCitation":"(McLean et al., 2012)","plainTextFormattedCitation":"(McLean et al., 2012)","previouslyFormattedCitation":"(McLean et al., 2012)"},"properties":{"noteIndex":0},"schema":"https://github.com/citation-style-language/schema/raw/master/csl-citation.json"}</w:instrText>
      </w:r>
      <w:r w:rsidRPr="00D6301C">
        <w:rPr>
          <w:lang w:val="en-GB"/>
        </w:rPr>
        <w:fldChar w:fldCharType="separate"/>
      </w:r>
      <w:r w:rsidR="00241227" w:rsidRPr="00D6301C">
        <w:rPr>
          <w:noProof/>
          <w:lang w:val="en-GB"/>
        </w:rPr>
        <w:t>(McLean et al., 2012)</w:t>
      </w:r>
      <w:r w:rsidRPr="00D6301C">
        <w:rPr>
          <w:lang w:val="en-GB"/>
        </w:rPr>
        <w:fldChar w:fldCharType="end"/>
      </w:r>
      <w:r w:rsidRPr="00D6301C">
        <w:rPr>
          <w:lang w:val="en-GB"/>
        </w:rPr>
        <w:t xml:space="preserve">, the </w:t>
      </w:r>
      <w:r w:rsidR="003304C3" w:rsidRPr="00D6301C">
        <w:rPr>
          <w:lang w:val="en-GB"/>
        </w:rPr>
        <w:t>oestrous</w:t>
      </w:r>
      <w:r w:rsidRPr="00D6301C">
        <w:rPr>
          <w:lang w:val="en-GB"/>
        </w:rPr>
        <w:t xml:space="preserve"> </w:t>
      </w:r>
      <w:r w:rsidR="007306F8" w:rsidRPr="00D6301C">
        <w:rPr>
          <w:lang w:val="en-GB"/>
        </w:rPr>
        <w:t xml:space="preserve">cycle </w:t>
      </w:r>
      <w:r w:rsidRPr="00D6301C">
        <w:rPr>
          <w:lang w:val="en-GB"/>
        </w:rPr>
        <w:t xml:space="preserve">stage was classified into: </w:t>
      </w:r>
      <w:r w:rsidR="003E3B23" w:rsidRPr="00D6301C">
        <w:rPr>
          <w:lang w:val="en-GB"/>
        </w:rPr>
        <w:t xml:space="preserve">(i) </w:t>
      </w:r>
      <w:r w:rsidRPr="00D6301C">
        <w:rPr>
          <w:lang w:val="en-GB"/>
        </w:rPr>
        <w:t xml:space="preserve">proestrus (predominantly </w:t>
      </w:r>
      <w:r w:rsidR="006211F0" w:rsidRPr="00D6301C">
        <w:rPr>
          <w:lang w:val="en-GB"/>
        </w:rPr>
        <w:t>characteri</w:t>
      </w:r>
      <w:r w:rsidR="003E3B23" w:rsidRPr="00D6301C">
        <w:rPr>
          <w:lang w:val="en-GB"/>
        </w:rPr>
        <w:t>s</w:t>
      </w:r>
      <w:r w:rsidR="006211F0" w:rsidRPr="00D6301C">
        <w:rPr>
          <w:lang w:val="en-GB"/>
        </w:rPr>
        <w:t>ed</w:t>
      </w:r>
      <w:r w:rsidR="00C30027" w:rsidRPr="00D6301C">
        <w:rPr>
          <w:lang w:val="en-GB"/>
        </w:rPr>
        <w:t xml:space="preserve"> by </w:t>
      </w:r>
      <w:r w:rsidRPr="00D6301C">
        <w:rPr>
          <w:lang w:val="en-GB"/>
        </w:rPr>
        <w:t>nucleated epithelial cells</w:t>
      </w:r>
      <w:r w:rsidR="00AA32C9" w:rsidRPr="00D6301C">
        <w:rPr>
          <w:lang w:val="en-GB"/>
        </w:rPr>
        <w:t xml:space="preserve">, </w:t>
      </w:r>
      <w:r w:rsidR="00AA32C9" w:rsidRPr="00D6301C">
        <w:rPr>
          <w:b/>
          <w:bCs/>
          <w:lang w:val="en-GB"/>
        </w:rPr>
        <w:t>Suppl. Fig. 1a</w:t>
      </w:r>
      <w:r w:rsidRPr="00D6301C">
        <w:rPr>
          <w:lang w:val="en-GB"/>
        </w:rPr>
        <w:t xml:space="preserve">), </w:t>
      </w:r>
      <w:r w:rsidR="003E3B23" w:rsidRPr="00D6301C">
        <w:rPr>
          <w:lang w:val="en-GB"/>
        </w:rPr>
        <w:t xml:space="preserve">(ii) </w:t>
      </w:r>
      <w:r w:rsidR="003304C3" w:rsidRPr="00D6301C">
        <w:rPr>
          <w:lang w:val="en-GB"/>
        </w:rPr>
        <w:t>oestrus</w:t>
      </w:r>
      <w:r w:rsidRPr="00D6301C">
        <w:rPr>
          <w:lang w:val="en-GB"/>
        </w:rPr>
        <w:t xml:space="preserve"> (cornified </w:t>
      </w:r>
      <w:r w:rsidR="00C30027" w:rsidRPr="00D6301C">
        <w:rPr>
          <w:lang w:val="en-GB"/>
        </w:rPr>
        <w:t xml:space="preserve">squamous </w:t>
      </w:r>
      <w:r w:rsidRPr="00D6301C">
        <w:rPr>
          <w:lang w:val="en-GB"/>
        </w:rPr>
        <w:t>epithelial cells in clusters</w:t>
      </w:r>
      <w:r w:rsidR="00AA32C9" w:rsidRPr="00D6301C">
        <w:rPr>
          <w:lang w:val="en-GB"/>
        </w:rPr>
        <w:t xml:space="preserve">, </w:t>
      </w:r>
      <w:r w:rsidR="00AA32C9" w:rsidRPr="00D6301C">
        <w:rPr>
          <w:b/>
          <w:bCs/>
          <w:lang w:val="en-GB"/>
        </w:rPr>
        <w:t>Suppl. Fig. 1b</w:t>
      </w:r>
      <w:r w:rsidRPr="00D6301C">
        <w:rPr>
          <w:lang w:val="en-GB"/>
        </w:rPr>
        <w:t xml:space="preserve">), </w:t>
      </w:r>
      <w:r w:rsidR="003E3B23" w:rsidRPr="00D6301C">
        <w:rPr>
          <w:lang w:val="en-GB"/>
        </w:rPr>
        <w:t xml:space="preserve">(iii) </w:t>
      </w:r>
      <w:r w:rsidRPr="00D6301C">
        <w:rPr>
          <w:lang w:val="en-GB"/>
        </w:rPr>
        <w:t>met</w:t>
      </w:r>
      <w:r w:rsidR="003E3B23" w:rsidRPr="00D6301C">
        <w:rPr>
          <w:lang w:val="en-GB"/>
        </w:rPr>
        <w:t>-o</w:t>
      </w:r>
      <w:r w:rsidRPr="00D6301C">
        <w:rPr>
          <w:lang w:val="en-GB"/>
        </w:rPr>
        <w:t xml:space="preserve">estrus (cornified </w:t>
      </w:r>
      <w:r w:rsidR="00C30027" w:rsidRPr="00D6301C">
        <w:rPr>
          <w:lang w:val="en-GB"/>
        </w:rPr>
        <w:t xml:space="preserve">squamous cells </w:t>
      </w:r>
      <w:r w:rsidRPr="00D6301C">
        <w:rPr>
          <w:lang w:val="en-GB"/>
        </w:rPr>
        <w:t>a</w:t>
      </w:r>
      <w:r w:rsidR="00C30027" w:rsidRPr="00D6301C">
        <w:rPr>
          <w:lang w:val="en-GB"/>
        </w:rPr>
        <w:t>nd</w:t>
      </w:r>
      <w:r w:rsidRPr="00D6301C">
        <w:rPr>
          <w:lang w:val="en-GB"/>
        </w:rPr>
        <w:t xml:space="preserve"> leucocytes</w:t>
      </w:r>
      <w:r w:rsidR="00AA32C9" w:rsidRPr="00D6301C">
        <w:rPr>
          <w:lang w:val="en-GB"/>
        </w:rPr>
        <w:t xml:space="preserve">, </w:t>
      </w:r>
      <w:r w:rsidR="00AA32C9" w:rsidRPr="00D6301C">
        <w:rPr>
          <w:b/>
          <w:bCs/>
          <w:lang w:val="en-GB"/>
        </w:rPr>
        <w:t>Suppl. Fig. 1c</w:t>
      </w:r>
      <w:r w:rsidRPr="00D6301C">
        <w:rPr>
          <w:lang w:val="en-GB"/>
        </w:rPr>
        <w:t>), or</w:t>
      </w:r>
      <w:r w:rsidR="003E3B23" w:rsidRPr="00D6301C">
        <w:rPr>
          <w:lang w:val="en-GB"/>
        </w:rPr>
        <w:t xml:space="preserve"> (iv)</w:t>
      </w:r>
      <w:r w:rsidRPr="00D6301C">
        <w:rPr>
          <w:lang w:val="en-GB"/>
        </w:rPr>
        <w:t xml:space="preserve"> </w:t>
      </w:r>
      <w:r w:rsidR="003304C3" w:rsidRPr="00D6301C">
        <w:rPr>
          <w:lang w:val="en-GB"/>
        </w:rPr>
        <w:t>dioestrus</w:t>
      </w:r>
      <w:r w:rsidRPr="00D6301C">
        <w:rPr>
          <w:lang w:val="en-GB"/>
        </w:rPr>
        <w:t xml:space="preserve"> (mixed </w:t>
      </w:r>
      <w:r w:rsidR="00C30027" w:rsidRPr="00D6301C">
        <w:rPr>
          <w:lang w:val="en-GB"/>
        </w:rPr>
        <w:t xml:space="preserve">nucleated </w:t>
      </w:r>
      <w:r w:rsidR="0077767B" w:rsidRPr="00D6301C">
        <w:rPr>
          <w:lang w:val="en-GB"/>
        </w:rPr>
        <w:t xml:space="preserve">and squamous </w:t>
      </w:r>
      <w:r w:rsidRPr="00D6301C">
        <w:rPr>
          <w:lang w:val="en-GB"/>
        </w:rPr>
        <w:t>epithelial cells with numerous leucocytes</w:t>
      </w:r>
      <w:r w:rsidR="00C43EA3" w:rsidRPr="00D6301C">
        <w:rPr>
          <w:lang w:val="en-GB"/>
        </w:rPr>
        <w:t xml:space="preserve">, </w:t>
      </w:r>
      <w:r w:rsidR="00C43EA3" w:rsidRPr="00D6301C">
        <w:rPr>
          <w:b/>
          <w:bCs/>
          <w:lang w:val="en-GB"/>
        </w:rPr>
        <w:t>Suppl. Fig. 1d</w:t>
      </w:r>
      <w:r w:rsidRPr="00D6301C">
        <w:rPr>
          <w:lang w:val="en-GB"/>
        </w:rPr>
        <w:t>).</w:t>
      </w:r>
      <w:r w:rsidR="002D5E75" w:rsidRPr="00D6301C">
        <w:rPr>
          <w:lang w:val="en-GB"/>
        </w:rPr>
        <w:t xml:space="preserve"> For the purpose of analysis</w:t>
      </w:r>
      <w:r w:rsidR="005D45F8" w:rsidRPr="00D6301C">
        <w:rPr>
          <w:lang w:val="en-GB"/>
        </w:rPr>
        <w:t xml:space="preserve">, female animals were </w:t>
      </w:r>
      <w:r w:rsidR="00DC5EA5" w:rsidRPr="00D6301C">
        <w:rPr>
          <w:lang w:val="en-GB"/>
        </w:rPr>
        <w:t xml:space="preserve">further </w:t>
      </w:r>
      <w:r w:rsidR="005D45F8" w:rsidRPr="00D6301C">
        <w:rPr>
          <w:lang w:val="en-GB"/>
        </w:rPr>
        <w:t xml:space="preserve">divided into two groups based on the </w:t>
      </w:r>
      <w:r w:rsidR="00EB11D3" w:rsidRPr="00D6301C">
        <w:rPr>
          <w:lang w:val="en-GB"/>
        </w:rPr>
        <w:t>oestrogen</w:t>
      </w:r>
      <w:r w:rsidR="005D45F8" w:rsidRPr="00D6301C">
        <w:rPr>
          <w:lang w:val="en-GB"/>
        </w:rPr>
        <w:t xml:space="preserve"> status </w:t>
      </w:r>
      <w:r w:rsidR="00B511CF" w:rsidRPr="00D6301C">
        <w:rPr>
          <w:lang w:val="en-GB"/>
        </w:rPr>
        <w:t xml:space="preserve">on the day of </w:t>
      </w:r>
      <w:r w:rsidR="00EB11D3" w:rsidRPr="00D6301C">
        <w:rPr>
          <w:lang w:val="en-GB"/>
        </w:rPr>
        <w:t>behavioural</w:t>
      </w:r>
      <w:r w:rsidR="00B511CF" w:rsidRPr="00D6301C">
        <w:rPr>
          <w:lang w:val="en-GB"/>
        </w:rPr>
        <w:t xml:space="preserve"> test: (a) high </w:t>
      </w:r>
      <w:r w:rsidR="00EB11D3" w:rsidRPr="00D6301C">
        <w:rPr>
          <w:lang w:val="en-GB"/>
        </w:rPr>
        <w:t>oestrogen</w:t>
      </w:r>
      <w:r w:rsidR="00B511CF" w:rsidRPr="00D6301C">
        <w:rPr>
          <w:lang w:val="en-GB"/>
        </w:rPr>
        <w:t xml:space="preserve"> status (</w:t>
      </w:r>
      <w:r w:rsidR="006A2ED8" w:rsidRPr="00D6301C">
        <w:rPr>
          <w:lang w:val="en-GB"/>
        </w:rPr>
        <w:t xml:space="preserve">proestrus, </w:t>
      </w:r>
      <w:r w:rsidR="00EB11D3" w:rsidRPr="00D6301C">
        <w:rPr>
          <w:lang w:val="en-GB"/>
        </w:rPr>
        <w:t>oestrus</w:t>
      </w:r>
      <w:r w:rsidR="006A2ED8" w:rsidRPr="00D6301C">
        <w:rPr>
          <w:lang w:val="en-GB"/>
        </w:rPr>
        <w:t xml:space="preserve">) and (b) low </w:t>
      </w:r>
      <w:r w:rsidR="00EB11D3" w:rsidRPr="00D6301C">
        <w:rPr>
          <w:lang w:val="en-GB"/>
        </w:rPr>
        <w:t>oestrogen</w:t>
      </w:r>
      <w:r w:rsidR="006A2ED8" w:rsidRPr="00D6301C">
        <w:rPr>
          <w:lang w:val="en-GB"/>
        </w:rPr>
        <w:t xml:space="preserve"> status (met</w:t>
      </w:r>
      <w:r w:rsidR="00642C24" w:rsidRPr="00D6301C">
        <w:rPr>
          <w:lang w:val="en-GB"/>
        </w:rPr>
        <w:t>-o</w:t>
      </w:r>
      <w:r w:rsidR="006A2ED8" w:rsidRPr="00D6301C">
        <w:rPr>
          <w:lang w:val="en-GB"/>
        </w:rPr>
        <w:t xml:space="preserve">estrus, </w:t>
      </w:r>
      <w:r w:rsidR="00EB11D3" w:rsidRPr="00D6301C">
        <w:rPr>
          <w:lang w:val="en-GB"/>
        </w:rPr>
        <w:t>dioestrus</w:t>
      </w:r>
      <w:r w:rsidR="006A2ED8" w:rsidRPr="00D6301C">
        <w:rPr>
          <w:lang w:val="en-GB"/>
        </w:rPr>
        <w:t>)</w:t>
      </w:r>
      <w:r w:rsidR="00DC5EA5" w:rsidRPr="00D6301C">
        <w:rPr>
          <w:lang w:val="en-GB"/>
        </w:rPr>
        <w:t>.</w:t>
      </w:r>
      <w:bookmarkStart w:id="1" w:name="OLE_LINK1"/>
    </w:p>
    <w:p w14:paraId="49450C35" w14:textId="3C3EA778" w:rsidR="00AA32C9" w:rsidRPr="00D6301C" w:rsidRDefault="00AA32C9" w:rsidP="00AA32C9">
      <w:pPr>
        <w:spacing w:after="120" w:line="276" w:lineRule="auto"/>
        <w:jc w:val="both"/>
        <w:rPr>
          <w:b/>
          <w:lang w:val="en-GB"/>
        </w:rPr>
      </w:pPr>
      <w:commentRangeStart w:id="2"/>
      <w:r w:rsidRPr="00D6301C">
        <w:rPr>
          <w:b/>
          <w:lang w:val="en-GB"/>
        </w:rPr>
        <w:t>Supplementary Figure 1</w:t>
      </w:r>
      <w:r w:rsidR="00331470" w:rsidRPr="00D6301C">
        <w:rPr>
          <w:noProof/>
          <w:lang w:eastAsia="en-IE"/>
        </w:rPr>
        <w:drawing>
          <wp:anchor distT="0" distB="0" distL="114300" distR="114300" simplePos="0" relativeHeight="251659264" behindDoc="0" locked="0" layoutInCell="1" allowOverlap="1" wp14:anchorId="3C1E46BD" wp14:editId="4B594F29">
            <wp:simplePos x="0" y="0"/>
            <wp:positionH relativeFrom="margin">
              <wp:align>left</wp:align>
            </wp:positionH>
            <wp:positionV relativeFrom="paragraph">
              <wp:posOffset>220980</wp:posOffset>
            </wp:positionV>
            <wp:extent cx="6017895" cy="1123950"/>
            <wp:effectExtent l="0" t="0" r="1905" b="0"/>
            <wp:wrapSquare wrapText="bothSides"/>
            <wp:docPr id="276335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7895" cy="1123950"/>
                    </a:xfrm>
                    <a:prstGeom prst="rect">
                      <a:avLst/>
                    </a:prstGeom>
                    <a:noFill/>
                  </pic:spPr>
                </pic:pic>
              </a:graphicData>
            </a:graphic>
            <wp14:sizeRelH relativeFrom="page">
              <wp14:pctWidth>0</wp14:pctWidth>
            </wp14:sizeRelH>
            <wp14:sizeRelV relativeFrom="page">
              <wp14:pctHeight>0</wp14:pctHeight>
            </wp14:sizeRelV>
          </wp:anchor>
        </w:drawing>
      </w:r>
    </w:p>
    <w:p w14:paraId="30F6D8CD" w14:textId="5CDF145E" w:rsidR="00AA32C9" w:rsidRPr="00D6301C" w:rsidRDefault="00AA32C9" w:rsidP="00AA32C9">
      <w:pPr>
        <w:spacing w:after="480" w:line="276" w:lineRule="auto"/>
        <w:jc w:val="both"/>
        <w:rPr>
          <w:lang w:val="en-GB"/>
        </w:rPr>
      </w:pPr>
      <w:r w:rsidRPr="00D6301C">
        <w:rPr>
          <w:rStyle w:val="normaltextrun"/>
          <w:rFonts w:ascii="Aptos" w:hAnsi="Aptos"/>
          <w:b/>
          <w:color w:val="000000"/>
          <w:shd w:val="clear" w:color="auto" w:fill="FFFFFF"/>
          <w:lang w:val="en-GB"/>
        </w:rPr>
        <w:t>Suppl. Figure 1.</w:t>
      </w:r>
      <w:r w:rsidRPr="00D6301C">
        <w:rPr>
          <w:rStyle w:val="normaltextrun"/>
          <w:rFonts w:ascii="Aptos" w:hAnsi="Aptos"/>
          <w:color w:val="000000"/>
          <w:shd w:val="clear" w:color="auto" w:fill="FFFFFF"/>
          <w:lang w:val="en-GB"/>
        </w:rPr>
        <w:t xml:space="preserve"> </w:t>
      </w:r>
      <w:r w:rsidRPr="00D6301C">
        <w:rPr>
          <w:b/>
          <w:lang w:val="en-GB"/>
        </w:rPr>
        <w:t>Representative images of vaginal cytology samples</w:t>
      </w:r>
      <w:r w:rsidRPr="00D6301C">
        <w:rPr>
          <w:rStyle w:val="normaltextrun"/>
          <w:rFonts w:ascii="Aptos" w:hAnsi="Aptos"/>
          <w:color w:val="000000"/>
          <w:shd w:val="clear" w:color="auto" w:fill="FFFFFF"/>
          <w:lang w:val="en-GB"/>
        </w:rPr>
        <w:t>. (</w:t>
      </w:r>
      <w:r w:rsidRPr="00D6301C">
        <w:rPr>
          <w:rStyle w:val="normaltextrun"/>
          <w:rFonts w:ascii="Aptos" w:hAnsi="Aptos"/>
          <w:b/>
          <w:bCs/>
          <w:color w:val="000000"/>
          <w:shd w:val="clear" w:color="auto" w:fill="FFFFFF"/>
          <w:lang w:val="en-GB"/>
        </w:rPr>
        <w:t>a</w:t>
      </w:r>
      <w:r w:rsidRPr="00D6301C">
        <w:rPr>
          <w:rStyle w:val="normaltextrun"/>
          <w:rFonts w:ascii="Aptos" w:hAnsi="Aptos"/>
          <w:color w:val="000000"/>
          <w:shd w:val="clear" w:color="auto" w:fill="FFFFFF"/>
          <w:lang w:val="en-GB"/>
        </w:rPr>
        <w:t>) Proestrus, (</w:t>
      </w:r>
      <w:r w:rsidRPr="00D6301C">
        <w:rPr>
          <w:rStyle w:val="normaltextrun"/>
          <w:rFonts w:ascii="Aptos" w:hAnsi="Aptos"/>
          <w:b/>
          <w:bCs/>
          <w:color w:val="000000"/>
          <w:shd w:val="clear" w:color="auto" w:fill="FFFFFF"/>
          <w:lang w:val="en-GB"/>
        </w:rPr>
        <w:t>b</w:t>
      </w:r>
      <w:r w:rsidRPr="00D6301C">
        <w:rPr>
          <w:rStyle w:val="normaltextrun"/>
          <w:rFonts w:ascii="Aptos" w:hAnsi="Aptos"/>
          <w:color w:val="000000"/>
          <w:shd w:val="clear" w:color="auto" w:fill="FFFFFF"/>
          <w:lang w:val="en-GB"/>
        </w:rPr>
        <w:t>) Oestrus, (</w:t>
      </w:r>
      <w:r w:rsidRPr="00D6301C">
        <w:rPr>
          <w:rStyle w:val="normaltextrun"/>
          <w:rFonts w:ascii="Aptos" w:hAnsi="Aptos"/>
          <w:b/>
          <w:bCs/>
          <w:color w:val="000000"/>
          <w:shd w:val="clear" w:color="auto" w:fill="FFFFFF"/>
          <w:lang w:val="en-GB"/>
        </w:rPr>
        <w:t>c</w:t>
      </w:r>
      <w:r w:rsidRPr="00D6301C">
        <w:rPr>
          <w:rStyle w:val="normaltextrun"/>
          <w:rFonts w:ascii="Aptos" w:hAnsi="Aptos"/>
          <w:color w:val="000000"/>
          <w:shd w:val="clear" w:color="auto" w:fill="FFFFFF"/>
          <w:lang w:val="en-GB"/>
        </w:rPr>
        <w:t>) Met-oestrus, and (</w:t>
      </w:r>
      <w:r w:rsidRPr="00D6301C">
        <w:rPr>
          <w:rStyle w:val="normaltextrun"/>
          <w:rFonts w:ascii="Aptos" w:hAnsi="Aptos"/>
          <w:b/>
          <w:bCs/>
          <w:color w:val="000000"/>
          <w:shd w:val="clear" w:color="auto" w:fill="FFFFFF"/>
          <w:lang w:val="en-GB"/>
        </w:rPr>
        <w:t>d</w:t>
      </w:r>
      <w:r w:rsidRPr="00D6301C">
        <w:rPr>
          <w:rStyle w:val="normaltextrun"/>
          <w:rFonts w:ascii="Aptos" w:hAnsi="Aptos"/>
          <w:color w:val="000000"/>
          <w:shd w:val="clear" w:color="auto" w:fill="FFFFFF"/>
          <w:lang w:val="en-GB"/>
        </w:rPr>
        <w:t>) Dioestrus stages of the oestrous cycle.</w:t>
      </w:r>
      <w:r w:rsidRPr="00D6301C">
        <w:rPr>
          <w:lang w:val="en-GB"/>
        </w:rPr>
        <w:t xml:space="preserve"> Black arrows show nucleated epithelial cells, white arrows show cornified squamous epithelial cells in clusters, and orange arrows show leucocytes.</w:t>
      </w:r>
      <w:commentRangeEnd w:id="2"/>
      <w:r w:rsidR="00B3362B" w:rsidRPr="00D6301C">
        <w:rPr>
          <w:rStyle w:val="CommentReference"/>
          <w:sz w:val="24"/>
          <w:szCs w:val="24"/>
          <w:lang w:val="en-GB"/>
        </w:rPr>
        <w:commentReference w:id="2"/>
      </w:r>
    </w:p>
    <w:p w14:paraId="3754B1F8" w14:textId="195B512D" w:rsidR="00C9013B" w:rsidRPr="00D6301C" w:rsidRDefault="00C9013B" w:rsidP="008C33AC">
      <w:pPr>
        <w:spacing w:after="0" w:line="276" w:lineRule="auto"/>
        <w:jc w:val="both"/>
        <w:rPr>
          <w:i/>
          <w:iCs/>
          <w:u w:val="single"/>
          <w:lang w:val="en-GB"/>
        </w:rPr>
      </w:pPr>
      <w:r w:rsidRPr="00D6301C">
        <w:rPr>
          <w:i/>
          <w:iCs/>
          <w:u w:val="single"/>
          <w:lang w:val="en-GB"/>
        </w:rPr>
        <w:t>Statistics</w:t>
      </w:r>
    </w:p>
    <w:bookmarkEnd w:id="1"/>
    <w:p w14:paraId="17E8E855" w14:textId="6D7618BA" w:rsidR="008424C0" w:rsidRPr="00D6301C" w:rsidRDefault="00C9013B" w:rsidP="008424C0">
      <w:pPr>
        <w:spacing w:after="0" w:line="276" w:lineRule="auto"/>
        <w:jc w:val="both"/>
      </w:pPr>
      <w:r w:rsidRPr="00D6301C">
        <w:rPr>
          <w:lang w:val="en-GB"/>
        </w:rPr>
        <w:t xml:space="preserve">Data are presented as mean ± SEM of </w:t>
      </w:r>
      <w:r w:rsidR="009444AE" w:rsidRPr="00D6301C">
        <w:rPr>
          <w:lang w:val="en-GB"/>
        </w:rPr>
        <w:t>3</w:t>
      </w:r>
      <w:r w:rsidR="007306F8" w:rsidRPr="00D6301C">
        <w:rPr>
          <w:lang w:val="en-GB"/>
        </w:rPr>
        <w:t>-</w:t>
      </w:r>
      <w:r w:rsidRPr="00D6301C">
        <w:rPr>
          <w:lang w:val="en-GB"/>
        </w:rPr>
        <w:t xml:space="preserve">9 animals per group for </w:t>
      </w:r>
      <w:r w:rsidR="00642C24" w:rsidRPr="00D6301C">
        <w:rPr>
          <w:lang w:val="en-GB"/>
        </w:rPr>
        <w:t>behavioural</w:t>
      </w:r>
      <w:r w:rsidRPr="00D6301C">
        <w:rPr>
          <w:lang w:val="en-GB"/>
        </w:rPr>
        <w:t xml:space="preserve">, neurochemical, and biomolecular analyses, and </w:t>
      </w:r>
      <w:r w:rsidR="0077767B" w:rsidRPr="00D6301C">
        <w:rPr>
          <w:lang w:val="en-GB"/>
        </w:rPr>
        <w:t>100</w:t>
      </w:r>
      <w:r w:rsidRPr="00D6301C">
        <w:rPr>
          <w:lang w:val="en-GB"/>
        </w:rPr>
        <w:t xml:space="preserve"> animals for the analysis of the i</w:t>
      </w:r>
      <w:r w:rsidR="007306F8" w:rsidRPr="00D6301C">
        <w:rPr>
          <w:lang w:val="en-GB"/>
        </w:rPr>
        <w:t>nfluence</w:t>
      </w:r>
      <w:r w:rsidRPr="00D6301C">
        <w:rPr>
          <w:lang w:val="en-GB"/>
        </w:rPr>
        <w:t xml:space="preserve"> of </w:t>
      </w:r>
      <w:r w:rsidR="00642C24" w:rsidRPr="00D6301C">
        <w:rPr>
          <w:lang w:val="en-GB"/>
        </w:rPr>
        <w:t>oestrous</w:t>
      </w:r>
      <w:r w:rsidRPr="00D6301C">
        <w:rPr>
          <w:lang w:val="en-GB"/>
        </w:rPr>
        <w:t xml:space="preserve"> cycle on pain-related </w:t>
      </w:r>
      <w:r w:rsidR="00642C24" w:rsidRPr="00D6301C">
        <w:rPr>
          <w:lang w:val="en-GB"/>
        </w:rPr>
        <w:t>behaviours</w:t>
      </w:r>
      <w:r w:rsidRPr="00D6301C">
        <w:rPr>
          <w:lang w:val="en-GB"/>
        </w:rPr>
        <w:t>. Normality and homogeneity were assessed with Shapiro</w:t>
      </w:r>
      <w:r w:rsidR="007306F8" w:rsidRPr="00D6301C">
        <w:rPr>
          <w:lang w:val="en-GB"/>
        </w:rPr>
        <w:t>-</w:t>
      </w:r>
      <w:r w:rsidRPr="00D6301C">
        <w:rPr>
          <w:lang w:val="en-GB"/>
        </w:rPr>
        <w:t>Wilk and Levene’s tests, respectively.</w:t>
      </w:r>
      <w:r w:rsidR="001B0B9B" w:rsidRPr="00D6301C">
        <w:rPr>
          <w:lang w:val="en-GB"/>
        </w:rPr>
        <w:t xml:space="preserve"> </w:t>
      </w:r>
      <w:r w:rsidRPr="00D6301C">
        <w:rPr>
          <w:lang w:val="en-GB"/>
        </w:rPr>
        <w:t>Outliers were identified by the ROUT method</w:t>
      </w:r>
      <w:r w:rsidR="00CD0E89" w:rsidRPr="00D6301C">
        <w:rPr>
          <w:lang w:val="en-GB"/>
        </w:rPr>
        <w:t xml:space="preserve"> </w:t>
      </w:r>
      <w:r w:rsidR="00CD0E89" w:rsidRPr="00D6301C">
        <w:rPr>
          <w:lang w:val="en-GB"/>
        </w:rPr>
        <w:fldChar w:fldCharType="begin" w:fldLock="1"/>
      </w:r>
      <w:r w:rsidR="00F538DF" w:rsidRPr="00D6301C">
        <w:rPr>
          <w:lang w:val="en-GB"/>
        </w:rPr>
        <w:instrText>ADDIN CSL_CITATION {"citationItems":[{"id":"ITEM-1","itemData":{"DOI":"10.1186/1471-2105-7-123","ISSN":"1471-2105 (Electronic)","PMID":"16526949","abstract":"BACKGROUND: Nonlinear regression, like linear regression, assumes that the  scatter of data around the ideal curve follows a Gaussian or normal distribution. This assumption leads to the familiar goal of regression: to minimize the sum of the squares of the vertical or Y-value distances between the points and the curve. Outliers can dominate the sum-of-the-squares calculation, and lead to misleading results. However, we know of no practical method for routinely identifying outliers when fitting curves with nonlinear regression. RESULTS: We describe a new method for identifying outliers when fitting data with nonlinear regression. We first fit the data using a robust form of nonlinear regression, based on the assumption that scatter follows a Lorentzian distribution. We devised a new adaptive method that gradually becomes more robust as the method proceeds. To define outliers, we adapted the false discovery rate approach to handling multiple comparisons. We then remove the outliers, and analyze the data using ordinary least-squares regression. Because the method combines robust regression and outlier removal, we call it the ROUT method. When analyzing simulated data, where all scatter is Gaussian, our method detects (falsely) one or more outlier in only about 1-3% of experiments. When analyzing data contaminated with one or several outliers, the ROUT method performs well at outlier identification, with an average False Discovery Rate less than 1%. CONCLUSION: Our method, which combines a new method of robust nonlinear regression with a new method of outlier identification, identifies outliers from nonlinear curve fits with reasonable power and few false positives.","author":[{"dropping-particle":"","family":"Motulsky","given":"Harvey J","non-dropping-particle":"","parse-names":false,"suffix":""},{"dropping-particle":"","family":"Brown","given":"Ronald E","non-dropping-particle":"","parse-names":false,"suffix":""}],"container-title":"BMC bioinformatics","id":"ITEM-1","issued":{"date-parts":[["2006","3"]]},"language":"eng","page":"123","publisher-place":"England","title":"Detecting outliers when fitting data with nonlinear regression - a new method  based on robust nonlinear regression and the false discovery rate.","type":"article-journal","volume":"7"},"uris":["http://www.mendeley.com/documents/?uuid=71bc0d22-f588-4c6f-b474-84fa4e82cfba"]}],"mendeley":{"formattedCitation":"(Motulsky and Brown, 2006)","plainTextFormattedCitation":"(Motulsky and Brown, 2006)","previouslyFormattedCitation":"(Motulsky and Brown, 2006)"},"properties":{"noteIndex":0},"schema":"https://github.com/citation-style-language/schema/raw/master/csl-citation.json"}</w:instrText>
      </w:r>
      <w:r w:rsidR="00CD0E89" w:rsidRPr="00D6301C">
        <w:rPr>
          <w:lang w:val="en-GB"/>
        </w:rPr>
        <w:fldChar w:fldCharType="separate"/>
      </w:r>
      <w:r w:rsidR="00CD0E89" w:rsidRPr="00D6301C">
        <w:rPr>
          <w:noProof/>
          <w:lang w:val="en-GB"/>
        </w:rPr>
        <w:t>(Motulsky and Brown, 2006)</w:t>
      </w:r>
      <w:r w:rsidR="00CD0E89" w:rsidRPr="00D6301C">
        <w:rPr>
          <w:lang w:val="en-GB"/>
        </w:rPr>
        <w:fldChar w:fldCharType="end"/>
      </w:r>
      <w:r w:rsidRPr="00D6301C">
        <w:rPr>
          <w:lang w:val="en-GB"/>
        </w:rPr>
        <w:t xml:space="preserve"> with Q=1% (maximum desired false discovery rate) and excluded from</w:t>
      </w:r>
      <w:r w:rsidR="00973F12" w:rsidRPr="00D6301C">
        <w:rPr>
          <w:lang w:val="en-GB"/>
        </w:rPr>
        <w:t xml:space="preserve"> </w:t>
      </w:r>
      <w:r w:rsidRPr="00D6301C">
        <w:rPr>
          <w:lang w:val="en-GB"/>
        </w:rPr>
        <w:t>analysis.</w:t>
      </w:r>
      <w:r w:rsidR="006C17D7" w:rsidRPr="00D6301C">
        <w:rPr>
          <w:lang w:val="en-GB"/>
        </w:rPr>
        <w:t xml:space="preserve"> No data points were excluded from the behavioural analyses. However, </w:t>
      </w:r>
      <w:r w:rsidR="006C17D7" w:rsidRPr="00D6301C">
        <w:t>outliers</w:t>
      </w:r>
      <w:r w:rsidR="00B643AD" w:rsidRPr="00D6301C">
        <w:t xml:space="preserve"> were identified in the biochemical analyses: </w:t>
      </w:r>
      <w:r w:rsidR="005657A0" w:rsidRPr="00D6301C">
        <w:t xml:space="preserve">one MIA female and one Sham male outlier were identified in the 2-AG </w:t>
      </w:r>
      <w:r w:rsidR="00BD48D9" w:rsidRPr="00D6301C">
        <w:t>dataset</w:t>
      </w:r>
      <w:r w:rsidR="005657A0" w:rsidRPr="00D6301C">
        <w:t xml:space="preserve">, </w:t>
      </w:r>
      <w:r w:rsidR="00BD48D9" w:rsidRPr="00D6301C">
        <w:t xml:space="preserve">and </w:t>
      </w:r>
      <w:r w:rsidR="005657A0" w:rsidRPr="00D6301C">
        <w:t xml:space="preserve">one MIA female outlier was identified in the PEA and OEA </w:t>
      </w:r>
      <w:r w:rsidR="00BD48D9" w:rsidRPr="00D6301C">
        <w:t>datasets</w:t>
      </w:r>
      <w:r w:rsidR="005657A0" w:rsidRPr="00D6301C">
        <w:t xml:space="preserve">. Additionally, one MIA female outlier was </w:t>
      </w:r>
      <w:r w:rsidR="00D1329F" w:rsidRPr="00D6301C">
        <w:t>found</w:t>
      </w:r>
      <w:r w:rsidR="005657A0" w:rsidRPr="00D6301C">
        <w:t xml:space="preserve"> for </w:t>
      </w:r>
      <w:r w:rsidR="005657A0" w:rsidRPr="00D6301C">
        <w:rPr>
          <w:i/>
          <w:iCs/>
        </w:rPr>
        <w:t>Faah</w:t>
      </w:r>
      <w:r w:rsidR="005657A0" w:rsidRPr="00D6301C">
        <w:t xml:space="preserve">, one MIA female and one Sham male outlier were identified for </w:t>
      </w:r>
      <w:r w:rsidR="005657A0" w:rsidRPr="00D6301C">
        <w:rPr>
          <w:i/>
          <w:iCs/>
        </w:rPr>
        <w:t>Cnr1</w:t>
      </w:r>
      <w:r w:rsidR="005657A0" w:rsidRPr="00D6301C">
        <w:t xml:space="preserve">, one MIA male outlier was identified for </w:t>
      </w:r>
      <w:r w:rsidR="005657A0" w:rsidRPr="00D6301C">
        <w:rPr>
          <w:i/>
          <w:iCs/>
        </w:rPr>
        <w:t>Mgll</w:t>
      </w:r>
      <w:r w:rsidR="005657A0" w:rsidRPr="00D6301C">
        <w:t xml:space="preserve">, and two MIA male and two MIA female outliers were identified for </w:t>
      </w:r>
      <w:r w:rsidR="005657A0" w:rsidRPr="00D6301C">
        <w:rPr>
          <w:i/>
          <w:iCs/>
        </w:rPr>
        <w:t>Cnr2</w:t>
      </w:r>
      <w:r w:rsidR="005657A0" w:rsidRPr="00D6301C">
        <w:t>.</w:t>
      </w:r>
      <w:r w:rsidR="00B37AB7" w:rsidRPr="00D6301C">
        <w:t xml:space="preserve"> </w:t>
      </w:r>
      <w:r w:rsidR="00B643AD" w:rsidRPr="00D6301C">
        <w:t xml:space="preserve">Whenever an outlier was identified, both ipsilateral and contralateral values for that </w:t>
      </w:r>
      <w:r w:rsidR="00D1329F" w:rsidRPr="00D6301C">
        <w:t>animal</w:t>
      </w:r>
      <w:r w:rsidR="00B643AD" w:rsidRPr="00D6301C">
        <w:t xml:space="preserve"> were excluded.</w:t>
      </w:r>
    </w:p>
    <w:p w14:paraId="26842A8A" w14:textId="4DD8058F" w:rsidR="00F538DF" w:rsidRPr="00D6301C" w:rsidRDefault="007306F8" w:rsidP="008424C0">
      <w:pPr>
        <w:spacing w:after="0" w:line="276" w:lineRule="auto"/>
        <w:jc w:val="both"/>
      </w:pPr>
      <w:r w:rsidRPr="00D6301C">
        <w:rPr>
          <w:lang w:val="en-GB"/>
        </w:rPr>
        <w:lastRenderedPageBreak/>
        <w:t>Time</w:t>
      </w:r>
      <w:r w:rsidR="001A7B6F" w:rsidRPr="00D6301C">
        <w:rPr>
          <w:lang w:val="en-GB"/>
        </w:rPr>
        <w:t>-</w:t>
      </w:r>
      <w:r w:rsidRPr="00D6301C">
        <w:rPr>
          <w:lang w:val="en-GB"/>
        </w:rPr>
        <w:t xml:space="preserve">course </w:t>
      </w:r>
      <w:r w:rsidR="00263F75" w:rsidRPr="00D6301C">
        <w:rPr>
          <w:lang w:val="en-GB"/>
        </w:rPr>
        <w:t>behavioural</w:t>
      </w:r>
      <w:r w:rsidRPr="00D6301C">
        <w:rPr>
          <w:lang w:val="en-GB"/>
        </w:rPr>
        <w:t xml:space="preserve"> data </w:t>
      </w:r>
      <w:r w:rsidR="00F00136" w:rsidRPr="00D6301C">
        <w:rPr>
          <w:lang w:val="en-GB"/>
        </w:rPr>
        <w:t xml:space="preserve">were </w:t>
      </w:r>
      <w:r w:rsidR="00263F75" w:rsidRPr="00D6301C">
        <w:rPr>
          <w:lang w:val="en-GB"/>
        </w:rPr>
        <w:t>analysed</w:t>
      </w:r>
      <w:r w:rsidR="00F00136" w:rsidRPr="00D6301C">
        <w:rPr>
          <w:lang w:val="en-GB"/>
        </w:rPr>
        <w:t xml:space="preserve"> using</w:t>
      </w:r>
      <w:r w:rsidR="00331470" w:rsidRPr="00D6301C">
        <w:rPr>
          <w:lang w:val="en-GB"/>
        </w:rPr>
        <w:t xml:space="preserve"> </w:t>
      </w:r>
      <w:r w:rsidR="00F00136" w:rsidRPr="00D6301C">
        <w:rPr>
          <w:lang w:val="en-GB"/>
        </w:rPr>
        <w:t>t</w:t>
      </w:r>
      <w:r w:rsidR="00331470" w:rsidRPr="00D6301C">
        <w:rPr>
          <w:lang w:val="en-GB"/>
        </w:rPr>
        <w:t>hree</w:t>
      </w:r>
      <w:r w:rsidR="00F00136" w:rsidRPr="00D6301C">
        <w:rPr>
          <w:lang w:val="en-GB"/>
        </w:rPr>
        <w:t>-way r</w:t>
      </w:r>
      <w:r w:rsidR="00C9013B" w:rsidRPr="00D6301C">
        <w:rPr>
          <w:lang w:val="en-GB"/>
        </w:rPr>
        <w:t>epeated</w:t>
      </w:r>
      <w:r w:rsidR="008424C0" w:rsidRPr="00D6301C">
        <w:rPr>
          <w:lang w:val="en-GB"/>
        </w:rPr>
        <w:t xml:space="preserve"> </w:t>
      </w:r>
      <w:r w:rsidR="00C9013B" w:rsidRPr="00D6301C">
        <w:rPr>
          <w:lang w:val="en-GB"/>
        </w:rPr>
        <w:t>measures</w:t>
      </w:r>
      <w:r w:rsidR="008424C0" w:rsidRPr="00D6301C">
        <w:rPr>
          <w:lang w:val="en-GB"/>
        </w:rPr>
        <w:t xml:space="preserve"> (RM)</w:t>
      </w:r>
      <w:r w:rsidR="00C9013B" w:rsidRPr="00D6301C">
        <w:rPr>
          <w:lang w:val="en-GB"/>
        </w:rPr>
        <w:t xml:space="preserve"> </w:t>
      </w:r>
      <w:r w:rsidR="00FE31D4" w:rsidRPr="00D6301C">
        <w:rPr>
          <w:lang w:val="en-GB"/>
        </w:rPr>
        <w:t>ANOVA (</w:t>
      </w:r>
      <w:r w:rsidR="00393B87" w:rsidRPr="00D6301C">
        <w:rPr>
          <w:lang w:val="en-GB"/>
        </w:rPr>
        <w:t xml:space="preserve">within-subjects factor: time, between-subjects factors: sex and model) </w:t>
      </w:r>
      <w:r w:rsidR="00C9013B" w:rsidRPr="00D6301C">
        <w:rPr>
          <w:lang w:val="en-GB"/>
        </w:rPr>
        <w:t xml:space="preserve">followed by Tukey’s </w:t>
      </w:r>
      <w:r w:rsidR="00F00136" w:rsidRPr="00D6301C">
        <w:rPr>
          <w:lang w:val="en-GB"/>
        </w:rPr>
        <w:t>post hoc test, where appropriate.</w:t>
      </w:r>
      <w:r w:rsidR="003A688D" w:rsidRPr="00D6301C">
        <w:rPr>
          <w:lang w:val="en-GB"/>
        </w:rPr>
        <w:t xml:space="preserve"> </w:t>
      </w:r>
      <w:r w:rsidR="00C9013B" w:rsidRPr="00D6301C">
        <w:rPr>
          <w:lang w:val="en-GB"/>
        </w:rPr>
        <w:t xml:space="preserve">Differences between two groups were </w:t>
      </w:r>
      <w:r w:rsidR="00263F75" w:rsidRPr="00D6301C">
        <w:rPr>
          <w:lang w:val="en-GB"/>
        </w:rPr>
        <w:t>analysed</w:t>
      </w:r>
      <w:r w:rsidR="00C9013B" w:rsidRPr="00D6301C">
        <w:rPr>
          <w:lang w:val="en-GB"/>
        </w:rPr>
        <w:t xml:space="preserve"> using unpaired t-tests with Welch’s correction.</w:t>
      </w:r>
      <w:r w:rsidR="00A508FD" w:rsidRPr="00D6301C">
        <w:rPr>
          <w:lang w:val="en-GB"/>
        </w:rPr>
        <w:t xml:space="preserve"> </w:t>
      </w:r>
      <w:r w:rsidR="001A7B6F" w:rsidRPr="00D6301C">
        <w:rPr>
          <w:lang w:val="en-GB"/>
        </w:rPr>
        <w:t>Differences between frequency distributions were analysed with Fisher’s exact test.</w:t>
      </w:r>
      <w:r w:rsidR="0088049D" w:rsidRPr="00D6301C">
        <w:rPr>
          <w:lang w:val="en-GB"/>
        </w:rPr>
        <w:t xml:space="preserve"> </w:t>
      </w:r>
      <w:r w:rsidR="002165F5" w:rsidRPr="00D6301C">
        <w:t xml:space="preserve">Neurochemical levels and gene expression data were analysed using two-way </w:t>
      </w:r>
      <w:r w:rsidR="00624936" w:rsidRPr="00D6301C">
        <w:t xml:space="preserve">(factors: sex and model) </w:t>
      </w:r>
      <w:r w:rsidR="002165F5" w:rsidRPr="00D6301C">
        <w:t>or three-way ANOVA</w:t>
      </w:r>
      <w:r w:rsidR="00D3753B" w:rsidRPr="00D6301C">
        <w:t xml:space="preserve"> (factors: sex, model, and</w:t>
      </w:r>
      <w:r w:rsidR="00FE31D4" w:rsidRPr="00D6301C">
        <w:t xml:space="preserve"> </w:t>
      </w:r>
      <w:r w:rsidR="00D3753B" w:rsidRPr="00D6301C">
        <w:t>side)</w:t>
      </w:r>
      <w:r w:rsidR="002165F5" w:rsidRPr="00D6301C">
        <w:t>. When missing values were present following outlier removal, the corresponding mixed-effects model was used instead. Tukey's post hoc test was used for multiple comparisons</w:t>
      </w:r>
      <w:r w:rsidR="00F43B38" w:rsidRPr="00D6301C">
        <w:t>, where appropriate</w:t>
      </w:r>
      <w:r w:rsidR="002165F5" w:rsidRPr="00D6301C">
        <w:t xml:space="preserve">. </w:t>
      </w:r>
      <w:r w:rsidR="008A52EE" w:rsidRPr="00D6301C">
        <w:t>LI of endocannabinoid</w:t>
      </w:r>
      <w:r w:rsidR="00263C28" w:rsidRPr="00D6301C">
        <w:t>s</w:t>
      </w:r>
      <w:r w:rsidR="008A52EE" w:rsidRPr="00D6301C">
        <w:t xml:space="preserve"> and </w:t>
      </w:r>
      <w:r w:rsidR="008A52EE" w:rsidRPr="00D6301C">
        <w:rPr>
          <w:i/>
          <w:iCs/>
        </w:rPr>
        <w:t>N</w:t>
      </w:r>
      <w:r w:rsidR="008A52EE" w:rsidRPr="00D6301C">
        <w:t>-acylethanolamine</w:t>
      </w:r>
      <w:r w:rsidR="00263C28" w:rsidRPr="00D6301C">
        <w:t>s</w:t>
      </w:r>
      <w:r w:rsidR="008A52EE" w:rsidRPr="00D6301C">
        <w:t xml:space="preserve"> for each experimental group w</w:t>
      </w:r>
      <w:r w:rsidR="00263C28" w:rsidRPr="00D6301C">
        <w:t>ere</w:t>
      </w:r>
      <w:r w:rsidR="008A52EE" w:rsidRPr="00D6301C">
        <w:t xml:space="preserve"> tested against a theoretical value of 0 (i.e., absence of lateralisation) using a Wilcoxon one-sample </w:t>
      </w:r>
      <w:r w:rsidR="00D3753B" w:rsidRPr="00D6301C">
        <w:t xml:space="preserve">t </w:t>
      </w:r>
      <w:r w:rsidR="008A52EE" w:rsidRPr="00D6301C">
        <w:t xml:space="preserve">test. </w:t>
      </w:r>
      <w:r w:rsidR="008D78A1" w:rsidRPr="00D6301C">
        <w:rPr>
          <w:lang w:val="en-GB"/>
        </w:rPr>
        <w:t>B</w:t>
      </w:r>
      <w:r w:rsidR="0019283A" w:rsidRPr="00D6301C">
        <w:rPr>
          <w:lang w:val="en-GB"/>
        </w:rPr>
        <w:t xml:space="preserve">inomial logistic regression was used to assess whether </w:t>
      </w:r>
      <w:r w:rsidR="00263F75" w:rsidRPr="00D6301C">
        <w:rPr>
          <w:lang w:val="en-GB"/>
        </w:rPr>
        <w:t>oestrous</w:t>
      </w:r>
      <w:r w:rsidR="00EB2B3D" w:rsidRPr="00D6301C">
        <w:rPr>
          <w:lang w:val="en-GB"/>
        </w:rPr>
        <w:t xml:space="preserve"> cycle</w:t>
      </w:r>
      <w:r w:rsidR="008239E7" w:rsidRPr="00D6301C">
        <w:rPr>
          <w:lang w:val="en-GB"/>
        </w:rPr>
        <w:t xml:space="preserve"> stage</w:t>
      </w:r>
      <w:r w:rsidR="00EB2B3D" w:rsidRPr="00D6301C">
        <w:rPr>
          <w:lang w:val="en-GB"/>
        </w:rPr>
        <w:t xml:space="preserve"> </w:t>
      </w:r>
      <w:r w:rsidR="0019283A" w:rsidRPr="00D6301C">
        <w:rPr>
          <w:lang w:val="en-GB"/>
        </w:rPr>
        <w:t xml:space="preserve">could </w:t>
      </w:r>
      <w:r w:rsidR="003061C2" w:rsidRPr="00D6301C">
        <w:rPr>
          <w:lang w:val="en-GB"/>
        </w:rPr>
        <w:t xml:space="preserve">predict responder status in </w:t>
      </w:r>
      <w:r w:rsidR="00EB2B3D" w:rsidRPr="00D6301C">
        <w:rPr>
          <w:lang w:val="en-GB"/>
        </w:rPr>
        <w:t xml:space="preserve">pain-related </w:t>
      </w:r>
      <w:r w:rsidR="00263F75" w:rsidRPr="00D6301C">
        <w:rPr>
          <w:lang w:val="en-GB"/>
        </w:rPr>
        <w:t>behavioural</w:t>
      </w:r>
      <w:r w:rsidR="00EB2B3D" w:rsidRPr="00D6301C">
        <w:rPr>
          <w:lang w:val="en-GB"/>
        </w:rPr>
        <w:t xml:space="preserve"> tests </w:t>
      </w:r>
      <w:r w:rsidR="00793378" w:rsidRPr="00D6301C">
        <w:rPr>
          <w:lang w:val="en-GB"/>
        </w:rPr>
        <w:t>at</w:t>
      </w:r>
      <w:r w:rsidR="00EB2B3D" w:rsidRPr="00D6301C">
        <w:rPr>
          <w:lang w:val="en-GB"/>
        </w:rPr>
        <w:t xml:space="preserve"> </w:t>
      </w:r>
      <w:r w:rsidR="003E080A" w:rsidRPr="00D6301C">
        <w:rPr>
          <w:lang w:val="en-GB"/>
        </w:rPr>
        <w:t xml:space="preserve">BL and </w:t>
      </w:r>
      <w:r w:rsidR="00E72500" w:rsidRPr="00D6301C">
        <w:rPr>
          <w:lang w:val="en-GB"/>
        </w:rPr>
        <w:t xml:space="preserve">on </w:t>
      </w:r>
      <w:r w:rsidR="00EB2B3D" w:rsidRPr="00D6301C">
        <w:rPr>
          <w:lang w:val="en-GB"/>
        </w:rPr>
        <w:t>Days 7 and 14 post-MIA injection</w:t>
      </w:r>
      <w:r w:rsidR="0019283A" w:rsidRPr="00D6301C">
        <w:rPr>
          <w:lang w:val="en-GB"/>
        </w:rPr>
        <w:t xml:space="preserve">. Binary codes were assigned </w:t>
      </w:r>
      <w:r w:rsidR="00A05AA2" w:rsidRPr="00D6301C">
        <w:rPr>
          <w:lang w:val="en-GB"/>
        </w:rPr>
        <w:t xml:space="preserve">to </w:t>
      </w:r>
      <w:r w:rsidR="43771D49" w:rsidRPr="00D6301C">
        <w:rPr>
          <w:lang w:val="en-GB"/>
        </w:rPr>
        <w:t>both independent and dependent variables</w:t>
      </w:r>
      <w:r w:rsidR="00EB2B3D" w:rsidRPr="00D6301C">
        <w:rPr>
          <w:lang w:val="en-GB"/>
        </w:rPr>
        <w:t xml:space="preserve">. </w:t>
      </w:r>
      <w:r w:rsidR="48CE3ACB" w:rsidRPr="00D6301C">
        <w:rPr>
          <w:lang w:val="en-GB"/>
        </w:rPr>
        <w:t>I</w:t>
      </w:r>
      <w:r w:rsidR="00EB2B3D" w:rsidRPr="00D6301C">
        <w:rPr>
          <w:lang w:val="en-GB"/>
        </w:rPr>
        <w:t>psilateral</w:t>
      </w:r>
      <w:r w:rsidR="2B0BC626" w:rsidRPr="00D6301C">
        <w:rPr>
          <w:lang w:val="en-GB"/>
        </w:rPr>
        <w:t xml:space="preserve"> PWT</w:t>
      </w:r>
      <w:r w:rsidR="00EB2B3D" w:rsidRPr="00D6301C">
        <w:rPr>
          <w:lang w:val="en-GB"/>
        </w:rPr>
        <w:t xml:space="preserve"> and </w:t>
      </w:r>
      <w:r w:rsidR="5EBECD9B" w:rsidRPr="00D6301C">
        <w:rPr>
          <w:lang w:val="en-GB"/>
        </w:rPr>
        <w:t xml:space="preserve">%WB </w:t>
      </w:r>
      <w:r w:rsidR="00510024" w:rsidRPr="00D6301C">
        <w:rPr>
          <w:lang w:val="en-GB"/>
        </w:rPr>
        <w:t xml:space="preserve">were </w:t>
      </w:r>
      <w:r w:rsidR="00782359" w:rsidRPr="00D6301C">
        <w:rPr>
          <w:lang w:val="en-GB"/>
        </w:rPr>
        <w:t>considered dependent</w:t>
      </w:r>
      <w:r w:rsidR="00510024" w:rsidRPr="00D6301C">
        <w:rPr>
          <w:lang w:val="en-GB"/>
        </w:rPr>
        <w:t xml:space="preserve"> variables</w:t>
      </w:r>
      <w:r w:rsidR="0081713A" w:rsidRPr="00D6301C">
        <w:rPr>
          <w:lang w:val="en-GB"/>
        </w:rPr>
        <w:t xml:space="preserve">, with </w:t>
      </w:r>
      <w:r w:rsidR="215BC0A0" w:rsidRPr="00D6301C">
        <w:rPr>
          <w:lang w:val="en-GB"/>
        </w:rPr>
        <w:t>animals classified as</w:t>
      </w:r>
      <w:r w:rsidR="006E436A" w:rsidRPr="00D6301C">
        <w:rPr>
          <w:lang w:val="en-GB"/>
        </w:rPr>
        <w:t xml:space="preserve"> </w:t>
      </w:r>
      <w:r w:rsidR="00510024" w:rsidRPr="00D6301C">
        <w:rPr>
          <w:lang w:val="en-GB"/>
        </w:rPr>
        <w:t>high</w:t>
      </w:r>
      <w:r w:rsidR="217E73A1" w:rsidRPr="00D6301C">
        <w:rPr>
          <w:lang w:val="en-GB"/>
        </w:rPr>
        <w:t>-</w:t>
      </w:r>
      <w:r w:rsidR="00510024" w:rsidRPr="00D6301C">
        <w:rPr>
          <w:lang w:val="en-GB"/>
        </w:rPr>
        <w:t xml:space="preserve"> or low</w:t>
      </w:r>
      <w:r w:rsidR="4D7773A3" w:rsidRPr="00D6301C">
        <w:rPr>
          <w:lang w:val="en-GB"/>
        </w:rPr>
        <w:t>-</w:t>
      </w:r>
      <w:r w:rsidR="34160566" w:rsidRPr="00D6301C">
        <w:rPr>
          <w:lang w:val="en-GB"/>
        </w:rPr>
        <w:t xml:space="preserve">responders </w:t>
      </w:r>
      <w:r w:rsidR="397826A4" w:rsidRPr="00D6301C">
        <w:rPr>
          <w:lang w:val="en-GB"/>
        </w:rPr>
        <w:t>relative to the median</w:t>
      </w:r>
      <w:r w:rsidR="00CF7A1C" w:rsidRPr="00D6301C">
        <w:rPr>
          <w:lang w:val="en-GB"/>
        </w:rPr>
        <w:t xml:space="preserve"> value of</w:t>
      </w:r>
      <w:r w:rsidR="397826A4" w:rsidRPr="00D6301C">
        <w:rPr>
          <w:lang w:val="en-GB"/>
        </w:rPr>
        <w:t xml:space="preserve"> </w:t>
      </w:r>
      <w:r w:rsidR="00A05AA2" w:rsidRPr="00D6301C">
        <w:rPr>
          <w:lang w:val="en-GB"/>
        </w:rPr>
        <w:t xml:space="preserve">PWT or </w:t>
      </w:r>
      <w:r w:rsidR="397826A4" w:rsidRPr="00D6301C">
        <w:rPr>
          <w:lang w:val="en-GB"/>
        </w:rPr>
        <w:t>%WB</w:t>
      </w:r>
      <w:r w:rsidR="00CF7A1C" w:rsidRPr="00D6301C">
        <w:rPr>
          <w:lang w:val="en-GB"/>
        </w:rPr>
        <w:t xml:space="preserve">. </w:t>
      </w:r>
      <w:r w:rsidR="00793378" w:rsidRPr="00D6301C">
        <w:rPr>
          <w:lang w:val="en-GB"/>
        </w:rPr>
        <w:t>Oestrous</w:t>
      </w:r>
      <w:r w:rsidR="00510024" w:rsidRPr="00D6301C">
        <w:rPr>
          <w:lang w:val="en-GB"/>
        </w:rPr>
        <w:t xml:space="preserve"> cycle</w:t>
      </w:r>
      <w:r w:rsidR="009F313B" w:rsidRPr="00D6301C">
        <w:rPr>
          <w:lang w:val="en-GB"/>
        </w:rPr>
        <w:t xml:space="preserve"> stage served</w:t>
      </w:r>
      <w:r w:rsidR="00510024" w:rsidRPr="00D6301C">
        <w:rPr>
          <w:lang w:val="en-GB"/>
        </w:rPr>
        <w:t xml:space="preserve"> as the independent variable</w:t>
      </w:r>
      <w:r w:rsidR="009F313B" w:rsidRPr="00D6301C">
        <w:rPr>
          <w:lang w:val="en-GB"/>
        </w:rPr>
        <w:t>, with</w:t>
      </w:r>
      <w:r w:rsidR="00510024" w:rsidRPr="00D6301C">
        <w:rPr>
          <w:lang w:val="en-GB"/>
        </w:rPr>
        <w:t xml:space="preserve"> proestrus/</w:t>
      </w:r>
      <w:r w:rsidR="00793378" w:rsidRPr="00D6301C">
        <w:rPr>
          <w:lang w:val="en-GB"/>
        </w:rPr>
        <w:t>oestrus</w:t>
      </w:r>
      <w:r w:rsidR="00510024" w:rsidRPr="00D6301C">
        <w:rPr>
          <w:lang w:val="en-GB"/>
        </w:rPr>
        <w:t xml:space="preserve"> as high </w:t>
      </w:r>
      <w:r w:rsidR="00793378" w:rsidRPr="00D6301C">
        <w:rPr>
          <w:lang w:val="en-GB"/>
        </w:rPr>
        <w:t>oestrogen</w:t>
      </w:r>
      <w:r w:rsidR="00510024" w:rsidRPr="00D6301C">
        <w:rPr>
          <w:lang w:val="en-GB"/>
        </w:rPr>
        <w:t xml:space="preserve"> </w:t>
      </w:r>
      <w:r w:rsidR="00764B69" w:rsidRPr="00D6301C">
        <w:rPr>
          <w:lang w:val="en-GB"/>
        </w:rPr>
        <w:t>status</w:t>
      </w:r>
      <w:r w:rsidR="00510024" w:rsidRPr="00D6301C">
        <w:rPr>
          <w:lang w:val="en-GB"/>
        </w:rPr>
        <w:t xml:space="preserve"> and met</w:t>
      </w:r>
      <w:r w:rsidR="00793378" w:rsidRPr="00D6301C">
        <w:rPr>
          <w:lang w:val="en-GB"/>
        </w:rPr>
        <w:t>-o</w:t>
      </w:r>
      <w:r w:rsidR="00510024" w:rsidRPr="00D6301C">
        <w:rPr>
          <w:lang w:val="en-GB"/>
        </w:rPr>
        <w:t>estrus/</w:t>
      </w:r>
      <w:r w:rsidR="00793378" w:rsidRPr="00D6301C">
        <w:rPr>
          <w:lang w:val="en-GB"/>
        </w:rPr>
        <w:t>dioestrus</w:t>
      </w:r>
      <w:r w:rsidR="00510024" w:rsidRPr="00D6301C">
        <w:rPr>
          <w:lang w:val="en-GB"/>
        </w:rPr>
        <w:t xml:space="preserve"> as low </w:t>
      </w:r>
      <w:r w:rsidR="00793378" w:rsidRPr="00D6301C">
        <w:rPr>
          <w:lang w:val="en-GB"/>
        </w:rPr>
        <w:t>oestrogen</w:t>
      </w:r>
      <w:r w:rsidR="00510024" w:rsidRPr="00D6301C">
        <w:rPr>
          <w:lang w:val="en-GB"/>
        </w:rPr>
        <w:t xml:space="preserve"> </w:t>
      </w:r>
      <w:r w:rsidR="00764B69" w:rsidRPr="00D6301C">
        <w:rPr>
          <w:lang w:val="en-GB"/>
        </w:rPr>
        <w:t>status</w:t>
      </w:r>
      <w:r w:rsidR="00510024" w:rsidRPr="00D6301C">
        <w:rPr>
          <w:lang w:val="en-GB"/>
        </w:rPr>
        <w:t>.</w:t>
      </w:r>
      <w:r w:rsidR="007B6F34" w:rsidRPr="00D6301C">
        <w:rPr>
          <w:lang w:val="en-GB"/>
        </w:rPr>
        <w:t xml:space="preserve"> </w:t>
      </w:r>
      <w:r w:rsidR="6FC82203" w:rsidRPr="00D6301C">
        <w:rPr>
          <w:lang w:val="en-GB"/>
        </w:rPr>
        <w:t>P</w:t>
      </w:r>
      <w:r w:rsidR="007F1B2F" w:rsidRPr="00D6301C">
        <w:rPr>
          <w:lang w:val="en-GB"/>
        </w:rPr>
        <w:t>&lt;0.05</w:t>
      </w:r>
      <w:r w:rsidR="566A4BC6" w:rsidRPr="00D6301C">
        <w:rPr>
          <w:lang w:val="en-GB"/>
        </w:rPr>
        <w:t xml:space="preserve"> was considered statistically significant</w:t>
      </w:r>
      <w:r w:rsidR="001A7B6F" w:rsidRPr="00D6301C">
        <w:rPr>
          <w:lang w:val="en-GB"/>
        </w:rPr>
        <w:t xml:space="preserve"> in all cases</w:t>
      </w:r>
      <w:r w:rsidR="007F1B2F" w:rsidRPr="00D6301C">
        <w:rPr>
          <w:lang w:val="en-GB"/>
        </w:rPr>
        <w:t>.</w:t>
      </w:r>
      <w:r w:rsidR="00402438" w:rsidRPr="00D6301C">
        <w:rPr>
          <w:lang w:val="en-GB"/>
        </w:rPr>
        <w:t xml:space="preserve"> </w:t>
      </w:r>
      <w:r w:rsidR="00C9013B" w:rsidRPr="00D6301C">
        <w:rPr>
          <w:lang w:val="en-GB"/>
        </w:rPr>
        <w:t>Statistical analyses and graphical representations were performed using GraphPad Prism version 10.6.1</w:t>
      </w:r>
      <w:r w:rsidR="007F7FE4" w:rsidRPr="00D6301C">
        <w:rPr>
          <w:lang w:val="en-GB"/>
        </w:rPr>
        <w:t xml:space="preserve"> (Boston, MA, USA)</w:t>
      </w:r>
      <w:r w:rsidR="00C9013B" w:rsidRPr="00D6301C">
        <w:rPr>
          <w:lang w:val="en-GB"/>
        </w:rPr>
        <w:t>.</w:t>
      </w:r>
    </w:p>
    <w:p w14:paraId="0111CC87" w14:textId="77777777" w:rsidR="00AA32C9" w:rsidRPr="00D6301C" w:rsidRDefault="00AA32C9" w:rsidP="00F11235">
      <w:pPr>
        <w:spacing w:after="120" w:line="276" w:lineRule="auto"/>
        <w:jc w:val="both"/>
        <w:rPr>
          <w:b/>
          <w:bCs/>
          <w:lang w:val="en-GB"/>
        </w:rPr>
      </w:pPr>
    </w:p>
    <w:p w14:paraId="087EDC4E" w14:textId="77777777" w:rsidR="00AA32C9" w:rsidRPr="00D6301C" w:rsidRDefault="00AA32C9" w:rsidP="00F11235">
      <w:pPr>
        <w:spacing w:after="120" w:line="276" w:lineRule="auto"/>
        <w:jc w:val="both"/>
        <w:rPr>
          <w:b/>
          <w:bCs/>
          <w:lang w:val="en-GB"/>
        </w:rPr>
      </w:pPr>
    </w:p>
    <w:p w14:paraId="073B5D46" w14:textId="77777777" w:rsidR="00AA32C9" w:rsidRPr="00D6301C" w:rsidRDefault="00AA32C9" w:rsidP="00F11235">
      <w:pPr>
        <w:spacing w:after="120" w:line="276" w:lineRule="auto"/>
        <w:jc w:val="both"/>
        <w:rPr>
          <w:b/>
          <w:bCs/>
          <w:lang w:val="en-GB"/>
        </w:rPr>
      </w:pPr>
    </w:p>
    <w:p w14:paraId="45BAF524" w14:textId="77777777" w:rsidR="00AA32C9" w:rsidRPr="00D6301C" w:rsidRDefault="00AA32C9" w:rsidP="00F11235">
      <w:pPr>
        <w:spacing w:after="120" w:line="276" w:lineRule="auto"/>
        <w:jc w:val="both"/>
        <w:rPr>
          <w:b/>
          <w:bCs/>
          <w:lang w:val="en-GB"/>
        </w:rPr>
      </w:pPr>
    </w:p>
    <w:p w14:paraId="3912EC1C" w14:textId="77777777" w:rsidR="00AA32C9" w:rsidRPr="00D6301C" w:rsidRDefault="00AA32C9" w:rsidP="00F11235">
      <w:pPr>
        <w:spacing w:after="120" w:line="276" w:lineRule="auto"/>
        <w:jc w:val="both"/>
        <w:rPr>
          <w:b/>
          <w:bCs/>
          <w:lang w:val="en-GB"/>
        </w:rPr>
      </w:pPr>
    </w:p>
    <w:p w14:paraId="5309F92D" w14:textId="77777777" w:rsidR="00AA32C9" w:rsidRPr="00D6301C" w:rsidRDefault="00AA32C9" w:rsidP="00F11235">
      <w:pPr>
        <w:spacing w:after="120" w:line="276" w:lineRule="auto"/>
        <w:jc w:val="both"/>
        <w:rPr>
          <w:b/>
          <w:bCs/>
          <w:lang w:val="en-GB"/>
        </w:rPr>
      </w:pPr>
    </w:p>
    <w:p w14:paraId="32266832" w14:textId="77777777" w:rsidR="00AA32C9" w:rsidRPr="00D6301C" w:rsidRDefault="00AA32C9" w:rsidP="00F11235">
      <w:pPr>
        <w:spacing w:after="120" w:line="276" w:lineRule="auto"/>
        <w:jc w:val="both"/>
        <w:rPr>
          <w:b/>
          <w:bCs/>
          <w:lang w:val="en-GB"/>
        </w:rPr>
      </w:pPr>
    </w:p>
    <w:p w14:paraId="46403CC3" w14:textId="77777777" w:rsidR="00AA32C9" w:rsidRPr="00D6301C" w:rsidRDefault="00AA32C9" w:rsidP="00F11235">
      <w:pPr>
        <w:spacing w:after="120" w:line="276" w:lineRule="auto"/>
        <w:jc w:val="both"/>
        <w:rPr>
          <w:b/>
          <w:bCs/>
          <w:lang w:val="en-GB"/>
        </w:rPr>
      </w:pPr>
    </w:p>
    <w:p w14:paraId="13B0AA09" w14:textId="77777777" w:rsidR="00AA32C9" w:rsidRPr="00D6301C" w:rsidRDefault="00AA32C9" w:rsidP="00F11235">
      <w:pPr>
        <w:spacing w:after="120" w:line="276" w:lineRule="auto"/>
        <w:jc w:val="both"/>
        <w:rPr>
          <w:b/>
          <w:bCs/>
          <w:lang w:val="en-GB"/>
        </w:rPr>
      </w:pPr>
    </w:p>
    <w:p w14:paraId="424E1880" w14:textId="77777777" w:rsidR="00AA32C9" w:rsidRPr="00D6301C" w:rsidRDefault="00AA32C9" w:rsidP="00F11235">
      <w:pPr>
        <w:spacing w:after="120" w:line="276" w:lineRule="auto"/>
        <w:jc w:val="both"/>
        <w:rPr>
          <w:b/>
          <w:bCs/>
          <w:lang w:val="en-GB"/>
        </w:rPr>
      </w:pPr>
    </w:p>
    <w:p w14:paraId="57CD0611" w14:textId="77777777" w:rsidR="00AA32C9" w:rsidRPr="00D6301C" w:rsidRDefault="00AA32C9" w:rsidP="00F11235">
      <w:pPr>
        <w:spacing w:after="120" w:line="276" w:lineRule="auto"/>
        <w:jc w:val="both"/>
        <w:rPr>
          <w:b/>
          <w:bCs/>
          <w:lang w:val="en-GB"/>
        </w:rPr>
      </w:pPr>
    </w:p>
    <w:p w14:paraId="0253568F" w14:textId="77777777" w:rsidR="00AA32C9" w:rsidRPr="00D6301C" w:rsidRDefault="00AA32C9" w:rsidP="00F11235">
      <w:pPr>
        <w:spacing w:after="120" w:line="276" w:lineRule="auto"/>
        <w:jc w:val="both"/>
        <w:rPr>
          <w:b/>
          <w:bCs/>
          <w:lang w:val="en-GB"/>
        </w:rPr>
      </w:pPr>
    </w:p>
    <w:p w14:paraId="08E8C636" w14:textId="77777777" w:rsidR="00AA32C9" w:rsidRPr="00D6301C" w:rsidRDefault="00AA32C9" w:rsidP="00F11235">
      <w:pPr>
        <w:spacing w:after="120" w:line="276" w:lineRule="auto"/>
        <w:jc w:val="both"/>
        <w:rPr>
          <w:b/>
          <w:bCs/>
          <w:lang w:val="en-GB"/>
        </w:rPr>
      </w:pPr>
    </w:p>
    <w:p w14:paraId="197E0D3B" w14:textId="77777777" w:rsidR="00AA32C9" w:rsidRPr="00D6301C" w:rsidRDefault="00AA32C9" w:rsidP="00F11235">
      <w:pPr>
        <w:spacing w:after="120" w:line="276" w:lineRule="auto"/>
        <w:jc w:val="both"/>
        <w:rPr>
          <w:b/>
          <w:bCs/>
          <w:lang w:val="en-GB"/>
        </w:rPr>
      </w:pPr>
    </w:p>
    <w:p w14:paraId="6DD6135F" w14:textId="77777777" w:rsidR="00AA32C9" w:rsidRPr="00D6301C" w:rsidRDefault="00AA32C9" w:rsidP="00F11235">
      <w:pPr>
        <w:spacing w:after="120" w:line="276" w:lineRule="auto"/>
        <w:jc w:val="both"/>
        <w:rPr>
          <w:b/>
          <w:bCs/>
          <w:lang w:val="en-GB"/>
        </w:rPr>
      </w:pPr>
    </w:p>
    <w:p w14:paraId="71EEF93B" w14:textId="77777777" w:rsidR="00AA32C9" w:rsidRPr="00D6301C" w:rsidRDefault="00AA32C9" w:rsidP="00F11235">
      <w:pPr>
        <w:spacing w:after="120" w:line="276" w:lineRule="auto"/>
        <w:jc w:val="both"/>
        <w:rPr>
          <w:b/>
          <w:bCs/>
          <w:lang w:val="en-GB"/>
        </w:rPr>
      </w:pPr>
    </w:p>
    <w:p w14:paraId="59387DC0" w14:textId="77777777" w:rsidR="00AA32C9" w:rsidRPr="00D6301C" w:rsidRDefault="00AA32C9" w:rsidP="00F11235">
      <w:pPr>
        <w:spacing w:after="120" w:line="276" w:lineRule="auto"/>
        <w:jc w:val="both"/>
        <w:rPr>
          <w:b/>
          <w:bCs/>
          <w:lang w:val="en-GB"/>
        </w:rPr>
      </w:pPr>
    </w:p>
    <w:p w14:paraId="22A597D9" w14:textId="77DC4B0F" w:rsidR="001472EE" w:rsidRPr="00D6301C" w:rsidRDefault="00C9013B" w:rsidP="00F11235">
      <w:pPr>
        <w:spacing w:after="120" w:line="276" w:lineRule="auto"/>
        <w:jc w:val="both"/>
        <w:rPr>
          <w:b/>
          <w:bCs/>
          <w:lang w:val="en-GB"/>
        </w:rPr>
      </w:pPr>
      <w:r w:rsidRPr="00D6301C">
        <w:rPr>
          <w:b/>
          <w:bCs/>
          <w:lang w:val="en-GB"/>
        </w:rPr>
        <w:lastRenderedPageBreak/>
        <w:t>Supplementary Results</w:t>
      </w:r>
    </w:p>
    <w:p w14:paraId="53A8BC24" w14:textId="007118C3" w:rsidR="009618B5" w:rsidRPr="00D6301C" w:rsidRDefault="009618B5" w:rsidP="00812A0B">
      <w:pPr>
        <w:spacing w:after="240" w:line="276" w:lineRule="auto"/>
        <w:jc w:val="both"/>
        <w:rPr>
          <w:b/>
          <w:bCs/>
          <w:lang w:val="en-GB"/>
        </w:rPr>
      </w:pPr>
      <w:r w:rsidRPr="00D6301C">
        <w:rPr>
          <w:b/>
          <w:bCs/>
          <w:lang w:val="en-GB"/>
        </w:rPr>
        <w:t>Suppl</w:t>
      </w:r>
      <w:r w:rsidR="00F538DF" w:rsidRPr="00D6301C">
        <w:rPr>
          <w:b/>
          <w:bCs/>
          <w:lang w:val="en-GB"/>
        </w:rPr>
        <w:t>ementary</w:t>
      </w:r>
      <w:r w:rsidRPr="00D6301C">
        <w:rPr>
          <w:b/>
          <w:bCs/>
          <w:lang w:val="en-GB"/>
        </w:rPr>
        <w:t xml:space="preserve"> Table 1. Contingency table showing the distribution of low and high responders in static weight-bearing test (%WB) across </w:t>
      </w:r>
      <w:r w:rsidR="00812A0B" w:rsidRPr="00D6301C">
        <w:rPr>
          <w:b/>
          <w:bCs/>
          <w:lang w:val="en-GB"/>
        </w:rPr>
        <w:t>oestrogen</w:t>
      </w:r>
      <w:r w:rsidRPr="00D6301C">
        <w:rPr>
          <w:b/>
          <w:bCs/>
          <w:lang w:val="en-GB"/>
        </w:rPr>
        <w:t xml:space="preserve"> status.</w:t>
      </w:r>
      <w:r w:rsidR="00173968" w:rsidRPr="00D6301C">
        <w:rPr>
          <w:b/>
          <w:bCs/>
          <w:lang w:val="en-GB"/>
        </w:rPr>
        <w:t xml:space="preserve"> </w:t>
      </w:r>
      <w:r w:rsidR="00173968" w:rsidRPr="00D6301C">
        <w:rPr>
          <w:lang w:val="en-GB"/>
        </w:rPr>
        <w:t>Data were analysed using binomial logistic regression to assess whether oestrous cycle stage could predict responder status in the static weight-bearing test at baseline (BL) and on Days 7 and 14 post-MIA injection. Met</w:t>
      </w:r>
      <w:r w:rsidR="00E72500" w:rsidRPr="00D6301C">
        <w:rPr>
          <w:lang w:val="en-GB"/>
        </w:rPr>
        <w:t>-o</w:t>
      </w:r>
      <w:r w:rsidR="00173968" w:rsidRPr="00D6301C">
        <w:rPr>
          <w:lang w:val="en-GB"/>
        </w:rPr>
        <w:t>estrus/</w:t>
      </w:r>
      <w:r w:rsidR="00E72500" w:rsidRPr="00D6301C">
        <w:rPr>
          <w:lang w:val="en-GB"/>
        </w:rPr>
        <w:t>dioestrus</w:t>
      </w:r>
      <w:r w:rsidR="00173968" w:rsidRPr="00D6301C">
        <w:rPr>
          <w:lang w:val="en-GB"/>
        </w:rPr>
        <w:t xml:space="preserve"> stages (low </w:t>
      </w:r>
      <w:r w:rsidR="00E72500" w:rsidRPr="00D6301C">
        <w:rPr>
          <w:lang w:val="en-GB"/>
        </w:rPr>
        <w:t>oestrogen</w:t>
      </w:r>
      <w:r w:rsidR="00173968" w:rsidRPr="00D6301C">
        <w:rPr>
          <w:lang w:val="en-GB"/>
        </w:rPr>
        <w:t xml:space="preserve"> status), proestrus/</w:t>
      </w:r>
      <w:r w:rsidR="00E72500" w:rsidRPr="00D6301C">
        <w:rPr>
          <w:lang w:val="en-GB"/>
        </w:rPr>
        <w:t>oestrus</w:t>
      </w:r>
      <w:r w:rsidR="00173968" w:rsidRPr="00D6301C">
        <w:rPr>
          <w:lang w:val="en-GB"/>
        </w:rPr>
        <w:t xml:space="preserve"> stages (high </w:t>
      </w:r>
      <w:r w:rsidR="00E72500" w:rsidRPr="00D6301C">
        <w:rPr>
          <w:lang w:val="en-GB"/>
        </w:rPr>
        <w:t>oestrogen</w:t>
      </w:r>
      <w:r w:rsidR="00173968" w:rsidRPr="00D6301C">
        <w:rPr>
          <w:lang w:val="en-GB"/>
        </w:rPr>
        <w:t xml:space="preserve"> status). Values represent number of animals. Low responder: %WB value below median; high responder: %WB value above median on the test day.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3022"/>
        <w:gridCol w:w="1102"/>
        <w:gridCol w:w="1101"/>
        <w:gridCol w:w="1128"/>
        <w:gridCol w:w="1074"/>
        <w:gridCol w:w="1101"/>
        <w:gridCol w:w="1100"/>
      </w:tblGrid>
      <w:tr w:rsidR="00066BF0" w:rsidRPr="00D6301C" w14:paraId="65FE66FC" w14:textId="77777777" w:rsidTr="00EE2628">
        <w:trPr>
          <w:trHeight w:val="454"/>
        </w:trPr>
        <w:tc>
          <w:tcPr>
            <w:tcW w:w="1569" w:type="pct"/>
            <w:vMerge w:val="restart"/>
            <w:shd w:val="clear" w:color="auto" w:fill="D9D9D9" w:themeFill="background1" w:themeFillShade="D9"/>
            <w:tcMar>
              <w:top w:w="72" w:type="dxa"/>
              <w:left w:w="144" w:type="dxa"/>
              <w:bottom w:w="72" w:type="dxa"/>
              <w:right w:w="144" w:type="dxa"/>
            </w:tcMar>
            <w:vAlign w:val="center"/>
            <w:hideMark/>
          </w:tcPr>
          <w:p w14:paraId="769A29E2" w14:textId="77777777" w:rsidR="00EE2628" w:rsidRPr="00D6301C" w:rsidRDefault="00066BF0" w:rsidP="00812A0B">
            <w:pPr>
              <w:spacing w:after="0" w:line="276" w:lineRule="auto"/>
              <w:rPr>
                <w:b/>
                <w:bCs/>
                <w:lang w:val="en-GB"/>
              </w:rPr>
            </w:pPr>
            <w:r w:rsidRPr="00D6301C">
              <w:rPr>
                <w:b/>
                <w:bCs/>
                <w:lang w:val="en-GB"/>
              </w:rPr>
              <w:t>Weight-bearing test</w:t>
            </w:r>
          </w:p>
          <w:p w14:paraId="7A7483E6" w14:textId="7DF68D5D" w:rsidR="00066BF0" w:rsidRPr="00D6301C" w:rsidRDefault="00066BF0" w:rsidP="00812A0B">
            <w:pPr>
              <w:spacing w:after="0" w:line="276" w:lineRule="auto"/>
              <w:rPr>
                <w:b/>
                <w:bCs/>
                <w:lang w:val="en-GB"/>
              </w:rPr>
            </w:pPr>
            <w:r w:rsidRPr="00D6301C">
              <w:rPr>
                <w:b/>
                <w:bCs/>
                <w:lang w:val="en-GB"/>
              </w:rPr>
              <w:t>(% WB)</w:t>
            </w:r>
          </w:p>
        </w:tc>
        <w:tc>
          <w:tcPr>
            <w:tcW w:w="1730" w:type="pct"/>
            <w:gridSpan w:val="3"/>
            <w:shd w:val="clear" w:color="auto" w:fill="D9D9D9" w:themeFill="background1" w:themeFillShade="D9"/>
          </w:tcPr>
          <w:p w14:paraId="6EB1354E" w14:textId="457CB675" w:rsidR="00066BF0" w:rsidRPr="00D6301C" w:rsidRDefault="00066BF0" w:rsidP="00812A0B">
            <w:pPr>
              <w:spacing w:after="0" w:line="276" w:lineRule="auto"/>
              <w:jc w:val="center"/>
              <w:rPr>
                <w:b/>
                <w:bCs/>
                <w:lang w:val="en-GB"/>
              </w:rPr>
            </w:pPr>
            <w:r w:rsidRPr="00D6301C">
              <w:rPr>
                <w:b/>
                <w:bCs/>
                <w:lang w:val="en-GB"/>
              </w:rPr>
              <w:t>Low responders</w:t>
            </w:r>
          </w:p>
        </w:tc>
        <w:tc>
          <w:tcPr>
            <w:tcW w:w="1701" w:type="pct"/>
            <w:gridSpan w:val="3"/>
            <w:shd w:val="clear" w:color="auto" w:fill="D9D9D9" w:themeFill="background1" w:themeFillShade="D9"/>
          </w:tcPr>
          <w:p w14:paraId="1F56F4EA" w14:textId="28DFB494" w:rsidR="00066BF0" w:rsidRPr="00D6301C" w:rsidRDefault="00066BF0" w:rsidP="00812A0B">
            <w:pPr>
              <w:spacing w:after="0" w:line="276" w:lineRule="auto"/>
              <w:jc w:val="center"/>
              <w:rPr>
                <w:b/>
                <w:bCs/>
                <w:lang w:val="en-GB"/>
              </w:rPr>
            </w:pPr>
            <w:r w:rsidRPr="00D6301C">
              <w:rPr>
                <w:b/>
                <w:bCs/>
                <w:lang w:val="en-GB"/>
              </w:rPr>
              <w:t>High responders</w:t>
            </w:r>
          </w:p>
        </w:tc>
      </w:tr>
      <w:tr w:rsidR="00066BF0" w:rsidRPr="00D6301C" w14:paraId="22182B3B" w14:textId="77777777" w:rsidTr="00EE2628">
        <w:trPr>
          <w:trHeight w:val="411"/>
        </w:trPr>
        <w:tc>
          <w:tcPr>
            <w:tcW w:w="1569" w:type="pct"/>
            <w:vMerge/>
            <w:vAlign w:val="center"/>
            <w:hideMark/>
          </w:tcPr>
          <w:p w14:paraId="6BC1B14E" w14:textId="77777777" w:rsidR="00066BF0" w:rsidRPr="00D6301C" w:rsidRDefault="00066BF0" w:rsidP="00812A0B">
            <w:pPr>
              <w:spacing w:after="0" w:line="276" w:lineRule="auto"/>
              <w:rPr>
                <w:b/>
                <w:bCs/>
                <w:lang w:val="en-GB"/>
              </w:rPr>
            </w:pPr>
          </w:p>
        </w:tc>
        <w:tc>
          <w:tcPr>
            <w:tcW w:w="572" w:type="pct"/>
            <w:shd w:val="clear" w:color="auto" w:fill="F2F2F2" w:themeFill="background1" w:themeFillShade="F2"/>
            <w:vAlign w:val="center"/>
          </w:tcPr>
          <w:p w14:paraId="745A10EC" w14:textId="0FDB50B8" w:rsidR="00066BF0" w:rsidRPr="00D6301C" w:rsidRDefault="00066BF0" w:rsidP="00193532">
            <w:pPr>
              <w:spacing w:after="0" w:line="276" w:lineRule="auto"/>
              <w:jc w:val="center"/>
              <w:rPr>
                <w:b/>
                <w:bCs/>
                <w:lang w:val="en-GB"/>
              </w:rPr>
            </w:pPr>
            <w:r w:rsidRPr="00D6301C">
              <w:rPr>
                <w:b/>
                <w:bCs/>
                <w:lang w:val="en-GB"/>
              </w:rPr>
              <w:t>BL</w:t>
            </w:r>
          </w:p>
        </w:tc>
        <w:tc>
          <w:tcPr>
            <w:tcW w:w="572" w:type="pct"/>
            <w:shd w:val="clear" w:color="auto" w:fill="F2F2F2" w:themeFill="background1" w:themeFillShade="F2"/>
            <w:tcMar>
              <w:top w:w="72" w:type="dxa"/>
              <w:left w:w="144" w:type="dxa"/>
              <w:bottom w:w="72" w:type="dxa"/>
              <w:right w:w="144" w:type="dxa"/>
            </w:tcMar>
            <w:vAlign w:val="center"/>
            <w:hideMark/>
          </w:tcPr>
          <w:p w14:paraId="00BBDC6D" w14:textId="641AD494" w:rsidR="00066BF0" w:rsidRPr="00D6301C" w:rsidRDefault="00066BF0" w:rsidP="00812A0B">
            <w:pPr>
              <w:spacing w:after="0" w:line="276" w:lineRule="auto"/>
              <w:jc w:val="center"/>
              <w:rPr>
                <w:b/>
                <w:bCs/>
                <w:lang w:val="en-GB"/>
              </w:rPr>
            </w:pPr>
            <w:r w:rsidRPr="00D6301C">
              <w:rPr>
                <w:b/>
                <w:bCs/>
                <w:lang w:val="en-GB"/>
              </w:rPr>
              <w:t>Day 7</w:t>
            </w:r>
          </w:p>
        </w:tc>
        <w:tc>
          <w:tcPr>
            <w:tcW w:w="586" w:type="pct"/>
            <w:shd w:val="clear" w:color="auto" w:fill="F2F2F2" w:themeFill="background1" w:themeFillShade="F2"/>
            <w:tcMar>
              <w:top w:w="72" w:type="dxa"/>
              <w:left w:w="144" w:type="dxa"/>
              <w:bottom w:w="72" w:type="dxa"/>
              <w:right w:w="144" w:type="dxa"/>
            </w:tcMar>
            <w:vAlign w:val="center"/>
            <w:hideMark/>
          </w:tcPr>
          <w:p w14:paraId="4203E20B" w14:textId="2D87471C" w:rsidR="00066BF0" w:rsidRPr="00D6301C" w:rsidRDefault="00066BF0" w:rsidP="00812A0B">
            <w:pPr>
              <w:spacing w:after="0" w:line="276" w:lineRule="auto"/>
              <w:jc w:val="center"/>
              <w:rPr>
                <w:b/>
                <w:bCs/>
                <w:lang w:val="en-GB"/>
              </w:rPr>
            </w:pPr>
            <w:r w:rsidRPr="00D6301C">
              <w:rPr>
                <w:b/>
                <w:bCs/>
                <w:lang w:val="en-GB"/>
              </w:rPr>
              <w:t>Day 14</w:t>
            </w:r>
          </w:p>
        </w:tc>
        <w:tc>
          <w:tcPr>
            <w:tcW w:w="558" w:type="pct"/>
            <w:shd w:val="clear" w:color="auto" w:fill="F2F2F2" w:themeFill="background1" w:themeFillShade="F2"/>
            <w:vAlign w:val="center"/>
          </w:tcPr>
          <w:p w14:paraId="78CBF77B" w14:textId="17573D6C" w:rsidR="00066BF0" w:rsidRPr="00D6301C" w:rsidRDefault="00066BF0" w:rsidP="00193532">
            <w:pPr>
              <w:spacing w:after="0" w:line="276" w:lineRule="auto"/>
              <w:jc w:val="center"/>
              <w:rPr>
                <w:b/>
                <w:bCs/>
                <w:lang w:val="en-GB"/>
              </w:rPr>
            </w:pPr>
            <w:r w:rsidRPr="00D6301C">
              <w:rPr>
                <w:b/>
                <w:bCs/>
                <w:lang w:val="en-GB"/>
              </w:rPr>
              <w:t>BL</w:t>
            </w:r>
          </w:p>
        </w:tc>
        <w:tc>
          <w:tcPr>
            <w:tcW w:w="572" w:type="pct"/>
            <w:shd w:val="clear" w:color="auto" w:fill="F2F2F2" w:themeFill="background1" w:themeFillShade="F2"/>
            <w:tcMar>
              <w:top w:w="72" w:type="dxa"/>
              <w:left w:w="144" w:type="dxa"/>
              <w:bottom w:w="72" w:type="dxa"/>
              <w:right w:w="144" w:type="dxa"/>
            </w:tcMar>
            <w:vAlign w:val="center"/>
            <w:hideMark/>
          </w:tcPr>
          <w:p w14:paraId="2A038C6D" w14:textId="320EB1E9" w:rsidR="00066BF0" w:rsidRPr="00D6301C" w:rsidRDefault="00066BF0" w:rsidP="00812A0B">
            <w:pPr>
              <w:spacing w:after="0" w:line="276" w:lineRule="auto"/>
              <w:jc w:val="center"/>
              <w:rPr>
                <w:b/>
                <w:bCs/>
                <w:lang w:val="en-GB"/>
              </w:rPr>
            </w:pPr>
            <w:r w:rsidRPr="00D6301C">
              <w:rPr>
                <w:b/>
                <w:bCs/>
                <w:lang w:val="en-GB"/>
              </w:rPr>
              <w:t>Day 7</w:t>
            </w:r>
          </w:p>
        </w:tc>
        <w:tc>
          <w:tcPr>
            <w:tcW w:w="571" w:type="pct"/>
            <w:shd w:val="clear" w:color="auto" w:fill="F2F2F2" w:themeFill="background1" w:themeFillShade="F2"/>
            <w:tcMar>
              <w:top w:w="72" w:type="dxa"/>
              <w:left w:w="144" w:type="dxa"/>
              <w:bottom w:w="72" w:type="dxa"/>
              <w:right w:w="144" w:type="dxa"/>
            </w:tcMar>
            <w:vAlign w:val="center"/>
            <w:hideMark/>
          </w:tcPr>
          <w:p w14:paraId="652EFB07" w14:textId="4DC237ED" w:rsidR="00066BF0" w:rsidRPr="00D6301C" w:rsidRDefault="00066BF0" w:rsidP="00812A0B">
            <w:pPr>
              <w:spacing w:after="0" w:line="276" w:lineRule="auto"/>
              <w:jc w:val="center"/>
              <w:rPr>
                <w:b/>
                <w:bCs/>
                <w:lang w:val="en-GB"/>
              </w:rPr>
            </w:pPr>
            <w:r w:rsidRPr="00D6301C">
              <w:rPr>
                <w:b/>
                <w:bCs/>
                <w:lang w:val="en-GB"/>
              </w:rPr>
              <w:t>Day 14</w:t>
            </w:r>
          </w:p>
        </w:tc>
      </w:tr>
      <w:tr w:rsidR="00EE2628" w:rsidRPr="00D6301C" w14:paraId="1CEABF70" w14:textId="77777777" w:rsidTr="00EE2628">
        <w:trPr>
          <w:trHeight w:val="661"/>
        </w:trPr>
        <w:tc>
          <w:tcPr>
            <w:tcW w:w="1569" w:type="pct"/>
            <w:tcMar>
              <w:top w:w="72" w:type="dxa"/>
              <w:left w:w="144" w:type="dxa"/>
              <w:bottom w:w="72" w:type="dxa"/>
              <w:right w:w="144" w:type="dxa"/>
            </w:tcMar>
            <w:vAlign w:val="center"/>
          </w:tcPr>
          <w:p w14:paraId="67283A38" w14:textId="77777777" w:rsidR="00EE2628" w:rsidRPr="00D6301C" w:rsidRDefault="00EE2628" w:rsidP="00EE2628">
            <w:pPr>
              <w:spacing w:after="0" w:line="276" w:lineRule="auto"/>
              <w:rPr>
                <w:lang w:val="en-GB"/>
              </w:rPr>
            </w:pPr>
            <w:r w:rsidRPr="00D6301C">
              <w:rPr>
                <w:lang w:val="en-GB"/>
              </w:rPr>
              <w:t>Low oestrogen status</w:t>
            </w:r>
          </w:p>
          <w:p w14:paraId="6589A1C1" w14:textId="0D4E60D2" w:rsidR="00EE2628" w:rsidRPr="00D6301C" w:rsidRDefault="00EE2628" w:rsidP="00EE2628">
            <w:pPr>
              <w:spacing w:after="0" w:line="276" w:lineRule="auto"/>
              <w:rPr>
                <w:lang w:val="en-GB"/>
              </w:rPr>
            </w:pPr>
            <w:r w:rsidRPr="00D6301C">
              <w:rPr>
                <w:lang w:val="en-GB"/>
              </w:rPr>
              <w:t>(Met-oestrus/dioestrus)</w:t>
            </w:r>
          </w:p>
        </w:tc>
        <w:tc>
          <w:tcPr>
            <w:tcW w:w="572" w:type="pct"/>
            <w:vAlign w:val="center"/>
          </w:tcPr>
          <w:p w14:paraId="704576E2" w14:textId="12E5100A" w:rsidR="00EE2628" w:rsidRPr="00D6301C" w:rsidRDefault="00EE2628" w:rsidP="00EE2628">
            <w:pPr>
              <w:spacing w:after="0" w:line="276" w:lineRule="auto"/>
              <w:jc w:val="center"/>
              <w:rPr>
                <w:lang w:val="en-GB"/>
              </w:rPr>
            </w:pPr>
            <w:r w:rsidRPr="00D6301C">
              <w:rPr>
                <w:lang w:val="en-GB"/>
              </w:rPr>
              <w:t>24</w:t>
            </w:r>
          </w:p>
        </w:tc>
        <w:tc>
          <w:tcPr>
            <w:tcW w:w="572" w:type="pct"/>
            <w:tcMar>
              <w:top w:w="72" w:type="dxa"/>
              <w:left w:w="144" w:type="dxa"/>
              <w:bottom w:w="72" w:type="dxa"/>
              <w:right w:w="144" w:type="dxa"/>
            </w:tcMar>
            <w:vAlign w:val="center"/>
          </w:tcPr>
          <w:p w14:paraId="6C0F5861" w14:textId="78A50880" w:rsidR="00EE2628" w:rsidRPr="00D6301C" w:rsidRDefault="00EE2628" w:rsidP="00EE2628">
            <w:pPr>
              <w:spacing w:after="0" w:line="276" w:lineRule="auto"/>
              <w:jc w:val="center"/>
              <w:rPr>
                <w:lang w:val="en-GB"/>
              </w:rPr>
            </w:pPr>
            <w:r w:rsidRPr="00D6301C">
              <w:rPr>
                <w:lang w:val="en-GB"/>
              </w:rPr>
              <w:t>18</w:t>
            </w:r>
          </w:p>
        </w:tc>
        <w:tc>
          <w:tcPr>
            <w:tcW w:w="586" w:type="pct"/>
            <w:tcMar>
              <w:top w:w="72" w:type="dxa"/>
              <w:left w:w="144" w:type="dxa"/>
              <w:bottom w:w="72" w:type="dxa"/>
              <w:right w:w="144" w:type="dxa"/>
            </w:tcMar>
            <w:vAlign w:val="center"/>
          </w:tcPr>
          <w:p w14:paraId="23BE7754" w14:textId="6E441188" w:rsidR="00EE2628" w:rsidRPr="00D6301C" w:rsidRDefault="00EE2628" w:rsidP="00EE2628">
            <w:pPr>
              <w:spacing w:after="0" w:line="276" w:lineRule="auto"/>
              <w:jc w:val="center"/>
              <w:rPr>
                <w:lang w:val="en-GB"/>
              </w:rPr>
            </w:pPr>
            <w:r w:rsidRPr="00D6301C">
              <w:rPr>
                <w:lang w:val="en-GB"/>
              </w:rPr>
              <w:t>22</w:t>
            </w:r>
          </w:p>
        </w:tc>
        <w:tc>
          <w:tcPr>
            <w:tcW w:w="558" w:type="pct"/>
            <w:vAlign w:val="center"/>
          </w:tcPr>
          <w:p w14:paraId="55094B3F" w14:textId="44617223" w:rsidR="00EE2628" w:rsidRPr="00D6301C" w:rsidRDefault="00EE2628" w:rsidP="00EE2628">
            <w:pPr>
              <w:spacing w:after="0" w:line="276" w:lineRule="auto"/>
              <w:jc w:val="center"/>
              <w:rPr>
                <w:lang w:val="en-GB"/>
              </w:rPr>
            </w:pPr>
            <w:r w:rsidRPr="00D6301C">
              <w:rPr>
                <w:lang w:val="en-GB"/>
              </w:rPr>
              <w:t>20</w:t>
            </w:r>
          </w:p>
        </w:tc>
        <w:tc>
          <w:tcPr>
            <w:tcW w:w="572" w:type="pct"/>
            <w:tcMar>
              <w:top w:w="72" w:type="dxa"/>
              <w:left w:w="144" w:type="dxa"/>
              <w:bottom w:w="72" w:type="dxa"/>
              <w:right w:w="144" w:type="dxa"/>
            </w:tcMar>
            <w:vAlign w:val="center"/>
          </w:tcPr>
          <w:p w14:paraId="5CF48F2E" w14:textId="6964798F" w:rsidR="00EE2628" w:rsidRPr="00D6301C" w:rsidRDefault="00EE2628" w:rsidP="00EE2628">
            <w:pPr>
              <w:spacing w:after="0" w:line="276" w:lineRule="auto"/>
              <w:jc w:val="center"/>
              <w:rPr>
                <w:lang w:val="en-GB"/>
              </w:rPr>
            </w:pPr>
            <w:r w:rsidRPr="00D6301C">
              <w:rPr>
                <w:lang w:val="en-GB"/>
              </w:rPr>
              <w:t>14</w:t>
            </w:r>
          </w:p>
        </w:tc>
        <w:tc>
          <w:tcPr>
            <w:tcW w:w="571" w:type="pct"/>
            <w:tcMar>
              <w:top w:w="72" w:type="dxa"/>
              <w:left w:w="144" w:type="dxa"/>
              <w:bottom w:w="72" w:type="dxa"/>
              <w:right w:w="144" w:type="dxa"/>
            </w:tcMar>
            <w:vAlign w:val="center"/>
          </w:tcPr>
          <w:p w14:paraId="2D25C45C" w14:textId="4E9862C7" w:rsidR="00EE2628" w:rsidRPr="00D6301C" w:rsidRDefault="00EE2628" w:rsidP="00EE2628">
            <w:pPr>
              <w:spacing w:after="0" w:line="276" w:lineRule="auto"/>
              <w:jc w:val="center"/>
              <w:rPr>
                <w:lang w:val="en-GB"/>
              </w:rPr>
            </w:pPr>
            <w:r w:rsidRPr="00D6301C">
              <w:rPr>
                <w:lang w:val="en-GB"/>
              </w:rPr>
              <w:t>21</w:t>
            </w:r>
          </w:p>
        </w:tc>
      </w:tr>
      <w:tr w:rsidR="00EE2628" w:rsidRPr="00D6301C" w14:paraId="719B3FF2" w14:textId="77777777" w:rsidTr="00EE2628">
        <w:trPr>
          <w:trHeight w:val="661"/>
        </w:trPr>
        <w:tc>
          <w:tcPr>
            <w:tcW w:w="1569" w:type="pct"/>
            <w:tcMar>
              <w:top w:w="72" w:type="dxa"/>
              <w:left w:w="144" w:type="dxa"/>
              <w:bottom w:w="72" w:type="dxa"/>
              <w:right w:w="144" w:type="dxa"/>
            </w:tcMar>
            <w:vAlign w:val="center"/>
          </w:tcPr>
          <w:p w14:paraId="014EA07C" w14:textId="6AC0650B" w:rsidR="00EE2628" w:rsidRPr="00D6301C" w:rsidRDefault="00EE2628" w:rsidP="00EE2628">
            <w:pPr>
              <w:spacing w:after="0" w:line="276" w:lineRule="auto"/>
              <w:rPr>
                <w:lang w:val="en-GB"/>
              </w:rPr>
            </w:pPr>
            <w:r w:rsidRPr="00D6301C">
              <w:rPr>
                <w:lang w:val="en-GB"/>
              </w:rPr>
              <w:t>High oestrogen status (Proestrus/oestrus)</w:t>
            </w:r>
          </w:p>
        </w:tc>
        <w:tc>
          <w:tcPr>
            <w:tcW w:w="572" w:type="pct"/>
            <w:vAlign w:val="center"/>
          </w:tcPr>
          <w:p w14:paraId="406F54D1" w14:textId="71F13747" w:rsidR="00EE2628" w:rsidRPr="00D6301C" w:rsidRDefault="00EE2628" w:rsidP="00EE2628">
            <w:pPr>
              <w:spacing w:after="0" w:line="276" w:lineRule="auto"/>
              <w:jc w:val="center"/>
              <w:rPr>
                <w:lang w:val="en-GB"/>
              </w:rPr>
            </w:pPr>
            <w:r w:rsidRPr="00D6301C">
              <w:rPr>
                <w:lang w:val="en-GB"/>
              </w:rPr>
              <w:t>26</w:t>
            </w:r>
          </w:p>
        </w:tc>
        <w:tc>
          <w:tcPr>
            <w:tcW w:w="572" w:type="pct"/>
            <w:tcMar>
              <w:top w:w="72" w:type="dxa"/>
              <w:left w:w="144" w:type="dxa"/>
              <w:bottom w:w="72" w:type="dxa"/>
              <w:right w:w="144" w:type="dxa"/>
            </w:tcMar>
            <w:vAlign w:val="center"/>
          </w:tcPr>
          <w:p w14:paraId="0A15B05E" w14:textId="4DE2884B" w:rsidR="00EE2628" w:rsidRPr="00D6301C" w:rsidRDefault="00EE2628" w:rsidP="00EE2628">
            <w:pPr>
              <w:spacing w:after="0" w:line="276" w:lineRule="auto"/>
              <w:jc w:val="center"/>
              <w:rPr>
                <w:lang w:val="en-GB"/>
              </w:rPr>
            </w:pPr>
            <w:r w:rsidRPr="00D6301C">
              <w:rPr>
                <w:lang w:val="en-GB"/>
              </w:rPr>
              <w:t>31</w:t>
            </w:r>
          </w:p>
        </w:tc>
        <w:tc>
          <w:tcPr>
            <w:tcW w:w="586" w:type="pct"/>
            <w:tcMar>
              <w:top w:w="72" w:type="dxa"/>
              <w:left w:w="144" w:type="dxa"/>
              <w:bottom w:w="72" w:type="dxa"/>
              <w:right w:w="144" w:type="dxa"/>
            </w:tcMar>
            <w:vAlign w:val="center"/>
          </w:tcPr>
          <w:p w14:paraId="7D1BCE4D" w14:textId="06937580" w:rsidR="00EE2628" w:rsidRPr="00D6301C" w:rsidRDefault="00EE2628" w:rsidP="00EE2628">
            <w:pPr>
              <w:spacing w:after="0" w:line="276" w:lineRule="auto"/>
              <w:jc w:val="center"/>
              <w:rPr>
                <w:lang w:val="en-GB"/>
              </w:rPr>
            </w:pPr>
            <w:r w:rsidRPr="00D6301C">
              <w:rPr>
                <w:lang w:val="en-GB"/>
              </w:rPr>
              <w:t>25</w:t>
            </w:r>
          </w:p>
        </w:tc>
        <w:tc>
          <w:tcPr>
            <w:tcW w:w="558" w:type="pct"/>
            <w:vAlign w:val="center"/>
          </w:tcPr>
          <w:p w14:paraId="2EC65D1B" w14:textId="620F5137" w:rsidR="00EE2628" w:rsidRPr="00D6301C" w:rsidRDefault="00EE2628" w:rsidP="00EE2628">
            <w:pPr>
              <w:spacing w:after="0" w:line="276" w:lineRule="auto"/>
              <w:jc w:val="center"/>
              <w:rPr>
                <w:lang w:val="en-GB"/>
              </w:rPr>
            </w:pPr>
            <w:r w:rsidRPr="00D6301C">
              <w:rPr>
                <w:lang w:val="en-GB"/>
              </w:rPr>
              <w:t>30</w:t>
            </w:r>
          </w:p>
        </w:tc>
        <w:tc>
          <w:tcPr>
            <w:tcW w:w="572" w:type="pct"/>
            <w:tcMar>
              <w:top w:w="72" w:type="dxa"/>
              <w:left w:w="144" w:type="dxa"/>
              <w:bottom w:w="72" w:type="dxa"/>
              <w:right w:w="144" w:type="dxa"/>
            </w:tcMar>
            <w:vAlign w:val="center"/>
          </w:tcPr>
          <w:p w14:paraId="0AEE957A" w14:textId="00ABA126" w:rsidR="00EE2628" w:rsidRPr="00D6301C" w:rsidRDefault="00EE2628" w:rsidP="00EE2628">
            <w:pPr>
              <w:spacing w:after="0" w:line="276" w:lineRule="auto"/>
              <w:jc w:val="center"/>
              <w:rPr>
                <w:lang w:val="en-GB"/>
              </w:rPr>
            </w:pPr>
            <w:r w:rsidRPr="00D6301C">
              <w:rPr>
                <w:lang w:val="en-GB"/>
              </w:rPr>
              <w:t>37</w:t>
            </w:r>
          </w:p>
        </w:tc>
        <w:tc>
          <w:tcPr>
            <w:tcW w:w="571" w:type="pct"/>
            <w:tcMar>
              <w:top w:w="72" w:type="dxa"/>
              <w:left w:w="144" w:type="dxa"/>
              <w:bottom w:w="72" w:type="dxa"/>
              <w:right w:w="144" w:type="dxa"/>
            </w:tcMar>
            <w:vAlign w:val="center"/>
          </w:tcPr>
          <w:p w14:paraId="7DE9136D" w14:textId="5351CD13" w:rsidR="00EE2628" w:rsidRPr="00D6301C" w:rsidRDefault="00EE2628" w:rsidP="00EE2628">
            <w:pPr>
              <w:spacing w:after="0" w:line="276" w:lineRule="auto"/>
              <w:jc w:val="center"/>
              <w:rPr>
                <w:lang w:val="en-GB"/>
              </w:rPr>
            </w:pPr>
            <w:r w:rsidRPr="00D6301C">
              <w:rPr>
                <w:lang w:val="en-GB"/>
              </w:rPr>
              <w:t>32</w:t>
            </w:r>
          </w:p>
        </w:tc>
      </w:tr>
    </w:tbl>
    <w:p w14:paraId="239C026A" w14:textId="77777777" w:rsidR="00AF24B8" w:rsidRPr="00D6301C" w:rsidRDefault="00AF24B8" w:rsidP="002C71C6">
      <w:pPr>
        <w:spacing w:after="240" w:line="276" w:lineRule="auto"/>
        <w:jc w:val="both"/>
        <w:rPr>
          <w:b/>
          <w:bCs/>
          <w:lang w:val="en-GB"/>
        </w:rPr>
      </w:pPr>
    </w:p>
    <w:p w14:paraId="3347F5CF" w14:textId="1119BE08" w:rsidR="009618B5" w:rsidRPr="00D6301C" w:rsidRDefault="009618B5" w:rsidP="002C71C6">
      <w:pPr>
        <w:spacing w:after="240" w:line="276" w:lineRule="auto"/>
        <w:jc w:val="both"/>
        <w:rPr>
          <w:lang w:val="en-GB"/>
        </w:rPr>
      </w:pPr>
      <w:r w:rsidRPr="00D6301C">
        <w:rPr>
          <w:b/>
          <w:bCs/>
          <w:lang w:val="en-GB"/>
        </w:rPr>
        <w:t>Suppl</w:t>
      </w:r>
      <w:r w:rsidR="00F538DF" w:rsidRPr="00D6301C">
        <w:rPr>
          <w:b/>
          <w:bCs/>
          <w:lang w:val="en-GB"/>
        </w:rPr>
        <w:t>ementary</w:t>
      </w:r>
      <w:r w:rsidRPr="00D6301C">
        <w:rPr>
          <w:b/>
          <w:bCs/>
          <w:lang w:val="en-GB"/>
        </w:rPr>
        <w:t xml:space="preserve"> Table 2. Contingency table showing the distribution of low and high responders in electronic von Frey test (PWT) across </w:t>
      </w:r>
      <w:r w:rsidR="006347C5" w:rsidRPr="00D6301C">
        <w:rPr>
          <w:b/>
          <w:bCs/>
          <w:lang w:val="en-GB"/>
        </w:rPr>
        <w:t>oestrogen</w:t>
      </w:r>
      <w:r w:rsidRPr="00D6301C">
        <w:rPr>
          <w:b/>
          <w:bCs/>
          <w:lang w:val="en-GB"/>
        </w:rPr>
        <w:t xml:space="preserve"> status.</w:t>
      </w:r>
      <w:r w:rsidR="006347C5" w:rsidRPr="00D6301C">
        <w:rPr>
          <w:b/>
          <w:bCs/>
          <w:lang w:val="en-GB"/>
        </w:rPr>
        <w:t xml:space="preserve"> </w:t>
      </w:r>
      <w:r w:rsidR="006347C5" w:rsidRPr="00D6301C">
        <w:rPr>
          <w:lang w:val="en-GB"/>
        </w:rPr>
        <w:t xml:space="preserve">Data were </w:t>
      </w:r>
      <w:r w:rsidR="002C71C6" w:rsidRPr="00D6301C">
        <w:rPr>
          <w:lang w:val="en-GB"/>
        </w:rPr>
        <w:t>analysed</w:t>
      </w:r>
      <w:r w:rsidR="006347C5" w:rsidRPr="00D6301C">
        <w:rPr>
          <w:lang w:val="en-GB"/>
        </w:rPr>
        <w:t xml:space="preserve"> using binomial logistic regression to assess whether </w:t>
      </w:r>
      <w:r w:rsidR="002C71C6" w:rsidRPr="00D6301C">
        <w:rPr>
          <w:lang w:val="en-GB"/>
        </w:rPr>
        <w:t>oestrous</w:t>
      </w:r>
      <w:r w:rsidR="006347C5" w:rsidRPr="00D6301C">
        <w:rPr>
          <w:lang w:val="en-GB"/>
        </w:rPr>
        <w:t xml:space="preserve"> cycle stage could predict responder status in von Frey test at baseline (BL) and on Days 7 and 14 post-MIA injection. Met</w:t>
      </w:r>
      <w:r w:rsidR="002C71C6" w:rsidRPr="00D6301C">
        <w:rPr>
          <w:lang w:val="en-GB"/>
        </w:rPr>
        <w:t>-o</w:t>
      </w:r>
      <w:r w:rsidR="006347C5" w:rsidRPr="00D6301C">
        <w:rPr>
          <w:lang w:val="en-GB"/>
        </w:rPr>
        <w:t>estrus/</w:t>
      </w:r>
      <w:r w:rsidR="002C71C6" w:rsidRPr="00D6301C">
        <w:rPr>
          <w:lang w:val="en-GB"/>
        </w:rPr>
        <w:t>dioestrus</w:t>
      </w:r>
      <w:r w:rsidR="006347C5" w:rsidRPr="00D6301C">
        <w:rPr>
          <w:lang w:val="en-GB"/>
        </w:rPr>
        <w:t xml:space="preserve"> stages (low </w:t>
      </w:r>
      <w:r w:rsidR="002C71C6" w:rsidRPr="00D6301C">
        <w:rPr>
          <w:lang w:val="en-GB"/>
        </w:rPr>
        <w:t>oestrogen</w:t>
      </w:r>
      <w:r w:rsidR="006347C5" w:rsidRPr="00D6301C">
        <w:rPr>
          <w:lang w:val="en-GB"/>
        </w:rPr>
        <w:t xml:space="preserve"> status), proestrus/</w:t>
      </w:r>
      <w:r w:rsidR="002C71C6" w:rsidRPr="00D6301C">
        <w:rPr>
          <w:lang w:val="en-GB"/>
        </w:rPr>
        <w:t>oestrus</w:t>
      </w:r>
      <w:r w:rsidR="006347C5" w:rsidRPr="00D6301C">
        <w:rPr>
          <w:lang w:val="en-GB"/>
        </w:rPr>
        <w:t xml:space="preserve"> stages (high </w:t>
      </w:r>
      <w:r w:rsidR="002C71C6" w:rsidRPr="00D6301C">
        <w:rPr>
          <w:lang w:val="en-GB"/>
        </w:rPr>
        <w:t>oestrogen</w:t>
      </w:r>
      <w:r w:rsidR="006347C5" w:rsidRPr="00D6301C">
        <w:rPr>
          <w:lang w:val="en-GB"/>
        </w:rPr>
        <w:t xml:space="preserve"> status). Values represent number of animals. Low responder: PWT value below median, high responder: PWT value above median on the test day.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962"/>
        <w:gridCol w:w="1111"/>
        <w:gridCol w:w="1109"/>
        <w:gridCol w:w="1190"/>
        <w:gridCol w:w="1038"/>
        <w:gridCol w:w="1109"/>
        <w:gridCol w:w="1109"/>
      </w:tblGrid>
      <w:tr w:rsidR="00066BF0" w:rsidRPr="00D6301C" w14:paraId="30B845F5" w14:textId="77777777" w:rsidTr="00D514A4">
        <w:trPr>
          <w:trHeight w:val="440"/>
        </w:trPr>
        <w:tc>
          <w:tcPr>
            <w:tcW w:w="1538" w:type="pct"/>
            <w:vMerge w:val="restart"/>
            <w:shd w:val="clear" w:color="auto" w:fill="D9D9D9" w:themeFill="background1" w:themeFillShade="D9"/>
            <w:tcMar>
              <w:top w:w="72" w:type="dxa"/>
              <w:left w:w="144" w:type="dxa"/>
              <w:bottom w:w="72" w:type="dxa"/>
              <w:right w:w="144" w:type="dxa"/>
            </w:tcMar>
            <w:vAlign w:val="center"/>
            <w:hideMark/>
          </w:tcPr>
          <w:p w14:paraId="383206C2" w14:textId="11A539C1" w:rsidR="00066BF0" w:rsidRPr="00D6301C" w:rsidRDefault="00066BF0" w:rsidP="00812A0B">
            <w:pPr>
              <w:spacing w:after="0" w:line="276" w:lineRule="auto"/>
              <w:rPr>
                <w:b/>
                <w:bCs/>
                <w:lang w:val="en-GB"/>
              </w:rPr>
            </w:pPr>
            <w:r w:rsidRPr="00D6301C">
              <w:rPr>
                <w:b/>
                <w:bCs/>
                <w:lang w:val="en-GB"/>
              </w:rPr>
              <w:t>Electronic von Frey test (PWT)</w:t>
            </w:r>
          </w:p>
        </w:tc>
        <w:tc>
          <w:tcPr>
            <w:tcW w:w="1771" w:type="pct"/>
            <w:gridSpan w:val="3"/>
            <w:shd w:val="clear" w:color="auto" w:fill="D9D9D9" w:themeFill="background1" w:themeFillShade="D9"/>
          </w:tcPr>
          <w:p w14:paraId="723A015D" w14:textId="62320F7B" w:rsidR="00066BF0" w:rsidRPr="00D6301C" w:rsidRDefault="00066BF0" w:rsidP="00812A0B">
            <w:pPr>
              <w:spacing w:after="0" w:line="276" w:lineRule="auto"/>
              <w:jc w:val="center"/>
              <w:rPr>
                <w:b/>
                <w:bCs/>
                <w:lang w:val="en-GB"/>
              </w:rPr>
            </w:pPr>
            <w:r w:rsidRPr="00D6301C">
              <w:rPr>
                <w:b/>
                <w:bCs/>
                <w:lang w:val="en-GB"/>
              </w:rPr>
              <w:t>Low responders</w:t>
            </w:r>
          </w:p>
        </w:tc>
        <w:tc>
          <w:tcPr>
            <w:tcW w:w="1692" w:type="pct"/>
            <w:gridSpan w:val="3"/>
            <w:shd w:val="clear" w:color="auto" w:fill="D9D9D9" w:themeFill="background1" w:themeFillShade="D9"/>
          </w:tcPr>
          <w:p w14:paraId="3653322A" w14:textId="5CDD50EE" w:rsidR="00066BF0" w:rsidRPr="00D6301C" w:rsidRDefault="00066BF0" w:rsidP="00812A0B">
            <w:pPr>
              <w:spacing w:after="0" w:line="276" w:lineRule="auto"/>
              <w:jc w:val="center"/>
              <w:rPr>
                <w:b/>
                <w:bCs/>
                <w:lang w:val="en-GB"/>
              </w:rPr>
            </w:pPr>
            <w:r w:rsidRPr="00D6301C">
              <w:rPr>
                <w:b/>
                <w:bCs/>
                <w:lang w:val="en-GB"/>
              </w:rPr>
              <w:t>High responders</w:t>
            </w:r>
          </w:p>
        </w:tc>
      </w:tr>
      <w:tr w:rsidR="00066BF0" w:rsidRPr="00D6301C" w14:paraId="0A307ED9" w14:textId="77777777" w:rsidTr="00D514A4">
        <w:trPr>
          <w:trHeight w:val="440"/>
        </w:trPr>
        <w:tc>
          <w:tcPr>
            <w:tcW w:w="1538" w:type="pct"/>
            <w:vMerge/>
            <w:vAlign w:val="center"/>
            <w:hideMark/>
          </w:tcPr>
          <w:p w14:paraId="28609389" w14:textId="77777777" w:rsidR="00066BF0" w:rsidRPr="00D6301C" w:rsidRDefault="00066BF0" w:rsidP="00812A0B">
            <w:pPr>
              <w:spacing w:after="0" w:line="276" w:lineRule="auto"/>
              <w:rPr>
                <w:b/>
                <w:bCs/>
                <w:lang w:val="en-GB"/>
              </w:rPr>
            </w:pPr>
          </w:p>
        </w:tc>
        <w:tc>
          <w:tcPr>
            <w:tcW w:w="577" w:type="pct"/>
            <w:shd w:val="clear" w:color="auto" w:fill="F2F2F2" w:themeFill="background1" w:themeFillShade="F2"/>
            <w:vAlign w:val="center"/>
          </w:tcPr>
          <w:p w14:paraId="7EDCAB6D" w14:textId="0B74E500" w:rsidR="00066BF0" w:rsidRPr="00D6301C" w:rsidRDefault="00066BF0" w:rsidP="006347C5">
            <w:pPr>
              <w:spacing w:after="0" w:line="276" w:lineRule="auto"/>
              <w:jc w:val="center"/>
              <w:rPr>
                <w:b/>
                <w:bCs/>
                <w:lang w:val="en-GB"/>
              </w:rPr>
            </w:pPr>
            <w:r w:rsidRPr="00D6301C">
              <w:rPr>
                <w:b/>
                <w:bCs/>
                <w:lang w:val="en-GB"/>
              </w:rPr>
              <w:t>BL</w:t>
            </w:r>
          </w:p>
        </w:tc>
        <w:tc>
          <w:tcPr>
            <w:tcW w:w="576" w:type="pct"/>
            <w:shd w:val="clear" w:color="auto" w:fill="F2F2F2" w:themeFill="background1" w:themeFillShade="F2"/>
            <w:tcMar>
              <w:top w:w="72" w:type="dxa"/>
              <w:left w:w="144" w:type="dxa"/>
              <w:bottom w:w="72" w:type="dxa"/>
              <w:right w:w="144" w:type="dxa"/>
            </w:tcMar>
            <w:vAlign w:val="center"/>
            <w:hideMark/>
          </w:tcPr>
          <w:p w14:paraId="1C08A5D8" w14:textId="5A580C4C" w:rsidR="00066BF0" w:rsidRPr="00D6301C" w:rsidRDefault="00066BF0" w:rsidP="006347C5">
            <w:pPr>
              <w:spacing w:after="0" w:line="276" w:lineRule="auto"/>
              <w:jc w:val="center"/>
              <w:rPr>
                <w:b/>
                <w:bCs/>
                <w:lang w:val="en-GB"/>
              </w:rPr>
            </w:pPr>
            <w:r w:rsidRPr="00D6301C">
              <w:rPr>
                <w:b/>
                <w:bCs/>
                <w:lang w:val="en-GB"/>
              </w:rPr>
              <w:t>Day 7</w:t>
            </w:r>
          </w:p>
        </w:tc>
        <w:tc>
          <w:tcPr>
            <w:tcW w:w="617" w:type="pct"/>
            <w:shd w:val="clear" w:color="auto" w:fill="F2F2F2" w:themeFill="background1" w:themeFillShade="F2"/>
            <w:tcMar>
              <w:top w:w="72" w:type="dxa"/>
              <w:left w:w="144" w:type="dxa"/>
              <w:bottom w:w="72" w:type="dxa"/>
              <w:right w:w="144" w:type="dxa"/>
            </w:tcMar>
            <w:vAlign w:val="center"/>
            <w:hideMark/>
          </w:tcPr>
          <w:p w14:paraId="12CF165B" w14:textId="080F7354" w:rsidR="00066BF0" w:rsidRPr="00D6301C" w:rsidRDefault="00066BF0" w:rsidP="006347C5">
            <w:pPr>
              <w:spacing w:after="0" w:line="276" w:lineRule="auto"/>
              <w:jc w:val="center"/>
              <w:rPr>
                <w:b/>
                <w:bCs/>
                <w:lang w:val="en-GB"/>
              </w:rPr>
            </w:pPr>
            <w:r w:rsidRPr="00D6301C">
              <w:rPr>
                <w:b/>
                <w:bCs/>
                <w:lang w:val="en-GB"/>
              </w:rPr>
              <w:t>Day 14</w:t>
            </w:r>
          </w:p>
        </w:tc>
        <w:tc>
          <w:tcPr>
            <w:tcW w:w="539" w:type="pct"/>
            <w:shd w:val="clear" w:color="auto" w:fill="F2F2F2" w:themeFill="background1" w:themeFillShade="F2"/>
            <w:vAlign w:val="center"/>
          </w:tcPr>
          <w:p w14:paraId="0A580272" w14:textId="30CC7E4E" w:rsidR="00066BF0" w:rsidRPr="00D6301C" w:rsidRDefault="00066BF0" w:rsidP="006347C5">
            <w:pPr>
              <w:spacing w:after="0" w:line="276" w:lineRule="auto"/>
              <w:jc w:val="center"/>
              <w:rPr>
                <w:b/>
                <w:bCs/>
                <w:lang w:val="en-GB"/>
              </w:rPr>
            </w:pPr>
            <w:r w:rsidRPr="00D6301C">
              <w:rPr>
                <w:b/>
                <w:bCs/>
                <w:lang w:val="en-GB"/>
              </w:rPr>
              <w:t>BL</w:t>
            </w:r>
          </w:p>
        </w:tc>
        <w:tc>
          <w:tcPr>
            <w:tcW w:w="576" w:type="pct"/>
            <w:shd w:val="clear" w:color="auto" w:fill="F2F2F2" w:themeFill="background1" w:themeFillShade="F2"/>
            <w:tcMar>
              <w:top w:w="72" w:type="dxa"/>
              <w:left w:w="144" w:type="dxa"/>
              <w:bottom w:w="72" w:type="dxa"/>
              <w:right w:w="144" w:type="dxa"/>
            </w:tcMar>
            <w:vAlign w:val="center"/>
            <w:hideMark/>
          </w:tcPr>
          <w:p w14:paraId="2D994E18" w14:textId="320F2700" w:rsidR="00066BF0" w:rsidRPr="00D6301C" w:rsidRDefault="00066BF0" w:rsidP="006347C5">
            <w:pPr>
              <w:spacing w:after="0" w:line="276" w:lineRule="auto"/>
              <w:jc w:val="center"/>
              <w:rPr>
                <w:b/>
                <w:bCs/>
                <w:lang w:val="en-GB"/>
              </w:rPr>
            </w:pPr>
            <w:r w:rsidRPr="00D6301C">
              <w:rPr>
                <w:b/>
                <w:bCs/>
                <w:lang w:val="en-GB"/>
              </w:rPr>
              <w:t>Day 7</w:t>
            </w:r>
          </w:p>
        </w:tc>
        <w:tc>
          <w:tcPr>
            <w:tcW w:w="576" w:type="pct"/>
            <w:shd w:val="clear" w:color="auto" w:fill="F2F2F2" w:themeFill="background1" w:themeFillShade="F2"/>
            <w:tcMar>
              <w:top w:w="72" w:type="dxa"/>
              <w:left w:w="144" w:type="dxa"/>
              <w:bottom w:w="72" w:type="dxa"/>
              <w:right w:w="144" w:type="dxa"/>
            </w:tcMar>
            <w:vAlign w:val="center"/>
            <w:hideMark/>
          </w:tcPr>
          <w:p w14:paraId="6D55A890" w14:textId="245446DD" w:rsidR="00066BF0" w:rsidRPr="00D6301C" w:rsidRDefault="00066BF0" w:rsidP="006347C5">
            <w:pPr>
              <w:spacing w:after="0" w:line="276" w:lineRule="auto"/>
              <w:jc w:val="center"/>
              <w:rPr>
                <w:b/>
                <w:bCs/>
                <w:lang w:val="en-GB"/>
              </w:rPr>
            </w:pPr>
            <w:r w:rsidRPr="00D6301C">
              <w:rPr>
                <w:b/>
                <w:bCs/>
                <w:lang w:val="en-GB"/>
              </w:rPr>
              <w:t>Day 14</w:t>
            </w:r>
          </w:p>
        </w:tc>
      </w:tr>
      <w:tr w:rsidR="00E83ACA" w:rsidRPr="00D6301C" w14:paraId="5340B414" w14:textId="77777777" w:rsidTr="00D514A4">
        <w:trPr>
          <w:trHeight w:val="432"/>
        </w:trPr>
        <w:tc>
          <w:tcPr>
            <w:tcW w:w="1538" w:type="pct"/>
            <w:tcMar>
              <w:top w:w="72" w:type="dxa"/>
              <w:left w:w="144" w:type="dxa"/>
              <w:bottom w:w="72" w:type="dxa"/>
              <w:right w:w="144" w:type="dxa"/>
            </w:tcMar>
            <w:vAlign w:val="center"/>
          </w:tcPr>
          <w:p w14:paraId="61D8545F" w14:textId="77777777" w:rsidR="00E83ACA" w:rsidRPr="00D6301C" w:rsidRDefault="00E83ACA" w:rsidP="00E83ACA">
            <w:pPr>
              <w:spacing w:after="0" w:line="276" w:lineRule="auto"/>
              <w:rPr>
                <w:lang w:val="en-GB"/>
              </w:rPr>
            </w:pPr>
            <w:r w:rsidRPr="00D6301C">
              <w:rPr>
                <w:lang w:val="en-GB"/>
              </w:rPr>
              <w:t>Low oestrogen status</w:t>
            </w:r>
          </w:p>
          <w:p w14:paraId="017EF8EB" w14:textId="4329ADAF" w:rsidR="00E83ACA" w:rsidRPr="00D6301C" w:rsidRDefault="00E83ACA" w:rsidP="00E83ACA">
            <w:pPr>
              <w:spacing w:after="0" w:line="276" w:lineRule="auto"/>
              <w:rPr>
                <w:lang w:val="en-GB"/>
              </w:rPr>
            </w:pPr>
            <w:r w:rsidRPr="00D6301C">
              <w:rPr>
                <w:lang w:val="en-GB"/>
              </w:rPr>
              <w:t>(Met-oestrus/dioestrus)</w:t>
            </w:r>
          </w:p>
        </w:tc>
        <w:tc>
          <w:tcPr>
            <w:tcW w:w="577" w:type="pct"/>
            <w:vAlign w:val="center"/>
          </w:tcPr>
          <w:p w14:paraId="6C233513" w14:textId="30F8DF01" w:rsidR="00E83ACA" w:rsidRPr="00D6301C" w:rsidRDefault="00E83ACA" w:rsidP="00E83ACA">
            <w:pPr>
              <w:spacing w:after="0" w:line="276" w:lineRule="auto"/>
              <w:jc w:val="center"/>
              <w:rPr>
                <w:lang w:val="en-GB"/>
              </w:rPr>
            </w:pPr>
            <w:r w:rsidRPr="00D6301C">
              <w:rPr>
                <w:lang w:val="en-GB"/>
              </w:rPr>
              <w:t>17</w:t>
            </w:r>
          </w:p>
        </w:tc>
        <w:tc>
          <w:tcPr>
            <w:tcW w:w="576" w:type="pct"/>
            <w:tcMar>
              <w:top w:w="72" w:type="dxa"/>
              <w:left w:w="144" w:type="dxa"/>
              <w:bottom w:w="72" w:type="dxa"/>
              <w:right w:w="144" w:type="dxa"/>
            </w:tcMar>
            <w:vAlign w:val="center"/>
          </w:tcPr>
          <w:p w14:paraId="7F1FF7AE" w14:textId="568FE754" w:rsidR="00E83ACA" w:rsidRPr="00D6301C" w:rsidRDefault="00E83ACA" w:rsidP="00E83ACA">
            <w:pPr>
              <w:spacing w:after="0" w:line="276" w:lineRule="auto"/>
              <w:jc w:val="center"/>
              <w:rPr>
                <w:lang w:val="en-GB"/>
              </w:rPr>
            </w:pPr>
            <w:r w:rsidRPr="00D6301C">
              <w:rPr>
                <w:lang w:val="en-GB"/>
              </w:rPr>
              <w:t>15</w:t>
            </w:r>
          </w:p>
        </w:tc>
        <w:tc>
          <w:tcPr>
            <w:tcW w:w="617" w:type="pct"/>
            <w:tcMar>
              <w:top w:w="72" w:type="dxa"/>
              <w:left w:w="144" w:type="dxa"/>
              <w:bottom w:w="72" w:type="dxa"/>
              <w:right w:w="144" w:type="dxa"/>
            </w:tcMar>
            <w:vAlign w:val="center"/>
          </w:tcPr>
          <w:p w14:paraId="086DC3C7" w14:textId="69AA63AB" w:rsidR="00E83ACA" w:rsidRPr="00D6301C" w:rsidRDefault="00E83ACA" w:rsidP="00E83ACA">
            <w:pPr>
              <w:spacing w:after="0" w:line="276" w:lineRule="auto"/>
              <w:jc w:val="center"/>
              <w:rPr>
                <w:lang w:val="en-GB"/>
              </w:rPr>
            </w:pPr>
            <w:r w:rsidRPr="00D6301C">
              <w:rPr>
                <w:lang w:val="en-GB"/>
              </w:rPr>
              <w:t>19</w:t>
            </w:r>
          </w:p>
        </w:tc>
        <w:tc>
          <w:tcPr>
            <w:tcW w:w="539" w:type="pct"/>
            <w:vAlign w:val="center"/>
          </w:tcPr>
          <w:p w14:paraId="771ED82E" w14:textId="48BE9560" w:rsidR="00E83ACA" w:rsidRPr="00D6301C" w:rsidRDefault="00E83ACA" w:rsidP="00E83ACA">
            <w:pPr>
              <w:spacing w:after="0" w:line="276" w:lineRule="auto"/>
              <w:jc w:val="center"/>
              <w:rPr>
                <w:lang w:val="en-GB"/>
              </w:rPr>
            </w:pPr>
            <w:r w:rsidRPr="00D6301C">
              <w:rPr>
                <w:lang w:val="en-GB"/>
              </w:rPr>
              <w:t>27</w:t>
            </w:r>
          </w:p>
        </w:tc>
        <w:tc>
          <w:tcPr>
            <w:tcW w:w="576" w:type="pct"/>
            <w:tcMar>
              <w:top w:w="72" w:type="dxa"/>
              <w:left w:w="144" w:type="dxa"/>
              <w:bottom w:w="72" w:type="dxa"/>
              <w:right w:w="144" w:type="dxa"/>
            </w:tcMar>
            <w:vAlign w:val="center"/>
          </w:tcPr>
          <w:p w14:paraId="75FC6828" w14:textId="52756030" w:rsidR="00E83ACA" w:rsidRPr="00D6301C" w:rsidRDefault="00E83ACA" w:rsidP="00E83ACA">
            <w:pPr>
              <w:spacing w:after="0" w:line="276" w:lineRule="auto"/>
              <w:jc w:val="center"/>
              <w:rPr>
                <w:lang w:val="en-GB"/>
              </w:rPr>
            </w:pPr>
            <w:r w:rsidRPr="00D6301C">
              <w:rPr>
                <w:lang w:val="en-GB"/>
              </w:rPr>
              <w:t>17</w:t>
            </w:r>
          </w:p>
        </w:tc>
        <w:tc>
          <w:tcPr>
            <w:tcW w:w="576" w:type="pct"/>
            <w:tcMar>
              <w:top w:w="72" w:type="dxa"/>
              <w:left w:w="144" w:type="dxa"/>
              <w:bottom w:w="72" w:type="dxa"/>
              <w:right w:w="144" w:type="dxa"/>
            </w:tcMar>
            <w:vAlign w:val="center"/>
          </w:tcPr>
          <w:p w14:paraId="6F34AF94" w14:textId="7BF7E2E2" w:rsidR="00E83ACA" w:rsidRPr="00D6301C" w:rsidRDefault="00E83ACA" w:rsidP="00E83ACA">
            <w:pPr>
              <w:spacing w:after="0" w:line="276" w:lineRule="auto"/>
              <w:jc w:val="center"/>
              <w:rPr>
                <w:lang w:val="en-GB"/>
              </w:rPr>
            </w:pPr>
            <w:r w:rsidRPr="00D6301C">
              <w:rPr>
                <w:lang w:val="en-GB"/>
              </w:rPr>
              <w:t>24</w:t>
            </w:r>
          </w:p>
        </w:tc>
      </w:tr>
      <w:tr w:rsidR="00E83ACA" w:rsidRPr="00D6301C" w14:paraId="33E49164" w14:textId="77777777" w:rsidTr="00D514A4">
        <w:trPr>
          <w:trHeight w:val="457"/>
        </w:trPr>
        <w:tc>
          <w:tcPr>
            <w:tcW w:w="1538" w:type="pct"/>
            <w:tcMar>
              <w:top w:w="72" w:type="dxa"/>
              <w:left w:w="144" w:type="dxa"/>
              <w:bottom w:w="72" w:type="dxa"/>
              <w:right w:w="144" w:type="dxa"/>
            </w:tcMar>
            <w:vAlign w:val="center"/>
          </w:tcPr>
          <w:p w14:paraId="1044E41B" w14:textId="19BBF46A" w:rsidR="00E83ACA" w:rsidRPr="00D6301C" w:rsidRDefault="00E83ACA" w:rsidP="00E83ACA">
            <w:pPr>
              <w:spacing w:after="0" w:line="276" w:lineRule="auto"/>
              <w:rPr>
                <w:lang w:val="en-GB"/>
              </w:rPr>
            </w:pPr>
            <w:r w:rsidRPr="00D6301C">
              <w:rPr>
                <w:lang w:val="en-GB"/>
              </w:rPr>
              <w:t>High oestrogen status (Proestrus/oestrus)</w:t>
            </w:r>
          </w:p>
        </w:tc>
        <w:tc>
          <w:tcPr>
            <w:tcW w:w="577" w:type="pct"/>
            <w:vAlign w:val="center"/>
          </w:tcPr>
          <w:p w14:paraId="3DEF9E73" w14:textId="3AD1F9E1" w:rsidR="00E83ACA" w:rsidRPr="00D6301C" w:rsidRDefault="00E83ACA" w:rsidP="00E83ACA">
            <w:pPr>
              <w:spacing w:after="0" w:line="276" w:lineRule="auto"/>
              <w:jc w:val="center"/>
              <w:rPr>
                <w:lang w:val="en-GB"/>
              </w:rPr>
            </w:pPr>
            <w:r w:rsidRPr="00D6301C">
              <w:rPr>
                <w:lang w:val="en-GB"/>
              </w:rPr>
              <w:t>33</w:t>
            </w:r>
          </w:p>
        </w:tc>
        <w:tc>
          <w:tcPr>
            <w:tcW w:w="576" w:type="pct"/>
            <w:tcMar>
              <w:top w:w="72" w:type="dxa"/>
              <w:left w:w="144" w:type="dxa"/>
              <w:bottom w:w="72" w:type="dxa"/>
              <w:right w:w="144" w:type="dxa"/>
            </w:tcMar>
            <w:vAlign w:val="center"/>
          </w:tcPr>
          <w:p w14:paraId="2C9E75EC" w14:textId="246BEED4" w:rsidR="00E83ACA" w:rsidRPr="00D6301C" w:rsidRDefault="00E83ACA" w:rsidP="00E83ACA">
            <w:pPr>
              <w:spacing w:after="0" w:line="276" w:lineRule="auto"/>
              <w:jc w:val="center"/>
              <w:rPr>
                <w:lang w:val="en-GB"/>
              </w:rPr>
            </w:pPr>
            <w:r w:rsidRPr="00D6301C">
              <w:rPr>
                <w:lang w:val="en-GB"/>
              </w:rPr>
              <w:t>37</w:t>
            </w:r>
          </w:p>
        </w:tc>
        <w:tc>
          <w:tcPr>
            <w:tcW w:w="617" w:type="pct"/>
            <w:tcMar>
              <w:top w:w="72" w:type="dxa"/>
              <w:left w:w="144" w:type="dxa"/>
              <w:bottom w:w="72" w:type="dxa"/>
              <w:right w:w="144" w:type="dxa"/>
            </w:tcMar>
            <w:vAlign w:val="center"/>
          </w:tcPr>
          <w:p w14:paraId="561EB7E6" w14:textId="5BB5F66F" w:rsidR="00E83ACA" w:rsidRPr="00D6301C" w:rsidRDefault="00E83ACA" w:rsidP="00E83ACA">
            <w:pPr>
              <w:spacing w:after="0" w:line="276" w:lineRule="auto"/>
              <w:jc w:val="center"/>
              <w:rPr>
                <w:lang w:val="en-GB"/>
              </w:rPr>
            </w:pPr>
            <w:r w:rsidRPr="00D6301C">
              <w:rPr>
                <w:lang w:val="en-GB"/>
              </w:rPr>
              <w:t>28</w:t>
            </w:r>
          </w:p>
        </w:tc>
        <w:tc>
          <w:tcPr>
            <w:tcW w:w="539" w:type="pct"/>
            <w:vAlign w:val="center"/>
          </w:tcPr>
          <w:p w14:paraId="7381D23C" w14:textId="6EBBDBBC" w:rsidR="00E83ACA" w:rsidRPr="00D6301C" w:rsidRDefault="00E83ACA" w:rsidP="00E83ACA">
            <w:pPr>
              <w:spacing w:after="0" w:line="276" w:lineRule="auto"/>
              <w:jc w:val="center"/>
              <w:rPr>
                <w:lang w:val="en-GB"/>
              </w:rPr>
            </w:pPr>
            <w:r w:rsidRPr="00D6301C">
              <w:rPr>
                <w:lang w:val="en-GB"/>
              </w:rPr>
              <w:t>23</w:t>
            </w:r>
          </w:p>
        </w:tc>
        <w:tc>
          <w:tcPr>
            <w:tcW w:w="576" w:type="pct"/>
            <w:tcMar>
              <w:top w:w="72" w:type="dxa"/>
              <w:left w:w="144" w:type="dxa"/>
              <w:bottom w:w="72" w:type="dxa"/>
              <w:right w:w="144" w:type="dxa"/>
            </w:tcMar>
            <w:vAlign w:val="center"/>
          </w:tcPr>
          <w:p w14:paraId="566B4646" w14:textId="37E9AC37" w:rsidR="00E83ACA" w:rsidRPr="00D6301C" w:rsidRDefault="00E83ACA" w:rsidP="00E83ACA">
            <w:pPr>
              <w:spacing w:after="0" w:line="276" w:lineRule="auto"/>
              <w:jc w:val="center"/>
              <w:rPr>
                <w:lang w:val="en-GB"/>
              </w:rPr>
            </w:pPr>
            <w:r w:rsidRPr="00D6301C">
              <w:rPr>
                <w:lang w:val="en-GB"/>
              </w:rPr>
              <w:t>31</w:t>
            </w:r>
          </w:p>
        </w:tc>
        <w:tc>
          <w:tcPr>
            <w:tcW w:w="576" w:type="pct"/>
            <w:tcMar>
              <w:top w:w="72" w:type="dxa"/>
              <w:left w:w="144" w:type="dxa"/>
              <w:bottom w:w="72" w:type="dxa"/>
              <w:right w:w="144" w:type="dxa"/>
            </w:tcMar>
            <w:vAlign w:val="center"/>
          </w:tcPr>
          <w:p w14:paraId="6C73DCA5" w14:textId="1A8089A2" w:rsidR="00E83ACA" w:rsidRPr="00D6301C" w:rsidRDefault="00E83ACA" w:rsidP="00E83ACA">
            <w:pPr>
              <w:spacing w:after="0" w:line="276" w:lineRule="auto"/>
              <w:jc w:val="center"/>
              <w:rPr>
                <w:lang w:val="en-GB"/>
              </w:rPr>
            </w:pPr>
            <w:r w:rsidRPr="00D6301C">
              <w:rPr>
                <w:lang w:val="en-GB"/>
              </w:rPr>
              <w:t>29</w:t>
            </w:r>
          </w:p>
        </w:tc>
      </w:tr>
    </w:tbl>
    <w:p w14:paraId="7E065708" w14:textId="77777777" w:rsidR="00A90C5C" w:rsidRPr="00D6301C" w:rsidRDefault="00A90C5C" w:rsidP="00422DE1">
      <w:pPr>
        <w:spacing w:after="480" w:line="276" w:lineRule="auto"/>
        <w:jc w:val="both"/>
        <w:rPr>
          <w:b/>
          <w:bCs/>
          <w:lang w:val="en-GB"/>
        </w:rPr>
      </w:pPr>
    </w:p>
    <w:p w14:paraId="16B8A60F" w14:textId="77777777" w:rsidR="00A90C5C" w:rsidRPr="00D6301C" w:rsidRDefault="00A90C5C" w:rsidP="00422DE1">
      <w:pPr>
        <w:spacing w:after="480" w:line="276" w:lineRule="auto"/>
        <w:jc w:val="both"/>
        <w:rPr>
          <w:b/>
          <w:bCs/>
          <w:lang w:val="en-GB"/>
        </w:rPr>
      </w:pPr>
    </w:p>
    <w:p w14:paraId="2E40112C" w14:textId="77777777" w:rsidR="00A90C5C" w:rsidRPr="00D6301C" w:rsidRDefault="00A90C5C" w:rsidP="00422DE1">
      <w:pPr>
        <w:spacing w:after="480" w:line="276" w:lineRule="auto"/>
        <w:jc w:val="both"/>
        <w:rPr>
          <w:b/>
          <w:bCs/>
          <w:lang w:val="en-GB"/>
        </w:rPr>
      </w:pPr>
    </w:p>
    <w:p w14:paraId="24D68BA2" w14:textId="44C75621" w:rsidR="00A90C5C" w:rsidRPr="00D6301C" w:rsidRDefault="00443EBF" w:rsidP="00422DE1">
      <w:pPr>
        <w:spacing w:after="480" w:line="276" w:lineRule="auto"/>
        <w:jc w:val="both"/>
        <w:rPr>
          <w:b/>
          <w:bCs/>
          <w:lang w:val="en-GB"/>
        </w:rPr>
      </w:pPr>
      <w:r w:rsidRPr="00D6301C">
        <w:rPr>
          <w:b/>
          <w:bCs/>
          <w:lang w:val="en-GB"/>
        </w:rPr>
        <w:lastRenderedPageBreak/>
        <w:t xml:space="preserve">Supplementary Figure </w:t>
      </w:r>
      <w:r w:rsidR="001472EE" w:rsidRPr="00D6301C">
        <w:rPr>
          <w:b/>
          <w:bCs/>
          <w:lang w:val="en-GB"/>
        </w:rPr>
        <w:t>2</w:t>
      </w:r>
    </w:p>
    <w:p w14:paraId="4E2BF3A7" w14:textId="3B3CC175" w:rsidR="0056776A" w:rsidRPr="00D6301C" w:rsidRDefault="008E4EC6" w:rsidP="00422DE1">
      <w:pPr>
        <w:spacing w:after="480" w:line="276" w:lineRule="auto"/>
        <w:jc w:val="both"/>
        <w:rPr>
          <w:noProof/>
          <w:lang w:val="en-GB"/>
        </w:rPr>
      </w:pPr>
      <w:r w:rsidRPr="00D6301C">
        <w:rPr>
          <w:lang w:val="en-GB"/>
        </w:rPr>
        <w:t xml:space="preserve"> </w:t>
      </w:r>
      <w:r w:rsidR="00AA32C9" w:rsidRPr="00D6301C">
        <w:object w:dxaOrig="11453" w:dyaOrig="12379" w14:anchorId="1B1132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0pt;height:507pt" o:ole="">
            <v:imagedata r:id="rId12" o:title=""/>
          </v:shape>
          <o:OLEObject Type="Embed" ProgID="Prism10.Document" ShapeID="_x0000_i1025" DrawAspect="Content" ObjectID="_1846239819" r:id="rId13"/>
        </w:object>
      </w:r>
      <w:r w:rsidR="00005C1C" w:rsidRPr="00D6301C">
        <w:rPr>
          <w:b/>
          <w:bCs/>
          <w:lang w:val="en-GB"/>
        </w:rPr>
        <w:t>Supp</w:t>
      </w:r>
      <w:r w:rsidR="0056776A" w:rsidRPr="00D6301C">
        <w:rPr>
          <w:b/>
          <w:bCs/>
          <w:lang w:val="en-GB"/>
        </w:rPr>
        <w:t>l</w:t>
      </w:r>
      <w:r w:rsidR="00005C1C" w:rsidRPr="00D6301C">
        <w:rPr>
          <w:b/>
          <w:bCs/>
          <w:lang w:val="en-GB"/>
        </w:rPr>
        <w:t xml:space="preserve">. Figure </w:t>
      </w:r>
      <w:r w:rsidR="001472EE" w:rsidRPr="00D6301C">
        <w:rPr>
          <w:b/>
          <w:bCs/>
          <w:lang w:val="en-GB"/>
        </w:rPr>
        <w:t>2</w:t>
      </w:r>
      <w:r w:rsidR="00005C1C" w:rsidRPr="00D6301C">
        <w:rPr>
          <w:b/>
          <w:bCs/>
          <w:lang w:val="en-GB"/>
        </w:rPr>
        <w:t>.</w:t>
      </w:r>
      <w:r w:rsidR="00005C1C" w:rsidRPr="00D6301C">
        <w:rPr>
          <w:lang w:val="en-GB"/>
        </w:rPr>
        <w:t xml:space="preserve"> </w:t>
      </w:r>
      <w:r w:rsidR="002C71C6" w:rsidRPr="00D6301C">
        <w:rPr>
          <w:b/>
          <w:bCs/>
          <w:lang w:val="en-GB"/>
        </w:rPr>
        <w:t>Cold hypersensitivity in male and female MIA</w:t>
      </w:r>
      <w:r w:rsidR="009444AE" w:rsidRPr="00D6301C">
        <w:rPr>
          <w:b/>
          <w:bCs/>
          <w:lang w:val="en-GB"/>
        </w:rPr>
        <w:t xml:space="preserve"> or Sham</w:t>
      </w:r>
      <w:r w:rsidR="002C71C6" w:rsidRPr="00D6301C">
        <w:rPr>
          <w:b/>
          <w:bCs/>
          <w:lang w:val="en-GB"/>
        </w:rPr>
        <w:t xml:space="preserve"> rats </w:t>
      </w:r>
      <w:r w:rsidR="00F544BE" w:rsidRPr="00D6301C">
        <w:rPr>
          <w:b/>
          <w:bCs/>
          <w:lang w:val="en-GB"/>
        </w:rPr>
        <w:t xml:space="preserve">assessed </w:t>
      </w:r>
      <w:r w:rsidR="002C71C6" w:rsidRPr="00D6301C">
        <w:rPr>
          <w:b/>
          <w:bCs/>
          <w:lang w:val="en-GB"/>
        </w:rPr>
        <w:t>using acetone drop test.</w:t>
      </w:r>
      <w:r w:rsidR="002C71C6" w:rsidRPr="00D6301C">
        <w:rPr>
          <w:lang w:val="en-GB"/>
        </w:rPr>
        <w:t xml:space="preserve"> </w:t>
      </w:r>
      <w:r w:rsidRPr="00D6301C">
        <w:rPr>
          <w:lang w:val="en-GB"/>
        </w:rPr>
        <w:t>(</w:t>
      </w:r>
      <w:r w:rsidRPr="00D6301C">
        <w:rPr>
          <w:b/>
          <w:bCs/>
          <w:lang w:val="en-GB"/>
        </w:rPr>
        <w:t>a</w:t>
      </w:r>
      <w:r w:rsidR="0040411B" w:rsidRPr="00D6301C">
        <w:rPr>
          <w:b/>
          <w:bCs/>
          <w:lang w:val="en-GB"/>
        </w:rPr>
        <w:t>, b</w:t>
      </w:r>
      <w:r w:rsidRPr="00D6301C">
        <w:rPr>
          <w:lang w:val="en-GB"/>
        </w:rPr>
        <w:t>) Latency to respond</w:t>
      </w:r>
      <w:r w:rsidR="0097315B" w:rsidRPr="00D6301C">
        <w:rPr>
          <w:lang w:val="en-GB"/>
        </w:rPr>
        <w:t xml:space="preserve"> </w:t>
      </w:r>
      <w:r w:rsidRPr="00D6301C">
        <w:rPr>
          <w:lang w:val="en-GB"/>
        </w:rPr>
        <w:t>(s) and (</w:t>
      </w:r>
      <w:r w:rsidR="0040411B" w:rsidRPr="00D6301C">
        <w:rPr>
          <w:b/>
          <w:bCs/>
          <w:lang w:val="en-GB"/>
        </w:rPr>
        <w:t>c,d</w:t>
      </w:r>
      <w:r w:rsidRPr="00D6301C">
        <w:rPr>
          <w:lang w:val="en-GB"/>
        </w:rPr>
        <w:t xml:space="preserve">) </w:t>
      </w:r>
      <w:r w:rsidR="00F6000D" w:rsidRPr="00D6301C">
        <w:rPr>
          <w:lang w:val="en-GB"/>
        </w:rPr>
        <w:t xml:space="preserve">total </w:t>
      </w:r>
      <w:r w:rsidRPr="00D6301C">
        <w:rPr>
          <w:lang w:val="en-GB"/>
        </w:rPr>
        <w:t>number of responses</w:t>
      </w:r>
      <w:r w:rsidR="00F6000D" w:rsidRPr="00D6301C">
        <w:rPr>
          <w:lang w:val="en-GB"/>
        </w:rPr>
        <w:t xml:space="preserve"> in 60 s</w:t>
      </w:r>
      <w:r w:rsidRPr="00D6301C">
        <w:rPr>
          <w:lang w:val="en-GB"/>
        </w:rPr>
        <w:t xml:space="preserve"> to acetone</w:t>
      </w:r>
      <w:r w:rsidR="00EE6BAB" w:rsidRPr="00D6301C">
        <w:rPr>
          <w:lang w:val="en-GB"/>
        </w:rPr>
        <w:t xml:space="preserve"> drop</w:t>
      </w:r>
      <w:r w:rsidR="0051411C" w:rsidRPr="00D6301C">
        <w:rPr>
          <w:lang w:val="en-GB"/>
        </w:rPr>
        <w:t xml:space="preserve"> application</w:t>
      </w:r>
      <w:r w:rsidR="00EE6BAB" w:rsidRPr="00D6301C">
        <w:rPr>
          <w:lang w:val="en-GB"/>
        </w:rPr>
        <w:t xml:space="preserve"> on </w:t>
      </w:r>
      <w:r w:rsidR="00D11E46" w:rsidRPr="00D6301C">
        <w:rPr>
          <w:lang w:val="en-GB"/>
        </w:rPr>
        <w:t>ipsilateral</w:t>
      </w:r>
      <w:r w:rsidR="0040411B" w:rsidRPr="00D6301C">
        <w:rPr>
          <w:lang w:val="en-GB"/>
        </w:rPr>
        <w:t xml:space="preserve"> </w:t>
      </w:r>
      <w:r w:rsidR="0040411B" w:rsidRPr="00D6301C">
        <w:rPr>
          <w:b/>
          <w:bCs/>
          <w:lang w:val="en-GB"/>
        </w:rPr>
        <w:t>(a,c)</w:t>
      </w:r>
      <w:r w:rsidR="00EE6BAB" w:rsidRPr="00D6301C">
        <w:rPr>
          <w:lang w:val="en-GB"/>
        </w:rPr>
        <w:t xml:space="preserve"> and </w:t>
      </w:r>
      <w:r w:rsidR="00D11E46" w:rsidRPr="00D6301C">
        <w:rPr>
          <w:lang w:val="en-GB"/>
        </w:rPr>
        <w:t>contralateral</w:t>
      </w:r>
      <w:r w:rsidR="0040411B" w:rsidRPr="00D6301C">
        <w:rPr>
          <w:lang w:val="en-GB"/>
        </w:rPr>
        <w:t xml:space="preserve"> </w:t>
      </w:r>
      <w:r w:rsidR="00EE6BAB" w:rsidRPr="00D6301C">
        <w:rPr>
          <w:lang w:val="en-GB"/>
        </w:rPr>
        <w:t>hind paws</w:t>
      </w:r>
      <w:r w:rsidR="0040411B" w:rsidRPr="00D6301C">
        <w:rPr>
          <w:lang w:val="en-GB"/>
        </w:rPr>
        <w:t xml:space="preserve"> </w:t>
      </w:r>
      <w:r w:rsidR="0040411B" w:rsidRPr="00D6301C">
        <w:rPr>
          <w:b/>
          <w:bCs/>
          <w:lang w:val="en-GB"/>
        </w:rPr>
        <w:t>(b,d)</w:t>
      </w:r>
      <w:r w:rsidRPr="00D6301C">
        <w:rPr>
          <w:lang w:val="en-GB"/>
        </w:rPr>
        <w:t>. Data are expressed as mean</w:t>
      </w:r>
      <w:r w:rsidR="00FD5C4B" w:rsidRPr="00D6301C">
        <w:rPr>
          <w:lang w:val="en-GB"/>
        </w:rPr>
        <w:t xml:space="preserve"> </w:t>
      </w:r>
      <w:r w:rsidRPr="00D6301C">
        <w:rPr>
          <w:lang w:val="en-GB"/>
        </w:rPr>
        <w:t>±</w:t>
      </w:r>
      <w:r w:rsidR="00FD5C4B" w:rsidRPr="00D6301C">
        <w:rPr>
          <w:lang w:val="en-GB"/>
        </w:rPr>
        <w:t xml:space="preserve"> </w:t>
      </w:r>
      <w:r w:rsidRPr="00D6301C">
        <w:rPr>
          <w:lang w:val="en-GB"/>
        </w:rPr>
        <w:t>SEM</w:t>
      </w:r>
      <w:r w:rsidR="00005C1C" w:rsidRPr="00D6301C">
        <w:rPr>
          <w:lang w:val="en-GB"/>
        </w:rPr>
        <w:t xml:space="preserve"> </w:t>
      </w:r>
      <w:bookmarkStart w:id="3" w:name="OLE_LINK2"/>
      <w:r w:rsidR="00005C1C" w:rsidRPr="00D6301C">
        <w:rPr>
          <w:lang w:val="en-GB"/>
        </w:rPr>
        <w:t>(</w:t>
      </w:r>
      <w:r w:rsidR="00244CCF" w:rsidRPr="00D6301C">
        <w:rPr>
          <w:lang w:val="en-GB"/>
        </w:rPr>
        <w:t>MIA: n=8 males, n=7 females</w:t>
      </w:r>
      <w:r w:rsidR="005B5A53" w:rsidRPr="00D6301C">
        <w:rPr>
          <w:lang w:val="en-GB"/>
        </w:rPr>
        <w:t>; Sham: n=6 males, n=3 females</w:t>
      </w:r>
      <w:r w:rsidR="009618B5" w:rsidRPr="00D6301C">
        <w:rPr>
          <w:lang w:val="en-GB"/>
        </w:rPr>
        <w:t>)</w:t>
      </w:r>
      <w:bookmarkEnd w:id="3"/>
      <w:r w:rsidR="00FD5C4B" w:rsidRPr="00D6301C">
        <w:rPr>
          <w:lang w:val="en-GB"/>
        </w:rPr>
        <w:t>,</w:t>
      </w:r>
      <w:r w:rsidR="0040411B" w:rsidRPr="00D6301C">
        <w:rPr>
          <w:lang w:val="en-GB"/>
        </w:rPr>
        <w:t xml:space="preserve"> </w:t>
      </w:r>
      <w:r w:rsidR="00AF2929" w:rsidRPr="00D6301C">
        <w:rPr>
          <w:lang w:val="en-GB"/>
        </w:rPr>
        <w:t xml:space="preserve">and </w:t>
      </w:r>
      <w:r w:rsidR="005A060B" w:rsidRPr="00D6301C">
        <w:rPr>
          <w:lang w:val="en-GB"/>
        </w:rPr>
        <w:t>analysed</w:t>
      </w:r>
      <w:r w:rsidR="00AF2929" w:rsidRPr="00D6301C">
        <w:rPr>
          <w:lang w:val="en-GB"/>
        </w:rPr>
        <w:t xml:space="preserve"> using </w:t>
      </w:r>
      <w:r w:rsidR="0040411B" w:rsidRPr="00D6301C">
        <w:rPr>
          <w:lang w:val="en-GB"/>
        </w:rPr>
        <w:t>three</w:t>
      </w:r>
      <w:r w:rsidR="00D11E46" w:rsidRPr="00D6301C">
        <w:rPr>
          <w:lang w:val="en-GB"/>
        </w:rPr>
        <w:t>-way r</w:t>
      </w:r>
      <w:r w:rsidRPr="00D6301C">
        <w:rPr>
          <w:lang w:val="en-GB"/>
        </w:rPr>
        <w:t>epeated measures ANOVA</w:t>
      </w:r>
      <w:r w:rsidR="00AF2929" w:rsidRPr="00D6301C">
        <w:rPr>
          <w:lang w:val="en-GB"/>
        </w:rPr>
        <w:t>.</w:t>
      </w:r>
      <w:r w:rsidRPr="00D6301C">
        <w:rPr>
          <w:lang w:val="en-GB"/>
        </w:rPr>
        <w:t xml:space="preserve"> Symbols:</w:t>
      </w:r>
      <w:r w:rsidR="004778DC" w:rsidRPr="00D6301C">
        <w:rPr>
          <w:lang w:val="en-GB"/>
        </w:rPr>
        <w:t xml:space="preserve"> +</w:t>
      </w:r>
      <w:r w:rsidRPr="00D6301C">
        <w:rPr>
          <w:lang w:val="en-GB"/>
        </w:rPr>
        <w:t xml:space="preserve">+++p&lt;0.0001 vs </w:t>
      </w:r>
      <w:r w:rsidR="000E1B8B" w:rsidRPr="00D6301C">
        <w:rPr>
          <w:lang w:val="en-GB"/>
        </w:rPr>
        <w:t>baseline</w:t>
      </w:r>
      <w:r w:rsidR="00EF7606" w:rsidRPr="00D6301C">
        <w:rPr>
          <w:lang w:val="en-GB"/>
        </w:rPr>
        <w:t xml:space="preserve"> (BL)</w:t>
      </w:r>
      <w:r w:rsidR="00AA1E55" w:rsidRPr="00D6301C">
        <w:rPr>
          <w:lang w:val="en-GB"/>
        </w:rPr>
        <w:t>, °°p&lt;0.01, °°°p&lt;</w:t>
      </w:r>
      <w:r w:rsidR="00136B9A" w:rsidRPr="00D6301C">
        <w:rPr>
          <w:lang w:val="en-GB"/>
        </w:rPr>
        <w:t>0.001 vs</w:t>
      </w:r>
      <w:r w:rsidR="00AA1E55" w:rsidRPr="00D6301C">
        <w:rPr>
          <w:lang w:val="en-GB"/>
        </w:rPr>
        <w:t xml:space="preserve"> respective Sham controls</w:t>
      </w:r>
      <w:r w:rsidRPr="00D6301C">
        <w:rPr>
          <w:lang w:val="en-GB"/>
        </w:rPr>
        <w:t>.</w:t>
      </w:r>
      <w:r w:rsidR="00AA1E55" w:rsidRPr="00D6301C">
        <w:rPr>
          <w:lang w:val="en-GB"/>
        </w:rPr>
        <w:t xml:space="preserve"> Abbreviation: M=males, F=females.</w:t>
      </w:r>
    </w:p>
    <w:p w14:paraId="7CCF11C0" w14:textId="77777777" w:rsidR="009444AE" w:rsidRPr="00D6301C" w:rsidRDefault="009444AE" w:rsidP="00422DE1">
      <w:pPr>
        <w:spacing w:line="276" w:lineRule="auto"/>
        <w:jc w:val="both"/>
        <w:rPr>
          <w:b/>
          <w:bCs/>
          <w:lang w:val="en-GB"/>
        </w:rPr>
      </w:pPr>
    </w:p>
    <w:p w14:paraId="452933E8" w14:textId="77777777" w:rsidR="00422DE1" w:rsidRPr="00D6301C" w:rsidRDefault="00422DE1" w:rsidP="00812A0B">
      <w:pPr>
        <w:spacing w:line="276" w:lineRule="auto"/>
        <w:jc w:val="both"/>
        <w:rPr>
          <w:b/>
          <w:bCs/>
          <w:lang w:val="en-GB"/>
        </w:rPr>
      </w:pPr>
    </w:p>
    <w:p w14:paraId="3885356B" w14:textId="4E2038A0" w:rsidR="00005C1C" w:rsidRPr="00D6301C" w:rsidRDefault="00853047" w:rsidP="00812A0B">
      <w:pPr>
        <w:spacing w:line="276" w:lineRule="auto"/>
        <w:jc w:val="both"/>
        <w:rPr>
          <w:lang w:val="en-GB"/>
        </w:rPr>
      </w:pPr>
      <w:r w:rsidRPr="00D6301C">
        <w:rPr>
          <w:b/>
          <w:bCs/>
          <w:lang w:val="en-GB"/>
        </w:rPr>
        <w:lastRenderedPageBreak/>
        <w:t xml:space="preserve">Supplementary Figure </w:t>
      </w:r>
      <w:r w:rsidR="001472EE" w:rsidRPr="00D6301C">
        <w:rPr>
          <w:b/>
          <w:bCs/>
          <w:lang w:val="en-GB"/>
        </w:rPr>
        <w:t>3</w:t>
      </w:r>
    </w:p>
    <w:p w14:paraId="2DEBF45F" w14:textId="2952C8F9" w:rsidR="00853047" w:rsidRPr="00D6301C" w:rsidRDefault="00244CCF" w:rsidP="00047332">
      <w:pPr>
        <w:spacing w:line="276" w:lineRule="auto"/>
        <w:jc w:val="center"/>
        <w:rPr>
          <w:b/>
          <w:bCs/>
          <w:lang w:val="en-GB"/>
        </w:rPr>
      </w:pPr>
      <w:r w:rsidRPr="00D6301C">
        <w:object w:dxaOrig="10234" w:dyaOrig="13298" w14:anchorId="1DCB4DBA">
          <v:shape id="_x0000_i1026" type="#_x0000_t75" style="width:481.5pt;height:625.5pt" o:ole="">
            <v:imagedata r:id="rId14" o:title=""/>
          </v:shape>
          <o:OLEObject Type="Embed" ProgID="Prism10.Document" ShapeID="_x0000_i1026" DrawAspect="Content" ObjectID="_1846239820" r:id="rId15"/>
        </w:object>
      </w:r>
      <w:r w:rsidR="00783CB0" w:rsidRPr="00D6301C">
        <w:rPr>
          <w:noProof/>
          <w:lang w:val="en-GB"/>
        </w:rPr>
        <w:object w:dxaOrig="288" w:dyaOrig="288" w14:anchorId="3521AA7A">
          <v:shape id="_x0000_i1027" type="#_x0000_t75" style="width:14.5pt;height:14.5pt" o:ole="">
            <v:imagedata r:id="rId16" o:title=""/>
          </v:shape>
          <o:OLEObject Type="Embed" ProgID="Prism10.Document" ShapeID="_x0000_i1027" DrawAspect="Content" ObjectID="_1846239821" r:id="rId17"/>
        </w:object>
      </w:r>
    </w:p>
    <w:p w14:paraId="525314E3" w14:textId="77777777" w:rsidR="00AD5F44" w:rsidRPr="00D6301C" w:rsidRDefault="00AD5F44" w:rsidP="00812A0B">
      <w:pPr>
        <w:spacing w:line="276" w:lineRule="auto"/>
        <w:jc w:val="both"/>
        <w:rPr>
          <w:b/>
          <w:bCs/>
          <w:lang w:val="en-GB"/>
        </w:rPr>
      </w:pPr>
    </w:p>
    <w:p w14:paraId="6DD05256" w14:textId="7EFD7129" w:rsidR="00853047" w:rsidRPr="009A48A0" w:rsidRDefault="00EF7606" w:rsidP="00812A0B">
      <w:pPr>
        <w:spacing w:line="276" w:lineRule="auto"/>
        <w:jc w:val="both"/>
        <w:rPr>
          <w:lang w:val="en-GB"/>
        </w:rPr>
      </w:pPr>
      <w:r w:rsidRPr="00D6301C">
        <w:rPr>
          <w:b/>
          <w:bCs/>
          <w:lang w:val="en-GB"/>
        </w:rPr>
        <w:lastRenderedPageBreak/>
        <w:t>Supp</w:t>
      </w:r>
      <w:r w:rsidR="001472EE" w:rsidRPr="00D6301C">
        <w:rPr>
          <w:b/>
          <w:bCs/>
          <w:lang w:val="en-GB"/>
        </w:rPr>
        <w:t>l</w:t>
      </w:r>
      <w:r w:rsidR="00853047" w:rsidRPr="00D6301C">
        <w:rPr>
          <w:b/>
          <w:bCs/>
          <w:lang w:val="en-GB"/>
        </w:rPr>
        <w:t>.</w:t>
      </w:r>
      <w:r w:rsidRPr="00D6301C">
        <w:rPr>
          <w:b/>
          <w:bCs/>
          <w:lang w:val="en-GB"/>
        </w:rPr>
        <w:t xml:space="preserve"> Figure </w:t>
      </w:r>
      <w:r w:rsidR="001472EE" w:rsidRPr="00D6301C">
        <w:rPr>
          <w:b/>
          <w:bCs/>
          <w:lang w:val="en-GB"/>
        </w:rPr>
        <w:t>3</w:t>
      </w:r>
      <w:r w:rsidRPr="00D6301C">
        <w:rPr>
          <w:b/>
          <w:bCs/>
          <w:lang w:val="en-GB"/>
        </w:rPr>
        <w:t xml:space="preserve">. </w:t>
      </w:r>
      <w:r w:rsidR="0056776A" w:rsidRPr="00D6301C">
        <w:rPr>
          <w:b/>
          <w:bCs/>
          <w:lang w:val="en-GB"/>
        </w:rPr>
        <w:t xml:space="preserve">Endocannabinoid and </w:t>
      </w:r>
      <w:r w:rsidR="0056776A" w:rsidRPr="00D6301C">
        <w:rPr>
          <w:b/>
          <w:bCs/>
          <w:i/>
          <w:iCs/>
          <w:lang w:val="en-GB"/>
        </w:rPr>
        <w:t>N</w:t>
      </w:r>
      <w:r w:rsidR="0056776A" w:rsidRPr="00D6301C">
        <w:rPr>
          <w:b/>
          <w:bCs/>
          <w:lang w:val="en-GB"/>
        </w:rPr>
        <w:t>-acylethanolamine levels in pain-related brain areas and lumbar spinal cord in male and female MIA</w:t>
      </w:r>
      <w:r w:rsidR="00244CCF" w:rsidRPr="00D6301C">
        <w:rPr>
          <w:b/>
          <w:bCs/>
          <w:lang w:val="en-GB"/>
        </w:rPr>
        <w:t xml:space="preserve"> or Sham</w:t>
      </w:r>
      <w:r w:rsidR="0056776A" w:rsidRPr="00D6301C">
        <w:rPr>
          <w:b/>
          <w:bCs/>
          <w:lang w:val="en-GB"/>
        </w:rPr>
        <w:t xml:space="preserve"> rats. </w:t>
      </w:r>
      <w:r w:rsidR="008421AD" w:rsidRPr="00D6301C">
        <w:rPr>
          <w:lang w:val="en-GB"/>
        </w:rPr>
        <w:t>Endocannabinoids</w:t>
      </w:r>
      <w:r w:rsidR="00D22A14" w:rsidRPr="00D6301C">
        <w:rPr>
          <w:lang w:val="en-GB"/>
        </w:rPr>
        <w:t xml:space="preserve"> (2-AG, AEA)</w:t>
      </w:r>
      <w:r w:rsidR="008421AD" w:rsidRPr="00D6301C">
        <w:rPr>
          <w:lang w:val="en-GB"/>
        </w:rPr>
        <w:t xml:space="preserve"> and </w:t>
      </w:r>
      <w:r w:rsidR="008421AD" w:rsidRPr="00D6301C">
        <w:rPr>
          <w:i/>
          <w:iCs/>
          <w:lang w:val="en-GB"/>
        </w:rPr>
        <w:t>N</w:t>
      </w:r>
      <w:r w:rsidR="008421AD" w:rsidRPr="00D6301C">
        <w:rPr>
          <w:lang w:val="en-GB"/>
        </w:rPr>
        <w:t>-acylethanolamines</w:t>
      </w:r>
      <w:r w:rsidR="00D22A14" w:rsidRPr="00D6301C">
        <w:rPr>
          <w:lang w:val="en-GB"/>
        </w:rPr>
        <w:t xml:space="preserve"> (PEA, OEA)</w:t>
      </w:r>
      <w:r w:rsidR="008421AD" w:rsidRPr="00D6301C">
        <w:rPr>
          <w:lang w:val="en-GB"/>
        </w:rPr>
        <w:t xml:space="preserve"> levels in: (</w:t>
      </w:r>
      <w:r w:rsidR="008421AD" w:rsidRPr="00D6301C">
        <w:rPr>
          <w:b/>
          <w:bCs/>
          <w:lang w:val="en-GB"/>
        </w:rPr>
        <w:t>a-d</w:t>
      </w:r>
      <w:r w:rsidR="008421AD" w:rsidRPr="00D6301C">
        <w:rPr>
          <w:lang w:val="en-GB"/>
        </w:rPr>
        <w:t>) periaqueductal grey (PAG), (</w:t>
      </w:r>
      <w:r w:rsidR="008421AD" w:rsidRPr="00D6301C">
        <w:rPr>
          <w:b/>
          <w:bCs/>
          <w:lang w:val="en-GB"/>
        </w:rPr>
        <w:t>e-h</w:t>
      </w:r>
      <w:r w:rsidR="008421AD" w:rsidRPr="00D6301C">
        <w:rPr>
          <w:lang w:val="en-GB"/>
        </w:rPr>
        <w:t>) rostroventral medulla (RVM), (</w:t>
      </w:r>
      <w:r w:rsidR="008421AD" w:rsidRPr="00D6301C">
        <w:rPr>
          <w:b/>
          <w:bCs/>
          <w:lang w:val="en-GB"/>
        </w:rPr>
        <w:t>i-l</w:t>
      </w:r>
      <w:r w:rsidR="008421AD" w:rsidRPr="00D6301C">
        <w:rPr>
          <w:lang w:val="en-GB"/>
        </w:rPr>
        <w:t>)</w:t>
      </w:r>
      <w:r w:rsidR="00D22A14" w:rsidRPr="00D6301C">
        <w:rPr>
          <w:lang w:val="en-GB"/>
        </w:rPr>
        <w:t xml:space="preserve"> </w:t>
      </w:r>
      <w:r w:rsidR="008421AD" w:rsidRPr="00D6301C">
        <w:rPr>
          <w:lang w:val="en-GB"/>
        </w:rPr>
        <w:t>prefrontal cortex (PFC), (</w:t>
      </w:r>
      <w:r w:rsidR="008421AD" w:rsidRPr="00D6301C">
        <w:rPr>
          <w:b/>
          <w:bCs/>
          <w:lang w:val="en-GB"/>
        </w:rPr>
        <w:t>m-p</w:t>
      </w:r>
      <w:r w:rsidR="008421AD" w:rsidRPr="00D6301C">
        <w:rPr>
          <w:lang w:val="en-GB"/>
        </w:rPr>
        <w:t>) thalamus (THA</w:t>
      </w:r>
      <w:r w:rsidR="00D22A14" w:rsidRPr="00D6301C">
        <w:rPr>
          <w:lang w:val="en-GB"/>
        </w:rPr>
        <w:t xml:space="preserve">), and </w:t>
      </w:r>
      <w:r w:rsidR="0014330C" w:rsidRPr="00D6301C">
        <w:rPr>
          <w:lang w:val="en-GB"/>
        </w:rPr>
        <w:t>(</w:t>
      </w:r>
      <w:r w:rsidR="00313A3D" w:rsidRPr="00D6301C">
        <w:rPr>
          <w:b/>
          <w:bCs/>
          <w:lang w:val="en-GB"/>
        </w:rPr>
        <w:t>q-t</w:t>
      </w:r>
      <w:r w:rsidR="00313A3D" w:rsidRPr="00D6301C">
        <w:rPr>
          <w:lang w:val="en-GB"/>
        </w:rPr>
        <w:t xml:space="preserve">) </w:t>
      </w:r>
      <w:r w:rsidR="0056776A" w:rsidRPr="00D6301C">
        <w:rPr>
          <w:lang w:val="en-GB"/>
        </w:rPr>
        <w:t xml:space="preserve">dorsal lumbar </w:t>
      </w:r>
      <w:r w:rsidR="00EC29F9" w:rsidRPr="00D6301C">
        <w:rPr>
          <w:lang w:val="en-GB"/>
        </w:rPr>
        <w:t xml:space="preserve">(L3-L6) </w:t>
      </w:r>
      <w:r w:rsidR="00D22A14" w:rsidRPr="00D6301C">
        <w:rPr>
          <w:lang w:val="en-GB"/>
        </w:rPr>
        <w:t>spinal cord</w:t>
      </w:r>
      <w:r w:rsidR="00C76B2F" w:rsidRPr="00D6301C">
        <w:rPr>
          <w:lang w:val="en-GB"/>
        </w:rPr>
        <w:t xml:space="preserve"> </w:t>
      </w:r>
      <w:r w:rsidR="00D22A14" w:rsidRPr="00D6301C">
        <w:rPr>
          <w:lang w:val="en-GB"/>
        </w:rPr>
        <w:t xml:space="preserve">of male and female MIA </w:t>
      </w:r>
      <w:r w:rsidR="00736994" w:rsidRPr="00D6301C">
        <w:rPr>
          <w:lang w:val="en-GB"/>
        </w:rPr>
        <w:t xml:space="preserve">or Sham </w:t>
      </w:r>
      <w:r w:rsidR="00D22A14" w:rsidRPr="00D6301C">
        <w:rPr>
          <w:lang w:val="en-GB"/>
        </w:rPr>
        <w:t>rats. Data are expressed as mean</w:t>
      </w:r>
      <w:r w:rsidR="00225322" w:rsidRPr="00D6301C">
        <w:rPr>
          <w:lang w:val="en-GB"/>
        </w:rPr>
        <w:t xml:space="preserve"> </w:t>
      </w:r>
      <w:r w:rsidR="00D22A14" w:rsidRPr="00D6301C">
        <w:rPr>
          <w:lang w:val="en-GB"/>
        </w:rPr>
        <w:t>±</w:t>
      </w:r>
      <w:r w:rsidR="00225322" w:rsidRPr="00D6301C">
        <w:rPr>
          <w:lang w:val="en-GB"/>
        </w:rPr>
        <w:t xml:space="preserve"> </w:t>
      </w:r>
      <w:r w:rsidR="00D22A14" w:rsidRPr="00D6301C">
        <w:rPr>
          <w:lang w:val="en-GB"/>
        </w:rPr>
        <w:t>SEM</w:t>
      </w:r>
      <w:r w:rsidR="00005C1C" w:rsidRPr="00D6301C">
        <w:rPr>
          <w:lang w:val="en-GB"/>
        </w:rPr>
        <w:t xml:space="preserve"> </w:t>
      </w:r>
      <w:r w:rsidR="00244CCF" w:rsidRPr="00D6301C">
        <w:rPr>
          <w:lang w:val="en-GB"/>
        </w:rPr>
        <w:t>(</w:t>
      </w:r>
      <w:r w:rsidR="00A86160" w:rsidRPr="00D6301C">
        <w:rPr>
          <w:lang w:val="en-GB"/>
        </w:rPr>
        <w:t>n=3</w:t>
      </w:r>
      <w:r w:rsidR="00D11CC9" w:rsidRPr="00D6301C">
        <w:rPr>
          <w:lang w:val="en-GB"/>
        </w:rPr>
        <w:t>-</w:t>
      </w:r>
      <w:r w:rsidR="00A86160" w:rsidRPr="00D6301C">
        <w:rPr>
          <w:lang w:val="en-GB"/>
        </w:rPr>
        <w:t>9 per group</w:t>
      </w:r>
      <w:r w:rsidR="00244CCF" w:rsidRPr="00D6301C">
        <w:rPr>
          <w:lang w:val="en-GB"/>
        </w:rPr>
        <w:t>)</w:t>
      </w:r>
      <w:r w:rsidR="00C76B2F" w:rsidRPr="00D6301C">
        <w:rPr>
          <w:lang w:val="en-GB"/>
        </w:rPr>
        <w:t xml:space="preserve"> and </w:t>
      </w:r>
      <w:r w:rsidR="0056776A" w:rsidRPr="00D6301C">
        <w:rPr>
          <w:lang w:val="en-GB"/>
        </w:rPr>
        <w:t>analysed</w:t>
      </w:r>
      <w:r w:rsidR="00C76B2F" w:rsidRPr="00D6301C">
        <w:rPr>
          <w:lang w:val="en-GB"/>
        </w:rPr>
        <w:t xml:space="preserve"> </w:t>
      </w:r>
      <w:r w:rsidR="0001494D" w:rsidRPr="00D6301C">
        <w:rPr>
          <w:lang w:val="en-GB"/>
        </w:rPr>
        <w:t>using two</w:t>
      </w:r>
      <w:r w:rsidR="00D22A14" w:rsidRPr="00D6301C">
        <w:rPr>
          <w:lang w:val="en-GB"/>
        </w:rPr>
        <w:t xml:space="preserve">-way </w:t>
      </w:r>
      <w:r w:rsidR="00EE1832" w:rsidRPr="00D6301C">
        <w:rPr>
          <w:lang w:val="en-GB"/>
        </w:rPr>
        <w:t>(</w:t>
      </w:r>
      <w:r w:rsidR="00244CCF" w:rsidRPr="00D6301C">
        <w:rPr>
          <w:b/>
          <w:bCs/>
          <w:lang w:val="en-GB"/>
        </w:rPr>
        <w:t>a</w:t>
      </w:r>
      <w:r w:rsidR="00EE1832" w:rsidRPr="00D6301C">
        <w:rPr>
          <w:b/>
          <w:bCs/>
          <w:lang w:val="en-GB"/>
        </w:rPr>
        <w:t>-</w:t>
      </w:r>
      <w:r w:rsidR="00AA32C9" w:rsidRPr="00D6301C">
        <w:rPr>
          <w:b/>
          <w:bCs/>
          <w:lang w:val="en-GB"/>
        </w:rPr>
        <w:t>p</w:t>
      </w:r>
      <w:r w:rsidR="00EE1832" w:rsidRPr="00D6301C">
        <w:rPr>
          <w:lang w:val="en-GB"/>
        </w:rPr>
        <w:t>)</w:t>
      </w:r>
      <w:r w:rsidR="00AA32C9" w:rsidRPr="00D6301C">
        <w:rPr>
          <w:lang w:val="en-GB"/>
        </w:rPr>
        <w:t xml:space="preserve"> or three-way </w:t>
      </w:r>
      <w:r w:rsidR="002165F5" w:rsidRPr="00D6301C">
        <w:rPr>
          <w:lang w:val="en-GB"/>
        </w:rPr>
        <w:t>ANOVA</w:t>
      </w:r>
      <w:r w:rsidR="00246E5E" w:rsidRPr="00D6301C">
        <w:rPr>
          <w:lang w:val="en-GB"/>
        </w:rPr>
        <w:t xml:space="preserve"> </w:t>
      </w:r>
      <w:r w:rsidR="00246E5E" w:rsidRPr="00D6301C">
        <w:rPr>
          <w:b/>
          <w:bCs/>
          <w:lang w:val="en-GB"/>
        </w:rPr>
        <w:t>(</w:t>
      </w:r>
      <w:r w:rsidR="00B30FD7" w:rsidRPr="00D6301C">
        <w:rPr>
          <w:b/>
          <w:bCs/>
          <w:lang w:val="en-GB"/>
        </w:rPr>
        <w:t>q-t)</w:t>
      </w:r>
      <w:r w:rsidR="002165F5" w:rsidRPr="00D6301C">
        <w:rPr>
          <w:lang w:val="en-GB"/>
        </w:rPr>
        <w:t xml:space="preserve"> </w:t>
      </w:r>
      <w:r w:rsidR="00D11CC9" w:rsidRPr="00D6301C">
        <w:rPr>
          <w:lang w:val="en-GB"/>
        </w:rPr>
        <w:t>(</w:t>
      </w:r>
      <w:r w:rsidR="002165F5" w:rsidRPr="00D6301C">
        <w:rPr>
          <w:lang w:val="en-GB"/>
        </w:rPr>
        <w:t xml:space="preserve">or </w:t>
      </w:r>
      <w:r w:rsidR="00B30FD7" w:rsidRPr="00D6301C">
        <w:rPr>
          <w:lang w:val="en-GB"/>
        </w:rPr>
        <w:t xml:space="preserve">corresponding </w:t>
      </w:r>
      <w:r w:rsidR="00AA32C9" w:rsidRPr="00D6301C">
        <w:t>mixed-effects model</w:t>
      </w:r>
      <w:r w:rsidR="00B30FD7" w:rsidRPr="00D6301C">
        <w:t xml:space="preserve"> due to outlier removal</w:t>
      </w:r>
      <w:r w:rsidR="00D11CC9" w:rsidRPr="00D6301C">
        <w:t>)</w:t>
      </w:r>
      <w:r w:rsidR="00B45F16" w:rsidRPr="00D6301C">
        <w:rPr>
          <w:lang w:val="en-GB"/>
        </w:rPr>
        <w:t>.</w:t>
      </w:r>
      <w:r w:rsidR="00AA1E55" w:rsidRPr="00D6301C">
        <w:rPr>
          <w:lang w:val="en-GB"/>
        </w:rPr>
        <w:t xml:space="preserve"> Abbreviation: M=males, F=females.</w:t>
      </w:r>
    </w:p>
    <w:sectPr w:rsidR="00853047" w:rsidRPr="009A48A0" w:rsidSect="00047332">
      <w:footerReference w:type="default" r:id="rId18"/>
      <w:pgSz w:w="11906" w:h="16838"/>
      <w:pgMar w:top="1134" w:right="1134" w:bottom="1134"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Infantino, Rosmara" w:date="2026-07-02T16:30:00Z" w:initials="RI">
    <w:p w14:paraId="2B4B6E77" w14:textId="77777777" w:rsidR="002165F5" w:rsidRDefault="002165F5" w:rsidP="002165F5">
      <w:pPr>
        <w:pStyle w:val="CommentText"/>
      </w:pPr>
      <w:r>
        <w:rPr>
          <w:rStyle w:val="CommentReference"/>
        </w:rPr>
        <w:annotationRef/>
      </w:r>
      <w:r>
        <w:t xml:space="preserve">For me this figure is part of methods and not results, so I moved it.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B4B6E7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20306AE" w16cex:dateUtc="2026-07-02T15: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B4B6E77" w16cid:durableId="420306A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D6FB2" w14:textId="77777777" w:rsidR="00CF1BF5" w:rsidRDefault="00CF1BF5" w:rsidP="00D66E4B">
      <w:pPr>
        <w:spacing w:after="0" w:line="240" w:lineRule="auto"/>
      </w:pPr>
      <w:r>
        <w:separator/>
      </w:r>
    </w:p>
  </w:endnote>
  <w:endnote w:type="continuationSeparator" w:id="0">
    <w:p w14:paraId="711BBA3D" w14:textId="77777777" w:rsidR="00CF1BF5" w:rsidRDefault="00CF1BF5" w:rsidP="00D66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4313310"/>
      <w:docPartObj>
        <w:docPartGallery w:val="Page Numbers (Bottom of Page)"/>
        <w:docPartUnique/>
      </w:docPartObj>
    </w:sdtPr>
    <w:sdtEndPr>
      <w:rPr>
        <w:noProof/>
      </w:rPr>
    </w:sdtEndPr>
    <w:sdtContent>
      <w:p w14:paraId="175C1265" w14:textId="37F5C0B5" w:rsidR="00D66E4B" w:rsidRDefault="00D66E4B">
        <w:pPr>
          <w:pStyle w:val="Footer"/>
          <w:jc w:val="center"/>
        </w:pPr>
        <w:r>
          <w:fldChar w:fldCharType="begin"/>
        </w:r>
        <w:r>
          <w:instrText xml:space="preserve"> PAGE   \* MERGEFORMAT </w:instrText>
        </w:r>
        <w:r>
          <w:fldChar w:fldCharType="separate"/>
        </w:r>
        <w:r w:rsidR="004A37C2">
          <w:rPr>
            <w:noProof/>
          </w:rPr>
          <w:t>7</w:t>
        </w:r>
        <w:r>
          <w:rPr>
            <w:noProof/>
          </w:rPr>
          <w:fldChar w:fldCharType="end"/>
        </w:r>
      </w:p>
    </w:sdtContent>
  </w:sdt>
  <w:p w14:paraId="270638BD" w14:textId="77777777" w:rsidR="00D66E4B" w:rsidRDefault="00D66E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8A84F" w14:textId="77777777" w:rsidR="00CF1BF5" w:rsidRDefault="00CF1BF5" w:rsidP="00D66E4B">
      <w:pPr>
        <w:spacing w:after="0" w:line="240" w:lineRule="auto"/>
      </w:pPr>
      <w:r>
        <w:separator/>
      </w:r>
    </w:p>
  </w:footnote>
  <w:footnote w:type="continuationSeparator" w:id="0">
    <w:p w14:paraId="1F9AFA77" w14:textId="77777777" w:rsidR="00CF1BF5" w:rsidRDefault="00CF1BF5" w:rsidP="00D66E4B">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nfantino, Rosmara">
    <w15:presenceInfo w15:providerId="AD" w15:userId="S::0131570S@universityofgalway.ie::8e361744-810c-4862-bd28-27ffc054f3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7F9"/>
    <w:rsid w:val="000007AC"/>
    <w:rsid w:val="00005C1C"/>
    <w:rsid w:val="0001009F"/>
    <w:rsid w:val="0001494D"/>
    <w:rsid w:val="00027E2D"/>
    <w:rsid w:val="00031C86"/>
    <w:rsid w:val="0004461C"/>
    <w:rsid w:val="00046C63"/>
    <w:rsid w:val="00047332"/>
    <w:rsid w:val="000516EA"/>
    <w:rsid w:val="00055468"/>
    <w:rsid w:val="00061329"/>
    <w:rsid w:val="000666D3"/>
    <w:rsid w:val="00066BF0"/>
    <w:rsid w:val="00074D4E"/>
    <w:rsid w:val="00077B0F"/>
    <w:rsid w:val="000904A7"/>
    <w:rsid w:val="0009255C"/>
    <w:rsid w:val="000A02B6"/>
    <w:rsid w:val="000A7DA7"/>
    <w:rsid w:val="000D0423"/>
    <w:rsid w:val="000D30DB"/>
    <w:rsid w:val="000E0D0A"/>
    <w:rsid w:val="000E1B8B"/>
    <w:rsid w:val="000E65BF"/>
    <w:rsid w:val="000E8BF7"/>
    <w:rsid w:val="000F7F33"/>
    <w:rsid w:val="00103238"/>
    <w:rsid w:val="00113A51"/>
    <w:rsid w:val="00114048"/>
    <w:rsid w:val="00114E6A"/>
    <w:rsid w:val="001156AE"/>
    <w:rsid w:val="00117412"/>
    <w:rsid w:val="00120512"/>
    <w:rsid w:val="00136B9A"/>
    <w:rsid w:val="0014154C"/>
    <w:rsid w:val="00141E4A"/>
    <w:rsid w:val="00142DFB"/>
    <w:rsid w:val="0014330C"/>
    <w:rsid w:val="00144B10"/>
    <w:rsid w:val="0014699C"/>
    <w:rsid w:val="001472EE"/>
    <w:rsid w:val="00153F0E"/>
    <w:rsid w:val="001577D8"/>
    <w:rsid w:val="00161EE9"/>
    <w:rsid w:val="001712F6"/>
    <w:rsid w:val="00173968"/>
    <w:rsid w:val="00177195"/>
    <w:rsid w:val="00177666"/>
    <w:rsid w:val="001819F9"/>
    <w:rsid w:val="00183DC1"/>
    <w:rsid w:val="001849AB"/>
    <w:rsid w:val="0019283A"/>
    <w:rsid w:val="00193532"/>
    <w:rsid w:val="001954FA"/>
    <w:rsid w:val="00196A97"/>
    <w:rsid w:val="001A7B6F"/>
    <w:rsid w:val="001B0B9B"/>
    <w:rsid w:val="001B69F7"/>
    <w:rsid w:val="001C29E4"/>
    <w:rsid w:val="001D6FCE"/>
    <w:rsid w:val="001D74EC"/>
    <w:rsid w:val="001E262D"/>
    <w:rsid w:val="001E7CAA"/>
    <w:rsid w:val="001F6B83"/>
    <w:rsid w:val="002125CC"/>
    <w:rsid w:val="002165F5"/>
    <w:rsid w:val="00217E61"/>
    <w:rsid w:val="00225322"/>
    <w:rsid w:val="002314D0"/>
    <w:rsid w:val="00241227"/>
    <w:rsid w:val="0024124E"/>
    <w:rsid w:val="0024312B"/>
    <w:rsid w:val="00244CCF"/>
    <w:rsid w:val="00246E5E"/>
    <w:rsid w:val="00246E78"/>
    <w:rsid w:val="00257B16"/>
    <w:rsid w:val="00263C28"/>
    <w:rsid w:val="00263F75"/>
    <w:rsid w:val="00264275"/>
    <w:rsid w:val="00265179"/>
    <w:rsid w:val="00270DDE"/>
    <w:rsid w:val="0027192D"/>
    <w:rsid w:val="00273F6F"/>
    <w:rsid w:val="00286712"/>
    <w:rsid w:val="00287960"/>
    <w:rsid w:val="002A0649"/>
    <w:rsid w:val="002A1823"/>
    <w:rsid w:val="002A1BE6"/>
    <w:rsid w:val="002C6554"/>
    <w:rsid w:val="002C71C6"/>
    <w:rsid w:val="002D2156"/>
    <w:rsid w:val="002D4EE5"/>
    <w:rsid w:val="002D5E66"/>
    <w:rsid w:val="002D5E75"/>
    <w:rsid w:val="002D6CB4"/>
    <w:rsid w:val="002D7E59"/>
    <w:rsid w:val="003061C2"/>
    <w:rsid w:val="003106CE"/>
    <w:rsid w:val="00313A3D"/>
    <w:rsid w:val="00314D76"/>
    <w:rsid w:val="00315BBA"/>
    <w:rsid w:val="00316A25"/>
    <w:rsid w:val="003243C0"/>
    <w:rsid w:val="003304C3"/>
    <w:rsid w:val="00331470"/>
    <w:rsid w:val="00337000"/>
    <w:rsid w:val="003546DA"/>
    <w:rsid w:val="00355F0F"/>
    <w:rsid w:val="00377956"/>
    <w:rsid w:val="00384C49"/>
    <w:rsid w:val="00393B87"/>
    <w:rsid w:val="00394AC4"/>
    <w:rsid w:val="003953D3"/>
    <w:rsid w:val="003975B4"/>
    <w:rsid w:val="003A5485"/>
    <w:rsid w:val="003A688D"/>
    <w:rsid w:val="003A68E3"/>
    <w:rsid w:val="003B28BB"/>
    <w:rsid w:val="003C1F09"/>
    <w:rsid w:val="003C4BC5"/>
    <w:rsid w:val="003C708E"/>
    <w:rsid w:val="003D42D9"/>
    <w:rsid w:val="003D436E"/>
    <w:rsid w:val="003D515A"/>
    <w:rsid w:val="003D7E55"/>
    <w:rsid w:val="003E080A"/>
    <w:rsid w:val="003E3B23"/>
    <w:rsid w:val="003E7191"/>
    <w:rsid w:val="003F19FA"/>
    <w:rsid w:val="003F3648"/>
    <w:rsid w:val="003F412E"/>
    <w:rsid w:val="00402438"/>
    <w:rsid w:val="0040411B"/>
    <w:rsid w:val="00406D2E"/>
    <w:rsid w:val="00422DE1"/>
    <w:rsid w:val="004343F2"/>
    <w:rsid w:val="004354B1"/>
    <w:rsid w:val="00437EC9"/>
    <w:rsid w:val="00442652"/>
    <w:rsid w:val="00443968"/>
    <w:rsid w:val="00443EBF"/>
    <w:rsid w:val="004528EC"/>
    <w:rsid w:val="00452CE1"/>
    <w:rsid w:val="004612F8"/>
    <w:rsid w:val="004778DC"/>
    <w:rsid w:val="0048316F"/>
    <w:rsid w:val="004845EB"/>
    <w:rsid w:val="00487560"/>
    <w:rsid w:val="004A37C2"/>
    <w:rsid w:val="004C3A4F"/>
    <w:rsid w:val="004C5543"/>
    <w:rsid w:val="004D7DFF"/>
    <w:rsid w:val="004F5300"/>
    <w:rsid w:val="004F7AC8"/>
    <w:rsid w:val="0050687A"/>
    <w:rsid w:val="00510024"/>
    <w:rsid w:val="0051411C"/>
    <w:rsid w:val="0051654C"/>
    <w:rsid w:val="00521DA8"/>
    <w:rsid w:val="0052357E"/>
    <w:rsid w:val="0053064B"/>
    <w:rsid w:val="00532CC0"/>
    <w:rsid w:val="005432BA"/>
    <w:rsid w:val="00557FAE"/>
    <w:rsid w:val="0056110D"/>
    <w:rsid w:val="005657A0"/>
    <w:rsid w:val="0056776A"/>
    <w:rsid w:val="00570432"/>
    <w:rsid w:val="00571FB1"/>
    <w:rsid w:val="00581892"/>
    <w:rsid w:val="00582F10"/>
    <w:rsid w:val="00591E8A"/>
    <w:rsid w:val="005926CA"/>
    <w:rsid w:val="005A0348"/>
    <w:rsid w:val="005A060B"/>
    <w:rsid w:val="005A122E"/>
    <w:rsid w:val="005A2829"/>
    <w:rsid w:val="005A4A39"/>
    <w:rsid w:val="005B1688"/>
    <w:rsid w:val="005B1AD8"/>
    <w:rsid w:val="005B5A53"/>
    <w:rsid w:val="005D45F8"/>
    <w:rsid w:val="005F014E"/>
    <w:rsid w:val="005F09E0"/>
    <w:rsid w:val="00611F10"/>
    <w:rsid w:val="006127EA"/>
    <w:rsid w:val="006211F0"/>
    <w:rsid w:val="00624936"/>
    <w:rsid w:val="0062579D"/>
    <w:rsid w:val="006277B3"/>
    <w:rsid w:val="006317FF"/>
    <w:rsid w:val="006347C5"/>
    <w:rsid w:val="0064008E"/>
    <w:rsid w:val="00642818"/>
    <w:rsid w:val="00642C24"/>
    <w:rsid w:val="00647C18"/>
    <w:rsid w:val="00655E0F"/>
    <w:rsid w:val="00660EF1"/>
    <w:rsid w:val="00660FCC"/>
    <w:rsid w:val="006A2ED8"/>
    <w:rsid w:val="006B3685"/>
    <w:rsid w:val="006C17D7"/>
    <w:rsid w:val="006C2EAB"/>
    <w:rsid w:val="006C6FF7"/>
    <w:rsid w:val="006D1CE0"/>
    <w:rsid w:val="006D34A8"/>
    <w:rsid w:val="006D4EE0"/>
    <w:rsid w:val="006D6E93"/>
    <w:rsid w:val="006E436A"/>
    <w:rsid w:val="006E509E"/>
    <w:rsid w:val="007039FF"/>
    <w:rsid w:val="00710976"/>
    <w:rsid w:val="007264C4"/>
    <w:rsid w:val="00726695"/>
    <w:rsid w:val="007306F8"/>
    <w:rsid w:val="00734D73"/>
    <w:rsid w:val="00736994"/>
    <w:rsid w:val="007414D6"/>
    <w:rsid w:val="00764B69"/>
    <w:rsid w:val="00764DCC"/>
    <w:rsid w:val="0076554E"/>
    <w:rsid w:val="0077767B"/>
    <w:rsid w:val="00782359"/>
    <w:rsid w:val="00783CB0"/>
    <w:rsid w:val="007855FB"/>
    <w:rsid w:val="00793378"/>
    <w:rsid w:val="00795625"/>
    <w:rsid w:val="00797059"/>
    <w:rsid w:val="007A4316"/>
    <w:rsid w:val="007B0A60"/>
    <w:rsid w:val="007B26CA"/>
    <w:rsid w:val="007B4F89"/>
    <w:rsid w:val="007B6F34"/>
    <w:rsid w:val="007C0805"/>
    <w:rsid w:val="007C29D7"/>
    <w:rsid w:val="007C2F94"/>
    <w:rsid w:val="007C4EF3"/>
    <w:rsid w:val="007C52E7"/>
    <w:rsid w:val="007C69B7"/>
    <w:rsid w:val="007D3146"/>
    <w:rsid w:val="007E436A"/>
    <w:rsid w:val="007E7724"/>
    <w:rsid w:val="007F1B2F"/>
    <w:rsid w:val="007F480D"/>
    <w:rsid w:val="007F4C43"/>
    <w:rsid w:val="007F4FB0"/>
    <w:rsid w:val="007F7FE4"/>
    <w:rsid w:val="008038B4"/>
    <w:rsid w:val="00812A0B"/>
    <w:rsid w:val="0081713A"/>
    <w:rsid w:val="00820966"/>
    <w:rsid w:val="008239E7"/>
    <w:rsid w:val="0084054C"/>
    <w:rsid w:val="008421AD"/>
    <w:rsid w:val="008424C0"/>
    <w:rsid w:val="00844780"/>
    <w:rsid w:val="00847D45"/>
    <w:rsid w:val="008509AF"/>
    <w:rsid w:val="00853047"/>
    <w:rsid w:val="00854987"/>
    <w:rsid w:val="008557BC"/>
    <w:rsid w:val="00857BB1"/>
    <w:rsid w:val="00863A04"/>
    <w:rsid w:val="008669D4"/>
    <w:rsid w:val="00867F15"/>
    <w:rsid w:val="00871A77"/>
    <w:rsid w:val="00874FFF"/>
    <w:rsid w:val="0088049D"/>
    <w:rsid w:val="008848F0"/>
    <w:rsid w:val="00885492"/>
    <w:rsid w:val="00886F3A"/>
    <w:rsid w:val="00891FFF"/>
    <w:rsid w:val="008927D7"/>
    <w:rsid w:val="008A52EE"/>
    <w:rsid w:val="008A61B1"/>
    <w:rsid w:val="008B0E97"/>
    <w:rsid w:val="008B130F"/>
    <w:rsid w:val="008C33AC"/>
    <w:rsid w:val="008D00B8"/>
    <w:rsid w:val="008D1DF3"/>
    <w:rsid w:val="008D5BE6"/>
    <w:rsid w:val="008D78A1"/>
    <w:rsid w:val="008E110F"/>
    <w:rsid w:val="008E3DBC"/>
    <w:rsid w:val="008E4EC6"/>
    <w:rsid w:val="008F086C"/>
    <w:rsid w:val="008F0992"/>
    <w:rsid w:val="008F41BD"/>
    <w:rsid w:val="008F43AF"/>
    <w:rsid w:val="008F5116"/>
    <w:rsid w:val="00903440"/>
    <w:rsid w:val="00912410"/>
    <w:rsid w:val="009173F2"/>
    <w:rsid w:val="00935DF5"/>
    <w:rsid w:val="00936134"/>
    <w:rsid w:val="009444AE"/>
    <w:rsid w:val="00950062"/>
    <w:rsid w:val="00952F6D"/>
    <w:rsid w:val="00955C80"/>
    <w:rsid w:val="00956D6F"/>
    <w:rsid w:val="009618B5"/>
    <w:rsid w:val="00964025"/>
    <w:rsid w:val="00965D42"/>
    <w:rsid w:val="0097315B"/>
    <w:rsid w:val="00973F12"/>
    <w:rsid w:val="00995265"/>
    <w:rsid w:val="00995E0A"/>
    <w:rsid w:val="009A48A0"/>
    <w:rsid w:val="009B0614"/>
    <w:rsid w:val="009B1407"/>
    <w:rsid w:val="009C627E"/>
    <w:rsid w:val="009D3395"/>
    <w:rsid w:val="009D47F3"/>
    <w:rsid w:val="009E40C8"/>
    <w:rsid w:val="009F031E"/>
    <w:rsid w:val="009F13D7"/>
    <w:rsid w:val="009F313B"/>
    <w:rsid w:val="009F4A10"/>
    <w:rsid w:val="00A05AA2"/>
    <w:rsid w:val="00A23FAE"/>
    <w:rsid w:val="00A25980"/>
    <w:rsid w:val="00A25C89"/>
    <w:rsid w:val="00A33824"/>
    <w:rsid w:val="00A508FD"/>
    <w:rsid w:val="00A644E9"/>
    <w:rsid w:val="00A65C4A"/>
    <w:rsid w:val="00A70845"/>
    <w:rsid w:val="00A72471"/>
    <w:rsid w:val="00A73714"/>
    <w:rsid w:val="00A77CDD"/>
    <w:rsid w:val="00A80C0C"/>
    <w:rsid w:val="00A86160"/>
    <w:rsid w:val="00A86476"/>
    <w:rsid w:val="00A87318"/>
    <w:rsid w:val="00A90C5C"/>
    <w:rsid w:val="00A92AC7"/>
    <w:rsid w:val="00AA1E55"/>
    <w:rsid w:val="00AA32C9"/>
    <w:rsid w:val="00AB3326"/>
    <w:rsid w:val="00AC0680"/>
    <w:rsid w:val="00AC0909"/>
    <w:rsid w:val="00AC694E"/>
    <w:rsid w:val="00AD0073"/>
    <w:rsid w:val="00AD5F44"/>
    <w:rsid w:val="00AE542F"/>
    <w:rsid w:val="00AE6FAE"/>
    <w:rsid w:val="00AF06C0"/>
    <w:rsid w:val="00AF16BF"/>
    <w:rsid w:val="00AF24B8"/>
    <w:rsid w:val="00AF2929"/>
    <w:rsid w:val="00AF6B24"/>
    <w:rsid w:val="00B06FB9"/>
    <w:rsid w:val="00B11F27"/>
    <w:rsid w:val="00B12ADF"/>
    <w:rsid w:val="00B247F9"/>
    <w:rsid w:val="00B30FD7"/>
    <w:rsid w:val="00B32A6A"/>
    <w:rsid w:val="00B3362B"/>
    <w:rsid w:val="00B34F8B"/>
    <w:rsid w:val="00B37AB7"/>
    <w:rsid w:val="00B40028"/>
    <w:rsid w:val="00B45F16"/>
    <w:rsid w:val="00B47F5D"/>
    <w:rsid w:val="00B50355"/>
    <w:rsid w:val="00B511CF"/>
    <w:rsid w:val="00B51399"/>
    <w:rsid w:val="00B643AD"/>
    <w:rsid w:val="00B64439"/>
    <w:rsid w:val="00B65F45"/>
    <w:rsid w:val="00B737F8"/>
    <w:rsid w:val="00B8568A"/>
    <w:rsid w:val="00B85E77"/>
    <w:rsid w:val="00B97EAB"/>
    <w:rsid w:val="00BA460B"/>
    <w:rsid w:val="00BA5409"/>
    <w:rsid w:val="00BB47F3"/>
    <w:rsid w:val="00BC0ADC"/>
    <w:rsid w:val="00BC2C91"/>
    <w:rsid w:val="00BD11F3"/>
    <w:rsid w:val="00BD1C5D"/>
    <w:rsid w:val="00BD48D9"/>
    <w:rsid w:val="00BF31EE"/>
    <w:rsid w:val="00C0045D"/>
    <w:rsid w:val="00C010B8"/>
    <w:rsid w:val="00C044E9"/>
    <w:rsid w:val="00C122C2"/>
    <w:rsid w:val="00C14273"/>
    <w:rsid w:val="00C14687"/>
    <w:rsid w:val="00C22CCB"/>
    <w:rsid w:val="00C30027"/>
    <w:rsid w:val="00C36E2A"/>
    <w:rsid w:val="00C424C2"/>
    <w:rsid w:val="00C4339C"/>
    <w:rsid w:val="00C43EA3"/>
    <w:rsid w:val="00C548ED"/>
    <w:rsid w:val="00C562DE"/>
    <w:rsid w:val="00C62382"/>
    <w:rsid w:val="00C7170F"/>
    <w:rsid w:val="00C75B95"/>
    <w:rsid w:val="00C76B2F"/>
    <w:rsid w:val="00C820B9"/>
    <w:rsid w:val="00C85AAC"/>
    <w:rsid w:val="00C9013B"/>
    <w:rsid w:val="00C96202"/>
    <w:rsid w:val="00CA1F64"/>
    <w:rsid w:val="00CA5249"/>
    <w:rsid w:val="00CB1B3C"/>
    <w:rsid w:val="00CB44EC"/>
    <w:rsid w:val="00CC0EAA"/>
    <w:rsid w:val="00CD0E89"/>
    <w:rsid w:val="00CD1C03"/>
    <w:rsid w:val="00CD4E50"/>
    <w:rsid w:val="00CE18DA"/>
    <w:rsid w:val="00CF1BF5"/>
    <w:rsid w:val="00CF7A1C"/>
    <w:rsid w:val="00D05A43"/>
    <w:rsid w:val="00D07950"/>
    <w:rsid w:val="00D11CC9"/>
    <w:rsid w:val="00D11E46"/>
    <w:rsid w:val="00D1329F"/>
    <w:rsid w:val="00D20510"/>
    <w:rsid w:val="00D229B2"/>
    <w:rsid w:val="00D22A14"/>
    <w:rsid w:val="00D322A0"/>
    <w:rsid w:val="00D3489A"/>
    <w:rsid w:val="00D3753B"/>
    <w:rsid w:val="00D514A4"/>
    <w:rsid w:val="00D6301C"/>
    <w:rsid w:val="00D63125"/>
    <w:rsid w:val="00D66E4B"/>
    <w:rsid w:val="00D80098"/>
    <w:rsid w:val="00D814F0"/>
    <w:rsid w:val="00D85A16"/>
    <w:rsid w:val="00D94D76"/>
    <w:rsid w:val="00DA71FC"/>
    <w:rsid w:val="00DB0F41"/>
    <w:rsid w:val="00DB2319"/>
    <w:rsid w:val="00DB4585"/>
    <w:rsid w:val="00DB73A4"/>
    <w:rsid w:val="00DC25E8"/>
    <w:rsid w:val="00DC3093"/>
    <w:rsid w:val="00DC5EA5"/>
    <w:rsid w:val="00DC6404"/>
    <w:rsid w:val="00DF065C"/>
    <w:rsid w:val="00DF2B89"/>
    <w:rsid w:val="00E0327E"/>
    <w:rsid w:val="00E155C0"/>
    <w:rsid w:val="00E1562F"/>
    <w:rsid w:val="00E17A4A"/>
    <w:rsid w:val="00E24CD7"/>
    <w:rsid w:val="00E25A7D"/>
    <w:rsid w:val="00E27E6C"/>
    <w:rsid w:val="00E43EDB"/>
    <w:rsid w:val="00E54702"/>
    <w:rsid w:val="00E6099F"/>
    <w:rsid w:val="00E62915"/>
    <w:rsid w:val="00E72500"/>
    <w:rsid w:val="00E751DE"/>
    <w:rsid w:val="00E83ACA"/>
    <w:rsid w:val="00E87AE0"/>
    <w:rsid w:val="00EA0B71"/>
    <w:rsid w:val="00EA664D"/>
    <w:rsid w:val="00EB11D3"/>
    <w:rsid w:val="00EB2B3D"/>
    <w:rsid w:val="00EC29F9"/>
    <w:rsid w:val="00EC48AA"/>
    <w:rsid w:val="00ED19AB"/>
    <w:rsid w:val="00ED39D3"/>
    <w:rsid w:val="00ED7C2E"/>
    <w:rsid w:val="00EE1832"/>
    <w:rsid w:val="00EE2628"/>
    <w:rsid w:val="00EE3E7E"/>
    <w:rsid w:val="00EE6BAB"/>
    <w:rsid w:val="00EF7606"/>
    <w:rsid w:val="00F00136"/>
    <w:rsid w:val="00F00E7F"/>
    <w:rsid w:val="00F02656"/>
    <w:rsid w:val="00F02A25"/>
    <w:rsid w:val="00F11235"/>
    <w:rsid w:val="00F26D96"/>
    <w:rsid w:val="00F3038B"/>
    <w:rsid w:val="00F405DF"/>
    <w:rsid w:val="00F43B38"/>
    <w:rsid w:val="00F44C3E"/>
    <w:rsid w:val="00F47708"/>
    <w:rsid w:val="00F53874"/>
    <w:rsid w:val="00F538DF"/>
    <w:rsid w:val="00F544BE"/>
    <w:rsid w:val="00F6000D"/>
    <w:rsid w:val="00F707CE"/>
    <w:rsid w:val="00F709F5"/>
    <w:rsid w:val="00F760DC"/>
    <w:rsid w:val="00F925C3"/>
    <w:rsid w:val="00FA6098"/>
    <w:rsid w:val="00FA699D"/>
    <w:rsid w:val="00FC3479"/>
    <w:rsid w:val="00FC48CB"/>
    <w:rsid w:val="00FD5C4B"/>
    <w:rsid w:val="00FE31D4"/>
    <w:rsid w:val="00FE7BB9"/>
    <w:rsid w:val="00FF6DD9"/>
    <w:rsid w:val="0357DCF1"/>
    <w:rsid w:val="03FFC2CC"/>
    <w:rsid w:val="062F9AD1"/>
    <w:rsid w:val="06F094B9"/>
    <w:rsid w:val="08F2AFAD"/>
    <w:rsid w:val="0D3A934D"/>
    <w:rsid w:val="0DB53037"/>
    <w:rsid w:val="0F107037"/>
    <w:rsid w:val="107C1593"/>
    <w:rsid w:val="11ABB586"/>
    <w:rsid w:val="14171EAF"/>
    <w:rsid w:val="158AEC6C"/>
    <w:rsid w:val="170447ED"/>
    <w:rsid w:val="171161A1"/>
    <w:rsid w:val="17BCBF2D"/>
    <w:rsid w:val="18609991"/>
    <w:rsid w:val="19BAD6F6"/>
    <w:rsid w:val="19E2E37D"/>
    <w:rsid w:val="1AE9725D"/>
    <w:rsid w:val="1BB75BBF"/>
    <w:rsid w:val="1C3E776A"/>
    <w:rsid w:val="1CC6EEB7"/>
    <w:rsid w:val="1D878C47"/>
    <w:rsid w:val="209F51A1"/>
    <w:rsid w:val="215BC0A0"/>
    <w:rsid w:val="217E73A1"/>
    <w:rsid w:val="224FFEFF"/>
    <w:rsid w:val="28A5152E"/>
    <w:rsid w:val="28F27ECD"/>
    <w:rsid w:val="2B0BC626"/>
    <w:rsid w:val="2BE08F18"/>
    <w:rsid w:val="2D83D25D"/>
    <w:rsid w:val="2DF145EB"/>
    <w:rsid w:val="2E92FA34"/>
    <w:rsid w:val="317CD3B5"/>
    <w:rsid w:val="3203B72B"/>
    <w:rsid w:val="333FE195"/>
    <w:rsid w:val="336405F7"/>
    <w:rsid w:val="34160566"/>
    <w:rsid w:val="392359B1"/>
    <w:rsid w:val="397826A4"/>
    <w:rsid w:val="3A21C4FA"/>
    <w:rsid w:val="3DDA72ED"/>
    <w:rsid w:val="3FF79EB5"/>
    <w:rsid w:val="42506C08"/>
    <w:rsid w:val="42737912"/>
    <w:rsid w:val="43771D49"/>
    <w:rsid w:val="44063A3E"/>
    <w:rsid w:val="44A09353"/>
    <w:rsid w:val="44B372AA"/>
    <w:rsid w:val="463DEE40"/>
    <w:rsid w:val="46716A41"/>
    <w:rsid w:val="4884AF8E"/>
    <w:rsid w:val="48CE3ACB"/>
    <w:rsid w:val="4AED2D47"/>
    <w:rsid w:val="4BDD4114"/>
    <w:rsid w:val="4D7773A3"/>
    <w:rsid w:val="4E376A14"/>
    <w:rsid w:val="515BB779"/>
    <w:rsid w:val="51D226E4"/>
    <w:rsid w:val="520411F4"/>
    <w:rsid w:val="52F5D832"/>
    <w:rsid w:val="532849D2"/>
    <w:rsid w:val="55143BFE"/>
    <w:rsid w:val="566A4BC6"/>
    <w:rsid w:val="5889AD4D"/>
    <w:rsid w:val="5A73B0AC"/>
    <w:rsid w:val="5C911187"/>
    <w:rsid w:val="5EBECD9B"/>
    <w:rsid w:val="5F49C8FC"/>
    <w:rsid w:val="61DC56AC"/>
    <w:rsid w:val="61E06AAB"/>
    <w:rsid w:val="6510042F"/>
    <w:rsid w:val="6563E18B"/>
    <w:rsid w:val="6613A7F8"/>
    <w:rsid w:val="675DD1B0"/>
    <w:rsid w:val="68DD96FF"/>
    <w:rsid w:val="698FE437"/>
    <w:rsid w:val="69ACB914"/>
    <w:rsid w:val="6BB9BB46"/>
    <w:rsid w:val="6F5F7C7D"/>
    <w:rsid w:val="6FC82203"/>
    <w:rsid w:val="7020FBB9"/>
    <w:rsid w:val="70B44703"/>
    <w:rsid w:val="71DAF492"/>
    <w:rsid w:val="7451BBE3"/>
    <w:rsid w:val="75BBF2AB"/>
    <w:rsid w:val="75D199BB"/>
    <w:rsid w:val="7A0A989A"/>
    <w:rsid w:val="7B4A8FA2"/>
    <w:rsid w:val="7C69F5BA"/>
    <w:rsid w:val="7C78FD69"/>
    <w:rsid w:val="7FFFA1AB"/>
  </w:rsids>
  <m:mathPr>
    <m:mathFont m:val="Cambria Math"/>
    <m:brkBin m:val="before"/>
    <m:brkBinSub m:val="--"/>
    <m:smallFrac m:val="0"/>
    <m:dispDef/>
    <m:lMargin m:val="0"/>
    <m:rMargin m:val="0"/>
    <m:defJc m:val="centerGroup"/>
    <m:wrapIndent m:val="1440"/>
    <m:intLim m:val="subSup"/>
    <m:naryLim m:val="undOvr"/>
  </m:mathPr>
  <w:themeFontLang w:val="en-IE"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2832E"/>
  <w15:chartTrackingRefBased/>
  <w15:docId w15:val="{5582D693-8441-4AF8-849B-A13852E49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13B"/>
  </w:style>
  <w:style w:type="paragraph" w:styleId="Heading1">
    <w:name w:val="heading 1"/>
    <w:basedOn w:val="Normal"/>
    <w:next w:val="Normal"/>
    <w:link w:val="Heading1Char"/>
    <w:uiPriority w:val="9"/>
    <w:qFormat/>
    <w:rsid w:val="00B247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47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47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47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47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47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47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47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47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47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47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47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47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47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47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47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47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47F9"/>
    <w:rPr>
      <w:rFonts w:eastAsiaTheme="majorEastAsia" w:cstheme="majorBidi"/>
      <w:color w:val="272727" w:themeColor="text1" w:themeTint="D8"/>
    </w:rPr>
  </w:style>
  <w:style w:type="paragraph" w:styleId="Title">
    <w:name w:val="Title"/>
    <w:basedOn w:val="Normal"/>
    <w:next w:val="Normal"/>
    <w:link w:val="TitleChar"/>
    <w:uiPriority w:val="10"/>
    <w:qFormat/>
    <w:rsid w:val="00B247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47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47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47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47F9"/>
    <w:pPr>
      <w:spacing w:before="160"/>
      <w:jc w:val="center"/>
    </w:pPr>
    <w:rPr>
      <w:i/>
      <w:iCs/>
      <w:color w:val="404040" w:themeColor="text1" w:themeTint="BF"/>
    </w:rPr>
  </w:style>
  <w:style w:type="character" w:customStyle="1" w:styleId="QuoteChar">
    <w:name w:val="Quote Char"/>
    <w:basedOn w:val="DefaultParagraphFont"/>
    <w:link w:val="Quote"/>
    <w:uiPriority w:val="29"/>
    <w:rsid w:val="00B247F9"/>
    <w:rPr>
      <w:i/>
      <w:iCs/>
      <w:color w:val="404040" w:themeColor="text1" w:themeTint="BF"/>
    </w:rPr>
  </w:style>
  <w:style w:type="paragraph" w:styleId="ListParagraph">
    <w:name w:val="List Paragraph"/>
    <w:basedOn w:val="Normal"/>
    <w:uiPriority w:val="34"/>
    <w:qFormat/>
    <w:rsid w:val="00B247F9"/>
    <w:pPr>
      <w:ind w:left="720"/>
      <w:contextualSpacing/>
    </w:pPr>
  </w:style>
  <w:style w:type="character" w:styleId="IntenseEmphasis">
    <w:name w:val="Intense Emphasis"/>
    <w:basedOn w:val="DefaultParagraphFont"/>
    <w:uiPriority w:val="21"/>
    <w:qFormat/>
    <w:rsid w:val="00B247F9"/>
    <w:rPr>
      <w:i/>
      <w:iCs/>
      <w:color w:val="0F4761" w:themeColor="accent1" w:themeShade="BF"/>
    </w:rPr>
  </w:style>
  <w:style w:type="paragraph" w:styleId="IntenseQuote">
    <w:name w:val="Intense Quote"/>
    <w:basedOn w:val="Normal"/>
    <w:next w:val="Normal"/>
    <w:link w:val="IntenseQuoteChar"/>
    <w:uiPriority w:val="30"/>
    <w:qFormat/>
    <w:rsid w:val="00B247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47F9"/>
    <w:rPr>
      <w:i/>
      <w:iCs/>
      <w:color w:val="0F4761" w:themeColor="accent1" w:themeShade="BF"/>
    </w:rPr>
  </w:style>
  <w:style w:type="character" w:styleId="IntenseReference">
    <w:name w:val="Intense Reference"/>
    <w:basedOn w:val="DefaultParagraphFont"/>
    <w:uiPriority w:val="32"/>
    <w:qFormat/>
    <w:rsid w:val="00B247F9"/>
    <w:rPr>
      <w:b/>
      <w:bCs/>
      <w:smallCaps/>
      <w:color w:val="0F4761" w:themeColor="accent1" w:themeShade="BF"/>
      <w:spacing w:val="5"/>
    </w:rPr>
  </w:style>
  <w:style w:type="character" w:styleId="CommentReference">
    <w:name w:val="annotation reference"/>
    <w:basedOn w:val="DefaultParagraphFont"/>
    <w:uiPriority w:val="99"/>
    <w:semiHidden/>
    <w:unhideWhenUsed/>
    <w:rsid w:val="00C9013B"/>
    <w:rPr>
      <w:sz w:val="16"/>
      <w:szCs w:val="16"/>
    </w:rPr>
  </w:style>
  <w:style w:type="paragraph" w:styleId="CommentText">
    <w:name w:val="annotation text"/>
    <w:basedOn w:val="Normal"/>
    <w:link w:val="CommentTextChar"/>
    <w:uiPriority w:val="99"/>
    <w:unhideWhenUsed/>
    <w:rsid w:val="00C9013B"/>
    <w:pPr>
      <w:spacing w:line="240" w:lineRule="auto"/>
    </w:pPr>
    <w:rPr>
      <w:sz w:val="20"/>
      <w:szCs w:val="20"/>
    </w:rPr>
  </w:style>
  <w:style w:type="character" w:customStyle="1" w:styleId="CommentTextChar">
    <w:name w:val="Comment Text Char"/>
    <w:basedOn w:val="DefaultParagraphFont"/>
    <w:link w:val="CommentText"/>
    <w:uiPriority w:val="99"/>
    <w:rsid w:val="00C9013B"/>
    <w:rPr>
      <w:sz w:val="20"/>
      <w:szCs w:val="20"/>
    </w:rPr>
  </w:style>
  <w:style w:type="paragraph" w:styleId="CommentSubject">
    <w:name w:val="annotation subject"/>
    <w:basedOn w:val="CommentText"/>
    <w:next w:val="CommentText"/>
    <w:link w:val="CommentSubjectChar"/>
    <w:uiPriority w:val="99"/>
    <w:semiHidden/>
    <w:unhideWhenUsed/>
    <w:rsid w:val="00734D73"/>
    <w:rPr>
      <w:b/>
      <w:bCs/>
    </w:rPr>
  </w:style>
  <w:style w:type="character" w:customStyle="1" w:styleId="CommentSubjectChar">
    <w:name w:val="Comment Subject Char"/>
    <w:basedOn w:val="CommentTextChar"/>
    <w:link w:val="CommentSubject"/>
    <w:uiPriority w:val="99"/>
    <w:semiHidden/>
    <w:rsid w:val="00734D73"/>
    <w:rPr>
      <w:b/>
      <w:bCs/>
      <w:sz w:val="20"/>
      <w:szCs w:val="20"/>
    </w:rPr>
  </w:style>
  <w:style w:type="paragraph" w:styleId="Revision">
    <w:name w:val="Revision"/>
    <w:hidden/>
    <w:uiPriority w:val="99"/>
    <w:semiHidden/>
    <w:rsid w:val="00C30027"/>
    <w:pPr>
      <w:spacing w:after="0" w:line="240" w:lineRule="auto"/>
    </w:pPr>
  </w:style>
  <w:style w:type="paragraph" w:styleId="Header">
    <w:name w:val="header"/>
    <w:basedOn w:val="Normal"/>
    <w:link w:val="HeaderChar"/>
    <w:uiPriority w:val="99"/>
    <w:unhideWhenUsed/>
    <w:rsid w:val="00D66E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6E4B"/>
  </w:style>
  <w:style w:type="paragraph" w:styleId="Footer">
    <w:name w:val="footer"/>
    <w:basedOn w:val="Normal"/>
    <w:link w:val="FooterChar"/>
    <w:uiPriority w:val="99"/>
    <w:unhideWhenUsed/>
    <w:rsid w:val="00D66E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6E4B"/>
  </w:style>
  <w:style w:type="paragraph" w:styleId="BalloonText">
    <w:name w:val="Balloon Text"/>
    <w:basedOn w:val="Normal"/>
    <w:link w:val="BalloonTextChar"/>
    <w:uiPriority w:val="99"/>
    <w:semiHidden/>
    <w:unhideWhenUsed/>
    <w:rsid w:val="007264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64C4"/>
    <w:rPr>
      <w:rFonts w:ascii="Segoe UI" w:hAnsi="Segoe UI" w:cs="Segoe UI"/>
      <w:sz w:val="18"/>
      <w:szCs w:val="18"/>
    </w:rPr>
  </w:style>
  <w:style w:type="character" w:customStyle="1" w:styleId="normaltextrun">
    <w:name w:val="normaltextrun"/>
    <w:basedOn w:val="DefaultParagraphFont"/>
    <w:rsid w:val="00853047"/>
  </w:style>
  <w:style w:type="character" w:styleId="PlaceholderText">
    <w:name w:val="Placeholder Text"/>
    <w:basedOn w:val="DefaultParagraphFont"/>
    <w:uiPriority w:val="99"/>
    <w:semiHidden/>
    <w:rsid w:val="00BA460B"/>
    <w:rPr>
      <w:color w:val="666666"/>
    </w:rPr>
  </w:style>
  <w:style w:type="paragraph" w:styleId="NormalWeb">
    <w:name w:val="Normal (Web)"/>
    <w:basedOn w:val="Normal"/>
    <w:uiPriority w:val="99"/>
    <w:semiHidden/>
    <w:unhideWhenUsed/>
    <w:rsid w:val="00B643A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oleObject" Target="embeddings/oleObject1.bin"/><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2.emf"/><Relationship Id="rId17" Type="http://schemas.openxmlformats.org/officeDocument/2006/relationships/oleObject" Target="embeddings/oleObject3.bin"/><Relationship Id="rId2" Type="http://schemas.openxmlformats.org/officeDocument/2006/relationships/styles" Target="styles.xml"/><Relationship Id="rId16" Type="http://schemas.openxmlformats.org/officeDocument/2006/relationships/image" Target="media/image4.emf"/><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oleObject" Target="embeddings/oleObject2.bin"/><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5BFDA-4B06-4323-9C54-60EEEE2B5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8436</Words>
  <Characters>48089</Characters>
  <Application>Microsoft Office Word</Application>
  <DocSecurity>4</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Infantino, Rosmara</dc:creator>
  <cp:keywords/>
  <dc:description/>
  <cp:lastModifiedBy>Finn, David</cp:lastModifiedBy>
  <cp:revision>2</cp:revision>
  <dcterms:created xsi:type="dcterms:W3CDTF">2026-07-22T14:37:00Z</dcterms:created>
  <dcterms:modified xsi:type="dcterms:W3CDTF">2026-07-22T14:37:00Z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4badd045-a853-35f1-a67b-e84ae6bfea8e</vt:lpwstr>
  </property>
  <property fmtid="{D5CDD505-2E9C-101B-9397-08002B2CF9AE}" pid="4" name="Mendeley Citation Style_1">
    <vt:lpwstr>http://www.zotero.org/styles/neurobiology-of-pain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http://www.zotero.org/styles/chicago-note-bibliography</vt:lpwstr>
  </property>
  <property fmtid="{D5CDD505-2E9C-101B-9397-08002B2CF9AE}" pid="12" name="Mendeley Recent Style Name 3_1">
    <vt:lpwstr>Chicago Manual of Style 17th edition (note)</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http://www.zotero.org/styles/modern-language-association</vt:lpwstr>
  </property>
  <property fmtid="{D5CDD505-2E9C-101B-9397-08002B2CF9AE}" pid="16" name="Mendeley Recent Style Name 5_1">
    <vt:lpwstr>Modern Language Association 9th edition</vt:lpwstr>
  </property>
  <property fmtid="{D5CDD505-2E9C-101B-9397-08002B2CF9AE}" pid="17" name="Mendeley Recent Style Id 6_1">
    <vt:lpwstr>http://www.zotero.org/styles/nature</vt:lpwstr>
  </property>
  <property fmtid="{D5CDD505-2E9C-101B-9397-08002B2CF9AE}" pid="18" name="Mendeley Recent Style Name 6_1">
    <vt:lpwstr>Nature</vt:lpwstr>
  </property>
  <property fmtid="{D5CDD505-2E9C-101B-9397-08002B2CF9AE}" pid="19" name="Mendeley Recent Style Id 7_1">
    <vt:lpwstr>http://www.zotero.org/styles/neurobiology-of-pain</vt:lpwstr>
  </property>
  <property fmtid="{D5CDD505-2E9C-101B-9397-08002B2CF9AE}" pid="20" name="Mendeley Recent Style Name 7_1">
    <vt:lpwstr>Neurobiology of Pain</vt:lpwstr>
  </property>
  <property fmtid="{D5CDD505-2E9C-101B-9397-08002B2CF9AE}" pid="21" name="Mendeley Recent Style Id 8_1">
    <vt:lpwstr>http://www.zotero.org/styles/pain</vt:lpwstr>
  </property>
  <property fmtid="{D5CDD505-2E9C-101B-9397-08002B2CF9AE}" pid="22" name="Mendeley Recent Style Name 8_1">
    <vt:lpwstr>PAIN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MSIP_Label_3c92e4bf-1f60-4796-a90f-2b1633f88872_Enabled">
    <vt:lpwstr>true</vt:lpwstr>
  </property>
  <property fmtid="{D5CDD505-2E9C-101B-9397-08002B2CF9AE}" pid="26" name="MSIP_Label_3c92e4bf-1f60-4796-a90f-2b1633f88872_SetDate">
    <vt:lpwstr>2026-07-22T14:37:35Z</vt:lpwstr>
  </property>
  <property fmtid="{D5CDD505-2E9C-101B-9397-08002B2CF9AE}" pid="27" name="MSIP_Label_3c92e4bf-1f60-4796-a90f-2b1633f88872_Method">
    <vt:lpwstr>Standard</vt:lpwstr>
  </property>
  <property fmtid="{D5CDD505-2E9C-101B-9397-08002B2CF9AE}" pid="28" name="MSIP_Label_3c92e4bf-1f60-4796-a90f-2b1633f88872_Name">
    <vt:lpwstr>University of Galway - Controlled</vt:lpwstr>
  </property>
  <property fmtid="{D5CDD505-2E9C-101B-9397-08002B2CF9AE}" pid="29" name="MSIP_Label_3c92e4bf-1f60-4796-a90f-2b1633f88872_SiteId">
    <vt:lpwstr>13e3b186-c446-4aab-9c6d-9ab9bb76816c</vt:lpwstr>
  </property>
  <property fmtid="{D5CDD505-2E9C-101B-9397-08002B2CF9AE}" pid="30" name="MSIP_Label_3c92e4bf-1f60-4796-a90f-2b1633f88872_ActionId">
    <vt:lpwstr>c3a3867b-4f04-46ac-8a9a-454f19523285</vt:lpwstr>
  </property>
  <property fmtid="{D5CDD505-2E9C-101B-9397-08002B2CF9AE}" pid="31" name="MSIP_Label_3c92e4bf-1f60-4796-a90f-2b1633f88872_ContentBits">
    <vt:lpwstr>0</vt:lpwstr>
  </property>
  <property fmtid="{D5CDD505-2E9C-101B-9397-08002B2CF9AE}" pid="32" name="MSIP_Label_3c92e4bf-1f60-4796-a90f-2b1633f88872_Tag">
    <vt:lpwstr>10, 3, 0, 1</vt:lpwstr>
  </property>
</Properties>
</file>