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4143E" w14:textId="1291BE0B" w:rsidR="00906F35" w:rsidRDefault="00EE2A1D" w:rsidP="00EE2A1D">
      <w:pPr>
        <w:spacing w:line="480" w:lineRule="auto"/>
        <w:jc w:val="both"/>
        <w:rPr>
          <w:rFonts w:ascii="Times New Roman"/>
          <w:b/>
          <w:sz w:val="24"/>
          <w:szCs w:val="24"/>
        </w:rPr>
      </w:pPr>
      <w:r w:rsidRPr="009B5AB4">
        <w:rPr>
          <w:rFonts w:ascii="Times New Roman"/>
          <w:b/>
          <w:sz w:val="24"/>
          <w:szCs w:val="24"/>
        </w:rPr>
        <w:t xml:space="preserve">Supporting information </w:t>
      </w:r>
    </w:p>
    <w:p w14:paraId="5656734A" w14:textId="77777777" w:rsidR="00AC32AC" w:rsidRDefault="00AC32AC" w:rsidP="00AC32AC">
      <w:pPr>
        <w:spacing w:line="480" w:lineRule="auto"/>
        <w:jc w:val="both"/>
        <w:rPr>
          <w:rFonts w:ascii="Times New Roman"/>
          <w:b/>
        </w:rPr>
      </w:pPr>
      <w:r>
        <w:rPr>
          <w:rFonts w:ascii="Times New Roman"/>
          <w:b/>
          <w:i/>
          <w:lang w:val="en-GB"/>
        </w:rPr>
        <w:t>Nepeta cataria</w:t>
      </w:r>
      <w:r>
        <w:rPr>
          <w:rFonts w:ascii="Times New Roman"/>
          <w:b/>
          <w:lang w:val="en-GB"/>
        </w:rPr>
        <w:t xml:space="preserve"> L. (catnip) can serve as a chassis for the engineering</w:t>
      </w:r>
      <w:r w:rsidRPr="00173EE7">
        <w:rPr>
          <w:rFonts w:ascii="Times New Roman"/>
          <w:b/>
          <w:lang w:val="en-GB"/>
        </w:rPr>
        <w:t xml:space="preserve"> of</w:t>
      </w:r>
      <w:r>
        <w:rPr>
          <w:rFonts w:ascii="Times New Roman"/>
          <w:b/>
          <w:lang w:val="en-GB"/>
        </w:rPr>
        <w:t xml:space="preserve"> secondary metabolic pathways.</w:t>
      </w:r>
    </w:p>
    <w:p w14:paraId="4D91BF70" w14:textId="77777777" w:rsidR="00AC32AC" w:rsidRDefault="00AC32AC" w:rsidP="00AC32AC">
      <w:pPr>
        <w:spacing w:line="480" w:lineRule="auto"/>
        <w:jc w:val="both"/>
        <w:rPr>
          <w:rFonts w:ascii="Times New Roman"/>
          <w:b/>
        </w:rPr>
      </w:pPr>
    </w:p>
    <w:p w14:paraId="6B6A188E" w14:textId="77777777" w:rsidR="00AC32AC" w:rsidRPr="00D331CF" w:rsidRDefault="00AC32AC" w:rsidP="00AC32AC">
      <w:pPr>
        <w:spacing w:line="480" w:lineRule="auto"/>
        <w:jc w:val="both"/>
        <w:rPr>
          <w:rFonts w:ascii="Times New Roman"/>
        </w:rPr>
      </w:pPr>
      <w:r w:rsidRPr="00D331CF">
        <w:rPr>
          <w:rFonts w:ascii="Times New Roman"/>
        </w:rPr>
        <w:t>Marcus Geissler</w:t>
      </w:r>
      <w:r w:rsidRPr="00D331CF">
        <w:rPr>
          <w:rFonts w:ascii="Times New Roman"/>
          <w:vertAlign w:val="superscript"/>
        </w:rPr>
        <w:t>1</w:t>
      </w:r>
      <w:r w:rsidRPr="00D331CF">
        <w:rPr>
          <w:rFonts w:ascii="Times New Roman"/>
        </w:rPr>
        <w:t>, Christoph Neubauer</w:t>
      </w:r>
      <w:r w:rsidRPr="00D331CF">
        <w:rPr>
          <w:rFonts w:ascii="Times New Roman"/>
          <w:vertAlign w:val="superscript"/>
        </w:rPr>
        <w:t>1</w:t>
      </w:r>
      <w:r w:rsidRPr="00D331CF">
        <w:rPr>
          <w:rFonts w:ascii="Times New Roman"/>
        </w:rPr>
        <w:t>, Yuri</w:t>
      </w:r>
      <w:r>
        <w:rPr>
          <w:rFonts w:ascii="Times New Roman"/>
          <w:lang w:val="en-GB"/>
        </w:rPr>
        <w:t>y</w:t>
      </w:r>
      <w:r w:rsidRPr="00D331CF">
        <w:rPr>
          <w:rFonts w:ascii="Times New Roman"/>
        </w:rPr>
        <w:t xml:space="preserve"> V. Sheludko</w:t>
      </w:r>
      <w:r w:rsidRPr="00D331CF">
        <w:rPr>
          <w:rFonts w:ascii="Times New Roman"/>
          <w:vertAlign w:val="superscript"/>
        </w:rPr>
        <w:t>2</w:t>
      </w:r>
      <w:r w:rsidRPr="00D331CF">
        <w:rPr>
          <w:rFonts w:ascii="Times New Roman"/>
        </w:rPr>
        <w:t>, Adrian Brückner</w:t>
      </w:r>
      <w:r w:rsidRPr="00D331CF">
        <w:rPr>
          <w:rFonts w:ascii="Times New Roman"/>
          <w:vertAlign w:val="superscript"/>
        </w:rPr>
        <w:t>2,3</w:t>
      </w:r>
      <w:r w:rsidRPr="00D331CF">
        <w:rPr>
          <w:rFonts w:ascii="Times New Roman"/>
        </w:rPr>
        <w:t>, Heribert Warzecha</w:t>
      </w:r>
      <w:r w:rsidRPr="00D331CF">
        <w:rPr>
          <w:rFonts w:ascii="Times New Roman"/>
          <w:vertAlign w:val="superscript"/>
        </w:rPr>
        <w:t>1,2*</w:t>
      </w:r>
    </w:p>
    <w:p w14:paraId="603CFCDD" w14:textId="77777777" w:rsidR="00AC32AC" w:rsidRPr="00D331CF" w:rsidRDefault="00AC32AC" w:rsidP="00AC32AC">
      <w:pPr>
        <w:spacing w:line="480" w:lineRule="auto"/>
        <w:jc w:val="both"/>
        <w:rPr>
          <w:rFonts w:ascii="Times New Roman"/>
        </w:rPr>
      </w:pPr>
    </w:p>
    <w:p w14:paraId="1EBD9F1A" w14:textId="77777777" w:rsidR="00AC32AC" w:rsidRDefault="00AC32AC" w:rsidP="00AC32AC">
      <w:pPr>
        <w:spacing w:line="480" w:lineRule="auto"/>
        <w:jc w:val="both"/>
        <w:rPr>
          <w:rFonts w:ascii="Times New Roman"/>
        </w:rPr>
      </w:pPr>
      <w:r>
        <w:rPr>
          <w:rFonts w:ascii="Times New Roman"/>
          <w:vertAlign w:val="superscript"/>
        </w:rPr>
        <w:t xml:space="preserve">1 </w:t>
      </w:r>
      <w:r>
        <w:rPr>
          <w:rFonts w:ascii="Times New Roman"/>
        </w:rPr>
        <w:t xml:space="preserve">Plant Biotechnology and Metabolic Engineering, Technical University of Darmstadt, </w:t>
      </w:r>
      <w:proofErr w:type="spellStart"/>
      <w:r>
        <w:rPr>
          <w:rFonts w:ascii="Times New Roman"/>
        </w:rPr>
        <w:t>Schnittspahnstraße</w:t>
      </w:r>
      <w:proofErr w:type="spellEnd"/>
      <w:r>
        <w:rPr>
          <w:rFonts w:ascii="Times New Roman"/>
        </w:rPr>
        <w:t xml:space="preserve"> 4, 64287 Darmstadt, Germany</w:t>
      </w:r>
    </w:p>
    <w:p w14:paraId="6B8D62BD" w14:textId="77777777" w:rsidR="00AC32AC" w:rsidRDefault="00AC32AC" w:rsidP="00AC32AC">
      <w:pPr>
        <w:spacing w:line="480" w:lineRule="auto"/>
        <w:jc w:val="both"/>
        <w:rPr>
          <w:rFonts w:ascii="Times New Roman"/>
        </w:rPr>
      </w:pPr>
    </w:p>
    <w:p w14:paraId="2A11D2A4" w14:textId="77777777" w:rsidR="00AC32AC" w:rsidRDefault="00AC32AC" w:rsidP="00AC32AC">
      <w:pPr>
        <w:spacing w:line="480" w:lineRule="auto"/>
        <w:jc w:val="both"/>
        <w:rPr>
          <w:rFonts w:ascii="Times New Roman"/>
        </w:rPr>
      </w:pPr>
      <w:r>
        <w:rPr>
          <w:rFonts w:ascii="Times New Roman"/>
          <w:vertAlign w:val="superscript"/>
        </w:rPr>
        <w:t xml:space="preserve">2 </w:t>
      </w:r>
      <w:r>
        <w:rPr>
          <w:rFonts w:ascii="Times New Roman"/>
        </w:rPr>
        <w:t>Centre for Synthetic Biology, Technical University of Darmstadt, Germany</w:t>
      </w:r>
    </w:p>
    <w:p w14:paraId="08CA994D" w14:textId="77777777" w:rsidR="00AC32AC" w:rsidRDefault="00AC32AC" w:rsidP="00AC32AC">
      <w:pPr>
        <w:spacing w:line="480" w:lineRule="auto"/>
        <w:jc w:val="both"/>
        <w:rPr>
          <w:rFonts w:ascii="Times New Roman"/>
        </w:rPr>
      </w:pPr>
    </w:p>
    <w:p w14:paraId="5F67C988" w14:textId="77777777" w:rsidR="00AC32AC" w:rsidRDefault="00AC32AC" w:rsidP="00AC32AC">
      <w:pPr>
        <w:spacing w:line="480" w:lineRule="auto"/>
        <w:jc w:val="both"/>
        <w:rPr>
          <w:rFonts w:ascii="Times New Roman"/>
        </w:rPr>
      </w:pPr>
      <w:r>
        <w:rPr>
          <w:rFonts w:ascii="Times New Roman"/>
          <w:vertAlign w:val="superscript"/>
        </w:rPr>
        <w:t xml:space="preserve">3 </w:t>
      </w:r>
      <w:r>
        <w:rPr>
          <w:rFonts w:ascii="Times New Roman"/>
        </w:rPr>
        <w:t xml:space="preserve">current </w:t>
      </w:r>
      <w:proofErr w:type="gramStart"/>
      <w:r>
        <w:rPr>
          <w:rFonts w:ascii="Times New Roman"/>
        </w:rPr>
        <w:t>address</w:t>
      </w:r>
      <w:proofErr w:type="gramEnd"/>
      <w:r>
        <w:rPr>
          <w:rFonts w:ascii="Times New Roman"/>
        </w:rPr>
        <w:t xml:space="preserve">: </w:t>
      </w:r>
      <w:proofErr w:type="spellStart"/>
      <w:r>
        <w:rPr>
          <w:rFonts w:ascii="Times New Roman"/>
        </w:rPr>
        <w:t>Invizyne</w:t>
      </w:r>
      <w:proofErr w:type="spellEnd"/>
      <w:r>
        <w:rPr>
          <w:rFonts w:ascii="Times New Roman"/>
        </w:rPr>
        <w:t xml:space="preserve"> Technologies Inc, 750 Royal Oaks Drive, Monrovia, CA 91016, USA.</w:t>
      </w:r>
    </w:p>
    <w:p w14:paraId="2BAB46D7" w14:textId="77777777" w:rsidR="00AC32AC" w:rsidRDefault="00AC32AC" w:rsidP="00AC32AC">
      <w:pPr>
        <w:spacing w:line="480" w:lineRule="auto"/>
        <w:jc w:val="both"/>
        <w:rPr>
          <w:rFonts w:ascii="Times New Roman"/>
        </w:rPr>
      </w:pPr>
    </w:p>
    <w:p w14:paraId="64C9772D" w14:textId="77777777" w:rsidR="00AC32AC" w:rsidRDefault="00AC32AC" w:rsidP="00AC32AC">
      <w:pPr>
        <w:spacing w:line="480" w:lineRule="auto"/>
        <w:jc w:val="both"/>
        <w:rPr>
          <w:rFonts w:ascii="Times New Roman"/>
        </w:rPr>
      </w:pPr>
      <w:r>
        <w:rPr>
          <w:rFonts w:ascii="Times New Roman"/>
        </w:rPr>
        <w:t>*Author to whom correspondence should be addressed:</w:t>
      </w:r>
    </w:p>
    <w:p w14:paraId="1FEDE7B8" w14:textId="375BDCA9" w:rsidR="00AC32AC" w:rsidRPr="00E36414" w:rsidRDefault="00AC32AC" w:rsidP="00AC32AC">
      <w:pPr>
        <w:spacing w:line="480" w:lineRule="auto"/>
        <w:jc w:val="both"/>
        <w:rPr>
          <w:rFonts w:ascii="Times New Roman"/>
          <w:lang w:val="de-DE"/>
        </w:rPr>
      </w:pPr>
      <w:proofErr w:type="spellStart"/>
      <w:r w:rsidRPr="00E36414">
        <w:rPr>
          <w:rFonts w:ascii="Times New Roman"/>
          <w:lang w:val="de-DE"/>
        </w:rPr>
        <w:t>e-mail</w:t>
      </w:r>
      <w:proofErr w:type="spellEnd"/>
      <w:r w:rsidRPr="00E36414">
        <w:rPr>
          <w:rFonts w:ascii="Times New Roman"/>
          <w:lang w:val="de-DE"/>
        </w:rPr>
        <w:t xml:space="preserve">: </w:t>
      </w:r>
      <w:hyperlink r:id="rId5" w:history="1">
        <w:r w:rsidRPr="00E36414">
          <w:rPr>
            <w:rStyle w:val="Hyperlink"/>
            <w:rFonts w:ascii="Times New Roman"/>
            <w:lang w:val="de-DE"/>
          </w:rPr>
          <w:t>warzecha@bio.tu-darmstadt.de</w:t>
        </w:r>
      </w:hyperlink>
    </w:p>
    <w:p w14:paraId="04DF46AE" w14:textId="77777777" w:rsidR="00AC32AC" w:rsidRPr="00E36414" w:rsidRDefault="00AC32AC" w:rsidP="00AC32AC">
      <w:pPr>
        <w:spacing w:line="480" w:lineRule="auto"/>
        <w:jc w:val="both"/>
        <w:rPr>
          <w:rFonts w:ascii="Times New Roman"/>
          <w:lang w:val="de-DE"/>
        </w:rPr>
      </w:pPr>
    </w:p>
    <w:p w14:paraId="2BBBDB6E" w14:textId="77777777" w:rsidR="00EE2A1D" w:rsidRPr="00E36414" w:rsidRDefault="00EE2A1D" w:rsidP="00EE2A1D">
      <w:pPr>
        <w:spacing w:line="480" w:lineRule="auto"/>
        <w:jc w:val="both"/>
        <w:rPr>
          <w:rFonts w:ascii="Times New Roman"/>
          <w:sz w:val="24"/>
          <w:szCs w:val="24"/>
          <w:lang w:val="de-DE"/>
        </w:rPr>
      </w:pPr>
    </w:p>
    <w:p w14:paraId="5EFA99F9" w14:textId="7C34611E" w:rsidR="00EE2A1D" w:rsidRPr="00E36414" w:rsidRDefault="00EE2A1D" w:rsidP="00EE2A1D">
      <w:pPr>
        <w:spacing w:line="480" w:lineRule="auto"/>
        <w:jc w:val="both"/>
        <w:rPr>
          <w:rFonts w:ascii="Times New Roman"/>
          <w:sz w:val="24"/>
          <w:szCs w:val="24"/>
          <w:lang w:val="de-DE"/>
        </w:rPr>
      </w:pPr>
    </w:p>
    <w:p w14:paraId="007EB3CA" w14:textId="17C3F17A" w:rsidR="00EE2A1D" w:rsidRPr="00E36414" w:rsidRDefault="00EE2A1D" w:rsidP="00EE2A1D">
      <w:pPr>
        <w:spacing w:line="480" w:lineRule="auto"/>
        <w:jc w:val="both"/>
        <w:rPr>
          <w:rFonts w:ascii="Times New Roman"/>
          <w:sz w:val="24"/>
          <w:szCs w:val="24"/>
          <w:lang w:val="de-DE"/>
        </w:rPr>
      </w:pPr>
    </w:p>
    <w:p w14:paraId="68F1F3D6" w14:textId="77777777" w:rsidR="0059428A" w:rsidRPr="00E36414" w:rsidRDefault="0059428A" w:rsidP="00EE2A1D">
      <w:pPr>
        <w:spacing w:line="480" w:lineRule="auto"/>
        <w:jc w:val="both"/>
        <w:rPr>
          <w:rFonts w:ascii="Times New Roman"/>
          <w:sz w:val="24"/>
          <w:szCs w:val="24"/>
          <w:lang w:val="de-DE"/>
        </w:rPr>
      </w:pPr>
    </w:p>
    <w:p w14:paraId="76AF5816" w14:textId="77777777" w:rsidR="0000369D" w:rsidRPr="00E36414" w:rsidRDefault="0000369D" w:rsidP="00EE2A1D">
      <w:pPr>
        <w:spacing w:line="480" w:lineRule="auto"/>
        <w:jc w:val="both"/>
        <w:rPr>
          <w:rFonts w:ascii="Times New Roman"/>
          <w:sz w:val="24"/>
          <w:szCs w:val="24"/>
          <w:lang w:val="de-DE"/>
        </w:rPr>
      </w:pPr>
    </w:p>
    <w:p w14:paraId="185CE225" w14:textId="19B5E6D0" w:rsidR="00E970C6" w:rsidRDefault="00AC32AC" w:rsidP="00EE2A1D">
      <w:pPr>
        <w:spacing w:line="480" w:lineRule="auto"/>
        <w:jc w:val="both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sz w:val="24"/>
          <w:szCs w:val="24"/>
        </w:rPr>
        <w:lastRenderedPageBreak/>
        <w:t>Captions</w:t>
      </w:r>
    </w:p>
    <w:p w14:paraId="3FD34851" w14:textId="78EF61AC" w:rsidR="0000369D" w:rsidRDefault="0000369D" w:rsidP="00EE2A1D">
      <w:pPr>
        <w:spacing w:line="480" w:lineRule="auto"/>
        <w:jc w:val="both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noProof/>
          <w:sz w:val="24"/>
          <w:szCs w:val="24"/>
        </w:rPr>
        <w:drawing>
          <wp:inline distT="0" distB="0" distL="0" distR="0" wp14:anchorId="68A6673E" wp14:editId="29CEADD4">
            <wp:extent cx="4607560" cy="6572885"/>
            <wp:effectExtent l="0" t="0" r="2540" b="0"/>
            <wp:docPr id="5" name="Grafik 5" descr="C:\Users\Geißler\AppData\Local\Microsoft\Windows\INetCache\Content.Word\biosynthes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eißler\AppData\Local\Microsoft\Windows\INetCache\Content.Word\biosynthese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657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392F2" w14:textId="1EE04C6A" w:rsidR="006A44F3" w:rsidRDefault="006A44F3" w:rsidP="006A44F3">
      <w:pPr>
        <w:spacing w:line="480" w:lineRule="auto"/>
        <w:jc w:val="both"/>
        <w:rPr>
          <w:rFonts w:ascii="Times New Roman"/>
          <w:sz w:val="24"/>
          <w:szCs w:val="24"/>
        </w:rPr>
      </w:pPr>
      <w:r w:rsidRPr="0059428A">
        <w:rPr>
          <w:rFonts w:ascii="Times New Roman"/>
          <w:b/>
          <w:sz w:val="24"/>
          <w:szCs w:val="24"/>
        </w:rPr>
        <w:t xml:space="preserve">Supplementary </w:t>
      </w:r>
      <w:r w:rsidRPr="00750F72">
        <w:rPr>
          <w:rFonts w:ascii="Times New Roman"/>
          <w:b/>
          <w:sz w:val="24"/>
          <w:szCs w:val="24"/>
        </w:rPr>
        <w:t xml:space="preserve">Fig. </w:t>
      </w:r>
      <w:r>
        <w:rPr>
          <w:rFonts w:ascii="Times New Roman"/>
          <w:b/>
          <w:sz w:val="24"/>
          <w:szCs w:val="24"/>
        </w:rPr>
        <w:t xml:space="preserve">1 </w:t>
      </w:r>
      <w:r w:rsidRPr="0000369D">
        <w:rPr>
          <w:rFonts w:ascii="Times New Roman"/>
          <w:sz w:val="24"/>
          <w:szCs w:val="24"/>
        </w:rPr>
        <w:t xml:space="preserve">Schematic </w:t>
      </w:r>
      <w:r w:rsidR="00E36414">
        <w:rPr>
          <w:rFonts w:ascii="Times New Roman"/>
          <w:sz w:val="24"/>
          <w:szCs w:val="24"/>
        </w:rPr>
        <w:t>description</w:t>
      </w:r>
      <w:r w:rsidR="00E36414" w:rsidRPr="0000369D">
        <w:rPr>
          <w:rFonts w:ascii="Times New Roman"/>
          <w:sz w:val="24"/>
          <w:szCs w:val="24"/>
        </w:rPr>
        <w:t xml:space="preserve"> </w:t>
      </w:r>
      <w:r w:rsidRPr="0000369D">
        <w:rPr>
          <w:rFonts w:ascii="Times New Roman"/>
          <w:sz w:val="24"/>
          <w:szCs w:val="24"/>
        </w:rPr>
        <w:t>of the cannabinoid biosynthe</w:t>
      </w:r>
      <w:r>
        <w:rPr>
          <w:rFonts w:ascii="Times New Roman"/>
          <w:sz w:val="24"/>
          <w:szCs w:val="24"/>
        </w:rPr>
        <w:t xml:space="preserve">sis pathway in </w:t>
      </w:r>
      <w:r w:rsidRPr="00CE33CC">
        <w:rPr>
          <w:rFonts w:ascii="Times New Roman"/>
          <w:i/>
          <w:iCs/>
          <w:sz w:val="24"/>
          <w:szCs w:val="24"/>
        </w:rPr>
        <w:t>Cannabis sativa</w:t>
      </w:r>
      <w:r w:rsidRPr="0000369D">
        <w:rPr>
          <w:rFonts w:ascii="Times New Roman"/>
          <w:sz w:val="24"/>
          <w:szCs w:val="24"/>
        </w:rPr>
        <w:t xml:space="preserve">. MEP, 2-C-methyl-D-erythritol-4-phosphate pathway; AAE1, acyl activating enzyme 1; OLS, olivetol synthase; OAC, </w:t>
      </w:r>
      <w:proofErr w:type="spellStart"/>
      <w:r w:rsidRPr="0000369D">
        <w:rPr>
          <w:rFonts w:ascii="Times New Roman"/>
          <w:sz w:val="24"/>
          <w:szCs w:val="24"/>
        </w:rPr>
        <w:t>olivetolic</w:t>
      </w:r>
      <w:proofErr w:type="spellEnd"/>
      <w:r w:rsidRPr="0000369D">
        <w:rPr>
          <w:rFonts w:ascii="Times New Roman"/>
          <w:sz w:val="24"/>
          <w:szCs w:val="24"/>
        </w:rPr>
        <w:t xml:space="preserve"> acid cyclase; CBGAS, cannabigerolic acid synthase; THCAS, Δ9-tetrahydrocannabinolic acid synthase; CBDAS, cannabidiolic acid synthase; CBCAS, </w:t>
      </w:r>
      <w:proofErr w:type="spellStart"/>
      <w:r w:rsidRPr="0000369D">
        <w:rPr>
          <w:rFonts w:ascii="Times New Roman"/>
          <w:sz w:val="24"/>
          <w:szCs w:val="24"/>
        </w:rPr>
        <w:t>cannabichromenic</w:t>
      </w:r>
      <w:proofErr w:type="spellEnd"/>
      <w:r w:rsidRPr="0000369D">
        <w:rPr>
          <w:rFonts w:ascii="Times New Roman"/>
          <w:sz w:val="24"/>
          <w:szCs w:val="24"/>
        </w:rPr>
        <w:t xml:space="preserve"> acid synthase.</w:t>
      </w:r>
    </w:p>
    <w:p w14:paraId="15699FC2" w14:textId="77777777" w:rsidR="00AC32AC" w:rsidRPr="009D7FDA" w:rsidRDefault="00AC32AC" w:rsidP="006A44F3">
      <w:pPr>
        <w:spacing w:line="480" w:lineRule="auto"/>
        <w:jc w:val="both"/>
        <w:rPr>
          <w:rFonts w:ascii="Times New Roman"/>
          <w:b/>
          <w:sz w:val="24"/>
          <w:szCs w:val="24"/>
        </w:rPr>
      </w:pPr>
    </w:p>
    <w:p w14:paraId="5759C84C" w14:textId="454C390B" w:rsidR="00E970C6" w:rsidRPr="009D7FDA" w:rsidRDefault="001C2872" w:rsidP="00EE2A1D">
      <w:pPr>
        <w:spacing w:line="480" w:lineRule="auto"/>
        <w:jc w:val="both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noProof/>
          <w:sz w:val="24"/>
          <w:szCs w:val="24"/>
        </w:rPr>
        <w:drawing>
          <wp:inline distT="0" distB="0" distL="0" distR="0" wp14:anchorId="347B7750" wp14:editId="41542BB9">
            <wp:extent cx="5399405" cy="1181100"/>
            <wp:effectExtent l="0" t="0" r="0" b="0"/>
            <wp:docPr id="3" name="Bild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BEC52" w14:textId="03ECBA02" w:rsidR="00E970C6" w:rsidRPr="00E970C6" w:rsidRDefault="00E970C6" w:rsidP="00E970C6">
      <w:pPr>
        <w:spacing w:line="480" w:lineRule="auto"/>
        <w:jc w:val="both"/>
        <w:rPr>
          <w:rFonts w:ascii="Times New Roman"/>
          <w:sz w:val="24"/>
          <w:szCs w:val="18"/>
        </w:rPr>
      </w:pPr>
      <w:r w:rsidRPr="0059428A">
        <w:rPr>
          <w:rFonts w:ascii="Times New Roman"/>
          <w:b/>
          <w:sz w:val="24"/>
          <w:szCs w:val="24"/>
        </w:rPr>
        <w:t xml:space="preserve">Supplementary </w:t>
      </w:r>
      <w:r w:rsidRPr="00750F72">
        <w:rPr>
          <w:rFonts w:ascii="Times New Roman"/>
          <w:b/>
          <w:sz w:val="24"/>
          <w:szCs w:val="24"/>
        </w:rPr>
        <w:t xml:space="preserve">Fig. </w:t>
      </w:r>
      <w:r w:rsidR="005C2DC7">
        <w:rPr>
          <w:rFonts w:ascii="Times New Roman"/>
          <w:b/>
          <w:sz w:val="24"/>
          <w:szCs w:val="24"/>
        </w:rPr>
        <w:t>2</w:t>
      </w:r>
      <w:r w:rsidRPr="00750F72">
        <w:rPr>
          <w:rFonts w:ascii="Times New Roman"/>
          <w:b/>
          <w:sz w:val="24"/>
          <w:szCs w:val="24"/>
        </w:rPr>
        <w:t xml:space="preserve"> </w:t>
      </w:r>
      <w:r w:rsidRPr="00E970C6">
        <w:rPr>
          <w:rFonts w:ascii="Times New Roman"/>
          <w:sz w:val="24"/>
          <w:szCs w:val="18"/>
        </w:rPr>
        <w:t xml:space="preserve">Schematic representation of the generated constructs </w:t>
      </w:r>
      <w:r w:rsidR="00E11D40">
        <w:rPr>
          <w:rFonts w:ascii="Times New Roman"/>
          <w:sz w:val="24"/>
          <w:szCs w:val="18"/>
        </w:rPr>
        <w:t>within</w:t>
      </w:r>
      <w:r w:rsidRPr="00E970C6">
        <w:rPr>
          <w:rFonts w:ascii="Times New Roman"/>
          <w:sz w:val="24"/>
          <w:szCs w:val="18"/>
        </w:rPr>
        <w:t xml:space="preserve"> the </w:t>
      </w:r>
      <w:proofErr w:type="spellStart"/>
      <w:r w:rsidRPr="00E970C6">
        <w:rPr>
          <w:rFonts w:ascii="Times New Roman"/>
          <w:sz w:val="24"/>
          <w:szCs w:val="18"/>
        </w:rPr>
        <w:t>GoldenBraid</w:t>
      </w:r>
      <w:proofErr w:type="spellEnd"/>
      <w:r w:rsidRPr="00E970C6">
        <w:rPr>
          <w:rFonts w:ascii="Times New Roman"/>
          <w:sz w:val="24"/>
          <w:szCs w:val="18"/>
        </w:rPr>
        <w:t xml:space="preserve"> </w:t>
      </w:r>
      <w:r w:rsidR="00E11D40">
        <w:rPr>
          <w:rFonts w:ascii="Times New Roman"/>
          <w:sz w:val="24"/>
          <w:szCs w:val="18"/>
        </w:rPr>
        <w:t>grammar</w:t>
      </w:r>
      <w:r w:rsidRPr="00E970C6">
        <w:rPr>
          <w:rFonts w:ascii="Times New Roman"/>
          <w:sz w:val="24"/>
          <w:szCs w:val="18"/>
        </w:rPr>
        <w:t xml:space="preserve"> </w:t>
      </w:r>
      <w:r w:rsidRPr="00E970C6">
        <w:rPr>
          <w:rFonts w:ascii="Times New Roman"/>
          <w:sz w:val="24"/>
        </w:rPr>
        <w:t>(</w:t>
      </w:r>
      <w:proofErr w:type="spellStart"/>
      <w:r w:rsidRPr="00E970C6">
        <w:rPr>
          <w:rFonts w:ascii="Times New Roman"/>
          <w:sz w:val="24"/>
        </w:rPr>
        <w:t>Sarrion-Perdigones</w:t>
      </w:r>
      <w:proofErr w:type="spellEnd"/>
      <w:r w:rsidRPr="00E970C6">
        <w:rPr>
          <w:rFonts w:ascii="Times New Roman"/>
          <w:sz w:val="24"/>
        </w:rPr>
        <w:t xml:space="preserve"> et al. 2013)</w:t>
      </w:r>
      <w:r w:rsidRPr="00E970C6">
        <w:rPr>
          <w:rFonts w:ascii="Times New Roman"/>
          <w:sz w:val="24"/>
          <w:szCs w:val="18"/>
        </w:rPr>
        <w:t>. The capital letters show the four</w:t>
      </w:r>
      <w:r w:rsidRPr="00E970C6">
        <w:rPr>
          <w:rFonts w:ascii="Times New Roman"/>
          <w:sz w:val="24"/>
        </w:rPr>
        <w:t>−</w:t>
      </w:r>
      <w:r w:rsidRPr="00E970C6">
        <w:rPr>
          <w:rFonts w:ascii="Times New Roman"/>
          <w:sz w:val="24"/>
          <w:szCs w:val="18"/>
        </w:rPr>
        <w:t xml:space="preserve">nucleotide overhangs ensuring correct final orientation within the transcriptional unit (TU), while the numbers above the scheme represent standard </w:t>
      </w:r>
      <w:proofErr w:type="spellStart"/>
      <w:r w:rsidRPr="00E970C6">
        <w:rPr>
          <w:rFonts w:ascii="Times New Roman"/>
          <w:sz w:val="24"/>
          <w:szCs w:val="18"/>
        </w:rPr>
        <w:t>GoldenBraid</w:t>
      </w:r>
      <w:proofErr w:type="spellEnd"/>
      <w:r w:rsidRPr="00E970C6">
        <w:rPr>
          <w:rFonts w:ascii="Times New Roman"/>
          <w:sz w:val="24"/>
          <w:szCs w:val="18"/>
        </w:rPr>
        <w:t xml:space="preserve"> classes within the TU structure. P35S ATG, cauliflower mosaic virus (</w:t>
      </w:r>
      <w:proofErr w:type="spellStart"/>
      <w:r w:rsidRPr="00E970C6">
        <w:rPr>
          <w:rFonts w:ascii="Times New Roman"/>
          <w:sz w:val="24"/>
          <w:szCs w:val="18"/>
        </w:rPr>
        <w:t>CaMV</w:t>
      </w:r>
      <w:proofErr w:type="spellEnd"/>
      <w:r w:rsidRPr="00E970C6">
        <w:rPr>
          <w:rFonts w:ascii="Times New Roman"/>
          <w:sz w:val="24"/>
          <w:szCs w:val="18"/>
        </w:rPr>
        <w:t xml:space="preserve">) 35S promoter with an integrated start codon ensuring cytosolic localization; </w:t>
      </w:r>
      <w:proofErr w:type="spellStart"/>
      <w:r w:rsidRPr="00E970C6">
        <w:rPr>
          <w:rFonts w:ascii="Times New Roman"/>
          <w:sz w:val="24"/>
          <w:szCs w:val="18"/>
        </w:rPr>
        <w:t>TNos</w:t>
      </w:r>
      <w:proofErr w:type="spellEnd"/>
      <w:r w:rsidRPr="00E970C6">
        <w:rPr>
          <w:rFonts w:ascii="Times New Roman"/>
          <w:sz w:val="24"/>
          <w:szCs w:val="18"/>
        </w:rPr>
        <w:t xml:space="preserve">, nopaline synthase terminator; 8×his:TNos, nopaline synthase terminator comprising an 8×his-tag; </w:t>
      </w:r>
      <w:r w:rsidRPr="00821ED9">
        <w:rPr>
          <w:rFonts w:ascii="Times New Roman"/>
          <w:i/>
          <w:sz w:val="24"/>
          <w:szCs w:val="18"/>
        </w:rPr>
        <w:t>aae</w:t>
      </w:r>
      <w:r w:rsidRPr="00E970C6">
        <w:rPr>
          <w:rFonts w:ascii="Times New Roman"/>
          <w:sz w:val="24"/>
          <w:szCs w:val="18"/>
        </w:rPr>
        <w:t xml:space="preserve">1, acyl-activating enzyme 1; </w:t>
      </w:r>
      <w:proofErr w:type="spellStart"/>
      <w:r w:rsidRPr="00821ED9">
        <w:rPr>
          <w:rFonts w:ascii="Times New Roman"/>
          <w:i/>
          <w:sz w:val="24"/>
          <w:szCs w:val="18"/>
        </w:rPr>
        <w:t>ols</w:t>
      </w:r>
      <w:proofErr w:type="spellEnd"/>
      <w:r w:rsidRPr="00E970C6">
        <w:rPr>
          <w:rFonts w:ascii="Times New Roman"/>
          <w:sz w:val="24"/>
          <w:szCs w:val="18"/>
        </w:rPr>
        <w:t xml:space="preserve">, olivetol synthase; </w:t>
      </w:r>
      <w:proofErr w:type="spellStart"/>
      <w:r w:rsidRPr="00821ED9">
        <w:rPr>
          <w:rFonts w:ascii="Times New Roman"/>
          <w:i/>
          <w:sz w:val="24"/>
          <w:szCs w:val="18"/>
        </w:rPr>
        <w:t>oac</w:t>
      </w:r>
      <w:proofErr w:type="spellEnd"/>
      <w:r w:rsidRPr="00E970C6">
        <w:rPr>
          <w:rFonts w:ascii="Times New Roman"/>
          <w:sz w:val="24"/>
          <w:szCs w:val="18"/>
        </w:rPr>
        <w:t xml:space="preserve">, olivetolic acid cyclase; </w:t>
      </w:r>
      <w:r w:rsidR="00C645EB" w:rsidRPr="00821ED9">
        <w:rPr>
          <w:rFonts w:ascii="Times New Roman"/>
          <w:i/>
          <w:sz w:val="24"/>
          <w:szCs w:val="18"/>
        </w:rPr>
        <w:t>gfp:lic</w:t>
      </w:r>
      <w:r w:rsidR="00C645EB">
        <w:rPr>
          <w:rFonts w:ascii="Times New Roman"/>
          <w:sz w:val="24"/>
          <w:szCs w:val="18"/>
        </w:rPr>
        <w:t>BM3</w:t>
      </w:r>
      <w:r w:rsidRPr="00E970C6">
        <w:rPr>
          <w:rFonts w:ascii="Times New Roman"/>
          <w:sz w:val="24"/>
          <w:szCs w:val="18"/>
        </w:rPr>
        <w:t xml:space="preserve">, </w:t>
      </w:r>
      <w:proofErr w:type="spellStart"/>
      <w:r w:rsidRPr="00E970C6">
        <w:rPr>
          <w:rFonts w:ascii="Times New Roman"/>
          <w:iCs/>
          <w:sz w:val="24"/>
          <w:lang w:bidi="en-US"/>
        </w:rPr>
        <w:t>lichenase</w:t>
      </w:r>
      <w:proofErr w:type="spellEnd"/>
      <w:r w:rsidRPr="00E970C6">
        <w:rPr>
          <w:rFonts w:ascii="Times New Roman"/>
          <w:iCs/>
          <w:sz w:val="24"/>
          <w:lang w:bidi="en-US"/>
        </w:rPr>
        <w:t xml:space="preserve"> in translational fusion to a synthetic GFP.</w:t>
      </w:r>
      <w:r w:rsidRPr="00E970C6">
        <w:rPr>
          <w:rFonts w:ascii="Times New Roman"/>
          <w:sz w:val="24"/>
          <w:szCs w:val="18"/>
        </w:rPr>
        <w:t xml:space="preserve"> Abbreviation of each construct is listed on the right. Boxes are not drawn to scale.</w:t>
      </w:r>
    </w:p>
    <w:p w14:paraId="755027E7" w14:textId="4D3BB56D" w:rsidR="00E970C6" w:rsidRPr="00E970C6" w:rsidRDefault="00E970C6" w:rsidP="00E970C6">
      <w:pPr>
        <w:spacing w:line="480" w:lineRule="auto"/>
        <w:rPr>
          <w:rFonts w:ascii="Times New Roman"/>
          <w:b/>
          <w:sz w:val="24"/>
          <w:szCs w:val="24"/>
        </w:rPr>
      </w:pPr>
    </w:p>
    <w:p w14:paraId="3820A268" w14:textId="52F3358A" w:rsidR="00750F72" w:rsidRDefault="00750F72" w:rsidP="00EE2A1D">
      <w:pPr>
        <w:spacing w:line="480" w:lineRule="auto"/>
        <w:jc w:val="both"/>
        <w:rPr>
          <w:rFonts w:ascii="Times New Roman"/>
          <w:b/>
          <w:sz w:val="24"/>
          <w:szCs w:val="24"/>
          <w:lang w:val="de-DE"/>
        </w:rPr>
      </w:pPr>
      <w:r>
        <w:rPr>
          <w:b/>
          <w:noProof/>
        </w:rPr>
        <w:lastRenderedPageBreak/>
        <w:drawing>
          <wp:inline distT="0" distB="0" distL="0" distR="0" wp14:anchorId="34432966" wp14:editId="13986676">
            <wp:extent cx="4243705" cy="4700905"/>
            <wp:effectExtent l="0" t="0" r="0" b="0"/>
            <wp:docPr id="2" name="Grafik 2" descr="C:\Users\Geißler\AppData\Local\Microsoft\Windows\INetCache\Content.Word\infiltratio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eißler\AppData\Local\Microsoft\Windows\INetCache\Content.Word\infiltration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705" cy="470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9FF90" w14:textId="5A760396" w:rsidR="00750F72" w:rsidRPr="00640246" w:rsidRDefault="00750F72" w:rsidP="00750F72">
      <w:pPr>
        <w:spacing w:line="480" w:lineRule="auto"/>
        <w:rPr>
          <w:rFonts w:ascii="Times New Roman"/>
          <w:b/>
          <w:sz w:val="24"/>
          <w:szCs w:val="24"/>
        </w:rPr>
      </w:pPr>
      <w:r w:rsidRPr="00640246">
        <w:rPr>
          <w:rFonts w:ascii="Times New Roman"/>
          <w:b/>
          <w:sz w:val="24"/>
          <w:szCs w:val="24"/>
        </w:rPr>
        <w:t xml:space="preserve">Supplementary Fig. </w:t>
      </w:r>
      <w:r w:rsidR="005C2DC7" w:rsidRPr="006A44F3">
        <w:rPr>
          <w:rFonts w:ascii="Times New Roman"/>
          <w:b/>
          <w:sz w:val="24"/>
          <w:szCs w:val="24"/>
        </w:rPr>
        <w:t>3</w:t>
      </w:r>
      <w:r w:rsidRPr="00AC32AC">
        <w:rPr>
          <w:rFonts w:ascii="Times New Roman"/>
          <w:sz w:val="24"/>
          <w:szCs w:val="24"/>
        </w:rPr>
        <w:t xml:space="preserve"> </w:t>
      </w:r>
      <w:r w:rsidRPr="006A44F3">
        <w:rPr>
          <w:rFonts w:ascii="Times New Roman" w:eastAsiaTheme="minorEastAsia"/>
          <w:b/>
          <w:bCs/>
          <w:sz w:val="24"/>
          <w:szCs w:val="24"/>
        </w:rPr>
        <w:t>(a)</w:t>
      </w:r>
      <w:r w:rsidRPr="00AC32AC">
        <w:rPr>
          <w:rFonts w:ascii="Times New Roman" w:eastAsiaTheme="minorEastAsia"/>
          <w:bCs/>
          <w:sz w:val="24"/>
          <w:szCs w:val="24"/>
        </w:rPr>
        <w:t xml:space="preserve"> </w:t>
      </w:r>
      <w:r w:rsidRPr="00AC32AC">
        <w:rPr>
          <w:rFonts w:ascii="Times New Roman" w:eastAsiaTheme="minorEastAsia"/>
          <w:sz w:val="24"/>
          <w:szCs w:val="24"/>
        </w:rPr>
        <w:t xml:space="preserve">Infiltration scheme of the upper six leaves (1a, 1b, 2a, 2b, 3a, 3b) of four-week-old </w:t>
      </w:r>
      <w:r w:rsidRPr="00AC32AC">
        <w:rPr>
          <w:rFonts w:ascii="Times New Roman" w:eastAsiaTheme="minorEastAsia"/>
          <w:i/>
          <w:sz w:val="24"/>
          <w:szCs w:val="24"/>
        </w:rPr>
        <w:t>N. cataria</w:t>
      </w:r>
      <w:r w:rsidRPr="00AC32AC">
        <w:rPr>
          <w:rFonts w:ascii="Times New Roman" w:eastAsiaTheme="minorEastAsia"/>
          <w:sz w:val="24"/>
          <w:szCs w:val="24"/>
        </w:rPr>
        <w:t xml:space="preserve"> plants.</w:t>
      </w:r>
      <w:r w:rsidR="003D634F">
        <w:rPr>
          <w:rFonts w:ascii="Times New Roman" w:eastAsiaTheme="minorEastAsia"/>
          <w:sz w:val="24"/>
          <w:szCs w:val="24"/>
        </w:rPr>
        <w:t xml:space="preserve"> To compare effects of infiltration with agrobacteria solution, individual leaves have been inspected visually. Four individual leaves are depicted in</w:t>
      </w:r>
      <w:r w:rsidRPr="00AC32AC">
        <w:rPr>
          <w:rFonts w:ascii="Times New Roman" w:eastAsiaTheme="minorEastAsia"/>
          <w:sz w:val="24"/>
          <w:szCs w:val="24"/>
        </w:rPr>
        <w:t xml:space="preserve"> </w:t>
      </w:r>
      <w:r w:rsidRPr="006A44F3">
        <w:rPr>
          <w:rFonts w:ascii="Times New Roman" w:eastAsiaTheme="minorEastAsia"/>
          <w:b/>
          <w:sz w:val="24"/>
          <w:szCs w:val="24"/>
        </w:rPr>
        <w:t>(b)</w:t>
      </w:r>
      <w:r w:rsidR="003D634F">
        <w:rPr>
          <w:rFonts w:ascii="Times New Roman" w:eastAsiaTheme="minorEastAsia"/>
          <w:sz w:val="24"/>
          <w:szCs w:val="24"/>
        </w:rPr>
        <w:t xml:space="preserve"> </w:t>
      </w:r>
      <w:r w:rsidRPr="00AC32AC">
        <w:rPr>
          <w:rFonts w:ascii="Times New Roman" w:eastAsiaTheme="minorEastAsia"/>
          <w:sz w:val="24"/>
          <w:szCs w:val="24"/>
        </w:rPr>
        <w:t>show</w:t>
      </w:r>
      <w:r w:rsidR="003D634F">
        <w:rPr>
          <w:rFonts w:ascii="Times New Roman" w:eastAsiaTheme="minorEastAsia"/>
          <w:sz w:val="24"/>
          <w:szCs w:val="24"/>
        </w:rPr>
        <w:t>ing</w:t>
      </w:r>
      <w:r w:rsidR="00DA3AC9" w:rsidRPr="00AC32AC">
        <w:rPr>
          <w:rFonts w:ascii="Times New Roman" w:eastAsiaTheme="minorEastAsia"/>
          <w:sz w:val="24"/>
          <w:szCs w:val="24"/>
        </w:rPr>
        <w:t xml:space="preserve"> very little</w:t>
      </w:r>
      <w:r w:rsidRPr="00AC32AC">
        <w:rPr>
          <w:rFonts w:ascii="Times New Roman" w:eastAsiaTheme="minorEastAsia"/>
          <w:sz w:val="24"/>
          <w:szCs w:val="24"/>
        </w:rPr>
        <w:t xml:space="preserve"> necrosis</w:t>
      </w:r>
      <w:r w:rsidR="003D634F">
        <w:rPr>
          <w:rFonts w:ascii="Times New Roman" w:eastAsiaTheme="minorEastAsia"/>
          <w:sz w:val="24"/>
          <w:szCs w:val="24"/>
        </w:rPr>
        <w:t xml:space="preserve">. For comparison, also four leaves are shown </w:t>
      </w:r>
      <w:r w:rsidR="003D634F" w:rsidRPr="006A44F3">
        <w:rPr>
          <w:rFonts w:ascii="Times New Roman" w:eastAsiaTheme="minorEastAsia"/>
          <w:b/>
          <w:sz w:val="24"/>
          <w:szCs w:val="24"/>
        </w:rPr>
        <w:t>(c)</w:t>
      </w:r>
      <w:r w:rsidRPr="00AC32AC">
        <w:rPr>
          <w:rFonts w:ascii="Times New Roman" w:eastAsiaTheme="minorEastAsia"/>
          <w:sz w:val="24"/>
          <w:szCs w:val="24"/>
        </w:rPr>
        <w:t xml:space="preserve"> </w:t>
      </w:r>
      <w:r w:rsidR="003D634F">
        <w:rPr>
          <w:rFonts w:ascii="Times New Roman" w:eastAsiaTheme="minorEastAsia"/>
          <w:sz w:val="24"/>
          <w:szCs w:val="24"/>
        </w:rPr>
        <w:t>which did not underwent the infiltration procedure</w:t>
      </w:r>
      <w:r w:rsidRPr="00AC32AC">
        <w:rPr>
          <w:rFonts w:ascii="Times New Roman" w:eastAsiaTheme="minorEastAsia"/>
          <w:sz w:val="24"/>
          <w:szCs w:val="24"/>
        </w:rPr>
        <w:t>.</w:t>
      </w:r>
    </w:p>
    <w:p w14:paraId="57034A38" w14:textId="77777777" w:rsidR="00750F72" w:rsidRPr="00750F72" w:rsidRDefault="00750F72" w:rsidP="00EE2A1D">
      <w:pPr>
        <w:spacing w:line="480" w:lineRule="auto"/>
        <w:jc w:val="both"/>
        <w:rPr>
          <w:rFonts w:ascii="Times New Roman"/>
          <w:b/>
          <w:sz w:val="24"/>
          <w:szCs w:val="24"/>
        </w:rPr>
      </w:pPr>
    </w:p>
    <w:p w14:paraId="32794C69" w14:textId="0407E8D1" w:rsidR="00461651" w:rsidRDefault="00043B0D" w:rsidP="00EE2A1D">
      <w:pPr>
        <w:spacing w:line="480" w:lineRule="auto"/>
        <w:jc w:val="both"/>
        <w:rPr>
          <w:rFonts w:ascii="Times New Roman"/>
          <w:sz w:val="24"/>
          <w:szCs w:val="24"/>
          <w:lang w:val="de-DE"/>
        </w:rPr>
      </w:pPr>
      <w:r>
        <w:rPr>
          <w:rFonts w:ascii="Times New Roman"/>
          <w:noProof/>
          <w:sz w:val="24"/>
          <w:szCs w:val="24"/>
          <w:lang w:val="de-DE"/>
        </w:rPr>
        <w:lastRenderedPageBreak/>
        <w:drawing>
          <wp:inline distT="0" distB="0" distL="0" distR="0" wp14:anchorId="215D32D3" wp14:editId="3E7B4A68">
            <wp:extent cx="5588000" cy="4617097"/>
            <wp:effectExtent l="0" t="0" r="0" b="5715"/>
            <wp:docPr id="1021415424" name="Grafik 2" descr="Ein Bild, das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415424" name="Grafik 2" descr="Ein Bild, das Screenshot enthält.&#10;&#10;Automatisch generierte Beschreibu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2" r="22272"/>
                    <a:stretch/>
                  </pic:blipFill>
                  <pic:spPr bwMode="auto">
                    <a:xfrm>
                      <a:off x="0" y="0"/>
                      <a:ext cx="5603506" cy="4629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7F923E" w14:textId="318FDC6E" w:rsidR="00477123" w:rsidRDefault="00477123" w:rsidP="00477123">
      <w:pPr>
        <w:spacing w:line="480" w:lineRule="auto"/>
        <w:rPr>
          <w:rFonts w:ascii="Times New Roman"/>
          <w:sz w:val="24"/>
          <w:szCs w:val="24"/>
        </w:rPr>
      </w:pPr>
      <w:r w:rsidRPr="0059428A">
        <w:rPr>
          <w:rFonts w:ascii="Times New Roman"/>
          <w:b/>
          <w:sz w:val="24"/>
          <w:szCs w:val="24"/>
        </w:rPr>
        <w:t xml:space="preserve">Supplementary Fig. </w:t>
      </w:r>
      <w:r w:rsidR="005C2DC7">
        <w:rPr>
          <w:rFonts w:ascii="Times New Roman"/>
          <w:b/>
          <w:sz w:val="24"/>
          <w:szCs w:val="24"/>
        </w:rPr>
        <w:t>4</w:t>
      </w:r>
      <w:r w:rsidRPr="0059428A">
        <w:rPr>
          <w:rFonts w:ascii="Times New Roman"/>
          <w:b/>
          <w:sz w:val="24"/>
          <w:szCs w:val="24"/>
        </w:rPr>
        <w:t xml:space="preserve"> </w:t>
      </w:r>
      <w:r>
        <w:rPr>
          <w:rFonts w:ascii="Times New Roman"/>
          <w:sz w:val="24"/>
          <w:szCs w:val="24"/>
        </w:rPr>
        <w:t xml:space="preserve">Fluorescence microscopy of </w:t>
      </w:r>
      <w:r w:rsidRPr="00477123">
        <w:rPr>
          <w:rFonts w:ascii="Times New Roman"/>
          <w:i/>
          <w:sz w:val="24"/>
          <w:szCs w:val="24"/>
        </w:rPr>
        <w:t>N. cataria</w:t>
      </w:r>
      <w:r>
        <w:rPr>
          <w:rFonts w:ascii="Times New Roman"/>
          <w:sz w:val="24"/>
          <w:szCs w:val="24"/>
        </w:rPr>
        <w:t xml:space="preserve"> variety ‘Citriodora’ and ‘1000’ and </w:t>
      </w:r>
      <w:r w:rsidRPr="00477123">
        <w:rPr>
          <w:rFonts w:ascii="Times New Roman"/>
          <w:i/>
          <w:sz w:val="24"/>
          <w:szCs w:val="24"/>
        </w:rPr>
        <w:t>N. benthamiana</w:t>
      </w:r>
      <w:r>
        <w:rPr>
          <w:rFonts w:ascii="Times New Roman"/>
          <w:sz w:val="24"/>
          <w:szCs w:val="24"/>
        </w:rPr>
        <w:t xml:space="preserve"> plants expressing </w:t>
      </w:r>
      <w:proofErr w:type="gramStart"/>
      <w:r w:rsidR="006736AF" w:rsidRPr="006736AF">
        <w:rPr>
          <w:rFonts w:ascii="Times New Roman"/>
          <w:i/>
          <w:sz w:val="24"/>
          <w:szCs w:val="24"/>
        </w:rPr>
        <w:t>gfp:</w:t>
      </w:r>
      <w:r w:rsidR="00C770F3" w:rsidRPr="00C770F3">
        <w:rPr>
          <w:rFonts w:ascii="Times New Roman"/>
          <w:i/>
          <w:sz w:val="24"/>
          <w:szCs w:val="24"/>
        </w:rPr>
        <w:t>licBM</w:t>
      </w:r>
      <w:proofErr w:type="gramEnd"/>
      <w:r w:rsidR="00C770F3" w:rsidRPr="00C770F3">
        <w:rPr>
          <w:rFonts w:ascii="Times New Roman"/>
          <w:i/>
          <w:sz w:val="24"/>
          <w:szCs w:val="24"/>
        </w:rPr>
        <w:t>3</w:t>
      </w:r>
      <w:r w:rsidR="003A546C">
        <w:rPr>
          <w:rFonts w:ascii="Times New Roman"/>
          <w:i/>
          <w:sz w:val="24"/>
          <w:szCs w:val="24"/>
        </w:rPr>
        <w:t>+P19</w:t>
      </w:r>
      <w:r w:rsidR="006736AF">
        <w:rPr>
          <w:rFonts w:ascii="Times New Roman"/>
          <w:sz w:val="24"/>
          <w:szCs w:val="24"/>
        </w:rPr>
        <w:t xml:space="preserve">. </w:t>
      </w:r>
      <w:r w:rsidR="00D65010">
        <w:rPr>
          <w:rFonts w:ascii="Times New Roman"/>
          <w:sz w:val="24"/>
          <w:szCs w:val="24"/>
        </w:rPr>
        <w:t xml:space="preserve">Depicted is a small section of a leaf surface, four days post infiltration. GFP-expression can be observed in epidermal cells. As a control (C), plants were infiltrated with Agrobacteria </w:t>
      </w:r>
      <w:proofErr w:type="spellStart"/>
      <w:r w:rsidR="00D65010">
        <w:rPr>
          <w:rFonts w:ascii="Times New Roman"/>
          <w:sz w:val="24"/>
          <w:szCs w:val="24"/>
        </w:rPr>
        <w:t>harbouring</w:t>
      </w:r>
      <w:proofErr w:type="spellEnd"/>
      <w:r w:rsidR="00D65010">
        <w:rPr>
          <w:rFonts w:ascii="Times New Roman"/>
          <w:sz w:val="24"/>
          <w:szCs w:val="24"/>
        </w:rPr>
        <w:t xml:space="preserve"> no expression plasmid, showing no fluorescence at all. </w:t>
      </w:r>
    </w:p>
    <w:p w14:paraId="29F5EA45" w14:textId="2321F602" w:rsidR="00527741" w:rsidRDefault="00527741" w:rsidP="00477123">
      <w:pPr>
        <w:spacing w:line="480" w:lineRule="auto"/>
        <w:rPr>
          <w:rFonts w:ascii="Times New Roman"/>
          <w:sz w:val="24"/>
          <w:szCs w:val="24"/>
        </w:rPr>
      </w:pPr>
    </w:p>
    <w:p w14:paraId="11492938" w14:textId="77777777" w:rsidR="006A44F3" w:rsidRDefault="006A44F3" w:rsidP="00477123">
      <w:pPr>
        <w:spacing w:line="480" w:lineRule="auto"/>
        <w:rPr>
          <w:rFonts w:ascii="Times New Roman"/>
          <w:sz w:val="24"/>
          <w:szCs w:val="24"/>
        </w:rPr>
      </w:pPr>
    </w:p>
    <w:p w14:paraId="3EBEFA46" w14:textId="77777777" w:rsidR="006A44F3" w:rsidRDefault="006A44F3" w:rsidP="00477123">
      <w:pPr>
        <w:spacing w:line="480" w:lineRule="auto"/>
        <w:rPr>
          <w:rFonts w:ascii="Times New Roman"/>
          <w:sz w:val="24"/>
          <w:szCs w:val="24"/>
        </w:rPr>
      </w:pPr>
    </w:p>
    <w:p w14:paraId="3F941A5C" w14:textId="77777777" w:rsidR="006A44F3" w:rsidRDefault="006A44F3" w:rsidP="00477123">
      <w:pPr>
        <w:spacing w:line="480" w:lineRule="auto"/>
        <w:rPr>
          <w:rFonts w:ascii="Times New Roman"/>
          <w:sz w:val="24"/>
          <w:szCs w:val="24"/>
        </w:rPr>
      </w:pPr>
    </w:p>
    <w:p w14:paraId="2FC4077A" w14:textId="77777777" w:rsidR="006A44F3" w:rsidRDefault="006A44F3" w:rsidP="00477123">
      <w:pPr>
        <w:spacing w:line="480" w:lineRule="auto"/>
        <w:rPr>
          <w:rFonts w:ascii="Times New Roman"/>
          <w:sz w:val="24"/>
          <w:szCs w:val="24"/>
        </w:rPr>
      </w:pPr>
    </w:p>
    <w:p w14:paraId="0E5F94D0" w14:textId="77777777" w:rsidR="006A44F3" w:rsidRDefault="006A44F3" w:rsidP="00477123">
      <w:pPr>
        <w:spacing w:line="480" w:lineRule="auto"/>
        <w:rPr>
          <w:rFonts w:ascii="Times New Roman"/>
          <w:sz w:val="24"/>
          <w:szCs w:val="24"/>
        </w:rPr>
      </w:pPr>
    </w:p>
    <w:p w14:paraId="029C8AF4" w14:textId="77777777" w:rsidR="00461651" w:rsidRDefault="00461651" w:rsidP="00EE2A1D">
      <w:pPr>
        <w:spacing w:line="480" w:lineRule="auto"/>
        <w:jc w:val="both"/>
        <w:rPr>
          <w:rFonts w:ascii="Times New Roman"/>
          <w:sz w:val="24"/>
          <w:szCs w:val="24"/>
        </w:rPr>
      </w:pPr>
    </w:p>
    <w:p w14:paraId="523CD380" w14:textId="77777777" w:rsidR="006A44F3" w:rsidRDefault="006A44F3" w:rsidP="00EE2A1D">
      <w:pPr>
        <w:spacing w:line="480" w:lineRule="auto"/>
        <w:jc w:val="both"/>
        <w:rPr>
          <w:rFonts w:ascii="Times New Roman"/>
          <w:sz w:val="24"/>
          <w:szCs w:val="24"/>
        </w:rPr>
      </w:pPr>
    </w:p>
    <w:p w14:paraId="028AC140" w14:textId="77777777" w:rsidR="006A44F3" w:rsidRPr="00477123" w:rsidRDefault="006A44F3" w:rsidP="00EE2A1D">
      <w:pPr>
        <w:spacing w:line="480" w:lineRule="auto"/>
        <w:jc w:val="both"/>
        <w:rPr>
          <w:rFonts w:ascii="Times New Roman"/>
          <w:b/>
          <w:sz w:val="24"/>
          <w:szCs w:val="24"/>
        </w:rPr>
      </w:pPr>
    </w:p>
    <w:p w14:paraId="4D709D59" w14:textId="249D57E2" w:rsidR="00EE2A1D" w:rsidRPr="009B5AB4" w:rsidRDefault="00EE2A1D" w:rsidP="00EE2A1D">
      <w:pPr>
        <w:spacing w:line="480" w:lineRule="auto"/>
        <w:jc w:val="both"/>
        <w:rPr>
          <w:rFonts w:ascii="Times New Roman"/>
          <w:b/>
          <w:sz w:val="24"/>
          <w:szCs w:val="24"/>
        </w:rPr>
      </w:pPr>
      <w:r w:rsidRPr="009B5AB4">
        <w:rPr>
          <w:rFonts w:ascii="Times New Roman"/>
          <w:b/>
          <w:sz w:val="24"/>
          <w:szCs w:val="24"/>
        </w:rPr>
        <w:t>Additional information</w:t>
      </w:r>
    </w:p>
    <w:p w14:paraId="76D6AB16" w14:textId="15A86461" w:rsidR="00EE2A1D" w:rsidRPr="00677C06" w:rsidRDefault="000F2D15" w:rsidP="00EE2A1D">
      <w:pPr>
        <w:spacing w:line="480" w:lineRule="auto"/>
        <w:jc w:val="both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sz w:val="24"/>
          <w:szCs w:val="24"/>
        </w:rPr>
        <w:t>Cloning</w:t>
      </w:r>
      <w:r w:rsidR="00EE2A1D" w:rsidRPr="00CF3C79">
        <w:rPr>
          <w:rFonts w:ascii="Times New Roman"/>
          <w:b/>
          <w:sz w:val="24"/>
          <w:szCs w:val="24"/>
        </w:rPr>
        <w:t xml:space="preserve"> of </w:t>
      </w:r>
      <w:r w:rsidR="00842F64">
        <w:rPr>
          <w:rFonts w:ascii="Times New Roman"/>
          <w:b/>
          <w:sz w:val="24"/>
          <w:szCs w:val="24"/>
        </w:rPr>
        <w:t>genes</w:t>
      </w:r>
      <w:r w:rsidR="00EE2A1D" w:rsidRPr="00CF3C79">
        <w:rPr>
          <w:rFonts w:ascii="Times New Roman"/>
          <w:b/>
          <w:sz w:val="24"/>
          <w:szCs w:val="24"/>
        </w:rPr>
        <w:t xml:space="preserve"> and generation of </w:t>
      </w:r>
      <w:r w:rsidR="00EE2A1D" w:rsidRPr="00842F64">
        <w:rPr>
          <w:rFonts w:ascii="Times New Roman"/>
          <w:b/>
          <w:i/>
          <w:sz w:val="24"/>
          <w:szCs w:val="24"/>
        </w:rPr>
        <w:t>A. tumefaciens</w:t>
      </w:r>
      <w:r w:rsidR="00EE2A1D" w:rsidRPr="00CF3C79">
        <w:rPr>
          <w:rFonts w:ascii="Times New Roman"/>
          <w:b/>
          <w:sz w:val="24"/>
          <w:szCs w:val="24"/>
        </w:rPr>
        <w:t xml:space="preserve"> EHA105 </w:t>
      </w:r>
      <w:r w:rsidR="00677C06">
        <w:rPr>
          <w:rFonts w:ascii="Times New Roman"/>
          <w:b/>
          <w:sz w:val="24"/>
          <w:szCs w:val="24"/>
        </w:rPr>
        <w:t xml:space="preserve">and GV3101 </w:t>
      </w:r>
      <w:r w:rsidR="00EE2A1D" w:rsidRPr="00CF3C79">
        <w:rPr>
          <w:rFonts w:ascii="Times New Roman"/>
          <w:b/>
          <w:sz w:val="24"/>
          <w:szCs w:val="24"/>
        </w:rPr>
        <w:t xml:space="preserve">for transient transformation of </w:t>
      </w:r>
      <w:r w:rsidR="00677C06" w:rsidRPr="00677C06">
        <w:rPr>
          <w:rFonts w:ascii="Times New Roman"/>
          <w:b/>
          <w:i/>
          <w:sz w:val="24"/>
          <w:szCs w:val="24"/>
        </w:rPr>
        <w:t>N. cataria</w:t>
      </w:r>
      <w:r w:rsidR="00677C06">
        <w:rPr>
          <w:rFonts w:ascii="Times New Roman"/>
          <w:b/>
          <w:sz w:val="24"/>
          <w:szCs w:val="24"/>
        </w:rPr>
        <w:t xml:space="preserve"> and </w:t>
      </w:r>
      <w:r w:rsidR="00EE2A1D" w:rsidRPr="00CF3C79">
        <w:rPr>
          <w:rFonts w:ascii="Times New Roman"/>
          <w:b/>
          <w:i/>
          <w:sz w:val="24"/>
          <w:szCs w:val="24"/>
        </w:rPr>
        <w:t>N. benthamiana</w:t>
      </w:r>
      <w:r w:rsidR="00677C06">
        <w:rPr>
          <w:rFonts w:ascii="Times New Roman"/>
          <w:b/>
          <w:i/>
          <w:sz w:val="24"/>
          <w:szCs w:val="24"/>
        </w:rPr>
        <w:t xml:space="preserve"> </w:t>
      </w:r>
      <w:r w:rsidR="00677C06">
        <w:rPr>
          <w:rFonts w:ascii="Times New Roman"/>
          <w:b/>
          <w:sz w:val="24"/>
          <w:szCs w:val="24"/>
        </w:rPr>
        <w:t>plants</w:t>
      </w:r>
    </w:p>
    <w:p w14:paraId="2591D5FC" w14:textId="68E76CE3" w:rsidR="00715C33" w:rsidRDefault="00EE2A1D" w:rsidP="00EE2A1D">
      <w:pPr>
        <w:spacing w:line="480" w:lineRule="auto"/>
        <w:jc w:val="both"/>
        <w:rPr>
          <w:rFonts w:ascii="Times New Roman"/>
          <w:sz w:val="24"/>
          <w:szCs w:val="24"/>
        </w:rPr>
      </w:pPr>
      <w:r w:rsidRPr="00842F64">
        <w:rPr>
          <w:rFonts w:ascii="Times New Roman"/>
          <w:sz w:val="24"/>
          <w:szCs w:val="24"/>
        </w:rPr>
        <w:t xml:space="preserve">For introduction of </w:t>
      </w:r>
      <w:r w:rsidR="00842F64" w:rsidRPr="00842F64">
        <w:rPr>
          <w:rFonts w:ascii="Times New Roman"/>
          <w:sz w:val="24"/>
          <w:szCs w:val="24"/>
        </w:rPr>
        <w:t>relevant genes</w:t>
      </w:r>
      <w:r w:rsidRPr="00842F64">
        <w:rPr>
          <w:rFonts w:ascii="Times New Roman"/>
          <w:sz w:val="24"/>
          <w:szCs w:val="24"/>
        </w:rPr>
        <w:t xml:space="preserve"> into the </w:t>
      </w:r>
      <w:proofErr w:type="spellStart"/>
      <w:r w:rsidRPr="00842F64">
        <w:rPr>
          <w:rFonts w:ascii="Times New Roman"/>
          <w:sz w:val="24"/>
          <w:szCs w:val="24"/>
        </w:rPr>
        <w:t>GoldenBraid</w:t>
      </w:r>
      <w:proofErr w:type="spellEnd"/>
      <w:r w:rsidRPr="00842F64">
        <w:rPr>
          <w:rFonts w:ascii="Times New Roman"/>
          <w:sz w:val="24"/>
          <w:szCs w:val="24"/>
        </w:rPr>
        <w:t xml:space="preserve"> (GB) system,</w:t>
      </w:r>
      <w:r w:rsidR="00842F64" w:rsidRPr="00842F64">
        <w:rPr>
          <w:rFonts w:ascii="Times New Roman"/>
          <w:sz w:val="24"/>
          <w:szCs w:val="24"/>
        </w:rPr>
        <w:t xml:space="preserve"> GB-modified </w:t>
      </w:r>
      <w:r w:rsidR="00842F64" w:rsidRPr="00842F64">
        <w:rPr>
          <w:rFonts w:ascii="Times New Roman"/>
          <w:sz w:val="24"/>
          <w:szCs w:val="24"/>
          <w:lang w:bidi="en-US"/>
        </w:rPr>
        <w:t>genes encoding for acyl−activating enzyme 1 (AAE1),</w:t>
      </w:r>
      <w:r w:rsidR="00842F64">
        <w:rPr>
          <w:rFonts w:ascii="Times New Roman"/>
          <w:sz w:val="24"/>
          <w:szCs w:val="24"/>
          <w:lang w:bidi="en-US"/>
        </w:rPr>
        <w:t xml:space="preserve"> olivetol synthase (OLS</w:t>
      </w:r>
      <w:r w:rsidR="00842F64" w:rsidRPr="00842F64">
        <w:rPr>
          <w:rFonts w:ascii="Times New Roman"/>
          <w:sz w:val="24"/>
          <w:szCs w:val="24"/>
          <w:lang w:bidi="en-US"/>
        </w:rPr>
        <w:t xml:space="preserve">) and olivetolic acid cyclase (OAC) originating from </w:t>
      </w:r>
      <w:r w:rsidR="00842F64" w:rsidRPr="00842F64">
        <w:rPr>
          <w:rFonts w:ascii="Times New Roman"/>
          <w:i/>
          <w:sz w:val="24"/>
          <w:szCs w:val="24"/>
          <w:lang w:bidi="en-US"/>
        </w:rPr>
        <w:t>C. sativa</w:t>
      </w:r>
      <w:r w:rsidR="00842F64" w:rsidRPr="00842F64">
        <w:rPr>
          <w:rFonts w:ascii="Times New Roman"/>
          <w:sz w:val="24"/>
          <w:szCs w:val="24"/>
          <w:lang w:bidi="en-US"/>
        </w:rPr>
        <w:t xml:space="preserve"> were synthesized by Integrated DNA Technologies (Coralville, IA, USA)</w:t>
      </w:r>
      <w:r w:rsidRPr="009B5AB4">
        <w:rPr>
          <w:rFonts w:ascii="Times New Roman"/>
          <w:sz w:val="24"/>
          <w:szCs w:val="24"/>
        </w:rPr>
        <w:t xml:space="preserve">. The </w:t>
      </w:r>
      <w:proofErr w:type="spellStart"/>
      <w:r w:rsidRPr="009B5AB4">
        <w:rPr>
          <w:rFonts w:ascii="Times New Roman"/>
          <w:sz w:val="24"/>
          <w:szCs w:val="24"/>
        </w:rPr>
        <w:t>GoldenBraid</w:t>
      </w:r>
      <w:proofErr w:type="spellEnd"/>
      <w:r w:rsidRPr="009B5AB4">
        <w:rPr>
          <w:rFonts w:ascii="Times New Roman"/>
          <w:sz w:val="24"/>
          <w:szCs w:val="24"/>
        </w:rPr>
        <w:t xml:space="preserve"> assembly was then performed as described by </w:t>
      </w:r>
      <w:proofErr w:type="spellStart"/>
      <w:r w:rsidRPr="009B5AB4">
        <w:rPr>
          <w:rFonts w:ascii="Times New Roman"/>
          <w:sz w:val="24"/>
          <w:szCs w:val="24"/>
        </w:rPr>
        <w:t>Sarrion-Perdigones</w:t>
      </w:r>
      <w:proofErr w:type="spellEnd"/>
      <w:r w:rsidRPr="009B5AB4">
        <w:rPr>
          <w:rFonts w:ascii="Times New Roman"/>
          <w:sz w:val="24"/>
          <w:szCs w:val="24"/>
        </w:rPr>
        <w:t xml:space="preserve"> </w:t>
      </w:r>
      <w:r w:rsidRPr="00B17D9F">
        <w:rPr>
          <w:rFonts w:ascii="Times New Roman"/>
          <w:i/>
          <w:iCs/>
          <w:sz w:val="24"/>
          <w:szCs w:val="24"/>
        </w:rPr>
        <w:t>et al.</w:t>
      </w:r>
      <w:r w:rsidRPr="009B5AB4">
        <w:rPr>
          <w:rFonts w:ascii="Times New Roman"/>
          <w:sz w:val="24"/>
          <w:szCs w:val="24"/>
        </w:rPr>
        <w:t xml:space="preserve"> (2013). Afterwards, the reaction mixtures were transformed into chemically competent </w:t>
      </w:r>
      <w:r w:rsidRPr="009B5AB4">
        <w:rPr>
          <w:rFonts w:ascii="Times New Roman"/>
          <w:i/>
          <w:sz w:val="24"/>
          <w:szCs w:val="24"/>
        </w:rPr>
        <w:t>E. coli</w:t>
      </w:r>
      <w:r w:rsidRPr="009B5AB4">
        <w:rPr>
          <w:rFonts w:ascii="Times New Roman"/>
          <w:sz w:val="24"/>
          <w:szCs w:val="24"/>
        </w:rPr>
        <w:t xml:space="preserve"> TOP10 cells and positive clones were selected on solid medium. Subsequently, </w:t>
      </w:r>
      <w:r w:rsidR="00B17D9F">
        <w:rPr>
          <w:rFonts w:ascii="Times New Roman"/>
          <w:sz w:val="24"/>
          <w:szCs w:val="24"/>
        </w:rPr>
        <w:t>bacteria</w:t>
      </w:r>
      <w:r w:rsidRPr="009B5AB4">
        <w:rPr>
          <w:rFonts w:ascii="Times New Roman"/>
          <w:sz w:val="24"/>
          <w:szCs w:val="24"/>
        </w:rPr>
        <w:t xml:space="preserve"> were grown in liquid LB, supplemented with appropriate antibiotics and plasmid DNA was extracted by means of the </w:t>
      </w:r>
      <w:r w:rsidR="00470F0E" w:rsidRPr="00470F0E">
        <w:rPr>
          <w:rFonts w:ascii="Times New Roman"/>
          <w:sz w:val="24"/>
          <w:szCs w:val="24"/>
        </w:rPr>
        <w:t>Plasmid Miniprep Kit I (VWR I</w:t>
      </w:r>
      <w:r w:rsidR="00470F0E">
        <w:rPr>
          <w:rFonts w:ascii="Times New Roman"/>
          <w:sz w:val="24"/>
          <w:szCs w:val="24"/>
        </w:rPr>
        <w:t>nternational GmbH, Darmstadt, Germany)</w:t>
      </w:r>
      <w:r w:rsidRPr="009B5AB4">
        <w:rPr>
          <w:rFonts w:ascii="Times New Roman"/>
          <w:sz w:val="24"/>
          <w:szCs w:val="24"/>
        </w:rPr>
        <w:t xml:space="preserve">. All assemblies were verified by restriction analysis. The newly domesticated </w:t>
      </w:r>
      <w:r w:rsidR="00B17D9F">
        <w:rPr>
          <w:rFonts w:ascii="Times New Roman"/>
          <w:sz w:val="24"/>
          <w:szCs w:val="24"/>
        </w:rPr>
        <w:t>parts</w:t>
      </w:r>
      <w:r w:rsidRPr="009B5AB4">
        <w:rPr>
          <w:rFonts w:ascii="Times New Roman"/>
          <w:sz w:val="24"/>
          <w:szCs w:val="24"/>
        </w:rPr>
        <w:t xml:space="preserve"> were sequenced by Eurofins Genomics using M13 primers: M13 </w:t>
      </w:r>
      <w:proofErr w:type="spellStart"/>
      <w:r w:rsidRPr="009B5AB4">
        <w:rPr>
          <w:rFonts w:ascii="Times New Roman"/>
          <w:sz w:val="24"/>
          <w:szCs w:val="24"/>
        </w:rPr>
        <w:t>uni</w:t>
      </w:r>
      <w:proofErr w:type="spellEnd"/>
      <w:r w:rsidRPr="009B5AB4">
        <w:rPr>
          <w:rFonts w:ascii="Times New Roman"/>
          <w:sz w:val="24"/>
          <w:szCs w:val="24"/>
        </w:rPr>
        <w:t xml:space="preserve"> (-21), 5’-TGT AAA ACG </w:t>
      </w:r>
      <w:proofErr w:type="spellStart"/>
      <w:r w:rsidRPr="009B5AB4">
        <w:rPr>
          <w:rFonts w:ascii="Times New Roman"/>
          <w:sz w:val="24"/>
          <w:szCs w:val="24"/>
        </w:rPr>
        <w:t>ACG</w:t>
      </w:r>
      <w:proofErr w:type="spellEnd"/>
      <w:r w:rsidRPr="009B5AB4">
        <w:rPr>
          <w:rFonts w:ascii="Times New Roman"/>
          <w:sz w:val="24"/>
          <w:szCs w:val="24"/>
        </w:rPr>
        <w:t xml:space="preserve"> GCC AGT-3’ and M13 rev (-29), 5’-CAG GAA ACA GCT ATG ACC-3’. Finally, the desired </w:t>
      </w:r>
      <w:r w:rsidR="00842F64">
        <w:rPr>
          <w:rFonts w:ascii="Times New Roman"/>
          <w:sz w:val="24"/>
          <w:szCs w:val="24"/>
        </w:rPr>
        <w:t>Ω</w:t>
      </w:r>
      <w:r w:rsidRPr="009B5AB4">
        <w:rPr>
          <w:rFonts w:ascii="Times New Roman"/>
          <w:sz w:val="24"/>
          <w:szCs w:val="24"/>
        </w:rPr>
        <w:t>-level GB constructs were transformed into chemically competent</w:t>
      </w:r>
      <w:r w:rsidRPr="009B5AB4">
        <w:rPr>
          <w:rFonts w:ascii="Times New Roman"/>
          <w:i/>
          <w:sz w:val="24"/>
          <w:szCs w:val="24"/>
        </w:rPr>
        <w:t xml:space="preserve"> A. tumefaciens </w:t>
      </w:r>
      <w:r w:rsidRPr="009B5AB4">
        <w:rPr>
          <w:rFonts w:ascii="Times New Roman"/>
          <w:sz w:val="24"/>
          <w:szCs w:val="24"/>
        </w:rPr>
        <w:t xml:space="preserve">EHA105 </w:t>
      </w:r>
      <w:r w:rsidR="00842F64">
        <w:rPr>
          <w:rFonts w:ascii="Times New Roman"/>
          <w:sz w:val="24"/>
          <w:szCs w:val="24"/>
        </w:rPr>
        <w:t xml:space="preserve">or GV3101 </w:t>
      </w:r>
      <w:r w:rsidRPr="009B5AB4">
        <w:rPr>
          <w:rFonts w:ascii="Times New Roman"/>
          <w:sz w:val="24"/>
          <w:szCs w:val="24"/>
        </w:rPr>
        <w:t>cells and the transfer confirmed by colony PCR using primer pairs (p35S-Cf3, 5’-CCA CGT CTT CAA AGC AAG TGG-3’ and p35S-Cr4, 5’-TCC TCT CCA AAT GAA ATG AAC TTC C-3’) screening for the cauliflower mosaic virus 35S promoter (P35S).</w:t>
      </w:r>
    </w:p>
    <w:p w14:paraId="0314BE4B" w14:textId="77777777" w:rsidR="00715C33" w:rsidRDefault="00715C33" w:rsidP="00EE2A1D">
      <w:pPr>
        <w:spacing w:line="480" w:lineRule="auto"/>
        <w:jc w:val="both"/>
        <w:rPr>
          <w:rFonts w:ascii="Times New Roman"/>
          <w:sz w:val="24"/>
          <w:szCs w:val="24"/>
        </w:rPr>
      </w:pPr>
    </w:p>
    <w:p w14:paraId="7D1F1858" w14:textId="49B00FC5" w:rsidR="00C770F3" w:rsidRPr="00CF3C79" w:rsidRDefault="00C770F3" w:rsidP="00C770F3">
      <w:pPr>
        <w:spacing w:line="480" w:lineRule="auto"/>
        <w:jc w:val="both"/>
        <w:rPr>
          <w:rFonts w:ascii="Times New Roman"/>
          <w:b/>
          <w:sz w:val="24"/>
          <w:szCs w:val="24"/>
        </w:rPr>
      </w:pPr>
      <w:r>
        <w:rPr>
          <w:rFonts w:ascii="Times New Roman"/>
          <w:b/>
          <w:sz w:val="24"/>
          <w:szCs w:val="24"/>
        </w:rPr>
        <w:t>Fluorescence microscopy</w:t>
      </w:r>
    </w:p>
    <w:p w14:paraId="4CB3C3E6" w14:textId="20246F5F" w:rsidR="00252409" w:rsidRPr="00252409" w:rsidRDefault="00C01B00" w:rsidP="00EE2A1D">
      <w:pPr>
        <w:spacing w:line="480" w:lineRule="auto"/>
        <w:jc w:val="both"/>
        <w:rPr>
          <w:rFonts w:ascii="Times New Roman"/>
          <w:iCs/>
          <w:sz w:val="24"/>
          <w:szCs w:val="24"/>
        </w:rPr>
      </w:pPr>
      <w:r>
        <w:rPr>
          <w:rFonts w:ascii="Times New Roman"/>
          <w:iCs/>
          <w:sz w:val="24"/>
          <w:szCs w:val="24"/>
        </w:rPr>
        <w:t>Production</w:t>
      </w:r>
      <w:r w:rsidR="00C770F3" w:rsidRPr="009B5AB4">
        <w:rPr>
          <w:rFonts w:ascii="Times New Roman"/>
          <w:iCs/>
          <w:sz w:val="24"/>
          <w:szCs w:val="24"/>
        </w:rPr>
        <w:t xml:space="preserve"> of </w:t>
      </w:r>
      <w:r>
        <w:rPr>
          <w:rFonts w:ascii="Times New Roman"/>
          <w:iCs/>
          <w:sz w:val="24"/>
          <w:szCs w:val="24"/>
        </w:rPr>
        <w:t>G</w:t>
      </w:r>
      <w:r w:rsidR="00C770F3" w:rsidRPr="009B5AB4">
        <w:rPr>
          <w:rFonts w:ascii="Times New Roman"/>
          <w:iCs/>
          <w:sz w:val="24"/>
          <w:szCs w:val="24"/>
        </w:rPr>
        <w:t xml:space="preserve">FP-fused </w:t>
      </w:r>
      <w:r>
        <w:rPr>
          <w:rFonts w:ascii="Times New Roman"/>
          <w:iCs/>
          <w:sz w:val="24"/>
          <w:szCs w:val="24"/>
        </w:rPr>
        <w:t>LicBM3</w:t>
      </w:r>
      <w:r w:rsidR="00C770F3" w:rsidRPr="009B5AB4">
        <w:rPr>
          <w:rFonts w:ascii="Times New Roman"/>
          <w:iCs/>
          <w:sz w:val="24"/>
          <w:szCs w:val="24"/>
        </w:rPr>
        <w:t xml:space="preserve"> </w:t>
      </w:r>
      <w:r w:rsidR="00063944">
        <w:rPr>
          <w:rFonts w:ascii="Times New Roman"/>
          <w:iCs/>
          <w:sz w:val="24"/>
          <w:szCs w:val="24"/>
        </w:rPr>
        <w:t>in</w:t>
      </w:r>
      <w:r>
        <w:rPr>
          <w:rFonts w:ascii="Times New Roman"/>
          <w:iCs/>
          <w:sz w:val="24"/>
          <w:szCs w:val="24"/>
        </w:rPr>
        <w:t xml:space="preserve"> </w:t>
      </w:r>
      <w:r w:rsidRPr="00C01B00">
        <w:rPr>
          <w:rFonts w:ascii="Times New Roman"/>
          <w:i/>
          <w:iCs/>
          <w:sz w:val="24"/>
          <w:szCs w:val="24"/>
        </w:rPr>
        <w:t xml:space="preserve">N. cataria </w:t>
      </w:r>
      <w:r w:rsidR="00063944">
        <w:rPr>
          <w:rFonts w:ascii="Times New Roman"/>
          <w:iCs/>
          <w:sz w:val="24"/>
          <w:szCs w:val="24"/>
        </w:rPr>
        <w:t xml:space="preserve">and </w:t>
      </w:r>
      <w:r w:rsidR="00063944" w:rsidRPr="009B5AB4">
        <w:rPr>
          <w:rFonts w:ascii="Times New Roman"/>
          <w:i/>
          <w:iCs/>
          <w:sz w:val="24"/>
          <w:szCs w:val="24"/>
        </w:rPr>
        <w:t>N. benthamiana</w:t>
      </w:r>
      <w:r w:rsidR="00063944">
        <w:rPr>
          <w:rFonts w:ascii="Times New Roman"/>
          <w:iCs/>
          <w:sz w:val="24"/>
          <w:szCs w:val="24"/>
        </w:rPr>
        <w:t xml:space="preserve"> plants </w:t>
      </w:r>
      <w:r w:rsidR="00C770F3">
        <w:rPr>
          <w:rFonts w:ascii="Times New Roman"/>
          <w:iCs/>
          <w:sz w:val="24"/>
          <w:szCs w:val="24"/>
        </w:rPr>
        <w:t xml:space="preserve">was analyzed </w:t>
      </w:r>
      <w:r w:rsidR="00C770F3" w:rsidRPr="009B5AB4">
        <w:rPr>
          <w:rFonts w:ascii="Times New Roman"/>
          <w:iCs/>
          <w:sz w:val="24"/>
          <w:szCs w:val="24"/>
        </w:rPr>
        <w:t xml:space="preserve">using the </w:t>
      </w:r>
      <w:proofErr w:type="spellStart"/>
      <w:r>
        <w:rPr>
          <w:rFonts w:ascii="Times New Roman"/>
          <w:iCs/>
          <w:sz w:val="24"/>
          <w:szCs w:val="24"/>
        </w:rPr>
        <w:t>Axioskop</w:t>
      </w:r>
      <w:proofErr w:type="spellEnd"/>
      <w:r>
        <w:rPr>
          <w:rFonts w:ascii="Times New Roman"/>
          <w:iCs/>
          <w:sz w:val="24"/>
          <w:szCs w:val="24"/>
        </w:rPr>
        <w:t xml:space="preserve"> 40 </w:t>
      </w:r>
      <w:r w:rsidR="00C770F3" w:rsidRPr="009B5AB4">
        <w:rPr>
          <w:rFonts w:ascii="Times New Roman"/>
          <w:iCs/>
          <w:sz w:val="24"/>
          <w:szCs w:val="24"/>
        </w:rPr>
        <w:t>Microscope (</w:t>
      </w:r>
      <w:r>
        <w:rPr>
          <w:rFonts w:ascii="Times New Roman"/>
          <w:iCs/>
          <w:sz w:val="24"/>
          <w:szCs w:val="24"/>
        </w:rPr>
        <w:t>Zeiss</w:t>
      </w:r>
      <w:r w:rsidR="00C770F3" w:rsidRPr="009B5AB4">
        <w:rPr>
          <w:rFonts w:ascii="Times New Roman"/>
          <w:iCs/>
          <w:sz w:val="24"/>
          <w:szCs w:val="24"/>
        </w:rPr>
        <w:t xml:space="preserve">, </w:t>
      </w:r>
      <w:proofErr w:type="spellStart"/>
      <w:r w:rsidRPr="00C01B00">
        <w:rPr>
          <w:rFonts w:ascii="Times New Roman"/>
          <w:iCs/>
          <w:sz w:val="24"/>
          <w:szCs w:val="24"/>
        </w:rPr>
        <w:t>Oberkochen</w:t>
      </w:r>
      <w:proofErr w:type="spellEnd"/>
      <w:r w:rsidRPr="00C01B00">
        <w:rPr>
          <w:rFonts w:ascii="Times New Roman"/>
          <w:iCs/>
          <w:sz w:val="24"/>
          <w:szCs w:val="24"/>
        </w:rPr>
        <w:t>, Germany</w:t>
      </w:r>
      <w:r w:rsidR="00C770F3" w:rsidRPr="009B5AB4">
        <w:rPr>
          <w:rFonts w:ascii="Times New Roman"/>
          <w:iCs/>
          <w:sz w:val="24"/>
          <w:szCs w:val="24"/>
        </w:rPr>
        <w:t xml:space="preserve">). </w:t>
      </w:r>
    </w:p>
    <w:p w14:paraId="101A2F56" w14:textId="0E543342" w:rsidR="00EE2A1D" w:rsidRPr="00CF3C79" w:rsidRDefault="005E7666" w:rsidP="00EE2A1D">
      <w:pPr>
        <w:spacing w:line="480" w:lineRule="auto"/>
        <w:jc w:val="both"/>
        <w:rPr>
          <w:rFonts w:ascii="Times New Roman"/>
          <w:b/>
          <w:iCs/>
          <w:sz w:val="24"/>
          <w:szCs w:val="24"/>
        </w:rPr>
      </w:pPr>
      <w:r>
        <w:rPr>
          <w:rFonts w:ascii="Times New Roman"/>
          <w:b/>
          <w:iCs/>
          <w:sz w:val="24"/>
          <w:szCs w:val="24"/>
        </w:rPr>
        <w:t>P</w:t>
      </w:r>
      <w:r w:rsidR="00461651">
        <w:rPr>
          <w:rFonts w:ascii="Times New Roman"/>
          <w:b/>
          <w:iCs/>
          <w:sz w:val="24"/>
          <w:szCs w:val="24"/>
        </w:rPr>
        <w:t>reparation</w:t>
      </w:r>
      <w:r>
        <w:rPr>
          <w:rFonts w:ascii="Times New Roman"/>
          <w:b/>
          <w:iCs/>
          <w:sz w:val="24"/>
          <w:szCs w:val="24"/>
        </w:rPr>
        <w:t xml:space="preserve"> of volatiles</w:t>
      </w:r>
      <w:r w:rsidR="00461651">
        <w:rPr>
          <w:rFonts w:ascii="Times New Roman"/>
          <w:b/>
          <w:iCs/>
          <w:sz w:val="24"/>
          <w:szCs w:val="24"/>
        </w:rPr>
        <w:t xml:space="preserve"> and GC</w:t>
      </w:r>
      <w:r w:rsidR="00EE2A1D" w:rsidRPr="00CF3C79">
        <w:rPr>
          <w:rFonts w:ascii="Times New Roman"/>
          <w:b/>
          <w:sz w:val="24"/>
          <w:szCs w:val="24"/>
        </w:rPr>
        <w:t>–</w:t>
      </w:r>
      <w:r w:rsidR="00EE2A1D" w:rsidRPr="00CF3C79">
        <w:rPr>
          <w:rFonts w:ascii="Times New Roman"/>
          <w:b/>
          <w:iCs/>
          <w:sz w:val="24"/>
          <w:szCs w:val="24"/>
        </w:rPr>
        <w:t>MS parameters</w:t>
      </w:r>
    </w:p>
    <w:p w14:paraId="48850103" w14:textId="460E9522" w:rsidR="00EE2A1D" w:rsidRDefault="00BC1AE7" w:rsidP="00EE2A1D">
      <w:pPr>
        <w:spacing w:line="480" w:lineRule="auto"/>
        <w:jc w:val="both"/>
        <w:rPr>
          <w:rFonts w:ascii="Times New Roman"/>
          <w:iCs/>
          <w:sz w:val="24"/>
          <w:szCs w:val="24"/>
        </w:rPr>
      </w:pPr>
      <w:r w:rsidRPr="00BC1AE7">
        <w:rPr>
          <w:rFonts w:ascii="Times New Roman"/>
          <w:iCs/>
          <w:sz w:val="24"/>
          <w:szCs w:val="24"/>
        </w:rPr>
        <w:t xml:space="preserve">For the analysis of </w:t>
      </w:r>
      <w:r w:rsidR="00B17D9F">
        <w:rPr>
          <w:rFonts w:ascii="Times New Roman"/>
          <w:iCs/>
          <w:sz w:val="24"/>
          <w:szCs w:val="24"/>
        </w:rPr>
        <w:t>metabolites</w:t>
      </w:r>
      <w:r w:rsidRPr="00BC1AE7">
        <w:rPr>
          <w:rFonts w:ascii="Times New Roman"/>
          <w:iCs/>
          <w:sz w:val="24"/>
          <w:szCs w:val="24"/>
        </w:rPr>
        <w:t xml:space="preserve"> in </w:t>
      </w:r>
      <w:r w:rsidRPr="001B7684">
        <w:rPr>
          <w:rFonts w:ascii="Times New Roman"/>
          <w:i/>
          <w:iCs/>
          <w:sz w:val="24"/>
          <w:szCs w:val="24"/>
        </w:rPr>
        <w:t>N. cataria</w:t>
      </w:r>
      <w:r w:rsidRPr="00BC1AE7">
        <w:rPr>
          <w:rFonts w:ascii="Times New Roman"/>
          <w:iCs/>
          <w:sz w:val="24"/>
          <w:szCs w:val="24"/>
        </w:rPr>
        <w:t xml:space="preserve"> plant material, the compounds were extracted with dichloromethane (DCM, Carl Roth, Karlsruhe, Germany) and the obtained samples measured with the QP 2010 Ultra gas-chromatography mass-spectrometry system (Shimadzu, Duisburg, Germany). Aliquots of 100 mg of frozen, powdered material were extracted with 2 m</w:t>
      </w:r>
      <w:r w:rsidR="005E7666">
        <w:rPr>
          <w:rFonts w:ascii="Times New Roman"/>
          <w:iCs/>
          <w:sz w:val="24"/>
          <w:szCs w:val="24"/>
        </w:rPr>
        <w:t>l</w:t>
      </w:r>
      <w:r w:rsidRPr="00BC1AE7">
        <w:rPr>
          <w:rFonts w:ascii="Times New Roman"/>
          <w:iCs/>
          <w:sz w:val="24"/>
          <w:szCs w:val="24"/>
        </w:rPr>
        <w:t xml:space="preserve"> </w:t>
      </w:r>
      <w:r w:rsidR="005E7666">
        <w:rPr>
          <w:rFonts w:ascii="Times New Roman"/>
          <w:iCs/>
          <w:sz w:val="24"/>
          <w:szCs w:val="24"/>
        </w:rPr>
        <w:t xml:space="preserve">of </w:t>
      </w:r>
      <w:r w:rsidRPr="00BC1AE7">
        <w:rPr>
          <w:rFonts w:ascii="Times New Roman"/>
          <w:iCs/>
          <w:sz w:val="24"/>
          <w:szCs w:val="24"/>
        </w:rPr>
        <w:t>DCM. The extracts were shortly vortexed and sonicated for 10 min; filtration through a small glass column containing anhydrous Na</w:t>
      </w:r>
      <w:r w:rsidRPr="001B7684">
        <w:rPr>
          <w:rFonts w:ascii="Times New Roman"/>
          <w:iCs/>
          <w:sz w:val="24"/>
          <w:szCs w:val="24"/>
          <w:vertAlign w:val="subscript"/>
        </w:rPr>
        <w:t>2</w:t>
      </w:r>
      <w:r w:rsidRPr="00BC1AE7">
        <w:rPr>
          <w:rFonts w:ascii="Times New Roman"/>
          <w:iCs/>
          <w:sz w:val="24"/>
          <w:szCs w:val="24"/>
        </w:rPr>
        <w:t>SO</w:t>
      </w:r>
      <w:r w:rsidRPr="001B7684">
        <w:rPr>
          <w:rFonts w:ascii="Times New Roman"/>
          <w:iCs/>
          <w:sz w:val="24"/>
          <w:szCs w:val="24"/>
          <w:vertAlign w:val="subscript"/>
        </w:rPr>
        <w:t>4</w:t>
      </w:r>
      <w:r w:rsidRPr="00BC1AE7">
        <w:rPr>
          <w:rFonts w:ascii="Times New Roman"/>
          <w:iCs/>
          <w:sz w:val="24"/>
          <w:szCs w:val="24"/>
        </w:rPr>
        <w:t xml:space="preserve"> followed. The eluates were evaporated under a flow of nitrogen and resuspended in 100 </w:t>
      </w:r>
      <w:proofErr w:type="spellStart"/>
      <w:r w:rsidRPr="00BC1AE7">
        <w:rPr>
          <w:rFonts w:ascii="Times New Roman"/>
          <w:iCs/>
          <w:sz w:val="24"/>
          <w:szCs w:val="24"/>
        </w:rPr>
        <w:t>μ</w:t>
      </w:r>
      <w:r w:rsidR="001B7684">
        <w:rPr>
          <w:rFonts w:ascii="Times New Roman"/>
          <w:iCs/>
          <w:sz w:val="24"/>
          <w:szCs w:val="24"/>
        </w:rPr>
        <w:t>l</w:t>
      </w:r>
      <w:proofErr w:type="spellEnd"/>
      <w:r w:rsidRPr="00BC1AE7">
        <w:rPr>
          <w:rFonts w:ascii="Times New Roman"/>
          <w:iCs/>
          <w:sz w:val="24"/>
          <w:szCs w:val="24"/>
        </w:rPr>
        <w:t xml:space="preserve"> of n</w:t>
      </w:r>
      <w:r w:rsidR="001B7684">
        <w:rPr>
          <w:rFonts w:ascii="Times New Roman"/>
          <w:iCs/>
          <w:sz w:val="24"/>
          <w:szCs w:val="24"/>
        </w:rPr>
        <w:t>-</w:t>
      </w:r>
      <w:r w:rsidRPr="00BC1AE7">
        <w:rPr>
          <w:rFonts w:ascii="Times New Roman"/>
          <w:iCs/>
          <w:sz w:val="24"/>
          <w:szCs w:val="24"/>
        </w:rPr>
        <w:t>hexane (Carl Roth, Karls</w:t>
      </w:r>
      <w:r w:rsidR="001B7684">
        <w:rPr>
          <w:rFonts w:ascii="Times New Roman"/>
          <w:iCs/>
          <w:sz w:val="24"/>
          <w:szCs w:val="24"/>
        </w:rPr>
        <w:t>ruhe, Germany). Subsequently, 1 </w:t>
      </w:r>
      <w:proofErr w:type="spellStart"/>
      <w:r w:rsidRPr="00BC1AE7">
        <w:rPr>
          <w:rFonts w:ascii="Times New Roman"/>
          <w:iCs/>
          <w:sz w:val="24"/>
          <w:szCs w:val="24"/>
        </w:rPr>
        <w:t>μ</w:t>
      </w:r>
      <w:r w:rsidR="001B7684">
        <w:rPr>
          <w:rFonts w:ascii="Times New Roman"/>
          <w:iCs/>
          <w:sz w:val="24"/>
          <w:szCs w:val="24"/>
        </w:rPr>
        <w:t>l</w:t>
      </w:r>
      <w:proofErr w:type="spellEnd"/>
      <w:r w:rsidRPr="00BC1AE7">
        <w:rPr>
          <w:rFonts w:ascii="Times New Roman"/>
          <w:iCs/>
          <w:sz w:val="24"/>
          <w:szCs w:val="24"/>
        </w:rPr>
        <w:t xml:space="preserve"> of each extract was injected onto the analytical GC–MS column (DB-5MS, 30 m 0.25 mm ID, 0.25 </w:t>
      </w:r>
      <w:proofErr w:type="spellStart"/>
      <w:r w:rsidRPr="00BC1AE7">
        <w:rPr>
          <w:rFonts w:ascii="Times New Roman"/>
          <w:iCs/>
          <w:sz w:val="24"/>
          <w:szCs w:val="24"/>
        </w:rPr>
        <w:t>μm</w:t>
      </w:r>
      <w:proofErr w:type="spellEnd"/>
      <w:r w:rsidRPr="00BC1AE7">
        <w:rPr>
          <w:rFonts w:ascii="Times New Roman"/>
          <w:iCs/>
          <w:sz w:val="24"/>
          <w:szCs w:val="24"/>
        </w:rPr>
        <w:t xml:space="preserve"> film thickness; Phenomenex, Aschaffenburg, Germany). Hydrogen was used as the carrier gas with a flow rate of 3.07 m</w:t>
      </w:r>
      <w:r w:rsidR="001B7684">
        <w:rPr>
          <w:rFonts w:ascii="Times New Roman"/>
          <w:iCs/>
          <w:sz w:val="24"/>
          <w:szCs w:val="24"/>
        </w:rPr>
        <w:t xml:space="preserve">l </w:t>
      </w:r>
      <w:r w:rsidRPr="00BC1AE7">
        <w:rPr>
          <w:rFonts w:ascii="Times New Roman"/>
          <w:iCs/>
          <w:sz w:val="24"/>
          <w:szCs w:val="24"/>
        </w:rPr>
        <w:t>min</w:t>
      </w:r>
      <w:r w:rsidR="001B7684">
        <w:rPr>
          <w:rFonts w:ascii="Times New Roman"/>
          <w:iCs/>
          <w:sz w:val="24"/>
          <w:szCs w:val="24"/>
          <w:vertAlign w:val="superscript"/>
        </w:rPr>
        <w:t>-1</w:t>
      </w:r>
      <w:r w:rsidRPr="00BC1AE7">
        <w:rPr>
          <w:rFonts w:ascii="Times New Roman"/>
          <w:iCs/>
          <w:sz w:val="24"/>
          <w:szCs w:val="24"/>
        </w:rPr>
        <w:t>. Initial oven temperature was 40 °C (1 min holding); then, a linear gradient t</w:t>
      </w:r>
      <w:r w:rsidR="001B7684">
        <w:rPr>
          <w:rFonts w:ascii="Times New Roman"/>
          <w:iCs/>
          <w:sz w:val="24"/>
          <w:szCs w:val="24"/>
        </w:rPr>
        <w:t xml:space="preserve">o 170 °C, at the rate of 7.5 °C </w:t>
      </w:r>
      <w:r w:rsidR="001B7684" w:rsidRPr="00BC1AE7">
        <w:rPr>
          <w:rFonts w:ascii="Times New Roman"/>
          <w:iCs/>
          <w:sz w:val="24"/>
          <w:szCs w:val="24"/>
        </w:rPr>
        <w:t>min</w:t>
      </w:r>
      <w:r w:rsidR="001B7684">
        <w:rPr>
          <w:rFonts w:ascii="Times New Roman"/>
          <w:iCs/>
          <w:sz w:val="24"/>
          <w:szCs w:val="24"/>
          <w:vertAlign w:val="superscript"/>
        </w:rPr>
        <w:t>-1</w:t>
      </w:r>
      <w:r w:rsidRPr="00BC1AE7">
        <w:rPr>
          <w:rFonts w:ascii="Times New Roman"/>
          <w:iCs/>
          <w:sz w:val="24"/>
          <w:szCs w:val="24"/>
        </w:rPr>
        <w:t>, was applied and followed by a linear gradient to 300 °C at 60 °C</w:t>
      </w:r>
      <w:r w:rsidR="001B7684">
        <w:rPr>
          <w:rFonts w:ascii="Times New Roman"/>
          <w:iCs/>
          <w:sz w:val="24"/>
          <w:szCs w:val="24"/>
        </w:rPr>
        <w:t xml:space="preserve"> </w:t>
      </w:r>
      <w:r w:rsidR="001B7684" w:rsidRPr="00BC1AE7">
        <w:rPr>
          <w:rFonts w:ascii="Times New Roman"/>
          <w:iCs/>
          <w:sz w:val="24"/>
          <w:szCs w:val="24"/>
        </w:rPr>
        <w:t>min</w:t>
      </w:r>
      <w:r w:rsidR="001B7684">
        <w:rPr>
          <w:rFonts w:ascii="Times New Roman"/>
          <w:iCs/>
          <w:sz w:val="24"/>
          <w:szCs w:val="24"/>
          <w:vertAlign w:val="superscript"/>
        </w:rPr>
        <w:t>-1</w:t>
      </w:r>
      <w:r w:rsidRPr="00BC1AE7">
        <w:rPr>
          <w:rFonts w:ascii="Times New Roman"/>
          <w:iCs/>
          <w:sz w:val="24"/>
          <w:szCs w:val="24"/>
        </w:rPr>
        <w:t xml:space="preserve">, with the final temperature held for 5 min (total running time, 25.5 min). Ion source temperature was kept at 230 °C and the mass spectra of sample compounds were recorded by electron ionization at 70 eV, from 40 to 351 m/z. </w:t>
      </w:r>
    </w:p>
    <w:p w14:paraId="1DC3B3F6" w14:textId="77777777" w:rsidR="000F2D15" w:rsidRDefault="000F2D15" w:rsidP="00EE2A1D">
      <w:pPr>
        <w:spacing w:line="480" w:lineRule="auto"/>
        <w:jc w:val="both"/>
        <w:rPr>
          <w:rFonts w:ascii="Times New Roman"/>
          <w:iCs/>
          <w:sz w:val="24"/>
          <w:szCs w:val="24"/>
        </w:rPr>
      </w:pPr>
    </w:p>
    <w:p w14:paraId="77DB9358" w14:textId="77777777" w:rsidR="000F2D15" w:rsidRDefault="000F2D15" w:rsidP="00EE2A1D">
      <w:pPr>
        <w:spacing w:line="480" w:lineRule="auto"/>
        <w:jc w:val="both"/>
        <w:rPr>
          <w:rFonts w:ascii="Times New Roman"/>
          <w:iCs/>
          <w:sz w:val="24"/>
          <w:szCs w:val="24"/>
        </w:rPr>
      </w:pPr>
    </w:p>
    <w:p w14:paraId="1237B71E" w14:textId="00BCF03D" w:rsidR="00EE2A1D" w:rsidRPr="00715C33" w:rsidRDefault="00EE2A1D" w:rsidP="00EE2A1D">
      <w:pPr>
        <w:spacing w:line="480" w:lineRule="auto"/>
        <w:jc w:val="both"/>
        <w:rPr>
          <w:rFonts w:ascii="Times New Roman"/>
          <w:b/>
          <w:lang w:bidi="en-US"/>
        </w:rPr>
      </w:pPr>
    </w:p>
    <w:sectPr w:rsidR="00EE2A1D" w:rsidRPr="00715C33" w:rsidSect="00CF3C79">
      <w:pgSz w:w="11906" w:h="16838"/>
      <w:pgMar w:top="1418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3DD"/>
    <w:rsid w:val="0000369D"/>
    <w:rsid w:val="0001169A"/>
    <w:rsid w:val="00013353"/>
    <w:rsid w:val="00043B0D"/>
    <w:rsid w:val="00063944"/>
    <w:rsid w:val="000B265C"/>
    <w:rsid w:val="000B5592"/>
    <w:rsid w:val="000F2D15"/>
    <w:rsid w:val="00115610"/>
    <w:rsid w:val="001236AF"/>
    <w:rsid w:val="0014177A"/>
    <w:rsid w:val="001B7684"/>
    <w:rsid w:val="001C2872"/>
    <w:rsid w:val="001D0F6F"/>
    <w:rsid w:val="00215257"/>
    <w:rsid w:val="0024196C"/>
    <w:rsid w:val="00252409"/>
    <w:rsid w:val="00257145"/>
    <w:rsid w:val="00263B29"/>
    <w:rsid w:val="002823DD"/>
    <w:rsid w:val="002B66D8"/>
    <w:rsid w:val="002E217F"/>
    <w:rsid w:val="003530A0"/>
    <w:rsid w:val="003A546C"/>
    <w:rsid w:val="003D634F"/>
    <w:rsid w:val="00461651"/>
    <w:rsid w:val="00470F0E"/>
    <w:rsid w:val="00477123"/>
    <w:rsid w:val="00484D35"/>
    <w:rsid w:val="00492DE3"/>
    <w:rsid w:val="004C1660"/>
    <w:rsid w:val="00527741"/>
    <w:rsid w:val="00582F52"/>
    <w:rsid w:val="00584129"/>
    <w:rsid w:val="0059428A"/>
    <w:rsid w:val="00597CCF"/>
    <w:rsid w:val="005C2DC7"/>
    <w:rsid w:val="005E0425"/>
    <w:rsid w:val="005E7666"/>
    <w:rsid w:val="00602D61"/>
    <w:rsid w:val="00640246"/>
    <w:rsid w:val="006736AF"/>
    <w:rsid w:val="00677C06"/>
    <w:rsid w:val="006A44F3"/>
    <w:rsid w:val="00715C33"/>
    <w:rsid w:val="00750F72"/>
    <w:rsid w:val="0076407D"/>
    <w:rsid w:val="007D4DFE"/>
    <w:rsid w:val="00821ED9"/>
    <w:rsid w:val="00831E9D"/>
    <w:rsid w:val="00842F64"/>
    <w:rsid w:val="00906F35"/>
    <w:rsid w:val="00980949"/>
    <w:rsid w:val="00995B78"/>
    <w:rsid w:val="009B5AB4"/>
    <w:rsid w:val="009D7FDA"/>
    <w:rsid w:val="00A54330"/>
    <w:rsid w:val="00AC32AC"/>
    <w:rsid w:val="00B17D9F"/>
    <w:rsid w:val="00B243D4"/>
    <w:rsid w:val="00B35441"/>
    <w:rsid w:val="00B56E16"/>
    <w:rsid w:val="00B60EB5"/>
    <w:rsid w:val="00BC1AE7"/>
    <w:rsid w:val="00BC77FC"/>
    <w:rsid w:val="00BE0EEC"/>
    <w:rsid w:val="00C01B00"/>
    <w:rsid w:val="00C600DA"/>
    <w:rsid w:val="00C645EB"/>
    <w:rsid w:val="00C6624B"/>
    <w:rsid w:val="00C770F3"/>
    <w:rsid w:val="00CE33CC"/>
    <w:rsid w:val="00CF3C79"/>
    <w:rsid w:val="00CF4D92"/>
    <w:rsid w:val="00D53C94"/>
    <w:rsid w:val="00D55E90"/>
    <w:rsid w:val="00D64068"/>
    <w:rsid w:val="00D65010"/>
    <w:rsid w:val="00DA3AC9"/>
    <w:rsid w:val="00DF0B4B"/>
    <w:rsid w:val="00E1038F"/>
    <w:rsid w:val="00E11D40"/>
    <w:rsid w:val="00E14AB4"/>
    <w:rsid w:val="00E36414"/>
    <w:rsid w:val="00E4194C"/>
    <w:rsid w:val="00E970C6"/>
    <w:rsid w:val="00EE2A1D"/>
    <w:rsid w:val="00EF5358"/>
    <w:rsid w:val="00FA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0455A"/>
  <w15:docId w15:val="{04DE39FD-15E7-F642-B2C6-425BBA3E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651"/>
    <w:rPr>
      <w:rFonts w:ascii="Tahoma" w:hAnsi="Tahoma" w:cs="Tahoma"/>
      <w:sz w:val="16"/>
      <w:szCs w:val="16"/>
    </w:rPr>
  </w:style>
  <w:style w:type="paragraph" w:customStyle="1" w:styleId="EndNoteBibliography">
    <w:name w:val="EndNote Bibliography"/>
    <w:basedOn w:val="Standard"/>
    <w:rsid w:val="000F2D1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mbria" w:eastAsia="MS Mincho" w:hAnsi="Cambria"/>
      <w:sz w:val="24"/>
      <w:szCs w:val="24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84D3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84D3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84D3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84D3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84D35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484D35"/>
    <w:pPr>
      <w:spacing w:after="0" w:line="240" w:lineRule="auto"/>
    </w:pPr>
  </w:style>
  <w:style w:type="character" w:styleId="Hyperlink">
    <w:name w:val="Hyperlink"/>
    <w:uiPriority w:val="99"/>
    <w:unhideWhenUsed/>
    <w:rsid w:val="00A543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7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hyperlink" Target="mailto:warzecha@bio.tu-darmstadt.d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45A1E-65E5-4A15-8F8A-63E418893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783</Words>
  <Characters>4935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Mindfactory</Company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</dc:creator>
  <cp:lastModifiedBy>Heribert Warzecha</cp:lastModifiedBy>
  <cp:revision>2</cp:revision>
  <dcterms:created xsi:type="dcterms:W3CDTF">2024-01-02T10:54:00Z</dcterms:created>
  <dcterms:modified xsi:type="dcterms:W3CDTF">2024-01-02T10:54:00Z</dcterms:modified>
</cp:coreProperties>
</file>