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FFA" w:rsidRPr="00E7041B" w:rsidRDefault="00670FFA" w:rsidP="00670FFA">
      <w:pPr>
        <w:spacing w:after="0"/>
        <w:rPr>
          <w:rFonts w:cstheme="minorHAnsi"/>
          <w:b/>
        </w:rPr>
      </w:pPr>
      <w:r>
        <w:rPr>
          <w:rFonts w:cstheme="minorHAnsi"/>
          <w:b/>
          <w:sz w:val="24"/>
        </w:rPr>
        <w:t>S</w:t>
      </w:r>
      <w:r w:rsidRPr="00AE5083">
        <w:rPr>
          <w:rFonts w:cstheme="minorHAnsi"/>
          <w:b/>
          <w:sz w:val="24"/>
        </w:rPr>
        <w:t>UPPLEMENTARY INFORMATION:</w:t>
      </w:r>
      <w:r>
        <w:rPr>
          <w:rFonts w:cstheme="minorHAnsi"/>
          <w:b/>
          <w:sz w:val="24"/>
        </w:rPr>
        <w:t xml:space="preserve"> </w:t>
      </w:r>
      <w:r w:rsidR="00E7041B" w:rsidRPr="00E7041B">
        <w:rPr>
          <w:rFonts w:cstheme="minorHAnsi"/>
          <w:b/>
          <w:sz w:val="24"/>
          <w:szCs w:val="24"/>
        </w:rPr>
        <w:t>The Impac</w:t>
      </w:r>
      <w:r w:rsidR="008A60A6">
        <w:rPr>
          <w:rFonts w:cstheme="minorHAnsi"/>
          <w:b/>
          <w:sz w:val="24"/>
          <w:szCs w:val="24"/>
        </w:rPr>
        <w:t>t of Probiotics on Wellbeing: An</w:t>
      </w:r>
      <w:r w:rsidR="00E7041B" w:rsidRPr="00E7041B">
        <w:rPr>
          <w:rFonts w:cstheme="minorHAnsi"/>
          <w:b/>
          <w:sz w:val="24"/>
          <w:szCs w:val="24"/>
        </w:rPr>
        <w:t xml:space="preserve"> Open-Label study </w:t>
      </w:r>
      <w:r w:rsidR="008A60A6">
        <w:rPr>
          <w:rFonts w:cstheme="minorHAnsi"/>
          <w:b/>
          <w:sz w:val="24"/>
          <w:szCs w:val="24"/>
        </w:rPr>
        <w:t xml:space="preserve">during the Winter </w:t>
      </w:r>
      <w:r w:rsidR="00E7041B" w:rsidRPr="00E7041B">
        <w:rPr>
          <w:rFonts w:cstheme="minorHAnsi"/>
          <w:b/>
          <w:sz w:val="24"/>
          <w:szCs w:val="24"/>
        </w:rPr>
        <w:t xml:space="preserve">in Healthcare Workers </w:t>
      </w:r>
    </w:p>
    <w:p w:rsidR="00670FFA" w:rsidRPr="0082275A" w:rsidRDefault="00670FFA" w:rsidP="00670FFA">
      <w:pPr>
        <w:spacing w:after="0"/>
        <w:rPr>
          <w:rFonts w:cstheme="minorHAnsi"/>
          <w:b/>
          <w:sz w:val="24"/>
        </w:rPr>
      </w:pPr>
    </w:p>
    <w:p w:rsidR="00A67775" w:rsidRDefault="00A67775" w:rsidP="00A67775">
      <w:pPr>
        <w:spacing w:after="0"/>
      </w:pPr>
      <w:r w:rsidRPr="00AE5083">
        <w:rPr>
          <w:b/>
        </w:rPr>
        <w:t>Supplementary Table S</w:t>
      </w:r>
      <w:r>
        <w:rPr>
          <w:b/>
        </w:rPr>
        <w:t>1</w:t>
      </w:r>
      <w:r w:rsidRPr="00AE5083">
        <w:rPr>
          <w:b/>
        </w:rPr>
        <w:t>:</w:t>
      </w:r>
      <w:r>
        <w:t xml:space="preserve"> Changes from baseline in </w:t>
      </w:r>
      <w:r w:rsidR="008A60A6">
        <w:t>Quality of life</w:t>
      </w:r>
      <w:r>
        <w:t xml:space="preserve"> scores</w:t>
      </w:r>
      <w:bookmarkStart w:id="0" w:name="_GoBack"/>
      <w:bookmarkEnd w:id="0"/>
    </w:p>
    <w:tbl>
      <w:tblPr>
        <w:tblW w:w="4555" w:type="pct"/>
        <w:jc w:val="center"/>
        <w:tblLook w:val="04A0" w:firstRow="1" w:lastRow="0" w:firstColumn="1" w:lastColumn="0" w:noHBand="0" w:noVBand="1"/>
      </w:tblPr>
      <w:tblGrid>
        <w:gridCol w:w="1500"/>
        <w:gridCol w:w="773"/>
        <w:gridCol w:w="569"/>
        <w:gridCol w:w="1414"/>
        <w:gridCol w:w="992"/>
        <w:gridCol w:w="850"/>
        <w:gridCol w:w="1275"/>
        <w:gridCol w:w="850"/>
      </w:tblGrid>
      <w:tr w:rsidR="00A67775" w:rsidRPr="00614E9B" w:rsidTr="00B03818">
        <w:trPr>
          <w:trHeight w:val="510"/>
          <w:jc w:val="center"/>
        </w:trPr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AE5083" w:rsidRDefault="00A67775" w:rsidP="00B038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AE5083" w:rsidRDefault="00A67775" w:rsidP="00B038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>Week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AE5083" w:rsidRDefault="00A67775" w:rsidP="00B038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 xml:space="preserve">n 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AE5083" w:rsidRDefault="00A67775" w:rsidP="00B038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>Change from baseline</w:t>
            </w: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  <w:lang w:eastAsia="en-GB"/>
              </w:rPr>
              <w:t>#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AE5083" w:rsidRDefault="00A67775" w:rsidP="00B038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>Lower 95% CI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AE5083" w:rsidRDefault="00A67775" w:rsidP="00B038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>Upper 95%  CI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AE5083" w:rsidRDefault="00A67775" w:rsidP="00B038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>% Change from baseline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7775" w:rsidRPr="00614E9B" w:rsidRDefault="00A67775" w:rsidP="00B038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lang w:eastAsia="en-GB"/>
              </w:rPr>
            </w:pPr>
            <w:r w:rsidRPr="00614E9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lang w:eastAsia="en-GB"/>
              </w:rPr>
              <w:t xml:space="preserve">p </w:t>
            </w:r>
            <w:r w:rsidRPr="00614E9B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GB"/>
              </w:rPr>
              <w:t>value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E508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Sleep Quality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159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0.45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1.27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17.26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147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1.49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21.76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137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1.28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1.67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25.68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125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1.46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1.86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29.22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110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1.80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28.00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1.79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27.61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1.70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2.12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34.18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1.70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1.29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2.11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34.17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E508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State of Energy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159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0.53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10.51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0.0103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147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0.71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0.30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1.12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13.97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0.0006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137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1.45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20.71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125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1.22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1.63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24.07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110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1.72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25.84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1.77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26.51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1.77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26.23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1.49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1.90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29.24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E508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State of Mood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159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0.50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8.98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0.0082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147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0.25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0.99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11.12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0.0011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137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0.47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1.22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15.17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125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1.42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18.84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110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16.41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0.43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1.23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14.93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0.70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1.48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19.59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1.74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24.29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E508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 xml:space="preserve">General </w:t>
            </w:r>
            <w:r w:rsidR="00C275D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Wellbeing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159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-0.19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0.49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2.43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0.3891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147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0.20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-0.14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0.54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0.2580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137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0.46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7.40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0.0073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125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9.59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0.0004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110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10.88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10.97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0.0002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0.71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11.37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15.99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&lt;0.0001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E508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State of Health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159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-0.18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-0.54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-2.72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0.3222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147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0.09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-0.27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0.44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1.32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0.6290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137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0.20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-0.16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0.56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2.98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0.2826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125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0.47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7.11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0.0078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110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9.58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0.0004</w:t>
            </w:r>
          </w:p>
        </w:tc>
      </w:tr>
      <w:tr w:rsidR="00A67CF4" w:rsidRPr="00AE5083" w:rsidTr="00B03818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0.51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0.88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7.77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0.0065</w:t>
            </w:r>
          </w:p>
        </w:tc>
      </w:tr>
      <w:tr w:rsidR="00A67CF4" w:rsidRPr="00AE5083" w:rsidTr="00A67CF4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98</w:t>
            </w:r>
          </w:p>
        </w:tc>
        <w:tc>
          <w:tcPr>
            <w:tcW w:w="86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0.54</w:t>
            </w:r>
          </w:p>
        </w:tc>
        <w:tc>
          <w:tcPr>
            <w:tcW w:w="60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0.18</w:t>
            </w: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0.90</w:t>
            </w:r>
          </w:p>
        </w:tc>
        <w:tc>
          <w:tcPr>
            <w:tcW w:w="77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8.15</w:t>
            </w: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0.0037</w:t>
            </w:r>
          </w:p>
        </w:tc>
      </w:tr>
      <w:tr w:rsidR="00A67CF4" w:rsidRPr="00AE5083" w:rsidTr="00A67CF4">
        <w:trPr>
          <w:trHeight w:val="113"/>
          <w:jc w:val="center"/>
        </w:trPr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97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0.67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0.30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1.04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AE5083" w:rsidRDefault="00A67CF4" w:rsidP="00A67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</w:pPr>
            <w:r w:rsidRPr="00AE5083">
              <w:rPr>
                <w:rFonts w:ascii="Calibri" w:eastAsia="Times New Roman" w:hAnsi="Calibri" w:cs="Calibri"/>
                <w:color w:val="000000"/>
                <w:sz w:val="16"/>
                <w:lang w:eastAsia="en-GB"/>
              </w:rPr>
              <w:t>10.12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7CF4" w:rsidRPr="00614E9B" w:rsidRDefault="00A67CF4" w:rsidP="00A67CF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E9B">
              <w:rPr>
                <w:rFonts w:cstheme="minorHAnsi"/>
                <w:sz w:val="16"/>
                <w:szCs w:val="16"/>
              </w:rPr>
              <w:t>0.0004</w:t>
            </w:r>
          </w:p>
        </w:tc>
      </w:tr>
    </w:tbl>
    <w:p w:rsidR="00A67775" w:rsidRPr="00AE5083" w:rsidRDefault="00A67775" w:rsidP="00A67775">
      <w:pPr>
        <w:spacing w:after="0" w:line="240" w:lineRule="auto"/>
        <w:rPr>
          <w:sz w:val="18"/>
        </w:rPr>
      </w:pPr>
      <w:r w:rsidRPr="00AE5083">
        <w:rPr>
          <w:sz w:val="18"/>
        </w:rPr>
        <w:t xml:space="preserve">           </w:t>
      </w:r>
      <w:r w:rsidRPr="00AE5083">
        <w:rPr>
          <w:sz w:val="18"/>
          <w:vertAlign w:val="superscript"/>
        </w:rPr>
        <w:t>#</w:t>
      </w:r>
      <w:r w:rsidRPr="00AE5083">
        <w:rPr>
          <w:sz w:val="18"/>
        </w:rPr>
        <w:t>Least square means</w:t>
      </w:r>
    </w:p>
    <w:p w:rsidR="00A67775" w:rsidRDefault="00A67775" w:rsidP="00A67775">
      <w:pPr>
        <w:spacing w:after="0" w:line="240" w:lineRule="auto"/>
        <w:rPr>
          <w:sz w:val="18"/>
        </w:rPr>
      </w:pPr>
      <w:r w:rsidRPr="00AE5083">
        <w:rPr>
          <w:sz w:val="18"/>
        </w:rPr>
        <w:t xml:space="preserve">           Abbreviations: CI, confidence interval</w:t>
      </w:r>
    </w:p>
    <w:p w:rsidR="00A67775" w:rsidRDefault="00A67775" w:rsidP="00A67775">
      <w:pPr>
        <w:spacing w:after="0" w:line="240" w:lineRule="auto"/>
        <w:rPr>
          <w:sz w:val="18"/>
        </w:rPr>
      </w:pPr>
    </w:p>
    <w:p w:rsidR="00A67775" w:rsidRDefault="00A67775" w:rsidP="00A67775">
      <w:pPr>
        <w:spacing w:after="0" w:line="240" w:lineRule="auto"/>
        <w:rPr>
          <w:sz w:val="18"/>
        </w:rPr>
        <w:sectPr w:rsidR="00A67775" w:rsidSect="00A6777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0358D" w:rsidRPr="00314130" w:rsidRDefault="00314130" w:rsidP="00CC3F62">
      <w:pPr>
        <w:spacing w:after="0" w:line="240" w:lineRule="auto"/>
      </w:pPr>
      <w:r w:rsidRPr="00AE5083">
        <w:rPr>
          <w:b/>
        </w:rPr>
        <w:lastRenderedPageBreak/>
        <w:t xml:space="preserve">Supplementary </w:t>
      </w:r>
      <w:r w:rsidR="0050358D" w:rsidRPr="009C4DB6">
        <w:rPr>
          <w:b/>
        </w:rPr>
        <w:t>T</w:t>
      </w:r>
      <w:r w:rsidR="009C4DB6" w:rsidRPr="009C4DB6">
        <w:rPr>
          <w:b/>
        </w:rPr>
        <w:t>able S</w:t>
      </w:r>
      <w:r w:rsidR="00A67775">
        <w:rPr>
          <w:b/>
        </w:rPr>
        <w:t>2</w:t>
      </w:r>
      <w:r w:rsidR="009C4DB6" w:rsidRPr="009C4DB6">
        <w:rPr>
          <w:b/>
        </w:rPr>
        <w:t>:</w:t>
      </w:r>
      <w:r w:rsidR="00D4745E" w:rsidRPr="00CC3F62">
        <w:t xml:space="preserve"> </w:t>
      </w:r>
      <w:r w:rsidR="00CC3F62" w:rsidRPr="00CC3F62">
        <w:t>The</w:t>
      </w:r>
      <w:r w:rsidR="00CC3F62">
        <w:rPr>
          <w:b/>
        </w:rPr>
        <w:t xml:space="preserve"> </w:t>
      </w:r>
      <w:r w:rsidR="00E26AB6">
        <w:t>p</w:t>
      </w:r>
      <w:r w:rsidR="00CC3F62">
        <w:t>roportion</w:t>
      </w:r>
      <w:r w:rsidR="00E26AB6">
        <w:t>s</w:t>
      </w:r>
      <w:r w:rsidR="00D4745E" w:rsidRPr="00314130">
        <w:t xml:space="preserve"> of participants reporting </w:t>
      </w:r>
      <w:r w:rsidR="009C44B0">
        <w:t>physical</w:t>
      </w:r>
      <w:r w:rsidR="00A67775">
        <w:t xml:space="preserve"> </w:t>
      </w:r>
      <w:r w:rsidR="00D4745E" w:rsidRPr="00314130">
        <w:t>discomforts</w:t>
      </w:r>
    </w:p>
    <w:p w:rsidR="00891A56" w:rsidRDefault="001705BC" w:rsidP="00AE5083">
      <w:pPr>
        <w:spacing w:after="0" w:line="240" w:lineRule="auto"/>
        <w:rPr>
          <w:sz w:val="18"/>
        </w:rPr>
      </w:pPr>
      <w:r w:rsidRPr="001705BC">
        <w:rPr>
          <w:noProof/>
          <w:lang w:eastAsia="en-GB"/>
        </w:rPr>
        <w:drawing>
          <wp:inline distT="0" distB="0" distL="0" distR="0">
            <wp:extent cx="8863330" cy="165085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65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A56" w:rsidRPr="00314130" w:rsidRDefault="009C4DB6" w:rsidP="00AE5083">
      <w:pPr>
        <w:spacing w:after="0" w:line="240" w:lineRule="auto"/>
        <w:rPr>
          <w:rFonts w:cstheme="minorHAnsi"/>
          <w:sz w:val="12"/>
          <w:szCs w:val="16"/>
        </w:rPr>
      </w:pPr>
      <w:r w:rsidRPr="00314130">
        <w:rPr>
          <w:rFonts w:cstheme="minorHAnsi"/>
          <w:sz w:val="12"/>
          <w:szCs w:val="16"/>
          <w:vertAlign w:val="superscript"/>
        </w:rPr>
        <w:t>†</w:t>
      </w:r>
      <w:r w:rsidR="00D4745E" w:rsidRPr="00314130">
        <w:rPr>
          <w:rFonts w:cstheme="minorHAnsi"/>
          <w:sz w:val="12"/>
          <w:szCs w:val="16"/>
        </w:rPr>
        <w:t>Representing</w:t>
      </w:r>
      <w:r w:rsidR="00D4745E" w:rsidRPr="00314130">
        <w:rPr>
          <w:rFonts w:cstheme="minorHAnsi"/>
          <w:sz w:val="12"/>
          <w:szCs w:val="16"/>
          <w:vertAlign w:val="superscript"/>
        </w:rPr>
        <w:t xml:space="preserve"> </w:t>
      </w:r>
      <w:r w:rsidR="00D4745E" w:rsidRPr="00314130">
        <w:rPr>
          <w:rFonts w:cstheme="minorHAnsi"/>
          <w:color w:val="000000" w:themeColor="text1"/>
          <w:sz w:val="12"/>
          <w:szCs w:val="16"/>
        </w:rPr>
        <w:t>the odds of reporting a symptom compared to baseline: An Odds Ratio(OR) &gt;1 indicates that participants were more likely to report a symptom whereas an OR &lt;1 indicates they were less likely</w:t>
      </w:r>
    </w:p>
    <w:p w:rsidR="009C4DB6" w:rsidRPr="00314130" w:rsidRDefault="009C4DB6" w:rsidP="009C4DB6">
      <w:pPr>
        <w:spacing w:after="0" w:line="240" w:lineRule="auto"/>
        <w:rPr>
          <w:rFonts w:cstheme="minorHAnsi"/>
          <w:sz w:val="12"/>
          <w:szCs w:val="16"/>
        </w:rPr>
      </w:pPr>
      <w:r w:rsidRPr="00314130">
        <w:rPr>
          <w:rFonts w:cstheme="minorHAnsi"/>
          <w:sz w:val="12"/>
          <w:szCs w:val="16"/>
          <w:vertAlign w:val="superscript"/>
        </w:rPr>
        <w:t>††</w:t>
      </w:r>
      <w:r w:rsidR="00D4745E" w:rsidRPr="00314130">
        <w:rPr>
          <w:rFonts w:cstheme="minorHAnsi"/>
          <w:color w:val="000000" w:themeColor="text1"/>
          <w:sz w:val="12"/>
          <w:szCs w:val="16"/>
        </w:rPr>
        <w:t>Binomial mixed-effects models (MEM) with participant as the random effect and compliance to product and baseline score as the fixed effects</w:t>
      </w:r>
    </w:p>
    <w:p w:rsidR="009C4DB6" w:rsidRDefault="009C4DB6" w:rsidP="00AE5083">
      <w:pPr>
        <w:spacing w:after="0" w:line="240" w:lineRule="auto"/>
        <w:rPr>
          <w:b/>
          <w:sz w:val="18"/>
        </w:rPr>
      </w:pPr>
    </w:p>
    <w:p w:rsidR="00891A56" w:rsidRPr="00D4745E" w:rsidRDefault="00314130" w:rsidP="00AE5083">
      <w:pPr>
        <w:spacing w:after="0" w:line="240" w:lineRule="auto"/>
        <w:rPr>
          <w:b/>
        </w:rPr>
      </w:pPr>
      <w:r w:rsidRPr="00AE5083">
        <w:rPr>
          <w:b/>
        </w:rPr>
        <w:t xml:space="preserve">Supplementary </w:t>
      </w:r>
      <w:r w:rsidRPr="009C4DB6">
        <w:rPr>
          <w:b/>
        </w:rPr>
        <w:t>Table S</w:t>
      </w:r>
      <w:r w:rsidR="00A67775">
        <w:rPr>
          <w:b/>
        </w:rPr>
        <w:t>2</w:t>
      </w:r>
      <w:r w:rsidR="00322E3B">
        <w:rPr>
          <w:b/>
        </w:rPr>
        <w:t>:</w:t>
      </w:r>
      <w:r>
        <w:rPr>
          <w:b/>
        </w:rPr>
        <w:t xml:space="preserve"> </w:t>
      </w:r>
      <w:r w:rsidR="00DA3248" w:rsidRPr="00DA3248">
        <w:t>C</w:t>
      </w:r>
      <w:r w:rsidR="0050358D" w:rsidRPr="00DA3248">
        <w:t>ontinued</w:t>
      </w:r>
      <w:r w:rsidR="009C4DB6" w:rsidRPr="00DA3248">
        <w:t>….</w:t>
      </w:r>
    </w:p>
    <w:p w:rsidR="00891A56" w:rsidRDefault="001705BC" w:rsidP="00AE5083">
      <w:pPr>
        <w:spacing w:after="0" w:line="240" w:lineRule="auto"/>
        <w:rPr>
          <w:sz w:val="18"/>
        </w:rPr>
      </w:pPr>
      <w:r w:rsidRPr="001705BC">
        <w:rPr>
          <w:noProof/>
          <w:lang w:eastAsia="en-GB"/>
        </w:rPr>
        <w:drawing>
          <wp:inline distT="0" distB="0" distL="0" distR="0">
            <wp:extent cx="8863330" cy="163482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63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45E" w:rsidRPr="00314130" w:rsidRDefault="00D4745E" w:rsidP="00D4745E">
      <w:pPr>
        <w:spacing w:after="0" w:line="240" w:lineRule="auto"/>
        <w:rPr>
          <w:rFonts w:cstheme="minorHAnsi"/>
          <w:sz w:val="12"/>
          <w:szCs w:val="16"/>
        </w:rPr>
      </w:pPr>
      <w:r w:rsidRPr="00314130">
        <w:rPr>
          <w:rFonts w:cstheme="minorHAnsi"/>
          <w:sz w:val="12"/>
          <w:szCs w:val="16"/>
          <w:vertAlign w:val="superscript"/>
        </w:rPr>
        <w:t>†</w:t>
      </w:r>
      <w:r w:rsidRPr="00314130">
        <w:rPr>
          <w:rFonts w:cstheme="minorHAnsi"/>
          <w:sz w:val="12"/>
          <w:szCs w:val="16"/>
        </w:rPr>
        <w:t>Representing</w:t>
      </w:r>
      <w:r w:rsidRPr="00314130">
        <w:rPr>
          <w:rFonts w:cstheme="minorHAnsi"/>
          <w:sz w:val="12"/>
          <w:szCs w:val="16"/>
          <w:vertAlign w:val="superscript"/>
        </w:rPr>
        <w:t xml:space="preserve"> </w:t>
      </w:r>
      <w:r w:rsidRPr="00314130">
        <w:rPr>
          <w:rFonts w:cstheme="minorHAnsi"/>
          <w:color w:val="000000" w:themeColor="text1"/>
          <w:sz w:val="12"/>
          <w:szCs w:val="16"/>
        </w:rPr>
        <w:t>the odds of reporting a symptom compared to baseline: An Odds Ratio(OR) &gt;1 indicates that participants were more likely to report a symptom whereas an OR &lt;1 indicates they were less likely</w:t>
      </w:r>
    </w:p>
    <w:p w:rsidR="0082275A" w:rsidRDefault="00D4745E" w:rsidP="00CC3F62">
      <w:pPr>
        <w:spacing w:after="0" w:line="240" w:lineRule="auto"/>
        <w:rPr>
          <w:rFonts w:cstheme="minorHAnsi"/>
          <w:color w:val="000000" w:themeColor="text1"/>
          <w:sz w:val="12"/>
          <w:szCs w:val="16"/>
        </w:rPr>
      </w:pPr>
      <w:r w:rsidRPr="00314130">
        <w:rPr>
          <w:rFonts w:cstheme="minorHAnsi"/>
          <w:sz w:val="12"/>
          <w:szCs w:val="16"/>
          <w:vertAlign w:val="superscript"/>
        </w:rPr>
        <w:t>††</w:t>
      </w:r>
      <w:r w:rsidRPr="00314130">
        <w:rPr>
          <w:rFonts w:cstheme="minorHAnsi"/>
          <w:color w:val="000000" w:themeColor="text1"/>
          <w:sz w:val="12"/>
          <w:szCs w:val="16"/>
        </w:rPr>
        <w:t>Binomial mixed-effects models (MEM) with participant as the random effect and compliance to product and baseline score as the fixed effects</w:t>
      </w:r>
    </w:p>
    <w:p w:rsidR="00670FFA" w:rsidRDefault="00670FFA" w:rsidP="00670FFA">
      <w:pPr>
        <w:spacing w:after="0"/>
        <w:rPr>
          <w:b/>
        </w:rPr>
        <w:sectPr w:rsidR="00670FFA" w:rsidSect="00CC3F6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9C44B0" w:rsidRDefault="009C44B0" w:rsidP="009C44B0">
      <w:pPr>
        <w:spacing w:after="0" w:line="240" w:lineRule="auto"/>
        <w:rPr>
          <w:sz w:val="18"/>
        </w:rPr>
      </w:pPr>
      <w:r>
        <w:rPr>
          <w:noProof/>
          <w:sz w:val="18"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2D27338F" wp14:editId="53F1BB28">
            <wp:simplePos x="0" y="0"/>
            <wp:positionH relativeFrom="column">
              <wp:posOffset>-309797</wp:posOffset>
            </wp:positionH>
            <wp:positionV relativeFrom="paragraph">
              <wp:posOffset>8145</wp:posOffset>
            </wp:positionV>
            <wp:extent cx="6407029" cy="310100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029" cy="3101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44B0" w:rsidRDefault="009C44B0" w:rsidP="009C44B0">
      <w:pPr>
        <w:spacing w:after="0" w:line="240" w:lineRule="auto"/>
        <w:rPr>
          <w:sz w:val="18"/>
        </w:rPr>
      </w:pPr>
    </w:p>
    <w:p w:rsidR="009C44B0" w:rsidRDefault="009C44B0" w:rsidP="009C44B0">
      <w:pPr>
        <w:spacing w:after="0" w:line="240" w:lineRule="auto"/>
        <w:rPr>
          <w:sz w:val="18"/>
        </w:rPr>
      </w:pPr>
    </w:p>
    <w:p w:rsidR="009C44B0" w:rsidRDefault="009C44B0" w:rsidP="009C44B0">
      <w:pPr>
        <w:spacing w:after="0" w:line="240" w:lineRule="auto"/>
        <w:rPr>
          <w:sz w:val="18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  <w:r w:rsidRPr="009F17F8">
        <w:rPr>
          <w:rFonts w:cstheme="minorHAnsi"/>
          <w:sz w:val="16"/>
          <w:vertAlign w:val="superscript"/>
        </w:rPr>
        <w:t xml:space="preserve"> </w:t>
      </w: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Pr="00E47C40" w:rsidRDefault="009C44B0" w:rsidP="009C44B0">
      <w:pPr>
        <w:pStyle w:val="Caption"/>
        <w:spacing w:after="0"/>
        <w:jc w:val="both"/>
        <w:rPr>
          <w:rFonts w:cstheme="minorHAnsi"/>
          <w:b/>
          <w:i w:val="0"/>
          <w:color w:val="000000" w:themeColor="text1"/>
          <w:sz w:val="22"/>
          <w:szCs w:val="22"/>
        </w:rPr>
      </w:pPr>
      <w:r>
        <w:rPr>
          <w:rFonts w:cstheme="minorHAnsi"/>
          <w:b/>
          <w:i w:val="0"/>
          <w:color w:val="000000" w:themeColor="text1"/>
          <w:sz w:val="22"/>
          <w:szCs w:val="22"/>
        </w:rPr>
        <w:t xml:space="preserve">Supplementary </w:t>
      </w:r>
      <w:r w:rsidRPr="00E47C40">
        <w:rPr>
          <w:rFonts w:cstheme="minorHAnsi"/>
          <w:b/>
          <w:i w:val="0"/>
          <w:color w:val="000000" w:themeColor="text1"/>
          <w:sz w:val="22"/>
          <w:szCs w:val="22"/>
        </w:rPr>
        <w:t xml:space="preserve">Figure </w:t>
      </w:r>
      <w:r>
        <w:rPr>
          <w:rFonts w:cstheme="minorHAnsi"/>
          <w:b/>
          <w:i w:val="0"/>
          <w:color w:val="000000" w:themeColor="text1"/>
          <w:sz w:val="22"/>
          <w:szCs w:val="22"/>
        </w:rPr>
        <w:t>S1</w:t>
      </w:r>
      <w:r w:rsidRPr="00E47C40">
        <w:rPr>
          <w:rFonts w:cstheme="minorHAnsi"/>
          <w:b/>
          <w:i w:val="0"/>
          <w:color w:val="000000" w:themeColor="text1"/>
          <w:sz w:val="22"/>
          <w:szCs w:val="22"/>
        </w:rPr>
        <w:t>.</w:t>
      </w:r>
      <w:r w:rsidRPr="00E47C40">
        <w:rPr>
          <w:i w:val="0"/>
          <w:color w:val="000000" w:themeColor="text1"/>
          <w:sz w:val="22"/>
          <w:szCs w:val="22"/>
        </w:rPr>
        <w:t xml:space="preserve"> </w:t>
      </w:r>
      <w:r w:rsidRPr="00E47C40">
        <w:rPr>
          <w:b/>
          <w:i w:val="0"/>
          <w:color w:val="000000" w:themeColor="text1"/>
          <w:sz w:val="22"/>
          <w:szCs w:val="22"/>
        </w:rPr>
        <w:t>Incidence of participants reporting</w:t>
      </w:r>
      <w:r w:rsidRPr="00E47C40">
        <w:rPr>
          <w:rFonts w:cstheme="minorHAnsi"/>
          <w:b/>
          <w:i w:val="0"/>
          <w:color w:val="000000" w:themeColor="text1"/>
          <w:sz w:val="22"/>
          <w:szCs w:val="22"/>
        </w:rPr>
        <w:t xml:space="preserve"> (A) Indigestion, (B) Diarrhoea, (C) Coughing, (D) Sore Throat and (E) Chest Wheeze over the duration of the study.</w:t>
      </w:r>
      <w:r w:rsidRPr="00E47C40">
        <w:rPr>
          <w:rFonts w:cstheme="minorHAnsi"/>
          <w:b/>
          <w:color w:val="000000" w:themeColor="text1"/>
          <w:sz w:val="22"/>
          <w:szCs w:val="22"/>
        </w:rPr>
        <w:t xml:space="preserve"> </w:t>
      </w:r>
      <w:r w:rsidRPr="00E47C40">
        <w:rPr>
          <w:rFonts w:cstheme="minorHAnsi"/>
          <w:i w:val="0"/>
          <w:color w:val="000000" w:themeColor="text1"/>
          <w:sz w:val="22"/>
          <w:szCs w:val="22"/>
        </w:rPr>
        <w:t>Data are presented as proportion (%) of participants reporting symptoms for n=159 at Week 1, n=147 at Week 2, n=137 at Week 3, n=125 at Week 4, n=110 at Week 5, n=102 at Week 6, n= 98 at Week 7 and n=97 at Week 8. Abbreviations: BL, baseline</w:t>
      </w:r>
      <w:r w:rsidRPr="00E47C40">
        <w:rPr>
          <w:rFonts w:cstheme="minorHAnsi"/>
          <w:b/>
          <w:i w:val="0"/>
          <w:color w:val="000000" w:themeColor="text1"/>
          <w:sz w:val="22"/>
          <w:szCs w:val="22"/>
        </w:rPr>
        <w:t xml:space="preserve"> </w:t>
      </w:r>
    </w:p>
    <w:p w:rsidR="009C44B0" w:rsidRPr="00E47C4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9C44B0" w:rsidRPr="002D3C71" w:rsidRDefault="009C44B0" w:rsidP="009C44B0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</w:p>
    <w:p w:rsidR="00051C4F" w:rsidRDefault="00051C4F" w:rsidP="00CC3F62">
      <w:pPr>
        <w:spacing w:after="0" w:line="240" w:lineRule="auto"/>
        <w:rPr>
          <w:sz w:val="18"/>
        </w:rPr>
      </w:pPr>
    </w:p>
    <w:p w:rsidR="00051C4F" w:rsidRDefault="00051C4F" w:rsidP="00CC3F62">
      <w:pPr>
        <w:spacing w:after="0" w:line="240" w:lineRule="auto"/>
        <w:rPr>
          <w:sz w:val="18"/>
        </w:rPr>
      </w:pPr>
    </w:p>
    <w:p w:rsidR="00051C4F" w:rsidRDefault="00051C4F" w:rsidP="00CC3F62">
      <w:pPr>
        <w:spacing w:after="0" w:line="240" w:lineRule="auto"/>
        <w:rPr>
          <w:sz w:val="18"/>
        </w:rPr>
      </w:pPr>
    </w:p>
    <w:p w:rsidR="00051C4F" w:rsidRDefault="00051C4F" w:rsidP="00CC3F62">
      <w:pPr>
        <w:spacing w:after="0" w:line="240" w:lineRule="auto"/>
        <w:rPr>
          <w:sz w:val="18"/>
        </w:rPr>
      </w:pPr>
    </w:p>
    <w:p w:rsidR="00051C4F" w:rsidRDefault="00051C4F" w:rsidP="00CC3F62">
      <w:pPr>
        <w:spacing w:after="0" w:line="240" w:lineRule="auto"/>
        <w:rPr>
          <w:sz w:val="18"/>
        </w:rPr>
      </w:pPr>
    </w:p>
    <w:p w:rsidR="00051C4F" w:rsidRDefault="00051C4F" w:rsidP="00CC3F62">
      <w:pPr>
        <w:spacing w:after="0" w:line="240" w:lineRule="auto"/>
        <w:rPr>
          <w:sz w:val="18"/>
        </w:rPr>
      </w:pPr>
    </w:p>
    <w:p w:rsidR="00051C4F" w:rsidRPr="002D3C71" w:rsidRDefault="00051C4F" w:rsidP="002D3C71">
      <w:pPr>
        <w:tabs>
          <w:tab w:val="left" w:pos="4993"/>
        </w:tabs>
        <w:spacing w:after="0" w:line="240" w:lineRule="auto"/>
        <w:rPr>
          <w:rFonts w:cstheme="minorHAnsi"/>
          <w:sz w:val="16"/>
          <w:vertAlign w:val="superscript"/>
        </w:rPr>
      </w:pPr>
      <w:r w:rsidRPr="009F17F8">
        <w:rPr>
          <w:rFonts w:cstheme="minorHAnsi"/>
          <w:sz w:val="16"/>
          <w:vertAlign w:val="superscript"/>
        </w:rPr>
        <w:t xml:space="preserve"> </w:t>
      </w:r>
    </w:p>
    <w:sectPr w:rsidR="00051C4F" w:rsidRPr="002D3C71" w:rsidSect="00670F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83"/>
    <w:rsid w:val="00051C4F"/>
    <w:rsid w:val="001705BC"/>
    <w:rsid w:val="001E6245"/>
    <w:rsid w:val="002D3C71"/>
    <w:rsid w:val="00314130"/>
    <w:rsid w:val="00316BD6"/>
    <w:rsid w:val="00322E3B"/>
    <w:rsid w:val="00432D1D"/>
    <w:rsid w:val="0050358D"/>
    <w:rsid w:val="005146D5"/>
    <w:rsid w:val="0055206E"/>
    <w:rsid w:val="00614E9B"/>
    <w:rsid w:val="00670FFA"/>
    <w:rsid w:val="0082275A"/>
    <w:rsid w:val="00875422"/>
    <w:rsid w:val="00891A56"/>
    <w:rsid w:val="008A60A6"/>
    <w:rsid w:val="0098233D"/>
    <w:rsid w:val="009C44B0"/>
    <w:rsid w:val="009C4DB6"/>
    <w:rsid w:val="00A67775"/>
    <w:rsid w:val="00A67CF4"/>
    <w:rsid w:val="00AE5083"/>
    <w:rsid w:val="00C275D8"/>
    <w:rsid w:val="00CC3F62"/>
    <w:rsid w:val="00D4745E"/>
    <w:rsid w:val="00D67EEC"/>
    <w:rsid w:val="00DA1A13"/>
    <w:rsid w:val="00DA3248"/>
    <w:rsid w:val="00DB7358"/>
    <w:rsid w:val="00E26AB6"/>
    <w:rsid w:val="00E5501C"/>
    <w:rsid w:val="00E7041B"/>
    <w:rsid w:val="00ED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3ACC1"/>
  <w15:chartTrackingRefBased/>
  <w15:docId w15:val="{BEAC1524-63E8-42E4-BA47-76BD4035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0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C44B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1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Daryn Michael</dc:creator>
  <cp:keywords/>
  <dc:description/>
  <cp:lastModifiedBy>Daryn Michael</cp:lastModifiedBy>
  <cp:revision>5</cp:revision>
  <dcterms:created xsi:type="dcterms:W3CDTF">2025-08-06T06:36:00Z</dcterms:created>
  <dcterms:modified xsi:type="dcterms:W3CDTF">2025-08-19T11:23:00Z</dcterms:modified>
</cp:coreProperties>
</file>