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A0C" w:rsidRPr="00796414" w:rsidRDefault="00C91A0C" w:rsidP="00C91A0C">
      <w:pPr>
        <w:spacing w:before="120" w:after="120" w:line="360" w:lineRule="auto"/>
        <w:ind w:firstLine="709"/>
        <w:rPr>
          <w:rFonts w:ascii="Arial" w:eastAsia="Times New Roman" w:hAnsi="Arial" w:cs="Arial"/>
          <w:b/>
          <w:sz w:val="24"/>
          <w:szCs w:val="24"/>
          <w:lang w:val="en-US" w:eastAsia="fr-FR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fr-FR"/>
        </w:rPr>
        <w:t>Supplementary Table 4</w:t>
      </w:r>
      <w:r w:rsidRPr="00931FED">
        <w:rPr>
          <w:rFonts w:ascii="Arial" w:eastAsia="Times New Roman" w:hAnsi="Arial" w:cs="Arial"/>
          <w:b/>
          <w:sz w:val="24"/>
          <w:szCs w:val="24"/>
          <w:lang w:val="en-US" w:eastAsia="fr-FR"/>
        </w:rPr>
        <w:t>. Factors</w:t>
      </w:r>
      <w:r w:rsidRPr="00796414">
        <w:rPr>
          <w:rFonts w:ascii="Arial" w:eastAsia="Times New Roman" w:hAnsi="Arial" w:cs="Arial"/>
          <w:b/>
          <w:sz w:val="24"/>
          <w:szCs w:val="24"/>
          <w:lang w:val="en-US" w:eastAsia="fr-FR"/>
        </w:rPr>
        <w:t xml:space="preserve"> associated with having made </w:t>
      </w:r>
      <w:r>
        <w:rPr>
          <w:rFonts w:ascii="Arial" w:eastAsia="Times New Roman" w:hAnsi="Arial" w:cs="Arial"/>
          <w:b/>
          <w:sz w:val="24"/>
          <w:szCs w:val="24"/>
          <w:lang w:val="en-US" w:eastAsia="fr-FR"/>
        </w:rPr>
        <w:t>at least 3 lifetime</w:t>
      </w:r>
      <w:r w:rsidRPr="00796414">
        <w:rPr>
          <w:rFonts w:ascii="Arial" w:eastAsia="Times New Roman" w:hAnsi="Arial" w:cs="Arial"/>
          <w:b/>
          <w:sz w:val="24"/>
          <w:szCs w:val="24"/>
          <w:lang w:val="en-US" w:eastAsia="fr-FR"/>
        </w:rPr>
        <w:t xml:space="preserve"> cessation attempts (</w:t>
      </w:r>
      <w:r>
        <w:rPr>
          <w:rFonts w:ascii="Arial" w:eastAsia="Times New Roman" w:hAnsi="Arial" w:cs="Arial"/>
          <w:b/>
          <w:sz w:val="24"/>
          <w:szCs w:val="24"/>
          <w:lang w:val="en-US" w:eastAsia="fr-FR"/>
        </w:rPr>
        <w:t xml:space="preserve">binary </w:t>
      </w:r>
      <w:r w:rsidRPr="00796414">
        <w:rPr>
          <w:rFonts w:ascii="Arial" w:eastAsia="Times New Roman" w:hAnsi="Arial" w:cs="Arial"/>
          <w:b/>
          <w:sz w:val="24"/>
          <w:szCs w:val="24"/>
          <w:lang w:val="en-US" w:eastAsia="fr-FR"/>
        </w:rPr>
        <w:t>logistic regressions, n=</w:t>
      </w:r>
      <w:r>
        <w:rPr>
          <w:rFonts w:ascii="Arial" w:eastAsia="Times New Roman" w:hAnsi="Arial" w:cs="Arial"/>
          <w:b/>
          <w:sz w:val="24"/>
          <w:szCs w:val="24"/>
          <w:lang w:val="en-US" w:eastAsia="fr-FR"/>
        </w:rPr>
        <w:t>357</w:t>
      </w:r>
      <w:r w:rsidRPr="00796414">
        <w:rPr>
          <w:rFonts w:ascii="Arial" w:eastAsia="Times New Roman" w:hAnsi="Arial" w:cs="Arial"/>
          <w:b/>
          <w:sz w:val="24"/>
          <w:szCs w:val="24"/>
          <w:lang w:val="en-US" w:eastAsia="fr-FR"/>
        </w:rPr>
        <w:t>)</w:t>
      </w:r>
    </w:p>
    <w:tbl>
      <w:tblPr>
        <w:tblStyle w:val="Grilledutableau"/>
        <w:tblW w:w="8470" w:type="dxa"/>
        <w:tblInd w:w="-7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7"/>
        <w:gridCol w:w="1928"/>
        <w:gridCol w:w="1089"/>
        <w:gridCol w:w="1928"/>
        <w:gridCol w:w="1068"/>
      </w:tblGrid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Tobacco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Cannabis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aOR [95% CI]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p-value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aOR [95% CI]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p-value</w:t>
            </w: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Age, in years (median [IQR])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1.05 [0.98;1.12]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0.193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1.06 [0.99;1.13]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0.108</w:t>
            </w: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Gender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Men (ref.)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Women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0.62 [0.39;1.00]</w:t>
            </w: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0.052</w:t>
            </w: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0.80 [0.50;1.26]</w:t>
            </w: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0.335</w:t>
            </w: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Other / Do not want to answer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0.51 [0.16;1.65]</w:t>
            </w: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0.261</w:t>
            </w: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1.78 [0.49;6.41]</w:t>
            </w: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0.377</w:t>
            </w: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Composite material deprivation</w:t>
            </w: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val="en-US" w:eastAsia="fr-FR"/>
              </w:rPr>
              <w:t>1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1.27 [1.13;1.43]</w:t>
            </w: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&lt;0.001</w:t>
            </w: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1.11 [0.99;1.25]</w:t>
            </w: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0.080</w:t>
            </w: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Educational level</w:t>
            </w: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val="en-US" w:eastAsia="fr-FR"/>
              </w:rPr>
              <w:t>2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1.08 [0.95;1.23]</w:t>
            </w: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0.221</w:t>
            </w: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1.00 [0.88;1.13]</w:t>
            </w: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0.942</w:t>
            </w: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Tobacco use frequency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Non-daily use (ref.)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&lt; 10 cigarettes per day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0.36 [0.19;0.66]</w:t>
            </w: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0.001</w:t>
            </w: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0.59 [0.32;1.07]</w:t>
            </w: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0.081</w:t>
            </w: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≥ 10 cigarettes per day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0.42 [0.23;0.76]</w:t>
            </w: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0.004</w:t>
            </w: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0.90 [0.51;1.60]</w:t>
            </w: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0.720</w:t>
            </w: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b/>
                <w:sz w:val="24"/>
                <w:szCs w:val="24"/>
                <w:lang w:val="en-US" w:eastAsia="fr-FR"/>
              </w:rPr>
              <w:t>Cannabis use frequency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&lt; 10 days per month (ref.)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</w:p>
        </w:tc>
      </w:tr>
      <w:tr w:rsidR="00C91A0C" w:rsidRPr="00554FC8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10-29 days per month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0.79 [0.41;1.54]</w:t>
            </w: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0.489</w:t>
            </w: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1.40 [0.75;2.62]</w:t>
            </w: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0.294</w:t>
            </w:r>
          </w:p>
        </w:tc>
      </w:tr>
      <w:tr w:rsidR="00C91A0C" w:rsidRPr="00CF3E19" w:rsidTr="00AC6AEA">
        <w:tc>
          <w:tcPr>
            <w:tcW w:w="2457" w:type="dxa"/>
            <w:vAlign w:val="center"/>
          </w:tcPr>
          <w:p w:rsidR="00C91A0C" w:rsidRPr="00931FED" w:rsidRDefault="00C91A0C" w:rsidP="00AC6AEA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931FED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Daily use</w:t>
            </w:r>
          </w:p>
        </w:tc>
        <w:tc>
          <w:tcPr>
            <w:tcW w:w="1928" w:type="dxa"/>
            <w:vAlign w:val="center"/>
          </w:tcPr>
          <w:p w:rsidR="00C91A0C" w:rsidRPr="00931FED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1.45 [0.76;2.75]</w:t>
            </w:r>
          </w:p>
        </w:tc>
        <w:tc>
          <w:tcPr>
            <w:tcW w:w="1089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0.257</w:t>
            </w:r>
          </w:p>
        </w:tc>
        <w:tc>
          <w:tcPr>
            <w:tcW w:w="192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1.94 [1.04;3.63]</w:t>
            </w:r>
          </w:p>
        </w:tc>
        <w:tc>
          <w:tcPr>
            <w:tcW w:w="1068" w:type="dxa"/>
            <w:vAlign w:val="center"/>
          </w:tcPr>
          <w:p w:rsidR="00C91A0C" w:rsidRPr="008D6970" w:rsidRDefault="00C91A0C" w:rsidP="00AC6AE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</w:pPr>
            <w:r w:rsidRPr="008D6970">
              <w:rPr>
                <w:rFonts w:ascii="Arial" w:eastAsia="Times New Roman" w:hAnsi="Arial" w:cs="Arial"/>
                <w:sz w:val="24"/>
                <w:szCs w:val="24"/>
                <w:lang w:val="en-US" w:eastAsia="fr-FR"/>
              </w:rPr>
              <w:t>0.037</w:t>
            </w:r>
          </w:p>
        </w:tc>
      </w:tr>
    </w:tbl>
    <w:p w:rsidR="00C91A0C" w:rsidRDefault="00C91A0C" w:rsidP="00C91A0C">
      <w:pPr>
        <w:spacing w:before="120" w:after="120" w:line="360" w:lineRule="auto"/>
        <w:ind w:firstLine="709"/>
        <w:rPr>
          <w:rFonts w:ascii="Arial" w:eastAsia="Times New Roman" w:hAnsi="Arial" w:cs="Arial"/>
          <w:sz w:val="24"/>
          <w:szCs w:val="24"/>
          <w:lang w:val="en-US" w:eastAsia="fr-FR"/>
        </w:rPr>
      </w:pPr>
      <w:r>
        <w:rPr>
          <w:rFonts w:ascii="Arial" w:eastAsia="Times New Roman" w:hAnsi="Arial" w:cs="Arial"/>
          <w:sz w:val="24"/>
          <w:szCs w:val="24"/>
          <w:lang w:val="en-US" w:eastAsia="fr-FR"/>
        </w:rPr>
        <w:t>CI, confidence interval; IQR, interquartile range; RRR, relative risk ratio.</w:t>
      </w:r>
    </w:p>
    <w:p w:rsidR="00C91A0C" w:rsidRDefault="00C91A0C" w:rsidP="00C91A0C">
      <w:pPr>
        <w:spacing w:before="120" w:after="120" w:line="360" w:lineRule="auto"/>
        <w:ind w:firstLine="709"/>
        <w:rPr>
          <w:rFonts w:ascii="Arial" w:eastAsia="Times New Roman" w:hAnsi="Arial" w:cs="Arial"/>
          <w:bCs/>
          <w:sz w:val="24"/>
          <w:szCs w:val="24"/>
          <w:lang w:val="en-US" w:eastAsia="fr-FR"/>
        </w:rPr>
      </w:pPr>
      <w:r w:rsidRPr="00FA3FBB">
        <w:rPr>
          <w:rFonts w:ascii="Arial" w:eastAsia="Times New Roman" w:hAnsi="Arial" w:cs="Arial"/>
          <w:sz w:val="24"/>
          <w:szCs w:val="24"/>
          <w:vertAlign w:val="superscript"/>
          <w:lang w:val="en-US" w:eastAsia="fr-FR"/>
        </w:rPr>
        <w:t>1</w:t>
      </w:r>
      <w:r w:rsidRPr="00FA3FBB">
        <w:rPr>
          <w:rFonts w:ascii="Arial" w:eastAsia="Times New Roman" w:hAnsi="Arial" w:cs="Arial"/>
          <w:sz w:val="24"/>
          <w:szCs w:val="24"/>
          <w:lang w:val="en-US" w:eastAsia="fr-FR"/>
        </w:rPr>
        <w:t xml:space="preserve"> </w:t>
      </w:r>
      <w:r w:rsidRPr="00FA3FBB">
        <w:rPr>
          <w:rFonts w:ascii="Arial" w:eastAsia="Times New Roman" w:hAnsi="Arial" w:cs="Arial"/>
          <w:bCs/>
          <w:sz w:val="24"/>
          <w:szCs w:val="24"/>
          <w:lang w:val="en-US" w:eastAsia="fr-FR"/>
        </w:rPr>
        <w:t>This variable, ranging from 0 to 6, corresponds to the sum of self-reported deprivations.</w:t>
      </w:r>
    </w:p>
    <w:p w:rsidR="00C91A0C" w:rsidRDefault="00C91A0C" w:rsidP="00C91A0C">
      <w:pPr>
        <w:pStyle w:val="NormalWeb"/>
        <w:ind w:firstLine="708"/>
        <w:rPr>
          <w:rFonts w:ascii="Arial" w:eastAsia="Times New Roman" w:hAnsi="Arial" w:cs="Arial"/>
          <w:lang w:val="en-US"/>
        </w:rPr>
      </w:pPr>
      <w:r w:rsidRPr="00FA3FBB">
        <w:rPr>
          <w:rFonts w:ascii="Arial" w:eastAsia="Times New Roman" w:hAnsi="Arial" w:cs="Arial"/>
          <w:vertAlign w:val="superscript"/>
          <w:lang w:val="en-US"/>
        </w:rPr>
        <w:t>2</w:t>
      </w:r>
      <w:r>
        <w:rPr>
          <w:rFonts w:ascii="Arial" w:eastAsia="Times New Roman" w:hAnsi="Arial" w:cs="Arial"/>
          <w:b/>
          <w:lang w:val="en-US"/>
        </w:rPr>
        <w:t xml:space="preserve"> </w:t>
      </w:r>
      <w:r w:rsidRPr="003E6A61">
        <w:rPr>
          <w:rFonts w:ascii="Arial" w:eastAsia="Times New Roman" w:hAnsi="Arial" w:cs="Arial"/>
          <w:lang w:val="en-US"/>
        </w:rPr>
        <w:t>This variable</w:t>
      </w:r>
      <w:r>
        <w:rPr>
          <w:rFonts w:ascii="Arial" w:eastAsia="Times New Roman" w:hAnsi="Arial" w:cs="Arial"/>
          <w:lang w:val="en-US"/>
        </w:rPr>
        <w:t>, ranging from 0 to 8, corresponded to the highest diploma obtained in the following list:</w:t>
      </w:r>
      <w:r w:rsidRPr="003E6A61">
        <w:rPr>
          <w:rFonts w:ascii="Arial" w:eastAsia="Times New Roman" w:hAnsi="Arial" w:cs="Arial"/>
          <w:lang w:val="en-US"/>
        </w:rPr>
        <w:t xml:space="preserve"> Lower secondary school diploma (</w:t>
      </w:r>
      <w:r w:rsidRPr="003E6A61">
        <w:rPr>
          <w:rFonts w:ascii="Arial" w:eastAsia="Times New Roman" w:hAnsi="Arial" w:cs="Arial"/>
          <w:i/>
          <w:lang w:val="en-US"/>
        </w:rPr>
        <w:t>Brevet des collèges</w:t>
      </w:r>
      <w:r w:rsidRPr="003E6A61">
        <w:rPr>
          <w:rFonts w:ascii="Arial" w:eastAsia="Times New Roman" w:hAnsi="Arial" w:cs="Arial"/>
          <w:lang w:val="en-US"/>
        </w:rPr>
        <w:t>)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Vocational diploma (</w:t>
      </w:r>
      <w:r w:rsidRPr="003E6A61">
        <w:rPr>
          <w:rFonts w:ascii="Arial" w:eastAsia="Times New Roman" w:hAnsi="Arial" w:cs="Arial"/>
          <w:i/>
          <w:lang w:val="en-US"/>
        </w:rPr>
        <w:t>BEP, CAP, BP, etc.</w:t>
      </w:r>
      <w:r w:rsidRPr="003E6A61">
        <w:rPr>
          <w:rFonts w:ascii="Arial" w:eastAsia="Times New Roman" w:hAnsi="Arial" w:cs="Arial"/>
          <w:lang w:val="en-US"/>
        </w:rPr>
        <w:t>)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Vocational baccalaureate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General or technological baccalaureate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Two-year higher education diploma (</w:t>
      </w:r>
      <w:r w:rsidRPr="003E6A61">
        <w:rPr>
          <w:rFonts w:ascii="Arial" w:eastAsia="Times New Roman" w:hAnsi="Arial" w:cs="Arial"/>
          <w:i/>
          <w:lang w:val="en-US"/>
        </w:rPr>
        <w:t>BTS, DUT, etc.</w:t>
      </w:r>
      <w:r w:rsidRPr="003E6A61">
        <w:rPr>
          <w:rFonts w:ascii="Arial" w:eastAsia="Times New Roman" w:hAnsi="Arial" w:cs="Arial"/>
          <w:lang w:val="en-US"/>
        </w:rPr>
        <w:t>)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Three- or four-year higher education degree (</w:t>
      </w:r>
      <w:r w:rsidRPr="003E6A61">
        <w:rPr>
          <w:rFonts w:ascii="Arial" w:eastAsia="Times New Roman" w:hAnsi="Arial" w:cs="Arial"/>
          <w:i/>
          <w:lang w:val="en-US"/>
        </w:rPr>
        <w:t>Licence, Maîtrise, etc</w:t>
      </w:r>
      <w:r w:rsidRPr="003E6A61">
        <w:rPr>
          <w:rFonts w:ascii="Arial" w:eastAsia="Times New Roman" w:hAnsi="Arial" w:cs="Arial"/>
          <w:lang w:val="en-US"/>
        </w:rPr>
        <w:t>.)</w:t>
      </w:r>
      <w:r>
        <w:rPr>
          <w:rFonts w:ascii="Arial" w:eastAsia="Times New Roman" w:hAnsi="Arial" w:cs="Arial"/>
          <w:lang w:val="en-US"/>
        </w:rPr>
        <w:t xml:space="preserve">; </w:t>
      </w:r>
      <w:r w:rsidRPr="003E6A61">
        <w:rPr>
          <w:rFonts w:ascii="Arial" w:eastAsia="Times New Roman" w:hAnsi="Arial" w:cs="Arial"/>
          <w:lang w:val="en-US"/>
        </w:rPr>
        <w:t>Master’s degree or higher (Master, engineering degree, etc.)</w:t>
      </w:r>
      <w:r>
        <w:rPr>
          <w:rFonts w:ascii="Arial" w:eastAsia="Times New Roman" w:hAnsi="Arial" w:cs="Arial"/>
          <w:lang w:val="en-US"/>
        </w:rPr>
        <w:t>.</w:t>
      </w:r>
    </w:p>
    <w:p w:rsidR="00AC5E43" w:rsidRPr="00C91A0C" w:rsidRDefault="00AC5E43" w:rsidP="00C91A0C">
      <w:pPr>
        <w:rPr>
          <w:lang w:val="en-US"/>
        </w:rPr>
      </w:pPr>
      <w:bookmarkStart w:id="0" w:name="_GoBack"/>
      <w:bookmarkEnd w:id="0"/>
    </w:p>
    <w:sectPr w:rsidR="00AC5E43" w:rsidRPr="00C9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6D4"/>
    <w:rsid w:val="00606802"/>
    <w:rsid w:val="006236D4"/>
    <w:rsid w:val="00AC5E43"/>
    <w:rsid w:val="00C91A0C"/>
    <w:rsid w:val="00FA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E21C0"/>
  <w15:chartTrackingRefBased/>
  <w15:docId w15:val="{4AD1C6B2-DEFD-4F27-AB1A-54D33503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36D4"/>
  </w:style>
  <w:style w:type="paragraph" w:styleId="Titre1">
    <w:name w:val="heading 1"/>
    <w:basedOn w:val="Normal"/>
    <w:next w:val="Normal"/>
    <w:link w:val="Titre1Car"/>
    <w:uiPriority w:val="9"/>
    <w:qFormat/>
    <w:rsid w:val="006236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Bibliographie">
    <w:name w:val="Bibliography"/>
    <w:basedOn w:val="Normal"/>
    <w:next w:val="Normal"/>
    <w:uiPriority w:val="37"/>
    <w:unhideWhenUsed/>
    <w:rsid w:val="006236D4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Titre1Car">
    <w:name w:val="Titre 1 Car"/>
    <w:basedOn w:val="Policepardfaut"/>
    <w:link w:val="Titre1"/>
    <w:uiPriority w:val="9"/>
    <w:rsid w:val="006236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606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A6D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Tangui Barré</dc:creator>
  <cp:keywords/>
  <dc:description/>
  <cp:lastModifiedBy>Tangui Barré</cp:lastModifiedBy>
  <cp:revision>2</cp:revision>
  <dcterms:created xsi:type="dcterms:W3CDTF">2025-10-28T18:52:00Z</dcterms:created>
  <dcterms:modified xsi:type="dcterms:W3CDTF">2025-10-28T18:52:00Z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zotero-version="7.0.27"&gt;&lt;session id="n2xy1K1D"/&gt;&lt;style id="http://www.zotero.org/styles/hepatology" hasBibliography="1" bibliographyStyleHasBeenSet="1"/&gt;&lt;prefs&gt;&lt;pref name="fieldType" value="Field"/&gt;&lt;/prefs&gt;&lt;/data&gt;</vt:lpwstr>
  </property>
</Properties>
</file>