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C32F78" w14:textId="77777777" w:rsidR="009A670E" w:rsidRPr="004C43D5" w:rsidRDefault="009A670E" w:rsidP="000559E1">
      <w:pPr>
        <w:jc w:val="center"/>
        <w:rPr>
          <w:rFonts w:ascii="Arial" w:hAnsi="Arial" w:cs="Arial"/>
          <w:sz w:val="20"/>
        </w:rPr>
      </w:pPr>
    </w:p>
    <w:p w14:paraId="5300F82B" w14:textId="77777777" w:rsidR="00D04BCF" w:rsidRPr="004C43D5" w:rsidRDefault="00BB2D2A" w:rsidP="007B5946">
      <w:pPr>
        <w:rPr>
          <w:rFonts w:ascii="Arial" w:hAnsi="Arial" w:cs="Arial"/>
          <w:b/>
          <w:sz w:val="20"/>
        </w:rPr>
      </w:pPr>
      <w:r w:rsidRPr="004C43D5">
        <w:rPr>
          <w:rFonts w:ascii="Arial" w:hAnsi="Arial" w:cs="Arial"/>
          <w:b/>
          <w:sz w:val="20"/>
        </w:rPr>
        <w:t xml:space="preserve">Supplementary </w:t>
      </w:r>
      <w:r w:rsidR="007B5946" w:rsidRPr="004C43D5">
        <w:rPr>
          <w:rFonts w:ascii="Arial" w:hAnsi="Arial" w:cs="Arial"/>
          <w:b/>
          <w:sz w:val="20"/>
        </w:rPr>
        <w:t>Information</w:t>
      </w:r>
      <w:r w:rsidR="009743A9" w:rsidRPr="004C43D5">
        <w:rPr>
          <w:rFonts w:ascii="Arial" w:hAnsi="Arial" w:cs="Arial"/>
          <w:b/>
          <w:sz w:val="20"/>
        </w:rPr>
        <w:t xml:space="preserve"> for</w:t>
      </w:r>
    </w:p>
    <w:p w14:paraId="673D60D6" w14:textId="77777777" w:rsidR="005001AC" w:rsidRPr="004C43D5" w:rsidRDefault="005001AC" w:rsidP="007B5946">
      <w:pPr>
        <w:rPr>
          <w:rFonts w:ascii="Arial" w:hAnsi="Arial" w:cs="Arial"/>
          <w:sz w:val="20"/>
        </w:rPr>
      </w:pPr>
    </w:p>
    <w:p w14:paraId="2FC24F88" w14:textId="77777777" w:rsidR="00AD3467" w:rsidRDefault="00AD3467" w:rsidP="00505A9B">
      <w:pPr>
        <w:widowControl w:val="0"/>
        <w:autoSpaceDE w:val="0"/>
        <w:autoSpaceDN w:val="0"/>
        <w:adjustRightInd w:val="0"/>
        <w:spacing w:line="360" w:lineRule="auto"/>
        <w:jc w:val="both"/>
        <w:rPr>
          <w:rFonts w:ascii="Arial" w:hAnsi="Arial" w:cs="Arial"/>
          <w:b/>
          <w:bCs/>
          <w:sz w:val="20"/>
        </w:rPr>
      </w:pPr>
      <w:r w:rsidRPr="00AD3467">
        <w:rPr>
          <w:rFonts w:ascii="Arial" w:hAnsi="Arial" w:cs="Arial"/>
          <w:b/>
          <w:bCs/>
          <w:sz w:val="20"/>
        </w:rPr>
        <w:t xml:space="preserve">Oleoylethanolamide decreases frustration stress-induced binge-like eating in female rats: a novel potential treatment for binge eating disorder </w:t>
      </w:r>
    </w:p>
    <w:p w14:paraId="283ED609" w14:textId="28F08F9D" w:rsidR="00505A9B" w:rsidRDefault="00505A9B" w:rsidP="00505A9B">
      <w:pPr>
        <w:widowControl w:val="0"/>
        <w:autoSpaceDE w:val="0"/>
        <w:autoSpaceDN w:val="0"/>
        <w:adjustRightInd w:val="0"/>
        <w:spacing w:line="360" w:lineRule="auto"/>
        <w:jc w:val="both"/>
        <w:rPr>
          <w:rFonts w:ascii="Arial" w:hAnsi="Arial" w:cs="Arial"/>
          <w:iCs/>
          <w:sz w:val="20"/>
          <w:lang w:val="it-IT"/>
        </w:rPr>
      </w:pPr>
      <w:r>
        <w:rPr>
          <w:rFonts w:ascii="Arial" w:hAnsi="Arial" w:cs="Arial"/>
          <w:iCs/>
          <w:sz w:val="20"/>
          <w:lang w:val="it-IT"/>
        </w:rPr>
        <w:t>Adele Romano</w:t>
      </w:r>
      <w:r>
        <w:rPr>
          <w:rFonts w:ascii="Arial" w:hAnsi="Arial" w:cs="Arial"/>
          <w:iCs/>
          <w:sz w:val="20"/>
          <w:vertAlign w:val="superscript"/>
          <w:lang w:val="it-IT"/>
        </w:rPr>
        <w:t>a*</w:t>
      </w:r>
      <w:r>
        <w:rPr>
          <w:rFonts w:ascii="Arial" w:hAnsi="Arial" w:cs="Arial"/>
          <w:iCs/>
          <w:sz w:val="20"/>
          <w:lang w:val="it-IT"/>
        </w:rPr>
        <w:t>, Maria Vittoria Micioni Di Bonaventura</w:t>
      </w:r>
      <w:r>
        <w:rPr>
          <w:rFonts w:ascii="Arial" w:hAnsi="Arial" w:cs="Arial"/>
          <w:iCs/>
          <w:sz w:val="20"/>
          <w:vertAlign w:val="superscript"/>
          <w:lang w:val="it-IT"/>
        </w:rPr>
        <w:t>b*</w:t>
      </w:r>
      <w:r>
        <w:rPr>
          <w:rFonts w:ascii="Arial" w:hAnsi="Arial" w:cs="Arial"/>
          <w:iCs/>
          <w:sz w:val="20"/>
          <w:lang w:val="it-IT"/>
        </w:rPr>
        <w:t>, Cristina Anna Gallelli</w:t>
      </w:r>
      <w:r>
        <w:rPr>
          <w:rFonts w:ascii="Arial" w:hAnsi="Arial" w:cs="Arial"/>
          <w:iCs/>
          <w:sz w:val="20"/>
          <w:vertAlign w:val="superscript"/>
          <w:lang w:val="it-IT"/>
        </w:rPr>
        <w:t>a</w:t>
      </w:r>
      <w:r>
        <w:rPr>
          <w:rFonts w:ascii="Arial" w:hAnsi="Arial" w:cs="Arial"/>
          <w:iCs/>
          <w:sz w:val="20"/>
          <w:lang w:val="it-IT"/>
        </w:rPr>
        <w:t>, Justyna Barbara Koczwara</w:t>
      </w:r>
      <w:r>
        <w:rPr>
          <w:rFonts w:ascii="Arial" w:hAnsi="Arial" w:cs="Arial"/>
          <w:iCs/>
          <w:sz w:val="20"/>
          <w:vertAlign w:val="superscript"/>
          <w:lang w:val="it-IT"/>
        </w:rPr>
        <w:t>a</w:t>
      </w:r>
      <w:r>
        <w:rPr>
          <w:rFonts w:ascii="Arial" w:hAnsi="Arial" w:cs="Arial"/>
          <w:iCs/>
          <w:sz w:val="20"/>
          <w:lang w:val="it-IT"/>
        </w:rPr>
        <w:t>, Dorien Smeets</w:t>
      </w:r>
      <w:r>
        <w:rPr>
          <w:rFonts w:ascii="Arial" w:hAnsi="Arial" w:cs="Arial"/>
          <w:iCs/>
          <w:sz w:val="20"/>
          <w:vertAlign w:val="superscript"/>
          <w:lang w:val="it-IT"/>
        </w:rPr>
        <w:t>a</w:t>
      </w:r>
      <w:r>
        <w:rPr>
          <w:rFonts w:ascii="Arial" w:hAnsi="Arial" w:cs="Arial"/>
          <w:iCs/>
          <w:sz w:val="20"/>
          <w:lang w:val="it-IT"/>
        </w:rPr>
        <w:t>, Maria Elena Giusepponi</w:t>
      </w:r>
      <w:r>
        <w:rPr>
          <w:rFonts w:ascii="Arial" w:hAnsi="Arial" w:cs="Arial"/>
          <w:iCs/>
          <w:sz w:val="20"/>
          <w:vertAlign w:val="superscript"/>
          <w:lang w:val="it-IT"/>
        </w:rPr>
        <w:t>b</w:t>
      </w:r>
      <w:r>
        <w:rPr>
          <w:rFonts w:ascii="Arial" w:hAnsi="Arial" w:cs="Arial"/>
          <w:iCs/>
          <w:sz w:val="20"/>
          <w:lang w:val="it-IT"/>
        </w:rPr>
        <w:t>, Marialuisa De Ceglia</w:t>
      </w:r>
      <w:r>
        <w:rPr>
          <w:rFonts w:ascii="Arial" w:hAnsi="Arial" w:cs="Arial"/>
          <w:iCs/>
          <w:sz w:val="20"/>
          <w:vertAlign w:val="superscript"/>
          <w:lang w:val="it-IT"/>
        </w:rPr>
        <w:t>a</w:t>
      </w:r>
      <w:r>
        <w:rPr>
          <w:rFonts w:ascii="Arial" w:hAnsi="Arial" w:cs="Arial"/>
          <w:iCs/>
          <w:sz w:val="20"/>
          <w:lang w:val="it-IT"/>
        </w:rPr>
        <w:t>, Marzia Friuli</w:t>
      </w:r>
      <w:r>
        <w:rPr>
          <w:rFonts w:ascii="Arial" w:hAnsi="Arial" w:cs="Arial"/>
          <w:iCs/>
          <w:sz w:val="20"/>
          <w:vertAlign w:val="superscript"/>
          <w:lang w:val="it-IT"/>
        </w:rPr>
        <w:t>a</w:t>
      </w:r>
      <w:r>
        <w:rPr>
          <w:rFonts w:ascii="Arial" w:hAnsi="Arial" w:cs="Arial"/>
          <w:iCs/>
          <w:sz w:val="20"/>
          <w:lang w:val="it-IT"/>
        </w:rPr>
        <w:t>, Emanuela Micioni Di Bonaventura</w:t>
      </w:r>
      <w:r>
        <w:rPr>
          <w:rFonts w:ascii="Arial" w:hAnsi="Arial" w:cs="Arial"/>
          <w:iCs/>
          <w:sz w:val="20"/>
          <w:vertAlign w:val="superscript"/>
          <w:lang w:val="it-IT"/>
        </w:rPr>
        <w:t>b</w:t>
      </w:r>
      <w:r>
        <w:rPr>
          <w:rFonts w:ascii="Arial" w:hAnsi="Arial" w:cs="Arial"/>
          <w:iCs/>
          <w:sz w:val="20"/>
          <w:lang w:val="it-IT"/>
        </w:rPr>
        <w:t>, Caterina Scuderi</w:t>
      </w:r>
      <w:r>
        <w:rPr>
          <w:rFonts w:ascii="Arial" w:hAnsi="Arial" w:cs="Arial"/>
          <w:iCs/>
          <w:sz w:val="20"/>
          <w:vertAlign w:val="superscript"/>
          <w:lang w:val="it-IT"/>
        </w:rPr>
        <w:t>a</w:t>
      </w:r>
      <w:r>
        <w:rPr>
          <w:rFonts w:ascii="Arial" w:hAnsi="Arial" w:cs="Arial"/>
          <w:iCs/>
          <w:sz w:val="20"/>
          <w:lang w:val="it-IT"/>
        </w:rPr>
        <w:t>, Annabella Vitalone</w:t>
      </w:r>
      <w:r>
        <w:rPr>
          <w:rFonts w:ascii="Arial" w:hAnsi="Arial" w:cs="Arial"/>
          <w:iCs/>
          <w:sz w:val="20"/>
          <w:vertAlign w:val="superscript"/>
          <w:lang w:val="it-IT"/>
        </w:rPr>
        <w:t>a</w:t>
      </w:r>
      <w:r>
        <w:rPr>
          <w:rFonts w:ascii="Arial" w:hAnsi="Arial" w:cs="Arial"/>
          <w:iCs/>
          <w:sz w:val="20"/>
          <w:lang w:val="it-IT"/>
        </w:rPr>
        <w:t>, Antonella Tramutola</w:t>
      </w:r>
      <w:r>
        <w:rPr>
          <w:rFonts w:ascii="Arial" w:hAnsi="Arial" w:cs="Arial"/>
          <w:iCs/>
          <w:sz w:val="20"/>
          <w:vertAlign w:val="superscript"/>
          <w:lang w:val="it-IT"/>
        </w:rPr>
        <w:t>c</w:t>
      </w:r>
      <w:r>
        <w:rPr>
          <w:rFonts w:ascii="Arial" w:hAnsi="Arial" w:cs="Arial"/>
          <w:iCs/>
          <w:sz w:val="20"/>
          <w:lang w:val="it-IT"/>
        </w:rPr>
        <w:t>, Fabio Altieri</w:t>
      </w:r>
      <w:r>
        <w:rPr>
          <w:rFonts w:ascii="Arial" w:hAnsi="Arial" w:cs="Arial"/>
          <w:iCs/>
          <w:sz w:val="20"/>
          <w:vertAlign w:val="superscript"/>
          <w:lang w:val="it-IT"/>
        </w:rPr>
        <w:t>c</w:t>
      </w:r>
      <w:r>
        <w:rPr>
          <w:rFonts w:ascii="Arial" w:hAnsi="Arial" w:cs="Arial"/>
          <w:iCs/>
          <w:sz w:val="20"/>
          <w:lang w:val="it-IT"/>
        </w:rPr>
        <w:t>, Thomas A Lutz</w:t>
      </w:r>
      <w:r>
        <w:rPr>
          <w:rFonts w:ascii="Arial" w:hAnsi="Arial" w:cs="Arial"/>
          <w:iCs/>
          <w:sz w:val="20"/>
          <w:vertAlign w:val="superscript"/>
          <w:lang w:val="it-IT"/>
        </w:rPr>
        <w:t>d</w:t>
      </w:r>
      <w:r>
        <w:rPr>
          <w:rFonts w:ascii="Arial" w:hAnsi="Arial" w:cs="Arial"/>
          <w:iCs/>
          <w:sz w:val="20"/>
          <w:lang w:val="it-IT"/>
        </w:rPr>
        <w:t>, Anna Maria Giudetti</w:t>
      </w:r>
      <w:r>
        <w:rPr>
          <w:rFonts w:ascii="Arial" w:hAnsi="Arial" w:cs="Arial"/>
          <w:iCs/>
          <w:sz w:val="20"/>
          <w:vertAlign w:val="superscript"/>
          <w:lang w:val="it-IT"/>
        </w:rPr>
        <w:t>e</w:t>
      </w:r>
      <w:r>
        <w:rPr>
          <w:rFonts w:ascii="Arial" w:hAnsi="Arial" w:cs="Arial"/>
          <w:iCs/>
          <w:sz w:val="20"/>
          <w:lang w:val="it-IT"/>
        </w:rPr>
        <w:t>, Tommaso Cassano</w:t>
      </w:r>
      <w:r>
        <w:rPr>
          <w:rFonts w:ascii="Arial" w:hAnsi="Arial" w:cs="Arial"/>
          <w:iCs/>
          <w:sz w:val="20"/>
          <w:vertAlign w:val="superscript"/>
          <w:lang w:val="it-IT"/>
        </w:rPr>
        <w:t>f</w:t>
      </w:r>
      <w:r>
        <w:rPr>
          <w:rFonts w:ascii="Arial" w:hAnsi="Arial" w:cs="Arial"/>
          <w:iCs/>
          <w:sz w:val="20"/>
          <w:lang w:val="it-IT"/>
        </w:rPr>
        <w:t>, Carlo Cifani</w:t>
      </w:r>
      <w:r>
        <w:rPr>
          <w:rFonts w:ascii="Arial" w:hAnsi="Arial" w:cs="Arial"/>
          <w:iCs/>
          <w:sz w:val="20"/>
          <w:vertAlign w:val="superscript"/>
          <w:lang w:val="it-IT"/>
        </w:rPr>
        <w:t>b#</w:t>
      </w:r>
      <w:r>
        <w:rPr>
          <w:rFonts w:ascii="Arial" w:hAnsi="Arial" w:cs="Arial"/>
          <w:iCs/>
          <w:sz w:val="20"/>
          <w:lang w:val="it-IT"/>
        </w:rPr>
        <w:t xml:space="preserve"> and Silvana Gaetani</w:t>
      </w:r>
      <w:r>
        <w:rPr>
          <w:rFonts w:ascii="Arial" w:hAnsi="Arial" w:cs="Arial"/>
          <w:iCs/>
          <w:sz w:val="20"/>
          <w:vertAlign w:val="superscript"/>
          <w:lang w:val="it-IT"/>
        </w:rPr>
        <w:t>a#</w:t>
      </w:r>
      <w:r>
        <w:rPr>
          <w:rFonts w:ascii="Arial" w:hAnsi="Arial" w:cs="Arial"/>
          <w:iCs/>
          <w:sz w:val="20"/>
          <w:lang w:val="it-IT"/>
        </w:rPr>
        <w:t xml:space="preserve"> </w:t>
      </w:r>
    </w:p>
    <w:p w14:paraId="5EE765CE" w14:textId="77777777" w:rsidR="007B53FC" w:rsidRPr="004C43D5" w:rsidRDefault="007B53FC" w:rsidP="007B53FC">
      <w:pPr>
        <w:widowControl w:val="0"/>
        <w:autoSpaceDE w:val="0"/>
        <w:autoSpaceDN w:val="0"/>
        <w:adjustRightInd w:val="0"/>
        <w:spacing w:line="360" w:lineRule="auto"/>
        <w:jc w:val="both"/>
        <w:rPr>
          <w:rFonts w:ascii="Arial" w:hAnsi="Arial" w:cs="Arial"/>
          <w:iCs/>
          <w:sz w:val="20"/>
          <w:lang w:val="it-IT"/>
        </w:rPr>
      </w:pPr>
    </w:p>
    <w:p w14:paraId="6E398A1E" w14:textId="77777777" w:rsidR="007B53FC" w:rsidRPr="004C43D5" w:rsidRDefault="007B53FC" w:rsidP="007B53FC">
      <w:pPr>
        <w:widowControl w:val="0"/>
        <w:autoSpaceDE w:val="0"/>
        <w:autoSpaceDN w:val="0"/>
        <w:adjustRightInd w:val="0"/>
        <w:spacing w:line="360" w:lineRule="auto"/>
        <w:jc w:val="both"/>
        <w:rPr>
          <w:rFonts w:ascii="Arial" w:hAnsi="Arial" w:cs="Arial"/>
          <w:iCs/>
          <w:sz w:val="20"/>
        </w:rPr>
      </w:pPr>
      <w:r w:rsidRPr="004C43D5">
        <w:rPr>
          <w:rFonts w:ascii="Arial" w:hAnsi="Arial" w:cs="Arial"/>
          <w:iCs/>
          <w:sz w:val="20"/>
          <w:vertAlign w:val="superscript"/>
        </w:rPr>
        <w:t>a</w:t>
      </w:r>
      <w:r w:rsidRPr="004C43D5">
        <w:rPr>
          <w:rFonts w:ascii="Arial" w:hAnsi="Arial" w:cs="Arial"/>
          <w:iCs/>
          <w:sz w:val="20"/>
        </w:rPr>
        <w:t xml:space="preserve">Dept. of Physiology and Pharmacology “V. Erspamer”, Sapienza University of Rome, P.le Aldo Moro 5, 00185 Rome Italy; </w:t>
      </w:r>
      <w:r w:rsidRPr="004C43D5">
        <w:rPr>
          <w:rFonts w:ascii="Arial" w:hAnsi="Arial" w:cs="Arial"/>
          <w:iCs/>
          <w:sz w:val="20"/>
          <w:vertAlign w:val="superscript"/>
        </w:rPr>
        <w:t>b</w:t>
      </w:r>
      <w:r w:rsidRPr="004C43D5">
        <w:rPr>
          <w:rFonts w:ascii="Arial" w:hAnsi="Arial" w:cs="Arial"/>
          <w:iCs/>
          <w:sz w:val="20"/>
        </w:rPr>
        <w:t>School of Pharmacy, Pharmacology Unit, University of Camerino, via Madonna delle Carceri, 9, 6</w:t>
      </w:r>
      <w:r w:rsidR="00F9371E" w:rsidRPr="004C43D5">
        <w:rPr>
          <w:rFonts w:ascii="Arial" w:hAnsi="Arial" w:cs="Arial"/>
          <w:iCs/>
          <w:sz w:val="20"/>
        </w:rPr>
        <w:t>2032 Camerino</w:t>
      </w:r>
      <w:r w:rsidRPr="004C43D5">
        <w:rPr>
          <w:rFonts w:ascii="Arial" w:hAnsi="Arial" w:cs="Arial"/>
          <w:iCs/>
          <w:sz w:val="20"/>
        </w:rPr>
        <w:t xml:space="preserve">, Italy; </w:t>
      </w:r>
      <w:r w:rsidRPr="004C43D5">
        <w:rPr>
          <w:rFonts w:ascii="Arial" w:hAnsi="Arial" w:cs="Arial"/>
          <w:iCs/>
          <w:sz w:val="20"/>
          <w:vertAlign w:val="superscript"/>
        </w:rPr>
        <w:t>c</w:t>
      </w:r>
      <w:r w:rsidRPr="004C43D5">
        <w:rPr>
          <w:rFonts w:ascii="Arial" w:hAnsi="Arial" w:cs="Arial"/>
          <w:iCs/>
          <w:sz w:val="20"/>
        </w:rPr>
        <w:t xml:space="preserve">Dept. of Biochemical Sciences “A. Rossi Fanelli”, Sapienza University of Rome, P.le Aldo Moro 5, 00185 Rome Italy; </w:t>
      </w:r>
      <w:r w:rsidRPr="004C43D5">
        <w:rPr>
          <w:rFonts w:ascii="Arial" w:hAnsi="Arial" w:cs="Arial"/>
          <w:iCs/>
          <w:sz w:val="20"/>
          <w:vertAlign w:val="superscript"/>
        </w:rPr>
        <w:t>d</w:t>
      </w:r>
      <w:r w:rsidRPr="004C43D5">
        <w:rPr>
          <w:rFonts w:ascii="Arial" w:hAnsi="Arial" w:cs="Arial"/>
          <w:iCs/>
          <w:sz w:val="20"/>
        </w:rPr>
        <w:t xml:space="preserve">Institute of Veterinary Physiology Vetsuisse Faculty, University of Zurich Winterthurerstrasse 260, 8057 Zurich Switzerland; </w:t>
      </w:r>
      <w:r w:rsidRPr="004C43D5">
        <w:rPr>
          <w:rFonts w:ascii="Arial" w:hAnsi="Arial" w:cs="Arial"/>
          <w:iCs/>
          <w:sz w:val="20"/>
          <w:vertAlign w:val="superscript"/>
        </w:rPr>
        <w:t>e</w:t>
      </w:r>
      <w:r w:rsidRPr="004C43D5">
        <w:rPr>
          <w:rFonts w:ascii="Arial" w:hAnsi="Arial" w:cs="Arial"/>
          <w:sz w:val="20"/>
        </w:rPr>
        <w:t xml:space="preserve">Dept. of Biological and Environmental Sciences and Technologies, University of Salento, </w:t>
      </w:r>
      <w:r w:rsidR="00F9371E" w:rsidRPr="004C43D5">
        <w:rPr>
          <w:rFonts w:ascii="Arial" w:hAnsi="Arial" w:cs="Arial"/>
          <w:sz w:val="20"/>
        </w:rPr>
        <w:t xml:space="preserve">73100 </w:t>
      </w:r>
      <w:r w:rsidRPr="004C43D5">
        <w:rPr>
          <w:rFonts w:ascii="Arial" w:hAnsi="Arial" w:cs="Arial"/>
          <w:sz w:val="20"/>
        </w:rPr>
        <w:t xml:space="preserve">Lecce, Italy; </w:t>
      </w:r>
      <w:r w:rsidRPr="004C43D5">
        <w:rPr>
          <w:rFonts w:ascii="Arial" w:hAnsi="Arial" w:cs="Arial"/>
          <w:iCs/>
          <w:sz w:val="20"/>
          <w:vertAlign w:val="superscript"/>
        </w:rPr>
        <w:t>f</w:t>
      </w:r>
      <w:r w:rsidRPr="004C43D5">
        <w:rPr>
          <w:rFonts w:ascii="Arial" w:hAnsi="Arial" w:cs="Arial"/>
          <w:iCs/>
          <w:sz w:val="20"/>
        </w:rPr>
        <w:t>Dept. of Clinical and Experimental Medicine</w:t>
      </w:r>
      <w:r w:rsidR="00F9371E" w:rsidRPr="004C43D5">
        <w:rPr>
          <w:rFonts w:ascii="Arial" w:hAnsi="Arial" w:cs="Arial"/>
          <w:iCs/>
          <w:sz w:val="20"/>
        </w:rPr>
        <w:t>,</w:t>
      </w:r>
      <w:r w:rsidRPr="004C43D5">
        <w:rPr>
          <w:rFonts w:ascii="Arial" w:hAnsi="Arial" w:cs="Arial"/>
          <w:iCs/>
          <w:sz w:val="20"/>
        </w:rPr>
        <w:t xml:space="preserve"> University of Foggia, Via L. Pinto 1, 71122 Foggia, Italy</w:t>
      </w:r>
    </w:p>
    <w:p w14:paraId="30748B86" w14:textId="77777777" w:rsidR="007C5059" w:rsidRPr="004C43D5" w:rsidRDefault="007C5059" w:rsidP="00C251D5">
      <w:pPr>
        <w:widowControl w:val="0"/>
        <w:autoSpaceDE w:val="0"/>
        <w:autoSpaceDN w:val="0"/>
        <w:adjustRightInd w:val="0"/>
        <w:spacing w:line="360" w:lineRule="auto"/>
        <w:jc w:val="both"/>
        <w:rPr>
          <w:rFonts w:ascii="Arial" w:hAnsi="Arial" w:cs="Arial"/>
          <w:iCs/>
          <w:sz w:val="20"/>
        </w:rPr>
      </w:pPr>
    </w:p>
    <w:p w14:paraId="02195971" w14:textId="77777777" w:rsidR="00C251D5" w:rsidRPr="004C43D5" w:rsidRDefault="00C251D5" w:rsidP="00C251D5">
      <w:pPr>
        <w:spacing w:line="360" w:lineRule="auto"/>
        <w:jc w:val="both"/>
        <w:rPr>
          <w:rFonts w:ascii="Arial" w:hAnsi="Arial" w:cs="Arial"/>
          <w:b/>
          <w:iCs/>
          <w:sz w:val="20"/>
        </w:rPr>
      </w:pPr>
      <w:r w:rsidRPr="004C43D5">
        <w:rPr>
          <w:rFonts w:ascii="Arial" w:hAnsi="Arial" w:cs="Arial"/>
          <w:b/>
          <w:iCs/>
          <w:sz w:val="20"/>
        </w:rPr>
        <w:t>Correspondence to:</w:t>
      </w:r>
    </w:p>
    <w:p w14:paraId="2188FBA6" w14:textId="77777777" w:rsidR="00E25246" w:rsidRPr="004C43D5" w:rsidRDefault="00C251D5" w:rsidP="00C251D5">
      <w:pPr>
        <w:spacing w:line="360" w:lineRule="auto"/>
        <w:jc w:val="both"/>
        <w:rPr>
          <w:rFonts w:ascii="Arial" w:hAnsi="Arial" w:cs="Arial"/>
          <w:iCs/>
          <w:sz w:val="20"/>
        </w:rPr>
      </w:pPr>
      <w:r w:rsidRPr="004C43D5">
        <w:rPr>
          <w:rFonts w:ascii="Arial" w:hAnsi="Arial" w:cs="Arial"/>
          <w:iCs/>
          <w:sz w:val="20"/>
        </w:rPr>
        <w:t>Prof. Carlo Cifani at University of Camerino. School</w:t>
      </w:r>
      <w:r w:rsidR="00F9371E" w:rsidRPr="004C43D5">
        <w:rPr>
          <w:rFonts w:ascii="Arial" w:hAnsi="Arial" w:cs="Arial"/>
          <w:iCs/>
          <w:sz w:val="20"/>
        </w:rPr>
        <w:t xml:space="preserve"> of Pharmacy, Pharmacology Unit</w:t>
      </w:r>
      <w:r w:rsidRPr="004C43D5">
        <w:rPr>
          <w:rFonts w:ascii="Arial" w:hAnsi="Arial" w:cs="Arial"/>
          <w:iCs/>
          <w:sz w:val="20"/>
        </w:rPr>
        <w:t xml:space="preserve"> </w:t>
      </w:r>
    </w:p>
    <w:p w14:paraId="1F2AE09B" w14:textId="77777777" w:rsidR="00C251D5" w:rsidRPr="004C43D5" w:rsidRDefault="00C251D5" w:rsidP="00C251D5">
      <w:pPr>
        <w:spacing w:line="360" w:lineRule="auto"/>
        <w:jc w:val="both"/>
        <w:rPr>
          <w:rFonts w:ascii="Arial" w:hAnsi="Arial" w:cs="Arial"/>
          <w:iCs/>
          <w:sz w:val="20"/>
          <w:lang w:val="it-IT"/>
        </w:rPr>
      </w:pPr>
      <w:r w:rsidRPr="004C43D5">
        <w:rPr>
          <w:rFonts w:ascii="Arial" w:hAnsi="Arial" w:cs="Arial"/>
          <w:iCs/>
          <w:sz w:val="20"/>
          <w:lang w:val="it-IT"/>
        </w:rPr>
        <w:t>via Madonna delle Carceri, 9 62032 Camerino (MC), Italy.</w:t>
      </w:r>
    </w:p>
    <w:p w14:paraId="4AF767DC" w14:textId="77777777" w:rsidR="00C251D5" w:rsidRPr="004C43D5" w:rsidRDefault="00C251D5" w:rsidP="00C251D5">
      <w:pPr>
        <w:spacing w:line="360" w:lineRule="auto"/>
        <w:jc w:val="both"/>
        <w:rPr>
          <w:rFonts w:ascii="Arial" w:hAnsi="Arial" w:cs="Arial"/>
          <w:sz w:val="20"/>
        </w:rPr>
      </w:pPr>
      <w:r w:rsidRPr="004C43D5">
        <w:rPr>
          <w:rFonts w:ascii="Arial" w:hAnsi="Arial" w:cs="Arial"/>
          <w:sz w:val="20"/>
        </w:rPr>
        <w:t>Email</w:t>
      </w:r>
      <w:r w:rsidRPr="004C43D5">
        <w:rPr>
          <w:rFonts w:ascii="Arial" w:hAnsi="Arial" w:cs="Arial"/>
          <w:b/>
          <w:sz w:val="20"/>
        </w:rPr>
        <w:t>:</w:t>
      </w:r>
      <w:r w:rsidRPr="004C43D5">
        <w:rPr>
          <w:rFonts w:ascii="Arial" w:hAnsi="Arial" w:cs="Arial"/>
          <w:iCs/>
          <w:sz w:val="20"/>
        </w:rPr>
        <w:t xml:space="preserve"> </w:t>
      </w:r>
      <w:hyperlink r:id="rId8" w:history="1">
        <w:r w:rsidRPr="004C43D5">
          <w:rPr>
            <w:rFonts w:ascii="Arial" w:hAnsi="Arial" w:cs="Arial"/>
            <w:sz w:val="20"/>
          </w:rPr>
          <w:t>carlo.cifani@unicam.it</w:t>
        </w:r>
      </w:hyperlink>
      <w:r w:rsidRPr="004C43D5">
        <w:rPr>
          <w:rFonts w:ascii="Arial" w:hAnsi="Arial" w:cs="Arial"/>
          <w:iCs/>
          <w:sz w:val="20"/>
        </w:rPr>
        <w:t>; phone +390737403316</w:t>
      </w:r>
      <w:r w:rsidRPr="004C43D5">
        <w:rPr>
          <w:rFonts w:ascii="Arial" w:hAnsi="Arial" w:cs="Arial"/>
          <w:sz w:val="20"/>
        </w:rPr>
        <w:t xml:space="preserve"> </w:t>
      </w:r>
    </w:p>
    <w:p w14:paraId="10583CB0" w14:textId="77777777" w:rsidR="007C5059" w:rsidRPr="004C43D5" w:rsidRDefault="007C5059" w:rsidP="007C5059">
      <w:pPr>
        <w:pStyle w:val="NormaleWeb"/>
        <w:spacing w:line="360" w:lineRule="auto"/>
        <w:jc w:val="both"/>
        <w:rPr>
          <w:rFonts w:ascii="Arial" w:hAnsi="Arial" w:cs="Arial"/>
          <w:iCs/>
          <w:sz w:val="20"/>
          <w:szCs w:val="20"/>
        </w:rPr>
      </w:pPr>
      <w:r w:rsidRPr="004C43D5">
        <w:rPr>
          <w:rFonts w:ascii="Arial" w:hAnsi="Arial" w:cs="Arial"/>
          <w:iCs/>
          <w:sz w:val="20"/>
          <w:szCs w:val="20"/>
          <w:vertAlign w:val="superscript"/>
        </w:rPr>
        <w:t>#</w:t>
      </w:r>
      <w:r w:rsidRPr="004C43D5">
        <w:rPr>
          <w:rFonts w:ascii="Arial" w:hAnsi="Arial" w:cs="Arial"/>
          <w:iCs/>
          <w:sz w:val="20"/>
          <w:szCs w:val="20"/>
        </w:rPr>
        <w:t xml:space="preserve">C. Cifani, S. Gaetani </w:t>
      </w:r>
      <w:r w:rsidR="00C85A9B" w:rsidRPr="004C43D5">
        <w:rPr>
          <w:rFonts w:ascii="Arial" w:hAnsi="Arial" w:cs="Arial"/>
          <w:iCs/>
          <w:sz w:val="20"/>
          <w:szCs w:val="20"/>
        </w:rPr>
        <w:t xml:space="preserve">equally </w:t>
      </w:r>
      <w:r w:rsidRPr="004C43D5">
        <w:rPr>
          <w:rFonts w:ascii="Arial" w:hAnsi="Arial" w:cs="Arial"/>
          <w:iCs/>
          <w:sz w:val="20"/>
          <w:szCs w:val="20"/>
        </w:rPr>
        <w:t>senior authors</w:t>
      </w:r>
    </w:p>
    <w:p w14:paraId="241CF6A5" w14:textId="77777777" w:rsidR="007C5059" w:rsidRPr="004C43D5" w:rsidRDefault="007C5059" w:rsidP="007C5059">
      <w:pPr>
        <w:pStyle w:val="NormaleWeb"/>
        <w:spacing w:line="360" w:lineRule="auto"/>
        <w:jc w:val="both"/>
        <w:rPr>
          <w:rFonts w:ascii="Arial" w:hAnsi="Arial" w:cs="Arial"/>
          <w:iCs/>
          <w:sz w:val="20"/>
          <w:szCs w:val="20"/>
          <w:lang w:val="en-GB"/>
        </w:rPr>
      </w:pPr>
      <w:r w:rsidRPr="004C43D5">
        <w:rPr>
          <w:rFonts w:ascii="Arial" w:hAnsi="Arial" w:cs="Arial"/>
          <w:iCs/>
          <w:sz w:val="20"/>
          <w:szCs w:val="20"/>
          <w:lang w:val="en-GB"/>
        </w:rPr>
        <w:t>*A. Romano and M.V.</w:t>
      </w:r>
      <w:r w:rsidRPr="004C43D5">
        <w:rPr>
          <w:rFonts w:ascii="Arial" w:hAnsi="Arial" w:cs="Arial"/>
          <w:sz w:val="20"/>
          <w:szCs w:val="20"/>
        </w:rPr>
        <w:t xml:space="preserve"> </w:t>
      </w:r>
      <w:r w:rsidRPr="004C43D5">
        <w:rPr>
          <w:rFonts w:ascii="Arial" w:hAnsi="Arial" w:cs="Arial"/>
          <w:iCs/>
          <w:sz w:val="20"/>
          <w:szCs w:val="20"/>
          <w:lang w:val="en-GB"/>
        </w:rPr>
        <w:t xml:space="preserve">Micioni Di Bonaventura contributed equally to this work </w:t>
      </w:r>
    </w:p>
    <w:p w14:paraId="062ECF18" w14:textId="77777777" w:rsidR="00015F74" w:rsidRPr="004C43D5" w:rsidRDefault="00015F74">
      <w:pPr>
        <w:rPr>
          <w:rFonts w:ascii="Arial" w:hAnsi="Arial" w:cs="Arial"/>
          <w:b/>
          <w:sz w:val="20"/>
        </w:rPr>
      </w:pPr>
    </w:p>
    <w:p w14:paraId="4CCB7335" w14:textId="77777777" w:rsidR="00123A45" w:rsidRPr="004C43D5" w:rsidRDefault="00BB2D2A" w:rsidP="00B9440A">
      <w:pPr>
        <w:pStyle w:val="SMHeading"/>
        <w:rPr>
          <w:rFonts w:ascii="Arial" w:hAnsi="Arial" w:cs="Arial"/>
          <w:sz w:val="20"/>
          <w:szCs w:val="20"/>
        </w:rPr>
      </w:pPr>
      <w:bookmarkStart w:id="0" w:name="Tables"/>
      <w:bookmarkStart w:id="1" w:name="MaterialsMethods"/>
      <w:bookmarkEnd w:id="0"/>
      <w:bookmarkEnd w:id="1"/>
      <w:r w:rsidRPr="004C43D5">
        <w:rPr>
          <w:rFonts w:ascii="Arial" w:hAnsi="Arial" w:cs="Arial"/>
          <w:sz w:val="20"/>
          <w:szCs w:val="20"/>
        </w:rPr>
        <w:t>Supplementary</w:t>
      </w:r>
      <w:r w:rsidR="00015F74" w:rsidRPr="004C43D5">
        <w:rPr>
          <w:rFonts w:ascii="Arial" w:hAnsi="Arial" w:cs="Arial"/>
          <w:sz w:val="20"/>
          <w:szCs w:val="20"/>
        </w:rPr>
        <w:t xml:space="preserve"> </w:t>
      </w:r>
      <w:r w:rsidR="001C0975" w:rsidRPr="004C43D5">
        <w:rPr>
          <w:rFonts w:ascii="Arial" w:hAnsi="Arial" w:cs="Arial"/>
          <w:sz w:val="20"/>
          <w:szCs w:val="20"/>
        </w:rPr>
        <w:t>Information Text</w:t>
      </w:r>
    </w:p>
    <w:p w14:paraId="340F8787" w14:textId="77777777" w:rsidR="001F7DF3" w:rsidRPr="004C43D5" w:rsidRDefault="00123A45" w:rsidP="001F7DF3">
      <w:pPr>
        <w:pStyle w:val="NormaleWeb"/>
        <w:spacing w:line="360" w:lineRule="auto"/>
        <w:jc w:val="both"/>
        <w:rPr>
          <w:rFonts w:ascii="Arial" w:hAnsi="Arial" w:cs="Arial"/>
          <w:b/>
          <w:sz w:val="20"/>
          <w:szCs w:val="20"/>
        </w:rPr>
      </w:pPr>
      <w:r w:rsidRPr="004C43D5">
        <w:rPr>
          <w:rFonts w:ascii="Arial" w:hAnsi="Arial" w:cs="Arial"/>
          <w:b/>
          <w:sz w:val="20"/>
          <w:szCs w:val="20"/>
        </w:rPr>
        <w:t xml:space="preserve">S1 </w:t>
      </w:r>
      <w:r w:rsidR="001F7DF3" w:rsidRPr="004C43D5">
        <w:rPr>
          <w:rFonts w:ascii="Arial" w:hAnsi="Arial" w:cs="Arial"/>
          <w:b/>
          <w:sz w:val="20"/>
          <w:szCs w:val="20"/>
        </w:rPr>
        <w:t>Supplementary Materials and Methods</w:t>
      </w:r>
    </w:p>
    <w:p w14:paraId="52CF26A0" w14:textId="77777777" w:rsidR="001F7DF3" w:rsidRPr="004C43D5" w:rsidRDefault="006B68B4" w:rsidP="001F7DF3">
      <w:pPr>
        <w:spacing w:line="360" w:lineRule="auto"/>
        <w:jc w:val="both"/>
        <w:rPr>
          <w:rFonts w:ascii="Arial" w:hAnsi="Arial" w:cs="Arial"/>
          <w:b/>
          <w:sz w:val="20"/>
        </w:rPr>
      </w:pPr>
      <w:r w:rsidRPr="004C43D5">
        <w:rPr>
          <w:rFonts w:ascii="Arial" w:hAnsi="Arial" w:cs="Arial"/>
          <w:b/>
          <w:sz w:val="20"/>
        </w:rPr>
        <w:t>S1.1</w:t>
      </w:r>
      <w:r w:rsidR="00123A45" w:rsidRPr="004C43D5">
        <w:rPr>
          <w:rFonts w:ascii="Arial" w:hAnsi="Arial" w:cs="Arial"/>
          <w:b/>
          <w:sz w:val="20"/>
        </w:rPr>
        <w:t xml:space="preserve"> </w:t>
      </w:r>
      <w:r w:rsidR="00751F55" w:rsidRPr="004C43D5">
        <w:rPr>
          <w:rFonts w:ascii="Arial" w:hAnsi="Arial" w:cs="Arial"/>
          <w:b/>
          <w:sz w:val="20"/>
        </w:rPr>
        <w:t>I</w:t>
      </w:r>
      <w:r w:rsidR="001F7DF3" w:rsidRPr="004C43D5">
        <w:rPr>
          <w:rFonts w:ascii="Arial" w:hAnsi="Arial" w:cs="Arial"/>
          <w:b/>
          <w:sz w:val="20"/>
        </w:rPr>
        <w:t>mmonostaining protocol</w:t>
      </w:r>
      <w:r w:rsidR="00751F55" w:rsidRPr="004C43D5">
        <w:rPr>
          <w:rFonts w:ascii="Arial" w:hAnsi="Arial" w:cs="Arial"/>
          <w:b/>
          <w:sz w:val="20"/>
        </w:rPr>
        <w:t xml:space="preserve"> and analyses of monoamine turnover </w:t>
      </w:r>
    </w:p>
    <w:p w14:paraId="7009A722" w14:textId="29B1DAA2" w:rsidR="00A16C7E" w:rsidRPr="004C43D5" w:rsidRDefault="00650B7D" w:rsidP="00650B7D">
      <w:pPr>
        <w:spacing w:line="360" w:lineRule="auto"/>
        <w:jc w:val="both"/>
        <w:rPr>
          <w:rFonts w:ascii="Arial" w:hAnsi="Arial" w:cs="Arial"/>
          <w:b/>
          <w:sz w:val="20"/>
        </w:rPr>
      </w:pPr>
      <w:r w:rsidRPr="004C43D5">
        <w:rPr>
          <w:rFonts w:ascii="Arial" w:hAnsi="Arial" w:cs="Arial"/>
          <w:sz w:val="20"/>
        </w:rPr>
        <w:t>After 1 day off at the end of the behavioral test</w:t>
      </w:r>
      <w:r w:rsidR="0051651C" w:rsidRPr="004C43D5">
        <w:rPr>
          <w:rFonts w:ascii="Arial" w:hAnsi="Arial" w:cs="Arial"/>
          <w:sz w:val="20"/>
        </w:rPr>
        <w:t xml:space="preserve"> of EXP.1</w:t>
      </w:r>
      <w:r w:rsidRPr="004C43D5">
        <w:rPr>
          <w:rFonts w:ascii="Arial" w:hAnsi="Arial" w:cs="Arial"/>
          <w:sz w:val="20"/>
        </w:rPr>
        <w:t xml:space="preserve">, </w:t>
      </w:r>
      <w:r w:rsidR="0051651C" w:rsidRPr="004C43D5">
        <w:rPr>
          <w:rFonts w:ascii="Arial" w:hAnsi="Arial" w:cs="Arial"/>
          <w:sz w:val="20"/>
        </w:rPr>
        <w:t>a first set</w:t>
      </w:r>
      <w:r w:rsidRPr="004C43D5">
        <w:rPr>
          <w:rFonts w:ascii="Arial" w:hAnsi="Arial" w:cs="Arial"/>
          <w:sz w:val="20"/>
        </w:rPr>
        <w:t xml:space="preserve"> </w:t>
      </w:r>
      <w:r w:rsidR="00F32CD3" w:rsidRPr="004C43D5">
        <w:rPr>
          <w:rFonts w:ascii="Arial" w:hAnsi="Arial" w:cs="Arial"/>
          <w:sz w:val="20"/>
        </w:rPr>
        <w:t>(N</w:t>
      </w:r>
      <w:r w:rsidR="00B21F36" w:rsidRPr="004C43D5">
        <w:rPr>
          <w:rFonts w:ascii="Arial" w:hAnsi="Arial" w:cs="Arial"/>
          <w:sz w:val="20"/>
        </w:rPr>
        <w:t xml:space="preserve"> </w:t>
      </w:r>
      <w:r w:rsidR="00F32CD3" w:rsidRPr="004C43D5">
        <w:rPr>
          <w:rFonts w:ascii="Arial" w:hAnsi="Arial" w:cs="Arial"/>
          <w:sz w:val="20"/>
        </w:rPr>
        <w:t>=</w:t>
      </w:r>
      <w:r w:rsidR="00B21F36" w:rsidRPr="004C43D5">
        <w:rPr>
          <w:rFonts w:ascii="Arial" w:hAnsi="Arial" w:cs="Arial"/>
          <w:sz w:val="20"/>
        </w:rPr>
        <w:t xml:space="preserve"> </w:t>
      </w:r>
      <w:r w:rsidR="00F32CD3" w:rsidRPr="004C43D5">
        <w:rPr>
          <w:rFonts w:ascii="Arial" w:hAnsi="Arial" w:cs="Arial"/>
          <w:sz w:val="20"/>
        </w:rPr>
        <w:t>36</w:t>
      </w:r>
      <w:r w:rsidRPr="004C43D5">
        <w:rPr>
          <w:rFonts w:ascii="Arial" w:hAnsi="Arial" w:cs="Arial"/>
          <w:sz w:val="20"/>
        </w:rPr>
        <w:t xml:space="preserve">) of </w:t>
      </w:r>
      <w:r w:rsidR="00892AF1" w:rsidRPr="004C43D5">
        <w:rPr>
          <w:rFonts w:ascii="Arial" w:hAnsi="Arial" w:cs="Arial"/>
          <w:sz w:val="20"/>
        </w:rPr>
        <w:t>rats</w:t>
      </w:r>
      <w:r w:rsidRPr="004C43D5">
        <w:rPr>
          <w:rFonts w:ascii="Arial" w:hAnsi="Arial" w:cs="Arial"/>
          <w:sz w:val="20"/>
        </w:rPr>
        <w:t xml:space="preserve"> </w:t>
      </w:r>
      <w:r w:rsidR="002B51ED" w:rsidRPr="004C43D5">
        <w:rPr>
          <w:rFonts w:ascii="Arial" w:hAnsi="Arial" w:cs="Arial"/>
          <w:sz w:val="20"/>
        </w:rPr>
        <w:t xml:space="preserve">from the NR + S and R + S groups, </w:t>
      </w:r>
      <w:r w:rsidRPr="004C43D5">
        <w:rPr>
          <w:rFonts w:ascii="Arial" w:hAnsi="Arial" w:cs="Arial"/>
          <w:sz w:val="20"/>
        </w:rPr>
        <w:t xml:space="preserve">received an additional 8-day cycle as reported in </w:t>
      </w:r>
      <w:r w:rsidR="00121CC6" w:rsidRPr="004C43D5">
        <w:rPr>
          <w:rFonts w:ascii="Arial" w:hAnsi="Arial" w:cs="Arial"/>
          <w:sz w:val="20"/>
        </w:rPr>
        <w:fldChar w:fldCharType="begin" w:fldLock="1"/>
      </w:r>
      <w:r w:rsidR="00C80FE2" w:rsidRPr="004C43D5">
        <w:rPr>
          <w:rFonts w:ascii="Arial" w:hAnsi="Arial" w:cs="Arial"/>
          <w:sz w:val="20"/>
        </w:rPr>
        <w:instrText>ADDIN CSL_CITATION {"citationItems":[{"id":"ITEM-1","itemData":{"DOI":"10.1007/s00213-008-1442-y","ISSN":"1432-2072","PMID":"19125237","abstract":"RATIONALE Preclinical models are needed to investigate the neurobiology and psychobiology of binge eating and to identify innovative pharmacotherapeutic strategies. OBJECTIVES A modification of the model based on the combination of cyclic caloric restrictions and acute stress was developed to further increase its face validity and reliability and, for the first time, to assess its predictive value. MATERIALS AND METHODS Four groups of female rats were employed: group 1 was normally fed and not stressed on the test day (25th); group 2 was fed normally but was exposed to an acute stress on day 25; group 3 was exposed to three cycles (4 days 66% of chow intake + 4 days food ad libitum) of yo-yo dieting but not stressed; and group 4 was exposed to cyclic yo-yo dieting and then stressed. All groups were fed highly palatable food (HPF) for 2 h on days 5-6 and 13-14. Acute stress was elicited by exposing rats to HPF, but preventing them from access to it for 15 min. RESULTS The combination of cyclic food restriction and stressful exposure to food markedly increased HPF intake. Sibutramine and fluoxetine inhibited food intake in all conditions. Topiramate selectively inhibited compulsive HPF intake in rats submitted to caloric restriction and stress. Midazolam increased HPF intake. CONCLUSIONS Pharmacological results suggest that this model, in addition to face validity as an isomorphic model of human binge eating, is endowed with good predictive validity.","author":[{"dropping-particle":"","family":"Cifani","given":"Carlo","non-dropping-particle":"","parse-names":false,"suffix":""},{"dropping-particle":"","family":"Polidori","given":"Carlo","non-dropping-particle":"","parse-names":false,"suffix":""},{"dropping-particle":"","family":"Melotto","given":"Sergio","non-dropping-particle":"","parse-names":false,"suffix":""},{"dropping-particle":"","family":"Ciccocioppo","given":"Roberto","non-dropping-particle":"","parse-names":false,"suffix":""},{"dropping-particle":"","family":"Massi","given":"Maurizio","non-dropping-particle":"","parse-names":false,"suffix":""}],"container-title":"Psychopharmacology","id":"ITEM-1","issue":"1","issued":{"date-parts":[["2009","5"]]},"page":"113-25","title":"A preclinical model of binge eating elicited by yo-yo dieting and stressful exposure to food: effect of sibutramine, fluoxetine, topiramate, and midazolam.","type":"article-journal","volume":"204"},"uris":["http://www.mendeley.com/documents/?uuid=a11618c6-e784-401a-ad65-43144134d1bb"]}],"mendeley":{"formattedCitation":"&lt;span style=\"baseline\"&gt;[1]&lt;/span&gt;","plainTextFormattedCitation":"[1]","previouslyFormattedCitation":"&lt;span style=\"baseline\"&gt;[1]&lt;/span&gt;"},"properties":{"noteIndex":0},"schema":"https://github.com/citation-style-language/schema/raw/master/csl-citation.json"}</w:instrText>
      </w:r>
      <w:r w:rsidR="00121CC6" w:rsidRPr="004C43D5">
        <w:rPr>
          <w:rFonts w:ascii="Arial" w:hAnsi="Arial" w:cs="Arial"/>
          <w:sz w:val="20"/>
        </w:rPr>
        <w:fldChar w:fldCharType="separate"/>
      </w:r>
      <w:r w:rsidR="00121CC6" w:rsidRPr="004C43D5">
        <w:rPr>
          <w:rFonts w:ascii="Arial" w:hAnsi="Arial" w:cs="Arial"/>
          <w:noProof/>
          <w:sz w:val="20"/>
        </w:rPr>
        <w:t>[1]</w:t>
      </w:r>
      <w:r w:rsidR="00121CC6" w:rsidRPr="004C43D5">
        <w:rPr>
          <w:rFonts w:ascii="Arial" w:hAnsi="Arial" w:cs="Arial"/>
          <w:sz w:val="20"/>
        </w:rPr>
        <w:fldChar w:fldCharType="end"/>
      </w:r>
      <w:r w:rsidR="00121CC6" w:rsidRPr="004C43D5">
        <w:rPr>
          <w:rFonts w:ascii="Arial" w:hAnsi="Arial" w:cs="Arial"/>
          <w:sz w:val="20"/>
        </w:rPr>
        <w:t xml:space="preserve">. </w:t>
      </w:r>
      <w:r w:rsidR="002B51ED" w:rsidRPr="004C43D5">
        <w:rPr>
          <w:rFonts w:ascii="Arial" w:hAnsi="Arial" w:cs="Arial"/>
          <w:sz w:val="20"/>
        </w:rPr>
        <w:t>They</w:t>
      </w:r>
      <w:r w:rsidRPr="004C43D5">
        <w:rPr>
          <w:rFonts w:ascii="Arial" w:hAnsi="Arial" w:cs="Arial"/>
          <w:sz w:val="20"/>
        </w:rPr>
        <w:t xml:space="preserve"> were then</w:t>
      </w:r>
      <w:r w:rsidR="00A16C7E" w:rsidRPr="004C43D5">
        <w:rPr>
          <w:rFonts w:ascii="Arial" w:hAnsi="Arial" w:cs="Arial"/>
          <w:sz w:val="20"/>
        </w:rPr>
        <w:t xml:space="preserve"> </w:t>
      </w:r>
      <w:r w:rsidR="002B51ED" w:rsidRPr="004C43D5">
        <w:rPr>
          <w:rFonts w:ascii="Arial" w:hAnsi="Arial" w:cs="Arial"/>
          <w:sz w:val="20"/>
        </w:rPr>
        <w:t>exposed to 15 min frustration stress,</w:t>
      </w:r>
      <w:r w:rsidR="00A16C7E" w:rsidRPr="004C43D5">
        <w:rPr>
          <w:rFonts w:ascii="Arial" w:hAnsi="Arial" w:cs="Arial"/>
          <w:sz w:val="20"/>
        </w:rPr>
        <w:t xml:space="preserve"> </w:t>
      </w:r>
      <w:r w:rsidR="002B51ED" w:rsidRPr="004C43D5">
        <w:rPr>
          <w:rFonts w:ascii="Arial" w:hAnsi="Arial" w:cs="Arial"/>
          <w:sz w:val="20"/>
        </w:rPr>
        <w:t>and were</w:t>
      </w:r>
      <w:r w:rsidR="00A16C7E" w:rsidRPr="004C43D5">
        <w:rPr>
          <w:rFonts w:ascii="Arial" w:hAnsi="Arial" w:cs="Arial"/>
          <w:sz w:val="20"/>
        </w:rPr>
        <w:t xml:space="preserve"> allowed to consume </w:t>
      </w:r>
      <w:r w:rsidR="003906E2" w:rsidRPr="004C43D5">
        <w:rPr>
          <w:rFonts w:ascii="Arial" w:hAnsi="Arial" w:cs="Arial"/>
          <w:sz w:val="20"/>
        </w:rPr>
        <w:t>highly palatable food (</w:t>
      </w:r>
      <w:r w:rsidR="00A16C7E" w:rsidRPr="004C43D5">
        <w:rPr>
          <w:rFonts w:ascii="Arial" w:hAnsi="Arial" w:cs="Arial"/>
          <w:sz w:val="20"/>
        </w:rPr>
        <w:t>HPF</w:t>
      </w:r>
      <w:r w:rsidR="003906E2" w:rsidRPr="004C43D5">
        <w:rPr>
          <w:rFonts w:ascii="Arial" w:hAnsi="Arial" w:cs="Arial"/>
          <w:sz w:val="20"/>
        </w:rPr>
        <w:t>)</w:t>
      </w:r>
      <w:r w:rsidR="00A16C7E" w:rsidRPr="004C43D5">
        <w:rPr>
          <w:rFonts w:ascii="Arial" w:hAnsi="Arial" w:cs="Arial"/>
          <w:sz w:val="20"/>
        </w:rPr>
        <w:t xml:space="preserve"> only for 1 h. At the end of this procedure all rats were sacrificed, their brains immediately collected, snap frozen in 2-metylbutane (-60°C) and stored at -80°C until analyzed. The brain analyses included immunohystochemical evaluation of the pattern of c-Fos expression, oxytocin receptor expression and HPLC analyses of monoamine turnover</w:t>
      </w:r>
      <w:r w:rsidR="007F351A" w:rsidRPr="004C43D5">
        <w:rPr>
          <w:rFonts w:ascii="Arial" w:hAnsi="Arial" w:cs="Arial"/>
          <w:sz w:val="20"/>
        </w:rPr>
        <w:t>.</w:t>
      </w:r>
      <w:r w:rsidR="00FE2C4F" w:rsidRPr="004C43D5">
        <w:rPr>
          <w:rFonts w:ascii="Arial" w:hAnsi="Arial" w:cs="Arial"/>
          <w:sz w:val="20"/>
        </w:rPr>
        <w:t xml:space="preserve"> </w:t>
      </w:r>
    </w:p>
    <w:p w14:paraId="3D5DA97B" w14:textId="75043B9C" w:rsidR="00204B4F" w:rsidRPr="004C43D5" w:rsidRDefault="007F351A" w:rsidP="00204B4F">
      <w:pPr>
        <w:spacing w:line="360" w:lineRule="auto"/>
        <w:jc w:val="both"/>
        <w:rPr>
          <w:rFonts w:ascii="Arial" w:hAnsi="Arial" w:cs="Arial"/>
          <w:sz w:val="20"/>
        </w:rPr>
      </w:pPr>
      <w:r w:rsidRPr="004C43D5">
        <w:rPr>
          <w:rFonts w:ascii="Arial" w:hAnsi="Arial" w:cs="Arial"/>
          <w:sz w:val="20"/>
        </w:rPr>
        <w:lastRenderedPageBreak/>
        <w:t>In particular, e</w:t>
      </w:r>
      <w:r w:rsidR="00204B4F" w:rsidRPr="004C43D5">
        <w:rPr>
          <w:rFonts w:ascii="Arial" w:hAnsi="Arial" w:cs="Arial"/>
          <w:sz w:val="20"/>
        </w:rPr>
        <w:t>ach brain was sliced into 20</w:t>
      </w:r>
      <w:r w:rsidR="00B53627" w:rsidRPr="004C43D5">
        <w:rPr>
          <w:rFonts w:ascii="Arial" w:hAnsi="Arial" w:cs="Arial"/>
          <w:sz w:val="20"/>
        </w:rPr>
        <w:t>-</w:t>
      </w:r>
      <w:r w:rsidR="00204B4F" w:rsidRPr="004C43D5">
        <w:rPr>
          <w:rFonts w:ascii="Arial" w:hAnsi="Arial" w:cs="Arial"/>
          <w:sz w:val="20"/>
        </w:rPr>
        <w:t xml:space="preserve">μm serial coronal sections by using a cryostat (model HM550; Thermo Fisher Scientific, Kalamazoo, MI, USA). The coronal slices were partly mounted on positively charged slides (SuperFrost Plus, Menzel, Germany) and stored at -20°C until further analyzed for immunohystochemistry, partly microdissected into ten regions of interest that were collected in microtubes (pooled from both hemispheres), weighed to a high degree of accuracy by using a microbalance and stored at -80°C until the HPLC analysis for monoamine turnover. These regions included </w:t>
      </w:r>
      <w:r w:rsidR="00B749FE" w:rsidRPr="004C43D5">
        <w:rPr>
          <w:rFonts w:ascii="Arial" w:hAnsi="Arial" w:cs="Arial"/>
          <w:sz w:val="20"/>
        </w:rPr>
        <w:t>medial prefrontal cortex (mPFC)</w:t>
      </w:r>
      <w:r w:rsidR="00204B4F" w:rsidRPr="004C43D5">
        <w:rPr>
          <w:rFonts w:ascii="Arial" w:hAnsi="Arial" w:cs="Arial"/>
          <w:sz w:val="20"/>
        </w:rPr>
        <w:t xml:space="preserve">, striatum (comprising </w:t>
      </w:r>
      <w:r w:rsidR="00A9306C" w:rsidRPr="004C43D5">
        <w:rPr>
          <w:rFonts w:ascii="Arial" w:hAnsi="Arial" w:cs="Arial"/>
          <w:sz w:val="20"/>
        </w:rPr>
        <w:t>caudate p</w:t>
      </w:r>
      <w:r w:rsidR="00B749FE" w:rsidRPr="004C43D5">
        <w:rPr>
          <w:rFonts w:ascii="Arial" w:hAnsi="Arial" w:cs="Arial"/>
          <w:sz w:val="20"/>
        </w:rPr>
        <w:t>utamen (CPu),</w:t>
      </w:r>
      <w:r w:rsidR="00204B4F" w:rsidRPr="004C43D5">
        <w:rPr>
          <w:rFonts w:ascii="Arial" w:hAnsi="Arial" w:cs="Arial"/>
          <w:sz w:val="20"/>
        </w:rPr>
        <w:t xml:space="preserve"> and </w:t>
      </w:r>
      <w:r w:rsidR="00A9306C" w:rsidRPr="004C43D5">
        <w:rPr>
          <w:rFonts w:ascii="Arial" w:hAnsi="Arial" w:cs="Arial"/>
          <w:sz w:val="20"/>
        </w:rPr>
        <w:t>nucleus a</w:t>
      </w:r>
      <w:r w:rsidR="00B749FE" w:rsidRPr="004C43D5">
        <w:rPr>
          <w:rFonts w:ascii="Arial" w:hAnsi="Arial" w:cs="Arial"/>
          <w:sz w:val="20"/>
        </w:rPr>
        <w:t>ccumbens (Acb)</w:t>
      </w:r>
      <w:r w:rsidR="00204B4F" w:rsidRPr="004C43D5">
        <w:rPr>
          <w:rFonts w:ascii="Arial" w:hAnsi="Arial" w:cs="Arial"/>
          <w:sz w:val="20"/>
        </w:rPr>
        <w:t xml:space="preserve">), </w:t>
      </w:r>
      <w:r w:rsidR="00A9306C" w:rsidRPr="004C43D5">
        <w:rPr>
          <w:rFonts w:ascii="Arial" w:hAnsi="Arial" w:cs="Arial"/>
          <w:sz w:val="20"/>
        </w:rPr>
        <w:t>h</w:t>
      </w:r>
      <w:r w:rsidR="00B749FE" w:rsidRPr="004C43D5">
        <w:rPr>
          <w:rFonts w:ascii="Arial" w:hAnsi="Arial" w:cs="Arial"/>
          <w:sz w:val="20"/>
        </w:rPr>
        <w:t>ypothalamus (HYPO)</w:t>
      </w:r>
      <w:r w:rsidR="00204B4F" w:rsidRPr="004C43D5">
        <w:rPr>
          <w:rFonts w:ascii="Arial" w:hAnsi="Arial" w:cs="Arial"/>
          <w:sz w:val="20"/>
        </w:rPr>
        <w:t xml:space="preserve">, </w:t>
      </w:r>
      <w:r w:rsidR="00A9306C" w:rsidRPr="004C43D5">
        <w:rPr>
          <w:rFonts w:ascii="Arial" w:hAnsi="Arial" w:cs="Arial"/>
          <w:sz w:val="20"/>
        </w:rPr>
        <w:t>a</w:t>
      </w:r>
      <w:r w:rsidR="00B749FE" w:rsidRPr="004C43D5">
        <w:rPr>
          <w:rFonts w:ascii="Arial" w:hAnsi="Arial" w:cs="Arial"/>
          <w:sz w:val="20"/>
        </w:rPr>
        <w:t>mygdala (AMY)</w:t>
      </w:r>
      <w:r w:rsidR="00204B4F" w:rsidRPr="004C43D5">
        <w:rPr>
          <w:rFonts w:ascii="Arial" w:hAnsi="Arial" w:cs="Arial"/>
          <w:sz w:val="20"/>
        </w:rPr>
        <w:t>,</w:t>
      </w:r>
      <w:r w:rsidR="00B749FE" w:rsidRPr="004C43D5">
        <w:rPr>
          <w:rFonts w:ascii="Arial" w:hAnsi="Arial" w:cs="Arial"/>
          <w:sz w:val="20"/>
        </w:rPr>
        <w:t xml:space="preserve"> </w:t>
      </w:r>
      <w:r w:rsidR="00A9306C" w:rsidRPr="004C43D5">
        <w:rPr>
          <w:rFonts w:ascii="Arial" w:hAnsi="Arial" w:cs="Arial"/>
          <w:sz w:val="20"/>
        </w:rPr>
        <w:t>s</w:t>
      </w:r>
      <w:r w:rsidR="00B749FE" w:rsidRPr="004C43D5">
        <w:rPr>
          <w:rFonts w:ascii="Arial" w:hAnsi="Arial" w:cs="Arial"/>
          <w:sz w:val="20"/>
        </w:rPr>
        <w:t xml:space="preserve">ubstantia </w:t>
      </w:r>
      <w:r w:rsidR="00A9306C" w:rsidRPr="004C43D5">
        <w:rPr>
          <w:rFonts w:ascii="Arial" w:hAnsi="Arial" w:cs="Arial"/>
          <w:sz w:val="20"/>
        </w:rPr>
        <w:t>n</w:t>
      </w:r>
      <w:r w:rsidR="00B749FE" w:rsidRPr="004C43D5">
        <w:rPr>
          <w:rFonts w:ascii="Arial" w:hAnsi="Arial" w:cs="Arial"/>
          <w:sz w:val="20"/>
        </w:rPr>
        <w:t>igra (SN)</w:t>
      </w:r>
      <w:r w:rsidR="00204B4F" w:rsidRPr="004C43D5">
        <w:rPr>
          <w:rFonts w:ascii="Arial" w:hAnsi="Arial" w:cs="Arial"/>
          <w:sz w:val="20"/>
        </w:rPr>
        <w:t xml:space="preserve">, </w:t>
      </w:r>
      <w:r w:rsidR="00A9306C" w:rsidRPr="004C43D5">
        <w:rPr>
          <w:rFonts w:ascii="Arial" w:hAnsi="Arial" w:cs="Arial"/>
          <w:sz w:val="20"/>
        </w:rPr>
        <w:t>ventral tegmental a</w:t>
      </w:r>
      <w:r w:rsidR="00B749FE" w:rsidRPr="004C43D5">
        <w:rPr>
          <w:rFonts w:ascii="Arial" w:hAnsi="Arial" w:cs="Arial"/>
          <w:sz w:val="20"/>
        </w:rPr>
        <w:t>rea (VTA)</w:t>
      </w:r>
      <w:r w:rsidR="00204B4F" w:rsidRPr="004C43D5">
        <w:rPr>
          <w:rFonts w:ascii="Arial" w:hAnsi="Arial" w:cs="Arial"/>
          <w:sz w:val="20"/>
        </w:rPr>
        <w:t xml:space="preserve">, </w:t>
      </w:r>
      <w:r w:rsidR="00A9306C" w:rsidRPr="004C43D5">
        <w:rPr>
          <w:rFonts w:ascii="Arial" w:hAnsi="Arial" w:cs="Arial"/>
          <w:sz w:val="20"/>
        </w:rPr>
        <w:t>d</w:t>
      </w:r>
      <w:r w:rsidR="00B749FE" w:rsidRPr="004C43D5">
        <w:rPr>
          <w:rFonts w:ascii="Arial" w:hAnsi="Arial" w:cs="Arial"/>
          <w:sz w:val="20"/>
        </w:rPr>
        <w:t>orsal raphe</w:t>
      </w:r>
      <w:r w:rsidR="00B749FE" w:rsidRPr="004C43D5">
        <w:rPr>
          <w:rFonts w:ascii="Arial" w:hAnsi="Arial" w:cs="Arial"/>
          <w:sz w:val="20"/>
          <w:lang w:val="en-GB"/>
        </w:rPr>
        <w:t xml:space="preserve"> </w:t>
      </w:r>
      <w:r w:rsidR="00B749FE" w:rsidRPr="004C43D5">
        <w:rPr>
          <w:rFonts w:ascii="Arial" w:hAnsi="Arial" w:cs="Arial"/>
          <w:sz w:val="20"/>
        </w:rPr>
        <w:t>(</w:t>
      </w:r>
      <w:r w:rsidR="00B749FE" w:rsidRPr="004C43D5">
        <w:rPr>
          <w:rFonts w:ascii="Arial" w:hAnsi="Arial" w:cs="Arial"/>
          <w:sz w:val="20"/>
          <w:lang w:val="en-GB"/>
        </w:rPr>
        <w:t>DR</w:t>
      </w:r>
      <w:r w:rsidR="00B749FE" w:rsidRPr="004C43D5">
        <w:rPr>
          <w:rFonts w:ascii="Arial" w:hAnsi="Arial" w:cs="Arial"/>
          <w:sz w:val="20"/>
        </w:rPr>
        <w:t>)</w:t>
      </w:r>
      <w:r w:rsidR="00204B4F" w:rsidRPr="004C43D5">
        <w:rPr>
          <w:rFonts w:ascii="Arial" w:hAnsi="Arial" w:cs="Arial"/>
          <w:sz w:val="20"/>
        </w:rPr>
        <w:t xml:space="preserve"> and </w:t>
      </w:r>
      <w:r w:rsidR="00A9306C" w:rsidRPr="004C43D5">
        <w:rPr>
          <w:rFonts w:ascii="Arial" w:hAnsi="Arial" w:cs="Arial"/>
          <w:sz w:val="20"/>
        </w:rPr>
        <w:t>l</w:t>
      </w:r>
      <w:r w:rsidR="00B749FE" w:rsidRPr="004C43D5">
        <w:rPr>
          <w:rFonts w:ascii="Arial" w:hAnsi="Arial" w:cs="Arial"/>
          <w:sz w:val="20"/>
        </w:rPr>
        <w:t>ocus ceruleus (LC)</w:t>
      </w:r>
      <w:r w:rsidR="00204B4F" w:rsidRPr="004C43D5">
        <w:rPr>
          <w:rFonts w:ascii="Arial" w:hAnsi="Arial" w:cs="Arial"/>
          <w:sz w:val="20"/>
        </w:rPr>
        <w:t xml:space="preserve">. </w:t>
      </w:r>
    </w:p>
    <w:p w14:paraId="4D3B9D56" w14:textId="77777777" w:rsidR="007F351A" w:rsidRPr="004C43D5" w:rsidRDefault="007F351A" w:rsidP="00204B4F">
      <w:pPr>
        <w:spacing w:line="360" w:lineRule="auto"/>
        <w:jc w:val="both"/>
        <w:rPr>
          <w:rFonts w:ascii="Arial" w:hAnsi="Arial" w:cs="Arial"/>
          <w:sz w:val="20"/>
        </w:rPr>
      </w:pPr>
    </w:p>
    <w:p w14:paraId="030FDB4A" w14:textId="77777777" w:rsidR="001D5AD6" w:rsidRPr="004C43D5" w:rsidRDefault="006B68B4" w:rsidP="001D5AD6">
      <w:pPr>
        <w:spacing w:line="360" w:lineRule="auto"/>
        <w:jc w:val="both"/>
        <w:rPr>
          <w:rFonts w:ascii="Arial" w:hAnsi="Arial" w:cs="Arial"/>
          <w:b/>
          <w:sz w:val="20"/>
        </w:rPr>
      </w:pPr>
      <w:r w:rsidRPr="004C43D5">
        <w:rPr>
          <w:rFonts w:ascii="Arial" w:hAnsi="Arial" w:cs="Arial"/>
          <w:b/>
          <w:sz w:val="20"/>
        </w:rPr>
        <w:t>S1.1</w:t>
      </w:r>
      <w:r w:rsidR="007F351A" w:rsidRPr="004C43D5">
        <w:rPr>
          <w:rFonts w:ascii="Arial" w:hAnsi="Arial" w:cs="Arial"/>
          <w:b/>
          <w:sz w:val="20"/>
        </w:rPr>
        <w:t>.1</w:t>
      </w:r>
      <w:r w:rsidR="00C74277" w:rsidRPr="004C43D5">
        <w:rPr>
          <w:rFonts w:ascii="Arial" w:hAnsi="Arial" w:cs="Arial"/>
          <w:b/>
          <w:sz w:val="20"/>
        </w:rPr>
        <w:t xml:space="preserve"> </w:t>
      </w:r>
      <w:r w:rsidR="001D5AD6" w:rsidRPr="004C43D5">
        <w:rPr>
          <w:rFonts w:ascii="Arial" w:hAnsi="Arial" w:cs="Arial"/>
          <w:b/>
          <w:sz w:val="20"/>
        </w:rPr>
        <w:t>Immunohystochemi</w:t>
      </w:r>
      <w:r w:rsidR="00EF51D1" w:rsidRPr="004C43D5">
        <w:rPr>
          <w:rFonts w:ascii="Arial" w:hAnsi="Arial" w:cs="Arial"/>
          <w:b/>
          <w:sz w:val="20"/>
        </w:rPr>
        <w:t>cal analyses</w:t>
      </w:r>
    </w:p>
    <w:p w14:paraId="125C60B4" w14:textId="5EB40D26" w:rsidR="001D5AD6" w:rsidRPr="004C43D5" w:rsidRDefault="001D5AD6" w:rsidP="001D5AD6">
      <w:pPr>
        <w:spacing w:line="360" w:lineRule="auto"/>
        <w:jc w:val="both"/>
        <w:rPr>
          <w:rFonts w:ascii="Arial" w:hAnsi="Arial" w:cs="Arial"/>
          <w:sz w:val="20"/>
        </w:rPr>
      </w:pPr>
      <w:r w:rsidRPr="004C43D5">
        <w:rPr>
          <w:rFonts w:ascii="Arial" w:hAnsi="Arial" w:cs="Arial"/>
          <w:sz w:val="20"/>
        </w:rPr>
        <w:t xml:space="preserve">c-Fos immunohistochemistry was performed in brain areas controlling different aspects of eating and eating-related behavior that included the AMY and the </w:t>
      </w:r>
      <w:r w:rsidR="00A9306C" w:rsidRPr="004C43D5">
        <w:rPr>
          <w:rFonts w:ascii="Arial" w:hAnsi="Arial" w:cs="Arial"/>
          <w:sz w:val="20"/>
        </w:rPr>
        <w:t>pa</w:t>
      </w:r>
      <w:r w:rsidR="00675257" w:rsidRPr="004C43D5">
        <w:rPr>
          <w:rFonts w:ascii="Arial" w:hAnsi="Arial" w:cs="Arial"/>
          <w:sz w:val="20"/>
        </w:rPr>
        <w:t>raventricular nucleus of hypothalamus (</w:t>
      </w:r>
      <w:r w:rsidRPr="004C43D5">
        <w:rPr>
          <w:rFonts w:ascii="Arial" w:hAnsi="Arial" w:cs="Arial"/>
          <w:sz w:val="20"/>
        </w:rPr>
        <w:t>PVN</w:t>
      </w:r>
      <w:r w:rsidR="00675257" w:rsidRPr="004C43D5">
        <w:rPr>
          <w:rFonts w:ascii="Arial" w:hAnsi="Arial" w:cs="Arial"/>
          <w:sz w:val="20"/>
        </w:rPr>
        <w:t>)</w:t>
      </w:r>
      <w:r w:rsidRPr="004C43D5">
        <w:rPr>
          <w:rFonts w:ascii="Arial" w:hAnsi="Arial" w:cs="Arial"/>
          <w:sz w:val="20"/>
        </w:rPr>
        <w:t xml:space="preserve">, which are crucially involved in the control of stress and hedonic/homeostatic feeding respectively, different limbic areas (Acb, CPu, VTA and SN), which regulate the reinforcement and the motivational aspects of feeding, the ventral pallidum (VP) and the pedunculopontine nucleus (PP), which regulate the activity </w:t>
      </w:r>
      <w:r w:rsidR="007C1049" w:rsidRPr="004C43D5">
        <w:rPr>
          <w:rFonts w:ascii="Arial" w:hAnsi="Arial" w:cs="Arial"/>
          <w:sz w:val="20"/>
        </w:rPr>
        <w:t xml:space="preserve">of </w:t>
      </w:r>
      <w:r w:rsidR="00675257" w:rsidRPr="004C43D5">
        <w:rPr>
          <w:rFonts w:ascii="Arial" w:hAnsi="Arial" w:cs="Arial"/>
          <w:sz w:val="20"/>
        </w:rPr>
        <w:t>dopamine (</w:t>
      </w:r>
      <w:r w:rsidR="007C1049" w:rsidRPr="004C43D5">
        <w:rPr>
          <w:rFonts w:ascii="Arial" w:hAnsi="Arial" w:cs="Arial"/>
          <w:sz w:val="20"/>
        </w:rPr>
        <w:t>DA</w:t>
      </w:r>
      <w:r w:rsidR="00675257" w:rsidRPr="004C43D5">
        <w:rPr>
          <w:rFonts w:ascii="Arial" w:hAnsi="Arial" w:cs="Arial"/>
          <w:sz w:val="20"/>
        </w:rPr>
        <w:t>)</w:t>
      </w:r>
      <w:r w:rsidR="007C1049" w:rsidRPr="004C43D5">
        <w:rPr>
          <w:rFonts w:ascii="Arial" w:hAnsi="Arial" w:cs="Arial"/>
          <w:sz w:val="20"/>
        </w:rPr>
        <w:t xml:space="preserve"> neurons withi</w:t>
      </w:r>
      <w:r w:rsidR="002C41E6" w:rsidRPr="004C43D5">
        <w:rPr>
          <w:rFonts w:ascii="Arial" w:hAnsi="Arial" w:cs="Arial"/>
          <w:sz w:val="20"/>
        </w:rPr>
        <w:t xml:space="preserve">n the VTA </w:t>
      </w:r>
      <w:r w:rsidR="00D6047E" w:rsidRPr="004C43D5">
        <w:rPr>
          <w:rFonts w:ascii="Arial" w:hAnsi="Arial" w:cs="Arial"/>
          <w:sz w:val="20"/>
        </w:rPr>
        <w:fldChar w:fldCharType="begin" w:fldLock="1"/>
      </w:r>
      <w:r w:rsidR="00C80FE2" w:rsidRPr="004C43D5">
        <w:rPr>
          <w:rFonts w:ascii="Arial" w:hAnsi="Arial" w:cs="Arial"/>
          <w:sz w:val="20"/>
        </w:rPr>
        <w:instrText>ADDIN CSL_CITATION {"citationItems":[{"id":"ITEM-1","itemData":{"DOI":"10.1038/nn1103","ISSN":"1097-6256","PMID":"12897785","abstract":"The mesolimbic dopamine system is centrally involved in reward and goal-directed behavior, and it has been implicated in multiple psychiatric disorders. Understanding the mechanism by which dopamine participates in these activities requires comprehension of the dynamics of dopamine release. Here we report dissociable regulation of dopamine neuron discharge by two separate afferent systems in rats; inhibition of pallidal afferents selectively increased the population activity of dopamine neurons, whereas activation of pedunculopontine inputs increased burst firing. Only the increase in population activity increased ventral striatal dopamine efflux. After blockade of dopamine reuptake, however, enhanced bursting increased dopamine efflux three times more than did enhanced population activity. These results provide insight into multiple regulatory systems that modulate dopamine system function: burst firing induces massive synaptic dopamine release, which is rapidly removed by reuptake before escaping the synaptic cleft, whereas increased population activity modulates tonic extrasynaptic dopamine levels that are less influenced by reuptake.","author":[{"dropping-particle":"","family":"Floresco","given":"Stan B","non-dropping-particle":"","parse-names":false,"suffix":""},{"dropping-particle":"","family":"West","given":"Anthony R","non-dropping-particle":"","parse-names":false,"suffix":""},{"dropping-particle":"","family":"Ash","given":"Brian","non-dropping-particle":"","parse-names":false,"suffix":""},{"dropping-particle":"","family":"Moore","given":"Holly","non-dropping-particle":"","parse-names":false,"suffix":""},{"dropping-particle":"","family":"Grace","given":"Anthony A","non-dropping-particle":"","parse-names":false,"suffix":""}],"container-title":"Nature neuroscience","id":"ITEM-1","issue":"9","issued":{"date-parts":[["2003","9"]]},"page":"968-73","title":"Afferent modulation of dopamine neuron firing differentially regulates tonic and phasic dopamine transmission.","type":"article-journal","volume":"6"},"uris":["http://www.mendeley.com/documents/?uuid=fba72f23-6e28-40ac-abfb-c0f2333161b3"]}],"mendeley":{"formattedCitation":"&lt;span style=\"baseline\"&gt;[2]&lt;/span&gt;","plainTextFormattedCitation":"[2]","previouslyFormattedCitation":"&lt;span style=\"baseline\"&gt;[2]&lt;/span&gt;"},"properties":{"noteIndex":0},"schema":"https://github.com/citation-style-language/schema/raw/master/csl-citation.json"}</w:instrText>
      </w:r>
      <w:r w:rsidR="00D6047E" w:rsidRPr="004C43D5">
        <w:rPr>
          <w:rFonts w:ascii="Arial" w:hAnsi="Arial" w:cs="Arial"/>
          <w:sz w:val="20"/>
        </w:rPr>
        <w:fldChar w:fldCharType="separate"/>
      </w:r>
      <w:r w:rsidR="00121CC6" w:rsidRPr="004C43D5">
        <w:rPr>
          <w:rFonts w:ascii="Arial" w:hAnsi="Arial" w:cs="Arial"/>
          <w:noProof/>
          <w:sz w:val="20"/>
        </w:rPr>
        <w:t>[2]</w:t>
      </w:r>
      <w:r w:rsidR="00D6047E" w:rsidRPr="004C43D5">
        <w:rPr>
          <w:rFonts w:ascii="Arial" w:hAnsi="Arial" w:cs="Arial"/>
          <w:sz w:val="20"/>
        </w:rPr>
        <w:fldChar w:fldCharType="end"/>
      </w:r>
      <w:r w:rsidRPr="004C43D5">
        <w:rPr>
          <w:rFonts w:ascii="Arial" w:hAnsi="Arial" w:cs="Arial"/>
          <w:sz w:val="20"/>
        </w:rPr>
        <w:t>. Furthermore, a second series of sections containing the CPu and Acb was immunostained for oxytocin receptor.</w:t>
      </w:r>
      <w:r w:rsidR="007F351A" w:rsidRPr="004C43D5">
        <w:rPr>
          <w:rFonts w:ascii="Arial" w:hAnsi="Arial" w:cs="Arial"/>
          <w:sz w:val="20"/>
        </w:rPr>
        <w:t xml:space="preserve"> Briefly brain slices containing the desired brain areas underwent antigen retrieval procedure by submerging selected slides in a sodium citrate buffer (10 mM p</w:t>
      </w:r>
      <w:r w:rsidR="002C41E6" w:rsidRPr="004C43D5">
        <w:rPr>
          <w:rFonts w:ascii="Arial" w:hAnsi="Arial" w:cs="Arial"/>
          <w:sz w:val="20"/>
        </w:rPr>
        <w:t>H 6.0) heated at 95°C for 5 min</w:t>
      </w:r>
      <w:r w:rsidR="00AE3800" w:rsidRPr="004C43D5">
        <w:rPr>
          <w:rFonts w:ascii="Arial" w:hAnsi="Arial" w:cs="Arial"/>
          <w:sz w:val="20"/>
        </w:rPr>
        <w:t xml:space="preserve"> </w:t>
      </w:r>
      <w:r w:rsidR="007F351A" w:rsidRPr="004C43D5">
        <w:rPr>
          <w:rFonts w:ascii="Arial" w:hAnsi="Arial" w:cs="Arial"/>
          <w:sz w:val="20"/>
        </w:rPr>
        <w:fldChar w:fldCharType="begin" w:fldLock="1"/>
      </w:r>
      <w:r w:rsidR="00C80FE2" w:rsidRPr="004C43D5">
        <w:rPr>
          <w:rFonts w:ascii="Arial" w:hAnsi="Arial" w:cs="Arial"/>
          <w:sz w:val="20"/>
        </w:rPr>
        <w:instrText>ADDIN CSL_CITATION {"citationItems":[{"id":"ITEM-1","itemData":{"DOI":"10.1016/j.phrs.2017.05.017","ISSN":"10436618","author":[{"dropping-particle":"","family":"Romano","given":"Adele","non-dropping-particle":"","parse-names":false,"suffix":""},{"dropping-particle":"","family":"Gallelli","given":"Cristina Anna","non-dropping-particle":"","parse-names":false,"suffix":""},{"dropping-particle":"","family":"Koczwara","given":"Justyna Barbara","non-dropping-particle":"","parse-names":false,"suffix":""},{"dropping-particle":"","family":"Braegger","given":"Fiona E.","non-dropping-particle":"","parse-names":false,"suffix":""},{"dropping-particle":"","family":"Vitalone","given":"Annabella","non-dropping-particle":"","parse-names":false,"suffix":""},{"dropping-particle":"","family":"Falchi","given":"Mario","non-dropping-particle":"","parse-names":false,"suffix":""},{"dropping-particle":"","family":"Micioni Di Bonaventura","given":"Maria Vittoria","non-dropping-particle":"","parse-names":false,"suffix":""},{"dropping-particle":"","family":"Cifani","given":"Carlo","non-dropping-particle":"","parse-names":false,"suffix":""},{"dropping-particle":"","family":"Cassano","given":"Tommaso","non-dropping-particle":"","parse-names":false,"suffix":""},{"dropping-particle":"","family":"Lutz","given":"Thomas A.","non-dropping-particle":"","parse-names":false,"suffix":""},{"dropping-particle":"","family":"Gaetani","given":"Silvana","non-dropping-particle":"","parse-names":false,"suffix":""}],"container-title":"Pharmacological Research","id":"ITEM-1","issued":{"date-parts":[["2017","8"]]},"page":"20-34","title":"Role of the area postrema in the hypophagic effects of oleoylethanolamide","type":"article-journal","volume":"122"},"uris":["http://www.mendeley.com/documents/?uuid=d8a14d00-4a7d-4c51-b7d9-1193031a8c84"]}],"mendeley":{"formattedCitation":"&lt;span style=\"baseline\"&gt;[3]&lt;/span&gt;","plainTextFormattedCitation":"[3]","previouslyFormattedCitation":"&lt;span style=\"baseline\"&gt;[3]&lt;/span&gt;"},"properties":{"noteIndex":0},"schema":"https://github.com/citation-style-language/schema/raw/master/csl-citation.json"}</w:instrText>
      </w:r>
      <w:r w:rsidR="007F351A" w:rsidRPr="004C43D5">
        <w:rPr>
          <w:rFonts w:ascii="Arial" w:hAnsi="Arial" w:cs="Arial"/>
          <w:sz w:val="20"/>
        </w:rPr>
        <w:fldChar w:fldCharType="separate"/>
      </w:r>
      <w:r w:rsidR="00121CC6" w:rsidRPr="004C43D5">
        <w:rPr>
          <w:rFonts w:ascii="Arial" w:hAnsi="Arial" w:cs="Arial"/>
          <w:noProof/>
          <w:sz w:val="20"/>
        </w:rPr>
        <w:t>[3]</w:t>
      </w:r>
      <w:r w:rsidR="007F351A" w:rsidRPr="004C43D5">
        <w:rPr>
          <w:rFonts w:ascii="Arial" w:hAnsi="Arial" w:cs="Arial"/>
          <w:sz w:val="20"/>
        </w:rPr>
        <w:fldChar w:fldCharType="end"/>
      </w:r>
      <w:r w:rsidR="007F351A" w:rsidRPr="004C43D5">
        <w:rPr>
          <w:rFonts w:ascii="Arial" w:hAnsi="Arial" w:cs="Arial"/>
          <w:sz w:val="20"/>
        </w:rPr>
        <w:t>. Sections were then rinsed with PB (0.1 M pH 7.4) and, for c-Fos immunostaining, they were incubated for 1 h in a blocking solution containing 0.1% Triton X-100 (Sigma–Aldrich) and 2% of Normal Donkey Serum (Jackson Immunoresearch, Baltimore Pike, Pennsylvania); for oxytocin receptor, the blocking solution contained 0.05% Triton X-100 (Sigma–Aldrich) and 10% of bovine serum albumin (BSA) (SERVA Electrophoresis GmbH) and lasted 2 h. After additional washes, sections were incubated with a solution containing the primary antibodies (rabbit anti-c-Fos polyclonal primary an</w:t>
      </w:r>
      <w:r w:rsidR="002C41E6" w:rsidRPr="004C43D5">
        <w:rPr>
          <w:rFonts w:ascii="Arial" w:hAnsi="Arial" w:cs="Arial"/>
          <w:sz w:val="20"/>
        </w:rPr>
        <w:t xml:space="preserve">tibody, 1:5000 </w:t>
      </w:r>
      <w:r w:rsidR="007F351A" w:rsidRPr="004C43D5">
        <w:rPr>
          <w:rFonts w:ascii="Arial" w:hAnsi="Arial" w:cs="Arial"/>
          <w:sz w:val="20"/>
        </w:rPr>
        <w:t xml:space="preserve">dilution, Santa Cruz California, </w:t>
      </w:r>
      <w:r w:rsidR="00001825" w:rsidRPr="004C43D5">
        <w:rPr>
          <w:rFonts w:ascii="Arial" w:hAnsi="Arial" w:cs="Arial"/>
          <w:sz w:val="20"/>
        </w:rPr>
        <w:t>RRID: AB_2106783,</w:t>
      </w:r>
      <w:r w:rsidR="00001825" w:rsidRPr="004C43D5">
        <w:rPr>
          <w:rStyle w:val="tl8wme"/>
          <w:b/>
          <w:bCs/>
        </w:rPr>
        <w:t xml:space="preserve"> </w:t>
      </w:r>
      <w:r w:rsidR="007F351A" w:rsidRPr="004C43D5">
        <w:rPr>
          <w:rFonts w:ascii="Arial" w:hAnsi="Arial" w:cs="Arial"/>
          <w:sz w:val="20"/>
        </w:rPr>
        <w:t>for 48 h; rabbit anti-OXTR, 1:500 dilution, Alomone Labs,</w:t>
      </w:r>
      <w:r w:rsidR="00214BC0" w:rsidRPr="004C43D5">
        <w:t xml:space="preserve"> </w:t>
      </w:r>
      <w:r w:rsidR="00214BC0" w:rsidRPr="004C43D5">
        <w:rPr>
          <w:rFonts w:ascii="Arial" w:hAnsi="Arial" w:cs="Arial"/>
          <w:sz w:val="20"/>
        </w:rPr>
        <w:t>RRID: AB_2651123,</w:t>
      </w:r>
      <w:r w:rsidR="007F351A" w:rsidRPr="004C43D5">
        <w:rPr>
          <w:rFonts w:ascii="Arial" w:hAnsi="Arial" w:cs="Arial"/>
          <w:sz w:val="20"/>
        </w:rPr>
        <w:t xml:space="preserve"> for 24 h) at 4°C. The sections were then incubated with biotinylated donkey anti-rabbit IgG (1:500 in 0.3% PBT, Jackson Immunoresearch, Baltimore Pike, Pennsylvania</w:t>
      </w:r>
      <w:r w:rsidR="00214BC0" w:rsidRPr="004C43D5">
        <w:rPr>
          <w:rFonts w:ascii="Arial" w:hAnsi="Arial" w:cs="Arial"/>
          <w:sz w:val="20"/>
        </w:rPr>
        <w:t>, RRID: AB_2340594</w:t>
      </w:r>
      <w:r w:rsidR="007F351A" w:rsidRPr="004C43D5">
        <w:rPr>
          <w:rFonts w:ascii="Arial" w:hAnsi="Arial" w:cs="Arial"/>
          <w:sz w:val="20"/>
        </w:rPr>
        <w:t xml:space="preserve">) for 2 h at room temperature. After incubation for 1 h with the ABC Kit (Vectastain ABC kit; Vector Laboratories), sections were stained by incubation in DAB (Vector Laboratories) chromogen solution. The slides were then rinsed with PBS, dehydrated in graded alcohol, immersed in xylene and cover-slipped with Eukitt (Sigma–Aldrich). For the semi-quantitative analysis of the slices processed by immunohystochemistry, all brain sections were observed under a Nikon Eclipse 80i microscope equipped with a colour charge-coupled device camera and controlled by the software NIS-Elements-BR (Nikon). Slices were photographed in light field using </w:t>
      </w:r>
      <w:r w:rsidR="007F351A" w:rsidRPr="004C43D5">
        <w:rPr>
          <w:rFonts w:ascii="Arial" w:hAnsi="Arial" w:cs="Arial"/>
          <w:sz w:val="20"/>
        </w:rPr>
        <w:lastRenderedPageBreak/>
        <w:t>a 4× objective, and the rat br</w:t>
      </w:r>
      <w:r w:rsidR="002C41E6" w:rsidRPr="004C43D5">
        <w:rPr>
          <w:rFonts w:ascii="Arial" w:hAnsi="Arial" w:cs="Arial"/>
          <w:sz w:val="20"/>
        </w:rPr>
        <w:t>ain atlas by Paxinos and Watson</w:t>
      </w:r>
      <w:r w:rsidR="00AE3800" w:rsidRPr="004C43D5">
        <w:rPr>
          <w:rFonts w:ascii="Arial" w:hAnsi="Arial" w:cs="Arial"/>
          <w:sz w:val="20"/>
        </w:rPr>
        <w:t xml:space="preserve"> </w:t>
      </w:r>
      <w:r w:rsidR="007F351A" w:rsidRPr="004C43D5">
        <w:rPr>
          <w:rFonts w:ascii="Arial" w:hAnsi="Arial" w:cs="Arial"/>
          <w:sz w:val="20"/>
        </w:rPr>
        <w:fldChar w:fldCharType="begin" w:fldLock="1"/>
      </w:r>
      <w:r w:rsidR="00C80FE2" w:rsidRPr="004C43D5">
        <w:rPr>
          <w:rFonts w:ascii="Arial" w:hAnsi="Arial" w:cs="Arial"/>
          <w:sz w:val="20"/>
        </w:rPr>
        <w:instrText>ADDIN CSL_CITATION {"citationItems":[{"id":"ITEM-1","itemData":{"author":[{"dropping-particle":"","family":"Paxinos G","given":"Watson C","non-dropping-particle":"","parse-names":false,"suffix":""}],"edition":"fourth ed.","id":"ITEM-1","issued":{"date-parts":[["1998"]]},"publisher":"Academic Press","publisher-place":"San Diego","title":"The Rat Brain in Stereotaxic Coordinates","type":"book"},"uris":["http://www.mendeley.com/documents/?uuid=24d556b0-8048-4a16-bf52-eb7281842d9d"]}],"mendeley":{"formattedCitation":"&lt;span style=\"baseline\"&gt;[4]&lt;/span&gt;","plainTextFormattedCitation":"[4]","previouslyFormattedCitation":"&lt;span style=\"baseline\"&gt;[4]&lt;/span&gt;"},"properties":{"noteIndex":0},"schema":"https://github.com/citation-style-language/schema/raw/master/csl-citation.json"}</w:instrText>
      </w:r>
      <w:r w:rsidR="007F351A" w:rsidRPr="004C43D5">
        <w:rPr>
          <w:rFonts w:ascii="Arial" w:hAnsi="Arial" w:cs="Arial"/>
          <w:sz w:val="20"/>
        </w:rPr>
        <w:fldChar w:fldCharType="separate"/>
      </w:r>
      <w:r w:rsidR="00121CC6" w:rsidRPr="004C43D5">
        <w:rPr>
          <w:rFonts w:ascii="Arial" w:hAnsi="Arial" w:cs="Arial"/>
          <w:noProof/>
          <w:sz w:val="20"/>
        </w:rPr>
        <w:t>[4]</w:t>
      </w:r>
      <w:r w:rsidR="007F351A" w:rsidRPr="004C43D5">
        <w:rPr>
          <w:rFonts w:ascii="Arial" w:hAnsi="Arial" w:cs="Arial"/>
          <w:sz w:val="20"/>
        </w:rPr>
        <w:fldChar w:fldCharType="end"/>
      </w:r>
      <w:r w:rsidR="007F351A" w:rsidRPr="004C43D5">
        <w:rPr>
          <w:rFonts w:ascii="Arial" w:hAnsi="Arial" w:cs="Arial"/>
          <w:sz w:val="20"/>
        </w:rPr>
        <w:t xml:space="preserve"> was used as reference for the localization of the brain areas of interest. c-Fos and oxytocin receptor DAB-immunostaining were measured semi-quantitatively as optical density (OD) by using the Scion Image J software and considering, for background normalization, the averaged OD either of non-immunoreactive regions or of white matter structures within the same brain slice. </w:t>
      </w:r>
      <w:r w:rsidRPr="004C43D5">
        <w:rPr>
          <w:rFonts w:ascii="Arial" w:hAnsi="Arial" w:cs="Arial"/>
          <w:sz w:val="20"/>
        </w:rPr>
        <w:t>For this analysis the investigator was blind to experimental groups and measurements were obtained in at least five consecutive tissue sections per animal containing the desired structure.</w:t>
      </w:r>
    </w:p>
    <w:p w14:paraId="7CF6A36B" w14:textId="77777777" w:rsidR="007F351A" w:rsidRPr="004C43D5" w:rsidRDefault="007F351A" w:rsidP="001D5AD6">
      <w:pPr>
        <w:spacing w:line="360" w:lineRule="auto"/>
        <w:jc w:val="both"/>
        <w:rPr>
          <w:rFonts w:ascii="Arial" w:hAnsi="Arial" w:cs="Arial"/>
          <w:sz w:val="20"/>
        </w:rPr>
      </w:pPr>
    </w:p>
    <w:p w14:paraId="1CE84266" w14:textId="77777777" w:rsidR="001D5AD6" w:rsidRPr="004C43D5" w:rsidRDefault="006B68B4" w:rsidP="001D5AD6">
      <w:pPr>
        <w:spacing w:line="360" w:lineRule="auto"/>
        <w:jc w:val="both"/>
        <w:rPr>
          <w:rFonts w:ascii="Arial" w:hAnsi="Arial" w:cs="Arial"/>
          <w:b/>
          <w:sz w:val="20"/>
        </w:rPr>
      </w:pPr>
      <w:r w:rsidRPr="004C43D5">
        <w:rPr>
          <w:rFonts w:ascii="Arial" w:hAnsi="Arial" w:cs="Arial"/>
          <w:b/>
          <w:sz w:val="20"/>
        </w:rPr>
        <w:t>S1.1</w:t>
      </w:r>
      <w:r w:rsidR="007F351A" w:rsidRPr="004C43D5">
        <w:rPr>
          <w:rFonts w:ascii="Arial" w:hAnsi="Arial" w:cs="Arial"/>
          <w:b/>
          <w:sz w:val="20"/>
        </w:rPr>
        <w:t>.2</w:t>
      </w:r>
      <w:r w:rsidR="001D5AD6" w:rsidRPr="004C43D5">
        <w:rPr>
          <w:rFonts w:ascii="Arial" w:hAnsi="Arial" w:cs="Arial"/>
          <w:b/>
          <w:sz w:val="20"/>
        </w:rPr>
        <w:t xml:space="preserve"> </w:t>
      </w:r>
      <w:r w:rsidR="001D54F9" w:rsidRPr="004C43D5">
        <w:rPr>
          <w:rFonts w:ascii="Arial" w:hAnsi="Arial" w:cs="Arial"/>
          <w:b/>
          <w:sz w:val="20"/>
        </w:rPr>
        <w:t>HPLC analysis of monoamines and monoamine metabolites extracted from brain tissues</w:t>
      </w:r>
    </w:p>
    <w:p w14:paraId="154806B8" w14:textId="6D3F0CA3" w:rsidR="00204B4F" w:rsidRPr="004C43D5" w:rsidRDefault="001D5AD6" w:rsidP="001D5AD6">
      <w:pPr>
        <w:spacing w:line="360" w:lineRule="auto"/>
        <w:jc w:val="both"/>
        <w:rPr>
          <w:rFonts w:ascii="Arial" w:hAnsi="Arial" w:cs="Arial"/>
          <w:sz w:val="20"/>
        </w:rPr>
      </w:pPr>
      <w:r w:rsidRPr="004C43D5">
        <w:rPr>
          <w:rFonts w:ascii="Arial" w:hAnsi="Arial" w:cs="Arial"/>
          <w:sz w:val="20"/>
        </w:rPr>
        <w:t>Brain samples obtained by microdissections from NR</w:t>
      </w:r>
      <w:r w:rsidR="00BB14A0" w:rsidRPr="004C43D5">
        <w:rPr>
          <w:rFonts w:ascii="Arial" w:hAnsi="Arial" w:cs="Arial"/>
          <w:sz w:val="20"/>
        </w:rPr>
        <w:t xml:space="preserve"> </w:t>
      </w:r>
      <w:r w:rsidRPr="004C43D5">
        <w:rPr>
          <w:rFonts w:ascii="Arial" w:hAnsi="Arial" w:cs="Arial"/>
          <w:sz w:val="20"/>
        </w:rPr>
        <w:t>+</w:t>
      </w:r>
      <w:r w:rsidR="00BB14A0" w:rsidRPr="004C43D5">
        <w:rPr>
          <w:rFonts w:ascii="Arial" w:hAnsi="Arial" w:cs="Arial"/>
          <w:sz w:val="20"/>
        </w:rPr>
        <w:t xml:space="preserve"> </w:t>
      </w:r>
      <w:r w:rsidRPr="004C43D5">
        <w:rPr>
          <w:rFonts w:ascii="Arial" w:hAnsi="Arial" w:cs="Arial"/>
          <w:sz w:val="20"/>
        </w:rPr>
        <w:t>S and R</w:t>
      </w:r>
      <w:r w:rsidR="00BB14A0" w:rsidRPr="004C43D5">
        <w:rPr>
          <w:rFonts w:ascii="Arial" w:hAnsi="Arial" w:cs="Arial"/>
          <w:sz w:val="20"/>
        </w:rPr>
        <w:t xml:space="preserve"> </w:t>
      </w:r>
      <w:r w:rsidRPr="004C43D5">
        <w:rPr>
          <w:rFonts w:ascii="Arial" w:hAnsi="Arial" w:cs="Arial"/>
          <w:sz w:val="20"/>
        </w:rPr>
        <w:t>+</w:t>
      </w:r>
      <w:r w:rsidR="00BB14A0" w:rsidRPr="004C43D5">
        <w:rPr>
          <w:rFonts w:ascii="Arial" w:hAnsi="Arial" w:cs="Arial"/>
          <w:sz w:val="20"/>
        </w:rPr>
        <w:t xml:space="preserve"> </w:t>
      </w:r>
      <w:r w:rsidRPr="004C43D5">
        <w:rPr>
          <w:rFonts w:ascii="Arial" w:hAnsi="Arial" w:cs="Arial"/>
          <w:sz w:val="20"/>
        </w:rPr>
        <w:t xml:space="preserve">S rats treated with either </w:t>
      </w:r>
      <w:r w:rsidR="00372EE1" w:rsidRPr="004C43D5">
        <w:rPr>
          <w:rFonts w:ascii="Arial" w:hAnsi="Arial" w:cs="Arial"/>
          <w:sz w:val="20"/>
        </w:rPr>
        <w:t>oleoylethanolamide (OEA)</w:t>
      </w:r>
      <w:r w:rsidRPr="004C43D5">
        <w:rPr>
          <w:rFonts w:ascii="Arial" w:hAnsi="Arial" w:cs="Arial"/>
          <w:sz w:val="20"/>
        </w:rPr>
        <w:t xml:space="preserve"> or vehicle and sacrificed 1 h after gaining access to the HPF were ultrasonicated in ice-cold 0.1 M perchloric acid and then centrifuged at 15000 × g for 20 min at</w:t>
      </w:r>
      <w:r w:rsidR="007C1049" w:rsidRPr="004C43D5">
        <w:rPr>
          <w:rFonts w:ascii="Arial" w:hAnsi="Arial" w:cs="Arial"/>
          <w:sz w:val="20"/>
        </w:rPr>
        <w:t xml:space="preserve"> 4°C a</w:t>
      </w:r>
      <w:r w:rsidR="00D6047E" w:rsidRPr="004C43D5">
        <w:rPr>
          <w:rFonts w:ascii="Arial" w:hAnsi="Arial" w:cs="Arial"/>
          <w:sz w:val="20"/>
        </w:rPr>
        <w:t xml:space="preserve">s previously described </w:t>
      </w:r>
      <w:r w:rsidR="00D6047E" w:rsidRPr="004C43D5">
        <w:rPr>
          <w:rFonts w:ascii="Arial" w:hAnsi="Arial" w:cs="Arial"/>
          <w:sz w:val="20"/>
        </w:rPr>
        <w:fldChar w:fldCharType="begin" w:fldLock="1"/>
      </w:r>
      <w:r w:rsidR="00C80FE2" w:rsidRPr="004C43D5">
        <w:rPr>
          <w:rFonts w:ascii="Arial" w:hAnsi="Arial" w:cs="Arial"/>
          <w:sz w:val="20"/>
        </w:rPr>
        <w:instrText>ADDIN CSL_CITATION {"citationItems":[{"id":"ITEM-1","itemData":{"DOI":"10.1007/s11064-009-9928-5","ISSN":"1573-6903","PMID":"19229609","abstract":"The goal of our study was to assess the monoaminergic changes in locus coeruleus (LC) and dorsal raphe nucleus (DRN) following noradrenaline (NA) depletion. Seven days after a single N-(2-chloroethyl)-N-ethyl-2-bromobenzylamine (DSP-4) intraperitoneal administration in mice, we observed a decrease of NA in both the LC and DRN, as well as in prefrontal cortex (PFC) and hippocampus (HIPP). Moreover, an increase of serotonin (5-HT) and 5-hydroxyindolacetic acid (5-HIAA) was detected at LC level, while no change was found in DRN. DSP-4 also caused a significant decrease of dopamine (DA) tissue content in HIPP and DRN, without affecting the LC and the PFC. A decrease of DA metabolite, homovanillic acid (HVA), was found in the DRN of NA-depleted mice. These results highlight that the neurotoxic action of DSP-4 is not restricted to LC terminal projections but also involves NA depletion at the cell body level, where it is paralleled by adaptive changes in both serotonergic and dopaminergic systems.","author":[{"dropping-particle":"","family":"Cassano","given":"Tommaso","non-dropping-particle":"","parse-names":false,"suffix":""},{"dropping-particle":"","family":"Gaetani","given":"Silvana","non-dropping-particle":"","parse-names":false,"suffix":""},{"dropping-particle":"","family":"Morgese","given":"Maria Grazia","non-dropping-particle":"","parse-names":false,"suffix":""},{"dropping-particle":"","family":"Macheda","given":"Teresa","non-dropping-particle":"","parse-names":false,"suffix":""},{"dropping-particle":"","family":"Laconca","given":"Leonardo","non-dropping-particle":"","parse-names":false,"suffix":""},{"dropping-particle":"","family":"Dipasquale","given":"Pasqua","non-dropping-particle":"","parse-names":false,"suffix":""},{"dropping-particle":"","family":"Taltavull","given":"Juan","non-dropping-particle":"","parse-names":false,"suffix":""},{"dropping-particle":"","family":"Shippenberg","given":"Toni S","non-dropping-particle":"","parse-names":false,"suffix":""},{"dropping-particle":"","family":"Cuomo","given":"Vincenzo","non-dropping-particle":"","parse-names":false,"suffix":""},{"dropping-particle":"","family":"Gobbi","given":"Gabriella","non-dropping-particle":"","parse-names":false,"suffix":""}],"container-title":"Neurochemical research","id":"ITEM-1","issue":"8","issued":{"date-parts":[["2009","8"]]},"page":"1417-26","title":"Monoaminergic changes in locus coeruleus and dorsal raphe nucleus following noradrenaline depletion.","type":"article-journal","volume":"34"},"uris":["http://www.mendeley.com/documents/?uuid=2300a5da-9b24-41b2-8b80-90f9ccc93708"]}],"mendeley":{"formattedCitation":"&lt;span style=\"baseline\"&gt;[5]&lt;/span&gt;","plainTextFormattedCitation":"[5]","previouslyFormattedCitation":"&lt;span style=\"baseline\"&gt;[5]&lt;/span&gt;"},"properties":{"noteIndex":0},"schema":"https://github.com/citation-style-language/schema/raw/master/csl-citation.json"}</w:instrText>
      </w:r>
      <w:r w:rsidR="00D6047E" w:rsidRPr="004C43D5">
        <w:rPr>
          <w:rFonts w:ascii="Arial" w:hAnsi="Arial" w:cs="Arial"/>
          <w:sz w:val="20"/>
        </w:rPr>
        <w:fldChar w:fldCharType="separate"/>
      </w:r>
      <w:r w:rsidR="00121CC6" w:rsidRPr="004C43D5">
        <w:rPr>
          <w:rFonts w:ascii="Arial" w:hAnsi="Arial" w:cs="Arial"/>
          <w:noProof/>
          <w:sz w:val="20"/>
        </w:rPr>
        <w:t>[5]</w:t>
      </w:r>
      <w:r w:rsidR="00D6047E" w:rsidRPr="004C43D5">
        <w:rPr>
          <w:rFonts w:ascii="Arial" w:hAnsi="Arial" w:cs="Arial"/>
          <w:sz w:val="20"/>
        </w:rPr>
        <w:fldChar w:fldCharType="end"/>
      </w:r>
      <w:r w:rsidRPr="004C43D5">
        <w:rPr>
          <w:rFonts w:ascii="Arial" w:hAnsi="Arial" w:cs="Arial"/>
          <w:sz w:val="20"/>
        </w:rPr>
        <w:t>. Supernatants were collected and used for HPLC analyses to determine monoamine- and mono</w:t>
      </w:r>
      <w:r w:rsidR="001D54F9" w:rsidRPr="004C43D5">
        <w:rPr>
          <w:rFonts w:ascii="Arial" w:hAnsi="Arial" w:cs="Arial"/>
          <w:sz w:val="20"/>
        </w:rPr>
        <w:t>amine metabolite concentrations.</w:t>
      </w:r>
      <w:r w:rsidRPr="004C43D5">
        <w:rPr>
          <w:rFonts w:ascii="Arial" w:hAnsi="Arial" w:cs="Arial"/>
          <w:sz w:val="20"/>
        </w:rPr>
        <w:t xml:space="preserve"> </w:t>
      </w:r>
      <w:r w:rsidR="0086077E" w:rsidRPr="004C43D5">
        <w:rPr>
          <w:rFonts w:ascii="Arial" w:hAnsi="Arial" w:cs="Arial"/>
          <w:sz w:val="20"/>
          <w:lang w:val="en-GB"/>
        </w:rPr>
        <w:t xml:space="preserve">We focused not only on those areas where c-Fos expression was affected by OEA treatment, but also on structures involved in the decision making, mood tone, memory processes and conditioned responses such as </w:t>
      </w:r>
      <w:r w:rsidR="00675257" w:rsidRPr="004C43D5">
        <w:rPr>
          <w:rFonts w:ascii="Arial" w:hAnsi="Arial" w:cs="Arial"/>
          <w:sz w:val="20"/>
          <w:lang w:val="en-GB"/>
        </w:rPr>
        <w:t>mPFC</w:t>
      </w:r>
      <w:r w:rsidR="0086077E" w:rsidRPr="004C43D5">
        <w:rPr>
          <w:rFonts w:ascii="Arial" w:hAnsi="Arial" w:cs="Arial"/>
          <w:sz w:val="20"/>
          <w:lang w:val="en-GB"/>
        </w:rPr>
        <w:t xml:space="preserve">, </w:t>
      </w:r>
      <w:r w:rsidR="00675257" w:rsidRPr="004C43D5">
        <w:rPr>
          <w:rFonts w:ascii="Arial" w:hAnsi="Arial" w:cs="Arial"/>
          <w:sz w:val="20"/>
          <w:lang w:val="en-GB"/>
        </w:rPr>
        <w:t>HIPP</w:t>
      </w:r>
      <w:r w:rsidR="001F350E" w:rsidRPr="004C43D5">
        <w:t xml:space="preserve"> </w:t>
      </w:r>
      <w:r w:rsidR="001F350E" w:rsidRPr="004C43D5">
        <w:rPr>
          <w:rFonts w:ascii="Arial" w:hAnsi="Arial" w:cs="Arial"/>
          <w:sz w:val="20"/>
          <w:lang w:val="en-GB"/>
        </w:rPr>
        <w:t>(hippocampus)</w:t>
      </w:r>
      <w:r w:rsidR="0086077E" w:rsidRPr="004C43D5">
        <w:rPr>
          <w:rFonts w:ascii="Arial" w:hAnsi="Arial" w:cs="Arial"/>
          <w:sz w:val="20"/>
          <w:lang w:val="en-GB"/>
        </w:rPr>
        <w:t xml:space="preserve">, </w:t>
      </w:r>
      <w:r w:rsidR="00675257" w:rsidRPr="004C43D5">
        <w:rPr>
          <w:rFonts w:ascii="Arial" w:hAnsi="Arial" w:cs="Arial"/>
          <w:sz w:val="20"/>
          <w:lang w:val="en-GB"/>
        </w:rPr>
        <w:t>DR and LC</w:t>
      </w:r>
      <w:r w:rsidR="0086077E" w:rsidRPr="004C43D5">
        <w:rPr>
          <w:rFonts w:ascii="Arial" w:hAnsi="Arial" w:cs="Arial"/>
          <w:sz w:val="20"/>
          <w:lang w:val="en-GB"/>
        </w:rPr>
        <w:t xml:space="preserve">, which send, respectively, serotonergic and </w:t>
      </w:r>
      <w:r w:rsidR="002C41E6" w:rsidRPr="004C43D5">
        <w:rPr>
          <w:rFonts w:ascii="Arial" w:hAnsi="Arial" w:cs="Arial"/>
          <w:sz w:val="20"/>
          <w:lang w:val="en-GB"/>
        </w:rPr>
        <w:t>noradrenergic inputs to the VTA</w:t>
      </w:r>
      <w:r w:rsidR="00AE3800" w:rsidRPr="004C43D5">
        <w:rPr>
          <w:rFonts w:ascii="Arial" w:hAnsi="Arial" w:cs="Arial"/>
          <w:sz w:val="20"/>
          <w:lang w:val="en-GB"/>
        </w:rPr>
        <w:t xml:space="preserve"> </w:t>
      </w:r>
      <w:r w:rsidR="0086077E" w:rsidRPr="004C43D5">
        <w:rPr>
          <w:rFonts w:ascii="Arial" w:hAnsi="Arial" w:cs="Arial"/>
          <w:sz w:val="20"/>
          <w:lang w:val="en-GB"/>
        </w:rPr>
        <w:fldChar w:fldCharType="begin" w:fldLock="1"/>
      </w:r>
      <w:r w:rsidR="00C80FE2" w:rsidRPr="004C43D5">
        <w:rPr>
          <w:rFonts w:ascii="Arial" w:hAnsi="Arial" w:cs="Arial"/>
          <w:sz w:val="20"/>
          <w:lang w:val="en-GB"/>
        </w:rPr>
        <w:instrText>ADDIN CSL_CITATION {"citationItems":[{"id":"ITEM-1","itemData":{"DOI":"10.1038/nrn.2017.130","ISSN":"1471-003X","PMID":"29142296","abstract":"Behaviours such as eating, copulating, defending oneself or taking addictive drugs begin with a motivation to initiate the behaviour. Both this motivational drive and the behaviours that follow are influenced by past and present experience with the reinforcing sti1. Volkow, N. D., Wise, R. A. &amp; Baler, R. The dopamine motive system: implications for drug and food addiction. Nat. Rev. Neurosci. 18, 741–752 (2017).muli (such as drugs or energy-rich foods) that increase the likelihood and/or strength of the behavioural response (such as drug taking or overeating). At a cellular and circuit level, motivational drive is dependent on the concentration of extrasynaptic dopamine present in specific brain areas such as the striatum. Cues that predict a reinforcing stimulus also modulate extrasynaptic dopamine concentrations, energizing motivation. Repeated administration of the reinforcer (drugs, energy-rich foods) generates conditioned associations between the reinforcer and the predicting cues, which is accompanied by downregulated dopaminergic response to other incentives and downregulated capacity for top-down self-regulation, facilitating the emergence of impulsive and compulsive responses to food or drug cues. Thus, dopamine contributes to addiction and obesity through its differentiated roles in reinforcement, motivation and self-regulation, referred to here as the 'dopamine motive system', which, if compromised, can result in increased, habitual and inflexible responding. Thus, interventions to rebalance the dopamine motive system might have therapeutic potential for obesity and addiction.","author":[{"dropping-particle":"","family":"Volkow","given":"Nora D.","non-dropping-particle":"","parse-names":false,"suffix":""},{"dropping-particle":"","family":"Wise","given":"Roy A.","non-dropping-particle":"","parse-names":false,"suffix":""},{"dropping-particle":"","family":"Baler","given":"Ruben","non-dropping-particle":"","parse-names":false,"suffix":""}],"container-title":"Nature Reviews Neuroscience","id":"ITEM-1","issue":"12","issued":{"date-parts":[["2017","11"]]},"page":"741-752","title":"The dopamine motive system: implications for drug and food addiction","type":"article-journal","volume":"18"},"uris":["http://www.mendeley.com/documents/?uuid=eb2e9672-17a7-4668-a627-d93f79fc817f"]}],"mendeley":{"formattedCitation":"&lt;span style=\"baseline\"&gt;[6]&lt;/span&gt;","plainTextFormattedCitation":"[6]","previouslyFormattedCitation":"&lt;span style=\"baseline\"&gt;[6]&lt;/span&gt;"},"properties":{"noteIndex":0},"schema":"https://github.com/citation-style-language/schema/raw/master/csl-citation.json"}</w:instrText>
      </w:r>
      <w:r w:rsidR="0086077E" w:rsidRPr="004C43D5">
        <w:rPr>
          <w:rFonts w:ascii="Arial" w:hAnsi="Arial" w:cs="Arial"/>
          <w:sz w:val="20"/>
          <w:lang w:val="en-GB"/>
        </w:rPr>
        <w:fldChar w:fldCharType="separate"/>
      </w:r>
      <w:r w:rsidR="00121CC6" w:rsidRPr="004C43D5">
        <w:rPr>
          <w:rFonts w:ascii="Arial" w:hAnsi="Arial" w:cs="Arial"/>
          <w:noProof/>
          <w:sz w:val="20"/>
          <w:lang w:val="en-GB"/>
        </w:rPr>
        <w:t>[6]</w:t>
      </w:r>
      <w:r w:rsidR="0086077E" w:rsidRPr="004C43D5">
        <w:rPr>
          <w:rFonts w:ascii="Arial" w:hAnsi="Arial" w:cs="Arial"/>
          <w:sz w:val="20"/>
          <w:lang w:val="en-GB"/>
        </w:rPr>
        <w:fldChar w:fldCharType="end"/>
      </w:r>
      <w:r w:rsidR="0086077E" w:rsidRPr="004C43D5">
        <w:rPr>
          <w:rFonts w:ascii="Arial" w:hAnsi="Arial" w:cs="Arial"/>
          <w:sz w:val="20"/>
          <w:lang w:val="en-GB"/>
        </w:rPr>
        <w:t>.</w:t>
      </w:r>
      <w:r w:rsidR="0086077E" w:rsidRPr="004C43D5">
        <w:rPr>
          <w:rFonts w:ascii="Arial" w:hAnsi="Arial" w:cs="Arial"/>
          <w:sz w:val="20"/>
        </w:rPr>
        <w:t xml:space="preserve"> </w:t>
      </w:r>
      <w:r w:rsidRPr="004C43D5">
        <w:rPr>
          <w:rFonts w:ascii="Arial" w:hAnsi="Arial" w:cs="Arial"/>
          <w:sz w:val="20"/>
        </w:rPr>
        <w:t xml:space="preserve">Samples of selected brain regions (mPFC, Acb, CPu, HYPO, AMY, HIPP, SN, VTA, DR and LC) of all </w:t>
      </w:r>
      <w:r w:rsidR="005D7CE5" w:rsidRPr="004C43D5">
        <w:rPr>
          <w:rFonts w:ascii="Arial" w:hAnsi="Arial" w:cs="Arial"/>
          <w:sz w:val="20"/>
        </w:rPr>
        <w:t>rats</w:t>
      </w:r>
      <w:r w:rsidRPr="004C43D5">
        <w:rPr>
          <w:rFonts w:ascii="Arial" w:hAnsi="Arial" w:cs="Arial"/>
          <w:sz w:val="20"/>
        </w:rPr>
        <w:t xml:space="preserve"> groups were processed simultaneously to minimize experimental errors.</w:t>
      </w:r>
    </w:p>
    <w:p w14:paraId="07367526" w14:textId="0CC322CA" w:rsidR="001F7DF3" w:rsidRPr="004C43D5" w:rsidRDefault="001F7DF3" w:rsidP="001F7DF3">
      <w:pPr>
        <w:spacing w:line="360" w:lineRule="auto"/>
        <w:jc w:val="both"/>
        <w:rPr>
          <w:rFonts w:ascii="Arial" w:hAnsi="Arial" w:cs="Arial"/>
          <w:sz w:val="20"/>
        </w:rPr>
      </w:pPr>
      <w:r w:rsidRPr="004C43D5">
        <w:rPr>
          <w:rFonts w:ascii="Arial" w:hAnsi="Arial" w:cs="Arial"/>
          <w:sz w:val="20"/>
        </w:rPr>
        <w:t xml:space="preserve">DA, </w:t>
      </w:r>
      <w:r w:rsidR="00675257" w:rsidRPr="004C43D5">
        <w:rPr>
          <w:rFonts w:ascii="Arial" w:hAnsi="Arial" w:cs="Arial"/>
          <w:sz w:val="20"/>
        </w:rPr>
        <w:t>noradrenaline (NA)</w:t>
      </w:r>
      <w:r w:rsidRPr="004C43D5">
        <w:rPr>
          <w:rFonts w:ascii="Arial" w:hAnsi="Arial" w:cs="Arial"/>
          <w:sz w:val="20"/>
        </w:rPr>
        <w:t xml:space="preserve">, </w:t>
      </w:r>
      <w:r w:rsidR="00675257" w:rsidRPr="004C43D5">
        <w:rPr>
          <w:rFonts w:ascii="Arial" w:hAnsi="Arial" w:cs="Arial"/>
          <w:sz w:val="20"/>
        </w:rPr>
        <w:t xml:space="preserve">serotonin (5-HT) </w:t>
      </w:r>
      <w:r w:rsidRPr="004C43D5">
        <w:rPr>
          <w:rFonts w:ascii="Arial" w:hAnsi="Arial" w:cs="Arial"/>
          <w:sz w:val="20"/>
        </w:rPr>
        <w:t>and both 5-HT and DA metabolites, 5-Hydroxyindoleacetic acid (5-HIAA), homovanillic acid (HVA) and 3,4-dihydroxyphenylacetic acid (DOPAC) were detected and quantified by HPLC, as previously described by</w:t>
      </w:r>
      <w:r w:rsidR="007E3A10" w:rsidRPr="004C43D5">
        <w:rPr>
          <w:rFonts w:ascii="Arial" w:hAnsi="Arial" w:cs="Arial"/>
          <w:sz w:val="20"/>
        </w:rPr>
        <w:t xml:space="preserve"> </w:t>
      </w:r>
      <w:r w:rsidR="007E3A10" w:rsidRPr="004C43D5">
        <w:rPr>
          <w:rFonts w:ascii="Arial" w:hAnsi="Arial" w:cs="Arial"/>
          <w:sz w:val="20"/>
        </w:rPr>
        <w:fldChar w:fldCharType="begin" w:fldLock="1"/>
      </w:r>
      <w:r w:rsidR="00C80FE2" w:rsidRPr="004C43D5">
        <w:rPr>
          <w:rFonts w:ascii="Arial" w:hAnsi="Arial" w:cs="Arial"/>
          <w:sz w:val="20"/>
        </w:rPr>
        <w:instrText>ADDIN CSL_CITATION {"citationItems":[{"id":"ITEM-1","itemData":{"DOI":"10.1002/jnr.23539","ISSN":"1097-4547","PMID":"25581607","abstract":"Limbic forebrain endocannabinoid (eCB) signaling is critically involved in stress integration by modulating neurotransmitters release. The purpose of this study was to examine, by brain microdialysis, the effects of fatty acid amide hydrolase (FAAH) inhibition on noradrenergic and γ-aminobutyric acid (GABA)-ergic neurotransmission in the prefrontal cortex (PFC) and basolateral amygdala (BLA) of rats subjected to a 20-min swim stress. Microdialysis started on stress- and drug-naïve rats that were treated with the FAAH inhibitor URB597 (0.1 or 0.3 mg/kg) 30 min before undergoing the stress procedure. Dialysate samples were collected every 20 min from the beginning of the experiment. Concentrations of noradrenaline (NA) and GABA were determined by HPLC coupled to electrochemical and fluorescence detection, respectively. We found that neither URB597 treatment nor 20 min of swim stress exposure per se altered NA and GABA extracellular levels in PFC or BLA. Interestingly, rats treated with 0.1 mg/kg of URB597 followed by 20 min of stress showed significantly higher NA and GABA levels in PFC and BLA. These effects were absent in rats treated with 0.3 mg/kg URB597, indicating a dose-specific effect. Moreover, we found that the pretreatment with the CB1 receptor antagonist rimonabant blocked the URB597 effects on NA and GABA release in PFC and BLA of animals subjected to forced swimming. The present study might provide an important first step toward understanding the mechanisms through which URB597 modulates stress-induced neuroendocrine secretion and behavioral coping strategies.","author":[{"dropping-particle":"","family":"Bedse","given":"Gaurav","non-dropping-particle":"","parse-names":false,"suffix":""},{"dropping-particle":"","family":"Romano","given":"Adele","non-dropping-particle":"","parse-names":false,"suffix":""},{"dropping-particle":"","family":"Tempesta","given":"Bianca","non-dropping-particle":"","parse-names":false,"suffix":""},{"dropping-particle":"","family":"Lavecchia","given":"Michele A","non-dropping-particle":"","parse-names":false,"suffix":""},{"dropping-particle":"","family":"Pace","given":"Lorenzo","non-dropping-particle":"","parse-names":false,"suffix":""},{"dropping-particle":"","family":"Bellomo","given":"Antonello","non-dropping-particle":"","parse-names":false,"suffix":""},{"dropping-particle":"","family":"Duranti","given":"Andrea","non-dropping-particle":"","parse-names":false,"suffix":""},{"dropping-particle":"","family":"Micioni Di Bonaventura","given":"Maria Vittoria","non-dropping-particle":"","parse-names":false,"suffix":""},{"dropping-particle":"","family":"Cifani","given":"Carlo","non-dropping-particle":"","parse-names":false,"suffix":""},{"dropping-particle":"","family":"Cassano","given":"Tommaso","non-dropping-particle":"","parse-names":false,"suffix":""},{"dropping-particle":"","family":"Gaetani","given":"Silvana","non-dropping-particle":"","parse-names":false,"suffix":""}],"container-title":"Journal of neuroscience research","id":"ITEM-1","issue":"5","issued":{"date-parts":[["2015","5"]]},"page":"777-87","title":"Inhibition of anandamide hydrolysis enhances noradrenergic and GABAergic transmission in the prefrontal cortex and basolateral amygdala of rats subjected to acute swim stress.","type":"article-journal","volume":"93"},"uris":["http://www.mendeley.com/documents/?uuid=eaede488-71c9-4337-b158-fae82b82da66"]},{"id":"ITEM-2","itemData":{"DOI":"10.1007/s11064-009-9928-5","ISSN":"1573-6903","PMID":"19229609","abstract":"The goal of our study was to assess the monoaminergic changes in locus coeruleus (LC) and dorsal raphe nucleus (DRN) following noradrenaline (NA) depletion. Seven days after a single N-(2-chloroethyl)-N-ethyl-2-bromobenzylamine (DSP-4) intraperitoneal administration in mice, we observed a decrease of NA in both the LC and DRN, as well as in prefrontal cortex (PFC) and hippocampus (HIPP). Moreover, an increase of serotonin (5-HT) and 5-hydroxyindolacetic acid (5-HIAA) was detected at LC level, while no change was found in DRN. DSP-4 also caused a significant decrease of dopamine (DA) tissue content in HIPP and DRN, without affecting the LC and the PFC. A decrease of DA metabolite, homovanillic acid (HVA), was found in the DRN of NA-depleted mice. These results highlight that the neurotoxic action of DSP-4 is not restricted to LC terminal projections but also involves NA depletion at the cell body level, where it is paralleled by adaptive changes in both serotonergic and dopaminergic systems.","author":[{"dropping-particle":"","family":"Cassano","given":"Tommaso","non-dropping-particle":"","parse-names":false,"suffix":""},{"dropping-particle":"","family":"Gaetani","given":"Silvana","non-dropping-particle":"","parse-names":false,"suffix":""},{"dropping-particle":"","family":"Morgese","given":"Maria Grazia","non-dropping-particle":"","parse-names":false,"suffix":""},{"dropping-particle":"","family":"Macheda","given":"Teresa","non-dropping-particle":"","parse-names":false,"suffix":""},{"dropping-particle":"","family":"Laconca","given":"Leonardo","non-dropping-particle":"","parse-names":false,"suffix":""},{"dropping-particle":"","family":"Dipasquale","given":"Pasqua","non-dropping-particle":"","parse-names":false,"suffix":""},{"dropping-particle":"","family":"Taltavull","given":"Juan","non-dropping-particle":"","parse-names":false,"suffix":""},{"dropping-particle":"","family":"Shippenberg","given":"Toni S","non-dropping-particle":"","parse-names":false,"suffix":""},{"dropping-particle":"","family":"Cuomo","given":"Vincenzo","non-dropping-particle":"","parse-names":false,"suffix":""},{"dropping-particle":"","family":"Gobbi","given":"Gabriella","non-dropping-particle":"","parse-names":false,"suffix":""}],"container-title":"Neurochemical research","id":"ITEM-2","issue":"8","issued":{"date-parts":[["2009","8"]]},"page":"1417-26","title":"Monoaminergic changes in locus coeruleus and dorsal raphe nucleus following noradrenaline depletion.","type":"article-journal","volume":"34"},"uris":["http://www.mendeley.com/documents/?uuid=2300a5da-9b24-41b2-8b80-90f9ccc93708"]}],"mendeley":{"formattedCitation":"&lt;span style=\"baseline\"&gt;[5,7]&lt;/span&gt;","plainTextFormattedCitation":"[5,7]","previouslyFormattedCitation":"&lt;span style=\"baseline\"&gt;[5,7]&lt;/span&gt;"},"properties":{"noteIndex":0},"schema":"https://github.com/citation-style-language/schema/raw/master/csl-citation.json"}</w:instrText>
      </w:r>
      <w:r w:rsidR="007E3A10" w:rsidRPr="004C43D5">
        <w:rPr>
          <w:rFonts w:ascii="Arial" w:hAnsi="Arial" w:cs="Arial"/>
          <w:sz w:val="20"/>
        </w:rPr>
        <w:fldChar w:fldCharType="separate"/>
      </w:r>
      <w:r w:rsidR="00121CC6" w:rsidRPr="004C43D5">
        <w:rPr>
          <w:rFonts w:ascii="Arial" w:hAnsi="Arial" w:cs="Arial"/>
          <w:noProof/>
          <w:sz w:val="20"/>
        </w:rPr>
        <w:t>[5,7]</w:t>
      </w:r>
      <w:r w:rsidR="007E3A10" w:rsidRPr="004C43D5">
        <w:rPr>
          <w:rFonts w:ascii="Arial" w:hAnsi="Arial" w:cs="Arial"/>
          <w:sz w:val="20"/>
        </w:rPr>
        <w:fldChar w:fldCharType="end"/>
      </w:r>
      <w:r w:rsidRPr="004C43D5">
        <w:rPr>
          <w:rFonts w:ascii="Arial" w:hAnsi="Arial" w:cs="Arial"/>
          <w:sz w:val="20"/>
        </w:rPr>
        <w:t>. Monoamines a</w:t>
      </w:r>
      <w:r w:rsidR="005D7CE5" w:rsidRPr="004C43D5">
        <w:rPr>
          <w:rFonts w:ascii="Arial" w:hAnsi="Arial" w:cs="Arial"/>
          <w:sz w:val="20"/>
        </w:rPr>
        <w:t>nd their metabolites were analyz</w:t>
      </w:r>
      <w:r w:rsidRPr="004C43D5">
        <w:rPr>
          <w:rFonts w:ascii="Arial" w:hAnsi="Arial" w:cs="Arial"/>
          <w:sz w:val="20"/>
        </w:rPr>
        <w:t>ed by microbore HPLC; the detection was accomplished with a Unijet cell (BAS) with a 6</w:t>
      </w:r>
      <w:r w:rsidR="005D7CE5" w:rsidRPr="004C43D5">
        <w:rPr>
          <w:rFonts w:ascii="Arial" w:hAnsi="Arial" w:cs="Arial"/>
          <w:sz w:val="20"/>
        </w:rPr>
        <w:t xml:space="preserve"> </w:t>
      </w:r>
      <w:r w:rsidRPr="004C43D5">
        <w:rPr>
          <w:rFonts w:ascii="Arial" w:hAnsi="Arial" w:cs="Arial"/>
          <w:sz w:val="20"/>
        </w:rPr>
        <w:t>mm diameter glassy carbon electrode set at +650 mV vs an Ag/AgCl reference electrode, connected to an electrochemical amperometric detector (INTRO, Antec Leyden, Netherlands). The analytes were separated</w:t>
      </w:r>
      <w:r w:rsidR="005D7CE5" w:rsidRPr="004C43D5">
        <w:rPr>
          <w:rFonts w:ascii="Arial" w:hAnsi="Arial" w:cs="Arial"/>
          <w:sz w:val="20"/>
        </w:rPr>
        <w:t xml:space="preserve"> using a SphereClone 150-mm × 2 </w:t>
      </w:r>
      <w:r w:rsidRPr="004C43D5">
        <w:rPr>
          <w:rFonts w:ascii="Arial" w:hAnsi="Arial" w:cs="Arial"/>
          <w:sz w:val="20"/>
        </w:rPr>
        <w:t xml:space="preserve">mm column (3-μm packing) and a mobile phase composed of 85 mM of sodium acetate, 0.34 mM EDTA, 15 mM sodium chloride, 0.81 mM of octanesulphonic acid sodium salt, 6% methanol (v/v) (pH = 4.85) delivered at a flow rate of 800 μl/min for a total runtime of 35 min. For each analysis, a set of standards containing various concentrations of each compound (monoamines and their metabolites) was prepared in the acid solution to obtain appropriate calibration curves. The concentrations of neurotransmitters were determined by linear interpolation from standard curves; for tissue monoamines we normalized their concentration to the weight of the wet tissue sample. Concentrations of </w:t>
      </w:r>
      <w:r w:rsidR="0081516D" w:rsidRPr="004C43D5">
        <w:rPr>
          <w:rFonts w:ascii="Arial" w:hAnsi="Arial" w:cs="Arial"/>
          <w:sz w:val="20"/>
        </w:rPr>
        <w:t xml:space="preserve">tissue </w:t>
      </w:r>
      <w:r w:rsidRPr="004C43D5">
        <w:rPr>
          <w:rFonts w:ascii="Arial" w:hAnsi="Arial" w:cs="Arial"/>
          <w:sz w:val="20"/>
        </w:rPr>
        <w:t xml:space="preserve">monoamines were reported </w:t>
      </w:r>
      <w:r w:rsidR="0025040B" w:rsidRPr="004C43D5">
        <w:rPr>
          <w:rFonts w:ascii="Arial" w:hAnsi="Arial" w:cs="Arial"/>
          <w:sz w:val="20"/>
        </w:rPr>
        <w:t xml:space="preserve">in </w:t>
      </w:r>
      <w:r w:rsidRPr="004C43D5">
        <w:rPr>
          <w:rFonts w:ascii="Arial" w:hAnsi="Arial" w:cs="Arial"/>
          <w:sz w:val="20"/>
        </w:rPr>
        <w:t>ng mg</w:t>
      </w:r>
      <w:r w:rsidRPr="004C43D5">
        <w:rPr>
          <w:rFonts w:ascii="Arial" w:hAnsi="Arial" w:cs="Arial"/>
          <w:sz w:val="20"/>
          <w:vertAlign w:val="superscript"/>
        </w:rPr>
        <w:t>-1</w:t>
      </w:r>
      <w:r w:rsidRPr="004C43D5">
        <w:rPr>
          <w:rFonts w:ascii="Arial" w:hAnsi="Arial" w:cs="Arial"/>
          <w:sz w:val="20"/>
        </w:rPr>
        <w:t xml:space="preserve">. DA and 5-HT turnover were </w:t>
      </w:r>
      <w:r w:rsidRPr="004C43D5">
        <w:rPr>
          <w:rFonts w:ascii="Arial" w:hAnsi="Arial" w:cs="Arial"/>
          <w:sz w:val="20"/>
        </w:rPr>
        <w:lastRenderedPageBreak/>
        <w:t>calculated as the ratio between the metabolite and the monoamine</w:t>
      </w:r>
      <w:r w:rsidR="00BD3B15" w:rsidRPr="004C43D5">
        <w:rPr>
          <w:rFonts w:ascii="Arial" w:hAnsi="Arial" w:cs="Arial"/>
          <w:sz w:val="20"/>
        </w:rPr>
        <w:t xml:space="preserve"> concentrations</w:t>
      </w:r>
      <w:r w:rsidRPr="004C43D5">
        <w:rPr>
          <w:rFonts w:ascii="Arial" w:hAnsi="Arial" w:cs="Arial"/>
          <w:sz w:val="20"/>
        </w:rPr>
        <w:t xml:space="preserve"> (DOPAC+HVA/DA for the DA and 5HIAA/5-HT for the 5-HT). </w:t>
      </w:r>
    </w:p>
    <w:p w14:paraId="4F38DE0A" w14:textId="77777777" w:rsidR="001F350E" w:rsidRPr="004C43D5" w:rsidRDefault="001F350E" w:rsidP="001F7DF3">
      <w:pPr>
        <w:spacing w:line="360" w:lineRule="auto"/>
        <w:jc w:val="both"/>
        <w:rPr>
          <w:rFonts w:ascii="Arial" w:hAnsi="Arial" w:cs="Arial"/>
          <w:sz w:val="20"/>
        </w:rPr>
      </w:pPr>
    </w:p>
    <w:p w14:paraId="53AAF80E" w14:textId="77777777" w:rsidR="0014590C" w:rsidRPr="004C43D5" w:rsidRDefault="001F7DF3" w:rsidP="00C74277">
      <w:pPr>
        <w:spacing w:line="360" w:lineRule="auto"/>
        <w:jc w:val="both"/>
        <w:rPr>
          <w:rFonts w:ascii="Arial" w:hAnsi="Arial" w:cs="Arial"/>
          <w:b/>
          <w:sz w:val="20"/>
        </w:rPr>
      </w:pPr>
      <w:r w:rsidRPr="004C43D5">
        <w:rPr>
          <w:rFonts w:ascii="Arial" w:hAnsi="Arial" w:cs="Arial"/>
          <w:b/>
          <w:sz w:val="20"/>
        </w:rPr>
        <w:t>S</w:t>
      </w:r>
      <w:r w:rsidR="00123A45" w:rsidRPr="004C43D5">
        <w:rPr>
          <w:rFonts w:ascii="Arial" w:hAnsi="Arial" w:cs="Arial"/>
          <w:b/>
          <w:sz w:val="20"/>
        </w:rPr>
        <w:t>1.</w:t>
      </w:r>
      <w:r w:rsidR="006B68B4" w:rsidRPr="004C43D5">
        <w:rPr>
          <w:rFonts w:ascii="Arial" w:hAnsi="Arial" w:cs="Arial"/>
          <w:b/>
          <w:sz w:val="20"/>
        </w:rPr>
        <w:t>2</w:t>
      </w:r>
      <w:r w:rsidRPr="004C43D5">
        <w:rPr>
          <w:rFonts w:ascii="Arial" w:hAnsi="Arial" w:cs="Arial"/>
          <w:b/>
          <w:sz w:val="20"/>
        </w:rPr>
        <w:t xml:space="preserve"> In vivo microdialysis </w:t>
      </w:r>
    </w:p>
    <w:p w14:paraId="60FB036E" w14:textId="6A0BFD79" w:rsidR="00117CA5" w:rsidRPr="004C43D5" w:rsidRDefault="0051651C" w:rsidP="00117CA5">
      <w:pPr>
        <w:spacing w:line="360" w:lineRule="auto"/>
        <w:jc w:val="both"/>
        <w:rPr>
          <w:rFonts w:ascii="Arial" w:hAnsi="Arial" w:cs="Arial"/>
          <w:sz w:val="20"/>
        </w:rPr>
      </w:pPr>
      <w:r w:rsidRPr="004C43D5">
        <w:rPr>
          <w:rFonts w:ascii="Arial" w:hAnsi="Arial" w:cs="Arial"/>
          <w:sz w:val="20"/>
        </w:rPr>
        <w:t xml:space="preserve">A new set of </w:t>
      </w:r>
      <w:r w:rsidR="001F7DF3" w:rsidRPr="004C43D5">
        <w:rPr>
          <w:rFonts w:ascii="Arial" w:hAnsi="Arial" w:cs="Arial"/>
          <w:sz w:val="20"/>
        </w:rPr>
        <w:t xml:space="preserve">NR </w:t>
      </w:r>
      <w:r w:rsidR="00171CA7" w:rsidRPr="004C43D5">
        <w:rPr>
          <w:rFonts w:ascii="Arial" w:hAnsi="Arial" w:cs="Arial"/>
          <w:sz w:val="20"/>
        </w:rPr>
        <w:t xml:space="preserve">+ S </w:t>
      </w:r>
      <w:r w:rsidR="001F7DF3" w:rsidRPr="004C43D5">
        <w:rPr>
          <w:rFonts w:ascii="Arial" w:hAnsi="Arial" w:cs="Arial"/>
          <w:sz w:val="20"/>
        </w:rPr>
        <w:t>and R</w:t>
      </w:r>
      <w:r w:rsidR="00171CA7" w:rsidRPr="004C43D5">
        <w:rPr>
          <w:rFonts w:ascii="Arial" w:hAnsi="Arial" w:cs="Arial"/>
          <w:sz w:val="20"/>
        </w:rPr>
        <w:t xml:space="preserve"> + S</w:t>
      </w:r>
      <w:r w:rsidR="001F7DF3" w:rsidRPr="004C43D5">
        <w:rPr>
          <w:rFonts w:ascii="Arial" w:hAnsi="Arial" w:cs="Arial"/>
          <w:sz w:val="20"/>
        </w:rPr>
        <w:t xml:space="preserve"> (</w:t>
      </w:r>
      <w:r w:rsidR="008B086D" w:rsidRPr="004C43D5">
        <w:rPr>
          <w:rFonts w:ascii="Arial" w:hAnsi="Arial" w:cs="Arial"/>
          <w:sz w:val="20"/>
        </w:rPr>
        <w:t xml:space="preserve">N = 20 </w:t>
      </w:r>
      <w:r w:rsidR="001F7DF3" w:rsidRPr="004C43D5">
        <w:rPr>
          <w:rFonts w:ascii="Arial" w:hAnsi="Arial" w:cs="Arial"/>
          <w:sz w:val="20"/>
        </w:rPr>
        <w:t>per group) rats were deeply anaesthetized with equithesin (3 ml</w:t>
      </w:r>
      <w:r w:rsidR="00BD3B15" w:rsidRPr="004C43D5">
        <w:rPr>
          <w:rFonts w:ascii="Arial" w:hAnsi="Arial" w:cs="Arial"/>
          <w:sz w:val="20"/>
        </w:rPr>
        <w:t xml:space="preserve"> </w:t>
      </w:r>
      <w:r w:rsidR="001F7DF3" w:rsidRPr="004C43D5">
        <w:rPr>
          <w:rFonts w:ascii="Arial" w:hAnsi="Arial" w:cs="Arial"/>
          <w:sz w:val="20"/>
        </w:rPr>
        <w:t>kg</w:t>
      </w:r>
      <w:r w:rsidR="00BD3B15" w:rsidRPr="004C43D5">
        <w:rPr>
          <w:rFonts w:ascii="Arial" w:hAnsi="Arial" w:cs="Arial"/>
          <w:sz w:val="20"/>
          <w:vertAlign w:val="superscript"/>
        </w:rPr>
        <w:t>-1</w:t>
      </w:r>
      <w:r w:rsidR="001F7DF3" w:rsidRPr="004C43D5">
        <w:rPr>
          <w:rFonts w:ascii="Arial" w:hAnsi="Arial" w:cs="Arial"/>
          <w:sz w:val="20"/>
        </w:rPr>
        <w:t>, i.p.), placed on a stereotaxic apparatus (David Kopf Instruments) and implanted with a guide cannula (cod. MAB4.15.IC Microbiotech/se AB, Stockholm, Sweden) for microdialysis probes (cod. MAB 4.15.2.CU Microbiotech/se AB, Stockholm, Sweden) placed vertically 2</w:t>
      </w:r>
      <w:r w:rsidR="006A6BB9" w:rsidRPr="004C43D5">
        <w:rPr>
          <w:rFonts w:ascii="Arial" w:hAnsi="Arial" w:cs="Arial"/>
          <w:sz w:val="20"/>
        </w:rPr>
        <w:t xml:space="preserve"> </w:t>
      </w:r>
      <w:r w:rsidR="001F7DF3" w:rsidRPr="004C43D5">
        <w:rPr>
          <w:rFonts w:ascii="Arial" w:hAnsi="Arial" w:cs="Arial"/>
          <w:sz w:val="20"/>
        </w:rPr>
        <w:t xml:space="preserve">mm above the left or the right AcbSh, according to the following coordinates </w:t>
      </w:r>
      <w:r w:rsidR="001F7DF3" w:rsidRPr="004C43D5">
        <w:rPr>
          <w:rFonts w:ascii="Arial" w:hAnsi="Arial" w:cs="Arial"/>
          <w:sz w:val="20"/>
        </w:rPr>
        <w:fldChar w:fldCharType="begin" w:fldLock="1"/>
      </w:r>
      <w:r w:rsidR="00C80FE2" w:rsidRPr="004C43D5">
        <w:rPr>
          <w:rFonts w:ascii="Arial" w:hAnsi="Arial" w:cs="Arial"/>
          <w:sz w:val="20"/>
        </w:rPr>
        <w:instrText>ADDIN CSL_CITATION {"citationItems":[{"id":"ITEM-1","itemData":{"author":[{"dropping-particle":"","family":"Paxinos G","given":"Watson C","non-dropping-particle":"","parse-names":false,"suffix":""}],"edition":"fourth ed.","id":"ITEM-1","issued":{"date-parts":[["1998"]]},"publisher":"Academic Press","publisher-place":"San Diego","title":"The Rat Brain in Stereotaxic Coordinates","type":"book"},"uris":["http://www.mendeley.com/documents/?uuid=24d556b0-8048-4a16-bf52-eb7281842d9d"]}],"mendeley":{"formattedCitation":"&lt;span style=\"baseline\"&gt;[4]&lt;/span&gt;","plainTextFormattedCitation":"[4]","previouslyFormattedCitation":"&lt;span style=\"baseline\"&gt;[4]&lt;/span&gt;"},"properties":{"noteIndex":0},"schema":"https://github.com/citation-style-language/schema/raw/master/csl-citation.json"}</w:instrText>
      </w:r>
      <w:r w:rsidR="001F7DF3" w:rsidRPr="004C43D5">
        <w:rPr>
          <w:rFonts w:ascii="Arial" w:hAnsi="Arial" w:cs="Arial"/>
          <w:sz w:val="20"/>
        </w:rPr>
        <w:fldChar w:fldCharType="separate"/>
      </w:r>
      <w:r w:rsidR="00121CC6" w:rsidRPr="004C43D5">
        <w:rPr>
          <w:rFonts w:ascii="Arial" w:hAnsi="Arial" w:cs="Arial"/>
          <w:noProof/>
          <w:sz w:val="20"/>
        </w:rPr>
        <w:t>[4]</w:t>
      </w:r>
      <w:r w:rsidR="001F7DF3" w:rsidRPr="004C43D5">
        <w:rPr>
          <w:rFonts w:ascii="Arial" w:hAnsi="Arial" w:cs="Arial"/>
          <w:sz w:val="20"/>
        </w:rPr>
        <w:fldChar w:fldCharType="end"/>
      </w:r>
      <w:r w:rsidR="001F7DF3" w:rsidRPr="004C43D5">
        <w:rPr>
          <w:rFonts w:ascii="Arial" w:hAnsi="Arial" w:cs="Arial"/>
          <w:sz w:val="20"/>
        </w:rPr>
        <w:t>: (AP = + 2.5 mm from bregma, ML = ± 1.2 mm from midline an</w:t>
      </w:r>
      <w:r w:rsidR="008F4D30" w:rsidRPr="004C43D5">
        <w:rPr>
          <w:rFonts w:ascii="Arial" w:hAnsi="Arial" w:cs="Arial"/>
          <w:sz w:val="20"/>
        </w:rPr>
        <w:t>d DV = - 5.6 mm from skull</w:t>
      </w:r>
      <w:r w:rsidR="001F7DF3" w:rsidRPr="004C43D5">
        <w:rPr>
          <w:rFonts w:ascii="Arial" w:hAnsi="Arial" w:cs="Arial"/>
          <w:sz w:val="20"/>
        </w:rPr>
        <w:t xml:space="preserve">). When the </w:t>
      </w:r>
      <w:r w:rsidR="00892AF1" w:rsidRPr="004C43D5">
        <w:rPr>
          <w:rFonts w:ascii="Arial" w:hAnsi="Arial" w:cs="Arial"/>
          <w:sz w:val="20"/>
        </w:rPr>
        <w:t>rats</w:t>
      </w:r>
      <w:r w:rsidR="001F7DF3" w:rsidRPr="004C43D5">
        <w:rPr>
          <w:rFonts w:ascii="Arial" w:hAnsi="Arial" w:cs="Arial"/>
          <w:sz w:val="20"/>
        </w:rPr>
        <w:t xml:space="preserve"> had fully recovered</w:t>
      </w:r>
      <w:r w:rsidR="00DA40BA" w:rsidRPr="004C43D5">
        <w:rPr>
          <w:rFonts w:ascii="Arial" w:hAnsi="Arial" w:cs="Arial"/>
          <w:sz w:val="20"/>
        </w:rPr>
        <w:t>, about one week</w:t>
      </w:r>
      <w:r w:rsidR="001F7DF3" w:rsidRPr="004C43D5">
        <w:rPr>
          <w:rFonts w:ascii="Arial" w:hAnsi="Arial" w:cs="Arial"/>
          <w:sz w:val="20"/>
        </w:rPr>
        <w:t xml:space="preserve"> </w:t>
      </w:r>
      <w:r w:rsidR="00DA40BA" w:rsidRPr="004C43D5">
        <w:rPr>
          <w:rFonts w:ascii="Arial" w:hAnsi="Arial" w:cs="Arial"/>
          <w:sz w:val="20"/>
        </w:rPr>
        <w:t xml:space="preserve">after </w:t>
      </w:r>
      <w:r w:rsidR="001F7DF3" w:rsidRPr="004C43D5">
        <w:rPr>
          <w:rFonts w:ascii="Arial" w:hAnsi="Arial" w:cs="Arial"/>
          <w:sz w:val="20"/>
        </w:rPr>
        <w:t>the surgery, a probe was inserted in the guide cannula and the microdialysis was carried out in freely moving rats, according to our previous study</w:t>
      </w:r>
      <w:r w:rsidR="007E04E0" w:rsidRPr="004C43D5">
        <w:rPr>
          <w:rFonts w:ascii="Arial" w:hAnsi="Arial" w:cs="Arial"/>
          <w:sz w:val="20"/>
        </w:rPr>
        <w:t xml:space="preserve"> </w:t>
      </w:r>
      <w:r w:rsidR="008B0257" w:rsidRPr="004C43D5">
        <w:rPr>
          <w:rFonts w:ascii="Arial" w:hAnsi="Arial" w:cs="Arial"/>
          <w:sz w:val="20"/>
        </w:rPr>
        <w:fldChar w:fldCharType="begin" w:fldLock="1"/>
      </w:r>
      <w:r w:rsidR="00C80FE2" w:rsidRPr="004C43D5">
        <w:rPr>
          <w:rFonts w:ascii="Arial" w:hAnsi="Arial" w:cs="Arial"/>
          <w:sz w:val="20"/>
        </w:rPr>
        <w:instrText>ADDIN CSL_CITATION {"citationItems":[{"id":"ITEM-1","itemData":{"DOI":"10.1016/j.neurobiolaging.2011.09.021","ISSN":"1558-1497","PMID":"22035587","abstract":"Deficits in glutamate neurotransmission and mitochondrial functions were detected in the frontal cortex (FC) and hippopcampus (HIPP) of aged 3×Tg-Alzheimer's disease (AD) mice, compared with their wild type littermates (non-Tg). In particular, basal levels of glutamate and vesicular glutamate transporter 1 (VGLUT1) expression were reduced in both areas. Cortical glutamate release responded to K(+) stimulation, whereas no peak release was observed in the HIPP of mutant mice. Synaptosomal-associated protein 25 (SNAP-25), glutamate/aspartate transporter (GLAST), glutamate transporter 1 (GLT1) and excitatory amino acid carrier 1 (EAAC1) were reduced in HIPP homogenates, where the adenosine triphosphate (ATP) content was lower. In contrast, glutamate transporter 1 and glial fibrillary acidic protein (GFAP) were found to be higher in the frontal cortex. The respiration rates of complex-I, II, IV, and the membrane potential were reduced in cortical mitochondria, where unaltered proton leak, F(0)F(1)-ATPase activity and ATP content, with increased hydrogen peroxide production (H(2)O(2)), were also observed. In contrast, complex-I respiration rate was significantly increased in hippocampal mitochondria, together with increased proton leak and H(2)O(2) production. Moreover, loss of complex-IV and F(0)F(1)-ATPase activities were observed. These data suggest that impairments of mitochondrial bioenergetics might sustain the failure in the energy-requiring glutamatergic transmission.","author":[{"dropping-particle":"","family":"Cassano","given":"Tommaso","non-dropping-particle":"","parse-names":false,"suffix":""},{"dropping-particle":"","family":"Serviddio","given":"Gaetano","non-dropping-particle":"","parse-names":false,"suffix":""},{"dropping-particle":"","family":"Gaetani","given":"Silvana","non-dropping-particle":"","parse-names":false,"suffix":""},{"dropping-particle":"","family":"Romano","given":"Adele","non-dropping-particle":"","parse-names":false,"suffix":""},{"dropping-particle":"","family":"Dipasquale","given":"Pasqua","non-dropping-particle":"","parse-names":false,"suffix":""},{"dropping-particle":"","family":"Cianci","given":"Silvia","non-dropping-particle":"","parse-names":false,"suffix":""},{"dropping-particle":"","family":"Bellanti","given":"Francesco","non-dropping-particle":"","parse-names":false,"suffix":""},{"dropping-particle":"","family":"Laconca","given":"Leonardo","non-dropping-particle":"","parse-names":false,"suffix":""},{"dropping-particle":"","family":"Romano","given":"Antonino Davide","non-dropping-particle":"","parse-names":false,"suffix":""},{"dropping-particle":"","family":"Padalino","given":"Iolanda","non-dropping-particle":"","parse-names":false,"suffix":""},{"dropping-particle":"","family":"LaFerla","given":"Frank M","non-dropping-particle":"","parse-names":false,"suffix":""},{"dropping-particle":"","family":"Nicoletti","given":"Ferdinando","non-dropping-particle":"","parse-names":false,"suffix":""},{"dropping-particle":"","family":"Cuomo","given":"Vincenzo","non-dropping-particle":"","parse-names":false,"suffix":""},{"dropping-particle":"","family":"Vendemiale","given":"Gianluigi","non-dropping-particle":"","parse-names":false,"suffix":""}],"container-title":"Neurobiology of aging","id":"ITEM-1","issue":"6","issued":{"date-parts":[["2012","6"]]},"page":"1121.e1-12","title":"Glutamatergic alterations and mitochondrial impairment in a murine model of Alzheimer disease.","type":"article-journal","volume":"33"},"uris":["http://www.mendeley.com/documents/?uuid=63ee89a3-0143-4c8a-b133-f1328c13d935"]}],"mendeley":{"formattedCitation":"&lt;span style=\"baseline\"&gt;[8]&lt;/span&gt;","plainTextFormattedCitation":"[8]","previouslyFormattedCitation":"&lt;span style=\"baseline\"&gt;[8]&lt;/span&gt;"},"properties":{"noteIndex":0},"schema":"https://github.com/citation-style-language/schema/raw/master/csl-citation.json"}</w:instrText>
      </w:r>
      <w:r w:rsidR="008B0257" w:rsidRPr="004C43D5">
        <w:rPr>
          <w:rFonts w:ascii="Arial" w:hAnsi="Arial" w:cs="Arial"/>
          <w:sz w:val="20"/>
        </w:rPr>
        <w:fldChar w:fldCharType="separate"/>
      </w:r>
      <w:r w:rsidR="00121CC6" w:rsidRPr="004C43D5">
        <w:rPr>
          <w:rFonts w:ascii="Arial" w:hAnsi="Arial" w:cs="Arial"/>
          <w:noProof/>
          <w:sz w:val="20"/>
        </w:rPr>
        <w:t>[8]</w:t>
      </w:r>
      <w:r w:rsidR="008B0257" w:rsidRPr="004C43D5">
        <w:rPr>
          <w:rFonts w:ascii="Arial" w:hAnsi="Arial" w:cs="Arial"/>
          <w:sz w:val="20"/>
        </w:rPr>
        <w:fldChar w:fldCharType="end"/>
      </w:r>
      <w:r w:rsidR="001F7DF3" w:rsidRPr="004C43D5">
        <w:rPr>
          <w:rFonts w:ascii="Arial" w:hAnsi="Arial" w:cs="Arial"/>
          <w:sz w:val="20"/>
        </w:rPr>
        <w:t xml:space="preserve">. Each microdialysis probe was perfused with a Krebs­Ringer phosphate </w:t>
      </w:r>
      <w:r w:rsidR="00BD3B15" w:rsidRPr="004C43D5">
        <w:rPr>
          <w:rFonts w:ascii="Arial" w:hAnsi="Arial" w:cs="Arial"/>
          <w:sz w:val="20"/>
        </w:rPr>
        <w:t xml:space="preserve">buffer </w:t>
      </w:r>
      <w:r w:rsidR="002C41E6" w:rsidRPr="004C43D5">
        <w:rPr>
          <w:rFonts w:ascii="Arial" w:hAnsi="Arial" w:cs="Arial"/>
          <w:sz w:val="20"/>
        </w:rPr>
        <w:t>(KRP) as previously described</w:t>
      </w:r>
      <w:r w:rsidR="007E04E0" w:rsidRPr="004C43D5">
        <w:rPr>
          <w:rFonts w:ascii="Arial" w:hAnsi="Arial" w:cs="Arial"/>
          <w:sz w:val="20"/>
        </w:rPr>
        <w:t xml:space="preserve"> </w:t>
      </w:r>
      <w:r w:rsidR="008B0257" w:rsidRPr="004C43D5">
        <w:rPr>
          <w:rFonts w:ascii="Arial" w:hAnsi="Arial" w:cs="Arial"/>
          <w:sz w:val="20"/>
        </w:rPr>
        <w:fldChar w:fldCharType="begin" w:fldLock="1"/>
      </w:r>
      <w:r w:rsidR="00C80FE2" w:rsidRPr="004C43D5">
        <w:rPr>
          <w:rFonts w:ascii="Arial" w:hAnsi="Arial" w:cs="Arial"/>
          <w:sz w:val="20"/>
        </w:rPr>
        <w:instrText>ADDIN CSL_CITATION {"citationItems":[{"id":"ITEM-1","itemData":{"DOI":"10.1007/s00213-010-2051-0","ISSN":"1432-2072","PMID":"21042794","abstract":"RATIONALE By enhancing brain anandamide tone, inhibitors of fatty acid amide hydrolase (FAAH) induce anxiolytic-like effects in rodents and enhance brain serotonergic transmission. Mice lacking the faah gene (FAAH(-/-)) show higher anandamide levels. However, their emotional phenotype is still debated and their brain serotonergic tone remained unexplored. OBJECTIVES AND METHODS In this study, we tested FAAH(-/-) mice in the social interaction and the open field tests performed under different lighting conditions (dim and bright) since variations of the experimental context were proposed to explain opposite findings. Moreover, by microdialysis performed under dim light, we analyzed their serotonergic transmission in frontal cortex (FC) and ventral hippocampus (vHIPP). RESULTS In both light conditions, FAAH(-/-) mice showed reduced emotionality, compared to wt controls, as suggested by the increased rearing and reduced thigmotaxis displayed in the open field and by the longer time spent in social interaction. Basal serotonergic tone was higher in the FC of mutant mice as compared to control mice, while no difference was observed in the vHIPP. K(+)-induced depolarization produced similar increases of serotonin in both areas of both genotypes. An acute treatment with the CB1 antagonist rimonabant completely abolished the emotional phenotype of FAAH(-/-) mice and prevented the K(+)-stimulated release of serotonin in their FC and vHIPP, without producing any effect in wt mice. CONCLUSIONS Our results support the role of FAAH in the regulation of emotional reactivity and suggest that anandamide-mediated hyperactivation of CB1 is responsible for the emotional phenotype of FAAH(-/-) mice and for their enhanced serotonergic tone.","author":[{"dropping-particle":"","family":"Cassano","given":"Tommaso","non-dropping-particle":"","parse-names":false,"suffix":""},{"dropping-particle":"","family":"Gaetani","given":"Silvana","non-dropping-particle":"","parse-names":false,"suffix":""},{"dropping-particle":"","family":"Macheda","given":"Teresa","non-dropping-particle":"","parse-names":false,"suffix":""},{"dropping-particle":"","family":"Laconca","given":"Leonardo","non-dropping-particle":"","parse-names":false,"suffix":""},{"dropping-particle":"","family":"Romano","given":"Adele","non-dropping-particle":"","parse-names":false,"suffix":""},{"dropping-particle":"","family":"Morgese","given":"Maria Grazia","non-dropping-particle":"","parse-names":false,"suffix":""},{"dropping-particle":"","family":"Cimmino","given":"Concetta Stefania","non-dropping-particle":"","parse-names":false,"suffix":""},{"dropping-particle":"","family":"Chiarotti","given":"Flavia","non-dropping-particle":"","parse-names":false,"suffix":""},{"dropping-particle":"","family":"Bambico","given":"Francis R","non-dropping-particle":"","parse-names":false,"suffix":""},{"dropping-particle":"","family":"Gobbi","given":"Gabriella","non-dropping-particle":"","parse-names":false,"suffix":""},{"dropping-particle":"","family":"Cuomo","given":"Vincenzo","non-dropping-particle":"","parse-names":false,"suffix":""},{"dropping-particle":"","family":"Piomelli","given":"Daniele","non-dropping-particle":"","parse-names":false,"suffix":""}],"container-title":"Psychopharmacology","id":"ITEM-1","issue":"2","issued":{"date-parts":[["2011","3"]]},"page":"465-76","title":"Evaluation of the emotional phenotype and serotonergic neurotransmission of fatty acid amide hydrolase-deficient mice.","type":"article-journal","volume":"214"},"uris":["http://www.mendeley.com/documents/?uuid=d40c72b4-afb3-468a-9deb-a47cb00e9ec9"]}],"mendeley":{"formattedCitation":"&lt;span style=\"baseline\"&gt;[9]&lt;/span&gt;","plainTextFormattedCitation":"[9]","previouslyFormattedCitation":"&lt;span style=\"baseline\"&gt;[9]&lt;/span&gt;"},"properties":{"noteIndex":0},"schema":"https://github.com/citation-style-language/schema/raw/master/csl-citation.json"}</w:instrText>
      </w:r>
      <w:r w:rsidR="008B0257" w:rsidRPr="004C43D5">
        <w:rPr>
          <w:rFonts w:ascii="Arial" w:hAnsi="Arial" w:cs="Arial"/>
          <w:sz w:val="20"/>
        </w:rPr>
        <w:fldChar w:fldCharType="separate"/>
      </w:r>
      <w:r w:rsidR="00121CC6" w:rsidRPr="004C43D5">
        <w:rPr>
          <w:rFonts w:ascii="Arial" w:hAnsi="Arial" w:cs="Arial"/>
          <w:noProof/>
          <w:sz w:val="20"/>
        </w:rPr>
        <w:t>[9]</w:t>
      </w:r>
      <w:r w:rsidR="008B0257" w:rsidRPr="004C43D5">
        <w:rPr>
          <w:rFonts w:ascii="Arial" w:hAnsi="Arial" w:cs="Arial"/>
          <w:sz w:val="20"/>
        </w:rPr>
        <w:fldChar w:fldCharType="end"/>
      </w:r>
      <w:r w:rsidR="008B0257" w:rsidRPr="004C43D5">
        <w:rPr>
          <w:rFonts w:ascii="Arial" w:hAnsi="Arial" w:cs="Arial"/>
          <w:sz w:val="20"/>
        </w:rPr>
        <w:t xml:space="preserve"> </w:t>
      </w:r>
      <w:r w:rsidR="001F7DF3" w:rsidRPr="004C43D5">
        <w:rPr>
          <w:rFonts w:ascii="Arial" w:hAnsi="Arial" w:cs="Arial"/>
          <w:sz w:val="20"/>
        </w:rPr>
        <w:t>at a constant flow rate of 1.5 μl min</w:t>
      </w:r>
      <w:r w:rsidR="001F7DF3" w:rsidRPr="004C43D5">
        <w:rPr>
          <w:rFonts w:ascii="Arial" w:hAnsi="Arial" w:cs="Arial"/>
          <w:sz w:val="20"/>
          <w:vertAlign w:val="superscript"/>
        </w:rPr>
        <w:t>-1</w:t>
      </w:r>
      <w:r w:rsidR="001F7DF3" w:rsidRPr="004C43D5">
        <w:rPr>
          <w:rFonts w:ascii="Arial" w:hAnsi="Arial" w:cs="Arial"/>
          <w:sz w:val="20"/>
        </w:rPr>
        <w:t xml:space="preserve"> and dialysate samples were collected every 15 min in minivials containing 5 μl of 10% acetic acid. After an initial wash out period (at least 1</w:t>
      </w:r>
      <w:r w:rsidR="006A6BB9" w:rsidRPr="004C43D5">
        <w:rPr>
          <w:rFonts w:ascii="Arial" w:hAnsi="Arial" w:cs="Arial"/>
          <w:sz w:val="20"/>
        </w:rPr>
        <w:t xml:space="preserve"> </w:t>
      </w:r>
      <w:r w:rsidR="001F7DF3" w:rsidRPr="004C43D5">
        <w:rPr>
          <w:rFonts w:ascii="Arial" w:hAnsi="Arial" w:cs="Arial"/>
          <w:sz w:val="20"/>
        </w:rPr>
        <w:t>h) three baseline samples (no more than 10% difference among four consecutive samples) were collected before treating rats. Thereafter, rats were administered with OEA (10 mg kg</w:t>
      </w:r>
      <w:r w:rsidR="001F7DF3" w:rsidRPr="004C43D5">
        <w:rPr>
          <w:rFonts w:ascii="Arial" w:hAnsi="Arial" w:cs="Arial"/>
          <w:sz w:val="20"/>
          <w:vertAlign w:val="superscript"/>
        </w:rPr>
        <w:t>-1</w:t>
      </w:r>
      <w:r w:rsidR="001F7DF3" w:rsidRPr="004C43D5">
        <w:rPr>
          <w:rFonts w:ascii="Arial" w:hAnsi="Arial" w:cs="Arial"/>
          <w:sz w:val="20"/>
        </w:rPr>
        <w:t>, i.p.) or veh and after 45 min underwent the stress procedure for 15 min. At the end of this procedure th</w:t>
      </w:r>
      <w:r w:rsidR="008F4D30" w:rsidRPr="004C43D5">
        <w:rPr>
          <w:rFonts w:ascii="Arial" w:hAnsi="Arial" w:cs="Arial"/>
          <w:sz w:val="20"/>
        </w:rPr>
        <w:t>ey gained access to HPF for 1</w:t>
      </w:r>
      <w:r w:rsidR="006A6BB9" w:rsidRPr="004C43D5">
        <w:rPr>
          <w:rFonts w:ascii="Arial" w:hAnsi="Arial" w:cs="Arial"/>
          <w:sz w:val="20"/>
        </w:rPr>
        <w:t xml:space="preserve"> </w:t>
      </w:r>
      <w:r w:rsidR="008F4D30" w:rsidRPr="004C43D5">
        <w:rPr>
          <w:rFonts w:ascii="Arial" w:hAnsi="Arial" w:cs="Arial"/>
          <w:sz w:val="20"/>
        </w:rPr>
        <w:t>h.</w:t>
      </w:r>
      <w:r w:rsidR="001F7DF3" w:rsidRPr="004C43D5">
        <w:rPr>
          <w:rFonts w:ascii="Arial" w:hAnsi="Arial" w:cs="Arial"/>
          <w:sz w:val="20"/>
        </w:rPr>
        <w:t xml:space="preserve"> After 30 min from the end of the HPF exposure, rats were acutely challenged with amphetamine (0.5 mg kg</w:t>
      </w:r>
      <w:r w:rsidR="001F7DF3" w:rsidRPr="004C43D5">
        <w:rPr>
          <w:rFonts w:ascii="Arial" w:hAnsi="Arial" w:cs="Arial"/>
          <w:sz w:val="20"/>
          <w:vertAlign w:val="superscript"/>
        </w:rPr>
        <w:t>-1</w:t>
      </w:r>
      <w:r w:rsidR="001F7DF3" w:rsidRPr="004C43D5">
        <w:rPr>
          <w:rFonts w:ascii="Arial" w:hAnsi="Arial" w:cs="Arial"/>
          <w:sz w:val="20"/>
        </w:rPr>
        <w:t xml:space="preserve">) administered subcutaneously. Microdialysates were collected up to </w:t>
      </w:r>
      <w:r w:rsidR="00E80A38" w:rsidRPr="004C43D5">
        <w:rPr>
          <w:rFonts w:ascii="Arial" w:hAnsi="Arial" w:cs="Arial"/>
          <w:sz w:val="20"/>
        </w:rPr>
        <w:t>90 min</w:t>
      </w:r>
      <w:r w:rsidR="001F7DF3" w:rsidRPr="004C43D5">
        <w:rPr>
          <w:rFonts w:ascii="Arial" w:hAnsi="Arial" w:cs="Arial"/>
          <w:sz w:val="20"/>
        </w:rPr>
        <w:t xml:space="preserve"> after amphetamine treatment. Each</w:t>
      </w:r>
      <w:r w:rsidR="008B086D" w:rsidRPr="004C43D5">
        <w:rPr>
          <w:rFonts w:ascii="Arial" w:hAnsi="Arial" w:cs="Arial"/>
          <w:sz w:val="20"/>
        </w:rPr>
        <w:t xml:space="preserve"> microdialysis sample was analyz</w:t>
      </w:r>
      <w:r w:rsidR="001F7DF3" w:rsidRPr="004C43D5">
        <w:rPr>
          <w:rFonts w:ascii="Arial" w:hAnsi="Arial" w:cs="Arial"/>
          <w:sz w:val="20"/>
        </w:rPr>
        <w:t xml:space="preserve">ed by HPLC. </w:t>
      </w:r>
      <w:r w:rsidR="00117CA5" w:rsidRPr="004C43D5">
        <w:rPr>
          <w:rFonts w:ascii="Arial" w:hAnsi="Arial" w:cs="Arial"/>
          <w:sz w:val="20"/>
        </w:rPr>
        <w:t>The basal values were pooled as average of dialysate samples 1-3. The results were expressed as pg/ml, for basal values and as % of basal levels for the time-course of extracellular DA concentrations.</w:t>
      </w:r>
    </w:p>
    <w:p w14:paraId="18BF84B4" w14:textId="77777777" w:rsidR="001F7DF3" w:rsidRPr="004C43D5" w:rsidRDefault="001F7DF3" w:rsidP="008B086D">
      <w:pPr>
        <w:spacing w:line="360" w:lineRule="auto"/>
        <w:jc w:val="both"/>
        <w:rPr>
          <w:rFonts w:ascii="Arial" w:hAnsi="Arial" w:cs="Arial"/>
          <w:sz w:val="20"/>
        </w:rPr>
      </w:pPr>
      <w:r w:rsidRPr="004C43D5">
        <w:rPr>
          <w:rFonts w:ascii="Arial" w:hAnsi="Arial" w:cs="Arial"/>
          <w:sz w:val="20"/>
        </w:rPr>
        <w:t xml:space="preserve">The correct placement of the probe was verified histologically with a post mortem Nissl staining procedure (data not shown) and data from </w:t>
      </w:r>
      <w:r w:rsidR="007F4850" w:rsidRPr="004C43D5">
        <w:rPr>
          <w:rFonts w:ascii="Arial" w:hAnsi="Arial" w:cs="Arial"/>
          <w:sz w:val="20"/>
        </w:rPr>
        <w:t>rats</w:t>
      </w:r>
      <w:r w:rsidRPr="004C43D5">
        <w:rPr>
          <w:rFonts w:ascii="Arial" w:hAnsi="Arial" w:cs="Arial"/>
          <w:sz w:val="20"/>
        </w:rPr>
        <w:t xml:space="preserve"> with incorrect probe implant </w:t>
      </w:r>
      <w:r w:rsidR="007F4850" w:rsidRPr="004C43D5">
        <w:rPr>
          <w:rFonts w:ascii="Arial" w:hAnsi="Arial" w:cs="Arial"/>
          <w:sz w:val="20"/>
        </w:rPr>
        <w:t xml:space="preserve">or in estrous phase </w:t>
      </w:r>
      <w:r w:rsidRPr="004C43D5">
        <w:rPr>
          <w:rFonts w:ascii="Arial" w:hAnsi="Arial" w:cs="Arial"/>
          <w:sz w:val="20"/>
        </w:rPr>
        <w:t>were excluded from the statistical analyses.</w:t>
      </w:r>
      <w:r w:rsidR="008B086D" w:rsidRPr="004C43D5">
        <w:rPr>
          <w:rFonts w:ascii="Arial" w:hAnsi="Arial" w:cs="Arial"/>
          <w:sz w:val="20"/>
        </w:rPr>
        <w:t xml:space="preserve"> </w:t>
      </w:r>
    </w:p>
    <w:p w14:paraId="0652BCE5" w14:textId="77777777" w:rsidR="001F7DF3" w:rsidRPr="004C43D5" w:rsidRDefault="001F7DF3" w:rsidP="001F7DF3">
      <w:pPr>
        <w:spacing w:line="360" w:lineRule="auto"/>
        <w:jc w:val="both"/>
        <w:rPr>
          <w:rFonts w:ascii="Arial" w:hAnsi="Arial" w:cs="Arial"/>
          <w:sz w:val="20"/>
        </w:rPr>
      </w:pPr>
    </w:p>
    <w:p w14:paraId="2F2545F4" w14:textId="77777777" w:rsidR="001F7DF3" w:rsidRPr="004C43D5" w:rsidRDefault="00123A45" w:rsidP="001F7DF3">
      <w:pPr>
        <w:spacing w:line="360" w:lineRule="auto"/>
        <w:jc w:val="both"/>
        <w:rPr>
          <w:rFonts w:ascii="Arial" w:hAnsi="Arial" w:cs="Arial"/>
          <w:b/>
          <w:sz w:val="20"/>
        </w:rPr>
      </w:pPr>
      <w:r w:rsidRPr="004C43D5">
        <w:rPr>
          <w:rFonts w:ascii="Arial" w:hAnsi="Arial" w:cs="Arial"/>
          <w:b/>
          <w:sz w:val="20"/>
        </w:rPr>
        <w:t>S1.</w:t>
      </w:r>
      <w:r w:rsidR="006B68B4" w:rsidRPr="004C43D5">
        <w:rPr>
          <w:rFonts w:ascii="Arial" w:hAnsi="Arial" w:cs="Arial"/>
          <w:b/>
          <w:sz w:val="20"/>
        </w:rPr>
        <w:t>3</w:t>
      </w:r>
      <w:r w:rsidR="001F7DF3" w:rsidRPr="004C43D5">
        <w:rPr>
          <w:rFonts w:ascii="Arial" w:hAnsi="Arial" w:cs="Arial"/>
          <w:b/>
          <w:sz w:val="20"/>
        </w:rPr>
        <w:t xml:space="preserve"> In situ hybridization of oxytocin and CRF mRNA</w:t>
      </w:r>
    </w:p>
    <w:p w14:paraId="43F97449" w14:textId="46AC291B" w:rsidR="00C92FF5" w:rsidRPr="004C43D5" w:rsidRDefault="00F32CD3" w:rsidP="00C92FF5">
      <w:pPr>
        <w:spacing w:line="360" w:lineRule="auto"/>
        <w:jc w:val="both"/>
        <w:rPr>
          <w:rFonts w:ascii="Arial" w:hAnsi="Arial" w:cs="Arial"/>
          <w:sz w:val="20"/>
        </w:rPr>
      </w:pPr>
      <w:r w:rsidRPr="004C43D5">
        <w:rPr>
          <w:rFonts w:ascii="Arial" w:hAnsi="Arial" w:cs="Arial"/>
          <w:sz w:val="20"/>
        </w:rPr>
        <w:t>After 1 day off at the end of the behavioral test</w:t>
      </w:r>
      <w:r w:rsidR="0051651C" w:rsidRPr="004C43D5">
        <w:rPr>
          <w:rFonts w:ascii="Arial" w:hAnsi="Arial" w:cs="Arial"/>
          <w:sz w:val="20"/>
        </w:rPr>
        <w:t xml:space="preserve"> of EXP. 1</w:t>
      </w:r>
      <w:r w:rsidRPr="004C43D5">
        <w:rPr>
          <w:rFonts w:ascii="Arial" w:hAnsi="Arial" w:cs="Arial"/>
          <w:sz w:val="20"/>
        </w:rPr>
        <w:t>, a</w:t>
      </w:r>
      <w:r w:rsidR="00C92FF5" w:rsidRPr="004C43D5">
        <w:rPr>
          <w:rFonts w:ascii="Arial" w:hAnsi="Arial" w:cs="Arial"/>
          <w:sz w:val="20"/>
        </w:rPr>
        <w:t xml:space="preserve"> </w:t>
      </w:r>
      <w:r w:rsidRPr="004C43D5">
        <w:rPr>
          <w:rFonts w:ascii="Arial" w:hAnsi="Arial" w:cs="Arial"/>
          <w:sz w:val="20"/>
        </w:rPr>
        <w:t>second</w:t>
      </w:r>
      <w:r w:rsidR="00C92FF5" w:rsidRPr="004C43D5">
        <w:rPr>
          <w:rFonts w:ascii="Arial" w:hAnsi="Arial" w:cs="Arial"/>
          <w:sz w:val="20"/>
        </w:rPr>
        <w:t xml:space="preserve"> set of </w:t>
      </w:r>
      <w:r w:rsidR="0074376C" w:rsidRPr="004C43D5">
        <w:rPr>
          <w:rFonts w:ascii="Arial" w:hAnsi="Arial" w:cs="Arial"/>
          <w:sz w:val="20"/>
        </w:rPr>
        <w:t xml:space="preserve">the </w:t>
      </w:r>
      <w:r w:rsidR="00D41A8C" w:rsidRPr="004C43D5">
        <w:rPr>
          <w:rFonts w:ascii="Arial" w:hAnsi="Arial" w:cs="Arial"/>
          <w:sz w:val="20"/>
        </w:rPr>
        <w:t xml:space="preserve">same </w:t>
      </w:r>
      <w:r w:rsidR="00C92FF5" w:rsidRPr="004C43D5">
        <w:rPr>
          <w:rFonts w:ascii="Arial" w:hAnsi="Arial" w:cs="Arial"/>
          <w:sz w:val="20"/>
        </w:rPr>
        <w:t xml:space="preserve">rats </w:t>
      </w:r>
      <w:r w:rsidRPr="004C43D5">
        <w:rPr>
          <w:rFonts w:ascii="Arial" w:hAnsi="Arial" w:cs="Arial"/>
          <w:sz w:val="20"/>
        </w:rPr>
        <w:t>(N</w:t>
      </w:r>
      <w:r w:rsidR="00EE6066" w:rsidRPr="004C43D5">
        <w:rPr>
          <w:rFonts w:ascii="Arial" w:hAnsi="Arial" w:cs="Arial"/>
          <w:sz w:val="20"/>
        </w:rPr>
        <w:t xml:space="preserve"> </w:t>
      </w:r>
      <w:r w:rsidRPr="004C43D5">
        <w:rPr>
          <w:rFonts w:ascii="Arial" w:hAnsi="Arial" w:cs="Arial"/>
          <w:sz w:val="20"/>
        </w:rPr>
        <w:t>=</w:t>
      </w:r>
      <w:r w:rsidR="00EE6066" w:rsidRPr="004C43D5">
        <w:rPr>
          <w:rFonts w:ascii="Arial" w:hAnsi="Arial" w:cs="Arial"/>
          <w:sz w:val="20"/>
        </w:rPr>
        <w:t xml:space="preserve"> </w:t>
      </w:r>
      <w:r w:rsidRPr="004C43D5">
        <w:rPr>
          <w:rFonts w:ascii="Arial" w:hAnsi="Arial" w:cs="Arial"/>
          <w:sz w:val="20"/>
        </w:rPr>
        <w:t xml:space="preserve">33) </w:t>
      </w:r>
      <w:r w:rsidR="00C92FF5" w:rsidRPr="004C43D5">
        <w:rPr>
          <w:rFonts w:ascii="Arial" w:hAnsi="Arial" w:cs="Arial"/>
          <w:sz w:val="20"/>
        </w:rPr>
        <w:t xml:space="preserve">from the NR </w:t>
      </w:r>
      <w:r w:rsidR="002B51ED" w:rsidRPr="004C43D5">
        <w:rPr>
          <w:rFonts w:ascii="Arial" w:hAnsi="Arial" w:cs="Arial"/>
          <w:sz w:val="20"/>
        </w:rPr>
        <w:t xml:space="preserve">+ S </w:t>
      </w:r>
      <w:r w:rsidR="00C92FF5" w:rsidRPr="004C43D5">
        <w:rPr>
          <w:rFonts w:ascii="Arial" w:hAnsi="Arial" w:cs="Arial"/>
          <w:sz w:val="20"/>
        </w:rPr>
        <w:t>and R</w:t>
      </w:r>
      <w:r w:rsidR="002B51ED" w:rsidRPr="004C43D5">
        <w:rPr>
          <w:rFonts w:ascii="Arial" w:hAnsi="Arial" w:cs="Arial"/>
          <w:sz w:val="20"/>
        </w:rPr>
        <w:t xml:space="preserve"> + S</w:t>
      </w:r>
      <w:r w:rsidR="00C92FF5" w:rsidRPr="004C43D5">
        <w:rPr>
          <w:rFonts w:ascii="Arial" w:hAnsi="Arial" w:cs="Arial"/>
          <w:sz w:val="20"/>
        </w:rPr>
        <w:t xml:space="preserve"> group</w:t>
      </w:r>
      <w:r w:rsidR="00EE6066" w:rsidRPr="004C43D5">
        <w:rPr>
          <w:rFonts w:ascii="Arial" w:hAnsi="Arial" w:cs="Arial"/>
          <w:sz w:val="20"/>
        </w:rPr>
        <w:t>s</w:t>
      </w:r>
      <w:r w:rsidR="00C92FF5" w:rsidRPr="004C43D5">
        <w:rPr>
          <w:rFonts w:ascii="Arial" w:hAnsi="Arial" w:cs="Arial"/>
          <w:sz w:val="20"/>
        </w:rPr>
        <w:t xml:space="preserve"> </w:t>
      </w:r>
      <w:r w:rsidRPr="004C43D5">
        <w:rPr>
          <w:rFonts w:ascii="Arial" w:hAnsi="Arial" w:cs="Arial"/>
          <w:sz w:val="20"/>
        </w:rPr>
        <w:t xml:space="preserve">, received an additional 8-day cycle as reported in </w:t>
      </w:r>
      <w:r w:rsidR="00C80FE2" w:rsidRPr="004C43D5">
        <w:rPr>
          <w:rFonts w:ascii="Arial" w:hAnsi="Arial" w:cs="Arial"/>
          <w:sz w:val="20"/>
        </w:rPr>
        <w:fldChar w:fldCharType="begin" w:fldLock="1"/>
      </w:r>
      <w:r w:rsidR="00C80FE2" w:rsidRPr="004C43D5">
        <w:rPr>
          <w:rFonts w:ascii="Arial" w:hAnsi="Arial" w:cs="Arial"/>
          <w:sz w:val="20"/>
        </w:rPr>
        <w:instrText>ADDIN CSL_CITATION {"citationItems":[{"id":"ITEM-1","itemData":{"DOI":"10.1007/s00213-008-1442-y","ISSN":"1432-2072","PMID":"19125237","abstract":"RATIONALE Preclinical models are needed to investigate the neurobiology and psychobiology of binge eating and to identify innovative pharmacotherapeutic strategies. OBJECTIVES A modification of the model based on the combination of cyclic caloric restrictions and acute stress was developed to further increase its face validity and reliability and, for the first time, to assess its predictive value. MATERIALS AND METHODS Four groups of female rats were employed: group 1 was normally fed and not stressed on the test day (25th); group 2 was fed normally but was exposed to an acute stress on day 25; group 3 was exposed to three cycles (4 days 66% of chow intake + 4 days food ad libitum) of yo-yo dieting but not stressed; and group 4 was exposed to cyclic yo-yo dieting and then stressed. All groups were fed highly palatable food (HPF) for 2 h on days 5-6 and 13-14. Acute stress was elicited by exposing rats to HPF, but preventing them from access to it for 15 min. RESULTS The combination of cyclic food restriction and stressful exposure to food markedly increased HPF intake. Sibutramine and fluoxetine inhibited food intake in all conditions. Topiramate selectively inhibited compulsive HPF intake in rats submitted to caloric restriction and stress. Midazolam increased HPF intake. CONCLUSIONS Pharmacological results suggest that this model, in addition to face validity as an isomorphic model of human binge eating, is endowed with good predictive validity.","author":[{"dropping-particle":"","family":"Cifani","given":"Carlo","non-dropping-particle":"","parse-names":false,"suffix":""},{"dropping-particle":"","family":"Polidori","given":"Carlo","non-dropping-particle":"","parse-names":false,"suffix":""},{"dropping-particle":"","family":"Melotto","given":"Sergio","non-dropping-particle":"","parse-names":false,"suffix":""},{"dropping-particle":"","family":"Ciccocioppo","given":"Roberto","non-dropping-particle":"","parse-names":false,"suffix":""},{"dropping-particle":"","family":"Massi","given":"Maurizio","non-dropping-particle":"","parse-names":false,"suffix":""}],"container-title":"Psychopharmacology","id":"ITEM-1","issue":"1","issued":{"date-parts":[["2009","5"]]},"page":"113-25","title":"A preclinical model of binge eating elicited by yo-yo dieting and stressful exposure to food: effect of sibutramine, fluoxetine, topiramate, and midazolam.","type":"article-journal","volume":"204"},"uris":["http://www.mendeley.com/documents/?uuid=a11618c6-e784-401a-ad65-43144134d1bb"]}],"mendeley":{"formattedCitation":"&lt;span style=\"baseline\"&gt;[1]&lt;/span&gt;","plainTextFormattedCitation":"[1]"},"properties":{"noteIndex":0},"schema":"https://github.com/citation-style-language/schema/raw/master/csl-citation.json"}</w:instrText>
      </w:r>
      <w:r w:rsidR="00C80FE2" w:rsidRPr="004C43D5">
        <w:rPr>
          <w:rFonts w:ascii="Arial" w:hAnsi="Arial" w:cs="Arial"/>
          <w:sz w:val="20"/>
        </w:rPr>
        <w:fldChar w:fldCharType="separate"/>
      </w:r>
      <w:r w:rsidR="00C80FE2" w:rsidRPr="004C43D5">
        <w:rPr>
          <w:rFonts w:ascii="Arial" w:hAnsi="Arial" w:cs="Arial"/>
          <w:noProof/>
          <w:sz w:val="20"/>
        </w:rPr>
        <w:t>[1]</w:t>
      </w:r>
      <w:r w:rsidR="00C80FE2" w:rsidRPr="004C43D5">
        <w:rPr>
          <w:rFonts w:ascii="Arial" w:hAnsi="Arial" w:cs="Arial"/>
          <w:sz w:val="20"/>
        </w:rPr>
        <w:fldChar w:fldCharType="end"/>
      </w:r>
      <w:r w:rsidR="00C80FE2" w:rsidRPr="004C43D5">
        <w:rPr>
          <w:rFonts w:ascii="Arial" w:hAnsi="Arial" w:cs="Arial"/>
          <w:sz w:val="20"/>
        </w:rPr>
        <w:t xml:space="preserve">. </w:t>
      </w:r>
      <w:r w:rsidR="002B51ED" w:rsidRPr="004C43D5">
        <w:rPr>
          <w:rFonts w:ascii="Arial" w:hAnsi="Arial" w:cs="Arial"/>
          <w:sz w:val="20"/>
        </w:rPr>
        <w:t>T</w:t>
      </w:r>
      <w:r w:rsidR="00D41A8C" w:rsidRPr="004C43D5">
        <w:rPr>
          <w:rFonts w:ascii="Arial" w:hAnsi="Arial" w:cs="Arial"/>
          <w:sz w:val="20"/>
        </w:rPr>
        <w:t xml:space="preserve">hey </w:t>
      </w:r>
      <w:r w:rsidRPr="004C43D5">
        <w:rPr>
          <w:rFonts w:ascii="Arial" w:hAnsi="Arial" w:cs="Arial"/>
          <w:sz w:val="20"/>
        </w:rPr>
        <w:t xml:space="preserve">were </w:t>
      </w:r>
      <w:r w:rsidR="00C92FF5" w:rsidRPr="004C43D5">
        <w:rPr>
          <w:rFonts w:ascii="Arial" w:hAnsi="Arial" w:cs="Arial"/>
          <w:sz w:val="20"/>
        </w:rPr>
        <w:t>administered with vehicle or OEA (10 mg kg</w:t>
      </w:r>
      <w:r w:rsidR="00C92FF5" w:rsidRPr="004C43D5">
        <w:rPr>
          <w:rFonts w:ascii="Arial" w:hAnsi="Arial" w:cs="Arial"/>
          <w:sz w:val="20"/>
          <w:vertAlign w:val="superscript"/>
        </w:rPr>
        <w:t>-1</w:t>
      </w:r>
      <w:r w:rsidR="00C92FF5" w:rsidRPr="004C43D5">
        <w:rPr>
          <w:rFonts w:ascii="Arial" w:hAnsi="Arial" w:cs="Arial"/>
          <w:sz w:val="20"/>
        </w:rPr>
        <w:t>, i.p.) 45 min before the frustration stress exposure and immediately sacrificed at the end of stress. Their brains were collected, immediately snap frozen in 2-methylbutane (-60°C) and stored at -80°C until they were cut in 20 μm serial coronal sections. On these sections we performed in situ hybridization with an antisense [35S]-labelled riboprobe of rat oxytocin or with an antisense [35S</w:t>
      </w:r>
      <w:r w:rsidR="00BD21F7" w:rsidRPr="004C43D5">
        <w:rPr>
          <w:rFonts w:ascii="Arial" w:hAnsi="Arial" w:cs="Arial"/>
          <w:sz w:val="20"/>
        </w:rPr>
        <w:t xml:space="preserve">]-labelled riboprobe of rat </w:t>
      </w:r>
      <w:r w:rsidR="00372EE1" w:rsidRPr="004C43D5">
        <w:rPr>
          <w:rFonts w:ascii="Arial" w:hAnsi="Arial" w:cs="Arial"/>
          <w:sz w:val="20"/>
        </w:rPr>
        <w:t>corticotropin releasing factor (CRF)</w:t>
      </w:r>
      <w:r w:rsidR="00C92FF5" w:rsidRPr="004C43D5">
        <w:rPr>
          <w:rFonts w:ascii="Arial" w:hAnsi="Arial" w:cs="Arial"/>
          <w:sz w:val="20"/>
        </w:rPr>
        <w:t xml:space="preserve"> that were both used in </w:t>
      </w:r>
      <w:r w:rsidR="0025051A" w:rsidRPr="004C43D5">
        <w:rPr>
          <w:rFonts w:ascii="Arial" w:hAnsi="Arial" w:cs="Arial"/>
          <w:sz w:val="20"/>
        </w:rPr>
        <w:t>our previo</w:t>
      </w:r>
      <w:r w:rsidR="002C41E6" w:rsidRPr="004C43D5">
        <w:rPr>
          <w:rFonts w:ascii="Arial" w:hAnsi="Arial" w:cs="Arial"/>
          <w:sz w:val="20"/>
        </w:rPr>
        <w:t>us studies</w:t>
      </w:r>
      <w:r w:rsidR="007E04E0" w:rsidRPr="004C43D5">
        <w:rPr>
          <w:rFonts w:ascii="Arial" w:hAnsi="Arial" w:cs="Arial"/>
          <w:sz w:val="20"/>
        </w:rPr>
        <w:t xml:space="preserve"> </w:t>
      </w:r>
      <w:r w:rsidR="000524F6" w:rsidRPr="004C43D5">
        <w:rPr>
          <w:rFonts w:ascii="Arial" w:hAnsi="Arial" w:cs="Arial"/>
          <w:sz w:val="20"/>
        </w:rPr>
        <w:fldChar w:fldCharType="begin" w:fldLock="1"/>
      </w:r>
      <w:r w:rsidR="00C80FE2" w:rsidRPr="004C43D5">
        <w:rPr>
          <w:rFonts w:ascii="Arial" w:hAnsi="Arial" w:cs="Arial"/>
          <w:sz w:val="20"/>
        </w:rPr>
        <w:instrText>ADDIN CSL_CITATION {"citationItems":[{"id":"ITEM-1","itemData":{"DOI":"10.1523/JNEUROSCI.0036-10.2010","ISSN":"1529-2401","PMID":"20554860","abstract":"Oleoylethanolamide (OEA) is a biologically active lipid amide that is released by small-intestinal enterocytes during the absorption of dietary fat and inhibits feeding by engaging the nuclear receptor, peroxisome proliferator-activated receptor-alpha (PPAR-alpha). Previous studies have shown that the anorexic effects of systemically administered OEA require the activation of sensory afferents of the vagus nerve. The central circuits involved in mediating OEA-induced hypophagia remain unknown. In the present study, we report the results of in situ hybridization and immunohistochemistry experiments in rats and mice, which show that systemic injections of OEA (5-10 mg kg(-1), intraperitoneal) enhance expression of the neuropeptide oxytocin in magnocellular neurons of the paraventricular nucleus (PVN) and supraoptic nucleus (SON) of the hypothalamus. No such effect is observed with other hypothalamic neuropeptides, including vasopressin, thyrotropin-releasing hormone and pro-opiomelanocortin. The increase in oxytocin expression elicited by OEA was absent in mutant PPAR-alpha-null mice. Pharmacological blockade of oxytocin receptors in the brain by intracerebroventricular infusion of the selective oxytocin antagonist, L-368,899, prevented the anorexic effects of OEA. The results suggest that OEA suppresses feeding by activating central oxytocin transmission.","author":[{"dropping-particle":"","family":"Gaetani","given":"Silvana","non-dropping-particle":"","parse-names":false,"suffix":""},{"dropping-particle":"","family":"Fu","given":"Jin","non-dropping-particle":"","parse-names":false,"suffix":""},{"dropping-particle":"","family":"Cassano","given":"Tommaso","non-dropping-particle":"","parse-names":false,"suffix":""},{"dropping-particle":"","family":"Dipasquale","given":"Pasqua","non-dropping-particle":"","parse-names":false,"suffix":""},{"dropping-particle":"","family":"Romano","given":"Adele","non-dropping-particle":"","parse-names":false,"suffix":""},{"dropping-particle":"","family":"Righetti","given":"Laura","non-dropping-particle":"","parse-names":false,"suffix":""},{"dropping-particle":"","family":"Cianci","given":"Silvia","non-dropping-particle":"","parse-names":false,"suffix":""},{"dropping-particle":"","family":"Laconca","given":"Leonardo","non-dropping-particle":"","parse-names":false,"suffix":""},{"dropping-particle":"","family":"Giannini","given":"Elisa","non-dropping-particle":"","parse-names":false,"suffix":""},{"dropping-particle":"","family":"Scaccianoce","given":"Sergio","non-dropping-particle":"","parse-names":false,"suffix":""},{"dropping-particle":"","family":"Mairesse","given":"Jérôme","non-dropping-particle":"","parse-names":false,"suffix":""},{"dropping-particle":"","family":"Cuomo","given":"Vincenzo","non-dropping-particle":"","parse-names":false,"suffix":""},{"dropping-particle":"","family":"Piomelli","given":"Daniele","non-dropping-particle":"","parse-names":false,"suffix":""}],"container-title":"The Journal of neuroscience : the official journal of the Society for Neuroscience","id":"ITEM-1","issue":"24","issued":{"date-parts":[["2010","6"]]},"page":"8096-101","title":"The fat-induced satiety factor oleoylethanolamide suppresses feeding through central release of oxytocin.","type":"article-journal","volume":"30"},"uris":["http://www.mendeley.com/documents/?uuid=fa6231ef-29fb-40cb-932a-b1d39721bfb9"]},{"id":"ITEM-2","itemData":{"DOI":"10.1016/j.physbeh.2014.04.039","ISSN":"00319384","author":[{"dropping-particle":"","family":"Romano","given":"A.","non-dropping-particle":"","parse-names":false,"suffix":""},{"dropping-particle":"","family":"Karimian Azari","given":"E.","non-dropping-particle":"","parse-names":false,"suffix":""},{"dropping-particle":"","family":"Tempesta","given":"B.","non-dropping-particle":"","parse-names":false,"suffix":""},{"dropping-particle":"","family":"Mansouri","given":"A.","non-dropping-particle":"","parse-names":false,"suffix":""},{"dropping-particle":"","family":"Micioni Di Bonaventura","given":"M.V.","non-dropping-particle":"","parse-names":false,"suffix":""},{"dropping-particle":"","family":"Ramachandran","given":"D.","non-dropping-particle":"","parse-names":false,"suffix":""},{"dropping-particle":"","family":"Lutz","given":"T.A.","non-dropping-particle":"","parse-names":false,"suffix":""},{"dropping-particle":"","family":"Bedse","given":"G.","non-dropping-particle":"","parse-names":false,"suffix":""},{"dropping-particle":"","family":"Langhans","given":"W.","non-dropping-particle":"","parse-names":false,"suffix":""},{"dropping-particle":"","family":"Gaetani","given":"S.","non-dropping-particle":"","parse-names":false,"suffix":""}],"container-title":"Physiology &amp; Behavior","id":"ITEM-2","issued":{"date-parts":[["2014","9"]]},"page":"55-62","title":"High dietary fat intake influences the activation of specific hindbrain and hypothalamic nuclei by the satiety factor oleoylethanolamide","type":"article-journal","volume":"136"},"uris":["http://www.mendeley.com/documents/?uuid=edc14388-6e4b-4543-bc33-6d2294e94844"]},{"id":"ITEM-3","itemData":{"DOI":"10.3233/JAD-141635","ISSN":"18758908","abstract":"Alzheimer's disease (AD) is the most common form of progressive neurodegenerative disease characterized by cognitive impairment and mental disorders. The actual cause and cascade of events in the progression of this pathology is not fully determined. AD is multifaceted in nature and is linked to different multiple mechanisms in the brain. This aspect is related to the lack of efficacious therapies that could slow down or hinder the disease onset/progression. The ideal treatment for AD should be able to modulate the disease through multiple mechanisms rather than targeting a single dysregulated pathway. Recently, the endocannabinoid system emerged as a novel potential therapeutic target to treat AD. In fact, exogenous and endogenous cannabinoids seem to be able to modulate multiple processes in AD, although the mechanisms that are involved are not fully elucidated. This review provides an update of this area. In this review, we recapitulate the role of endocannabinoid signaling in AD and the probable mechanisms through which modulators of the endocannabinoid system provide their effects, thus highlighting how this target might provide more advantages over other therapeutic targets.","author":[{"dropping-particle":"","family":"Bedse","given":"Gaurav","non-dropping-particle":"","parse-names":false,"suffix":""},{"dropping-particle":"","family":"Romano","given":"Adele","non-dropping-particle":"","parse-names":false,"suffix":""},{"dropping-particle":"","family":"Lavecchia","given":"Angelo M.","non-dropping-particle":"","parse-names":false,"suffix":""},{"dropping-particle":"","family":"Cassano","given":"Tommaso","non-dropping-particle":"","parse-names":false,"suffix":""},{"dropping-particle":"","family":"Gaetani","given":"Silvana","non-dropping-particle":"","parse-names":false,"suffix":""}],"container-title":"Journal of Alzheimer's Disease","id":"ITEM-3","issue":"4","issued":{"date-parts":[["2014"]]},"page":"1115-1136","publisher":"IOS Press","title":"The role of endocannabinoid signaling in the molecular mechanisms of neurodegeneration in Alzheimer's disease","type":"article","volume":"43"},"uris":["http://www.mendeley.com/documents/?uuid=bd780e49-e583-3151-b4cf-8210cb09f813"]}],"mendeley":{"formattedCitation":"&lt;span style=\"baseline\"&gt;[10–12]&lt;/span&gt;","plainTextFormattedCitation":"[10–12]","previouslyFormattedCitation":"&lt;span style=\"baseline\"&gt;[10–12]&lt;/span&gt;"},"properties":{"noteIndex":0},"schema":"https://github.com/citation-style-language/schema/raw/master/csl-citation.json"}</w:instrText>
      </w:r>
      <w:r w:rsidR="000524F6" w:rsidRPr="004C43D5">
        <w:rPr>
          <w:rFonts w:ascii="Arial" w:hAnsi="Arial" w:cs="Arial"/>
          <w:sz w:val="20"/>
        </w:rPr>
        <w:fldChar w:fldCharType="separate"/>
      </w:r>
      <w:r w:rsidR="00121CC6" w:rsidRPr="004C43D5">
        <w:rPr>
          <w:rFonts w:ascii="Arial" w:hAnsi="Arial" w:cs="Arial"/>
          <w:noProof/>
          <w:sz w:val="20"/>
        </w:rPr>
        <w:t>[10–12]</w:t>
      </w:r>
      <w:r w:rsidR="000524F6" w:rsidRPr="004C43D5">
        <w:rPr>
          <w:rFonts w:ascii="Arial" w:hAnsi="Arial" w:cs="Arial"/>
          <w:sz w:val="20"/>
        </w:rPr>
        <w:fldChar w:fldCharType="end"/>
      </w:r>
      <w:r w:rsidR="00C92FF5" w:rsidRPr="004C43D5">
        <w:rPr>
          <w:rFonts w:ascii="Arial" w:hAnsi="Arial" w:cs="Arial"/>
          <w:sz w:val="20"/>
        </w:rPr>
        <w:t xml:space="preserve">, to </w:t>
      </w:r>
      <w:r w:rsidR="00C92FF5" w:rsidRPr="004C43D5">
        <w:rPr>
          <w:rFonts w:ascii="Arial" w:hAnsi="Arial" w:cs="Arial"/>
          <w:sz w:val="20"/>
        </w:rPr>
        <w:lastRenderedPageBreak/>
        <w:t xml:space="preserve">detect oxytocin mRNA in the PVN and CRF mRNA in both PVN and </w:t>
      </w:r>
      <w:r w:rsidR="00675257" w:rsidRPr="004C43D5">
        <w:rPr>
          <w:rFonts w:ascii="Arial" w:hAnsi="Arial" w:cs="Arial"/>
          <w:sz w:val="20"/>
        </w:rPr>
        <w:t xml:space="preserve">central amygdala </w:t>
      </w:r>
      <w:r w:rsidR="00372EE1" w:rsidRPr="004C43D5">
        <w:rPr>
          <w:rFonts w:ascii="Arial" w:hAnsi="Arial" w:cs="Arial"/>
          <w:sz w:val="20"/>
        </w:rPr>
        <w:t>(</w:t>
      </w:r>
      <w:r w:rsidR="00C92FF5" w:rsidRPr="004C43D5">
        <w:rPr>
          <w:rFonts w:ascii="Arial" w:hAnsi="Arial" w:cs="Arial"/>
          <w:sz w:val="20"/>
        </w:rPr>
        <w:t>CeA</w:t>
      </w:r>
      <w:r w:rsidR="00372EE1" w:rsidRPr="004C43D5">
        <w:rPr>
          <w:rFonts w:ascii="Arial" w:hAnsi="Arial" w:cs="Arial"/>
          <w:sz w:val="20"/>
        </w:rPr>
        <w:t>)</w:t>
      </w:r>
      <w:r w:rsidR="00C92FF5" w:rsidRPr="004C43D5">
        <w:rPr>
          <w:rFonts w:ascii="Arial" w:hAnsi="Arial" w:cs="Arial"/>
          <w:sz w:val="20"/>
        </w:rPr>
        <w:t>. The effects of OEA on oxytocin and CRF mRNA were determined by a semi-quantitative autoradiography analysis, as previously described</w:t>
      </w:r>
      <w:r w:rsidR="007E04E0" w:rsidRPr="004C43D5">
        <w:rPr>
          <w:rFonts w:ascii="Arial" w:hAnsi="Arial" w:cs="Arial"/>
          <w:sz w:val="20"/>
        </w:rPr>
        <w:t xml:space="preserve"> </w:t>
      </w:r>
      <w:r w:rsidR="000524F6" w:rsidRPr="004C43D5">
        <w:rPr>
          <w:rFonts w:ascii="Arial" w:hAnsi="Arial" w:cs="Arial"/>
          <w:sz w:val="20"/>
        </w:rPr>
        <w:fldChar w:fldCharType="begin" w:fldLock="1"/>
      </w:r>
      <w:r w:rsidR="00C80FE2" w:rsidRPr="004C43D5">
        <w:rPr>
          <w:rFonts w:ascii="Arial" w:hAnsi="Arial" w:cs="Arial"/>
          <w:sz w:val="20"/>
        </w:rPr>
        <w:instrText>ADDIN CSL_CITATION {"citationItems":[{"id":"ITEM-1","itemData":{"DOI":"10.1523/JNEUROSCI.0036-10.2010","ISSN":"1529-2401","PMID":"20554860","abstract":"Oleoylethanolamide (OEA) is a biologically active lipid amide that is released by small-intestinal enterocytes during the absorption of dietary fat and inhibits feeding by engaging the nuclear receptor, peroxisome proliferator-activated receptor-alpha (PPAR-alpha). Previous studies have shown that the anorexic effects of systemically administered OEA require the activation of sensory afferents of the vagus nerve. The central circuits involved in mediating OEA-induced hypophagia remain unknown. In the present study, we report the results of in situ hybridization and immunohistochemistry experiments in rats and mice, which show that systemic injections of OEA (5-10 mg kg(-1), intraperitoneal) enhance expression of the neuropeptide oxytocin in magnocellular neurons of the paraventricular nucleus (PVN) and supraoptic nucleus (SON) of the hypothalamus. No such effect is observed with other hypothalamic neuropeptides, including vasopressin, thyrotropin-releasing hormone and pro-opiomelanocortin. The increase in oxytocin expression elicited by OEA was absent in mutant PPAR-alpha-null mice. Pharmacological blockade of oxytocin receptors in the brain by intracerebroventricular infusion of the selective oxytocin antagonist, L-368,899, prevented the anorexic effects of OEA. The results suggest that OEA suppresses feeding by activating central oxytocin transmission.","author":[{"dropping-particle":"","family":"Gaetani","given":"Silvana","non-dropping-particle":"","parse-names":false,"suffix":""},{"dropping-particle":"","family":"Fu","given":"Jin","non-dropping-particle":"","parse-names":false,"suffix":""},{"dropping-particle":"","family":"Cassano","given":"Tommaso","non-dropping-particle":"","parse-names":false,"suffix":""},{"dropping-particle":"","family":"Dipasquale","given":"Pasqua","non-dropping-particle":"","parse-names":false,"suffix":""},{"dropping-particle":"","family":"Romano","given":"Adele","non-dropping-particle":"","parse-names":false,"suffix":""},{"dropping-particle":"","family":"Righetti","given":"Laura","non-dropping-particle":"","parse-names":false,"suffix":""},{"dropping-particle":"","family":"Cianci","given":"Silvia","non-dropping-particle":"","parse-names":false,"suffix":""},{"dropping-particle":"","family":"Laconca","given":"Leonardo","non-dropping-particle":"","parse-names":false,"suffix":""},{"dropping-particle":"","family":"Giannini","given":"Elisa","non-dropping-particle":"","parse-names":false,"suffix":""},{"dropping-particle":"","family":"Scaccianoce","given":"Sergio","non-dropping-particle":"","parse-names":false,"suffix":""},{"dropping-particle":"","family":"Mairesse","given":"Jérôme","non-dropping-particle":"","parse-names":false,"suffix":""},{"dropping-particle":"","family":"Cuomo","given":"Vincenzo","non-dropping-particle":"","parse-names":false,"suffix":""},{"dropping-particle":"","family":"Piomelli","given":"Daniele","non-dropping-particle":"","parse-names":false,"suffix":""}],"container-title":"The Journal of neuroscience : the official journal of the Society for Neuroscience","id":"ITEM-1","issue":"24","issued":{"date-parts":[["2010","6"]]},"page":"8096-101","title":"The fat-induced satiety factor oleoylethanolamide suppresses feeding through central release of oxytocin.","type":"article-journal","volume":"30"},"uris":["http://www.mendeley.com/documents/?uuid=fa6231ef-29fb-40cb-932a-b1d39721bfb9"]},{"id":"ITEM-2","itemData":{"DOI":"10.1016/j.physbeh.2014.04.039","ISSN":"00319384","author":[{"dropping-particle":"","family":"Romano","given":"A.","non-dropping-particle":"","parse-names":false,"suffix":""},{"dropping-particle":"","family":"Karimian Azari","given":"E.","non-dropping-particle":"","parse-names":false,"suffix":""},{"dropping-particle":"","family":"Tempesta","given":"B.","non-dropping-particle":"","parse-names":false,"suffix":""},{"dropping-particle":"","family":"Mansouri","given":"A.","non-dropping-particle":"","parse-names":false,"suffix":""},{"dropping-particle":"","family":"Micioni Di Bonaventura","given":"M.V.","non-dropping-particle":"","parse-names":false,"suffix":""},{"dropping-particle":"","family":"Ramachandran","given":"D.","non-dropping-particle":"","parse-names":false,"suffix":""},{"dropping-particle":"","family":"Lutz","given":"T.A.","non-dropping-particle":"","parse-names":false,"suffix":""},{"dropping-particle":"","family":"Bedse","given":"G.","non-dropping-particle":"","parse-names":false,"suffix":""},{"dropping-particle":"","family":"Langhans","given":"W.","non-dropping-particle":"","parse-names":false,"suffix":""},{"dropping-particle":"","family":"Gaetani","given":"S.","non-dropping-particle":"","parse-names":false,"suffix":""}],"container-title":"Physiology &amp; Behavior","id":"ITEM-2","issued":{"date-parts":[["2014","9"]]},"page":"55-62","title":"High dietary fat intake influences the activation of specific hindbrain and hypothalamic nuclei by the satiety factor oleoylethanolamide","type":"article-journal","volume":"136"},"uris":["http://www.mendeley.com/documents/?uuid=edc14388-6e4b-4543-bc33-6d2294e94844"]},{"id":"ITEM-3","itemData":{"DOI":"10.3233/JAD-141635","ISSN":"18758908","abstract":"Alzheimer's disease (AD) is the most common form of progressive neurodegenerative disease characterized by cognitive impairment and mental disorders. The actual cause and cascade of events in the progression of this pathology is not fully determined. AD is multifaceted in nature and is linked to different multiple mechanisms in the brain. This aspect is related to the lack of efficacious therapies that could slow down or hinder the disease onset/progression. The ideal treatment for AD should be able to modulate the disease through multiple mechanisms rather than targeting a single dysregulated pathway. Recently, the endocannabinoid system emerged as a novel potential therapeutic target to treat AD. In fact, exogenous and endogenous cannabinoids seem to be able to modulate multiple processes in AD, although the mechanisms that are involved are not fully elucidated. This review provides an update of this area. In this review, we recapitulate the role of endocannabinoid signaling in AD and the probable mechanisms through which modulators of the endocannabinoid system provide their effects, thus highlighting how this target might provide more advantages over other therapeutic targets.","author":[{"dropping-particle":"","family":"Bedse","given":"Gaurav","non-dropping-particle":"","parse-names":false,"suffix":""},{"dropping-particle":"","family":"Romano","given":"Adele","non-dropping-particle":"","parse-names":false,"suffix":""},{"dropping-particle":"","family":"Lavecchia","given":"Angelo M.","non-dropping-particle":"","parse-names":false,"suffix":""},{"dropping-particle":"","family":"Cassano","given":"Tommaso","non-dropping-particle":"","parse-names":false,"suffix":""},{"dropping-particle":"","family":"Gaetani","given":"Silvana","non-dropping-particle":"","parse-names":false,"suffix":""}],"container-title":"Journal of Alzheimer's Disease","id":"ITEM-3","issue":"4","issued":{"date-parts":[["2014"]]},"page":"1115-1136","publisher":"IOS Press","title":"The role of endocannabinoid signaling in the molecular mechanisms of neurodegeneration in Alzheimer's disease","type":"article","volume":"43"},"uris":["http://www.mendeley.com/documents/?uuid=bd780e49-e583-3151-b4cf-8210cb09f813"]}],"mendeley":{"formattedCitation":"&lt;span style=\"baseline\"&gt;[10–12]&lt;/span&gt;","plainTextFormattedCitation":"[10–12]","previouslyFormattedCitation":"&lt;span style=\"baseline\"&gt;[10–12]&lt;/span&gt;"},"properties":{"noteIndex":0},"schema":"https://github.com/citation-style-language/schema/raw/master/csl-citation.json"}</w:instrText>
      </w:r>
      <w:r w:rsidR="000524F6" w:rsidRPr="004C43D5">
        <w:rPr>
          <w:rFonts w:ascii="Arial" w:hAnsi="Arial" w:cs="Arial"/>
          <w:sz w:val="20"/>
        </w:rPr>
        <w:fldChar w:fldCharType="separate"/>
      </w:r>
      <w:r w:rsidR="00121CC6" w:rsidRPr="004C43D5">
        <w:rPr>
          <w:rFonts w:ascii="Arial" w:hAnsi="Arial" w:cs="Arial"/>
          <w:noProof/>
          <w:sz w:val="20"/>
        </w:rPr>
        <w:t>[10–12]</w:t>
      </w:r>
      <w:r w:rsidR="000524F6" w:rsidRPr="004C43D5">
        <w:rPr>
          <w:rFonts w:ascii="Arial" w:hAnsi="Arial" w:cs="Arial"/>
          <w:sz w:val="20"/>
        </w:rPr>
        <w:fldChar w:fldCharType="end"/>
      </w:r>
      <w:r w:rsidR="00C92FF5" w:rsidRPr="004C43D5">
        <w:rPr>
          <w:rFonts w:ascii="Arial" w:hAnsi="Arial" w:cs="Arial"/>
          <w:sz w:val="20"/>
        </w:rPr>
        <w:t>. For this analysis the investigator was blind to animal treatment and measurements were obtained in at least five consecutive tissues sections per animal containing the desired structure.</w:t>
      </w:r>
    </w:p>
    <w:p w14:paraId="53EEFBC5" w14:textId="7C81F49A" w:rsidR="001F7DF3" w:rsidRPr="004C43D5" w:rsidRDefault="001F7DF3" w:rsidP="001F7DF3">
      <w:pPr>
        <w:spacing w:line="360" w:lineRule="auto"/>
        <w:jc w:val="both"/>
        <w:rPr>
          <w:rFonts w:ascii="Arial" w:hAnsi="Arial" w:cs="Arial"/>
          <w:sz w:val="20"/>
          <w:lang w:val="en-GB"/>
        </w:rPr>
      </w:pPr>
      <w:r w:rsidRPr="004C43D5">
        <w:rPr>
          <w:rFonts w:ascii="Arial" w:hAnsi="Arial" w:cs="Arial"/>
          <w:sz w:val="20"/>
        </w:rPr>
        <w:t>Briefly, oxy</w:t>
      </w:r>
      <w:r w:rsidR="00372EE1" w:rsidRPr="004C43D5">
        <w:rPr>
          <w:rFonts w:ascii="Arial" w:hAnsi="Arial" w:cs="Arial"/>
          <w:sz w:val="20"/>
        </w:rPr>
        <w:t>tocin</w:t>
      </w:r>
      <w:r w:rsidRPr="004C43D5">
        <w:rPr>
          <w:rFonts w:ascii="Arial" w:hAnsi="Arial" w:cs="Arial"/>
          <w:sz w:val="20"/>
        </w:rPr>
        <w:t xml:space="preserve"> and CRF riboprobes were generated from linearized vector constructs, by in vitro transcription using SP6 RNA polymerases (Roche Diagnostic, Monza, Italy), respectively in the presence of both [</w:t>
      </w:r>
      <w:r w:rsidRPr="004C43D5">
        <w:rPr>
          <w:rFonts w:ascii="Arial" w:hAnsi="Arial" w:cs="Arial"/>
          <w:sz w:val="20"/>
          <w:vertAlign w:val="superscript"/>
        </w:rPr>
        <w:t>35</w:t>
      </w:r>
      <w:r w:rsidRPr="004C43D5">
        <w:rPr>
          <w:rFonts w:ascii="Arial" w:hAnsi="Arial" w:cs="Arial"/>
          <w:sz w:val="20"/>
        </w:rPr>
        <w:t>S]-CTP and [</w:t>
      </w:r>
      <w:r w:rsidRPr="004C43D5">
        <w:rPr>
          <w:rFonts w:ascii="Arial" w:hAnsi="Arial" w:cs="Arial"/>
          <w:sz w:val="20"/>
          <w:vertAlign w:val="superscript"/>
        </w:rPr>
        <w:t>35</w:t>
      </w:r>
      <w:r w:rsidRPr="004C43D5">
        <w:rPr>
          <w:rFonts w:ascii="Arial" w:hAnsi="Arial" w:cs="Arial"/>
          <w:sz w:val="20"/>
        </w:rPr>
        <w:t>S]-UTP. Brain sections were then hybridized at 60°C for 16 h in a buffer containing [</w:t>
      </w:r>
      <w:r w:rsidRPr="004C43D5">
        <w:rPr>
          <w:rFonts w:ascii="Arial" w:hAnsi="Arial" w:cs="Arial"/>
          <w:sz w:val="20"/>
          <w:vertAlign w:val="superscript"/>
        </w:rPr>
        <w:t>35</w:t>
      </w:r>
      <w:r w:rsidRPr="004C43D5">
        <w:rPr>
          <w:rFonts w:ascii="Arial" w:hAnsi="Arial" w:cs="Arial"/>
          <w:sz w:val="20"/>
        </w:rPr>
        <w:t>S] cRNA (~45,000 dpm ml</w:t>
      </w:r>
      <w:r w:rsidRPr="004C43D5">
        <w:rPr>
          <w:rFonts w:ascii="Arial" w:hAnsi="Arial" w:cs="Arial"/>
          <w:sz w:val="20"/>
          <w:vertAlign w:val="superscript"/>
        </w:rPr>
        <w:t>−1</w:t>
      </w:r>
      <w:r w:rsidRPr="004C43D5">
        <w:rPr>
          <w:rFonts w:ascii="Arial" w:hAnsi="Arial" w:cs="Arial"/>
          <w:sz w:val="20"/>
        </w:rPr>
        <w:t>), 10% dextran sulfate, 50% formamide, 1× Denhardt's solution, 100 μg ml</w:t>
      </w:r>
      <w:r w:rsidRPr="004C43D5">
        <w:rPr>
          <w:rFonts w:ascii="Arial" w:hAnsi="Arial" w:cs="Arial"/>
          <w:sz w:val="20"/>
          <w:vertAlign w:val="superscript"/>
        </w:rPr>
        <w:t>−1</w:t>
      </w:r>
      <w:r w:rsidRPr="004C43D5">
        <w:rPr>
          <w:rFonts w:ascii="Arial" w:hAnsi="Arial" w:cs="Arial"/>
          <w:sz w:val="20"/>
        </w:rPr>
        <w:t xml:space="preserve"> denatured salmon sperm DNA, 0.15 mg ml</w:t>
      </w:r>
      <w:r w:rsidRPr="004C43D5">
        <w:rPr>
          <w:rFonts w:ascii="Arial" w:hAnsi="Arial" w:cs="Arial"/>
          <w:sz w:val="20"/>
          <w:vertAlign w:val="superscript"/>
        </w:rPr>
        <w:t>−1</w:t>
      </w:r>
      <w:r w:rsidRPr="004C43D5">
        <w:rPr>
          <w:rFonts w:ascii="Arial" w:hAnsi="Arial" w:cs="Arial"/>
          <w:sz w:val="20"/>
        </w:rPr>
        <w:t xml:space="preserve"> tRNA and 40 mM dithiothreitol as previously described </w:t>
      </w:r>
      <w:r w:rsidRPr="004C43D5">
        <w:rPr>
          <w:rFonts w:ascii="Arial" w:hAnsi="Arial" w:cs="Arial"/>
          <w:sz w:val="20"/>
        </w:rPr>
        <w:fldChar w:fldCharType="begin" w:fldLock="1"/>
      </w:r>
      <w:r w:rsidR="00C80FE2" w:rsidRPr="004C43D5">
        <w:rPr>
          <w:rFonts w:ascii="Arial" w:hAnsi="Arial" w:cs="Arial"/>
          <w:sz w:val="20"/>
        </w:rPr>
        <w:instrText>ADDIN CSL_CITATION {"citationItems":[{"id":"ITEM-1","itemData":{"DOI":"10.1523/JNEUROSCI.0036-10.2010","ISSN":"1529-2401","PMID":"20554860","abstract":"Oleoylethanolamide (OEA) is a biologically active lipid amide that is released by small-intestinal enterocytes during the absorption of dietary fat and inhibits feeding by engaging the nuclear receptor, peroxisome proliferator-activated receptor-alpha (PPAR-alpha). Previous studies have shown that the anorexic effects of systemically administered OEA require the activation of sensory afferents of the vagus nerve. The central circuits involved in mediating OEA-induced hypophagia remain unknown. In the present study, we report the results of in situ hybridization and immunohistochemistry experiments in rats and mice, which show that systemic injections of OEA (5-10 mg kg(-1), intraperitoneal) enhance expression of the neuropeptide oxytocin in magnocellular neurons of the paraventricular nucleus (PVN) and supraoptic nucleus (SON) of the hypothalamus. No such effect is observed with other hypothalamic neuropeptides, including vasopressin, thyrotropin-releasing hormone and pro-opiomelanocortin. The increase in oxytocin expression elicited by OEA was absent in mutant PPAR-alpha-null mice. Pharmacological blockade of oxytocin receptors in the brain by intracerebroventricular infusion of the selective oxytocin antagonist, L-368,899, prevented the anorexic effects of OEA. The results suggest that OEA suppresses feeding by activating central oxytocin transmission.","author":[{"dropping-particle":"","family":"Gaetani","given":"Silvana","non-dropping-particle":"","parse-names":false,"suffix":""},{"dropping-particle":"","family":"Fu","given":"Jin","non-dropping-particle":"","parse-names":false,"suffix":""},{"dropping-particle":"","family":"Cassano","given":"Tommaso","non-dropping-particle":"","parse-names":false,"suffix":""},{"dropping-particle":"","family":"Dipasquale","given":"Pasqua","non-dropping-particle":"","parse-names":false,"suffix":""},{"dropping-particle":"","family":"Romano","given":"Adele","non-dropping-particle":"","parse-names":false,"suffix":""},{"dropping-particle":"","family":"Righetti","given":"Laura","non-dropping-particle":"","parse-names":false,"suffix":""},{"dropping-particle":"","family":"Cianci","given":"Silvia","non-dropping-particle":"","parse-names":false,"suffix":""},{"dropping-particle":"","family":"Laconca","given":"Leonardo","non-dropping-particle":"","parse-names":false,"suffix":""},{"dropping-particle":"","family":"Giannini","given":"Elisa","non-dropping-particle":"","parse-names":false,"suffix":""},{"dropping-particle":"","family":"Scaccianoce","given":"Sergio","non-dropping-particle":"","parse-names":false,"suffix":""},{"dropping-particle":"","family":"Mairesse","given":"Jérôme","non-dropping-particle":"","parse-names":false,"suffix":""},{"dropping-particle":"","family":"Cuomo","given":"Vincenzo","non-dropping-particle":"","parse-names":false,"suffix":""},{"dropping-particle":"","family":"Piomelli","given":"Daniele","non-dropping-particle":"","parse-names":false,"suffix":""}],"container-title":"The Journal of neuroscience : the official journal of the Society for Neuroscience","id":"ITEM-1","issue":"24","issued":{"date-parts":[["2010","6"]]},"page":"8096-101","title":"The fat-induced satiety factor oleoylethanolamide suppresses feeding through central release of oxytocin.","type":"article-journal","volume":"30"},"uris":["http://www.mendeley.com/documents/?uuid=fa6231ef-29fb-40cb-932a-b1d39721bfb9"]}],"mendeley":{"formattedCitation":"&lt;span style=\"baseline\"&gt;[10]&lt;/span&gt;","plainTextFormattedCitation":"[10]","previouslyFormattedCitation":"&lt;span style=\"baseline\"&gt;[10]&lt;/span&gt;"},"properties":{"noteIndex":0},"schema":"https://github.com/citation-style-language/schema/raw/master/csl-citation.json"}</w:instrText>
      </w:r>
      <w:r w:rsidRPr="004C43D5">
        <w:rPr>
          <w:rFonts w:ascii="Arial" w:hAnsi="Arial" w:cs="Arial"/>
          <w:sz w:val="20"/>
        </w:rPr>
        <w:fldChar w:fldCharType="separate"/>
      </w:r>
      <w:r w:rsidR="00121CC6" w:rsidRPr="004C43D5">
        <w:rPr>
          <w:rFonts w:ascii="Arial" w:hAnsi="Arial" w:cs="Arial"/>
          <w:noProof/>
          <w:sz w:val="20"/>
          <w:lang w:val="en-GB"/>
        </w:rPr>
        <w:t>[10]</w:t>
      </w:r>
      <w:r w:rsidRPr="004C43D5">
        <w:rPr>
          <w:rFonts w:ascii="Arial" w:hAnsi="Arial" w:cs="Arial"/>
          <w:sz w:val="20"/>
        </w:rPr>
        <w:fldChar w:fldCharType="end"/>
      </w:r>
      <w:r w:rsidR="006A6BB9" w:rsidRPr="004C43D5">
        <w:rPr>
          <w:rFonts w:ascii="Arial" w:hAnsi="Arial" w:cs="Arial"/>
          <w:sz w:val="20"/>
        </w:rPr>
        <w:t>.</w:t>
      </w:r>
      <w:r w:rsidRPr="004C43D5">
        <w:rPr>
          <w:rFonts w:ascii="Arial" w:hAnsi="Arial" w:cs="Arial"/>
          <w:sz w:val="20"/>
          <w:lang w:val="en-GB"/>
        </w:rPr>
        <w:t xml:space="preserve"> After hybridization, brain sections were exposed to Kodak Biomax film (Sigma-Aldrich) for 16 or 4 h to the detect CRF or </w:t>
      </w:r>
      <w:r w:rsidR="00364377" w:rsidRPr="004C43D5">
        <w:rPr>
          <w:rFonts w:ascii="Arial" w:hAnsi="Arial" w:cs="Arial"/>
          <w:sz w:val="20"/>
          <w:lang w:val="en-GB"/>
        </w:rPr>
        <w:t>oxytocin</w:t>
      </w:r>
      <w:r w:rsidRPr="004C43D5">
        <w:rPr>
          <w:rFonts w:ascii="Arial" w:hAnsi="Arial" w:cs="Arial"/>
          <w:sz w:val="20"/>
          <w:lang w:val="en-GB"/>
        </w:rPr>
        <w:t xml:space="preserve"> mRNA, respectively.</w:t>
      </w:r>
    </w:p>
    <w:p w14:paraId="123D99F3" w14:textId="29711E88" w:rsidR="00F97C37" w:rsidRPr="004C43D5" w:rsidRDefault="001F7DF3" w:rsidP="00F97C37">
      <w:pPr>
        <w:spacing w:line="360" w:lineRule="auto"/>
        <w:jc w:val="both"/>
        <w:rPr>
          <w:rFonts w:ascii="Arial" w:hAnsi="Arial" w:cs="Arial"/>
          <w:sz w:val="20"/>
        </w:rPr>
      </w:pPr>
      <w:r w:rsidRPr="004C43D5">
        <w:rPr>
          <w:rFonts w:ascii="Arial" w:hAnsi="Arial" w:cs="Arial"/>
          <w:sz w:val="20"/>
        </w:rPr>
        <w:t>For semi-quantitative autoradiography analysis, films were first scanned (Epson perfection 3200 PHOTO) at high resolution (1200 dpi). A brain atlas</w:t>
      </w:r>
      <w:r w:rsidR="003814E9" w:rsidRPr="004C43D5">
        <w:rPr>
          <w:rFonts w:ascii="Arial" w:hAnsi="Arial" w:cs="Arial"/>
          <w:sz w:val="20"/>
        </w:rPr>
        <w:t xml:space="preserve"> </w:t>
      </w:r>
      <w:r w:rsidR="001C56BC" w:rsidRPr="004C43D5">
        <w:rPr>
          <w:rFonts w:ascii="Arial" w:hAnsi="Arial" w:cs="Arial"/>
          <w:sz w:val="20"/>
        </w:rPr>
        <w:fldChar w:fldCharType="begin" w:fldLock="1"/>
      </w:r>
      <w:r w:rsidR="00C80FE2" w:rsidRPr="004C43D5">
        <w:rPr>
          <w:rFonts w:ascii="Arial" w:hAnsi="Arial" w:cs="Arial"/>
          <w:sz w:val="20"/>
        </w:rPr>
        <w:instrText>ADDIN CSL_CITATION {"citationItems":[{"id":"ITEM-1","itemData":{"author":[{"dropping-particle":"","family":"Paxinos G","given":"Watson C","non-dropping-particle":"","parse-names":false,"suffix":""}],"edition":"fourth ed.","id":"ITEM-1","issued":{"date-parts":[["1998"]]},"publisher":"Academic Press","publisher-place":"San Diego","title":"The Rat Brain in Stereotaxic Coordinates","type":"book"},"uris":["http://www.mendeley.com/documents/?uuid=24d556b0-8048-4a16-bf52-eb7281842d9d"]}],"mendeley":{"formattedCitation":"&lt;span style=\"baseline\"&gt;[4]&lt;/span&gt;","plainTextFormattedCitation":"[4]","previouslyFormattedCitation":"&lt;span style=\"baseline\"&gt;[4]&lt;/span&gt;"},"properties":{"noteIndex":0},"schema":"https://github.com/citation-style-language/schema/raw/master/csl-citation.json"}</w:instrText>
      </w:r>
      <w:r w:rsidR="001C56BC" w:rsidRPr="004C43D5">
        <w:rPr>
          <w:rFonts w:ascii="Arial" w:hAnsi="Arial" w:cs="Arial"/>
          <w:sz w:val="20"/>
        </w:rPr>
        <w:fldChar w:fldCharType="separate"/>
      </w:r>
      <w:r w:rsidR="00121CC6" w:rsidRPr="004C43D5">
        <w:rPr>
          <w:rFonts w:ascii="Arial" w:hAnsi="Arial" w:cs="Arial"/>
          <w:noProof/>
          <w:sz w:val="20"/>
        </w:rPr>
        <w:t>[4]</w:t>
      </w:r>
      <w:r w:rsidR="001C56BC" w:rsidRPr="004C43D5">
        <w:rPr>
          <w:rFonts w:ascii="Arial" w:hAnsi="Arial" w:cs="Arial"/>
          <w:sz w:val="20"/>
        </w:rPr>
        <w:fldChar w:fldCharType="end"/>
      </w:r>
      <w:r w:rsidRPr="004C43D5">
        <w:rPr>
          <w:rFonts w:ascii="Arial" w:hAnsi="Arial" w:cs="Arial"/>
          <w:sz w:val="20"/>
        </w:rPr>
        <w:t xml:space="preserve"> was used to define the localization of the brain structures of interest. Quantitative analyses of hybridized signals were performed using the Scion Image software. Optical densities were converted into radioactivity concentrations by densitometric analysis of </w:t>
      </w:r>
      <w:r w:rsidRPr="004C43D5">
        <w:rPr>
          <w:rFonts w:ascii="Arial" w:hAnsi="Arial" w:cs="Arial"/>
          <w:sz w:val="20"/>
          <w:vertAlign w:val="superscript"/>
        </w:rPr>
        <w:t>14</w:t>
      </w:r>
      <w:r w:rsidRPr="004C43D5">
        <w:rPr>
          <w:rFonts w:ascii="Arial" w:hAnsi="Arial" w:cs="Arial"/>
          <w:sz w:val="20"/>
        </w:rPr>
        <w:t>C-microscale standards (American Radiolabeled Chemicals), so as to create for each film a calibration curve with a linear coefficient r</w:t>
      </w:r>
      <w:r w:rsidRPr="004C43D5">
        <w:rPr>
          <w:rFonts w:ascii="Arial" w:hAnsi="Arial" w:cs="Arial"/>
          <w:sz w:val="20"/>
          <w:vertAlign w:val="superscript"/>
        </w:rPr>
        <w:t>2</w:t>
      </w:r>
      <w:r w:rsidRPr="004C43D5">
        <w:rPr>
          <w:rFonts w:ascii="Arial" w:hAnsi="Arial" w:cs="Arial"/>
          <w:sz w:val="20"/>
        </w:rPr>
        <w:t xml:space="preserve"> &gt; 0.9. In every brain section, the OD of the corpus callosum was used as background and an integrated OD value was calculated as radioactivity per extension of hybridized area. </w:t>
      </w:r>
      <w:r w:rsidR="00F97C37" w:rsidRPr="004C43D5">
        <w:rPr>
          <w:rFonts w:ascii="Arial" w:hAnsi="Arial" w:cs="Arial"/>
          <w:sz w:val="20"/>
        </w:rPr>
        <w:t xml:space="preserve">Rats in estrous phase were excluded from the statistical analyses. </w:t>
      </w:r>
    </w:p>
    <w:p w14:paraId="6047A989" w14:textId="77777777" w:rsidR="001F7DF3" w:rsidRPr="004C43D5" w:rsidRDefault="001F7DF3" w:rsidP="001F7DF3">
      <w:pPr>
        <w:spacing w:line="360" w:lineRule="auto"/>
        <w:jc w:val="both"/>
        <w:rPr>
          <w:rFonts w:ascii="Arial" w:hAnsi="Arial" w:cs="Arial"/>
          <w:sz w:val="20"/>
        </w:rPr>
      </w:pPr>
    </w:p>
    <w:p w14:paraId="383FD7B1" w14:textId="77777777" w:rsidR="00383E7D" w:rsidRPr="004C43D5" w:rsidRDefault="00383E7D" w:rsidP="001F7DF3">
      <w:pPr>
        <w:spacing w:line="360" w:lineRule="auto"/>
        <w:jc w:val="both"/>
        <w:rPr>
          <w:rFonts w:ascii="Arial" w:hAnsi="Arial" w:cs="Arial"/>
          <w:sz w:val="20"/>
        </w:rPr>
      </w:pPr>
    </w:p>
    <w:p w14:paraId="044282DD" w14:textId="77777777" w:rsidR="00E80A38" w:rsidRPr="004C43D5" w:rsidRDefault="00F7348A" w:rsidP="001F7DF3">
      <w:pPr>
        <w:spacing w:line="360" w:lineRule="auto"/>
        <w:jc w:val="both"/>
        <w:rPr>
          <w:rFonts w:ascii="Arial" w:hAnsi="Arial" w:cs="Arial"/>
          <w:b/>
          <w:sz w:val="20"/>
        </w:rPr>
      </w:pPr>
      <w:r w:rsidRPr="004C43D5">
        <w:rPr>
          <w:rFonts w:ascii="Arial" w:hAnsi="Arial" w:cs="Arial"/>
          <w:b/>
          <w:sz w:val="20"/>
        </w:rPr>
        <w:t>S1.4</w:t>
      </w:r>
      <w:r w:rsidR="0054097B" w:rsidRPr="004C43D5">
        <w:rPr>
          <w:rFonts w:ascii="Arial" w:hAnsi="Arial" w:cs="Arial"/>
          <w:b/>
          <w:sz w:val="20"/>
        </w:rPr>
        <w:t xml:space="preserve"> Statistical analyses</w:t>
      </w:r>
    </w:p>
    <w:p w14:paraId="20EFCA42" w14:textId="0680F1AF" w:rsidR="001E60B9" w:rsidRPr="004C43D5" w:rsidRDefault="0054097B" w:rsidP="0054097B">
      <w:pPr>
        <w:spacing w:line="360" w:lineRule="auto"/>
        <w:jc w:val="both"/>
        <w:rPr>
          <w:rFonts w:ascii="Arial" w:hAnsi="Arial" w:cs="Arial"/>
          <w:sz w:val="20"/>
        </w:rPr>
      </w:pPr>
      <w:r w:rsidRPr="004C43D5">
        <w:rPr>
          <w:rFonts w:ascii="Arial" w:hAnsi="Arial" w:cs="Arial"/>
          <w:sz w:val="20"/>
        </w:rPr>
        <w:t xml:space="preserve">All data were expressed as mean ± SEM. Feeding data </w:t>
      </w:r>
      <w:r w:rsidR="00443D19" w:rsidRPr="004C43D5">
        <w:rPr>
          <w:rFonts w:ascii="Arial" w:hAnsi="Arial" w:cs="Arial"/>
          <w:sz w:val="20"/>
        </w:rPr>
        <w:t>showed in Fig. S1</w:t>
      </w:r>
      <w:r w:rsidR="0037742C" w:rsidRPr="004C43D5">
        <w:rPr>
          <w:rFonts w:ascii="Arial" w:hAnsi="Arial" w:cs="Arial"/>
          <w:sz w:val="20"/>
        </w:rPr>
        <w:t>B</w:t>
      </w:r>
      <w:r w:rsidR="00012C4B" w:rsidRPr="004C43D5">
        <w:rPr>
          <w:rFonts w:ascii="Arial" w:hAnsi="Arial" w:cs="Arial"/>
          <w:sz w:val="20"/>
        </w:rPr>
        <w:t>, left panel</w:t>
      </w:r>
      <w:r w:rsidR="00443D19" w:rsidRPr="004C43D5">
        <w:rPr>
          <w:rFonts w:ascii="Arial" w:hAnsi="Arial" w:cs="Arial"/>
          <w:sz w:val="20"/>
        </w:rPr>
        <w:t xml:space="preserve"> </w:t>
      </w:r>
      <w:r w:rsidRPr="004C43D5">
        <w:rPr>
          <w:rFonts w:ascii="Arial" w:hAnsi="Arial" w:cs="Arial"/>
          <w:sz w:val="20"/>
        </w:rPr>
        <w:t xml:space="preserve">were statistically analyzed </w:t>
      </w:r>
      <w:r w:rsidR="00443D19" w:rsidRPr="004C43D5">
        <w:rPr>
          <w:rFonts w:ascii="Arial" w:hAnsi="Arial" w:cs="Arial"/>
          <w:sz w:val="20"/>
        </w:rPr>
        <w:t xml:space="preserve">by </w:t>
      </w:r>
      <w:r w:rsidR="00A90F46" w:rsidRPr="004C43D5">
        <w:rPr>
          <w:rFonts w:ascii="Arial" w:hAnsi="Arial" w:cs="Arial"/>
          <w:sz w:val="20"/>
        </w:rPr>
        <w:t>three</w:t>
      </w:r>
      <w:r w:rsidR="00443D19" w:rsidRPr="004C43D5">
        <w:rPr>
          <w:rFonts w:ascii="Arial" w:hAnsi="Arial" w:cs="Arial"/>
          <w:sz w:val="20"/>
        </w:rPr>
        <w:t>-way ANOVA</w:t>
      </w:r>
      <w:r w:rsidR="00102C9B" w:rsidRPr="004C43D5">
        <w:rPr>
          <w:rFonts w:ascii="Arial" w:hAnsi="Arial" w:cs="Arial"/>
          <w:sz w:val="20"/>
        </w:rPr>
        <w:t xml:space="preserve"> for repeated measures</w:t>
      </w:r>
      <w:r w:rsidR="00443D19" w:rsidRPr="004C43D5">
        <w:rPr>
          <w:rFonts w:ascii="Arial" w:hAnsi="Arial" w:cs="Arial"/>
          <w:sz w:val="20"/>
        </w:rPr>
        <w:t xml:space="preserve">, which included the </w:t>
      </w:r>
      <w:r w:rsidR="005E520F" w:rsidRPr="004C43D5">
        <w:rPr>
          <w:rFonts w:ascii="Arial" w:hAnsi="Arial" w:cs="Arial"/>
          <w:sz w:val="20"/>
        </w:rPr>
        <w:t xml:space="preserve">intermittent food restriction </w:t>
      </w:r>
      <w:r w:rsidR="00102C9B" w:rsidRPr="004C43D5">
        <w:rPr>
          <w:rFonts w:ascii="Arial" w:hAnsi="Arial" w:cs="Arial"/>
          <w:sz w:val="20"/>
        </w:rPr>
        <w:t xml:space="preserve">(R or NR) and the frustration stress during testing (S or NS) as </w:t>
      </w:r>
      <w:r w:rsidR="00A90F46" w:rsidRPr="004C43D5">
        <w:rPr>
          <w:rFonts w:ascii="Arial" w:hAnsi="Arial" w:cs="Arial"/>
          <w:sz w:val="20"/>
        </w:rPr>
        <w:t xml:space="preserve">the </w:t>
      </w:r>
      <w:r w:rsidR="00443D19" w:rsidRPr="004C43D5">
        <w:rPr>
          <w:rFonts w:ascii="Arial" w:hAnsi="Arial" w:cs="Arial"/>
          <w:sz w:val="20"/>
        </w:rPr>
        <w:t>between-subjects factors</w:t>
      </w:r>
      <w:r w:rsidR="001E60B9" w:rsidRPr="004C43D5">
        <w:rPr>
          <w:rFonts w:ascii="Arial" w:hAnsi="Arial" w:cs="Arial"/>
          <w:sz w:val="20"/>
        </w:rPr>
        <w:t>,</w:t>
      </w:r>
      <w:r w:rsidR="00443D19" w:rsidRPr="004C43D5">
        <w:rPr>
          <w:rFonts w:ascii="Arial" w:hAnsi="Arial" w:cs="Arial"/>
          <w:sz w:val="20"/>
        </w:rPr>
        <w:t xml:space="preserve"> </w:t>
      </w:r>
      <w:r w:rsidR="00626CB0" w:rsidRPr="004C43D5">
        <w:rPr>
          <w:rFonts w:ascii="Arial" w:hAnsi="Arial" w:cs="Arial"/>
          <w:sz w:val="20"/>
        </w:rPr>
        <w:t xml:space="preserve">with </w:t>
      </w:r>
      <w:r w:rsidR="00102C9B" w:rsidRPr="004C43D5">
        <w:rPr>
          <w:rFonts w:ascii="Arial" w:hAnsi="Arial" w:cs="Arial"/>
          <w:sz w:val="20"/>
        </w:rPr>
        <w:t>session</w:t>
      </w:r>
      <w:r w:rsidR="00F74900" w:rsidRPr="004C43D5">
        <w:rPr>
          <w:rFonts w:ascii="Arial" w:hAnsi="Arial" w:cs="Arial"/>
          <w:sz w:val="20"/>
        </w:rPr>
        <w:t>s</w:t>
      </w:r>
      <w:r w:rsidR="00102C9B" w:rsidRPr="004C43D5">
        <w:rPr>
          <w:rFonts w:ascii="Arial" w:hAnsi="Arial" w:cs="Arial"/>
          <w:sz w:val="20"/>
        </w:rPr>
        <w:t xml:space="preserve"> time (0-15, 15-30, 30-60, 60-120 min) as </w:t>
      </w:r>
      <w:r w:rsidR="00443D19" w:rsidRPr="004C43D5">
        <w:rPr>
          <w:rFonts w:ascii="Arial" w:hAnsi="Arial" w:cs="Arial"/>
          <w:sz w:val="20"/>
        </w:rPr>
        <w:t xml:space="preserve">the within-subject factor. </w:t>
      </w:r>
      <w:r w:rsidR="009D30A5" w:rsidRPr="004C43D5">
        <w:rPr>
          <w:rFonts w:ascii="Arial" w:hAnsi="Arial" w:cs="Arial"/>
          <w:sz w:val="20"/>
        </w:rPr>
        <w:t>Feeding data showed in Fig. S1B right panel</w:t>
      </w:r>
      <w:r w:rsidR="001E60B9" w:rsidRPr="004C43D5">
        <w:rPr>
          <w:rFonts w:ascii="Arial" w:hAnsi="Arial" w:cs="Arial"/>
          <w:sz w:val="20"/>
        </w:rPr>
        <w:t>,</w:t>
      </w:r>
      <w:r w:rsidR="009D30A5" w:rsidRPr="004C43D5">
        <w:rPr>
          <w:rFonts w:ascii="Arial" w:hAnsi="Arial" w:cs="Arial"/>
          <w:sz w:val="20"/>
        </w:rPr>
        <w:t xml:space="preserve"> were statistically analyzed by two-way ANOVA with </w:t>
      </w:r>
      <w:r w:rsidR="001E60B9" w:rsidRPr="004C43D5">
        <w:rPr>
          <w:rFonts w:ascii="Arial" w:hAnsi="Arial" w:cs="Arial"/>
          <w:sz w:val="20"/>
        </w:rPr>
        <w:t>intermittent food restriction</w:t>
      </w:r>
      <w:r w:rsidR="009D30A5" w:rsidRPr="004C43D5">
        <w:rPr>
          <w:rFonts w:ascii="Arial" w:hAnsi="Arial" w:cs="Arial"/>
          <w:sz w:val="20"/>
        </w:rPr>
        <w:t xml:space="preserve"> and stress as the two factors. </w:t>
      </w:r>
    </w:p>
    <w:p w14:paraId="06A2F86F" w14:textId="16B28582" w:rsidR="009D30A5" w:rsidRPr="004C43D5" w:rsidRDefault="00443D19" w:rsidP="0054097B">
      <w:pPr>
        <w:spacing w:line="360" w:lineRule="auto"/>
        <w:jc w:val="both"/>
        <w:rPr>
          <w:rFonts w:ascii="Arial" w:hAnsi="Arial" w:cs="Arial"/>
          <w:sz w:val="20"/>
        </w:rPr>
      </w:pPr>
      <w:r w:rsidRPr="004C43D5">
        <w:rPr>
          <w:rFonts w:ascii="Arial" w:hAnsi="Arial" w:cs="Arial"/>
          <w:sz w:val="20"/>
        </w:rPr>
        <w:t>Feeding data showed in Fig. 1 (C-F) were statistically analyzed by one-way ANOVA</w:t>
      </w:r>
      <w:r w:rsidR="00506C34" w:rsidRPr="004C43D5">
        <w:rPr>
          <w:rFonts w:ascii="Arial" w:hAnsi="Arial" w:cs="Arial"/>
          <w:sz w:val="20"/>
        </w:rPr>
        <w:t xml:space="preserve"> with treatment as between-subject factor</w:t>
      </w:r>
      <w:r w:rsidR="009D30A5" w:rsidRPr="004C43D5">
        <w:rPr>
          <w:rFonts w:ascii="Arial" w:hAnsi="Arial" w:cs="Arial"/>
          <w:sz w:val="20"/>
        </w:rPr>
        <w:t xml:space="preserve">. </w:t>
      </w:r>
      <w:r w:rsidR="00506C34" w:rsidRPr="004C43D5">
        <w:rPr>
          <w:rFonts w:ascii="Arial" w:hAnsi="Arial" w:cs="Arial"/>
          <w:sz w:val="20"/>
        </w:rPr>
        <w:t>Bonferroni’s test for multiple comparisons</w:t>
      </w:r>
      <w:r w:rsidR="0054097B" w:rsidRPr="004C43D5">
        <w:rPr>
          <w:rFonts w:ascii="Arial" w:hAnsi="Arial" w:cs="Arial"/>
          <w:sz w:val="20"/>
        </w:rPr>
        <w:t xml:space="preserve"> (</w:t>
      </w:r>
      <w:r w:rsidR="00A643CB" w:rsidRPr="004C43D5">
        <w:rPr>
          <w:rFonts w:ascii="Arial" w:hAnsi="Arial" w:cs="Arial"/>
          <w:sz w:val="20"/>
        </w:rPr>
        <w:t>Systat Software 10.0</w:t>
      </w:r>
      <w:r w:rsidR="0054097B" w:rsidRPr="004C43D5">
        <w:rPr>
          <w:rFonts w:ascii="Arial" w:hAnsi="Arial" w:cs="Arial"/>
          <w:sz w:val="20"/>
        </w:rPr>
        <w:t>)</w:t>
      </w:r>
      <w:r w:rsidR="009D30A5" w:rsidRPr="004C43D5">
        <w:rPr>
          <w:rFonts w:ascii="Arial" w:hAnsi="Arial" w:cs="Arial"/>
          <w:sz w:val="20"/>
        </w:rPr>
        <w:t xml:space="preserve"> was used </w:t>
      </w:r>
      <w:r w:rsidR="00D8232B" w:rsidRPr="004C43D5">
        <w:rPr>
          <w:rFonts w:ascii="Arial" w:hAnsi="Arial" w:cs="Arial"/>
          <w:sz w:val="20"/>
        </w:rPr>
        <w:t>for post hoc</w:t>
      </w:r>
      <w:r w:rsidR="009D30A5" w:rsidRPr="004C43D5">
        <w:rPr>
          <w:rFonts w:ascii="Arial" w:hAnsi="Arial" w:cs="Arial"/>
          <w:sz w:val="20"/>
        </w:rPr>
        <w:t xml:space="preserve"> analy</w:t>
      </w:r>
      <w:r w:rsidR="00D8232B" w:rsidRPr="004C43D5">
        <w:rPr>
          <w:rFonts w:ascii="Arial" w:hAnsi="Arial" w:cs="Arial"/>
          <w:sz w:val="20"/>
        </w:rPr>
        <w:t>ses of</w:t>
      </w:r>
      <w:r w:rsidR="009D30A5" w:rsidRPr="004C43D5">
        <w:rPr>
          <w:rFonts w:ascii="Arial" w:hAnsi="Arial" w:cs="Arial"/>
          <w:sz w:val="20"/>
        </w:rPr>
        <w:t xml:space="preserve"> all feeding data</w:t>
      </w:r>
      <w:r w:rsidR="0054097B" w:rsidRPr="004C43D5">
        <w:rPr>
          <w:rFonts w:ascii="Arial" w:hAnsi="Arial" w:cs="Arial"/>
          <w:sz w:val="20"/>
        </w:rPr>
        <w:t xml:space="preserve">. </w:t>
      </w:r>
    </w:p>
    <w:p w14:paraId="35216AE1" w14:textId="64BE3C1A" w:rsidR="0054097B" w:rsidRPr="004C43D5" w:rsidRDefault="009D30A5" w:rsidP="0054097B">
      <w:pPr>
        <w:spacing w:line="360" w:lineRule="auto"/>
        <w:jc w:val="both"/>
        <w:rPr>
          <w:rFonts w:ascii="Arial" w:hAnsi="Arial" w:cs="Arial"/>
          <w:sz w:val="20"/>
        </w:rPr>
      </w:pPr>
      <w:r w:rsidRPr="004C43D5">
        <w:rPr>
          <w:rFonts w:ascii="Arial" w:hAnsi="Arial" w:cs="Arial"/>
          <w:sz w:val="20"/>
        </w:rPr>
        <w:t xml:space="preserve">Results </w:t>
      </w:r>
      <w:r w:rsidR="0054097B" w:rsidRPr="004C43D5">
        <w:rPr>
          <w:rFonts w:ascii="Arial" w:hAnsi="Arial" w:cs="Arial"/>
          <w:sz w:val="20"/>
        </w:rPr>
        <w:t xml:space="preserve">obtained from immunohistochemistry, HPLC analysis of tissue monoamines and in situ hybridization were statistically analyzed by two-way ANOVA, with </w:t>
      </w:r>
      <w:r w:rsidR="006C49CD" w:rsidRPr="004C43D5">
        <w:rPr>
          <w:rFonts w:ascii="Arial" w:hAnsi="Arial" w:cs="Arial"/>
          <w:sz w:val="20"/>
        </w:rPr>
        <w:t>food restriction</w:t>
      </w:r>
      <w:r w:rsidR="001E60B9" w:rsidRPr="004C43D5">
        <w:rPr>
          <w:rFonts w:ascii="Arial" w:hAnsi="Arial" w:cs="Arial"/>
          <w:sz w:val="20"/>
        </w:rPr>
        <w:t xml:space="preserve"> and treatment</w:t>
      </w:r>
      <w:r w:rsidR="0054097B" w:rsidRPr="004C43D5">
        <w:rPr>
          <w:rFonts w:ascii="Arial" w:hAnsi="Arial" w:cs="Arial"/>
          <w:sz w:val="20"/>
        </w:rPr>
        <w:t xml:space="preserve"> as the two factors. Tukey’s test was used as a post hoc to perform multiple comparisons. </w:t>
      </w:r>
      <w:r w:rsidR="0054097B" w:rsidRPr="004C43D5">
        <w:rPr>
          <w:rFonts w:ascii="Arial" w:hAnsi="Arial" w:cs="Arial"/>
          <w:sz w:val="20"/>
        </w:rPr>
        <w:lastRenderedPageBreak/>
        <w:t xml:space="preserve">Moreover, for analysis of data obtained from the semi-quantitative densitometric analyses, because of the difference in the number of slices examined and the high degree of freedom, the error degrees of freedom were kept constant at a value based on the actual number of </w:t>
      </w:r>
      <w:r w:rsidR="00892AF1" w:rsidRPr="004C43D5">
        <w:rPr>
          <w:rFonts w:ascii="Arial" w:hAnsi="Arial" w:cs="Arial"/>
          <w:sz w:val="20"/>
        </w:rPr>
        <w:t>rats</w:t>
      </w:r>
      <w:r w:rsidR="0054097B" w:rsidRPr="004C43D5">
        <w:rPr>
          <w:rFonts w:ascii="Arial" w:hAnsi="Arial" w:cs="Arial"/>
          <w:sz w:val="20"/>
        </w:rPr>
        <w:t xml:space="preserve"> per group</w:t>
      </w:r>
      <w:r w:rsidR="007B766B" w:rsidRPr="004C43D5">
        <w:rPr>
          <w:rFonts w:ascii="Arial" w:hAnsi="Arial" w:cs="Arial"/>
          <w:sz w:val="20"/>
        </w:rPr>
        <w:t xml:space="preserve"> used in each experiment</w:t>
      </w:r>
      <w:r w:rsidR="007E3A10" w:rsidRPr="004C43D5">
        <w:rPr>
          <w:rFonts w:ascii="Arial" w:hAnsi="Arial" w:cs="Arial"/>
          <w:sz w:val="20"/>
        </w:rPr>
        <w:t xml:space="preserve"> </w:t>
      </w:r>
      <w:r w:rsidR="007E3A10" w:rsidRPr="004C43D5">
        <w:rPr>
          <w:rFonts w:ascii="Arial" w:hAnsi="Arial" w:cs="Arial"/>
          <w:sz w:val="20"/>
        </w:rPr>
        <w:fldChar w:fldCharType="begin" w:fldLock="1"/>
      </w:r>
      <w:r w:rsidR="00C80FE2" w:rsidRPr="004C43D5">
        <w:rPr>
          <w:rFonts w:ascii="Arial" w:hAnsi="Arial" w:cs="Arial"/>
          <w:sz w:val="20"/>
        </w:rPr>
        <w:instrText>ADDIN CSL_CITATION {"citationItems":[{"id":"ITEM-1","itemData":{"DOI":"10.1016/j.phrs.2017.05.017","ISSN":"10436618","author":[{"dropping-particle":"","family":"Romano","given":"Adele","non-dropping-particle":"","parse-names":false,"suffix":""},{"dropping-particle":"","family":"Gallelli","given":"Cristina Anna","non-dropping-particle":"","parse-names":false,"suffix":""},{"dropping-particle":"","family":"Koczwara","given":"Justyna Barbara","non-dropping-particle":"","parse-names":false,"suffix":""},{"dropping-particle":"","family":"Braegger","given":"Fiona E.","non-dropping-particle":"","parse-names":false,"suffix":""},{"dropping-particle":"","family":"Vitalone","given":"Annabella","non-dropping-particle":"","parse-names":false,"suffix":""},{"dropping-particle":"","family":"Falchi","given":"Mario","non-dropping-particle":"","parse-names":false,"suffix":""},{"dropping-particle":"","family":"Micioni Di Bonaventura","given":"Maria Vittoria","non-dropping-particle":"","parse-names":false,"suffix":""},{"dropping-particle":"","family":"Cifani","given":"Carlo","non-dropping-particle":"","parse-names":false,"suffix":""},{"dropping-particle":"","family":"Cassano","given":"Tommaso","non-dropping-particle":"","parse-names":false,"suffix":""},{"dropping-particle":"","family":"Lutz","given":"Thomas A.","non-dropping-particle":"","parse-names":false,"suffix":""},{"dropping-particle":"","family":"Gaetani","given":"Silvana","non-dropping-particle":"","parse-names":false,"suffix":""}],"container-title":"Pharmacological Research","id":"ITEM-1","issued":{"date-parts":[["2017","8"]]},"page":"20-34","title":"Role of the area postrema in the hypophagic effects of oleoylethanolamide","type":"article-journal","volume":"122"},"uris":["http://www.mendeley.com/documents/?uuid=d8a14d00-4a7d-4c51-b7d9-1193031a8c84"]},{"id":"ITEM-2","itemData":{"DOI":"10.1111/j.1528-1167.2009.02510.x","ISSN":"1528-1167","PMID":"20132294","abstract":"PURPOSE Genetically epileptic WAG/Rij rats develop spontaneous absence-like seizures after 3 months of age. We used WAG/Rij rats to examine whether absence seizures are associated with changes in the expression of type-1 cannabinoid (CB</w:instrText>
      </w:r>
      <w:r w:rsidR="00C80FE2" w:rsidRPr="004C43D5">
        <w:rPr>
          <w:rFonts w:ascii="Cambria Math" w:hAnsi="Cambria Math" w:cs="Cambria Math"/>
          <w:sz w:val="20"/>
        </w:rPr>
        <w:instrText>₁</w:instrText>
      </w:r>
      <w:r w:rsidR="00C80FE2" w:rsidRPr="004C43D5">
        <w:rPr>
          <w:rFonts w:ascii="Arial" w:hAnsi="Arial" w:cs="Arial"/>
          <w:sz w:val="20"/>
        </w:rPr>
        <w:instrText>) receptors. METHODS Receptor expression was examined by in situ hybridization and western blot analysis in various brain regions of \"presymptomatic\" 2-month old and \"symptomatic\" 8-month-old WAG/Rij rats relative to age-matched nonepileptic control rats. Furthermore, we examined whether pharmacologic activation of CB</w:instrText>
      </w:r>
      <w:r w:rsidR="00C80FE2" w:rsidRPr="004C43D5">
        <w:rPr>
          <w:rFonts w:ascii="Cambria Math" w:hAnsi="Cambria Math" w:cs="Cambria Math"/>
          <w:sz w:val="20"/>
        </w:rPr>
        <w:instrText>₁</w:instrText>
      </w:r>
      <w:r w:rsidR="00C80FE2" w:rsidRPr="004C43D5">
        <w:rPr>
          <w:rFonts w:ascii="Arial" w:hAnsi="Arial" w:cs="Arial"/>
          <w:sz w:val="20"/>
        </w:rPr>
        <w:instrText xml:space="preserve"> receptor affects absence seizures. We recorded spontaneous spike-wave discharges (SWDs) in 8-month old WAG/Rij rats systemically injected with the potent CB</w:instrText>
      </w:r>
      <w:r w:rsidR="00C80FE2" w:rsidRPr="004C43D5">
        <w:rPr>
          <w:rFonts w:ascii="Cambria Math" w:hAnsi="Cambria Math" w:cs="Cambria Math"/>
          <w:sz w:val="20"/>
        </w:rPr>
        <w:instrText>₁</w:instrText>
      </w:r>
      <w:r w:rsidR="00C80FE2" w:rsidRPr="004C43D5">
        <w:rPr>
          <w:rFonts w:ascii="Arial" w:hAnsi="Arial" w:cs="Arial"/>
          <w:sz w:val="20"/>
        </w:rPr>
        <w:instrText xml:space="preserve"> receptor agonist, R(+)WIN55,212-2 (3-12 mg/kg, s.c.), given alone or combined with the CB</w:instrText>
      </w:r>
      <w:r w:rsidR="00C80FE2" w:rsidRPr="004C43D5">
        <w:rPr>
          <w:rFonts w:ascii="Cambria Math" w:hAnsi="Cambria Math" w:cs="Cambria Math"/>
          <w:sz w:val="20"/>
        </w:rPr>
        <w:instrText>₁</w:instrText>
      </w:r>
      <w:r w:rsidR="00C80FE2" w:rsidRPr="004C43D5">
        <w:rPr>
          <w:rFonts w:ascii="Arial" w:hAnsi="Arial" w:cs="Arial"/>
          <w:sz w:val="20"/>
        </w:rPr>
        <w:instrText xml:space="preserve"> receptor antagonist/inverse agonist, AM251 (12 mg/kg, s.c.). RESULTS Data showed a reduction of CB</w:instrText>
      </w:r>
      <w:r w:rsidR="00C80FE2" w:rsidRPr="004C43D5">
        <w:rPr>
          <w:rFonts w:ascii="Cambria Math" w:hAnsi="Cambria Math" w:cs="Cambria Math"/>
          <w:sz w:val="20"/>
        </w:rPr>
        <w:instrText>₁</w:instrText>
      </w:r>
      <w:r w:rsidR="00C80FE2" w:rsidRPr="004C43D5">
        <w:rPr>
          <w:rFonts w:ascii="Arial" w:hAnsi="Arial" w:cs="Arial"/>
          <w:sz w:val="20"/>
        </w:rPr>
        <w:instrText xml:space="preserve"> receptor mRNA and protein levels in the reticular thalamic nucleus, and a reduction in CB</w:instrText>
      </w:r>
      <w:r w:rsidR="00C80FE2" w:rsidRPr="004C43D5">
        <w:rPr>
          <w:rFonts w:ascii="Cambria Math" w:hAnsi="Cambria Math" w:cs="Cambria Math"/>
          <w:sz w:val="20"/>
        </w:rPr>
        <w:instrText>₁</w:instrText>
      </w:r>
      <w:r w:rsidR="00C80FE2" w:rsidRPr="004C43D5">
        <w:rPr>
          <w:rFonts w:ascii="Arial" w:hAnsi="Arial" w:cs="Arial"/>
          <w:sz w:val="20"/>
        </w:rPr>
        <w:instrText xml:space="preserve"> receptor protein levels in ventral basal thalamic nuclei of 8-month-old WAG/Rij rats, as compared with age-matched ACI control rats. In vivo, R(+)WIN55,212-2 caused a dose-dependent reduction in the frequency of SWDs in the first 3 h after the injection. This was followed by a late increase in the mean SWD duration, which suggests a biphasic modulation of SWDs by CB</w:instrText>
      </w:r>
      <w:r w:rsidR="00C80FE2" w:rsidRPr="004C43D5">
        <w:rPr>
          <w:rFonts w:ascii="Cambria Math" w:hAnsi="Cambria Math" w:cs="Cambria Math"/>
          <w:sz w:val="20"/>
        </w:rPr>
        <w:instrText>₁</w:instrText>
      </w:r>
      <w:r w:rsidR="00C80FE2" w:rsidRPr="004C43D5">
        <w:rPr>
          <w:rFonts w:ascii="Arial" w:hAnsi="Arial" w:cs="Arial"/>
          <w:sz w:val="20"/>
        </w:rPr>
        <w:instrText xml:space="preserve"> receptor agonists. Both effects were reversed or attenuated when R(+)WIN55,212-2 was combined with AM251. DISCUSSION These data indicate that the development of absence seizures is associated with plastic modifications of CB</w:instrText>
      </w:r>
      <w:r w:rsidR="00C80FE2" w:rsidRPr="004C43D5">
        <w:rPr>
          <w:rFonts w:ascii="Cambria Math" w:hAnsi="Cambria Math" w:cs="Cambria Math"/>
          <w:sz w:val="20"/>
        </w:rPr>
        <w:instrText>₁</w:instrText>
      </w:r>
      <w:r w:rsidR="00C80FE2" w:rsidRPr="004C43D5">
        <w:rPr>
          <w:rFonts w:ascii="Arial" w:hAnsi="Arial" w:cs="Arial"/>
          <w:sz w:val="20"/>
        </w:rPr>
        <w:instrText xml:space="preserve"> receptors within the thalamic-cortical-thalamic network, and raise the interesting possibility that CB</w:instrText>
      </w:r>
      <w:r w:rsidR="00C80FE2" w:rsidRPr="004C43D5">
        <w:rPr>
          <w:rFonts w:ascii="Cambria Math" w:hAnsi="Cambria Math" w:cs="Cambria Math"/>
          <w:sz w:val="20"/>
        </w:rPr>
        <w:instrText>₁</w:instrText>
      </w:r>
      <w:r w:rsidR="00C80FE2" w:rsidRPr="004C43D5">
        <w:rPr>
          <w:rFonts w:ascii="Arial" w:hAnsi="Arial" w:cs="Arial"/>
          <w:sz w:val="20"/>
        </w:rPr>
        <w:instrText xml:space="preserve"> receptors are targeted by novel antiabsence drugs.","author":[{"dropping-particle":"","family":"Rijn","given":"Clementina M","non-dropping-particle":"van","parse-names":false,"suffix":""},{"dropping-particle":"","family":"Gaetani","given":"Silvana","non-dropping-particle":"","parse-names":false,"suffix":""},{"dropping-particle":"","family":"Santolini","given":"Ines","non-dropping-particle":"","parse-names":false,"suffix":""},{"dropping-particle":"","family":"Badura","given":"Aleksandra","non-dropping-particle":"","parse-names":false,"suffix":""},{"dropping-particle":"","family":"Gabova","given":"Aleksandra","non-dropping-particle":"","parse-names":false,"suffix":""},{"dropping-particle":"","family":"Fu","given":"Jin","non-dropping-particle":"","parse-names":false,"suffix":""},{"dropping-particle":"","family":"Watanabe","given":"Masashiko","non-dropping-particle":"","parse-names":false,"suffix":""},{"dropping-particle":"","family":"Cuomo","given":"Vincenzo","non-dropping-particle":"","parse-names":false,"suffix":""},{"dropping-particle":"","family":"Luijtelaar","given":"Gilles","non-dropping-particle":"van","parse-names":false,"suffix":""},{"dropping-particle":"","family":"Nicoletti","given":"Ferdinando","non-dropping-particle":"","parse-names":false,"suffix":""},{"dropping-particle":"","family":"Ngomba","given":"Richard T","non-dropping-particle":"","parse-names":false,"suffix":""}],"container-title":"Epilepsia","id":"ITEM-2","issue":"8","issued":{"date-parts":[["2010","8","3"]]},"page":"1511-21","title":"WAG/Rij rats show a reduced expression of CB</w:instrText>
      </w:r>
      <w:r w:rsidR="00C80FE2" w:rsidRPr="004C43D5">
        <w:rPr>
          <w:rFonts w:ascii="Cambria Math" w:hAnsi="Cambria Math" w:cs="Cambria Math"/>
          <w:sz w:val="20"/>
        </w:rPr>
        <w:instrText>₁</w:instrText>
      </w:r>
      <w:r w:rsidR="00C80FE2" w:rsidRPr="004C43D5">
        <w:rPr>
          <w:rFonts w:ascii="Arial" w:hAnsi="Arial" w:cs="Arial"/>
          <w:sz w:val="20"/>
        </w:rPr>
        <w:instrText xml:space="preserve"> receptors in thalamic nuclei and respond to the CB</w:instrText>
      </w:r>
      <w:r w:rsidR="00C80FE2" w:rsidRPr="004C43D5">
        <w:rPr>
          <w:rFonts w:ascii="Cambria Math" w:hAnsi="Cambria Math" w:cs="Cambria Math"/>
          <w:sz w:val="20"/>
        </w:rPr>
        <w:instrText>₁</w:instrText>
      </w:r>
      <w:r w:rsidR="00C80FE2" w:rsidRPr="004C43D5">
        <w:rPr>
          <w:rFonts w:ascii="Arial" w:hAnsi="Arial" w:cs="Arial"/>
          <w:sz w:val="20"/>
        </w:rPr>
        <w:instrText xml:space="preserve"> receptor agonist, R(+)WIN55,212-2, with a reduced incidence of spike-wave discharges.","type":"article-journal","volume":"51"},"uris":["http://www.mendeley.com/documents/?uuid=230b3ef1-b3fe-3cb3-b074-c094aed2f072"]}],"mendeley":{"formattedCitation":"&lt;span style=\"baseline\"&gt;[3,13]&lt;/span&gt;","plainTextFormattedCitation":"[3,13]","previouslyFormattedCitation":"&lt;span style=\"baseline\"&gt;[3,13]&lt;/span&gt;"},"properties":{"noteIndex":0},"schema":"https://github.com/citation-style-language/schema/raw/master/csl-citation.json"}</w:instrText>
      </w:r>
      <w:r w:rsidR="007E3A10" w:rsidRPr="004C43D5">
        <w:rPr>
          <w:rFonts w:ascii="Arial" w:hAnsi="Arial" w:cs="Arial"/>
          <w:sz w:val="20"/>
        </w:rPr>
        <w:fldChar w:fldCharType="separate"/>
      </w:r>
      <w:r w:rsidR="00121CC6" w:rsidRPr="004C43D5">
        <w:rPr>
          <w:rFonts w:ascii="Arial" w:hAnsi="Arial" w:cs="Arial"/>
          <w:noProof/>
          <w:sz w:val="20"/>
        </w:rPr>
        <w:t>[3,13]</w:t>
      </w:r>
      <w:r w:rsidR="007E3A10" w:rsidRPr="004C43D5">
        <w:rPr>
          <w:rFonts w:ascii="Arial" w:hAnsi="Arial" w:cs="Arial"/>
          <w:sz w:val="20"/>
        </w:rPr>
        <w:fldChar w:fldCharType="end"/>
      </w:r>
      <w:r w:rsidR="0054097B" w:rsidRPr="004C43D5">
        <w:rPr>
          <w:rFonts w:ascii="Arial" w:hAnsi="Arial" w:cs="Arial"/>
          <w:sz w:val="20"/>
        </w:rPr>
        <w:t xml:space="preserve">. The results from microdialysis experiments resulted homoscedastic and were analyzed by two-way ANOVA for repeated measures, with time as the within variable and treatment as the between variable, followed by Dunnett’s and Bonferroni’s post hoc tests for multiple comparisons. Overall, DA extracellular levels were calculated as percentages of baseline, which was defined as the average of the first three consecutive samples with stable level of neurotransmitters. Unpaired t­test was used to evaluate the difference between the marginal means of the first three dialysate samples (basal values). In all instances, the threshold for statistical significance was set at P &lt; 0.05. </w:t>
      </w:r>
    </w:p>
    <w:p w14:paraId="5E0E0830" w14:textId="77777777" w:rsidR="0054097B" w:rsidRPr="004C43D5" w:rsidRDefault="0054097B" w:rsidP="001F7DF3">
      <w:pPr>
        <w:spacing w:line="360" w:lineRule="auto"/>
        <w:jc w:val="both"/>
        <w:rPr>
          <w:rFonts w:ascii="Arial" w:hAnsi="Arial" w:cs="Arial"/>
          <w:sz w:val="20"/>
        </w:rPr>
      </w:pPr>
    </w:p>
    <w:p w14:paraId="5B5CFA18" w14:textId="77777777" w:rsidR="00F7348A" w:rsidRPr="004C43D5" w:rsidRDefault="00F7348A" w:rsidP="001F7DF3">
      <w:pPr>
        <w:spacing w:line="360" w:lineRule="auto"/>
        <w:jc w:val="both"/>
        <w:rPr>
          <w:rFonts w:ascii="Arial" w:hAnsi="Arial" w:cs="Arial"/>
          <w:sz w:val="20"/>
        </w:rPr>
      </w:pPr>
    </w:p>
    <w:p w14:paraId="18F350B3" w14:textId="77777777" w:rsidR="001F7DF3" w:rsidRPr="004C43D5" w:rsidRDefault="00123A45" w:rsidP="001F7DF3">
      <w:pPr>
        <w:spacing w:line="360" w:lineRule="auto"/>
        <w:jc w:val="both"/>
        <w:rPr>
          <w:rFonts w:ascii="Arial" w:hAnsi="Arial" w:cs="Arial"/>
          <w:b/>
          <w:sz w:val="20"/>
        </w:rPr>
      </w:pPr>
      <w:r w:rsidRPr="004C43D5">
        <w:rPr>
          <w:rFonts w:ascii="Arial" w:hAnsi="Arial" w:cs="Arial"/>
          <w:b/>
          <w:sz w:val="20"/>
        </w:rPr>
        <w:t>S</w:t>
      </w:r>
      <w:r w:rsidR="00F7348A" w:rsidRPr="004C43D5">
        <w:rPr>
          <w:rFonts w:ascii="Arial" w:hAnsi="Arial" w:cs="Arial"/>
          <w:b/>
          <w:sz w:val="20"/>
        </w:rPr>
        <w:t>2</w:t>
      </w:r>
      <w:r w:rsidRPr="004C43D5">
        <w:rPr>
          <w:rFonts w:ascii="Arial" w:hAnsi="Arial" w:cs="Arial"/>
          <w:b/>
          <w:sz w:val="20"/>
        </w:rPr>
        <w:t xml:space="preserve"> </w:t>
      </w:r>
      <w:r w:rsidR="001F7DF3" w:rsidRPr="004C43D5">
        <w:rPr>
          <w:rFonts w:ascii="Arial" w:hAnsi="Arial" w:cs="Arial"/>
          <w:b/>
          <w:sz w:val="20"/>
        </w:rPr>
        <w:t>Supplementary results</w:t>
      </w:r>
    </w:p>
    <w:p w14:paraId="496B9EAC" w14:textId="77777777" w:rsidR="001F7DF3" w:rsidRPr="004C43D5" w:rsidRDefault="001F7DF3" w:rsidP="001F7DF3">
      <w:pPr>
        <w:spacing w:line="360" w:lineRule="auto"/>
        <w:jc w:val="both"/>
        <w:rPr>
          <w:rFonts w:ascii="Arial" w:hAnsi="Arial" w:cs="Arial"/>
          <w:b/>
          <w:sz w:val="20"/>
        </w:rPr>
      </w:pPr>
      <w:r w:rsidRPr="004C43D5">
        <w:rPr>
          <w:rFonts w:ascii="Arial" w:hAnsi="Arial" w:cs="Arial"/>
          <w:b/>
          <w:sz w:val="20"/>
        </w:rPr>
        <w:t xml:space="preserve">The combination of </w:t>
      </w:r>
      <w:r w:rsidR="00E80A38" w:rsidRPr="004C43D5">
        <w:rPr>
          <w:rFonts w:ascii="Arial" w:hAnsi="Arial" w:cs="Arial"/>
          <w:b/>
          <w:sz w:val="20"/>
        </w:rPr>
        <w:t xml:space="preserve">intermittent </w:t>
      </w:r>
      <w:r w:rsidRPr="004C43D5">
        <w:rPr>
          <w:rFonts w:ascii="Arial" w:hAnsi="Arial" w:cs="Arial"/>
          <w:b/>
          <w:sz w:val="20"/>
        </w:rPr>
        <w:t xml:space="preserve">caloric restriction and stress exposure induced </w:t>
      </w:r>
      <w:r w:rsidR="007509A0" w:rsidRPr="004C43D5">
        <w:rPr>
          <w:rFonts w:ascii="Arial" w:hAnsi="Arial" w:cs="Arial"/>
          <w:b/>
          <w:sz w:val="20"/>
        </w:rPr>
        <w:t>binge eating</w:t>
      </w:r>
    </w:p>
    <w:p w14:paraId="40B2F670" w14:textId="2C56B753" w:rsidR="00B03A49" w:rsidRPr="004C43D5" w:rsidRDefault="00174A5A" w:rsidP="00B03A49">
      <w:pPr>
        <w:spacing w:line="360" w:lineRule="auto"/>
        <w:jc w:val="both"/>
        <w:rPr>
          <w:rFonts w:ascii="Arial" w:hAnsi="Arial" w:cs="Arial"/>
          <w:iCs/>
          <w:sz w:val="20"/>
        </w:rPr>
      </w:pPr>
      <w:r w:rsidRPr="004C43D5">
        <w:rPr>
          <w:rFonts w:ascii="Arial" w:hAnsi="Arial" w:cs="Arial"/>
          <w:sz w:val="20"/>
        </w:rPr>
        <w:t xml:space="preserve">In </w:t>
      </w:r>
      <w:r w:rsidR="00EC3EF3" w:rsidRPr="004C43D5">
        <w:rPr>
          <w:rFonts w:ascii="Arial" w:hAnsi="Arial" w:cs="Arial"/>
          <w:sz w:val="20"/>
        </w:rPr>
        <w:t xml:space="preserve">agreement </w:t>
      </w:r>
      <w:r w:rsidRPr="004C43D5">
        <w:rPr>
          <w:rFonts w:ascii="Arial" w:hAnsi="Arial" w:cs="Arial"/>
          <w:sz w:val="20"/>
        </w:rPr>
        <w:t xml:space="preserve">with </w:t>
      </w:r>
      <w:r w:rsidRPr="004C43D5">
        <w:rPr>
          <w:rFonts w:ascii="Arial" w:hAnsi="Arial" w:cs="Arial"/>
          <w:iCs/>
          <w:sz w:val="20"/>
        </w:rPr>
        <w:t>our previous studies</w:t>
      </w:r>
      <w:r w:rsidR="00FA6324" w:rsidRPr="004C43D5">
        <w:rPr>
          <w:rFonts w:ascii="Arial" w:hAnsi="Arial" w:cs="Arial"/>
          <w:iCs/>
          <w:sz w:val="20"/>
        </w:rPr>
        <w:t xml:space="preserve"> </w:t>
      </w:r>
      <w:r w:rsidRPr="004C43D5">
        <w:rPr>
          <w:rFonts w:ascii="Arial" w:hAnsi="Arial" w:cs="Arial"/>
          <w:iCs/>
          <w:sz w:val="20"/>
        </w:rPr>
        <w:fldChar w:fldCharType="begin" w:fldLock="1"/>
      </w:r>
      <w:r w:rsidR="00C80FE2" w:rsidRPr="004C43D5">
        <w:rPr>
          <w:rFonts w:ascii="Arial" w:hAnsi="Arial" w:cs="Arial"/>
          <w:iCs/>
          <w:sz w:val="20"/>
        </w:rPr>
        <w:instrText>ADDIN CSL_CITATION {"citationItems":[{"id":"ITEM-1","itemData":{"DOI":"10.1007/s00213-008-1442-y","ISSN":"1432-2072","PMID":"19125237","abstract":"RATIONALE Preclinical models are needed to investigate the neurobiology and psychobiology of binge eating and to identify innovative pharmacotherapeutic strategies. OBJECTIVES A modification of the model based on the combination of cyclic caloric restrictions and acute stress was developed to further increase its face validity and reliability and, for the first time, to assess its predictive value. MATERIALS AND METHODS Four groups of female rats were employed: group 1 was normally fed and not stressed on the test day (25th); group 2 was fed normally but was exposed to an acute stress on day 25; group 3 was exposed to three cycles (4 days 66% of chow intake + 4 days food ad libitum) of yo-yo dieting but not stressed; and group 4 was exposed to cyclic yo-yo dieting and then stressed. All groups were fed highly palatable food (HPF) for 2 h on days 5-6 and 13-14. Acute stress was elicited by exposing rats to HPF, but preventing them from access to it for 15 min. RESULTS The combination of cyclic food restriction and stressful exposure to food markedly increased HPF intake. Sibutramine and fluoxetine inhibited food intake in all conditions. Topiramate selectively inhibited compulsive HPF intake in rats submitted to caloric restriction and stress. Midazolam increased HPF intake. CONCLUSIONS Pharmacological results suggest that this model, in addition to face validity as an isomorphic model of human binge eating, is endowed with good predictive validity.","author":[{"dropping-particle":"","family":"Cifani","given":"Carlo","non-dropping-particle":"","parse-names":false,"suffix":""},{"dropping-particle":"","family":"Polidori","given":"Carlo","non-dropping-particle":"","parse-names":false,"suffix":""},{"dropping-particle":"","family":"Melotto","given":"Sergio","non-dropping-particle":"","parse-names":false,"suffix":""},{"dropping-particle":"","family":"Ciccocioppo","given":"Roberto","non-dropping-particle":"","parse-names":false,"suffix":""},{"dropping-particle":"","family":"Massi","given":"Maurizio","non-dropping-particle":"","parse-names":false,"suffix":""}],"container-title":"Psychopharmacology","id":"ITEM-1","issue":"1","issued":{"date-parts":[["2009","5"]]},"page":"113-25","title":"A preclinical model of binge eating elicited by yo-yo dieting and stressful exposure to food: effect of sibutramine, fluoxetine, topiramate, and midazolam.","type":"article-journal","volume":"204"},"uris":["http://www.mendeley.com/documents/?uuid=a11618c6-e784-401a-ad65-43144134d1bb"]},{"id":"ITEM-2","itemData":{"DOI":"10.1523/JNEUROSCI.1854-14.2014","ISSN":"1529-2401","PMID":"25143612","abstract":"We developed recently a binge-eating model in which female rats with a history of intermittent food restriction show binge-like palatable food consumption after 15 min exposure to the sight of the palatable food. This \"frustration stress\" manipulation also activates the hypothalamic-pituitary-adrenal stress axis. Here, we determined the role of the stress neurohormone corticotropin-releasing factor (CRF) in stress-induced binge eating in our model. We also assessed the role of CRF receptors in the bed nucleus of the stria terminalis (BNST), a brain region implicated in stress responses and stress-induced drug seeking, in stress-induced binge eating. We used four groups that were first exposed or not exposed to repeated intermittent cycles of regular chow food restriction during which they were also given intermittent access to high-caloric palatable food. On the test day, we either exposed or did not expose the rats to the sight of the palatable food for 15 min (frustration stress) before assessing food consumption for 2 h. We found that systemic injections of the CRF1 receptor antagonist R121919 (2,5-dimethyl-3-(6-dimethyl-4-methylpyridin-3-yl)-7 dipropylamino pyrazolo[1,5-a]pyrimidine) (10-20 mg/kg) and BNST (25-50 ng/side) or ventricular (1000 ng) injections of the nonselective CRF receptor antagonist D-Phe-CRF(12-41) decreased frustration stress-induced binge eating in rats with a history of food restriction. Frustration stress also increased Fos (a neuronal activity marker) expression in ventral and dorsal BNST. Results demonstrate a critical role of CRF receptors in BNST in stress-induced binge eating in our rat model. CRF1 receptor antagonists may represent a novel pharmacological treatment for bingeing-related eating disorders.","author":[{"dropping-particle":"","family":"Micioni Di Bonaventura","given":"Maria Vittoria","non-dropping-particle":"","parse-names":false,"suffix":""},{"dropping-particle":"","family":"Ciccocioppo","given":"Roberto","non-dropping-particle":"","parse-names":false,"suffix":""},{"dropping-particle":"","family":"Romano","given":"Adele","non-dropping-particle":"","parse-names":false,"suffix":""},{"dropping-particle":"","family":"Bossert","given":"Jennifer M","non-dropping-particle":"","parse-names":false,"suffix":""},{"dropping-particle":"","family":"Rice","given":"Kenner C","non-dropping-particle":"","parse-names":false,"suffix":""},{"dropping-particle":"","family":"Ubaldi","given":"Massimo","non-dropping-particle":"","parse-names":false,"suffix":""},{"dropping-particle":"","family":"St Laurent","given":"Robyn","non-dropping-particle":"","parse-names":false,"suffix":""},{"dropping-particle":"","family":"Gaetani","given":"Silvana","non-dropping-particle":"","parse-names":false,"suffix":""},{"dropping-particle":"","family":"Massi","given":"Maurizio","non-dropping-particle":"","parse-names":false,"suffix":""},{"dropping-particle":"","family":"Shaham","given":"Yavin","non-dropping-particle":"","parse-names":false,"suffix":""},{"dropping-particle":"","family":"Cifani","given":"Carlo","non-dropping-particle":"","parse-names":false,"suffix":""}],"container-title":"The Journal of neuroscience : the official journal of the Society for Neuroscience","id":"ITEM-2","issue":"34","issued":{"date-parts":[["2014","8"]]},"page":"11316-24","title":"Role of bed nucleus of the stria terminalis corticotrophin-releasing factor receptors in frustration stress-induced binge-like palatable food consumption in female rats with a history of food restriction.","type":"article-journal","volume":"34"},"uris":["http://www.mendeley.com/documents/?uuid=d268d238-85dd-49d6-9db6-d8795375023a"]},{"id":"ITEM-3","itemData":{"DOI":"10.1002/eat.22767","ISSN":"02763478","PMID":"28833350","abstract":"OBJECTIVE The present study evaluated the effect of systemic injection of the CRF1 receptor antagonist R121919, the corticosterone synthesis inhibitor metyrapone and central amygdala (CeA) injections of the nonselective CRF antagonist D-Phe-CRF(12-41)in rats in which binge eating was evoked by stress and cycles of food restriction. METHOD Female rats were subjected or not to repeated cycles of regular chow food restriction/ad libitum feeding during which they were also given limited access (2 h) to palatable food. On the test day, rats were either exposed or not to the sight of the palatable food for 15 min without allowing access, before assessing food consumption. RESULTS Systemic injections of R121919, but not of the metyrapone, blocked binge-like eating behavior. Restricted and stressed rats showed up-regulation of crh1 receptor mRNA signal in the bed nucleus of the stria terminalis and CeA but not in basolateral amygdala (BLA) or in the paraventricular nucleus. Injection D-Phe-CRF(12-41)in CeA but not in the BLA-blocked binge-like eating behavior. DISCUSSION These findings demonstrate that extra-hypothalamic CRF1 receptors, rather than those involved in endocrine functions, are involved in binge eating and the crucial role of CRF receptors in CeA. CRF1 receptor antagonism may represent a novel pharmacological treatment for binge-related eating disorders.","author":[{"dropping-particle":"","family":"Micioni Di Bonaventura","given":"Maria Vittoria","non-dropping-particle":"","parse-names":false,"suffix":""},{"dropping-particle":"","family":"Ubaldi","given":"Massimo","non-dropping-particle":"","parse-names":false,"suffix":""},{"dropping-particle":"","family":"Giusepponi","given":"Maria Elena","non-dropping-particle":"","parse-names":false,"suffix":""},{"dropping-particle":"","family":"Rice","given":"Kenner C.","non-dropping-particle":"","parse-names":false,"suffix":""},{"dropping-particle":"","family":"Massi","given":"Maurizio","non-dropping-particle":"","parse-names":false,"suffix":""},{"dropping-particle":"","family":"Ciccocioppo","given":"Roberto","non-dropping-particle":"","parse-names":false,"suffix":""},{"dropping-particle":"","family":"Cifani","given":"Carlo","non-dropping-particle":"","parse-names":false,"suffix":""}],"container-title":"International Journal of Eating Disorders","id":"ITEM-3","issue":"10","issued":{"date-parts":[["2017","10"]]},"page":"1194-1204","title":"Hypothalamic CRF1 receptor mechanisms are not sufficient to account for binge-like palatable food consumption in female rats","type":"article-journal","volume":"50"},"uris":["http://www.mendeley.com/documents/?uuid=ab368ed2-3ebc-4aff-b5e6-d7351f98ef17"]}],"mendeley":{"formattedCitation":"&lt;span style=\"baseline\"&gt;[1,14,15]&lt;/span&gt;","plainTextFormattedCitation":"[1,14,15]","previouslyFormattedCitation":"&lt;span style=\"baseline\"&gt;[1,14,15]&lt;/span&gt;"},"properties":{"noteIndex":0},"schema":"https://github.com/citation-style-language/schema/raw/master/csl-citation.json"}</w:instrText>
      </w:r>
      <w:r w:rsidRPr="004C43D5">
        <w:rPr>
          <w:rFonts w:ascii="Arial" w:hAnsi="Arial" w:cs="Arial"/>
          <w:iCs/>
          <w:sz w:val="20"/>
        </w:rPr>
        <w:fldChar w:fldCharType="separate"/>
      </w:r>
      <w:r w:rsidR="00121CC6" w:rsidRPr="004C43D5">
        <w:rPr>
          <w:rFonts w:ascii="Arial" w:hAnsi="Arial" w:cs="Arial"/>
          <w:iCs/>
          <w:noProof/>
          <w:sz w:val="20"/>
        </w:rPr>
        <w:t>[1,14,15]</w:t>
      </w:r>
      <w:r w:rsidRPr="004C43D5">
        <w:rPr>
          <w:rFonts w:ascii="Arial" w:hAnsi="Arial" w:cs="Arial"/>
          <w:iCs/>
          <w:sz w:val="20"/>
        </w:rPr>
        <w:fldChar w:fldCharType="end"/>
      </w:r>
      <w:r w:rsidRPr="004C43D5">
        <w:rPr>
          <w:rFonts w:ascii="Arial" w:hAnsi="Arial" w:cs="Arial"/>
          <w:iCs/>
          <w:sz w:val="20"/>
        </w:rPr>
        <w:t xml:space="preserve">, </w:t>
      </w:r>
      <w:r w:rsidR="00B03A49" w:rsidRPr="004C43D5">
        <w:rPr>
          <w:rFonts w:ascii="Arial" w:hAnsi="Arial" w:cs="Arial"/>
          <w:iCs/>
          <w:sz w:val="20"/>
        </w:rPr>
        <w:t xml:space="preserve">rats </w:t>
      </w:r>
      <w:r w:rsidR="005E211B" w:rsidRPr="004C43D5">
        <w:rPr>
          <w:rFonts w:ascii="Arial" w:hAnsi="Arial" w:cs="Arial"/>
          <w:iCs/>
          <w:sz w:val="20"/>
        </w:rPr>
        <w:t xml:space="preserve">showed body weight </w:t>
      </w:r>
      <w:r w:rsidR="005E520F" w:rsidRPr="004C43D5">
        <w:rPr>
          <w:rFonts w:ascii="Arial" w:hAnsi="Arial" w:cs="Arial"/>
          <w:iCs/>
          <w:sz w:val="20"/>
        </w:rPr>
        <w:t xml:space="preserve">fluctuations </w:t>
      </w:r>
      <w:r w:rsidR="005E211B" w:rsidRPr="004C43D5">
        <w:rPr>
          <w:rFonts w:ascii="Arial" w:hAnsi="Arial" w:cs="Arial"/>
          <w:iCs/>
          <w:sz w:val="20"/>
        </w:rPr>
        <w:t>during the intermittent caloric restriction</w:t>
      </w:r>
      <w:r w:rsidR="001F55EB" w:rsidRPr="004C43D5">
        <w:rPr>
          <w:rFonts w:ascii="Arial" w:hAnsi="Arial" w:cs="Arial"/>
          <w:iCs/>
          <w:sz w:val="20"/>
        </w:rPr>
        <w:t>s</w:t>
      </w:r>
      <w:r w:rsidR="005E211B" w:rsidRPr="004C43D5">
        <w:rPr>
          <w:rFonts w:ascii="Arial" w:hAnsi="Arial" w:cs="Arial"/>
          <w:iCs/>
          <w:sz w:val="20"/>
        </w:rPr>
        <w:t xml:space="preserve">. In fact, they </w:t>
      </w:r>
      <w:r w:rsidR="00B03A49" w:rsidRPr="004C43D5">
        <w:rPr>
          <w:rFonts w:ascii="Arial" w:hAnsi="Arial" w:cs="Arial"/>
          <w:iCs/>
          <w:sz w:val="20"/>
        </w:rPr>
        <w:t xml:space="preserve">lost weight during </w:t>
      </w:r>
      <w:r w:rsidR="005E211B" w:rsidRPr="004C43D5">
        <w:rPr>
          <w:rFonts w:ascii="Arial" w:hAnsi="Arial" w:cs="Arial"/>
          <w:iCs/>
          <w:sz w:val="20"/>
        </w:rPr>
        <w:t xml:space="preserve">each </w:t>
      </w:r>
      <w:r w:rsidR="00B03A49" w:rsidRPr="004C43D5">
        <w:rPr>
          <w:rFonts w:ascii="Arial" w:hAnsi="Arial" w:cs="Arial"/>
          <w:iCs/>
          <w:sz w:val="20"/>
        </w:rPr>
        <w:t xml:space="preserve">4-day food restriction period (66% of regular chow availability) and regained it during the subsequent 4-day </w:t>
      </w:r>
      <w:r w:rsidR="001F55EB" w:rsidRPr="004C43D5">
        <w:rPr>
          <w:rFonts w:ascii="Arial" w:hAnsi="Arial" w:cs="Arial"/>
          <w:iCs/>
          <w:sz w:val="20"/>
        </w:rPr>
        <w:t xml:space="preserve">of </w:t>
      </w:r>
      <w:r w:rsidR="005E211B" w:rsidRPr="004C43D5">
        <w:rPr>
          <w:rFonts w:ascii="Arial" w:hAnsi="Arial" w:cs="Arial"/>
          <w:i/>
          <w:iCs/>
          <w:sz w:val="20"/>
        </w:rPr>
        <w:t>ad libitum</w:t>
      </w:r>
      <w:r w:rsidR="005E211B" w:rsidRPr="004C43D5">
        <w:rPr>
          <w:rFonts w:ascii="Arial" w:hAnsi="Arial" w:cs="Arial"/>
          <w:iCs/>
          <w:sz w:val="20"/>
        </w:rPr>
        <w:t xml:space="preserve"> feeding</w:t>
      </w:r>
      <w:r w:rsidR="00B03A49" w:rsidRPr="004C43D5">
        <w:rPr>
          <w:rFonts w:ascii="Arial" w:hAnsi="Arial" w:cs="Arial"/>
          <w:iCs/>
          <w:sz w:val="20"/>
        </w:rPr>
        <w:t>. On the test day (day 25) of EXP. 1 the body weight</w:t>
      </w:r>
      <w:r w:rsidR="009F52FD" w:rsidRPr="004C43D5">
        <w:rPr>
          <w:rFonts w:ascii="Arial" w:hAnsi="Arial" w:cs="Arial"/>
          <w:iCs/>
          <w:sz w:val="20"/>
        </w:rPr>
        <w:t>s</w:t>
      </w:r>
      <w:r w:rsidR="00B03A49" w:rsidRPr="004C43D5">
        <w:rPr>
          <w:rFonts w:ascii="Arial" w:hAnsi="Arial" w:cs="Arial"/>
          <w:iCs/>
          <w:sz w:val="20"/>
        </w:rPr>
        <w:t xml:space="preserve"> of rats in the restricted and non restricted groups </w:t>
      </w:r>
      <w:r w:rsidR="009F52FD" w:rsidRPr="004C43D5">
        <w:rPr>
          <w:rFonts w:ascii="Arial" w:hAnsi="Arial" w:cs="Arial"/>
          <w:iCs/>
          <w:sz w:val="20"/>
        </w:rPr>
        <w:t xml:space="preserve">were </w:t>
      </w:r>
      <w:r w:rsidR="00B03A49" w:rsidRPr="004C43D5">
        <w:rPr>
          <w:rFonts w:ascii="Arial" w:hAnsi="Arial" w:cs="Arial"/>
          <w:iCs/>
          <w:sz w:val="20"/>
        </w:rPr>
        <w:t>not significantly different (Fig. S1A).</w:t>
      </w:r>
    </w:p>
    <w:p w14:paraId="2CA50B3E" w14:textId="2D206ED3" w:rsidR="00EA5319" w:rsidRPr="004C43D5" w:rsidRDefault="00174A5A" w:rsidP="00EA5319">
      <w:pPr>
        <w:spacing w:line="360" w:lineRule="auto"/>
        <w:jc w:val="both"/>
        <w:rPr>
          <w:rFonts w:ascii="Arial" w:hAnsi="Arial" w:cs="Arial"/>
          <w:sz w:val="20"/>
        </w:rPr>
      </w:pPr>
      <w:r w:rsidRPr="004C43D5">
        <w:rPr>
          <w:rFonts w:ascii="Arial" w:hAnsi="Arial" w:cs="Arial"/>
          <w:sz w:val="20"/>
        </w:rPr>
        <w:t>The statistical analys</w:t>
      </w:r>
      <w:r w:rsidR="0041701C" w:rsidRPr="004C43D5">
        <w:rPr>
          <w:rFonts w:ascii="Arial" w:hAnsi="Arial" w:cs="Arial"/>
          <w:sz w:val="20"/>
        </w:rPr>
        <w:t>e</w:t>
      </w:r>
      <w:r w:rsidRPr="004C43D5">
        <w:rPr>
          <w:rFonts w:ascii="Arial" w:hAnsi="Arial" w:cs="Arial"/>
          <w:sz w:val="20"/>
        </w:rPr>
        <w:t>s</w:t>
      </w:r>
      <w:r w:rsidR="0041701C" w:rsidRPr="004C43D5">
        <w:rPr>
          <w:rFonts w:ascii="Arial" w:hAnsi="Arial" w:cs="Arial"/>
          <w:sz w:val="20"/>
        </w:rPr>
        <w:t xml:space="preserve"> of palatable food intakes during the test day demonstrated</w:t>
      </w:r>
      <w:r w:rsidRPr="004C43D5">
        <w:rPr>
          <w:rFonts w:ascii="Arial" w:hAnsi="Arial" w:cs="Arial"/>
          <w:sz w:val="20"/>
        </w:rPr>
        <w:t xml:space="preserve"> a significant interaction among the three factors </w:t>
      </w:r>
      <w:r w:rsidR="00F74900" w:rsidRPr="004C43D5">
        <w:rPr>
          <w:rFonts w:ascii="Arial" w:hAnsi="Arial" w:cs="Arial"/>
          <w:sz w:val="20"/>
        </w:rPr>
        <w:t xml:space="preserve">(food restriction x stress x sessions time) </w:t>
      </w:r>
      <w:r w:rsidR="002C777B" w:rsidRPr="004C43D5">
        <w:rPr>
          <w:rFonts w:ascii="Arial" w:hAnsi="Arial" w:cs="Arial"/>
          <w:sz w:val="20"/>
        </w:rPr>
        <w:t>(F</w:t>
      </w:r>
      <w:r w:rsidR="002C777B" w:rsidRPr="004C43D5">
        <w:rPr>
          <w:rFonts w:ascii="Arial" w:hAnsi="Arial" w:cs="Arial"/>
          <w:sz w:val="20"/>
          <w:vertAlign w:val="subscript"/>
        </w:rPr>
        <w:t>interaction</w:t>
      </w:r>
      <w:r w:rsidR="00E54843" w:rsidRPr="004C43D5">
        <w:rPr>
          <w:rFonts w:ascii="Arial" w:hAnsi="Arial" w:cs="Arial"/>
          <w:sz w:val="20"/>
          <w:vertAlign w:val="subscript"/>
        </w:rPr>
        <w:t xml:space="preserve"> </w:t>
      </w:r>
      <w:r w:rsidR="002C777B" w:rsidRPr="004C43D5">
        <w:rPr>
          <w:rFonts w:ascii="Arial" w:hAnsi="Arial" w:cs="Arial"/>
          <w:sz w:val="20"/>
        </w:rPr>
        <w:t xml:space="preserve">= </w:t>
      </w:r>
      <w:r w:rsidR="00154689" w:rsidRPr="004C43D5">
        <w:rPr>
          <w:rFonts w:ascii="Arial" w:hAnsi="Arial" w:cs="Arial"/>
          <w:sz w:val="20"/>
        </w:rPr>
        <w:t>6</w:t>
      </w:r>
      <w:r w:rsidR="002C777B" w:rsidRPr="004C43D5">
        <w:rPr>
          <w:rFonts w:ascii="Arial" w:hAnsi="Arial" w:cs="Arial"/>
          <w:sz w:val="20"/>
        </w:rPr>
        <w:t>.</w:t>
      </w:r>
      <w:r w:rsidR="00154689" w:rsidRPr="004C43D5">
        <w:rPr>
          <w:rFonts w:ascii="Arial" w:hAnsi="Arial" w:cs="Arial"/>
          <w:sz w:val="20"/>
        </w:rPr>
        <w:t>902</w:t>
      </w:r>
      <w:r w:rsidR="002C777B" w:rsidRPr="004C43D5">
        <w:rPr>
          <w:rFonts w:ascii="Arial" w:hAnsi="Arial" w:cs="Arial"/>
          <w:sz w:val="20"/>
        </w:rPr>
        <w:t>, df = 3/78, P</w:t>
      </w:r>
      <w:r w:rsidR="000440DC" w:rsidRPr="004C43D5">
        <w:rPr>
          <w:rFonts w:ascii="Arial" w:hAnsi="Arial" w:cs="Arial"/>
          <w:sz w:val="20"/>
        </w:rPr>
        <w:t xml:space="preserve"> </w:t>
      </w:r>
      <w:r w:rsidR="006D103B" w:rsidRPr="004C43D5">
        <w:rPr>
          <w:rFonts w:ascii="Arial" w:hAnsi="Arial" w:cs="Arial"/>
          <w:sz w:val="20"/>
        </w:rPr>
        <w:t>&lt;</w:t>
      </w:r>
      <w:r w:rsidR="000440DC" w:rsidRPr="004C43D5">
        <w:rPr>
          <w:rFonts w:ascii="Arial" w:hAnsi="Arial" w:cs="Arial"/>
          <w:sz w:val="20"/>
        </w:rPr>
        <w:t xml:space="preserve"> </w:t>
      </w:r>
      <w:r w:rsidR="002C777B" w:rsidRPr="004C43D5">
        <w:rPr>
          <w:rFonts w:ascii="Arial" w:hAnsi="Arial" w:cs="Arial"/>
          <w:sz w:val="20"/>
        </w:rPr>
        <w:t>0.00</w:t>
      </w:r>
      <w:r w:rsidR="006D103B" w:rsidRPr="004C43D5">
        <w:rPr>
          <w:rFonts w:ascii="Arial" w:hAnsi="Arial" w:cs="Arial"/>
          <w:sz w:val="20"/>
        </w:rPr>
        <w:t>1</w:t>
      </w:r>
      <w:r w:rsidR="002C777B" w:rsidRPr="004C43D5">
        <w:rPr>
          <w:rFonts w:ascii="Arial" w:hAnsi="Arial" w:cs="Arial"/>
          <w:sz w:val="20"/>
        </w:rPr>
        <w:t>)</w:t>
      </w:r>
      <w:r w:rsidRPr="004C43D5">
        <w:rPr>
          <w:rFonts w:ascii="Arial" w:hAnsi="Arial" w:cs="Arial"/>
          <w:sz w:val="20"/>
        </w:rPr>
        <w:t xml:space="preserve">. Post hoc tests </w:t>
      </w:r>
      <w:r w:rsidR="0041701C" w:rsidRPr="004C43D5">
        <w:rPr>
          <w:rFonts w:ascii="Arial" w:hAnsi="Arial" w:cs="Arial"/>
          <w:sz w:val="20"/>
        </w:rPr>
        <w:t xml:space="preserve">revealed </w:t>
      </w:r>
      <w:r w:rsidRPr="004C43D5">
        <w:rPr>
          <w:rFonts w:ascii="Arial" w:hAnsi="Arial" w:cs="Arial"/>
          <w:sz w:val="20"/>
        </w:rPr>
        <w:t xml:space="preserve">a significant </w:t>
      </w:r>
      <w:r w:rsidR="009B66B9" w:rsidRPr="004C43D5">
        <w:rPr>
          <w:rFonts w:ascii="Arial" w:hAnsi="Arial" w:cs="Arial"/>
          <w:sz w:val="20"/>
        </w:rPr>
        <w:t>(P</w:t>
      </w:r>
      <w:r w:rsidRPr="004C43D5">
        <w:rPr>
          <w:rFonts w:ascii="Arial" w:hAnsi="Arial" w:cs="Arial"/>
          <w:sz w:val="20"/>
        </w:rPr>
        <w:t xml:space="preserve"> </w:t>
      </w:r>
      <w:r w:rsidR="006D103B" w:rsidRPr="004C43D5">
        <w:rPr>
          <w:rFonts w:ascii="Arial" w:hAnsi="Arial" w:cs="Arial"/>
          <w:sz w:val="20"/>
        </w:rPr>
        <w:t>&lt;</w:t>
      </w:r>
      <w:r w:rsidRPr="004C43D5">
        <w:rPr>
          <w:rFonts w:ascii="Arial" w:hAnsi="Arial" w:cs="Arial"/>
          <w:sz w:val="20"/>
        </w:rPr>
        <w:t xml:space="preserve"> 0.0</w:t>
      </w:r>
      <w:r w:rsidR="00A038ED" w:rsidRPr="004C43D5">
        <w:rPr>
          <w:rFonts w:ascii="Arial" w:hAnsi="Arial" w:cs="Arial"/>
          <w:sz w:val="20"/>
        </w:rPr>
        <w:t>0</w:t>
      </w:r>
      <w:r w:rsidR="006D103B" w:rsidRPr="004C43D5">
        <w:rPr>
          <w:rFonts w:ascii="Arial" w:hAnsi="Arial" w:cs="Arial"/>
          <w:sz w:val="20"/>
        </w:rPr>
        <w:t>1</w:t>
      </w:r>
      <w:r w:rsidRPr="004C43D5">
        <w:rPr>
          <w:rFonts w:ascii="Arial" w:hAnsi="Arial" w:cs="Arial"/>
          <w:sz w:val="20"/>
        </w:rPr>
        <w:t xml:space="preserve">) increase in </w:t>
      </w:r>
      <w:r w:rsidR="00944FA9" w:rsidRPr="004C43D5">
        <w:rPr>
          <w:rFonts w:ascii="Arial" w:hAnsi="Arial" w:cs="Arial"/>
          <w:sz w:val="20"/>
        </w:rPr>
        <w:t>HPF</w:t>
      </w:r>
      <w:r w:rsidRPr="004C43D5">
        <w:rPr>
          <w:rFonts w:ascii="Arial" w:hAnsi="Arial" w:cs="Arial"/>
          <w:sz w:val="20"/>
        </w:rPr>
        <w:t xml:space="preserve"> consumption at the 0</w:t>
      </w:r>
      <w:r w:rsidR="00944FA9" w:rsidRPr="004C43D5">
        <w:rPr>
          <w:rFonts w:ascii="Arial" w:hAnsi="Arial" w:cs="Arial"/>
          <w:sz w:val="20"/>
        </w:rPr>
        <w:t>-</w:t>
      </w:r>
      <w:r w:rsidRPr="004C43D5">
        <w:rPr>
          <w:rFonts w:ascii="Arial" w:hAnsi="Arial" w:cs="Arial"/>
          <w:sz w:val="20"/>
        </w:rPr>
        <w:t>15 min time point in rats with a history of food restriction</w:t>
      </w:r>
      <w:r w:rsidR="00F60EB8" w:rsidRPr="004C43D5">
        <w:rPr>
          <w:rFonts w:ascii="Arial" w:hAnsi="Arial" w:cs="Arial"/>
          <w:sz w:val="20"/>
        </w:rPr>
        <w:t xml:space="preserve"> and </w:t>
      </w:r>
      <w:r w:rsidR="0041701C" w:rsidRPr="004C43D5">
        <w:rPr>
          <w:rFonts w:ascii="Arial" w:hAnsi="Arial" w:cs="Arial"/>
          <w:sz w:val="20"/>
        </w:rPr>
        <w:t>exposed</w:t>
      </w:r>
      <w:r w:rsidR="00F60EB8" w:rsidRPr="004C43D5">
        <w:rPr>
          <w:rFonts w:ascii="Arial" w:hAnsi="Arial" w:cs="Arial"/>
          <w:sz w:val="20"/>
        </w:rPr>
        <w:t xml:space="preserve"> to</w:t>
      </w:r>
      <w:r w:rsidR="0041701C" w:rsidRPr="004C43D5">
        <w:rPr>
          <w:rFonts w:ascii="Arial" w:hAnsi="Arial" w:cs="Arial"/>
          <w:sz w:val="20"/>
        </w:rPr>
        <w:t xml:space="preserve"> </w:t>
      </w:r>
      <w:r w:rsidRPr="004C43D5">
        <w:rPr>
          <w:rFonts w:ascii="Arial" w:hAnsi="Arial" w:cs="Arial"/>
          <w:sz w:val="20"/>
        </w:rPr>
        <w:t>frustration stress</w:t>
      </w:r>
      <w:r w:rsidR="00F60EB8" w:rsidRPr="004C43D5">
        <w:rPr>
          <w:rFonts w:ascii="Arial" w:hAnsi="Arial" w:cs="Arial"/>
          <w:sz w:val="20"/>
        </w:rPr>
        <w:t xml:space="preserve"> (R + S)</w:t>
      </w:r>
      <w:r w:rsidR="0041701C" w:rsidRPr="004C43D5">
        <w:rPr>
          <w:rFonts w:ascii="Arial" w:hAnsi="Arial" w:cs="Arial"/>
          <w:sz w:val="20"/>
        </w:rPr>
        <w:t xml:space="preserve">, as compared to the other groups, while no change in palatable food consumption was observed </w:t>
      </w:r>
      <w:r w:rsidR="00C71C48" w:rsidRPr="004C43D5">
        <w:rPr>
          <w:rFonts w:ascii="Arial" w:hAnsi="Arial" w:cs="Arial"/>
          <w:sz w:val="20"/>
        </w:rPr>
        <w:t>during the other session</w:t>
      </w:r>
      <w:r w:rsidR="00F74900" w:rsidRPr="004C43D5">
        <w:rPr>
          <w:rFonts w:ascii="Arial" w:hAnsi="Arial" w:cs="Arial"/>
          <w:sz w:val="20"/>
        </w:rPr>
        <w:t>s</w:t>
      </w:r>
      <w:r w:rsidR="00C71C48" w:rsidRPr="004C43D5">
        <w:rPr>
          <w:rFonts w:ascii="Arial" w:hAnsi="Arial" w:cs="Arial"/>
          <w:sz w:val="20"/>
        </w:rPr>
        <w:t xml:space="preserve"> time of the test (15–30; 30-60; 60-120 min) among all groups </w:t>
      </w:r>
      <w:r w:rsidR="0041701C" w:rsidRPr="004C43D5">
        <w:rPr>
          <w:rFonts w:ascii="Arial" w:hAnsi="Arial" w:cs="Arial"/>
          <w:sz w:val="20"/>
        </w:rPr>
        <w:t>(Fig. S1B, left panel).</w:t>
      </w:r>
      <w:r w:rsidR="00C71C48" w:rsidRPr="004C43D5">
        <w:rPr>
          <w:rFonts w:ascii="Arial" w:hAnsi="Arial" w:cs="Arial"/>
          <w:sz w:val="20"/>
        </w:rPr>
        <w:t xml:space="preserve"> One-way ANOVA of the 120 min cumulative palatable food intake showed a two-way interaction (</w:t>
      </w:r>
      <w:r w:rsidR="00F74900" w:rsidRPr="004C43D5">
        <w:rPr>
          <w:rFonts w:ascii="Arial" w:hAnsi="Arial" w:cs="Arial"/>
          <w:sz w:val="20"/>
        </w:rPr>
        <w:t>food restriction</w:t>
      </w:r>
      <w:r w:rsidR="00C71C48" w:rsidRPr="004C43D5">
        <w:rPr>
          <w:rFonts w:ascii="Arial" w:hAnsi="Arial" w:cs="Arial"/>
          <w:sz w:val="20"/>
        </w:rPr>
        <w:t xml:space="preserve"> x stress) (F</w:t>
      </w:r>
      <w:r w:rsidR="00C71C48" w:rsidRPr="004C43D5">
        <w:rPr>
          <w:rFonts w:ascii="Arial" w:hAnsi="Arial" w:cs="Arial"/>
          <w:sz w:val="20"/>
          <w:vertAlign w:val="subscript"/>
        </w:rPr>
        <w:t>interaction</w:t>
      </w:r>
      <w:r w:rsidR="00C71C48" w:rsidRPr="004C43D5">
        <w:rPr>
          <w:rFonts w:ascii="Arial" w:hAnsi="Arial" w:cs="Arial"/>
          <w:sz w:val="20"/>
        </w:rPr>
        <w:t xml:space="preserve"> = 4.460, df = 1/26, P &lt; 0.05) and the post hoc analyses </w:t>
      </w:r>
      <w:r w:rsidR="005F0D71" w:rsidRPr="004C43D5">
        <w:rPr>
          <w:rFonts w:ascii="Arial" w:hAnsi="Arial" w:cs="Arial"/>
          <w:sz w:val="20"/>
        </w:rPr>
        <w:t xml:space="preserve">(P &lt; 0.001) </w:t>
      </w:r>
      <w:r w:rsidR="00F74900" w:rsidRPr="004C43D5">
        <w:rPr>
          <w:rFonts w:ascii="Arial" w:hAnsi="Arial" w:cs="Arial"/>
          <w:sz w:val="20"/>
        </w:rPr>
        <w:t>revealed</w:t>
      </w:r>
      <w:r w:rsidR="00C71C48" w:rsidRPr="004C43D5">
        <w:rPr>
          <w:rFonts w:ascii="Arial" w:hAnsi="Arial" w:cs="Arial"/>
          <w:sz w:val="20"/>
        </w:rPr>
        <w:t xml:space="preserve"> that R + S rats were the only group showing increased </w:t>
      </w:r>
      <w:r w:rsidR="00F74900" w:rsidRPr="004C43D5">
        <w:rPr>
          <w:rFonts w:ascii="Arial" w:hAnsi="Arial" w:cs="Arial"/>
          <w:sz w:val="20"/>
        </w:rPr>
        <w:t>HPF</w:t>
      </w:r>
      <w:r w:rsidR="00C71C48" w:rsidRPr="004C43D5">
        <w:rPr>
          <w:rFonts w:ascii="Arial" w:hAnsi="Arial" w:cs="Arial"/>
          <w:sz w:val="20"/>
        </w:rPr>
        <w:t xml:space="preserve"> intake with respect to the other groups (Figure S1B, right panel). These results demonstrated that </w:t>
      </w:r>
      <w:r w:rsidR="0041701C" w:rsidRPr="004C43D5">
        <w:rPr>
          <w:rFonts w:ascii="Arial" w:hAnsi="Arial" w:cs="Arial"/>
          <w:sz w:val="20"/>
        </w:rPr>
        <w:t xml:space="preserve">stress </w:t>
      </w:r>
      <w:r w:rsidR="00C71C48" w:rsidRPr="004C43D5">
        <w:rPr>
          <w:rFonts w:ascii="Arial" w:hAnsi="Arial" w:cs="Arial"/>
          <w:sz w:val="20"/>
        </w:rPr>
        <w:t>exposure</w:t>
      </w:r>
      <w:r w:rsidR="0041701C" w:rsidRPr="004C43D5">
        <w:rPr>
          <w:rFonts w:ascii="Arial" w:hAnsi="Arial" w:cs="Arial"/>
          <w:sz w:val="20"/>
        </w:rPr>
        <w:t xml:space="preserve"> was able to trigger a binge-like behavior in R + S rats, </w:t>
      </w:r>
      <w:r w:rsidR="00C71C48" w:rsidRPr="004C43D5">
        <w:rPr>
          <w:rFonts w:ascii="Arial" w:hAnsi="Arial" w:cs="Arial"/>
          <w:sz w:val="20"/>
        </w:rPr>
        <w:t xml:space="preserve">which consumed a large amount of HPF within a short period of time, </w:t>
      </w:r>
      <w:r w:rsidR="0041701C" w:rsidRPr="004C43D5">
        <w:rPr>
          <w:rFonts w:ascii="Arial" w:hAnsi="Arial" w:cs="Arial"/>
          <w:sz w:val="20"/>
        </w:rPr>
        <w:t xml:space="preserve">while it had no effect on </w:t>
      </w:r>
      <w:r w:rsidR="00944FA9" w:rsidRPr="004C43D5">
        <w:rPr>
          <w:rFonts w:ascii="Arial" w:hAnsi="Arial" w:cs="Arial"/>
          <w:sz w:val="20"/>
        </w:rPr>
        <w:t>HPF</w:t>
      </w:r>
      <w:r w:rsidR="0041701C" w:rsidRPr="004C43D5">
        <w:rPr>
          <w:rFonts w:ascii="Arial" w:hAnsi="Arial" w:cs="Arial"/>
          <w:sz w:val="20"/>
        </w:rPr>
        <w:t xml:space="preserve"> intake in rats that </w:t>
      </w:r>
      <w:r w:rsidR="00944FA9" w:rsidRPr="004C43D5">
        <w:rPr>
          <w:rFonts w:ascii="Arial" w:hAnsi="Arial" w:cs="Arial"/>
          <w:sz w:val="20"/>
        </w:rPr>
        <w:t xml:space="preserve">did not have history of food restriction. </w:t>
      </w:r>
      <w:r w:rsidRPr="004C43D5">
        <w:rPr>
          <w:rFonts w:ascii="Arial" w:hAnsi="Arial" w:cs="Arial"/>
          <w:sz w:val="20"/>
        </w:rPr>
        <w:t xml:space="preserve"> </w:t>
      </w:r>
    </w:p>
    <w:p w14:paraId="52AD1A38" w14:textId="77777777" w:rsidR="00174A5A" w:rsidRPr="004C43D5" w:rsidRDefault="00174A5A" w:rsidP="001F7DF3">
      <w:pPr>
        <w:spacing w:line="360" w:lineRule="auto"/>
        <w:jc w:val="both"/>
        <w:rPr>
          <w:rFonts w:ascii="Arial" w:hAnsi="Arial" w:cs="Arial"/>
          <w:sz w:val="20"/>
        </w:rPr>
      </w:pPr>
    </w:p>
    <w:p w14:paraId="55D3C83C" w14:textId="77777777" w:rsidR="00F10D30" w:rsidRPr="004C43D5" w:rsidRDefault="00F10D30" w:rsidP="001C0975">
      <w:pPr>
        <w:pStyle w:val="SMText"/>
        <w:ind w:firstLine="0"/>
        <w:rPr>
          <w:rFonts w:ascii="Arial" w:hAnsi="Arial" w:cs="Arial"/>
          <w:b/>
          <w:sz w:val="20"/>
        </w:rPr>
      </w:pPr>
    </w:p>
    <w:p w14:paraId="38B5833C" w14:textId="77777777" w:rsidR="006B68B4" w:rsidRPr="004C43D5" w:rsidRDefault="006B68B4" w:rsidP="001C0975">
      <w:pPr>
        <w:pStyle w:val="SMText"/>
        <w:ind w:firstLine="0"/>
        <w:rPr>
          <w:rFonts w:ascii="Arial" w:hAnsi="Arial" w:cs="Arial"/>
          <w:b/>
          <w:sz w:val="20"/>
        </w:rPr>
      </w:pPr>
    </w:p>
    <w:p w14:paraId="26785BAE" w14:textId="77777777" w:rsidR="000B41EA" w:rsidRPr="004C43D5" w:rsidRDefault="000B41EA" w:rsidP="001C0975">
      <w:pPr>
        <w:pStyle w:val="SMText"/>
        <w:ind w:firstLine="0"/>
        <w:rPr>
          <w:rFonts w:ascii="Arial" w:hAnsi="Arial" w:cs="Arial"/>
          <w:b/>
          <w:sz w:val="20"/>
        </w:rPr>
      </w:pPr>
    </w:p>
    <w:p w14:paraId="69F7A83B" w14:textId="77777777" w:rsidR="00F10D30" w:rsidRPr="004C43D5" w:rsidRDefault="00F10D30" w:rsidP="00F10D30">
      <w:pPr>
        <w:pStyle w:val="SMcaption"/>
        <w:rPr>
          <w:rFonts w:ascii="Arial" w:hAnsi="Arial" w:cs="Arial"/>
          <w:b/>
          <w:sz w:val="20"/>
        </w:rPr>
      </w:pPr>
      <w:r w:rsidRPr="004C43D5">
        <w:rPr>
          <w:rFonts w:ascii="Arial" w:hAnsi="Arial" w:cs="Arial"/>
          <w:b/>
          <w:sz w:val="20"/>
        </w:rPr>
        <w:lastRenderedPageBreak/>
        <w:t>References</w:t>
      </w:r>
    </w:p>
    <w:p w14:paraId="4553F65A" w14:textId="0FDE7508" w:rsidR="00C80FE2" w:rsidRPr="004C43D5" w:rsidRDefault="00F10D30"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sz w:val="20"/>
        </w:rPr>
        <w:fldChar w:fldCharType="begin" w:fldLock="1"/>
      </w:r>
      <w:r w:rsidRPr="004C43D5">
        <w:rPr>
          <w:rFonts w:ascii="Arial" w:hAnsi="Arial" w:cs="Arial"/>
          <w:sz w:val="20"/>
        </w:rPr>
        <w:instrText xml:space="preserve">ADDIN Mendeley Bibliography CSL_BIBLIOGRAPHY </w:instrText>
      </w:r>
      <w:r w:rsidRPr="004C43D5">
        <w:rPr>
          <w:rFonts w:ascii="Arial" w:hAnsi="Arial" w:cs="Arial"/>
          <w:sz w:val="20"/>
        </w:rPr>
        <w:fldChar w:fldCharType="separate"/>
      </w:r>
      <w:r w:rsidR="00C80FE2" w:rsidRPr="004C43D5">
        <w:rPr>
          <w:rFonts w:ascii="Arial" w:hAnsi="Arial" w:cs="Arial"/>
          <w:noProof/>
          <w:sz w:val="20"/>
          <w:szCs w:val="24"/>
        </w:rPr>
        <w:t xml:space="preserve">1. </w:t>
      </w:r>
      <w:r w:rsidR="00C80FE2" w:rsidRPr="004C43D5">
        <w:rPr>
          <w:rFonts w:ascii="Arial" w:hAnsi="Arial" w:cs="Arial"/>
          <w:noProof/>
          <w:sz w:val="20"/>
          <w:szCs w:val="24"/>
        </w:rPr>
        <w:tab/>
        <w:t>Cifani C, Polidori C, Melotto S, Ciccocioppo R, Massi M. A preclinical model of binge eating elicited by yo-yo dieting and stressful exposure to food: effect of sibutramine, fluoxetine, topiramate, and midazolam. Psychopharmacology (Berl). 2009;204:113–125.</w:t>
      </w:r>
    </w:p>
    <w:p w14:paraId="411EB5E2"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2. </w:t>
      </w:r>
      <w:r w:rsidRPr="004C43D5">
        <w:rPr>
          <w:rFonts w:ascii="Arial" w:hAnsi="Arial" w:cs="Arial"/>
          <w:noProof/>
          <w:sz w:val="20"/>
          <w:szCs w:val="24"/>
        </w:rPr>
        <w:tab/>
        <w:t>Floresco SB, West AR, Ash B, Moore H, Grace AA. Afferent modulation of dopamine neuron firing differentially regulates tonic and phasic dopamine transmission. Nat Neurosci. 2003;6:968–973.</w:t>
      </w:r>
    </w:p>
    <w:p w14:paraId="52347B1D"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3. </w:t>
      </w:r>
      <w:r w:rsidRPr="004C43D5">
        <w:rPr>
          <w:rFonts w:ascii="Arial" w:hAnsi="Arial" w:cs="Arial"/>
          <w:noProof/>
          <w:sz w:val="20"/>
          <w:szCs w:val="24"/>
        </w:rPr>
        <w:tab/>
        <w:t>Romano A, Gallelli CA, Koczwara JB, Braegger FE, Vitalone A, Falchi M, et al. Role of the area postrema in the hypophagic effects of oleoylethanolamide. Pharmacol Res. 2017;122:20–34.</w:t>
      </w:r>
    </w:p>
    <w:p w14:paraId="4263E379"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4. </w:t>
      </w:r>
      <w:r w:rsidRPr="004C43D5">
        <w:rPr>
          <w:rFonts w:ascii="Arial" w:hAnsi="Arial" w:cs="Arial"/>
          <w:noProof/>
          <w:sz w:val="20"/>
          <w:szCs w:val="24"/>
        </w:rPr>
        <w:tab/>
        <w:t>Paxinos G WC. The Rat Brain in Stereotaxic Coordinates. fourth ed. San Diego: Academic Press; 1998.</w:t>
      </w:r>
    </w:p>
    <w:p w14:paraId="0D1A6DEE"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5. </w:t>
      </w:r>
      <w:r w:rsidRPr="004C43D5">
        <w:rPr>
          <w:rFonts w:ascii="Arial" w:hAnsi="Arial" w:cs="Arial"/>
          <w:noProof/>
          <w:sz w:val="20"/>
          <w:szCs w:val="24"/>
        </w:rPr>
        <w:tab/>
        <w:t>Cassano T, Gaetani S, Morgese MG, Macheda T, Laconca L, Dipasquale P, et al. Monoaminergic changes in locus coeruleus and dorsal raphe nucleus following noradrenaline depletion. Neurochem Res. 2009;34:1417–1426.</w:t>
      </w:r>
    </w:p>
    <w:p w14:paraId="49F7F630"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6. </w:t>
      </w:r>
      <w:r w:rsidRPr="004C43D5">
        <w:rPr>
          <w:rFonts w:ascii="Arial" w:hAnsi="Arial" w:cs="Arial"/>
          <w:noProof/>
          <w:sz w:val="20"/>
          <w:szCs w:val="24"/>
        </w:rPr>
        <w:tab/>
        <w:t>Volkow ND, Wise RA, Baler R. The dopamine motive system: implications for drug and food addiction. Nat Rev Neurosci. 2017;18:741–752.</w:t>
      </w:r>
    </w:p>
    <w:p w14:paraId="48AC6827"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7. </w:t>
      </w:r>
      <w:r w:rsidRPr="004C43D5">
        <w:rPr>
          <w:rFonts w:ascii="Arial" w:hAnsi="Arial" w:cs="Arial"/>
          <w:noProof/>
          <w:sz w:val="20"/>
          <w:szCs w:val="24"/>
        </w:rPr>
        <w:tab/>
        <w:t>Bedse G, Romano A, Tempesta B, Lavecchia MA, Pace L, Bellomo A, et al. Inhibition of anandamide hydrolysis enhances noradrenergic and GABAergic transmission in the prefrontal cortex and basolateral amygdala of rats subjected to acute swim stress. J Neurosci Res. 2015;93:777–787.</w:t>
      </w:r>
    </w:p>
    <w:p w14:paraId="19247C68"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8. </w:t>
      </w:r>
      <w:r w:rsidRPr="004C43D5">
        <w:rPr>
          <w:rFonts w:ascii="Arial" w:hAnsi="Arial" w:cs="Arial"/>
          <w:noProof/>
          <w:sz w:val="20"/>
          <w:szCs w:val="24"/>
        </w:rPr>
        <w:tab/>
        <w:t>Cassano T, Serviddio G, Gaetani S, Romano A, Dipasquale P, Cianci S, et al. Glutamatergic alterations and mitochondrial impairment in a murine model of Alzheimer disease. Neurobiol Aging. 2012;33:1121.e1-12.</w:t>
      </w:r>
    </w:p>
    <w:p w14:paraId="27C56C43"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9. </w:t>
      </w:r>
      <w:r w:rsidRPr="004C43D5">
        <w:rPr>
          <w:rFonts w:ascii="Arial" w:hAnsi="Arial" w:cs="Arial"/>
          <w:noProof/>
          <w:sz w:val="20"/>
          <w:szCs w:val="24"/>
        </w:rPr>
        <w:tab/>
        <w:t>Cassano T, Gaetani S, Macheda T, Laconca L, Romano A, Morgese MG, et al. Evaluation of the emotional phenotype and serotonergic neurotransmission of fatty acid amide hydrolase-deficient mice. Psychopharmacology (Berl). 2011;214:465–476.</w:t>
      </w:r>
    </w:p>
    <w:p w14:paraId="5BD70EF2"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10. </w:t>
      </w:r>
      <w:r w:rsidRPr="004C43D5">
        <w:rPr>
          <w:rFonts w:ascii="Arial" w:hAnsi="Arial" w:cs="Arial"/>
          <w:noProof/>
          <w:sz w:val="20"/>
          <w:szCs w:val="24"/>
        </w:rPr>
        <w:tab/>
        <w:t>Gaetani S, Fu J, Cassano T, Dipasquale P, Romano A, Righetti L, et al. The fat-induced satiety factor oleoylethanolamide suppresses feeding through central release of oxytocin. J Neurosci. 2010;30:8096–8101.</w:t>
      </w:r>
    </w:p>
    <w:p w14:paraId="64653420"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11. </w:t>
      </w:r>
      <w:r w:rsidRPr="004C43D5">
        <w:rPr>
          <w:rFonts w:ascii="Arial" w:hAnsi="Arial" w:cs="Arial"/>
          <w:noProof/>
          <w:sz w:val="20"/>
          <w:szCs w:val="24"/>
        </w:rPr>
        <w:tab/>
        <w:t>Romano A, Karimian Azari E, Tempesta B, Mansouri A, Micioni Di Bonaventura MV, Ramachandran D, et al. High dietary fat intake influences the activation of specific hindbrain and hypothalamic nuclei by the satiety factor oleoylethanolamide. Physiol Behav. 2014;136:55–62.</w:t>
      </w:r>
    </w:p>
    <w:p w14:paraId="198DA424"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12. </w:t>
      </w:r>
      <w:r w:rsidRPr="004C43D5">
        <w:rPr>
          <w:rFonts w:ascii="Arial" w:hAnsi="Arial" w:cs="Arial"/>
          <w:noProof/>
          <w:sz w:val="20"/>
          <w:szCs w:val="24"/>
        </w:rPr>
        <w:tab/>
        <w:t>Bedse G, Romano A, Lavecchia AM, Cassano T, Gaetani S. The role of endocannabinoid signaling in the molecular mechanisms of neurodegeneration in Alzheimer’s disease. J Alzheimer’s Dis. 2014;43:1115–1136.</w:t>
      </w:r>
    </w:p>
    <w:p w14:paraId="69DEBDDC"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13. </w:t>
      </w:r>
      <w:r w:rsidRPr="004C43D5">
        <w:rPr>
          <w:rFonts w:ascii="Arial" w:hAnsi="Arial" w:cs="Arial"/>
          <w:noProof/>
          <w:sz w:val="20"/>
          <w:szCs w:val="24"/>
        </w:rPr>
        <w:tab/>
        <w:t>van Rijn CM, Gaetani S, Santolini I, Badura A, Gabova A, Fu J, et al. WAG/Rij rats show a reduced expression of CB</w:t>
      </w:r>
      <w:r w:rsidRPr="004C43D5">
        <w:rPr>
          <w:rFonts w:ascii="Cambria Math" w:hAnsi="Cambria Math" w:cs="Cambria Math"/>
          <w:noProof/>
          <w:sz w:val="20"/>
          <w:szCs w:val="24"/>
        </w:rPr>
        <w:t>₁</w:t>
      </w:r>
      <w:r w:rsidRPr="004C43D5">
        <w:rPr>
          <w:rFonts w:ascii="Arial" w:hAnsi="Arial" w:cs="Arial"/>
          <w:noProof/>
          <w:sz w:val="20"/>
          <w:szCs w:val="24"/>
        </w:rPr>
        <w:t xml:space="preserve"> receptors in thalamic nuclei and respond to the CB</w:t>
      </w:r>
      <w:r w:rsidRPr="004C43D5">
        <w:rPr>
          <w:rFonts w:ascii="Cambria Math" w:hAnsi="Cambria Math" w:cs="Cambria Math"/>
          <w:noProof/>
          <w:sz w:val="20"/>
          <w:szCs w:val="24"/>
        </w:rPr>
        <w:t>₁</w:t>
      </w:r>
      <w:r w:rsidRPr="004C43D5">
        <w:rPr>
          <w:rFonts w:ascii="Arial" w:hAnsi="Arial" w:cs="Arial"/>
          <w:noProof/>
          <w:sz w:val="20"/>
          <w:szCs w:val="24"/>
        </w:rPr>
        <w:t xml:space="preserve"> receptor agonist, R(+)WIN55,212-2, with a reduced incidence of spike-wave discharges. Epilepsia. 2010;51:1511–1521.</w:t>
      </w:r>
    </w:p>
    <w:p w14:paraId="21269763" w14:textId="77777777" w:rsidR="00C80FE2" w:rsidRPr="004C43D5" w:rsidRDefault="00C80FE2" w:rsidP="00C80FE2">
      <w:pPr>
        <w:widowControl w:val="0"/>
        <w:autoSpaceDE w:val="0"/>
        <w:autoSpaceDN w:val="0"/>
        <w:adjustRightInd w:val="0"/>
        <w:ind w:left="640" w:hanging="640"/>
        <w:rPr>
          <w:rFonts w:ascii="Arial" w:hAnsi="Arial" w:cs="Arial"/>
          <w:noProof/>
          <w:sz w:val="20"/>
          <w:szCs w:val="24"/>
        </w:rPr>
      </w:pPr>
      <w:r w:rsidRPr="004C43D5">
        <w:rPr>
          <w:rFonts w:ascii="Arial" w:hAnsi="Arial" w:cs="Arial"/>
          <w:noProof/>
          <w:sz w:val="20"/>
          <w:szCs w:val="24"/>
        </w:rPr>
        <w:t xml:space="preserve">14. </w:t>
      </w:r>
      <w:r w:rsidRPr="004C43D5">
        <w:rPr>
          <w:rFonts w:ascii="Arial" w:hAnsi="Arial" w:cs="Arial"/>
          <w:noProof/>
          <w:sz w:val="20"/>
          <w:szCs w:val="24"/>
        </w:rPr>
        <w:tab/>
        <w:t>Micioni Di Bonaventura MV, Ciccocioppo R, Romano A, Bossert JM, Rice KC, Ubaldi M, et al. Role of bed nucleus of the stria terminalis corticotrophin-releasing factor receptors in frustration stress-induced binge-like palatable food consumption in female rats with a history of food restriction. J Neurosci. 2014;34:11316–11324.</w:t>
      </w:r>
    </w:p>
    <w:p w14:paraId="608A6B1C" w14:textId="77777777" w:rsidR="00C80FE2" w:rsidRPr="004C43D5" w:rsidRDefault="00C80FE2" w:rsidP="00C80FE2">
      <w:pPr>
        <w:widowControl w:val="0"/>
        <w:autoSpaceDE w:val="0"/>
        <w:autoSpaceDN w:val="0"/>
        <w:adjustRightInd w:val="0"/>
        <w:ind w:left="640" w:hanging="640"/>
        <w:rPr>
          <w:rFonts w:ascii="Arial" w:hAnsi="Arial" w:cs="Arial"/>
          <w:noProof/>
          <w:sz w:val="20"/>
        </w:rPr>
      </w:pPr>
      <w:r w:rsidRPr="004C43D5">
        <w:rPr>
          <w:rFonts w:ascii="Arial" w:hAnsi="Arial" w:cs="Arial"/>
          <w:noProof/>
          <w:sz w:val="20"/>
          <w:szCs w:val="24"/>
        </w:rPr>
        <w:t xml:space="preserve">15. </w:t>
      </w:r>
      <w:r w:rsidRPr="004C43D5">
        <w:rPr>
          <w:rFonts w:ascii="Arial" w:hAnsi="Arial" w:cs="Arial"/>
          <w:noProof/>
          <w:sz w:val="20"/>
          <w:szCs w:val="24"/>
        </w:rPr>
        <w:tab/>
        <w:t>Micioni Di Bonaventura MV, Ubaldi M, Giusepponi ME, Rice KC, Massi M, Ciccocioppo R, et al. Hypothalamic CRF1 receptor mechanisms are not sufficient to account for binge-like palatable food consumption in female rats. Int J Eat Disord. 2017;50:1194–1204.</w:t>
      </w:r>
    </w:p>
    <w:p w14:paraId="586F78E6" w14:textId="77777777" w:rsidR="00F10D30" w:rsidRPr="004C43D5" w:rsidRDefault="00F10D30" w:rsidP="00F10D30">
      <w:pPr>
        <w:pStyle w:val="SMcaption"/>
        <w:jc w:val="both"/>
        <w:rPr>
          <w:rFonts w:ascii="Arial" w:hAnsi="Arial" w:cs="Arial"/>
          <w:sz w:val="20"/>
        </w:rPr>
      </w:pPr>
      <w:r w:rsidRPr="004C43D5">
        <w:rPr>
          <w:rFonts w:ascii="Arial" w:hAnsi="Arial" w:cs="Arial"/>
          <w:sz w:val="20"/>
        </w:rPr>
        <w:fldChar w:fldCharType="end"/>
      </w:r>
    </w:p>
    <w:p w14:paraId="477DEBF1" w14:textId="77777777" w:rsidR="001C0975" w:rsidRPr="004C43D5" w:rsidRDefault="00BF0281" w:rsidP="0037742C">
      <w:pPr>
        <w:pStyle w:val="SMText"/>
        <w:ind w:firstLine="0"/>
        <w:rPr>
          <w:rFonts w:ascii="Arial" w:hAnsi="Arial" w:cs="Arial"/>
          <w:b/>
          <w:sz w:val="20"/>
          <w:lang w:val="en-GB"/>
        </w:rPr>
      </w:pPr>
      <w:r w:rsidRPr="004C43D5">
        <w:rPr>
          <w:rFonts w:ascii="Arial" w:hAnsi="Arial" w:cs="Arial"/>
          <w:b/>
          <w:sz w:val="20"/>
        </w:rPr>
        <w:br w:type="page"/>
      </w:r>
      <w:r w:rsidR="000B41EA" w:rsidRPr="004C43D5">
        <w:rPr>
          <w:rFonts w:ascii="Arial" w:hAnsi="Arial" w:cs="Arial"/>
          <w:b/>
          <w:sz w:val="20"/>
          <w:lang w:val="en-GB"/>
        </w:rPr>
        <w:lastRenderedPageBreak/>
        <w:t>Figure</w:t>
      </w:r>
      <w:r w:rsidR="0037742C" w:rsidRPr="004C43D5">
        <w:rPr>
          <w:rFonts w:ascii="Arial" w:hAnsi="Arial" w:cs="Arial"/>
          <w:b/>
          <w:sz w:val="20"/>
          <w:lang w:val="en-GB"/>
        </w:rPr>
        <w:t xml:space="preserve"> S1</w:t>
      </w:r>
    </w:p>
    <w:p w14:paraId="44D154F7" w14:textId="77777777" w:rsidR="0037742C" w:rsidRPr="004C43D5" w:rsidRDefault="0037742C" w:rsidP="0037742C">
      <w:pPr>
        <w:pStyle w:val="SMText"/>
        <w:ind w:firstLine="0"/>
        <w:rPr>
          <w:rFonts w:ascii="Arial" w:hAnsi="Arial" w:cs="Arial"/>
          <w:b/>
          <w:sz w:val="20"/>
          <w:lang w:val="en-GB"/>
        </w:rPr>
      </w:pPr>
    </w:p>
    <w:p w14:paraId="2DB56E75" w14:textId="77777777" w:rsidR="0037742C" w:rsidRPr="004C43D5" w:rsidRDefault="0037742C" w:rsidP="0068050A">
      <w:pPr>
        <w:pStyle w:val="SMText"/>
        <w:ind w:firstLine="0"/>
        <w:jc w:val="center"/>
      </w:pPr>
    </w:p>
    <w:p w14:paraId="245B5978" w14:textId="77777777" w:rsidR="001363AC" w:rsidRPr="004C43D5" w:rsidRDefault="001363AC" w:rsidP="0068050A">
      <w:pPr>
        <w:pStyle w:val="SMText"/>
        <w:ind w:firstLine="0"/>
        <w:jc w:val="center"/>
      </w:pPr>
    </w:p>
    <w:p w14:paraId="5F8417B3" w14:textId="74CD663D" w:rsidR="0037742C" w:rsidRPr="004C43D5" w:rsidRDefault="0064638A" w:rsidP="00870959">
      <w:pPr>
        <w:pStyle w:val="SMText"/>
        <w:ind w:firstLine="0"/>
        <w:jc w:val="center"/>
        <w:rPr>
          <w:rFonts w:ascii="Arial" w:hAnsi="Arial" w:cs="Arial"/>
          <w:b/>
          <w:sz w:val="20"/>
          <w:lang w:val="en-GB"/>
        </w:rPr>
      </w:pPr>
      <w:bookmarkStart w:id="2" w:name="_GoBack"/>
      <w:r w:rsidRPr="0064638A">
        <w:drawing>
          <wp:inline distT="0" distB="0" distL="0" distR="0" wp14:anchorId="7A865D59" wp14:editId="1EC12A5D">
            <wp:extent cx="4852800" cy="52344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2800" cy="5234400"/>
                    </a:xfrm>
                    <a:prstGeom prst="rect">
                      <a:avLst/>
                    </a:prstGeom>
                    <a:noFill/>
                    <a:ln>
                      <a:noFill/>
                    </a:ln>
                  </pic:spPr>
                </pic:pic>
              </a:graphicData>
            </a:graphic>
          </wp:inline>
        </w:drawing>
      </w:r>
      <w:bookmarkEnd w:id="2"/>
    </w:p>
    <w:p w14:paraId="698E1653" w14:textId="77777777" w:rsidR="0037742C" w:rsidRPr="004C43D5" w:rsidRDefault="0037742C" w:rsidP="0037742C">
      <w:pPr>
        <w:pStyle w:val="SMText"/>
        <w:ind w:firstLine="0"/>
        <w:rPr>
          <w:rFonts w:ascii="Arial" w:hAnsi="Arial" w:cs="Arial"/>
          <w:b/>
          <w:sz w:val="20"/>
          <w:lang w:val="en-GB"/>
        </w:rPr>
      </w:pPr>
    </w:p>
    <w:p w14:paraId="0AFB685D" w14:textId="77777777" w:rsidR="0037742C" w:rsidRPr="004C43D5" w:rsidRDefault="0037742C" w:rsidP="0037742C">
      <w:pPr>
        <w:pStyle w:val="SMText"/>
        <w:ind w:firstLine="0"/>
        <w:rPr>
          <w:rFonts w:ascii="Arial" w:hAnsi="Arial" w:cs="Arial"/>
          <w:b/>
          <w:sz w:val="20"/>
          <w:lang w:val="en-GB"/>
        </w:rPr>
      </w:pPr>
    </w:p>
    <w:p w14:paraId="69DF7513" w14:textId="77777777" w:rsidR="0031433F" w:rsidRPr="004C43D5" w:rsidRDefault="00406F36" w:rsidP="0031433F">
      <w:pPr>
        <w:spacing w:before="240" w:line="360" w:lineRule="auto"/>
        <w:jc w:val="both"/>
        <w:rPr>
          <w:rFonts w:ascii="Arial" w:hAnsi="Arial" w:cs="Arial"/>
          <w:sz w:val="20"/>
          <w:lang w:val="en-GB"/>
        </w:rPr>
      </w:pPr>
      <w:r w:rsidRPr="004C43D5">
        <w:rPr>
          <w:rFonts w:ascii="Arial" w:hAnsi="Arial" w:cs="Arial"/>
          <w:b/>
          <w:sz w:val="20"/>
          <w:lang w:val="en-GB"/>
        </w:rPr>
        <w:t>Fig. S1</w:t>
      </w:r>
      <w:r w:rsidR="0031433F" w:rsidRPr="004C43D5">
        <w:rPr>
          <w:rFonts w:ascii="Arial" w:hAnsi="Arial" w:cs="Arial"/>
          <w:b/>
          <w:sz w:val="20"/>
          <w:lang w:val="en-GB"/>
        </w:rPr>
        <w:t>. (Panel A)</w:t>
      </w:r>
      <w:r w:rsidRPr="004C43D5">
        <w:rPr>
          <w:rFonts w:ascii="Arial" w:hAnsi="Arial" w:cs="Arial"/>
          <w:sz w:val="20"/>
          <w:lang w:val="en-GB"/>
        </w:rPr>
        <w:t xml:space="preserve"> </w:t>
      </w:r>
      <w:r w:rsidR="0031433F" w:rsidRPr="004C43D5">
        <w:rPr>
          <w:rFonts w:ascii="Arial" w:hAnsi="Arial" w:cs="Arial"/>
          <w:sz w:val="20"/>
          <w:lang w:val="en-GB"/>
        </w:rPr>
        <w:t xml:space="preserve">Mean ± SEM body weight (g) of female rats exposed or not exposed to repeated intermittent cycles of food restriction/refeeding. </w:t>
      </w:r>
      <w:r w:rsidR="0031433F" w:rsidRPr="004C43D5">
        <w:rPr>
          <w:rFonts w:ascii="Arial" w:hAnsi="Arial" w:cs="Arial"/>
          <w:b/>
          <w:sz w:val="20"/>
          <w:lang w:val="en-GB"/>
        </w:rPr>
        <w:t>(Panel B)</w:t>
      </w:r>
      <w:r w:rsidR="0031433F" w:rsidRPr="004C43D5">
        <w:rPr>
          <w:rFonts w:ascii="Arial" w:hAnsi="Arial" w:cs="Arial"/>
          <w:sz w:val="20"/>
          <w:lang w:val="en-GB"/>
        </w:rPr>
        <w:t xml:space="preserve"> Mean ± SEM palatable food intake </w:t>
      </w:r>
      <w:r w:rsidR="0037742C" w:rsidRPr="004C43D5">
        <w:rPr>
          <w:rFonts w:ascii="Arial" w:hAnsi="Arial" w:cs="Arial"/>
          <w:sz w:val="20"/>
          <w:lang w:val="en-GB"/>
        </w:rPr>
        <w:t>(kcal kg</w:t>
      </w:r>
      <w:r w:rsidR="0037742C" w:rsidRPr="004C43D5">
        <w:rPr>
          <w:rFonts w:ascii="Arial" w:hAnsi="Arial" w:cs="Arial"/>
          <w:sz w:val="20"/>
          <w:vertAlign w:val="superscript"/>
          <w:lang w:val="en-GB"/>
        </w:rPr>
        <w:t>-1</w:t>
      </w:r>
      <w:r w:rsidR="0037742C" w:rsidRPr="004C43D5">
        <w:rPr>
          <w:rFonts w:ascii="Arial" w:hAnsi="Arial" w:cs="Arial"/>
          <w:sz w:val="20"/>
          <w:lang w:val="en-GB"/>
        </w:rPr>
        <w:t xml:space="preserve">) </w:t>
      </w:r>
      <w:r w:rsidR="0031433F" w:rsidRPr="004C43D5">
        <w:rPr>
          <w:rFonts w:ascii="Arial" w:hAnsi="Arial" w:cs="Arial"/>
          <w:sz w:val="20"/>
          <w:lang w:val="en-GB"/>
        </w:rPr>
        <w:t xml:space="preserve">at different </w:t>
      </w:r>
      <w:r w:rsidR="0037742C" w:rsidRPr="004C43D5">
        <w:rPr>
          <w:rFonts w:ascii="Arial" w:hAnsi="Arial" w:cs="Arial"/>
          <w:sz w:val="20"/>
          <w:lang w:val="en-GB"/>
        </w:rPr>
        <w:t xml:space="preserve">sessions </w:t>
      </w:r>
      <w:r w:rsidR="0031433F" w:rsidRPr="004C43D5">
        <w:rPr>
          <w:rFonts w:ascii="Arial" w:hAnsi="Arial" w:cs="Arial"/>
          <w:sz w:val="20"/>
          <w:lang w:val="en-GB"/>
        </w:rPr>
        <w:t xml:space="preserve">time </w:t>
      </w:r>
      <w:r w:rsidR="0037742C" w:rsidRPr="004C43D5">
        <w:rPr>
          <w:rFonts w:ascii="Arial" w:hAnsi="Arial" w:cs="Arial"/>
          <w:sz w:val="20"/>
        </w:rPr>
        <w:t xml:space="preserve">(0-15, 15-30, 30-60, 60-120 min) </w:t>
      </w:r>
      <w:r w:rsidR="0031433F" w:rsidRPr="004C43D5">
        <w:rPr>
          <w:rFonts w:ascii="Arial" w:hAnsi="Arial" w:cs="Arial"/>
          <w:sz w:val="20"/>
          <w:lang w:val="en-GB"/>
        </w:rPr>
        <w:t xml:space="preserve">during testing (left) and total 120 min </w:t>
      </w:r>
      <w:r w:rsidR="0037742C" w:rsidRPr="004C43D5">
        <w:rPr>
          <w:rFonts w:ascii="Arial" w:hAnsi="Arial" w:cs="Arial"/>
          <w:sz w:val="20"/>
          <w:lang w:val="en-GB"/>
        </w:rPr>
        <w:t xml:space="preserve">palatable </w:t>
      </w:r>
      <w:r w:rsidR="0031433F" w:rsidRPr="004C43D5">
        <w:rPr>
          <w:rFonts w:ascii="Arial" w:hAnsi="Arial" w:cs="Arial"/>
          <w:sz w:val="20"/>
          <w:lang w:val="en-GB"/>
        </w:rPr>
        <w:t xml:space="preserve">food intake (right) in the vehicle-injected rats in EXP.1. </w:t>
      </w:r>
      <w:r w:rsidR="0037742C" w:rsidRPr="004C43D5">
        <w:rPr>
          <w:rFonts w:ascii="Arial" w:hAnsi="Arial" w:cs="Arial"/>
          <w:sz w:val="20"/>
          <w:lang w:val="en-GB"/>
        </w:rPr>
        <w:t>*</w:t>
      </w:r>
      <w:r w:rsidR="005D747F" w:rsidRPr="004C43D5">
        <w:rPr>
          <w:rFonts w:ascii="Arial" w:hAnsi="Arial" w:cs="Arial"/>
          <w:sz w:val="20"/>
          <w:lang w:val="en-GB"/>
        </w:rPr>
        <w:t>**</w:t>
      </w:r>
      <w:r w:rsidR="0037742C" w:rsidRPr="004C43D5">
        <w:rPr>
          <w:rFonts w:ascii="Arial" w:hAnsi="Arial" w:cs="Arial"/>
          <w:sz w:val="20"/>
          <w:lang w:val="en-GB"/>
        </w:rPr>
        <w:t>P</w:t>
      </w:r>
      <w:r w:rsidR="0031433F" w:rsidRPr="004C43D5">
        <w:rPr>
          <w:rFonts w:ascii="Arial" w:hAnsi="Arial" w:cs="Arial"/>
          <w:sz w:val="20"/>
          <w:lang w:val="en-GB"/>
        </w:rPr>
        <w:t xml:space="preserve"> </w:t>
      </w:r>
      <w:r w:rsidR="005D747F" w:rsidRPr="004C43D5">
        <w:rPr>
          <w:rFonts w:ascii="Arial" w:hAnsi="Arial" w:cs="Arial"/>
          <w:sz w:val="20"/>
          <w:lang w:val="en-GB"/>
        </w:rPr>
        <w:t xml:space="preserve">&lt; </w:t>
      </w:r>
      <w:r w:rsidR="0031433F" w:rsidRPr="004C43D5">
        <w:rPr>
          <w:rFonts w:ascii="Arial" w:hAnsi="Arial" w:cs="Arial"/>
          <w:sz w:val="20"/>
          <w:lang w:val="en-GB"/>
        </w:rPr>
        <w:t>0.0</w:t>
      </w:r>
      <w:r w:rsidR="005D747F" w:rsidRPr="004C43D5">
        <w:rPr>
          <w:rFonts w:ascii="Arial" w:hAnsi="Arial" w:cs="Arial"/>
          <w:sz w:val="20"/>
          <w:lang w:val="en-GB"/>
        </w:rPr>
        <w:t>01</w:t>
      </w:r>
      <w:r w:rsidR="0031433F" w:rsidRPr="004C43D5">
        <w:rPr>
          <w:rFonts w:ascii="Arial" w:hAnsi="Arial" w:cs="Arial"/>
          <w:sz w:val="20"/>
          <w:lang w:val="en-GB"/>
        </w:rPr>
        <w:t>, differen</w:t>
      </w:r>
      <w:r w:rsidR="0037742C" w:rsidRPr="004C43D5">
        <w:rPr>
          <w:rFonts w:ascii="Arial" w:hAnsi="Arial" w:cs="Arial"/>
          <w:sz w:val="20"/>
          <w:lang w:val="en-GB"/>
        </w:rPr>
        <w:t xml:space="preserve">t from the other three groups; N = </w:t>
      </w:r>
      <w:r w:rsidR="0031433F" w:rsidRPr="004C43D5">
        <w:rPr>
          <w:rFonts w:ascii="Arial" w:hAnsi="Arial" w:cs="Arial"/>
          <w:sz w:val="20"/>
          <w:lang w:val="en-GB"/>
        </w:rPr>
        <w:t xml:space="preserve">6 </w:t>
      </w:r>
      <w:r w:rsidR="0037742C" w:rsidRPr="004C43D5">
        <w:rPr>
          <w:rFonts w:ascii="Arial" w:hAnsi="Arial" w:cs="Arial"/>
          <w:sz w:val="20"/>
          <w:lang w:val="en-GB"/>
        </w:rPr>
        <w:t xml:space="preserve">- </w:t>
      </w:r>
      <w:r w:rsidR="0031433F" w:rsidRPr="004C43D5">
        <w:rPr>
          <w:rFonts w:ascii="Arial" w:hAnsi="Arial" w:cs="Arial"/>
          <w:sz w:val="20"/>
          <w:lang w:val="en-GB"/>
        </w:rPr>
        <w:t>8 per group.</w:t>
      </w:r>
    </w:p>
    <w:p w14:paraId="3C9B4A12" w14:textId="77777777" w:rsidR="0031433F" w:rsidRPr="004C43D5" w:rsidRDefault="0031433F" w:rsidP="00406F36">
      <w:pPr>
        <w:spacing w:before="240" w:line="360" w:lineRule="auto"/>
        <w:jc w:val="both"/>
        <w:rPr>
          <w:rFonts w:ascii="Arial" w:hAnsi="Arial" w:cs="Arial"/>
          <w:sz w:val="20"/>
          <w:lang w:val="en-GB"/>
        </w:rPr>
      </w:pPr>
    </w:p>
    <w:p w14:paraId="2C756B28" w14:textId="77777777" w:rsidR="0031433F" w:rsidRPr="004C43D5" w:rsidRDefault="0031433F" w:rsidP="00406F36">
      <w:pPr>
        <w:spacing w:before="240" w:line="360" w:lineRule="auto"/>
        <w:jc w:val="both"/>
        <w:rPr>
          <w:rFonts w:ascii="Arial" w:hAnsi="Arial" w:cs="Arial"/>
          <w:sz w:val="20"/>
          <w:lang w:val="en-GB"/>
        </w:rPr>
      </w:pPr>
    </w:p>
    <w:tbl>
      <w:tblPr>
        <w:tblW w:w="8000" w:type="dxa"/>
        <w:tblCellMar>
          <w:left w:w="70" w:type="dxa"/>
          <w:right w:w="70" w:type="dxa"/>
        </w:tblCellMar>
        <w:tblLook w:val="04A0" w:firstRow="1" w:lastRow="0" w:firstColumn="1" w:lastColumn="0" w:noHBand="0" w:noVBand="1"/>
      </w:tblPr>
      <w:tblGrid>
        <w:gridCol w:w="980"/>
        <w:gridCol w:w="2020"/>
        <w:gridCol w:w="2020"/>
        <w:gridCol w:w="2020"/>
        <w:gridCol w:w="960"/>
      </w:tblGrid>
      <w:tr w:rsidR="004C43D5" w:rsidRPr="004C43D5" w14:paraId="5A801EAB" w14:textId="77777777" w:rsidTr="0043754C">
        <w:trPr>
          <w:trHeight w:val="480"/>
        </w:trPr>
        <w:tc>
          <w:tcPr>
            <w:tcW w:w="8000" w:type="dxa"/>
            <w:gridSpan w:val="5"/>
            <w:tcBorders>
              <w:left w:val="nil"/>
              <w:bottom w:val="single" w:sz="4" w:space="0" w:color="auto"/>
              <w:right w:val="nil"/>
            </w:tcBorders>
            <w:shd w:val="clear" w:color="000000" w:fill="FFFFFF"/>
            <w:noWrap/>
            <w:vAlign w:val="center"/>
          </w:tcPr>
          <w:p w14:paraId="23384606" w14:textId="77777777" w:rsidR="00766EBB" w:rsidRPr="004C43D5" w:rsidRDefault="00766EBB" w:rsidP="0043754C">
            <w:pPr>
              <w:jc w:val="both"/>
              <w:rPr>
                <w:rFonts w:ascii="Arial" w:hAnsi="Arial" w:cs="Arial"/>
                <w:b/>
                <w:bCs/>
                <w:sz w:val="20"/>
                <w:lang w:eastAsia="it-IT"/>
              </w:rPr>
            </w:pPr>
            <w:r w:rsidRPr="004C43D5">
              <w:rPr>
                <w:rFonts w:ascii="Arial" w:hAnsi="Arial" w:cs="Arial"/>
                <w:b/>
                <w:bCs/>
                <w:sz w:val="20"/>
                <w:lang w:eastAsia="it-IT"/>
              </w:rPr>
              <w:lastRenderedPageBreak/>
              <w:t xml:space="preserve">Table S1 </w:t>
            </w:r>
          </w:p>
          <w:p w14:paraId="40E323D4" w14:textId="77777777" w:rsidR="00766EBB" w:rsidRPr="004C43D5" w:rsidRDefault="00766EBB" w:rsidP="0043754C">
            <w:pPr>
              <w:jc w:val="both"/>
              <w:rPr>
                <w:rFonts w:ascii="Arial" w:hAnsi="Arial" w:cs="Arial"/>
                <w:b/>
                <w:bCs/>
                <w:sz w:val="20"/>
                <w:lang w:eastAsia="it-IT"/>
              </w:rPr>
            </w:pPr>
            <w:r w:rsidRPr="004C43D5">
              <w:rPr>
                <w:rFonts w:ascii="Arial" w:hAnsi="Arial" w:cs="Arial"/>
                <w:b/>
                <w:bCs/>
                <w:sz w:val="20"/>
                <w:lang w:eastAsia="it-IT"/>
              </w:rPr>
              <w:t>Results of the two-way ANOVA analyses of c-Fos expression</w:t>
            </w:r>
          </w:p>
          <w:p w14:paraId="64E25913" w14:textId="77777777" w:rsidR="00766EBB" w:rsidRPr="004C43D5" w:rsidRDefault="00766EBB" w:rsidP="0043754C">
            <w:pPr>
              <w:jc w:val="both"/>
              <w:rPr>
                <w:rFonts w:ascii="Arial" w:hAnsi="Arial" w:cs="Arial"/>
                <w:b/>
                <w:bCs/>
                <w:sz w:val="16"/>
                <w:szCs w:val="16"/>
                <w:lang w:eastAsia="it-IT"/>
              </w:rPr>
            </w:pPr>
          </w:p>
        </w:tc>
      </w:tr>
      <w:tr w:rsidR="004C43D5" w:rsidRPr="004C43D5" w14:paraId="49F14412" w14:textId="77777777" w:rsidTr="0043754C">
        <w:trPr>
          <w:trHeight w:val="480"/>
        </w:trPr>
        <w:tc>
          <w:tcPr>
            <w:tcW w:w="980" w:type="dxa"/>
            <w:tcBorders>
              <w:top w:val="single" w:sz="4" w:space="0" w:color="auto"/>
              <w:left w:val="nil"/>
              <w:bottom w:val="single" w:sz="4" w:space="0" w:color="auto"/>
              <w:right w:val="nil"/>
            </w:tcBorders>
            <w:shd w:val="clear" w:color="000000" w:fill="FFFFFF"/>
            <w:noWrap/>
            <w:vAlign w:val="center"/>
            <w:hideMark/>
          </w:tcPr>
          <w:p w14:paraId="00256E20" w14:textId="77777777" w:rsidR="00766EBB" w:rsidRPr="004C43D5" w:rsidRDefault="00766EBB" w:rsidP="0043754C">
            <w:pPr>
              <w:rPr>
                <w:rFonts w:ascii="Arial" w:hAnsi="Arial" w:cs="Arial"/>
                <w:sz w:val="20"/>
                <w:lang w:eastAsia="it-IT"/>
              </w:rPr>
            </w:pPr>
            <w:r w:rsidRPr="004C43D5">
              <w:rPr>
                <w:rFonts w:ascii="Arial" w:hAnsi="Arial" w:cs="Arial"/>
                <w:sz w:val="20"/>
                <w:lang w:eastAsia="it-IT"/>
              </w:rPr>
              <w:t> </w:t>
            </w:r>
          </w:p>
        </w:tc>
        <w:tc>
          <w:tcPr>
            <w:tcW w:w="2020" w:type="dxa"/>
            <w:tcBorders>
              <w:top w:val="single" w:sz="4" w:space="0" w:color="auto"/>
              <w:left w:val="nil"/>
              <w:bottom w:val="single" w:sz="4" w:space="0" w:color="auto"/>
              <w:right w:val="nil"/>
            </w:tcBorders>
            <w:shd w:val="clear" w:color="000000" w:fill="FFFFFF"/>
            <w:noWrap/>
            <w:vAlign w:val="center"/>
            <w:hideMark/>
          </w:tcPr>
          <w:p w14:paraId="36FE7999" w14:textId="77777777" w:rsidR="00766EBB" w:rsidRPr="004C43D5" w:rsidRDefault="00766EBB" w:rsidP="0043754C">
            <w:pPr>
              <w:jc w:val="center"/>
              <w:rPr>
                <w:rFonts w:ascii="Arial" w:hAnsi="Arial" w:cs="Arial"/>
                <w:b/>
                <w:bCs/>
                <w:sz w:val="20"/>
                <w:lang w:eastAsia="it-IT"/>
              </w:rPr>
            </w:pPr>
            <w:r w:rsidRPr="004C43D5">
              <w:rPr>
                <w:rFonts w:ascii="Arial" w:hAnsi="Arial" w:cs="Arial"/>
                <w:b/>
                <w:bCs/>
                <w:sz w:val="20"/>
                <w:lang w:eastAsia="it-IT"/>
              </w:rPr>
              <w:t xml:space="preserve">F </w:t>
            </w:r>
            <w:r w:rsidRPr="004C43D5">
              <w:rPr>
                <w:rFonts w:ascii="Arial" w:hAnsi="Arial" w:cs="Arial"/>
                <w:b/>
                <w:bCs/>
                <w:sz w:val="20"/>
                <w:vertAlign w:val="subscript"/>
                <w:lang w:eastAsia="it-IT"/>
              </w:rPr>
              <w:t>diet regimen</w:t>
            </w:r>
          </w:p>
        </w:tc>
        <w:tc>
          <w:tcPr>
            <w:tcW w:w="2020" w:type="dxa"/>
            <w:tcBorders>
              <w:top w:val="single" w:sz="4" w:space="0" w:color="auto"/>
              <w:left w:val="nil"/>
              <w:bottom w:val="single" w:sz="4" w:space="0" w:color="auto"/>
              <w:right w:val="nil"/>
            </w:tcBorders>
            <w:shd w:val="clear" w:color="000000" w:fill="FFFFFF"/>
            <w:noWrap/>
            <w:vAlign w:val="center"/>
            <w:hideMark/>
          </w:tcPr>
          <w:p w14:paraId="5B8BB05C" w14:textId="77777777" w:rsidR="00766EBB" w:rsidRPr="004C43D5" w:rsidRDefault="00766EBB" w:rsidP="0043754C">
            <w:pPr>
              <w:jc w:val="center"/>
              <w:rPr>
                <w:rFonts w:ascii="Arial" w:hAnsi="Arial" w:cs="Arial"/>
                <w:b/>
                <w:bCs/>
                <w:sz w:val="20"/>
                <w:lang w:eastAsia="it-IT"/>
              </w:rPr>
            </w:pPr>
            <w:r w:rsidRPr="004C43D5">
              <w:rPr>
                <w:rFonts w:ascii="Arial" w:hAnsi="Arial" w:cs="Arial"/>
                <w:b/>
                <w:bCs/>
                <w:sz w:val="20"/>
                <w:lang w:eastAsia="it-IT"/>
              </w:rPr>
              <w:t xml:space="preserve">F </w:t>
            </w:r>
            <w:r w:rsidRPr="004C43D5">
              <w:rPr>
                <w:rFonts w:ascii="Arial" w:hAnsi="Arial" w:cs="Arial"/>
                <w:b/>
                <w:bCs/>
                <w:sz w:val="20"/>
                <w:vertAlign w:val="subscript"/>
                <w:lang w:eastAsia="it-IT"/>
              </w:rPr>
              <w:t>treatment</w:t>
            </w:r>
          </w:p>
        </w:tc>
        <w:tc>
          <w:tcPr>
            <w:tcW w:w="2020" w:type="dxa"/>
            <w:tcBorders>
              <w:top w:val="single" w:sz="4" w:space="0" w:color="auto"/>
              <w:left w:val="nil"/>
              <w:bottom w:val="single" w:sz="4" w:space="0" w:color="auto"/>
              <w:right w:val="nil"/>
            </w:tcBorders>
            <w:shd w:val="clear" w:color="000000" w:fill="FFFFFF"/>
            <w:noWrap/>
            <w:vAlign w:val="center"/>
            <w:hideMark/>
          </w:tcPr>
          <w:p w14:paraId="18F9901E" w14:textId="77777777" w:rsidR="00766EBB" w:rsidRPr="004C43D5" w:rsidRDefault="00766EBB" w:rsidP="0043754C">
            <w:pPr>
              <w:jc w:val="center"/>
              <w:rPr>
                <w:rFonts w:ascii="Arial" w:hAnsi="Arial" w:cs="Arial"/>
                <w:b/>
                <w:bCs/>
                <w:sz w:val="20"/>
                <w:lang w:eastAsia="it-IT"/>
              </w:rPr>
            </w:pPr>
            <w:r w:rsidRPr="004C43D5">
              <w:rPr>
                <w:rFonts w:ascii="Arial" w:hAnsi="Arial" w:cs="Arial"/>
                <w:b/>
                <w:bCs/>
                <w:sz w:val="20"/>
                <w:lang w:eastAsia="it-IT"/>
              </w:rPr>
              <w:t xml:space="preserve">F </w:t>
            </w:r>
            <w:r w:rsidRPr="004C43D5">
              <w:rPr>
                <w:rFonts w:ascii="Arial" w:hAnsi="Arial" w:cs="Arial"/>
                <w:b/>
                <w:bCs/>
                <w:sz w:val="20"/>
                <w:vertAlign w:val="subscript"/>
                <w:lang w:eastAsia="it-IT"/>
              </w:rPr>
              <w:t>interaction</w:t>
            </w:r>
          </w:p>
        </w:tc>
        <w:tc>
          <w:tcPr>
            <w:tcW w:w="960" w:type="dxa"/>
            <w:tcBorders>
              <w:top w:val="single" w:sz="4" w:space="0" w:color="auto"/>
              <w:left w:val="nil"/>
              <w:bottom w:val="single" w:sz="4" w:space="0" w:color="auto"/>
              <w:right w:val="nil"/>
            </w:tcBorders>
            <w:shd w:val="clear" w:color="000000" w:fill="FFFFFF"/>
            <w:noWrap/>
            <w:vAlign w:val="center"/>
            <w:hideMark/>
          </w:tcPr>
          <w:p w14:paraId="391A8872" w14:textId="77777777" w:rsidR="00766EBB" w:rsidRPr="004C43D5" w:rsidRDefault="00766EBB" w:rsidP="0043754C">
            <w:pPr>
              <w:jc w:val="center"/>
              <w:rPr>
                <w:rFonts w:ascii="Arial" w:hAnsi="Arial" w:cs="Arial"/>
                <w:b/>
                <w:bCs/>
                <w:sz w:val="20"/>
                <w:lang w:eastAsia="it-IT"/>
              </w:rPr>
            </w:pPr>
            <w:r w:rsidRPr="004C43D5">
              <w:rPr>
                <w:rFonts w:ascii="Arial" w:hAnsi="Arial" w:cs="Arial"/>
                <w:b/>
                <w:bCs/>
                <w:sz w:val="20"/>
                <w:lang w:eastAsia="it-IT"/>
              </w:rPr>
              <w:t>df</w:t>
            </w:r>
          </w:p>
        </w:tc>
      </w:tr>
      <w:tr w:rsidR="004C43D5" w:rsidRPr="004C43D5" w14:paraId="075115ED" w14:textId="77777777" w:rsidTr="0043754C">
        <w:trPr>
          <w:trHeight w:val="480"/>
        </w:trPr>
        <w:tc>
          <w:tcPr>
            <w:tcW w:w="980" w:type="dxa"/>
            <w:tcBorders>
              <w:top w:val="nil"/>
              <w:left w:val="nil"/>
              <w:bottom w:val="nil"/>
              <w:right w:val="nil"/>
            </w:tcBorders>
            <w:shd w:val="clear" w:color="000000" w:fill="FFFFFF"/>
            <w:noWrap/>
            <w:vAlign w:val="bottom"/>
            <w:hideMark/>
          </w:tcPr>
          <w:p w14:paraId="47CD4B64" w14:textId="77777777" w:rsidR="00766EBB" w:rsidRPr="004C43D5" w:rsidRDefault="00766EBB" w:rsidP="0043754C">
            <w:pPr>
              <w:rPr>
                <w:rFonts w:ascii="Arial" w:hAnsi="Arial" w:cs="Arial"/>
                <w:b/>
                <w:bCs/>
                <w:sz w:val="20"/>
                <w:lang w:eastAsia="it-IT"/>
              </w:rPr>
            </w:pPr>
            <w:r w:rsidRPr="004C43D5">
              <w:rPr>
                <w:rFonts w:ascii="Arial" w:hAnsi="Arial" w:cs="Arial"/>
                <w:b/>
                <w:bCs/>
                <w:sz w:val="20"/>
                <w:lang w:eastAsia="it-IT"/>
              </w:rPr>
              <w:t>VP</w:t>
            </w:r>
          </w:p>
        </w:tc>
        <w:tc>
          <w:tcPr>
            <w:tcW w:w="2020" w:type="dxa"/>
            <w:tcBorders>
              <w:top w:val="nil"/>
              <w:left w:val="nil"/>
              <w:bottom w:val="nil"/>
              <w:right w:val="nil"/>
            </w:tcBorders>
            <w:shd w:val="clear" w:color="000000" w:fill="FFFFFF"/>
            <w:noWrap/>
            <w:vAlign w:val="bottom"/>
            <w:hideMark/>
          </w:tcPr>
          <w:p w14:paraId="29D227E7"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1.84 (P = 0.202)</w:t>
            </w:r>
          </w:p>
        </w:tc>
        <w:tc>
          <w:tcPr>
            <w:tcW w:w="2020" w:type="dxa"/>
            <w:tcBorders>
              <w:top w:val="nil"/>
              <w:left w:val="nil"/>
              <w:bottom w:val="nil"/>
              <w:right w:val="nil"/>
            </w:tcBorders>
            <w:shd w:val="clear" w:color="000000" w:fill="FFFFFF"/>
            <w:noWrap/>
            <w:vAlign w:val="bottom"/>
            <w:hideMark/>
          </w:tcPr>
          <w:p w14:paraId="7E5183F5"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0.124 (P = 0.73)</w:t>
            </w:r>
          </w:p>
        </w:tc>
        <w:tc>
          <w:tcPr>
            <w:tcW w:w="2020" w:type="dxa"/>
            <w:tcBorders>
              <w:top w:val="nil"/>
              <w:left w:val="nil"/>
              <w:bottom w:val="nil"/>
              <w:right w:val="nil"/>
            </w:tcBorders>
            <w:shd w:val="clear" w:color="000000" w:fill="FFFFFF"/>
            <w:noWrap/>
            <w:vAlign w:val="bottom"/>
            <w:hideMark/>
          </w:tcPr>
          <w:p w14:paraId="1840534E"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0.094 (P = 0.76)</w:t>
            </w:r>
          </w:p>
        </w:tc>
        <w:tc>
          <w:tcPr>
            <w:tcW w:w="960" w:type="dxa"/>
            <w:tcBorders>
              <w:top w:val="nil"/>
              <w:left w:val="nil"/>
              <w:bottom w:val="nil"/>
              <w:right w:val="nil"/>
            </w:tcBorders>
            <w:shd w:val="clear" w:color="000000" w:fill="FFFFFF"/>
            <w:noWrap/>
            <w:vAlign w:val="bottom"/>
            <w:hideMark/>
          </w:tcPr>
          <w:p w14:paraId="76C89034"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1/11</w:t>
            </w:r>
          </w:p>
        </w:tc>
      </w:tr>
      <w:tr w:rsidR="004C43D5" w:rsidRPr="004C43D5" w14:paraId="4EB552A2" w14:textId="77777777" w:rsidTr="0043754C">
        <w:trPr>
          <w:trHeight w:val="480"/>
        </w:trPr>
        <w:tc>
          <w:tcPr>
            <w:tcW w:w="980" w:type="dxa"/>
            <w:tcBorders>
              <w:top w:val="nil"/>
              <w:left w:val="nil"/>
              <w:bottom w:val="nil"/>
              <w:right w:val="nil"/>
            </w:tcBorders>
            <w:shd w:val="clear" w:color="000000" w:fill="FFFFFF"/>
            <w:noWrap/>
            <w:vAlign w:val="bottom"/>
            <w:hideMark/>
          </w:tcPr>
          <w:p w14:paraId="4CC2E277" w14:textId="77777777" w:rsidR="00766EBB" w:rsidRPr="004C43D5" w:rsidRDefault="00766EBB" w:rsidP="0043754C">
            <w:pPr>
              <w:rPr>
                <w:rFonts w:ascii="Arial" w:hAnsi="Arial" w:cs="Arial"/>
                <w:b/>
                <w:bCs/>
                <w:sz w:val="20"/>
                <w:lang w:eastAsia="it-IT"/>
              </w:rPr>
            </w:pPr>
            <w:r w:rsidRPr="004C43D5">
              <w:rPr>
                <w:rFonts w:ascii="Arial" w:hAnsi="Arial" w:cs="Arial"/>
                <w:b/>
                <w:bCs/>
                <w:sz w:val="20"/>
                <w:lang w:eastAsia="it-IT"/>
              </w:rPr>
              <w:t>Acb</w:t>
            </w:r>
          </w:p>
        </w:tc>
        <w:tc>
          <w:tcPr>
            <w:tcW w:w="2020" w:type="dxa"/>
            <w:tcBorders>
              <w:top w:val="nil"/>
              <w:left w:val="nil"/>
              <w:bottom w:val="nil"/>
              <w:right w:val="nil"/>
            </w:tcBorders>
            <w:shd w:val="clear" w:color="000000" w:fill="FFFFFF"/>
            <w:noWrap/>
            <w:vAlign w:val="bottom"/>
            <w:hideMark/>
          </w:tcPr>
          <w:p w14:paraId="6B76C000"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3.291 (P = 0.097)</w:t>
            </w:r>
          </w:p>
        </w:tc>
        <w:tc>
          <w:tcPr>
            <w:tcW w:w="2020" w:type="dxa"/>
            <w:tcBorders>
              <w:top w:val="nil"/>
              <w:left w:val="nil"/>
              <w:bottom w:val="nil"/>
              <w:right w:val="nil"/>
            </w:tcBorders>
            <w:shd w:val="clear" w:color="000000" w:fill="FFFFFF"/>
            <w:noWrap/>
            <w:vAlign w:val="bottom"/>
            <w:hideMark/>
          </w:tcPr>
          <w:p w14:paraId="45B0B8DC"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13.462 (</w:t>
            </w:r>
            <w:r w:rsidRPr="004C43D5">
              <w:rPr>
                <w:rFonts w:ascii="Arial" w:hAnsi="Arial" w:cs="Arial"/>
                <w:b/>
                <w:sz w:val="20"/>
                <w:lang w:eastAsia="it-IT"/>
              </w:rPr>
              <w:t>P &lt; 0.01</w:t>
            </w:r>
            <w:r w:rsidRPr="004C43D5">
              <w:rPr>
                <w:rFonts w:ascii="Arial" w:hAnsi="Arial" w:cs="Arial"/>
                <w:sz w:val="20"/>
                <w:lang w:eastAsia="it-IT"/>
              </w:rPr>
              <w:t>)</w:t>
            </w:r>
          </w:p>
        </w:tc>
        <w:tc>
          <w:tcPr>
            <w:tcW w:w="2020" w:type="dxa"/>
            <w:tcBorders>
              <w:top w:val="nil"/>
              <w:left w:val="nil"/>
              <w:bottom w:val="nil"/>
              <w:right w:val="nil"/>
            </w:tcBorders>
            <w:shd w:val="clear" w:color="000000" w:fill="FFFFFF"/>
            <w:noWrap/>
            <w:vAlign w:val="bottom"/>
            <w:hideMark/>
          </w:tcPr>
          <w:p w14:paraId="27B0A950"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14.821 (</w:t>
            </w:r>
            <w:r w:rsidRPr="004C43D5">
              <w:rPr>
                <w:rFonts w:ascii="Arial" w:hAnsi="Arial" w:cs="Arial"/>
                <w:b/>
                <w:sz w:val="20"/>
                <w:lang w:eastAsia="it-IT"/>
              </w:rPr>
              <w:t>P &lt; 0.01</w:t>
            </w:r>
            <w:r w:rsidRPr="004C43D5">
              <w:rPr>
                <w:rFonts w:ascii="Arial" w:hAnsi="Arial" w:cs="Arial"/>
                <w:sz w:val="20"/>
                <w:lang w:eastAsia="it-IT"/>
              </w:rPr>
              <w:t>)</w:t>
            </w:r>
          </w:p>
        </w:tc>
        <w:tc>
          <w:tcPr>
            <w:tcW w:w="960" w:type="dxa"/>
            <w:tcBorders>
              <w:top w:val="nil"/>
              <w:left w:val="nil"/>
              <w:bottom w:val="nil"/>
              <w:right w:val="nil"/>
            </w:tcBorders>
            <w:shd w:val="clear" w:color="000000" w:fill="FFFFFF"/>
            <w:noWrap/>
            <w:vAlign w:val="bottom"/>
            <w:hideMark/>
          </w:tcPr>
          <w:p w14:paraId="3F5C304A"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1/11</w:t>
            </w:r>
          </w:p>
        </w:tc>
      </w:tr>
      <w:tr w:rsidR="004C43D5" w:rsidRPr="004C43D5" w14:paraId="02FFAD47" w14:textId="77777777" w:rsidTr="0043754C">
        <w:trPr>
          <w:trHeight w:val="480"/>
        </w:trPr>
        <w:tc>
          <w:tcPr>
            <w:tcW w:w="980" w:type="dxa"/>
            <w:tcBorders>
              <w:top w:val="nil"/>
              <w:left w:val="nil"/>
              <w:bottom w:val="nil"/>
              <w:right w:val="nil"/>
            </w:tcBorders>
            <w:shd w:val="clear" w:color="000000" w:fill="FFFFFF"/>
            <w:noWrap/>
            <w:vAlign w:val="bottom"/>
            <w:hideMark/>
          </w:tcPr>
          <w:p w14:paraId="1D300332" w14:textId="77777777" w:rsidR="00766EBB" w:rsidRPr="004C43D5" w:rsidRDefault="00766EBB" w:rsidP="0043754C">
            <w:pPr>
              <w:rPr>
                <w:rFonts w:ascii="Arial" w:hAnsi="Arial" w:cs="Arial"/>
                <w:b/>
                <w:bCs/>
                <w:sz w:val="20"/>
                <w:lang w:eastAsia="it-IT"/>
              </w:rPr>
            </w:pPr>
            <w:r w:rsidRPr="004C43D5">
              <w:rPr>
                <w:rFonts w:ascii="Arial" w:hAnsi="Arial" w:cs="Arial"/>
                <w:b/>
                <w:bCs/>
                <w:sz w:val="20"/>
                <w:lang w:eastAsia="it-IT"/>
              </w:rPr>
              <w:t>CPu</w:t>
            </w:r>
          </w:p>
        </w:tc>
        <w:tc>
          <w:tcPr>
            <w:tcW w:w="2020" w:type="dxa"/>
            <w:tcBorders>
              <w:top w:val="nil"/>
              <w:left w:val="nil"/>
              <w:bottom w:val="nil"/>
              <w:right w:val="nil"/>
            </w:tcBorders>
            <w:shd w:val="clear" w:color="000000" w:fill="FFFFFF"/>
            <w:noWrap/>
            <w:vAlign w:val="bottom"/>
            <w:hideMark/>
          </w:tcPr>
          <w:p w14:paraId="55F74FAF"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0.005 (P = 0.945)</w:t>
            </w:r>
          </w:p>
        </w:tc>
        <w:tc>
          <w:tcPr>
            <w:tcW w:w="2020" w:type="dxa"/>
            <w:tcBorders>
              <w:top w:val="nil"/>
              <w:left w:val="nil"/>
              <w:bottom w:val="nil"/>
              <w:right w:val="nil"/>
            </w:tcBorders>
            <w:shd w:val="clear" w:color="000000" w:fill="FFFFFF"/>
            <w:noWrap/>
            <w:vAlign w:val="bottom"/>
            <w:hideMark/>
          </w:tcPr>
          <w:p w14:paraId="0BB8C119"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1.538 (P = 0.241)</w:t>
            </w:r>
          </w:p>
        </w:tc>
        <w:tc>
          <w:tcPr>
            <w:tcW w:w="2020" w:type="dxa"/>
            <w:tcBorders>
              <w:top w:val="nil"/>
              <w:left w:val="nil"/>
              <w:bottom w:val="nil"/>
              <w:right w:val="nil"/>
            </w:tcBorders>
            <w:shd w:val="clear" w:color="000000" w:fill="FFFFFF"/>
            <w:noWrap/>
            <w:vAlign w:val="bottom"/>
            <w:hideMark/>
          </w:tcPr>
          <w:p w14:paraId="49D48B5D"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16.172 (</w:t>
            </w:r>
            <w:r w:rsidRPr="004C43D5">
              <w:rPr>
                <w:rFonts w:ascii="Arial" w:hAnsi="Arial" w:cs="Arial"/>
                <w:b/>
                <w:sz w:val="20"/>
                <w:lang w:eastAsia="it-IT"/>
              </w:rPr>
              <w:t>P &lt; 0.01</w:t>
            </w:r>
            <w:r w:rsidRPr="004C43D5">
              <w:rPr>
                <w:rFonts w:ascii="Arial" w:hAnsi="Arial" w:cs="Arial"/>
                <w:sz w:val="20"/>
                <w:lang w:eastAsia="it-IT"/>
              </w:rPr>
              <w:t>)</w:t>
            </w:r>
          </w:p>
        </w:tc>
        <w:tc>
          <w:tcPr>
            <w:tcW w:w="960" w:type="dxa"/>
            <w:tcBorders>
              <w:top w:val="nil"/>
              <w:left w:val="nil"/>
              <w:bottom w:val="nil"/>
              <w:right w:val="nil"/>
            </w:tcBorders>
            <w:shd w:val="clear" w:color="000000" w:fill="FFFFFF"/>
            <w:noWrap/>
            <w:vAlign w:val="bottom"/>
            <w:hideMark/>
          </w:tcPr>
          <w:p w14:paraId="79F339DC"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1/11</w:t>
            </w:r>
          </w:p>
        </w:tc>
      </w:tr>
      <w:tr w:rsidR="004C43D5" w:rsidRPr="004C43D5" w14:paraId="5828E1D6" w14:textId="77777777" w:rsidTr="0043754C">
        <w:trPr>
          <w:trHeight w:val="480"/>
        </w:trPr>
        <w:tc>
          <w:tcPr>
            <w:tcW w:w="980" w:type="dxa"/>
            <w:tcBorders>
              <w:top w:val="nil"/>
              <w:left w:val="nil"/>
              <w:bottom w:val="nil"/>
              <w:right w:val="nil"/>
            </w:tcBorders>
            <w:shd w:val="clear" w:color="000000" w:fill="FFFFFF"/>
            <w:noWrap/>
            <w:vAlign w:val="bottom"/>
            <w:hideMark/>
          </w:tcPr>
          <w:p w14:paraId="25A7361D" w14:textId="77777777" w:rsidR="00766EBB" w:rsidRPr="004C43D5" w:rsidRDefault="00766EBB" w:rsidP="0043754C">
            <w:pPr>
              <w:rPr>
                <w:rFonts w:ascii="Arial" w:hAnsi="Arial" w:cs="Arial"/>
                <w:b/>
                <w:bCs/>
                <w:sz w:val="20"/>
                <w:lang w:eastAsia="it-IT"/>
              </w:rPr>
            </w:pPr>
            <w:r w:rsidRPr="004C43D5">
              <w:rPr>
                <w:rFonts w:ascii="Arial" w:hAnsi="Arial" w:cs="Arial"/>
                <w:b/>
                <w:bCs/>
                <w:sz w:val="20"/>
                <w:lang w:eastAsia="it-IT"/>
              </w:rPr>
              <w:t>PVN</w:t>
            </w:r>
          </w:p>
        </w:tc>
        <w:tc>
          <w:tcPr>
            <w:tcW w:w="2020" w:type="dxa"/>
            <w:tcBorders>
              <w:top w:val="nil"/>
              <w:left w:val="nil"/>
              <w:bottom w:val="nil"/>
              <w:right w:val="nil"/>
            </w:tcBorders>
            <w:shd w:val="clear" w:color="000000" w:fill="FFFFFF"/>
            <w:noWrap/>
            <w:vAlign w:val="bottom"/>
            <w:hideMark/>
          </w:tcPr>
          <w:p w14:paraId="1AD3CEA8"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2.281 (P = 0.159)</w:t>
            </w:r>
          </w:p>
        </w:tc>
        <w:tc>
          <w:tcPr>
            <w:tcW w:w="2020" w:type="dxa"/>
            <w:tcBorders>
              <w:top w:val="nil"/>
              <w:left w:val="nil"/>
              <w:bottom w:val="nil"/>
              <w:right w:val="nil"/>
            </w:tcBorders>
            <w:shd w:val="clear" w:color="000000" w:fill="FFFFFF"/>
            <w:noWrap/>
            <w:vAlign w:val="bottom"/>
            <w:hideMark/>
          </w:tcPr>
          <w:p w14:paraId="4AABBE86"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7.668 (</w:t>
            </w:r>
            <w:r w:rsidRPr="004C43D5">
              <w:rPr>
                <w:rFonts w:ascii="Arial" w:hAnsi="Arial" w:cs="Arial"/>
                <w:b/>
                <w:sz w:val="20"/>
                <w:lang w:eastAsia="it-IT"/>
              </w:rPr>
              <w:t>P &lt; 0.05</w:t>
            </w:r>
            <w:r w:rsidRPr="004C43D5">
              <w:rPr>
                <w:rFonts w:ascii="Arial" w:hAnsi="Arial" w:cs="Arial"/>
                <w:sz w:val="20"/>
                <w:lang w:eastAsia="it-IT"/>
              </w:rPr>
              <w:t>)</w:t>
            </w:r>
          </w:p>
        </w:tc>
        <w:tc>
          <w:tcPr>
            <w:tcW w:w="2020" w:type="dxa"/>
            <w:tcBorders>
              <w:top w:val="nil"/>
              <w:left w:val="nil"/>
              <w:bottom w:val="nil"/>
              <w:right w:val="nil"/>
            </w:tcBorders>
            <w:shd w:val="clear" w:color="000000" w:fill="FFFFFF"/>
            <w:noWrap/>
            <w:vAlign w:val="bottom"/>
            <w:hideMark/>
          </w:tcPr>
          <w:p w14:paraId="39B8FD10"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0.721 (P = 0.414)</w:t>
            </w:r>
          </w:p>
        </w:tc>
        <w:tc>
          <w:tcPr>
            <w:tcW w:w="960" w:type="dxa"/>
            <w:tcBorders>
              <w:top w:val="nil"/>
              <w:left w:val="nil"/>
              <w:bottom w:val="nil"/>
              <w:right w:val="nil"/>
            </w:tcBorders>
            <w:shd w:val="clear" w:color="000000" w:fill="FFFFFF"/>
            <w:noWrap/>
            <w:vAlign w:val="bottom"/>
            <w:hideMark/>
          </w:tcPr>
          <w:p w14:paraId="08D11540"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1/11</w:t>
            </w:r>
          </w:p>
        </w:tc>
      </w:tr>
      <w:tr w:rsidR="004C43D5" w:rsidRPr="004C43D5" w14:paraId="40481906" w14:textId="77777777" w:rsidTr="0043754C">
        <w:trPr>
          <w:trHeight w:val="480"/>
        </w:trPr>
        <w:tc>
          <w:tcPr>
            <w:tcW w:w="980" w:type="dxa"/>
            <w:tcBorders>
              <w:top w:val="nil"/>
              <w:left w:val="nil"/>
              <w:bottom w:val="nil"/>
              <w:right w:val="nil"/>
            </w:tcBorders>
            <w:shd w:val="clear" w:color="000000" w:fill="FFFFFF"/>
            <w:noWrap/>
            <w:vAlign w:val="bottom"/>
            <w:hideMark/>
          </w:tcPr>
          <w:p w14:paraId="336CA150" w14:textId="77777777" w:rsidR="00766EBB" w:rsidRPr="004C43D5" w:rsidRDefault="00766EBB" w:rsidP="0043754C">
            <w:pPr>
              <w:rPr>
                <w:rFonts w:ascii="Arial" w:hAnsi="Arial" w:cs="Arial"/>
                <w:b/>
                <w:bCs/>
                <w:sz w:val="20"/>
                <w:lang w:eastAsia="it-IT"/>
              </w:rPr>
            </w:pPr>
            <w:r w:rsidRPr="004C43D5">
              <w:rPr>
                <w:rFonts w:ascii="Arial" w:hAnsi="Arial" w:cs="Arial"/>
                <w:b/>
                <w:bCs/>
                <w:sz w:val="20"/>
                <w:lang w:eastAsia="it-IT"/>
              </w:rPr>
              <w:t>AMY</w:t>
            </w:r>
          </w:p>
        </w:tc>
        <w:tc>
          <w:tcPr>
            <w:tcW w:w="2020" w:type="dxa"/>
            <w:tcBorders>
              <w:top w:val="nil"/>
              <w:left w:val="nil"/>
              <w:bottom w:val="nil"/>
              <w:right w:val="nil"/>
            </w:tcBorders>
            <w:shd w:val="clear" w:color="000000" w:fill="FFFFFF"/>
            <w:noWrap/>
            <w:vAlign w:val="bottom"/>
            <w:hideMark/>
          </w:tcPr>
          <w:p w14:paraId="69755A58"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14.812 (</w:t>
            </w:r>
            <w:r w:rsidRPr="004C43D5">
              <w:rPr>
                <w:rFonts w:ascii="Arial" w:hAnsi="Arial" w:cs="Arial"/>
                <w:b/>
                <w:sz w:val="20"/>
                <w:lang w:eastAsia="it-IT"/>
              </w:rPr>
              <w:t>P &lt; 0.01</w:t>
            </w:r>
            <w:r w:rsidRPr="004C43D5">
              <w:rPr>
                <w:rFonts w:ascii="Arial" w:hAnsi="Arial" w:cs="Arial"/>
                <w:sz w:val="20"/>
                <w:lang w:eastAsia="it-IT"/>
              </w:rPr>
              <w:t>)</w:t>
            </w:r>
          </w:p>
        </w:tc>
        <w:tc>
          <w:tcPr>
            <w:tcW w:w="2020" w:type="dxa"/>
            <w:tcBorders>
              <w:top w:val="nil"/>
              <w:left w:val="nil"/>
              <w:bottom w:val="nil"/>
              <w:right w:val="nil"/>
            </w:tcBorders>
            <w:shd w:val="clear" w:color="000000" w:fill="FFFFFF"/>
            <w:noWrap/>
            <w:vAlign w:val="bottom"/>
            <w:hideMark/>
          </w:tcPr>
          <w:p w14:paraId="5617CB77"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12.933 (</w:t>
            </w:r>
            <w:r w:rsidRPr="004C43D5">
              <w:rPr>
                <w:rFonts w:ascii="Arial" w:hAnsi="Arial" w:cs="Arial"/>
                <w:b/>
                <w:sz w:val="20"/>
                <w:lang w:eastAsia="it-IT"/>
              </w:rPr>
              <w:t>P &lt; 0.01</w:t>
            </w:r>
            <w:r w:rsidRPr="004C43D5">
              <w:rPr>
                <w:rFonts w:ascii="Arial" w:hAnsi="Arial" w:cs="Arial"/>
                <w:sz w:val="20"/>
                <w:lang w:eastAsia="it-IT"/>
              </w:rPr>
              <w:t>)</w:t>
            </w:r>
          </w:p>
        </w:tc>
        <w:tc>
          <w:tcPr>
            <w:tcW w:w="2020" w:type="dxa"/>
            <w:tcBorders>
              <w:top w:val="nil"/>
              <w:left w:val="nil"/>
              <w:bottom w:val="nil"/>
              <w:right w:val="nil"/>
            </w:tcBorders>
            <w:shd w:val="clear" w:color="000000" w:fill="FFFFFF"/>
            <w:noWrap/>
            <w:vAlign w:val="bottom"/>
            <w:hideMark/>
          </w:tcPr>
          <w:p w14:paraId="69E58AD7"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43.259 (</w:t>
            </w:r>
            <w:r w:rsidRPr="004C43D5">
              <w:rPr>
                <w:rFonts w:ascii="Arial" w:hAnsi="Arial" w:cs="Arial"/>
                <w:b/>
                <w:sz w:val="20"/>
                <w:lang w:eastAsia="it-IT"/>
              </w:rPr>
              <w:t>P &lt; 0.001</w:t>
            </w:r>
            <w:r w:rsidRPr="004C43D5">
              <w:rPr>
                <w:rFonts w:ascii="Arial" w:hAnsi="Arial" w:cs="Arial"/>
                <w:sz w:val="20"/>
                <w:lang w:eastAsia="it-IT"/>
              </w:rPr>
              <w:t>)</w:t>
            </w:r>
          </w:p>
        </w:tc>
        <w:tc>
          <w:tcPr>
            <w:tcW w:w="960" w:type="dxa"/>
            <w:tcBorders>
              <w:top w:val="nil"/>
              <w:left w:val="nil"/>
              <w:bottom w:val="nil"/>
              <w:right w:val="nil"/>
            </w:tcBorders>
            <w:shd w:val="clear" w:color="000000" w:fill="FFFFFF"/>
            <w:noWrap/>
            <w:vAlign w:val="bottom"/>
            <w:hideMark/>
          </w:tcPr>
          <w:p w14:paraId="260C488D"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1/11</w:t>
            </w:r>
          </w:p>
        </w:tc>
      </w:tr>
      <w:tr w:rsidR="004C43D5" w:rsidRPr="004C43D5" w14:paraId="19CEE01D" w14:textId="77777777" w:rsidTr="0043754C">
        <w:trPr>
          <w:trHeight w:val="480"/>
        </w:trPr>
        <w:tc>
          <w:tcPr>
            <w:tcW w:w="980" w:type="dxa"/>
            <w:tcBorders>
              <w:top w:val="nil"/>
              <w:left w:val="nil"/>
              <w:bottom w:val="nil"/>
              <w:right w:val="nil"/>
            </w:tcBorders>
            <w:shd w:val="clear" w:color="000000" w:fill="FFFFFF"/>
            <w:noWrap/>
            <w:vAlign w:val="bottom"/>
            <w:hideMark/>
          </w:tcPr>
          <w:p w14:paraId="28F4BFD1" w14:textId="77777777" w:rsidR="00766EBB" w:rsidRPr="004C43D5" w:rsidRDefault="00766EBB" w:rsidP="0043754C">
            <w:pPr>
              <w:rPr>
                <w:rFonts w:ascii="Arial" w:hAnsi="Arial" w:cs="Arial"/>
                <w:b/>
                <w:bCs/>
                <w:sz w:val="20"/>
                <w:lang w:eastAsia="it-IT"/>
              </w:rPr>
            </w:pPr>
            <w:r w:rsidRPr="004C43D5">
              <w:rPr>
                <w:rFonts w:ascii="Arial" w:hAnsi="Arial" w:cs="Arial"/>
                <w:b/>
                <w:bCs/>
                <w:sz w:val="20"/>
                <w:lang w:eastAsia="it-IT"/>
              </w:rPr>
              <w:t>PP</w:t>
            </w:r>
          </w:p>
        </w:tc>
        <w:tc>
          <w:tcPr>
            <w:tcW w:w="2020" w:type="dxa"/>
            <w:tcBorders>
              <w:top w:val="nil"/>
              <w:left w:val="nil"/>
              <w:bottom w:val="nil"/>
              <w:right w:val="nil"/>
            </w:tcBorders>
            <w:shd w:val="clear" w:color="000000" w:fill="FFFFFF"/>
            <w:noWrap/>
            <w:vAlign w:val="bottom"/>
            <w:hideMark/>
          </w:tcPr>
          <w:p w14:paraId="506F7716"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0.622 (P = 0.447)</w:t>
            </w:r>
          </w:p>
        </w:tc>
        <w:tc>
          <w:tcPr>
            <w:tcW w:w="2020" w:type="dxa"/>
            <w:tcBorders>
              <w:top w:val="nil"/>
              <w:left w:val="nil"/>
              <w:bottom w:val="nil"/>
              <w:right w:val="nil"/>
            </w:tcBorders>
            <w:shd w:val="clear" w:color="000000" w:fill="FFFFFF"/>
            <w:noWrap/>
            <w:vAlign w:val="bottom"/>
            <w:hideMark/>
          </w:tcPr>
          <w:p w14:paraId="5F386FBE"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10.574 (</w:t>
            </w:r>
            <w:r w:rsidRPr="004C43D5">
              <w:rPr>
                <w:rFonts w:ascii="Arial" w:hAnsi="Arial" w:cs="Arial"/>
                <w:b/>
                <w:sz w:val="20"/>
                <w:lang w:eastAsia="it-IT"/>
              </w:rPr>
              <w:t>P &lt; 0.01</w:t>
            </w:r>
            <w:r w:rsidRPr="004C43D5">
              <w:rPr>
                <w:rFonts w:ascii="Arial" w:hAnsi="Arial" w:cs="Arial"/>
                <w:sz w:val="20"/>
                <w:lang w:eastAsia="it-IT"/>
              </w:rPr>
              <w:t>)</w:t>
            </w:r>
          </w:p>
        </w:tc>
        <w:tc>
          <w:tcPr>
            <w:tcW w:w="2020" w:type="dxa"/>
            <w:tcBorders>
              <w:top w:val="nil"/>
              <w:left w:val="nil"/>
              <w:bottom w:val="nil"/>
              <w:right w:val="nil"/>
            </w:tcBorders>
            <w:shd w:val="clear" w:color="000000" w:fill="FFFFFF"/>
            <w:noWrap/>
            <w:vAlign w:val="bottom"/>
            <w:hideMark/>
          </w:tcPr>
          <w:p w14:paraId="1323A351"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0.039 (P = 0.847)</w:t>
            </w:r>
          </w:p>
        </w:tc>
        <w:tc>
          <w:tcPr>
            <w:tcW w:w="960" w:type="dxa"/>
            <w:tcBorders>
              <w:top w:val="nil"/>
              <w:left w:val="nil"/>
              <w:bottom w:val="nil"/>
              <w:right w:val="nil"/>
            </w:tcBorders>
            <w:shd w:val="clear" w:color="000000" w:fill="FFFFFF"/>
            <w:noWrap/>
            <w:vAlign w:val="bottom"/>
            <w:hideMark/>
          </w:tcPr>
          <w:p w14:paraId="593D255A"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1/11</w:t>
            </w:r>
          </w:p>
        </w:tc>
      </w:tr>
      <w:tr w:rsidR="004C43D5" w:rsidRPr="004C43D5" w14:paraId="3BE9E73C" w14:textId="77777777" w:rsidTr="0043754C">
        <w:trPr>
          <w:trHeight w:val="480"/>
        </w:trPr>
        <w:tc>
          <w:tcPr>
            <w:tcW w:w="980" w:type="dxa"/>
            <w:tcBorders>
              <w:top w:val="nil"/>
              <w:left w:val="nil"/>
              <w:right w:val="nil"/>
            </w:tcBorders>
            <w:shd w:val="clear" w:color="000000" w:fill="FFFFFF"/>
            <w:noWrap/>
            <w:vAlign w:val="bottom"/>
            <w:hideMark/>
          </w:tcPr>
          <w:p w14:paraId="30787A06" w14:textId="77777777" w:rsidR="00766EBB" w:rsidRPr="004C43D5" w:rsidRDefault="00766EBB" w:rsidP="0043754C">
            <w:pPr>
              <w:rPr>
                <w:rFonts w:ascii="Arial" w:hAnsi="Arial" w:cs="Arial"/>
                <w:b/>
                <w:bCs/>
                <w:sz w:val="20"/>
                <w:lang w:eastAsia="it-IT"/>
              </w:rPr>
            </w:pPr>
            <w:r w:rsidRPr="004C43D5">
              <w:rPr>
                <w:rFonts w:ascii="Arial" w:hAnsi="Arial" w:cs="Arial"/>
                <w:b/>
                <w:bCs/>
                <w:sz w:val="20"/>
                <w:lang w:eastAsia="it-IT"/>
              </w:rPr>
              <w:t>SN</w:t>
            </w:r>
          </w:p>
        </w:tc>
        <w:tc>
          <w:tcPr>
            <w:tcW w:w="2020" w:type="dxa"/>
            <w:tcBorders>
              <w:top w:val="nil"/>
              <w:left w:val="nil"/>
              <w:right w:val="nil"/>
            </w:tcBorders>
            <w:shd w:val="clear" w:color="000000" w:fill="FFFFFF"/>
            <w:noWrap/>
            <w:vAlign w:val="bottom"/>
            <w:hideMark/>
          </w:tcPr>
          <w:p w14:paraId="18EE0895"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1.329 (P = 0.273)</w:t>
            </w:r>
          </w:p>
        </w:tc>
        <w:tc>
          <w:tcPr>
            <w:tcW w:w="2020" w:type="dxa"/>
            <w:tcBorders>
              <w:top w:val="nil"/>
              <w:left w:val="nil"/>
              <w:right w:val="nil"/>
            </w:tcBorders>
            <w:shd w:val="clear" w:color="000000" w:fill="FFFFFF"/>
            <w:noWrap/>
            <w:vAlign w:val="bottom"/>
            <w:hideMark/>
          </w:tcPr>
          <w:p w14:paraId="7ECBEBC8"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0.613 (P = 0.450)</w:t>
            </w:r>
          </w:p>
        </w:tc>
        <w:tc>
          <w:tcPr>
            <w:tcW w:w="2020" w:type="dxa"/>
            <w:tcBorders>
              <w:top w:val="nil"/>
              <w:left w:val="nil"/>
              <w:right w:val="nil"/>
            </w:tcBorders>
            <w:shd w:val="clear" w:color="000000" w:fill="FFFFFF"/>
            <w:noWrap/>
            <w:vAlign w:val="bottom"/>
            <w:hideMark/>
          </w:tcPr>
          <w:p w14:paraId="70214593"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4.627 (P = 0.054)</w:t>
            </w:r>
          </w:p>
        </w:tc>
        <w:tc>
          <w:tcPr>
            <w:tcW w:w="960" w:type="dxa"/>
            <w:tcBorders>
              <w:top w:val="nil"/>
              <w:left w:val="nil"/>
              <w:right w:val="nil"/>
            </w:tcBorders>
            <w:shd w:val="clear" w:color="000000" w:fill="FFFFFF"/>
            <w:noWrap/>
            <w:vAlign w:val="bottom"/>
            <w:hideMark/>
          </w:tcPr>
          <w:p w14:paraId="47770439" w14:textId="77777777" w:rsidR="00766EBB" w:rsidRPr="004C43D5" w:rsidRDefault="00766EBB" w:rsidP="0043754C">
            <w:pPr>
              <w:jc w:val="center"/>
              <w:rPr>
                <w:rFonts w:ascii="Arial" w:hAnsi="Arial" w:cs="Arial"/>
                <w:sz w:val="20"/>
                <w:lang w:eastAsia="it-IT"/>
              </w:rPr>
            </w:pPr>
            <w:r w:rsidRPr="004C43D5">
              <w:rPr>
                <w:rFonts w:ascii="Arial" w:hAnsi="Arial" w:cs="Arial"/>
                <w:sz w:val="20"/>
                <w:lang w:eastAsia="it-IT"/>
              </w:rPr>
              <w:t>1/11</w:t>
            </w:r>
          </w:p>
        </w:tc>
      </w:tr>
      <w:tr w:rsidR="004C43D5" w:rsidRPr="004C43D5" w14:paraId="523A0C31" w14:textId="77777777" w:rsidTr="0043754C">
        <w:trPr>
          <w:trHeight w:val="624"/>
        </w:trPr>
        <w:tc>
          <w:tcPr>
            <w:tcW w:w="980" w:type="dxa"/>
            <w:tcBorders>
              <w:top w:val="nil"/>
              <w:left w:val="nil"/>
              <w:bottom w:val="single" w:sz="4" w:space="0" w:color="auto"/>
              <w:right w:val="nil"/>
            </w:tcBorders>
            <w:shd w:val="clear" w:color="000000" w:fill="FFFFFF"/>
            <w:noWrap/>
            <w:vAlign w:val="bottom"/>
            <w:hideMark/>
          </w:tcPr>
          <w:p w14:paraId="1758AB30" w14:textId="77777777" w:rsidR="00766EBB" w:rsidRPr="004C43D5" w:rsidRDefault="00766EBB" w:rsidP="0043754C">
            <w:pPr>
              <w:spacing w:after="120"/>
              <w:rPr>
                <w:rFonts w:ascii="Arial" w:hAnsi="Arial" w:cs="Arial"/>
                <w:b/>
                <w:bCs/>
                <w:sz w:val="20"/>
                <w:lang w:eastAsia="it-IT"/>
              </w:rPr>
            </w:pPr>
            <w:r w:rsidRPr="004C43D5">
              <w:rPr>
                <w:rFonts w:ascii="Arial" w:hAnsi="Arial" w:cs="Arial"/>
                <w:b/>
                <w:bCs/>
                <w:sz w:val="20"/>
                <w:lang w:eastAsia="it-IT"/>
              </w:rPr>
              <w:t>VTA</w:t>
            </w:r>
          </w:p>
        </w:tc>
        <w:tc>
          <w:tcPr>
            <w:tcW w:w="2020" w:type="dxa"/>
            <w:tcBorders>
              <w:top w:val="nil"/>
              <w:left w:val="nil"/>
              <w:bottom w:val="single" w:sz="4" w:space="0" w:color="auto"/>
              <w:right w:val="nil"/>
            </w:tcBorders>
            <w:shd w:val="clear" w:color="000000" w:fill="FFFFFF"/>
            <w:noWrap/>
            <w:vAlign w:val="bottom"/>
            <w:hideMark/>
          </w:tcPr>
          <w:p w14:paraId="3FAC015E" w14:textId="77777777" w:rsidR="00766EBB" w:rsidRPr="004C43D5" w:rsidRDefault="00766EBB" w:rsidP="0043754C">
            <w:pPr>
              <w:spacing w:after="120"/>
              <w:jc w:val="center"/>
              <w:rPr>
                <w:rFonts w:ascii="Arial" w:hAnsi="Arial" w:cs="Arial"/>
                <w:sz w:val="20"/>
                <w:lang w:eastAsia="it-IT"/>
              </w:rPr>
            </w:pPr>
            <w:r w:rsidRPr="004C43D5">
              <w:rPr>
                <w:rFonts w:ascii="Arial" w:hAnsi="Arial" w:cs="Arial"/>
                <w:sz w:val="20"/>
                <w:lang w:eastAsia="it-IT"/>
              </w:rPr>
              <w:t>0.409 (P = 0.536)</w:t>
            </w:r>
          </w:p>
        </w:tc>
        <w:tc>
          <w:tcPr>
            <w:tcW w:w="2020" w:type="dxa"/>
            <w:tcBorders>
              <w:top w:val="nil"/>
              <w:left w:val="nil"/>
              <w:bottom w:val="single" w:sz="4" w:space="0" w:color="auto"/>
              <w:right w:val="nil"/>
            </w:tcBorders>
            <w:shd w:val="clear" w:color="000000" w:fill="FFFFFF"/>
            <w:noWrap/>
            <w:vAlign w:val="bottom"/>
            <w:hideMark/>
          </w:tcPr>
          <w:p w14:paraId="44BD3E14" w14:textId="77777777" w:rsidR="00766EBB" w:rsidRPr="004C43D5" w:rsidRDefault="00766EBB" w:rsidP="0043754C">
            <w:pPr>
              <w:spacing w:after="120"/>
              <w:jc w:val="center"/>
              <w:rPr>
                <w:rFonts w:ascii="Arial" w:hAnsi="Arial" w:cs="Arial"/>
                <w:sz w:val="20"/>
                <w:lang w:eastAsia="it-IT"/>
              </w:rPr>
            </w:pPr>
            <w:r w:rsidRPr="004C43D5">
              <w:rPr>
                <w:rFonts w:ascii="Arial" w:hAnsi="Arial" w:cs="Arial"/>
                <w:sz w:val="20"/>
                <w:lang w:eastAsia="it-IT"/>
              </w:rPr>
              <w:t>0.709 (P = 0.418)</w:t>
            </w:r>
          </w:p>
        </w:tc>
        <w:tc>
          <w:tcPr>
            <w:tcW w:w="2020" w:type="dxa"/>
            <w:tcBorders>
              <w:top w:val="nil"/>
              <w:left w:val="nil"/>
              <w:bottom w:val="single" w:sz="4" w:space="0" w:color="auto"/>
              <w:right w:val="nil"/>
            </w:tcBorders>
            <w:shd w:val="clear" w:color="000000" w:fill="FFFFFF"/>
            <w:noWrap/>
            <w:vAlign w:val="bottom"/>
            <w:hideMark/>
          </w:tcPr>
          <w:p w14:paraId="2B035152" w14:textId="77777777" w:rsidR="00766EBB" w:rsidRPr="004C43D5" w:rsidRDefault="00766EBB" w:rsidP="0043754C">
            <w:pPr>
              <w:spacing w:after="120"/>
              <w:jc w:val="center"/>
              <w:rPr>
                <w:rFonts w:ascii="Arial" w:hAnsi="Arial" w:cs="Arial"/>
                <w:sz w:val="20"/>
                <w:lang w:eastAsia="it-IT"/>
              </w:rPr>
            </w:pPr>
            <w:r w:rsidRPr="004C43D5">
              <w:rPr>
                <w:rFonts w:ascii="Arial" w:hAnsi="Arial" w:cs="Arial"/>
                <w:sz w:val="20"/>
                <w:lang w:eastAsia="it-IT"/>
              </w:rPr>
              <w:t>4.038 (P = 0.069)</w:t>
            </w:r>
          </w:p>
        </w:tc>
        <w:tc>
          <w:tcPr>
            <w:tcW w:w="960" w:type="dxa"/>
            <w:tcBorders>
              <w:top w:val="nil"/>
              <w:left w:val="nil"/>
              <w:bottom w:val="single" w:sz="4" w:space="0" w:color="auto"/>
              <w:right w:val="nil"/>
            </w:tcBorders>
            <w:shd w:val="clear" w:color="000000" w:fill="FFFFFF"/>
            <w:noWrap/>
            <w:vAlign w:val="bottom"/>
            <w:hideMark/>
          </w:tcPr>
          <w:p w14:paraId="39537847" w14:textId="77777777" w:rsidR="00766EBB" w:rsidRPr="004C43D5" w:rsidRDefault="00766EBB" w:rsidP="0043754C">
            <w:pPr>
              <w:spacing w:after="120"/>
              <w:jc w:val="center"/>
              <w:rPr>
                <w:rFonts w:ascii="Arial" w:hAnsi="Arial" w:cs="Arial"/>
                <w:sz w:val="20"/>
                <w:lang w:eastAsia="it-IT"/>
              </w:rPr>
            </w:pPr>
            <w:r w:rsidRPr="004C43D5">
              <w:rPr>
                <w:rFonts w:ascii="Arial" w:hAnsi="Arial" w:cs="Arial"/>
                <w:sz w:val="20"/>
                <w:lang w:eastAsia="it-IT"/>
              </w:rPr>
              <w:t>1/11</w:t>
            </w:r>
          </w:p>
        </w:tc>
      </w:tr>
    </w:tbl>
    <w:p w14:paraId="17F289D2" w14:textId="77777777" w:rsidR="00766EBB" w:rsidRPr="004C43D5" w:rsidRDefault="00766EBB" w:rsidP="00766EBB">
      <w:pPr>
        <w:rPr>
          <w:rFonts w:ascii="Arial" w:hAnsi="Arial" w:cs="Arial"/>
          <w:sz w:val="20"/>
        </w:rPr>
      </w:pPr>
      <w:r w:rsidRPr="004C43D5">
        <w:rPr>
          <w:rFonts w:ascii="Arial" w:hAnsi="Arial" w:cs="Arial"/>
          <w:sz w:val="20"/>
          <w:lang w:val="en-GB"/>
        </w:rPr>
        <w:t xml:space="preserve">Abbreviations: Acb, nucleus accumbens; AMY, amygdala; CPu, caudate putamen; PP, pedunculopontine nucleus; </w:t>
      </w:r>
      <w:r w:rsidRPr="004C43D5">
        <w:rPr>
          <w:rFonts w:ascii="Arial" w:hAnsi="Arial" w:cs="Arial"/>
          <w:sz w:val="20"/>
        </w:rPr>
        <w:t>PVN, paraventricular nucleus; SN, substantia nigra; VP, ventral pallidum; VTA, ventral tegmental area.</w:t>
      </w:r>
    </w:p>
    <w:p w14:paraId="4E9E04D8" w14:textId="77777777" w:rsidR="00766EBB" w:rsidRPr="004C43D5" w:rsidRDefault="00766EBB" w:rsidP="00766EBB">
      <w:pPr>
        <w:rPr>
          <w:rFonts w:ascii="Arial" w:hAnsi="Arial" w:cs="Arial"/>
          <w:sz w:val="20"/>
        </w:rPr>
      </w:pPr>
    </w:p>
    <w:p w14:paraId="1F2CBE38" w14:textId="77777777" w:rsidR="00E9696B" w:rsidRPr="004C43D5" w:rsidRDefault="00E9696B" w:rsidP="00E9696B">
      <w:pPr>
        <w:pStyle w:val="SMcaption"/>
        <w:rPr>
          <w:rFonts w:ascii="Arial" w:hAnsi="Arial" w:cs="Arial"/>
          <w:sz w:val="20"/>
        </w:rPr>
      </w:pPr>
    </w:p>
    <w:p w14:paraId="128A2577" w14:textId="77777777" w:rsidR="00E9696B" w:rsidRPr="004C43D5" w:rsidRDefault="00E9696B" w:rsidP="00E9696B">
      <w:pPr>
        <w:pStyle w:val="SMcaption"/>
        <w:rPr>
          <w:rFonts w:ascii="Arial" w:hAnsi="Arial" w:cs="Arial"/>
          <w:sz w:val="20"/>
        </w:rPr>
      </w:pPr>
    </w:p>
    <w:p w14:paraId="58CC05C5" w14:textId="77777777" w:rsidR="00E9696B" w:rsidRPr="004C43D5" w:rsidRDefault="00E9696B" w:rsidP="00E9696B">
      <w:pPr>
        <w:pStyle w:val="SMcaption"/>
        <w:rPr>
          <w:rFonts w:ascii="Arial" w:hAnsi="Arial" w:cs="Arial"/>
          <w:sz w:val="20"/>
        </w:rPr>
      </w:pPr>
    </w:p>
    <w:p w14:paraId="2606319B" w14:textId="77777777" w:rsidR="00D16AFD" w:rsidRPr="004C43D5" w:rsidRDefault="00D16AFD" w:rsidP="00E9696B">
      <w:pPr>
        <w:pStyle w:val="SMcaption"/>
        <w:rPr>
          <w:rFonts w:ascii="Arial" w:hAnsi="Arial" w:cs="Arial"/>
          <w:sz w:val="20"/>
        </w:rPr>
      </w:pPr>
    </w:p>
    <w:p w14:paraId="56A9D562" w14:textId="77777777" w:rsidR="00D16AFD" w:rsidRPr="004C43D5" w:rsidRDefault="00D16AFD" w:rsidP="00477182">
      <w:pPr>
        <w:pStyle w:val="SMcaption"/>
        <w:rPr>
          <w:rFonts w:ascii="Arial" w:hAnsi="Arial" w:cs="Arial"/>
          <w:sz w:val="20"/>
        </w:rPr>
      </w:pPr>
    </w:p>
    <w:p w14:paraId="4C6BF4C8" w14:textId="77777777" w:rsidR="00D16AFD" w:rsidRPr="004C43D5" w:rsidRDefault="00D16AFD" w:rsidP="00477182">
      <w:pPr>
        <w:pStyle w:val="SMcaption"/>
        <w:rPr>
          <w:rFonts w:ascii="Arial" w:hAnsi="Arial" w:cs="Arial"/>
          <w:sz w:val="20"/>
        </w:rPr>
      </w:pPr>
    </w:p>
    <w:p w14:paraId="649A70E0" w14:textId="77777777" w:rsidR="00D16AFD" w:rsidRPr="004C43D5" w:rsidRDefault="00D16AFD" w:rsidP="00477182">
      <w:pPr>
        <w:pStyle w:val="SMcaption"/>
        <w:rPr>
          <w:rFonts w:ascii="Arial" w:hAnsi="Arial" w:cs="Arial"/>
          <w:sz w:val="20"/>
        </w:rPr>
      </w:pPr>
    </w:p>
    <w:p w14:paraId="13E92183" w14:textId="77777777" w:rsidR="00D16AFD" w:rsidRPr="004C43D5" w:rsidRDefault="00D16AFD" w:rsidP="00477182">
      <w:pPr>
        <w:pStyle w:val="SMcaption"/>
        <w:rPr>
          <w:rFonts w:ascii="Arial" w:hAnsi="Arial" w:cs="Arial"/>
          <w:sz w:val="20"/>
        </w:rPr>
      </w:pPr>
    </w:p>
    <w:p w14:paraId="71B753C9" w14:textId="77777777" w:rsidR="00D16AFD" w:rsidRPr="004C43D5" w:rsidRDefault="00D16AFD" w:rsidP="00477182">
      <w:pPr>
        <w:pStyle w:val="SMcaption"/>
        <w:rPr>
          <w:rFonts w:ascii="Arial" w:hAnsi="Arial" w:cs="Arial"/>
          <w:sz w:val="20"/>
        </w:rPr>
      </w:pPr>
    </w:p>
    <w:p w14:paraId="211644E0" w14:textId="77777777" w:rsidR="00D16AFD" w:rsidRPr="004C43D5" w:rsidRDefault="00D16AFD" w:rsidP="00477182">
      <w:pPr>
        <w:pStyle w:val="SMcaption"/>
        <w:rPr>
          <w:rFonts w:ascii="Arial" w:hAnsi="Arial" w:cs="Arial"/>
          <w:sz w:val="20"/>
        </w:rPr>
      </w:pPr>
    </w:p>
    <w:p w14:paraId="6E5D0CC7" w14:textId="77777777" w:rsidR="00D16AFD" w:rsidRPr="004C43D5" w:rsidRDefault="00D16AFD" w:rsidP="00477182">
      <w:pPr>
        <w:pStyle w:val="SMcaption"/>
        <w:rPr>
          <w:rFonts w:ascii="Arial" w:hAnsi="Arial" w:cs="Arial"/>
          <w:sz w:val="20"/>
        </w:rPr>
      </w:pPr>
    </w:p>
    <w:p w14:paraId="02C03278" w14:textId="77777777" w:rsidR="00D16AFD" w:rsidRPr="004C43D5" w:rsidRDefault="00D16AFD" w:rsidP="00477182">
      <w:pPr>
        <w:pStyle w:val="SMcaption"/>
        <w:rPr>
          <w:rFonts w:ascii="Arial" w:hAnsi="Arial" w:cs="Arial"/>
          <w:sz w:val="20"/>
        </w:rPr>
      </w:pPr>
    </w:p>
    <w:p w14:paraId="225CE8F5" w14:textId="77777777" w:rsidR="00D16AFD" w:rsidRPr="004C43D5" w:rsidRDefault="00D16AFD" w:rsidP="00477182">
      <w:pPr>
        <w:pStyle w:val="SMcaption"/>
        <w:rPr>
          <w:rFonts w:ascii="Arial" w:hAnsi="Arial" w:cs="Arial"/>
          <w:sz w:val="20"/>
        </w:rPr>
      </w:pPr>
    </w:p>
    <w:p w14:paraId="6161BDCB" w14:textId="77777777" w:rsidR="00D16AFD" w:rsidRPr="004C43D5" w:rsidRDefault="00D16AFD" w:rsidP="00477182">
      <w:pPr>
        <w:pStyle w:val="SMcaption"/>
        <w:rPr>
          <w:rFonts w:ascii="Arial" w:hAnsi="Arial" w:cs="Arial"/>
          <w:sz w:val="20"/>
        </w:rPr>
      </w:pPr>
    </w:p>
    <w:p w14:paraId="7DBB0DD4" w14:textId="77777777" w:rsidR="00D16AFD" w:rsidRPr="004C43D5" w:rsidRDefault="00D16AFD" w:rsidP="00477182">
      <w:pPr>
        <w:pStyle w:val="SMcaption"/>
        <w:rPr>
          <w:rFonts w:ascii="Arial" w:hAnsi="Arial" w:cs="Arial"/>
          <w:sz w:val="20"/>
        </w:rPr>
      </w:pPr>
    </w:p>
    <w:p w14:paraId="0C0E6C3D" w14:textId="77777777" w:rsidR="00D16AFD" w:rsidRPr="004C43D5" w:rsidRDefault="00D16AFD" w:rsidP="00477182">
      <w:pPr>
        <w:pStyle w:val="SMcaption"/>
        <w:rPr>
          <w:rFonts w:ascii="Arial" w:hAnsi="Arial" w:cs="Arial"/>
          <w:sz w:val="20"/>
        </w:rPr>
      </w:pPr>
    </w:p>
    <w:p w14:paraId="205B1B22" w14:textId="77777777" w:rsidR="00D16AFD" w:rsidRPr="004C43D5" w:rsidRDefault="00D16AFD" w:rsidP="00477182">
      <w:pPr>
        <w:pStyle w:val="SMcaption"/>
        <w:rPr>
          <w:rFonts w:ascii="Arial" w:hAnsi="Arial" w:cs="Arial"/>
          <w:sz w:val="20"/>
        </w:rPr>
      </w:pPr>
    </w:p>
    <w:p w14:paraId="622C98F4" w14:textId="77777777" w:rsidR="00D16AFD" w:rsidRPr="004C43D5" w:rsidRDefault="00D16AFD" w:rsidP="00477182">
      <w:pPr>
        <w:pStyle w:val="SMcaption"/>
        <w:rPr>
          <w:rFonts w:ascii="Arial" w:hAnsi="Arial" w:cs="Arial"/>
          <w:sz w:val="20"/>
        </w:rPr>
      </w:pPr>
    </w:p>
    <w:p w14:paraId="63F4ABEB" w14:textId="77777777" w:rsidR="00B9440A" w:rsidRPr="004C43D5" w:rsidRDefault="00B9440A" w:rsidP="00A2240F">
      <w:pPr>
        <w:pStyle w:val="SMcaption"/>
        <w:jc w:val="both"/>
        <w:rPr>
          <w:rFonts w:ascii="Arial" w:hAnsi="Arial" w:cs="Arial"/>
          <w:sz w:val="20"/>
        </w:rPr>
      </w:pPr>
    </w:p>
    <w:p w14:paraId="3C744A10" w14:textId="77777777" w:rsidR="00766EBB" w:rsidRPr="004C43D5" w:rsidRDefault="00766EBB" w:rsidP="00A2240F">
      <w:pPr>
        <w:pStyle w:val="SMcaption"/>
        <w:jc w:val="both"/>
        <w:rPr>
          <w:rFonts w:ascii="Arial" w:hAnsi="Arial" w:cs="Arial"/>
          <w:sz w:val="20"/>
        </w:rPr>
      </w:pPr>
    </w:p>
    <w:p w14:paraId="544A0CAC" w14:textId="77777777" w:rsidR="00766EBB" w:rsidRPr="004C43D5" w:rsidRDefault="00766EBB" w:rsidP="00A2240F">
      <w:pPr>
        <w:pStyle w:val="SMcaption"/>
        <w:jc w:val="both"/>
        <w:rPr>
          <w:rFonts w:ascii="Arial" w:hAnsi="Arial" w:cs="Arial"/>
          <w:sz w:val="20"/>
        </w:rPr>
      </w:pPr>
    </w:p>
    <w:p w14:paraId="37D4F98D" w14:textId="77777777" w:rsidR="00766EBB" w:rsidRPr="004C43D5" w:rsidRDefault="00766EBB" w:rsidP="00A2240F">
      <w:pPr>
        <w:pStyle w:val="SMcaption"/>
        <w:jc w:val="both"/>
        <w:rPr>
          <w:rFonts w:ascii="Arial" w:hAnsi="Arial" w:cs="Arial"/>
          <w:sz w:val="20"/>
        </w:rPr>
      </w:pPr>
    </w:p>
    <w:p w14:paraId="0076729D" w14:textId="77777777" w:rsidR="00766EBB" w:rsidRPr="004C43D5" w:rsidRDefault="00766EBB" w:rsidP="00A2240F">
      <w:pPr>
        <w:pStyle w:val="SMcaption"/>
        <w:jc w:val="both"/>
        <w:rPr>
          <w:rFonts w:ascii="Arial" w:hAnsi="Arial" w:cs="Arial"/>
          <w:sz w:val="20"/>
        </w:rPr>
      </w:pPr>
    </w:p>
    <w:p w14:paraId="5B17A316" w14:textId="77777777" w:rsidR="00766EBB" w:rsidRPr="004C43D5" w:rsidRDefault="00766EBB" w:rsidP="00A2240F">
      <w:pPr>
        <w:pStyle w:val="SMcaption"/>
        <w:jc w:val="both"/>
        <w:rPr>
          <w:rFonts w:ascii="Arial" w:hAnsi="Arial" w:cs="Arial"/>
          <w:sz w:val="20"/>
        </w:rPr>
      </w:pPr>
    </w:p>
    <w:p w14:paraId="34D869B9" w14:textId="77777777" w:rsidR="00766EBB" w:rsidRPr="004C43D5" w:rsidRDefault="00766EBB" w:rsidP="00A2240F">
      <w:pPr>
        <w:pStyle w:val="SMcaption"/>
        <w:jc w:val="both"/>
        <w:rPr>
          <w:rFonts w:ascii="Arial" w:hAnsi="Arial" w:cs="Arial"/>
          <w:sz w:val="20"/>
        </w:rPr>
      </w:pPr>
    </w:p>
    <w:p w14:paraId="6D5C9E45" w14:textId="77777777" w:rsidR="00766EBB" w:rsidRPr="004C43D5" w:rsidRDefault="00766EBB" w:rsidP="00A2240F">
      <w:pPr>
        <w:pStyle w:val="SMcaption"/>
        <w:jc w:val="both"/>
        <w:rPr>
          <w:rFonts w:ascii="Arial" w:hAnsi="Arial" w:cs="Arial"/>
          <w:sz w:val="20"/>
        </w:rPr>
      </w:pPr>
    </w:p>
    <w:p w14:paraId="1530A286" w14:textId="77777777" w:rsidR="00766EBB" w:rsidRPr="004C43D5" w:rsidRDefault="00766EBB" w:rsidP="00A2240F">
      <w:pPr>
        <w:pStyle w:val="SMcaption"/>
        <w:jc w:val="both"/>
        <w:rPr>
          <w:rFonts w:ascii="Arial" w:hAnsi="Arial" w:cs="Arial"/>
          <w:sz w:val="20"/>
        </w:rPr>
      </w:pPr>
    </w:p>
    <w:p w14:paraId="05D7A010" w14:textId="77777777" w:rsidR="00766EBB" w:rsidRPr="004C43D5" w:rsidRDefault="00766EBB" w:rsidP="00A2240F">
      <w:pPr>
        <w:pStyle w:val="SMcaption"/>
        <w:jc w:val="both"/>
        <w:rPr>
          <w:rFonts w:ascii="Arial" w:hAnsi="Arial" w:cs="Arial"/>
          <w:sz w:val="20"/>
        </w:rPr>
      </w:pPr>
    </w:p>
    <w:p w14:paraId="3C242DD3" w14:textId="77777777" w:rsidR="00766EBB" w:rsidRPr="004C43D5" w:rsidRDefault="00766EBB" w:rsidP="00A2240F">
      <w:pPr>
        <w:pStyle w:val="SMcaption"/>
        <w:jc w:val="both"/>
        <w:rPr>
          <w:rFonts w:ascii="Arial" w:hAnsi="Arial" w:cs="Arial"/>
          <w:sz w:val="20"/>
        </w:rPr>
      </w:pPr>
    </w:p>
    <w:tbl>
      <w:tblPr>
        <w:tblpPr w:leftFromText="141" w:rightFromText="141" w:vertAnchor="text" w:horzAnchor="margin" w:tblpXSpec="center" w:tblpY="-611"/>
        <w:tblOverlap w:val="never"/>
        <w:tblW w:w="5584" w:type="pct"/>
        <w:tblCellMar>
          <w:left w:w="70" w:type="dxa"/>
          <w:right w:w="70" w:type="dxa"/>
        </w:tblCellMar>
        <w:tblLook w:val="04A0" w:firstRow="1" w:lastRow="0" w:firstColumn="1" w:lastColumn="0" w:noHBand="0" w:noVBand="1"/>
      </w:tblPr>
      <w:tblGrid>
        <w:gridCol w:w="959"/>
        <w:gridCol w:w="2267"/>
        <w:gridCol w:w="2028"/>
        <w:gridCol w:w="2028"/>
        <w:gridCol w:w="2028"/>
        <w:gridCol w:w="496"/>
      </w:tblGrid>
      <w:tr w:rsidR="004C43D5" w:rsidRPr="004C43D5" w14:paraId="151322A9" w14:textId="77777777" w:rsidTr="00766EBB">
        <w:trPr>
          <w:trHeight w:val="20"/>
        </w:trPr>
        <w:tc>
          <w:tcPr>
            <w:tcW w:w="5000" w:type="pct"/>
            <w:gridSpan w:val="6"/>
            <w:tcBorders>
              <w:top w:val="nil"/>
              <w:left w:val="nil"/>
              <w:right w:val="nil"/>
            </w:tcBorders>
            <w:shd w:val="clear" w:color="000000" w:fill="FFFFFF"/>
            <w:noWrap/>
            <w:vAlign w:val="center"/>
          </w:tcPr>
          <w:p w14:paraId="52FED157" w14:textId="77777777" w:rsidR="00766EBB" w:rsidRPr="004C43D5" w:rsidRDefault="00766EBB" w:rsidP="00766EBB">
            <w:pPr>
              <w:jc w:val="both"/>
              <w:rPr>
                <w:rFonts w:ascii="Arial" w:hAnsi="Arial" w:cs="Arial"/>
                <w:b/>
                <w:bCs/>
                <w:sz w:val="16"/>
                <w:szCs w:val="16"/>
                <w:lang w:val="en-GB"/>
              </w:rPr>
            </w:pPr>
            <w:r w:rsidRPr="004C43D5">
              <w:rPr>
                <w:rFonts w:ascii="Arial" w:hAnsi="Arial" w:cs="Arial"/>
                <w:b/>
                <w:sz w:val="16"/>
                <w:szCs w:val="16"/>
                <w:lang w:val="en-GB"/>
              </w:rPr>
              <w:lastRenderedPageBreak/>
              <w:t xml:space="preserve">Table S2  </w:t>
            </w:r>
            <w:r w:rsidRPr="004C43D5">
              <w:rPr>
                <w:rFonts w:ascii="Arial" w:hAnsi="Arial" w:cs="Arial"/>
                <w:b/>
                <w:bCs/>
                <w:sz w:val="16"/>
                <w:szCs w:val="16"/>
                <w:lang w:val="en-GB"/>
              </w:rPr>
              <w:t>Results of the two-way ANOVA analyses of brain tissue monoamines and their turnover in NR</w:t>
            </w:r>
            <w:r w:rsidRPr="004C43D5">
              <w:rPr>
                <w:rFonts w:ascii="Arial" w:hAnsi="Arial" w:cs="Arial"/>
                <w:b/>
                <w:bCs/>
                <w:sz w:val="16"/>
                <w:szCs w:val="16"/>
                <w:lang w:val="en-GB" w:eastAsia="it-IT"/>
              </w:rPr>
              <w:t xml:space="preserve"> </w:t>
            </w:r>
            <w:r w:rsidRPr="004C43D5">
              <w:rPr>
                <w:rFonts w:ascii="Arial" w:hAnsi="Arial" w:cs="Arial"/>
                <w:b/>
                <w:bCs/>
                <w:sz w:val="16"/>
                <w:szCs w:val="16"/>
                <w:lang w:val="en-GB"/>
              </w:rPr>
              <w:t>+</w:t>
            </w:r>
            <w:r w:rsidRPr="004C43D5">
              <w:rPr>
                <w:rFonts w:ascii="Arial" w:hAnsi="Arial" w:cs="Arial"/>
                <w:b/>
                <w:bCs/>
                <w:sz w:val="16"/>
                <w:szCs w:val="16"/>
                <w:lang w:val="en-GB" w:eastAsia="it-IT"/>
              </w:rPr>
              <w:t xml:space="preserve"> </w:t>
            </w:r>
            <w:r w:rsidRPr="004C43D5">
              <w:rPr>
                <w:rFonts w:ascii="Arial" w:hAnsi="Arial" w:cs="Arial"/>
                <w:b/>
                <w:bCs/>
                <w:sz w:val="16"/>
                <w:szCs w:val="16"/>
                <w:lang w:val="en-GB"/>
              </w:rPr>
              <w:t>S and R</w:t>
            </w:r>
            <w:r w:rsidRPr="004C43D5">
              <w:rPr>
                <w:rFonts w:ascii="Arial" w:hAnsi="Arial" w:cs="Arial"/>
                <w:b/>
                <w:bCs/>
                <w:sz w:val="16"/>
                <w:szCs w:val="16"/>
                <w:lang w:val="en-GB" w:eastAsia="it-IT"/>
              </w:rPr>
              <w:t xml:space="preserve"> </w:t>
            </w:r>
            <w:r w:rsidRPr="004C43D5">
              <w:rPr>
                <w:rFonts w:ascii="Arial" w:hAnsi="Arial" w:cs="Arial"/>
                <w:b/>
                <w:bCs/>
                <w:sz w:val="16"/>
                <w:szCs w:val="16"/>
                <w:lang w:val="en-GB"/>
              </w:rPr>
              <w:t>+</w:t>
            </w:r>
            <w:r w:rsidRPr="004C43D5">
              <w:rPr>
                <w:rFonts w:ascii="Arial" w:hAnsi="Arial" w:cs="Arial"/>
                <w:b/>
                <w:bCs/>
                <w:sz w:val="16"/>
                <w:szCs w:val="16"/>
                <w:lang w:val="en-GB" w:eastAsia="it-IT"/>
              </w:rPr>
              <w:t xml:space="preserve"> </w:t>
            </w:r>
            <w:r w:rsidRPr="004C43D5">
              <w:rPr>
                <w:rFonts w:ascii="Arial" w:hAnsi="Arial" w:cs="Arial"/>
                <w:b/>
                <w:bCs/>
                <w:sz w:val="16"/>
                <w:szCs w:val="16"/>
                <w:lang w:val="en-GB"/>
              </w:rPr>
              <w:t>S rats after</w:t>
            </w:r>
          </w:p>
          <w:p w14:paraId="14B1E0B5" w14:textId="77777777" w:rsidR="00766EBB" w:rsidRPr="004C43D5" w:rsidRDefault="00766EBB" w:rsidP="00766EBB">
            <w:pPr>
              <w:jc w:val="both"/>
              <w:rPr>
                <w:rFonts w:ascii="Arial" w:hAnsi="Arial" w:cs="Arial"/>
                <w:b/>
                <w:bCs/>
                <w:sz w:val="16"/>
                <w:szCs w:val="16"/>
                <w:lang w:val="en-GB" w:eastAsia="it-IT"/>
              </w:rPr>
            </w:pPr>
            <w:r w:rsidRPr="004C43D5">
              <w:rPr>
                <w:rFonts w:ascii="Arial" w:hAnsi="Arial" w:cs="Arial"/>
                <w:b/>
                <w:bCs/>
                <w:sz w:val="16"/>
                <w:szCs w:val="16"/>
                <w:lang w:val="en-GB"/>
              </w:rPr>
              <w:t xml:space="preserve">                 intraperitoneal injection of OEA or vehicle.</w:t>
            </w:r>
          </w:p>
          <w:p w14:paraId="07063B07" w14:textId="77777777" w:rsidR="00766EBB" w:rsidRPr="004C43D5" w:rsidRDefault="00766EBB" w:rsidP="00766EBB">
            <w:pPr>
              <w:jc w:val="both"/>
              <w:rPr>
                <w:rFonts w:ascii="Arial" w:hAnsi="Arial" w:cs="Arial"/>
                <w:b/>
                <w:bCs/>
                <w:sz w:val="16"/>
                <w:szCs w:val="16"/>
                <w:lang w:val="en-GB"/>
              </w:rPr>
            </w:pPr>
          </w:p>
        </w:tc>
      </w:tr>
      <w:tr w:rsidR="004C43D5" w:rsidRPr="004C43D5" w14:paraId="6E6B1F80" w14:textId="77777777" w:rsidTr="00766EBB">
        <w:trPr>
          <w:trHeight w:val="283"/>
        </w:trPr>
        <w:tc>
          <w:tcPr>
            <w:tcW w:w="489" w:type="pct"/>
            <w:tcBorders>
              <w:top w:val="nil"/>
              <w:left w:val="nil"/>
              <w:right w:val="nil"/>
            </w:tcBorders>
            <w:shd w:val="clear" w:color="000000" w:fill="FFFFFF"/>
            <w:noWrap/>
            <w:vAlign w:val="center"/>
            <w:hideMark/>
          </w:tcPr>
          <w:p w14:paraId="1A2559D4" w14:textId="77777777" w:rsidR="00766EBB" w:rsidRPr="004C43D5" w:rsidRDefault="00766EBB" w:rsidP="00766EBB">
            <w:pPr>
              <w:rPr>
                <w:rFonts w:ascii="Arial" w:hAnsi="Arial" w:cs="Arial"/>
                <w:sz w:val="16"/>
                <w:szCs w:val="16"/>
                <w:lang w:val="en-GB"/>
              </w:rPr>
            </w:pPr>
            <w:r w:rsidRPr="004C43D5">
              <w:rPr>
                <w:rFonts w:ascii="Arial" w:hAnsi="Arial" w:cs="Arial"/>
                <w:sz w:val="16"/>
                <w:szCs w:val="16"/>
                <w:lang w:val="en-GB"/>
              </w:rPr>
              <w:t> </w:t>
            </w:r>
          </w:p>
        </w:tc>
        <w:tc>
          <w:tcPr>
            <w:tcW w:w="1156" w:type="pct"/>
            <w:tcBorders>
              <w:top w:val="single" w:sz="4" w:space="0" w:color="auto"/>
              <w:left w:val="nil"/>
              <w:bottom w:val="single" w:sz="4" w:space="0" w:color="auto"/>
              <w:right w:val="nil"/>
            </w:tcBorders>
            <w:shd w:val="clear" w:color="000000" w:fill="FFFFFF"/>
            <w:noWrap/>
            <w:vAlign w:val="center"/>
            <w:hideMark/>
          </w:tcPr>
          <w:p w14:paraId="25F3E8D8" w14:textId="77777777" w:rsidR="00766EBB" w:rsidRPr="004C43D5" w:rsidRDefault="00766EBB" w:rsidP="00766EBB">
            <w:pPr>
              <w:jc w:val="center"/>
              <w:rPr>
                <w:rFonts w:ascii="Arial" w:hAnsi="Arial" w:cs="Arial"/>
                <w:sz w:val="16"/>
                <w:szCs w:val="16"/>
                <w:lang w:val="en-GB"/>
              </w:rPr>
            </w:pPr>
            <w:r w:rsidRPr="004C43D5">
              <w:rPr>
                <w:rFonts w:ascii="Arial" w:hAnsi="Arial" w:cs="Arial"/>
                <w:sz w:val="16"/>
                <w:szCs w:val="16"/>
                <w:lang w:val="en-GB"/>
              </w:rPr>
              <w:t> </w:t>
            </w:r>
          </w:p>
        </w:tc>
        <w:tc>
          <w:tcPr>
            <w:tcW w:w="1034" w:type="pct"/>
            <w:tcBorders>
              <w:top w:val="single" w:sz="4" w:space="0" w:color="auto"/>
              <w:left w:val="nil"/>
              <w:bottom w:val="single" w:sz="4" w:space="0" w:color="auto"/>
              <w:right w:val="nil"/>
            </w:tcBorders>
            <w:shd w:val="clear" w:color="000000" w:fill="FFFFFF"/>
            <w:noWrap/>
            <w:vAlign w:val="center"/>
            <w:hideMark/>
          </w:tcPr>
          <w:p w14:paraId="19385D3E" w14:textId="77777777" w:rsidR="00766EBB" w:rsidRPr="004C43D5" w:rsidRDefault="00766EBB" w:rsidP="00CE7996">
            <w:pPr>
              <w:jc w:val="center"/>
              <w:rPr>
                <w:rFonts w:ascii="Arial" w:hAnsi="Arial" w:cs="Arial"/>
                <w:b/>
                <w:bCs/>
                <w:sz w:val="16"/>
                <w:szCs w:val="16"/>
              </w:rPr>
            </w:pPr>
            <w:r w:rsidRPr="004C43D5">
              <w:rPr>
                <w:rFonts w:ascii="Arial" w:hAnsi="Arial" w:cs="Arial"/>
                <w:b/>
                <w:bCs/>
                <w:sz w:val="16"/>
                <w:szCs w:val="16"/>
              </w:rPr>
              <w:t xml:space="preserve">F </w:t>
            </w:r>
            <w:r w:rsidR="00CE7996" w:rsidRPr="004C43D5">
              <w:rPr>
                <w:rFonts w:ascii="Arial" w:hAnsi="Arial" w:cs="Arial"/>
                <w:b/>
                <w:bCs/>
                <w:sz w:val="16"/>
                <w:szCs w:val="16"/>
              </w:rPr>
              <w:t>food restriction</w:t>
            </w:r>
          </w:p>
        </w:tc>
        <w:tc>
          <w:tcPr>
            <w:tcW w:w="1034" w:type="pct"/>
            <w:tcBorders>
              <w:top w:val="single" w:sz="4" w:space="0" w:color="auto"/>
              <w:left w:val="nil"/>
              <w:bottom w:val="single" w:sz="4" w:space="0" w:color="auto"/>
              <w:right w:val="nil"/>
            </w:tcBorders>
            <w:shd w:val="clear" w:color="000000" w:fill="FFFFFF"/>
            <w:noWrap/>
            <w:vAlign w:val="center"/>
            <w:hideMark/>
          </w:tcPr>
          <w:p w14:paraId="225DE4E6"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F treatment</w:t>
            </w:r>
          </w:p>
        </w:tc>
        <w:tc>
          <w:tcPr>
            <w:tcW w:w="1034" w:type="pct"/>
            <w:tcBorders>
              <w:top w:val="single" w:sz="4" w:space="0" w:color="auto"/>
              <w:left w:val="nil"/>
              <w:bottom w:val="single" w:sz="4" w:space="0" w:color="auto"/>
              <w:right w:val="nil"/>
            </w:tcBorders>
            <w:shd w:val="clear" w:color="000000" w:fill="FFFFFF"/>
            <w:noWrap/>
            <w:vAlign w:val="center"/>
            <w:hideMark/>
          </w:tcPr>
          <w:p w14:paraId="07230913"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F interaction</w:t>
            </w:r>
          </w:p>
        </w:tc>
        <w:tc>
          <w:tcPr>
            <w:tcW w:w="253" w:type="pct"/>
            <w:tcBorders>
              <w:top w:val="single" w:sz="4" w:space="0" w:color="auto"/>
              <w:left w:val="nil"/>
              <w:bottom w:val="single" w:sz="4" w:space="0" w:color="auto"/>
              <w:right w:val="nil"/>
            </w:tcBorders>
            <w:shd w:val="clear" w:color="000000" w:fill="FFFFFF"/>
            <w:noWrap/>
            <w:vAlign w:val="center"/>
            <w:hideMark/>
          </w:tcPr>
          <w:p w14:paraId="661FD63F"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df</w:t>
            </w:r>
          </w:p>
        </w:tc>
      </w:tr>
      <w:tr w:rsidR="004C43D5" w:rsidRPr="004C43D5" w14:paraId="391C72DD" w14:textId="77777777" w:rsidTr="00766EBB">
        <w:trPr>
          <w:trHeight w:val="227"/>
        </w:trPr>
        <w:tc>
          <w:tcPr>
            <w:tcW w:w="489" w:type="pct"/>
            <w:vMerge w:val="restart"/>
            <w:tcBorders>
              <w:left w:val="nil"/>
              <w:bottom w:val="nil"/>
              <w:right w:val="nil"/>
            </w:tcBorders>
            <w:shd w:val="clear" w:color="000000" w:fill="FFFFFF"/>
            <w:noWrap/>
            <w:vAlign w:val="center"/>
            <w:hideMark/>
          </w:tcPr>
          <w:p w14:paraId="1EA471EE"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mPFC</w:t>
            </w:r>
          </w:p>
        </w:tc>
        <w:tc>
          <w:tcPr>
            <w:tcW w:w="1156" w:type="pct"/>
            <w:tcBorders>
              <w:top w:val="nil"/>
              <w:left w:val="nil"/>
              <w:bottom w:val="nil"/>
              <w:right w:val="nil"/>
            </w:tcBorders>
            <w:shd w:val="clear" w:color="000000" w:fill="FFFFFF"/>
            <w:noWrap/>
            <w:vAlign w:val="bottom"/>
            <w:hideMark/>
          </w:tcPr>
          <w:p w14:paraId="25B377D4"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DA</w:t>
            </w:r>
          </w:p>
        </w:tc>
        <w:tc>
          <w:tcPr>
            <w:tcW w:w="1034" w:type="pct"/>
            <w:tcBorders>
              <w:top w:val="nil"/>
              <w:left w:val="nil"/>
              <w:bottom w:val="nil"/>
              <w:right w:val="nil"/>
            </w:tcBorders>
            <w:shd w:val="clear" w:color="000000" w:fill="FFFFFF"/>
            <w:noWrap/>
            <w:vAlign w:val="bottom"/>
            <w:hideMark/>
          </w:tcPr>
          <w:p w14:paraId="7108B49D"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0.009 (</w:t>
            </w:r>
            <w:r w:rsidR="00EC6A12" w:rsidRPr="004C43D5">
              <w:rPr>
                <w:rFonts w:ascii="Arial" w:hAnsi="Arial" w:cs="Arial"/>
                <w:sz w:val="16"/>
                <w:szCs w:val="16"/>
              </w:rPr>
              <w:t>P</w:t>
            </w:r>
            <w:r w:rsidRPr="004C43D5">
              <w:rPr>
                <w:rFonts w:ascii="Arial" w:hAnsi="Arial" w:cs="Arial"/>
                <w:sz w:val="16"/>
                <w:szCs w:val="16"/>
              </w:rPr>
              <w:t>=0.927)</w:t>
            </w:r>
          </w:p>
        </w:tc>
        <w:tc>
          <w:tcPr>
            <w:tcW w:w="1034" w:type="pct"/>
            <w:tcBorders>
              <w:top w:val="nil"/>
              <w:left w:val="nil"/>
              <w:bottom w:val="nil"/>
              <w:right w:val="nil"/>
            </w:tcBorders>
            <w:shd w:val="clear" w:color="000000" w:fill="FFFFFF"/>
            <w:noWrap/>
            <w:vAlign w:val="bottom"/>
            <w:hideMark/>
          </w:tcPr>
          <w:p w14:paraId="7605D88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5.930 (</w:t>
            </w:r>
            <w:r w:rsidR="00EC6A12" w:rsidRPr="004C43D5">
              <w:rPr>
                <w:rFonts w:ascii="Arial" w:hAnsi="Arial" w:cs="Arial"/>
                <w:b/>
                <w:sz w:val="16"/>
                <w:szCs w:val="16"/>
              </w:rPr>
              <w:t>P</w:t>
            </w:r>
            <w:r w:rsidRPr="004C43D5">
              <w:rPr>
                <w:rFonts w:ascii="Arial" w:hAnsi="Arial" w:cs="Arial"/>
                <w:b/>
                <w:sz w:val="16"/>
                <w:szCs w:val="16"/>
              </w:rPr>
              <w:t>&lt;0.05</w:t>
            </w:r>
            <w:r w:rsidRPr="004C43D5">
              <w:rPr>
                <w:rFonts w:ascii="Arial" w:hAnsi="Arial" w:cs="Arial"/>
                <w:sz w:val="16"/>
                <w:szCs w:val="16"/>
              </w:rPr>
              <w:t>)</w:t>
            </w:r>
          </w:p>
        </w:tc>
        <w:tc>
          <w:tcPr>
            <w:tcW w:w="1034" w:type="pct"/>
            <w:tcBorders>
              <w:top w:val="nil"/>
              <w:left w:val="nil"/>
              <w:bottom w:val="nil"/>
              <w:right w:val="nil"/>
            </w:tcBorders>
            <w:shd w:val="clear" w:color="000000" w:fill="FFFFFF"/>
            <w:noWrap/>
            <w:vAlign w:val="bottom"/>
            <w:hideMark/>
          </w:tcPr>
          <w:p w14:paraId="594FB53D"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3.705 (</w:t>
            </w:r>
            <w:r w:rsidR="00EC6A12" w:rsidRPr="004C43D5">
              <w:rPr>
                <w:rFonts w:ascii="Arial" w:hAnsi="Arial" w:cs="Arial"/>
                <w:sz w:val="16"/>
                <w:szCs w:val="16"/>
              </w:rPr>
              <w:t>P</w:t>
            </w:r>
            <w:r w:rsidRPr="004C43D5">
              <w:rPr>
                <w:rFonts w:ascii="Arial" w:hAnsi="Arial" w:cs="Arial"/>
                <w:sz w:val="16"/>
                <w:szCs w:val="16"/>
              </w:rPr>
              <w:t>=0.069)</w:t>
            </w:r>
          </w:p>
        </w:tc>
        <w:tc>
          <w:tcPr>
            <w:tcW w:w="253" w:type="pct"/>
            <w:tcBorders>
              <w:top w:val="nil"/>
              <w:left w:val="nil"/>
              <w:bottom w:val="nil"/>
              <w:right w:val="nil"/>
            </w:tcBorders>
            <w:shd w:val="clear" w:color="000000" w:fill="FFFFFF"/>
            <w:noWrap/>
            <w:vAlign w:val="bottom"/>
            <w:hideMark/>
          </w:tcPr>
          <w:p w14:paraId="61E8C00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1/23</w:t>
            </w:r>
          </w:p>
        </w:tc>
      </w:tr>
      <w:tr w:rsidR="004C43D5" w:rsidRPr="004C43D5" w14:paraId="1EA77499" w14:textId="77777777" w:rsidTr="00766EBB">
        <w:trPr>
          <w:trHeight w:val="227"/>
        </w:trPr>
        <w:tc>
          <w:tcPr>
            <w:tcW w:w="489" w:type="pct"/>
            <w:vMerge/>
            <w:tcBorders>
              <w:top w:val="nil"/>
              <w:left w:val="nil"/>
              <w:bottom w:val="nil"/>
              <w:right w:val="nil"/>
            </w:tcBorders>
            <w:vAlign w:val="center"/>
            <w:hideMark/>
          </w:tcPr>
          <w:p w14:paraId="136F4E59"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301D5971"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DOPAC+HVA/DA</w:t>
            </w:r>
          </w:p>
        </w:tc>
        <w:tc>
          <w:tcPr>
            <w:tcW w:w="1034" w:type="pct"/>
            <w:tcBorders>
              <w:top w:val="nil"/>
              <w:left w:val="nil"/>
              <w:bottom w:val="nil"/>
              <w:right w:val="nil"/>
            </w:tcBorders>
            <w:shd w:val="clear" w:color="000000" w:fill="FFFFFF"/>
            <w:noWrap/>
            <w:vAlign w:val="bottom"/>
            <w:hideMark/>
          </w:tcPr>
          <w:p w14:paraId="70FD04D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1.332 (</w:t>
            </w:r>
            <w:r w:rsidR="00EC6A12" w:rsidRPr="004C43D5">
              <w:rPr>
                <w:rFonts w:ascii="Arial" w:hAnsi="Arial" w:cs="Arial"/>
                <w:sz w:val="16"/>
                <w:szCs w:val="16"/>
              </w:rPr>
              <w:t>P</w:t>
            </w:r>
            <w:r w:rsidRPr="004C43D5">
              <w:rPr>
                <w:rFonts w:ascii="Arial" w:hAnsi="Arial" w:cs="Arial"/>
                <w:sz w:val="16"/>
                <w:szCs w:val="16"/>
              </w:rPr>
              <w:t>=0.262)</w:t>
            </w:r>
          </w:p>
        </w:tc>
        <w:tc>
          <w:tcPr>
            <w:tcW w:w="1034" w:type="pct"/>
            <w:tcBorders>
              <w:top w:val="nil"/>
              <w:left w:val="nil"/>
              <w:bottom w:val="nil"/>
              <w:right w:val="nil"/>
            </w:tcBorders>
            <w:shd w:val="clear" w:color="000000" w:fill="FFFFFF"/>
            <w:noWrap/>
            <w:vAlign w:val="bottom"/>
            <w:hideMark/>
          </w:tcPr>
          <w:p w14:paraId="35B070B2"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14.739 (</w:t>
            </w:r>
            <w:r w:rsidR="00EC6A12" w:rsidRPr="004C43D5">
              <w:rPr>
                <w:rFonts w:ascii="Arial" w:hAnsi="Arial" w:cs="Arial"/>
                <w:b/>
                <w:sz w:val="16"/>
                <w:szCs w:val="16"/>
              </w:rPr>
              <w:t>P</w:t>
            </w:r>
            <w:r w:rsidRPr="004C43D5">
              <w:rPr>
                <w:rFonts w:ascii="Arial" w:hAnsi="Arial" w:cs="Arial"/>
                <w:b/>
                <w:sz w:val="16"/>
                <w:szCs w:val="16"/>
              </w:rPr>
              <w:t>&lt;0.01</w:t>
            </w:r>
            <w:r w:rsidRPr="004C43D5">
              <w:rPr>
                <w:rFonts w:ascii="Arial" w:hAnsi="Arial" w:cs="Arial"/>
                <w:sz w:val="16"/>
                <w:szCs w:val="16"/>
              </w:rPr>
              <w:t>)</w:t>
            </w:r>
          </w:p>
        </w:tc>
        <w:tc>
          <w:tcPr>
            <w:tcW w:w="1034" w:type="pct"/>
            <w:tcBorders>
              <w:top w:val="nil"/>
              <w:left w:val="nil"/>
              <w:bottom w:val="nil"/>
              <w:right w:val="nil"/>
            </w:tcBorders>
            <w:shd w:val="clear" w:color="000000" w:fill="FFFFFF"/>
            <w:noWrap/>
            <w:vAlign w:val="bottom"/>
            <w:hideMark/>
          </w:tcPr>
          <w:p w14:paraId="4CE0316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7.648 (</w:t>
            </w:r>
            <w:r w:rsidR="00EC6A12" w:rsidRPr="004C43D5">
              <w:rPr>
                <w:rFonts w:ascii="Arial" w:hAnsi="Arial" w:cs="Arial"/>
                <w:b/>
                <w:sz w:val="16"/>
                <w:szCs w:val="16"/>
              </w:rPr>
              <w:t>P</w:t>
            </w:r>
            <w:r w:rsidRPr="004C43D5">
              <w:rPr>
                <w:rFonts w:ascii="Arial" w:hAnsi="Arial" w:cs="Arial"/>
                <w:b/>
                <w:sz w:val="16"/>
                <w:szCs w:val="16"/>
              </w:rPr>
              <w:t>&lt;0.05</w:t>
            </w:r>
            <w:r w:rsidRPr="004C43D5">
              <w:rPr>
                <w:rFonts w:ascii="Arial" w:hAnsi="Arial" w:cs="Arial"/>
                <w:sz w:val="16"/>
                <w:szCs w:val="16"/>
              </w:rPr>
              <w:t>)</w:t>
            </w:r>
          </w:p>
        </w:tc>
        <w:tc>
          <w:tcPr>
            <w:tcW w:w="253" w:type="pct"/>
            <w:tcBorders>
              <w:top w:val="nil"/>
              <w:left w:val="nil"/>
              <w:bottom w:val="nil"/>
              <w:right w:val="nil"/>
            </w:tcBorders>
            <w:shd w:val="clear" w:color="000000" w:fill="FFFFFF"/>
            <w:noWrap/>
            <w:vAlign w:val="bottom"/>
            <w:hideMark/>
          </w:tcPr>
          <w:p w14:paraId="4FD44D5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1/23</w:t>
            </w:r>
          </w:p>
        </w:tc>
      </w:tr>
      <w:tr w:rsidR="004C43D5" w:rsidRPr="004C43D5" w14:paraId="4976D9BE" w14:textId="77777777" w:rsidTr="00766EBB">
        <w:trPr>
          <w:trHeight w:val="227"/>
        </w:trPr>
        <w:tc>
          <w:tcPr>
            <w:tcW w:w="489" w:type="pct"/>
            <w:vMerge/>
            <w:tcBorders>
              <w:top w:val="nil"/>
              <w:left w:val="nil"/>
              <w:bottom w:val="nil"/>
              <w:right w:val="nil"/>
            </w:tcBorders>
            <w:vAlign w:val="center"/>
            <w:hideMark/>
          </w:tcPr>
          <w:p w14:paraId="1930C656"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7F357FEB"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 xml:space="preserve">NA </w:t>
            </w:r>
          </w:p>
        </w:tc>
        <w:tc>
          <w:tcPr>
            <w:tcW w:w="1034" w:type="pct"/>
            <w:tcBorders>
              <w:top w:val="nil"/>
              <w:left w:val="nil"/>
              <w:bottom w:val="nil"/>
              <w:right w:val="nil"/>
            </w:tcBorders>
            <w:shd w:val="clear" w:color="000000" w:fill="FFFFFF"/>
            <w:noWrap/>
            <w:vAlign w:val="bottom"/>
            <w:hideMark/>
          </w:tcPr>
          <w:p w14:paraId="427960C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0.045 (</w:t>
            </w:r>
            <w:r w:rsidR="00EC6A12" w:rsidRPr="004C43D5">
              <w:rPr>
                <w:rFonts w:ascii="Arial" w:hAnsi="Arial" w:cs="Arial"/>
                <w:sz w:val="16"/>
                <w:szCs w:val="16"/>
              </w:rPr>
              <w:t>P</w:t>
            </w:r>
            <w:r w:rsidRPr="004C43D5">
              <w:rPr>
                <w:rFonts w:ascii="Arial" w:hAnsi="Arial" w:cs="Arial"/>
                <w:sz w:val="16"/>
                <w:szCs w:val="16"/>
              </w:rPr>
              <w:t>=0.834)</w:t>
            </w:r>
          </w:p>
        </w:tc>
        <w:tc>
          <w:tcPr>
            <w:tcW w:w="1034" w:type="pct"/>
            <w:tcBorders>
              <w:top w:val="nil"/>
              <w:left w:val="nil"/>
              <w:bottom w:val="nil"/>
              <w:right w:val="nil"/>
            </w:tcBorders>
            <w:shd w:val="clear" w:color="000000" w:fill="FFFFFF"/>
            <w:noWrap/>
            <w:vAlign w:val="bottom"/>
            <w:hideMark/>
          </w:tcPr>
          <w:p w14:paraId="4583207D"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0.041 (</w:t>
            </w:r>
            <w:r w:rsidR="00EC6A12" w:rsidRPr="004C43D5">
              <w:rPr>
                <w:rFonts w:ascii="Arial" w:hAnsi="Arial" w:cs="Arial"/>
                <w:sz w:val="16"/>
                <w:szCs w:val="16"/>
              </w:rPr>
              <w:t>P</w:t>
            </w:r>
            <w:r w:rsidRPr="004C43D5">
              <w:rPr>
                <w:rFonts w:ascii="Arial" w:hAnsi="Arial" w:cs="Arial"/>
                <w:sz w:val="16"/>
                <w:szCs w:val="16"/>
              </w:rPr>
              <w:t>=0.842)</w:t>
            </w:r>
          </w:p>
        </w:tc>
        <w:tc>
          <w:tcPr>
            <w:tcW w:w="1034" w:type="pct"/>
            <w:tcBorders>
              <w:top w:val="nil"/>
              <w:left w:val="nil"/>
              <w:bottom w:val="nil"/>
              <w:right w:val="nil"/>
            </w:tcBorders>
            <w:shd w:val="clear" w:color="000000" w:fill="FFFFFF"/>
            <w:noWrap/>
            <w:vAlign w:val="bottom"/>
            <w:hideMark/>
          </w:tcPr>
          <w:p w14:paraId="528245F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0.001 (</w:t>
            </w:r>
            <w:r w:rsidR="00EC6A12" w:rsidRPr="004C43D5">
              <w:rPr>
                <w:rFonts w:ascii="Arial" w:hAnsi="Arial" w:cs="Arial"/>
                <w:sz w:val="16"/>
                <w:szCs w:val="16"/>
              </w:rPr>
              <w:t>P</w:t>
            </w:r>
            <w:r w:rsidRPr="004C43D5">
              <w:rPr>
                <w:rFonts w:ascii="Arial" w:hAnsi="Arial" w:cs="Arial"/>
                <w:sz w:val="16"/>
                <w:szCs w:val="16"/>
              </w:rPr>
              <w:t>=0.978)</w:t>
            </w:r>
          </w:p>
        </w:tc>
        <w:tc>
          <w:tcPr>
            <w:tcW w:w="253" w:type="pct"/>
            <w:tcBorders>
              <w:top w:val="nil"/>
              <w:left w:val="nil"/>
              <w:bottom w:val="nil"/>
              <w:right w:val="nil"/>
            </w:tcBorders>
            <w:shd w:val="clear" w:color="000000" w:fill="FFFFFF"/>
            <w:noWrap/>
            <w:vAlign w:val="bottom"/>
            <w:hideMark/>
          </w:tcPr>
          <w:p w14:paraId="6AC2AD1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1/24</w:t>
            </w:r>
          </w:p>
        </w:tc>
      </w:tr>
      <w:tr w:rsidR="004C43D5" w:rsidRPr="004C43D5" w14:paraId="0E1571F6" w14:textId="77777777" w:rsidTr="00766EBB">
        <w:trPr>
          <w:trHeight w:val="227"/>
        </w:trPr>
        <w:tc>
          <w:tcPr>
            <w:tcW w:w="489" w:type="pct"/>
            <w:vMerge/>
            <w:tcBorders>
              <w:top w:val="nil"/>
              <w:left w:val="nil"/>
              <w:bottom w:val="nil"/>
              <w:right w:val="nil"/>
            </w:tcBorders>
            <w:vAlign w:val="center"/>
            <w:hideMark/>
          </w:tcPr>
          <w:p w14:paraId="6F8C2311" w14:textId="77777777" w:rsidR="00766EBB" w:rsidRPr="004C43D5" w:rsidRDefault="00766EBB" w:rsidP="00766EBB">
            <w:pPr>
              <w:rPr>
                <w:rFonts w:ascii="Arial" w:hAnsi="Arial" w:cs="Arial"/>
                <w:b/>
                <w:bCs/>
                <w:sz w:val="16"/>
                <w:szCs w:val="16"/>
              </w:rPr>
            </w:pPr>
          </w:p>
        </w:tc>
        <w:tc>
          <w:tcPr>
            <w:tcW w:w="1156" w:type="pct"/>
            <w:tcBorders>
              <w:top w:val="nil"/>
              <w:left w:val="nil"/>
              <w:right w:val="nil"/>
            </w:tcBorders>
            <w:shd w:val="clear" w:color="000000" w:fill="FFFFFF"/>
            <w:noWrap/>
            <w:vAlign w:val="bottom"/>
            <w:hideMark/>
          </w:tcPr>
          <w:p w14:paraId="6E2A233B"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5HT</w:t>
            </w:r>
          </w:p>
        </w:tc>
        <w:tc>
          <w:tcPr>
            <w:tcW w:w="1034" w:type="pct"/>
            <w:tcBorders>
              <w:top w:val="nil"/>
              <w:left w:val="nil"/>
              <w:right w:val="nil"/>
            </w:tcBorders>
            <w:shd w:val="clear" w:color="000000" w:fill="FFFFFF"/>
            <w:noWrap/>
            <w:vAlign w:val="bottom"/>
            <w:hideMark/>
          </w:tcPr>
          <w:p w14:paraId="6196898A"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1.242 (</w:t>
            </w:r>
            <w:r w:rsidR="00EC6A12" w:rsidRPr="004C43D5">
              <w:rPr>
                <w:rFonts w:ascii="Arial" w:hAnsi="Arial" w:cs="Arial"/>
                <w:sz w:val="16"/>
                <w:szCs w:val="16"/>
              </w:rPr>
              <w:t>P</w:t>
            </w:r>
            <w:r w:rsidRPr="004C43D5">
              <w:rPr>
                <w:rFonts w:ascii="Arial" w:hAnsi="Arial" w:cs="Arial"/>
                <w:sz w:val="16"/>
                <w:szCs w:val="16"/>
              </w:rPr>
              <w:t>=0.281)</w:t>
            </w:r>
          </w:p>
        </w:tc>
        <w:tc>
          <w:tcPr>
            <w:tcW w:w="1034" w:type="pct"/>
            <w:tcBorders>
              <w:top w:val="nil"/>
              <w:left w:val="nil"/>
              <w:right w:val="nil"/>
            </w:tcBorders>
            <w:shd w:val="clear" w:color="000000" w:fill="FFFFFF"/>
            <w:noWrap/>
            <w:vAlign w:val="bottom"/>
            <w:hideMark/>
          </w:tcPr>
          <w:p w14:paraId="67275DC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4.512 (</w:t>
            </w:r>
            <w:r w:rsidR="00EC6A12" w:rsidRPr="004C43D5">
              <w:rPr>
                <w:rFonts w:ascii="Arial" w:hAnsi="Arial" w:cs="Arial"/>
                <w:b/>
                <w:sz w:val="16"/>
                <w:szCs w:val="16"/>
              </w:rPr>
              <w:t>P</w:t>
            </w:r>
            <w:r w:rsidRPr="004C43D5">
              <w:rPr>
                <w:rFonts w:ascii="Arial" w:hAnsi="Arial" w:cs="Arial"/>
                <w:b/>
                <w:sz w:val="16"/>
                <w:szCs w:val="16"/>
              </w:rPr>
              <w:t>&lt;0.05</w:t>
            </w:r>
            <w:r w:rsidRPr="004C43D5">
              <w:rPr>
                <w:rFonts w:ascii="Arial" w:hAnsi="Arial" w:cs="Arial"/>
                <w:sz w:val="16"/>
                <w:szCs w:val="16"/>
              </w:rPr>
              <w:t>)</w:t>
            </w:r>
          </w:p>
        </w:tc>
        <w:tc>
          <w:tcPr>
            <w:tcW w:w="1034" w:type="pct"/>
            <w:tcBorders>
              <w:top w:val="nil"/>
              <w:left w:val="nil"/>
              <w:right w:val="nil"/>
            </w:tcBorders>
            <w:shd w:val="clear" w:color="000000" w:fill="FFFFFF"/>
            <w:noWrap/>
            <w:vAlign w:val="bottom"/>
            <w:hideMark/>
          </w:tcPr>
          <w:p w14:paraId="6C44A12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2.719 (</w:t>
            </w:r>
            <w:r w:rsidR="00EC6A12" w:rsidRPr="004C43D5">
              <w:rPr>
                <w:rFonts w:ascii="Arial" w:hAnsi="Arial" w:cs="Arial"/>
                <w:sz w:val="16"/>
                <w:szCs w:val="16"/>
              </w:rPr>
              <w:t>P</w:t>
            </w:r>
            <w:r w:rsidRPr="004C43D5">
              <w:rPr>
                <w:rFonts w:ascii="Arial" w:hAnsi="Arial" w:cs="Arial"/>
                <w:sz w:val="16"/>
                <w:szCs w:val="16"/>
              </w:rPr>
              <w:t>=0.118)</w:t>
            </w:r>
          </w:p>
        </w:tc>
        <w:tc>
          <w:tcPr>
            <w:tcW w:w="253" w:type="pct"/>
            <w:tcBorders>
              <w:top w:val="nil"/>
              <w:left w:val="nil"/>
              <w:right w:val="nil"/>
            </w:tcBorders>
            <w:shd w:val="clear" w:color="000000" w:fill="FFFFFF"/>
            <w:noWrap/>
            <w:vAlign w:val="bottom"/>
            <w:hideMark/>
          </w:tcPr>
          <w:p w14:paraId="1FE778E3"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1/20</w:t>
            </w:r>
          </w:p>
        </w:tc>
      </w:tr>
      <w:tr w:rsidR="004C43D5" w:rsidRPr="004C43D5" w14:paraId="44A7DD44" w14:textId="77777777" w:rsidTr="00766EBB">
        <w:trPr>
          <w:trHeight w:val="227"/>
        </w:trPr>
        <w:tc>
          <w:tcPr>
            <w:tcW w:w="489" w:type="pct"/>
            <w:vMerge/>
            <w:tcBorders>
              <w:top w:val="nil"/>
              <w:left w:val="nil"/>
              <w:bottom w:val="nil"/>
              <w:right w:val="nil"/>
            </w:tcBorders>
            <w:vAlign w:val="center"/>
            <w:hideMark/>
          </w:tcPr>
          <w:p w14:paraId="67C1A782" w14:textId="77777777" w:rsidR="00766EBB" w:rsidRPr="004C43D5" w:rsidRDefault="00766EBB" w:rsidP="00766EBB">
            <w:pPr>
              <w:rPr>
                <w:rFonts w:ascii="Arial" w:hAnsi="Arial" w:cs="Arial"/>
                <w:b/>
                <w:bCs/>
                <w:sz w:val="16"/>
                <w:szCs w:val="16"/>
              </w:rPr>
            </w:pPr>
          </w:p>
        </w:tc>
        <w:tc>
          <w:tcPr>
            <w:tcW w:w="1156" w:type="pct"/>
            <w:tcBorders>
              <w:top w:val="nil"/>
              <w:left w:val="nil"/>
              <w:bottom w:val="single" w:sz="4" w:space="0" w:color="auto"/>
              <w:right w:val="nil"/>
            </w:tcBorders>
            <w:shd w:val="clear" w:color="000000" w:fill="FFFFFF"/>
            <w:noWrap/>
            <w:vAlign w:val="bottom"/>
            <w:hideMark/>
          </w:tcPr>
          <w:p w14:paraId="0B440876"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5HIAA/5HT</w:t>
            </w:r>
          </w:p>
        </w:tc>
        <w:tc>
          <w:tcPr>
            <w:tcW w:w="1034" w:type="pct"/>
            <w:tcBorders>
              <w:top w:val="nil"/>
              <w:left w:val="nil"/>
              <w:bottom w:val="single" w:sz="4" w:space="0" w:color="auto"/>
              <w:right w:val="nil"/>
            </w:tcBorders>
            <w:shd w:val="clear" w:color="000000" w:fill="FFFFFF"/>
            <w:noWrap/>
            <w:vAlign w:val="bottom"/>
            <w:hideMark/>
          </w:tcPr>
          <w:p w14:paraId="4C054F5D"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0.003 (</w:t>
            </w:r>
            <w:r w:rsidR="00EC6A12" w:rsidRPr="004C43D5">
              <w:rPr>
                <w:rFonts w:ascii="Arial" w:hAnsi="Arial" w:cs="Arial"/>
                <w:sz w:val="16"/>
                <w:szCs w:val="16"/>
              </w:rPr>
              <w:t>P</w:t>
            </w:r>
            <w:r w:rsidRPr="004C43D5">
              <w:rPr>
                <w:rFonts w:ascii="Arial" w:hAnsi="Arial" w:cs="Arial"/>
                <w:sz w:val="16"/>
                <w:szCs w:val="16"/>
              </w:rPr>
              <w:t>=0.960)</w:t>
            </w:r>
          </w:p>
        </w:tc>
        <w:tc>
          <w:tcPr>
            <w:tcW w:w="1034" w:type="pct"/>
            <w:tcBorders>
              <w:top w:val="nil"/>
              <w:left w:val="nil"/>
              <w:bottom w:val="single" w:sz="4" w:space="0" w:color="auto"/>
              <w:right w:val="nil"/>
            </w:tcBorders>
            <w:shd w:val="clear" w:color="000000" w:fill="FFFFFF"/>
            <w:noWrap/>
            <w:vAlign w:val="bottom"/>
            <w:hideMark/>
          </w:tcPr>
          <w:p w14:paraId="02C27AF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4.361 (</w:t>
            </w:r>
            <w:r w:rsidR="00EC6A12" w:rsidRPr="004C43D5">
              <w:rPr>
                <w:rFonts w:ascii="Arial" w:hAnsi="Arial" w:cs="Arial"/>
                <w:sz w:val="16"/>
                <w:szCs w:val="16"/>
              </w:rPr>
              <w:t>P</w:t>
            </w:r>
            <w:r w:rsidRPr="004C43D5">
              <w:rPr>
                <w:rFonts w:ascii="Arial" w:hAnsi="Arial" w:cs="Arial"/>
                <w:sz w:val="16"/>
                <w:szCs w:val="16"/>
              </w:rPr>
              <w:t>=0.051)</w:t>
            </w:r>
          </w:p>
        </w:tc>
        <w:tc>
          <w:tcPr>
            <w:tcW w:w="1034" w:type="pct"/>
            <w:tcBorders>
              <w:top w:val="nil"/>
              <w:left w:val="nil"/>
              <w:bottom w:val="single" w:sz="4" w:space="0" w:color="auto"/>
              <w:right w:val="nil"/>
            </w:tcBorders>
            <w:shd w:val="clear" w:color="000000" w:fill="FFFFFF"/>
            <w:noWrap/>
            <w:vAlign w:val="bottom"/>
            <w:hideMark/>
          </w:tcPr>
          <w:p w14:paraId="79F49AA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1.818 (</w:t>
            </w:r>
            <w:r w:rsidR="00EC6A12" w:rsidRPr="004C43D5">
              <w:rPr>
                <w:rFonts w:ascii="Arial" w:hAnsi="Arial" w:cs="Arial"/>
                <w:sz w:val="16"/>
                <w:szCs w:val="16"/>
              </w:rPr>
              <w:t>P</w:t>
            </w:r>
            <w:r w:rsidRPr="004C43D5">
              <w:rPr>
                <w:rFonts w:ascii="Arial" w:hAnsi="Arial" w:cs="Arial"/>
                <w:sz w:val="16"/>
                <w:szCs w:val="16"/>
              </w:rPr>
              <w:t>=0.194)</w:t>
            </w:r>
          </w:p>
        </w:tc>
        <w:tc>
          <w:tcPr>
            <w:tcW w:w="253" w:type="pct"/>
            <w:tcBorders>
              <w:top w:val="nil"/>
              <w:left w:val="nil"/>
              <w:bottom w:val="single" w:sz="4" w:space="0" w:color="auto"/>
              <w:right w:val="nil"/>
            </w:tcBorders>
            <w:shd w:val="clear" w:color="000000" w:fill="FFFFFF"/>
            <w:noWrap/>
            <w:vAlign w:val="bottom"/>
            <w:hideMark/>
          </w:tcPr>
          <w:p w14:paraId="37DD6CE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1/21</w:t>
            </w:r>
          </w:p>
        </w:tc>
      </w:tr>
      <w:tr w:rsidR="004C43D5" w:rsidRPr="004C43D5" w14:paraId="25B7D917" w14:textId="77777777" w:rsidTr="00766EBB">
        <w:trPr>
          <w:trHeight w:val="227"/>
        </w:trPr>
        <w:tc>
          <w:tcPr>
            <w:tcW w:w="489" w:type="pct"/>
            <w:vMerge w:val="restart"/>
            <w:tcBorders>
              <w:top w:val="nil"/>
              <w:left w:val="nil"/>
              <w:bottom w:val="nil"/>
              <w:right w:val="nil"/>
            </w:tcBorders>
            <w:shd w:val="clear" w:color="000000" w:fill="FFFFFF"/>
            <w:noWrap/>
            <w:vAlign w:val="center"/>
            <w:hideMark/>
          </w:tcPr>
          <w:p w14:paraId="76E06380"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Acb</w:t>
            </w:r>
          </w:p>
        </w:tc>
        <w:tc>
          <w:tcPr>
            <w:tcW w:w="1156" w:type="pct"/>
            <w:tcBorders>
              <w:top w:val="single" w:sz="4" w:space="0" w:color="auto"/>
              <w:left w:val="nil"/>
              <w:right w:val="nil"/>
            </w:tcBorders>
            <w:shd w:val="clear" w:color="000000" w:fill="FFFFFF"/>
            <w:noWrap/>
            <w:vAlign w:val="bottom"/>
            <w:hideMark/>
          </w:tcPr>
          <w:p w14:paraId="195611A0"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DA</w:t>
            </w:r>
          </w:p>
        </w:tc>
        <w:tc>
          <w:tcPr>
            <w:tcW w:w="1034" w:type="pct"/>
            <w:tcBorders>
              <w:top w:val="single" w:sz="4" w:space="0" w:color="auto"/>
              <w:left w:val="nil"/>
              <w:right w:val="nil"/>
            </w:tcBorders>
            <w:shd w:val="clear" w:color="000000" w:fill="FFFFFF"/>
            <w:noWrap/>
            <w:vAlign w:val="bottom"/>
            <w:hideMark/>
          </w:tcPr>
          <w:p w14:paraId="15EEDECD"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0.449 (</w:t>
            </w:r>
            <w:r w:rsidR="00EC6A12" w:rsidRPr="004C43D5">
              <w:rPr>
                <w:rFonts w:ascii="Arial" w:hAnsi="Arial" w:cs="Arial"/>
                <w:sz w:val="16"/>
                <w:szCs w:val="16"/>
              </w:rPr>
              <w:t>P</w:t>
            </w:r>
            <w:r w:rsidRPr="004C43D5">
              <w:rPr>
                <w:rFonts w:ascii="Arial" w:hAnsi="Arial" w:cs="Arial"/>
                <w:sz w:val="16"/>
                <w:szCs w:val="16"/>
              </w:rPr>
              <w:t>=0.511)</w:t>
            </w:r>
          </w:p>
        </w:tc>
        <w:tc>
          <w:tcPr>
            <w:tcW w:w="1034" w:type="pct"/>
            <w:tcBorders>
              <w:top w:val="single" w:sz="4" w:space="0" w:color="auto"/>
              <w:left w:val="nil"/>
              <w:right w:val="nil"/>
            </w:tcBorders>
            <w:shd w:val="clear" w:color="000000" w:fill="FFFFFF"/>
            <w:noWrap/>
            <w:vAlign w:val="bottom"/>
            <w:hideMark/>
          </w:tcPr>
          <w:p w14:paraId="07E6106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8.902 (</w:t>
            </w:r>
            <w:r w:rsidR="00EC6A12" w:rsidRPr="004C43D5">
              <w:rPr>
                <w:rFonts w:ascii="Arial" w:hAnsi="Arial" w:cs="Arial"/>
                <w:b/>
                <w:sz w:val="16"/>
                <w:szCs w:val="16"/>
              </w:rPr>
              <w:t>P</w:t>
            </w:r>
            <w:r w:rsidRPr="004C43D5">
              <w:rPr>
                <w:rFonts w:ascii="Arial" w:hAnsi="Arial" w:cs="Arial"/>
                <w:b/>
                <w:sz w:val="16"/>
                <w:szCs w:val="16"/>
              </w:rPr>
              <w:t>&lt;0.01</w:t>
            </w:r>
            <w:r w:rsidRPr="004C43D5">
              <w:rPr>
                <w:rFonts w:ascii="Arial" w:hAnsi="Arial" w:cs="Arial"/>
                <w:sz w:val="16"/>
                <w:szCs w:val="16"/>
              </w:rPr>
              <w:t>)</w:t>
            </w:r>
          </w:p>
        </w:tc>
        <w:tc>
          <w:tcPr>
            <w:tcW w:w="1034" w:type="pct"/>
            <w:tcBorders>
              <w:top w:val="single" w:sz="4" w:space="0" w:color="auto"/>
              <w:left w:val="nil"/>
              <w:right w:val="nil"/>
            </w:tcBorders>
            <w:shd w:val="clear" w:color="000000" w:fill="FFFFFF"/>
            <w:noWrap/>
            <w:vAlign w:val="bottom"/>
            <w:hideMark/>
          </w:tcPr>
          <w:p w14:paraId="200F0BA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0.023 (</w:t>
            </w:r>
            <w:r w:rsidR="00EC6A12" w:rsidRPr="004C43D5">
              <w:rPr>
                <w:rFonts w:ascii="Arial" w:hAnsi="Arial" w:cs="Arial"/>
                <w:sz w:val="16"/>
                <w:szCs w:val="16"/>
              </w:rPr>
              <w:t>P</w:t>
            </w:r>
            <w:r w:rsidRPr="004C43D5">
              <w:rPr>
                <w:rFonts w:ascii="Arial" w:hAnsi="Arial" w:cs="Arial"/>
                <w:sz w:val="16"/>
                <w:szCs w:val="16"/>
              </w:rPr>
              <w:t>=0.882)</w:t>
            </w:r>
          </w:p>
        </w:tc>
        <w:tc>
          <w:tcPr>
            <w:tcW w:w="253" w:type="pct"/>
            <w:tcBorders>
              <w:top w:val="single" w:sz="4" w:space="0" w:color="auto"/>
              <w:left w:val="nil"/>
              <w:right w:val="nil"/>
            </w:tcBorders>
            <w:shd w:val="clear" w:color="000000" w:fill="FFFFFF"/>
            <w:noWrap/>
            <w:vAlign w:val="bottom"/>
            <w:hideMark/>
          </w:tcPr>
          <w:p w14:paraId="7C3F5BF6"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1/22</w:t>
            </w:r>
          </w:p>
        </w:tc>
      </w:tr>
      <w:tr w:rsidR="004C43D5" w:rsidRPr="004C43D5" w14:paraId="1E30C388" w14:textId="77777777" w:rsidTr="00766EBB">
        <w:trPr>
          <w:trHeight w:val="227"/>
        </w:trPr>
        <w:tc>
          <w:tcPr>
            <w:tcW w:w="489" w:type="pct"/>
            <w:vMerge/>
            <w:tcBorders>
              <w:top w:val="nil"/>
              <w:left w:val="nil"/>
              <w:bottom w:val="nil"/>
              <w:right w:val="nil"/>
            </w:tcBorders>
            <w:vAlign w:val="center"/>
            <w:hideMark/>
          </w:tcPr>
          <w:p w14:paraId="1910106A" w14:textId="77777777" w:rsidR="00766EBB" w:rsidRPr="004C43D5" w:rsidRDefault="00766EBB" w:rsidP="00766EBB">
            <w:pPr>
              <w:rPr>
                <w:rFonts w:ascii="Arial" w:hAnsi="Arial" w:cs="Arial"/>
                <w:b/>
                <w:bCs/>
                <w:sz w:val="16"/>
                <w:szCs w:val="16"/>
              </w:rPr>
            </w:pPr>
          </w:p>
        </w:tc>
        <w:tc>
          <w:tcPr>
            <w:tcW w:w="1156" w:type="pct"/>
            <w:tcBorders>
              <w:left w:val="nil"/>
              <w:bottom w:val="nil"/>
              <w:right w:val="nil"/>
            </w:tcBorders>
            <w:shd w:val="clear" w:color="000000" w:fill="FFFFFF"/>
            <w:noWrap/>
            <w:vAlign w:val="bottom"/>
            <w:hideMark/>
          </w:tcPr>
          <w:p w14:paraId="185269CF"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DOPAC+HVA/DA</w:t>
            </w:r>
          </w:p>
        </w:tc>
        <w:tc>
          <w:tcPr>
            <w:tcW w:w="1034" w:type="pct"/>
            <w:tcBorders>
              <w:left w:val="nil"/>
              <w:bottom w:val="nil"/>
              <w:right w:val="nil"/>
            </w:tcBorders>
            <w:shd w:val="clear" w:color="000000" w:fill="FFFFFF"/>
            <w:noWrap/>
            <w:vAlign w:val="bottom"/>
            <w:hideMark/>
          </w:tcPr>
          <w:p w14:paraId="2CB1DFA0"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0.191 (</w:t>
            </w:r>
            <w:r w:rsidR="00EC6A12" w:rsidRPr="004C43D5">
              <w:rPr>
                <w:rFonts w:ascii="Arial" w:hAnsi="Arial" w:cs="Arial"/>
                <w:sz w:val="16"/>
                <w:szCs w:val="16"/>
              </w:rPr>
              <w:t>P</w:t>
            </w:r>
            <w:r w:rsidRPr="004C43D5">
              <w:rPr>
                <w:rFonts w:ascii="Arial" w:hAnsi="Arial" w:cs="Arial"/>
                <w:sz w:val="16"/>
                <w:szCs w:val="16"/>
              </w:rPr>
              <w:t>=0.666)</w:t>
            </w:r>
          </w:p>
        </w:tc>
        <w:tc>
          <w:tcPr>
            <w:tcW w:w="1034" w:type="pct"/>
            <w:tcBorders>
              <w:left w:val="nil"/>
              <w:bottom w:val="nil"/>
              <w:right w:val="nil"/>
            </w:tcBorders>
            <w:shd w:val="clear" w:color="000000" w:fill="FFFFFF"/>
            <w:noWrap/>
            <w:vAlign w:val="bottom"/>
            <w:hideMark/>
          </w:tcPr>
          <w:p w14:paraId="3EDCC42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0.021 (</w:t>
            </w:r>
            <w:r w:rsidR="00EC6A12" w:rsidRPr="004C43D5">
              <w:rPr>
                <w:rFonts w:ascii="Arial" w:hAnsi="Arial" w:cs="Arial"/>
                <w:sz w:val="16"/>
                <w:szCs w:val="16"/>
              </w:rPr>
              <w:t>P</w:t>
            </w:r>
            <w:r w:rsidRPr="004C43D5">
              <w:rPr>
                <w:rFonts w:ascii="Arial" w:hAnsi="Arial" w:cs="Arial"/>
                <w:sz w:val="16"/>
                <w:szCs w:val="16"/>
              </w:rPr>
              <w:t>=0.886)</w:t>
            </w:r>
          </w:p>
        </w:tc>
        <w:tc>
          <w:tcPr>
            <w:tcW w:w="1034" w:type="pct"/>
            <w:tcBorders>
              <w:left w:val="nil"/>
              <w:bottom w:val="nil"/>
              <w:right w:val="nil"/>
            </w:tcBorders>
            <w:shd w:val="clear" w:color="000000" w:fill="FFFFFF"/>
            <w:noWrap/>
            <w:vAlign w:val="bottom"/>
            <w:hideMark/>
          </w:tcPr>
          <w:p w14:paraId="365E13DD"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0.890 (</w:t>
            </w:r>
            <w:r w:rsidR="00EC6A12" w:rsidRPr="004C43D5">
              <w:rPr>
                <w:rFonts w:ascii="Arial" w:hAnsi="Arial" w:cs="Arial"/>
                <w:sz w:val="16"/>
                <w:szCs w:val="16"/>
              </w:rPr>
              <w:t>P</w:t>
            </w:r>
            <w:r w:rsidRPr="004C43D5">
              <w:rPr>
                <w:rFonts w:ascii="Arial" w:hAnsi="Arial" w:cs="Arial"/>
                <w:sz w:val="16"/>
                <w:szCs w:val="16"/>
              </w:rPr>
              <w:t>=0.356)</w:t>
            </w:r>
          </w:p>
        </w:tc>
        <w:tc>
          <w:tcPr>
            <w:tcW w:w="253" w:type="pct"/>
            <w:tcBorders>
              <w:left w:val="nil"/>
              <w:bottom w:val="nil"/>
              <w:right w:val="nil"/>
            </w:tcBorders>
            <w:shd w:val="clear" w:color="000000" w:fill="FFFFFF"/>
            <w:noWrap/>
            <w:vAlign w:val="bottom"/>
            <w:hideMark/>
          </w:tcPr>
          <w:p w14:paraId="522CDD40"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1/25</w:t>
            </w:r>
          </w:p>
        </w:tc>
      </w:tr>
      <w:tr w:rsidR="004C43D5" w:rsidRPr="004C43D5" w14:paraId="0993A69B" w14:textId="77777777" w:rsidTr="00766EBB">
        <w:trPr>
          <w:trHeight w:val="227"/>
        </w:trPr>
        <w:tc>
          <w:tcPr>
            <w:tcW w:w="489" w:type="pct"/>
            <w:vMerge/>
            <w:tcBorders>
              <w:top w:val="nil"/>
              <w:left w:val="nil"/>
              <w:bottom w:val="nil"/>
              <w:right w:val="nil"/>
            </w:tcBorders>
            <w:vAlign w:val="center"/>
            <w:hideMark/>
          </w:tcPr>
          <w:p w14:paraId="4FCA05BB"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144AC229"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 xml:space="preserve">NA </w:t>
            </w:r>
          </w:p>
        </w:tc>
        <w:tc>
          <w:tcPr>
            <w:tcW w:w="1034" w:type="pct"/>
            <w:tcBorders>
              <w:top w:val="nil"/>
              <w:left w:val="nil"/>
              <w:bottom w:val="nil"/>
              <w:right w:val="nil"/>
            </w:tcBorders>
            <w:shd w:val="clear" w:color="000000" w:fill="FFFFFF"/>
            <w:noWrap/>
            <w:vAlign w:val="bottom"/>
            <w:hideMark/>
          </w:tcPr>
          <w:p w14:paraId="13074F9A"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0.000 (</w:t>
            </w:r>
            <w:r w:rsidR="00EC6A12" w:rsidRPr="004C43D5">
              <w:rPr>
                <w:rFonts w:ascii="Arial" w:hAnsi="Arial" w:cs="Arial"/>
                <w:sz w:val="16"/>
                <w:szCs w:val="16"/>
              </w:rPr>
              <w:t>P</w:t>
            </w:r>
            <w:r w:rsidRPr="004C43D5">
              <w:rPr>
                <w:rFonts w:ascii="Arial" w:hAnsi="Arial" w:cs="Arial"/>
                <w:sz w:val="16"/>
                <w:szCs w:val="16"/>
              </w:rPr>
              <w:t>=0.984)</w:t>
            </w:r>
          </w:p>
        </w:tc>
        <w:tc>
          <w:tcPr>
            <w:tcW w:w="1034" w:type="pct"/>
            <w:tcBorders>
              <w:top w:val="nil"/>
              <w:left w:val="nil"/>
              <w:bottom w:val="nil"/>
              <w:right w:val="nil"/>
            </w:tcBorders>
            <w:shd w:val="clear" w:color="000000" w:fill="FFFFFF"/>
            <w:noWrap/>
            <w:vAlign w:val="bottom"/>
            <w:hideMark/>
          </w:tcPr>
          <w:p w14:paraId="1A857CF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0.007 (</w:t>
            </w:r>
            <w:r w:rsidR="00EC6A12" w:rsidRPr="004C43D5">
              <w:rPr>
                <w:rFonts w:ascii="Arial" w:hAnsi="Arial" w:cs="Arial"/>
                <w:sz w:val="16"/>
                <w:szCs w:val="16"/>
              </w:rPr>
              <w:t>P</w:t>
            </w:r>
            <w:r w:rsidRPr="004C43D5">
              <w:rPr>
                <w:rFonts w:ascii="Arial" w:hAnsi="Arial" w:cs="Arial"/>
                <w:sz w:val="16"/>
                <w:szCs w:val="16"/>
              </w:rPr>
              <w:t>=0.933)</w:t>
            </w:r>
          </w:p>
        </w:tc>
        <w:tc>
          <w:tcPr>
            <w:tcW w:w="1034" w:type="pct"/>
            <w:tcBorders>
              <w:top w:val="nil"/>
              <w:left w:val="nil"/>
              <w:bottom w:val="nil"/>
              <w:right w:val="nil"/>
            </w:tcBorders>
            <w:shd w:val="clear" w:color="000000" w:fill="FFFFFF"/>
            <w:noWrap/>
            <w:vAlign w:val="bottom"/>
            <w:hideMark/>
          </w:tcPr>
          <w:p w14:paraId="0E180E83"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0.041 (</w:t>
            </w:r>
            <w:r w:rsidR="00EC6A12" w:rsidRPr="004C43D5">
              <w:rPr>
                <w:rFonts w:ascii="Arial" w:hAnsi="Arial" w:cs="Arial"/>
                <w:sz w:val="16"/>
                <w:szCs w:val="16"/>
              </w:rPr>
              <w:t>P</w:t>
            </w:r>
            <w:r w:rsidRPr="004C43D5">
              <w:rPr>
                <w:rFonts w:ascii="Arial" w:hAnsi="Arial" w:cs="Arial"/>
                <w:sz w:val="16"/>
                <w:szCs w:val="16"/>
              </w:rPr>
              <w:t>=0.842)</w:t>
            </w:r>
          </w:p>
        </w:tc>
        <w:tc>
          <w:tcPr>
            <w:tcW w:w="253" w:type="pct"/>
            <w:tcBorders>
              <w:top w:val="nil"/>
              <w:left w:val="nil"/>
              <w:bottom w:val="nil"/>
              <w:right w:val="nil"/>
            </w:tcBorders>
            <w:shd w:val="clear" w:color="000000" w:fill="FFFFFF"/>
            <w:noWrap/>
            <w:vAlign w:val="bottom"/>
            <w:hideMark/>
          </w:tcPr>
          <w:p w14:paraId="4BF177F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1/27</w:t>
            </w:r>
          </w:p>
        </w:tc>
      </w:tr>
      <w:tr w:rsidR="004C43D5" w:rsidRPr="004C43D5" w14:paraId="0CA7B986" w14:textId="77777777" w:rsidTr="00766EBB">
        <w:trPr>
          <w:trHeight w:val="227"/>
        </w:trPr>
        <w:tc>
          <w:tcPr>
            <w:tcW w:w="489" w:type="pct"/>
            <w:vMerge/>
            <w:tcBorders>
              <w:top w:val="nil"/>
              <w:left w:val="nil"/>
              <w:bottom w:val="nil"/>
              <w:right w:val="nil"/>
            </w:tcBorders>
            <w:vAlign w:val="center"/>
            <w:hideMark/>
          </w:tcPr>
          <w:p w14:paraId="006B4F6B" w14:textId="77777777" w:rsidR="00766EBB" w:rsidRPr="004C43D5" w:rsidRDefault="00766EBB" w:rsidP="00766EBB">
            <w:pPr>
              <w:rPr>
                <w:rFonts w:ascii="Arial" w:hAnsi="Arial" w:cs="Arial"/>
                <w:b/>
                <w:bCs/>
                <w:sz w:val="16"/>
                <w:szCs w:val="16"/>
              </w:rPr>
            </w:pPr>
          </w:p>
        </w:tc>
        <w:tc>
          <w:tcPr>
            <w:tcW w:w="1156" w:type="pct"/>
            <w:tcBorders>
              <w:top w:val="nil"/>
              <w:left w:val="nil"/>
              <w:right w:val="nil"/>
            </w:tcBorders>
            <w:shd w:val="clear" w:color="000000" w:fill="FFFFFF"/>
            <w:noWrap/>
            <w:vAlign w:val="bottom"/>
            <w:hideMark/>
          </w:tcPr>
          <w:p w14:paraId="2FD27DCF"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5HT</w:t>
            </w:r>
          </w:p>
        </w:tc>
        <w:tc>
          <w:tcPr>
            <w:tcW w:w="1034" w:type="pct"/>
            <w:tcBorders>
              <w:top w:val="nil"/>
              <w:left w:val="nil"/>
              <w:right w:val="nil"/>
            </w:tcBorders>
            <w:shd w:val="clear" w:color="000000" w:fill="FFFFFF"/>
            <w:noWrap/>
            <w:vAlign w:val="bottom"/>
            <w:hideMark/>
          </w:tcPr>
          <w:p w14:paraId="3931420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2.211 (</w:t>
            </w:r>
            <w:r w:rsidR="00EC6A12" w:rsidRPr="004C43D5">
              <w:rPr>
                <w:rFonts w:ascii="Arial" w:hAnsi="Arial" w:cs="Arial"/>
                <w:sz w:val="16"/>
                <w:szCs w:val="16"/>
              </w:rPr>
              <w:t>P</w:t>
            </w:r>
            <w:r w:rsidRPr="004C43D5">
              <w:rPr>
                <w:rFonts w:ascii="Arial" w:hAnsi="Arial" w:cs="Arial"/>
                <w:sz w:val="16"/>
                <w:szCs w:val="16"/>
              </w:rPr>
              <w:t>=0.152)</w:t>
            </w:r>
          </w:p>
        </w:tc>
        <w:tc>
          <w:tcPr>
            <w:tcW w:w="1034" w:type="pct"/>
            <w:tcBorders>
              <w:top w:val="nil"/>
              <w:left w:val="nil"/>
              <w:right w:val="nil"/>
            </w:tcBorders>
            <w:shd w:val="clear" w:color="000000" w:fill="FFFFFF"/>
            <w:noWrap/>
            <w:vAlign w:val="bottom"/>
            <w:hideMark/>
          </w:tcPr>
          <w:p w14:paraId="31BF8F27"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2.175 (</w:t>
            </w:r>
            <w:r w:rsidR="00EC6A12" w:rsidRPr="004C43D5">
              <w:rPr>
                <w:rFonts w:ascii="Arial" w:hAnsi="Arial" w:cs="Arial"/>
                <w:sz w:val="16"/>
                <w:szCs w:val="16"/>
              </w:rPr>
              <w:t>P</w:t>
            </w:r>
            <w:r w:rsidRPr="004C43D5">
              <w:rPr>
                <w:rFonts w:ascii="Arial" w:hAnsi="Arial" w:cs="Arial"/>
                <w:sz w:val="16"/>
                <w:szCs w:val="16"/>
              </w:rPr>
              <w:t>=0.155)</w:t>
            </w:r>
          </w:p>
        </w:tc>
        <w:tc>
          <w:tcPr>
            <w:tcW w:w="1034" w:type="pct"/>
            <w:tcBorders>
              <w:top w:val="nil"/>
              <w:left w:val="nil"/>
              <w:right w:val="nil"/>
            </w:tcBorders>
            <w:shd w:val="clear" w:color="000000" w:fill="FFFFFF"/>
            <w:noWrap/>
            <w:vAlign w:val="bottom"/>
            <w:hideMark/>
          </w:tcPr>
          <w:p w14:paraId="1CE3A396"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4.308 (</w:t>
            </w:r>
            <w:r w:rsidR="00EC6A12" w:rsidRPr="004C43D5">
              <w:rPr>
                <w:rFonts w:ascii="Arial" w:hAnsi="Arial" w:cs="Arial"/>
                <w:sz w:val="16"/>
                <w:szCs w:val="16"/>
              </w:rPr>
              <w:t>P</w:t>
            </w:r>
            <w:r w:rsidRPr="004C43D5">
              <w:rPr>
                <w:rFonts w:ascii="Arial" w:hAnsi="Arial" w:cs="Arial"/>
                <w:sz w:val="16"/>
                <w:szCs w:val="16"/>
              </w:rPr>
              <w:t>=0.050)</w:t>
            </w:r>
          </w:p>
        </w:tc>
        <w:tc>
          <w:tcPr>
            <w:tcW w:w="253" w:type="pct"/>
            <w:tcBorders>
              <w:top w:val="nil"/>
              <w:left w:val="nil"/>
              <w:right w:val="nil"/>
            </w:tcBorders>
            <w:shd w:val="clear" w:color="000000" w:fill="FFFFFF"/>
            <w:noWrap/>
            <w:vAlign w:val="bottom"/>
            <w:hideMark/>
          </w:tcPr>
          <w:p w14:paraId="640771D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1/24</w:t>
            </w:r>
          </w:p>
        </w:tc>
      </w:tr>
      <w:tr w:rsidR="004C43D5" w:rsidRPr="004C43D5" w14:paraId="1484E99F" w14:textId="77777777" w:rsidTr="00766EBB">
        <w:trPr>
          <w:trHeight w:val="227"/>
        </w:trPr>
        <w:tc>
          <w:tcPr>
            <w:tcW w:w="489" w:type="pct"/>
            <w:vMerge/>
            <w:tcBorders>
              <w:top w:val="nil"/>
              <w:left w:val="nil"/>
              <w:bottom w:val="nil"/>
              <w:right w:val="nil"/>
            </w:tcBorders>
            <w:vAlign w:val="center"/>
            <w:hideMark/>
          </w:tcPr>
          <w:p w14:paraId="198510CA" w14:textId="77777777" w:rsidR="00766EBB" w:rsidRPr="004C43D5" w:rsidRDefault="00766EBB" w:rsidP="00766EBB">
            <w:pPr>
              <w:rPr>
                <w:rFonts w:ascii="Arial" w:hAnsi="Arial" w:cs="Arial"/>
                <w:b/>
                <w:bCs/>
                <w:sz w:val="16"/>
                <w:szCs w:val="16"/>
              </w:rPr>
            </w:pPr>
          </w:p>
        </w:tc>
        <w:tc>
          <w:tcPr>
            <w:tcW w:w="1156" w:type="pct"/>
            <w:tcBorders>
              <w:top w:val="nil"/>
              <w:left w:val="nil"/>
              <w:bottom w:val="single" w:sz="4" w:space="0" w:color="auto"/>
              <w:right w:val="nil"/>
            </w:tcBorders>
            <w:shd w:val="clear" w:color="000000" w:fill="FFFFFF"/>
            <w:noWrap/>
            <w:vAlign w:val="bottom"/>
            <w:hideMark/>
          </w:tcPr>
          <w:p w14:paraId="20E1D752"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5HIAA/5HT</w:t>
            </w:r>
          </w:p>
        </w:tc>
        <w:tc>
          <w:tcPr>
            <w:tcW w:w="1034" w:type="pct"/>
            <w:tcBorders>
              <w:top w:val="nil"/>
              <w:left w:val="nil"/>
              <w:bottom w:val="single" w:sz="4" w:space="0" w:color="auto"/>
              <w:right w:val="nil"/>
            </w:tcBorders>
            <w:shd w:val="clear" w:color="000000" w:fill="FFFFFF"/>
            <w:noWrap/>
            <w:vAlign w:val="bottom"/>
            <w:hideMark/>
          </w:tcPr>
          <w:p w14:paraId="130E38A3"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7.405 (</w:t>
            </w:r>
            <w:r w:rsidR="00EC6A12" w:rsidRPr="004C43D5">
              <w:rPr>
                <w:rFonts w:ascii="Arial" w:hAnsi="Arial" w:cs="Arial"/>
                <w:b/>
                <w:sz w:val="16"/>
                <w:szCs w:val="16"/>
              </w:rPr>
              <w:t>P</w:t>
            </w:r>
            <w:r w:rsidRPr="004C43D5">
              <w:rPr>
                <w:rFonts w:ascii="Arial" w:hAnsi="Arial" w:cs="Arial"/>
                <w:b/>
                <w:sz w:val="16"/>
                <w:szCs w:val="16"/>
              </w:rPr>
              <w:t>&lt;0.05</w:t>
            </w:r>
            <w:r w:rsidRPr="004C43D5">
              <w:rPr>
                <w:rFonts w:ascii="Arial" w:hAnsi="Arial" w:cs="Arial"/>
                <w:sz w:val="16"/>
                <w:szCs w:val="16"/>
              </w:rPr>
              <w:t>)</w:t>
            </w:r>
          </w:p>
        </w:tc>
        <w:tc>
          <w:tcPr>
            <w:tcW w:w="1034" w:type="pct"/>
            <w:tcBorders>
              <w:top w:val="nil"/>
              <w:left w:val="nil"/>
              <w:bottom w:val="single" w:sz="4" w:space="0" w:color="auto"/>
              <w:right w:val="nil"/>
            </w:tcBorders>
            <w:shd w:val="clear" w:color="000000" w:fill="FFFFFF"/>
            <w:noWrap/>
            <w:vAlign w:val="bottom"/>
            <w:hideMark/>
          </w:tcPr>
          <w:p w14:paraId="239F8282"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0.209 (</w:t>
            </w:r>
            <w:r w:rsidR="00EC6A12" w:rsidRPr="004C43D5">
              <w:rPr>
                <w:rFonts w:ascii="Arial" w:hAnsi="Arial" w:cs="Arial"/>
                <w:sz w:val="16"/>
                <w:szCs w:val="16"/>
              </w:rPr>
              <w:t>P</w:t>
            </w:r>
            <w:r w:rsidRPr="004C43D5">
              <w:rPr>
                <w:rFonts w:ascii="Arial" w:hAnsi="Arial" w:cs="Arial"/>
                <w:sz w:val="16"/>
                <w:szCs w:val="16"/>
              </w:rPr>
              <w:t>=0.654)</w:t>
            </w:r>
          </w:p>
        </w:tc>
        <w:tc>
          <w:tcPr>
            <w:tcW w:w="1034" w:type="pct"/>
            <w:tcBorders>
              <w:top w:val="nil"/>
              <w:left w:val="nil"/>
              <w:bottom w:val="single" w:sz="4" w:space="0" w:color="auto"/>
              <w:right w:val="nil"/>
            </w:tcBorders>
            <w:shd w:val="clear" w:color="000000" w:fill="FFFFFF"/>
            <w:noWrap/>
            <w:vAlign w:val="bottom"/>
            <w:hideMark/>
          </w:tcPr>
          <w:p w14:paraId="395E7F0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10.034 (</w:t>
            </w:r>
            <w:r w:rsidR="00EC6A12" w:rsidRPr="004C43D5">
              <w:rPr>
                <w:rFonts w:ascii="Arial" w:hAnsi="Arial" w:cs="Arial"/>
                <w:b/>
                <w:sz w:val="16"/>
                <w:szCs w:val="16"/>
              </w:rPr>
              <w:t>P</w:t>
            </w:r>
            <w:r w:rsidRPr="004C43D5">
              <w:rPr>
                <w:rFonts w:ascii="Arial" w:hAnsi="Arial" w:cs="Arial"/>
                <w:b/>
                <w:sz w:val="16"/>
                <w:szCs w:val="16"/>
              </w:rPr>
              <w:t>&lt;0.01</w:t>
            </w:r>
            <w:r w:rsidRPr="004C43D5">
              <w:rPr>
                <w:rFonts w:ascii="Arial" w:hAnsi="Arial" w:cs="Arial"/>
                <w:sz w:val="16"/>
                <w:szCs w:val="16"/>
              </w:rPr>
              <w:t>)</w:t>
            </w:r>
          </w:p>
        </w:tc>
        <w:tc>
          <w:tcPr>
            <w:tcW w:w="253" w:type="pct"/>
            <w:tcBorders>
              <w:top w:val="nil"/>
              <w:left w:val="nil"/>
              <w:bottom w:val="single" w:sz="4" w:space="0" w:color="auto"/>
              <w:right w:val="nil"/>
            </w:tcBorders>
            <w:shd w:val="clear" w:color="000000" w:fill="FFFFFF"/>
            <w:noWrap/>
            <w:vAlign w:val="bottom"/>
            <w:hideMark/>
          </w:tcPr>
          <w:p w14:paraId="793C2C8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1/18</w:t>
            </w:r>
          </w:p>
        </w:tc>
      </w:tr>
      <w:tr w:rsidR="004C43D5" w:rsidRPr="004C43D5" w14:paraId="165B6A99" w14:textId="77777777" w:rsidTr="00766EBB">
        <w:trPr>
          <w:trHeight w:val="227"/>
        </w:trPr>
        <w:tc>
          <w:tcPr>
            <w:tcW w:w="489" w:type="pct"/>
            <w:vMerge w:val="restart"/>
            <w:tcBorders>
              <w:top w:val="nil"/>
              <w:left w:val="nil"/>
              <w:bottom w:val="nil"/>
              <w:right w:val="nil"/>
            </w:tcBorders>
            <w:shd w:val="clear" w:color="000000" w:fill="FFFFFF"/>
            <w:noWrap/>
            <w:vAlign w:val="center"/>
            <w:hideMark/>
          </w:tcPr>
          <w:p w14:paraId="4A03439D"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CPu</w:t>
            </w:r>
          </w:p>
        </w:tc>
        <w:tc>
          <w:tcPr>
            <w:tcW w:w="1156" w:type="pct"/>
            <w:tcBorders>
              <w:top w:val="single" w:sz="4" w:space="0" w:color="auto"/>
              <w:left w:val="nil"/>
              <w:bottom w:val="nil"/>
              <w:right w:val="nil"/>
            </w:tcBorders>
            <w:shd w:val="clear" w:color="000000" w:fill="FFFFFF"/>
            <w:noWrap/>
            <w:vAlign w:val="bottom"/>
            <w:hideMark/>
          </w:tcPr>
          <w:p w14:paraId="7A45C97B"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DA</w:t>
            </w:r>
          </w:p>
        </w:tc>
        <w:tc>
          <w:tcPr>
            <w:tcW w:w="1034" w:type="pct"/>
            <w:tcBorders>
              <w:top w:val="single" w:sz="4" w:space="0" w:color="auto"/>
              <w:left w:val="nil"/>
              <w:bottom w:val="nil"/>
              <w:right w:val="nil"/>
            </w:tcBorders>
            <w:shd w:val="clear" w:color="000000" w:fill="FFFFFF"/>
            <w:noWrap/>
            <w:vAlign w:val="bottom"/>
            <w:hideMark/>
          </w:tcPr>
          <w:p w14:paraId="624F5FA7"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0.596 (</w:t>
            </w:r>
            <w:r w:rsidR="00EC6A12" w:rsidRPr="004C43D5">
              <w:rPr>
                <w:rFonts w:ascii="Arial" w:hAnsi="Arial" w:cs="Arial"/>
                <w:sz w:val="16"/>
                <w:szCs w:val="16"/>
              </w:rPr>
              <w:t>P</w:t>
            </w:r>
            <w:r w:rsidRPr="004C43D5">
              <w:rPr>
                <w:rFonts w:ascii="Arial" w:hAnsi="Arial" w:cs="Arial"/>
                <w:sz w:val="16"/>
                <w:szCs w:val="16"/>
              </w:rPr>
              <w:t>=0.447)</w:t>
            </w:r>
          </w:p>
        </w:tc>
        <w:tc>
          <w:tcPr>
            <w:tcW w:w="1034" w:type="pct"/>
            <w:tcBorders>
              <w:top w:val="single" w:sz="4" w:space="0" w:color="auto"/>
              <w:left w:val="nil"/>
              <w:bottom w:val="nil"/>
              <w:right w:val="nil"/>
            </w:tcBorders>
            <w:shd w:val="clear" w:color="000000" w:fill="FFFFFF"/>
            <w:noWrap/>
            <w:vAlign w:val="bottom"/>
            <w:hideMark/>
          </w:tcPr>
          <w:p w14:paraId="1A158022"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0.000 (</w:t>
            </w:r>
            <w:r w:rsidR="00EC6A12" w:rsidRPr="004C43D5">
              <w:rPr>
                <w:rFonts w:ascii="Arial" w:hAnsi="Arial" w:cs="Arial"/>
                <w:sz w:val="16"/>
                <w:szCs w:val="16"/>
              </w:rPr>
              <w:t>P</w:t>
            </w:r>
            <w:r w:rsidRPr="004C43D5">
              <w:rPr>
                <w:rFonts w:ascii="Arial" w:hAnsi="Arial" w:cs="Arial"/>
                <w:sz w:val="16"/>
                <w:szCs w:val="16"/>
              </w:rPr>
              <w:t>=0.984)</w:t>
            </w:r>
          </w:p>
        </w:tc>
        <w:tc>
          <w:tcPr>
            <w:tcW w:w="1034" w:type="pct"/>
            <w:tcBorders>
              <w:top w:val="single" w:sz="4" w:space="0" w:color="auto"/>
              <w:left w:val="nil"/>
              <w:bottom w:val="nil"/>
              <w:right w:val="nil"/>
            </w:tcBorders>
            <w:shd w:val="clear" w:color="000000" w:fill="FFFFFF"/>
            <w:noWrap/>
            <w:vAlign w:val="bottom"/>
            <w:hideMark/>
          </w:tcPr>
          <w:p w14:paraId="45E1527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0.107 (</w:t>
            </w:r>
            <w:r w:rsidR="00EC6A12" w:rsidRPr="004C43D5">
              <w:rPr>
                <w:rFonts w:ascii="Arial" w:hAnsi="Arial" w:cs="Arial"/>
                <w:sz w:val="16"/>
                <w:szCs w:val="16"/>
              </w:rPr>
              <w:t>P</w:t>
            </w:r>
            <w:r w:rsidRPr="004C43D5">
              <w:rPr>
                <w:rFonts w:ascii="Arial" w:hAnsi="Arial" w:cs="Arial"/>
                <w:sz w:val="16"/>
                <w:szCs w:val="16"/>
              </w:rPr>
              <w:t>=0.747)</w:t>
            </w:r>
          </w:p>
        </w:tc>
        <w:tc>
          <w:tcPr>
            <w:tcW w:w="253" w:type="pct"/>
            <w:tcBorders>
              <w:top w:val="single" w:sz="4" w:space="0" w:color="auto"/>
              <w:left w:val="nil"/>
              <w:bottom w:val="nil"/>
              <w:right w:val="nil"/>
            </w:tcBorders>
            <w:shd w:val="clear" w:color="000000" w:fill="FFFFFF"/>
            <w:noWrap/>
            <w:vAlign w:val="bottom"/>
            <w:hideMark/>
          </w:tcPr>
          <w:p w14:paraId="7026AA2D"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1/29</w:t>
            </w:r>
          </w:p>
        </w:tc>
      </w:tr>
      <w:tr w:rsidR="004C43D5" w:rsidRPr="004C43D5" w14:paraId="54D5D1D0" w14:textId="77777777" w:rsidTr="00766EBB">
        <w:trPr>
          <w:trHeight w:val="227"/>
        </w:trPr>
        <w:tc>
          <w:tcPr>
            <w:tcW w:w="489" w:type="pct"/>
            <w:vMerge/>
            <w:tcBorders>
              <w:top w:val="nil"/>
              <w:left w:val="nil"/>
              <w:bottom w:val="nil"/>
              <w:right w:val="nil"/>
            </w:tcBorders>
            <w:vAlign w:val="center"/>
            <w:hideMark/>
          </w:tcPr>
          <w:p w14:paraId="4C1538F0"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6536225B"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DOPAC+HVA/DA</w:t>
            </w:r>
          </w:p>
        </w:tc>
        <w:tc>
          <w:tcPr>
            <w:tcW w:w="1034" w:type="pct"/>
            <w:tcBorders>
              <w:top w:val="nil"/>
              <w:left w:val="nil"/>
              <w:bottom w:val="nil"/>
              <w:right w:val="nil"/>
            </w:tcBorders>
            <w:shd w:val="clear" w:color="000000" w:fill="FFFFFF"/>
            <w:noWrap/>
            <w:vAlign w:val="bottom"/>
            <w:hideMark/>
          </w:tcPr>
          <w:p w14:paraId="68D0EEB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0.103 (</w:t>
            </w:r>
            <w:r w:rsidR="00EC6A12" w:rsidRPr="004C43D5">
              <w:rPr>
                <w:rFonts w:ascii="Arial" w:hAnsi="Arial" w:cs="Arial"/>
                <w:sz w:val="16"/>
                <w:szCs w:val="16"/>
              </w:rPr>
              <w:t>P</w:t>
            </w:r>
            <w:r w:rsidRPr="004C43D5">
              <w:rPr>
                <w:rFonts w:ascii="Arial" w:hAnsi="Arial" w:cs="Arial"/>
                <w:sz w:val="16"/>
                <w:szCs w:val="16"/>
              </w:rPr>
              <w:t>=0.751)</w:t>
            </w:r>
          </w:p>
        </w:tc>
        <w:tc>
          <w:tcPr>
            <w:tcW w:w="1034" w:type="pct"/>
            <w:tcBorders>
              <w:top w:val="nil"/>
              <w:left w:val="nil"/>
              <w:bottom w:val="nil"/>
              <w:right w:val="nil"/>
            </w:tcBorders>
            <w:shd w:val="clear" w:color="000000" w:fill="FFFFFF"/>
            <w:noWrap/>
            <w:vAlign w:val="bottom"/>
            <w:hideMark/>
          </w:tcPr>
          <w:p w14:paraId="32631E1A"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0.444 (</w:t>
            </w:r>
            <w:r w:rsidR="00EC6A12" w:rsidRPr="004C43D5">
              <w:rPr>
                <w:rFonts w:ascii="Arial" w:hAnsi="Arial" w:cs="Arial"/>
                <w:sz w:val="16"/>
                <w:szCs w:val="16"/>
              </w:rPr>
              <w:t>P</w:t>
            </w:r>
            <w:r w:rsidRPr="004C43D5">
              <w:rPr>
                <w:rFonts w:ascii="Arial" w:hAnsi="Arial" w:cs="Arial"/>
                <w:sz w:val="16"/>
                <w:szCs w:val="16"/>
              </w:rPr>
              <w:t>=0.511)</w:t>
            </w:r>
          </w:p>
        </w:tc>
        <w:tc>
          <w:tcPr>
            <w:tcW w:w="1034" w:type="pct"/>
            <w:tcBorders>
              <w:top w:val="nil"/>
              <w:left w:val="nil"/>
              <w:bottom w:val="nil"/>
              <w:right w:val="nil"/>
            </w:tcBorders>
            <w:shd w:val="clear" w:color="000000" w:fill="FFFFFF"/>
            <w:noWrap/>
            <w:vAlign w:val="bottom"/>
            <w:hideMark/>
          </w:tcPr>
          <w:p w14:paraId="1F869EB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1.600 (</w:t>
            </w:r>
            <w:r w:rsidR="00EC6A12" w:rsidRPr="004C43D5">
              <w:rPr>
                <w:rFonts w:ascii="Arial" w:hAnsi="Arial" w:cs="Arial"/>
                <w:sz w:val="16"/>
                <w:szCs w:val="16"/>
              </w:rPr>
              <w:t>P</w:t>
            </w:r>
            <w:r w:rsidRPr="004C43D5">
              <w:rPr>
                <w:rFonts w:ascii="Arial" w:hAnsi="Arial" w:cs="Arial"/>
                <w:sz w:val="16"/>
                <w:szCs w:val="16"/>
              </w:rPr>
              <w:t>=0.217)</w:t>
            </w:r>
          </w:p>
        </w:tc>
        <w:tc>
          <w:tcPr>
            <w:tcW w:w="253" w:type="pct"/>
            <w:tcBorders>
              <w:top w:val="nil"/>
              <w:left w:val="nil"/>
              <w:bottom w:val="nil"/>
              <w:right w:val="nil"/>
            </w:tcBorders>
            <w:shd w:val="clear" w:color="000000" w:fill="FFFFFF"/>
            <w:noWrap/>
            <w:vAlign w:val="bottom"/>
            <w:hideMark/>
          </w:tcPr>
          <w:p w14:paraId="0A82BE93"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1/29</w:t>
            </w:r>
          </w:p>
        </w:tc>
      </w:tr>
      <w:tr w:rsidR="004C43D5" w:rsidRPr="004C43D5" w14:paraId="719B815F" w14:textId="77777777" w:rsidTr="00766EBB">
        <w:trPr>
          <w:trHeight w:val="227"/>
        </w:trPr>
        <w:tc>
          <w:tcPr>
            <w:tcW w:w="489" w:type="pct"/>
            <w:vMerge/>
            <w:tcBorders>
              <w:top w:val="nil"/>
              <w:left w:val="nil"/>
              <w:bottom w:val="nil"/>
              <w:right w:val="nil"/>
            </w:tcBorders>
            <w:vAlign w:val="center"/>
            <w:hideMark/>
          </w:tcPr>
          <w:p w14:paraId="29DEEC2F"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681795D2"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 xml:space="preserve">NA </w:t>
            </w:r>
          </w:p>
        </w:tc>
        <w:tc>
          <w:tcPr>
            <w:tcW w:w="1034" w:type="pct"/>
            <w:tcBorders>
              <w:top w:val="nil"/>
              <w:left w:val="nil"/>
              <w:bottom w:val="nil"/>
              <w:right w:val="nil"/>
            </w:tcBorders>
            <w:shd w:val="clear" w:color="000000" w:fill="FFFFFF"/>
            <w:noWrap/>
            <w:vAlign w:val="bottom"/>
            <w:hideMark/>
          </w:tcPr>
          <w:p w14:paraId="6BDB95D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5.602 (</w:t>
            </w:r>
            <w:r w:rsidR="00EC6A12" w:rsidRPr="004C43D5">
              <w:rPr>
                <w:rFonts w:ascii="Arial" w:hAnsi="Arial" w:cs="Arial"/>
                <w:b/>
                <w:sz w:val="16"/>
                <w:szCs w:val="16"/>
              </w:rPr>
              <w:t>P</w:t>
            </w:r>
            <w:r w:rsidRPr="004C43D5">
              <w:rPr>
                <w:rFonts w:ascii="Arial" w:hAnsi="Arial" w:cs="Arial"/>
                <w:b/>
                <w:sz w:val="16"/>
                <w:szCs w:val="16"/>
              </w:rPr>
              <w:t>&lt;0.05</w:t>
            </w:r>
            <w:r w:rsidRPr="004C43D5">
              <w:rPr>
                <w:rFonts w:ascii="Arial" w:hAnsi="Arial" w:cs="Arial"/>
                <w:sz w:val="16"/>
                <w:szCs w:val="16"/>
              </w:rPr>
              <w:t>)</w:t>
            </w:r>
          </w:p>
        </w:tc>
        <w:tc>
          <w:tcPr>
            <w:tcW w:w="1034" w:type="pct"/>
            <w:tcBorders>
              <w:top w:val="nil"/>
              <w:left w:val="nil"/>
              <w:bottom w:val="nil"/>
              <w:right w:val="nil"/>
            </w:tcBorders>
            <w:shd w:val="clear" w:color="000000" w:fill="FFFFFF"/>
            <w:noWrap/>
            <w:vAlign w:val="bottom"/>
            <w:hideMark/>
          </w:tcPr>
          <w:p w14:paraId="620F6EC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6.349 (</w:t>
            </w:r>
            <w:r w:rsidR="00EC6A12" w:rsidRPr="004C43D5">
              <w:rPr>
                <w:rFonts w:ascii="Arial" w:hAnsi="Arial" w:cs="Arial"/>
                <w:b/>
                <w:sz w:val="16"/>
                <w:szCs w:val="16"/>
              </w:rPr>
              <w:t>P</w:t>
            </w:r>
            <w:r w:rsidRPr="004C43D5">
              <w:rPr>
                <w:rFonts w:ascii="Arial" w:hAnsi="Arial" w:cs="Arial"/>
                <w:b/>
                <w:sz w:val="16"/>
                <w:szCs w:val="16"/>
              </w:rPr>
              <w:t>&lt;0.05</w:t>
            </w:r>
            <w:r w:rsidRPr="004C43D5">
              <w:rPr>
                <w:rFonts w:ascii="Arial" w:hAnsi="Arial" w:cs="Arial"/>
                <w:sz w:val="16"/>
                <w:szCs w:val="16"/>
              </w:rPr>
              <w:t>)</w:t>
            </w:r>
          </w:p>
        </w:tc>
        <w:tc>
          <w:tcPr>
            <w:tcW w:w="1034" w:type="pct"/>
            <w:tcBorders>
              <w:top w:val="nil"/>
              <w:left w:val="nil"/>
              <w:bottom w:val="nil"/>
              <w:right w:val="nil"/>
            </w:tcBorders>
            <w:shd w:val="clear" w:color="000000" w:fill="FFFFFF"/>
            <w:noWrap/>
            <w:vAlign w:val="bottom"/>
            <w:hideMark/>
          </w:tcPr>
          <w:p w14:paraId="0519D23D"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0.622 (</w:t>
            </w:r>
            <w:r w:rsidR="00EC6A12" w:rsidRPr="004C43D5">
              <w:rPr>
                <w:rFonts w:ascii="Arial" w:hAnsi="Arial" w:cs="Arial"/>
                <w:sz w:val="16"/>
                <w:szCs w:val="16"/>
              </w:rPr>
              <w:t>P</w:t>
            </w:r>
            <w:r w:rsidRPr="004C43D5">
              <w:rPr>
                <w:rFonts w:ascii="Arial" w:hAnsi="Arial" w:cs="Arial"/>
                <w:sz w:val="16"/>
                <w:szCs w:val="16"/>
              </w:rPr>
              <w:t>=0.438)</w:t>
            </w:r>
          </w:p>
        </w:tc>
        <w:tc>
          <w:tcPr>
            <w:tcW w:w="253" w:type="pct"/>
            <w:tcBorders>
              <w:top w:val="nil"/>
              <w:left w:val="nil"/>
              <w:bottom w:val="nil"/>
              <w:right w:val="nil"/>
            </w:tcBorders>
            <w:shd w:val="clear" w:color="000000" w:fill="FFFFFF"/>
            <w:noWrap/>
            <w:vAlign w:val="bottom"/>
            <w:hideMark/>
          </w:tcPr>
          <w:p w14:paraId="4AA330F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1/28</w:t>
            </w:r>
          </w:p>
        </w:tc>
      </w:tr>
      <w:tr w:rsidR="004C43D5" w:rsidRPr="004C43D5" w14:paraId="0B80D5AD" w14:textId="77777777" w:rsidTr="00766EBB">
        <w:trPr>
          <w:trHeight w:val="227"/>
        </w:trPr>
        <w:tc>
          <w:tcPr>
            <w:tcW w:w="489" w:type="pct"/>
            <w:vMerge/>
            <w:tcBorders>
              <w:top w:val="nil"/>
              <w:left w:val="nil"/>
              <w:bottom w:val="nil"/>
              <w:right w:val="nil"/>
            </w:tcBorders>
            <w:vAlign w:val="center"/>
            <w:hideMark/>
          </w:tcPr>
          <w:p w14:paraId="75BF1870" w14:textId="77777777" w:rsidR="00766EBB" w:rsidRPr="004C43D5" w:rsidRDefault="00766EBB" w:rsidP="00766EBB">
            <w:pPr>
              <w:rPr>
                <w:rFonts w:ascii="Arial" w:hAnsi="Arial" w:cs="Arial"/>
                <w:b/>
                <w:bCs/>
                <w:sz w:val="16"/>
                <w:szCs w:val="16"/>
              </w:rPr>
            </w:pPr>
          </w:p>
        </w:tc>
        <w:tc>
          <w:tcPr>
            <w:tcW w:w="1156" w:type="pct"/>
            <w:tcBorders>
              <w:top w:val="nil"/>
              <w:left w:val="nil"/>
              <w:right w:val="nil"/>
            </w:tcBorders>
            <w:shd w:val="clear" w:color="000000" w:fill="FFFFFF"/>
            <w:noWrap/>
            <w:vAlign w:val="bottom"/>
            <w:hideMark/>
          </w:tcPr>
          <w:p w14:paraId="3F197580"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5HT</w:t>
            </w:r>
          </w:p>
        </w:tc>
        <w:tc>
          <w:tcPr>
            <w:tcW w:w="1034" w:type="pct"/>
            <w:tcBorders>
              <w:top w:val="nil"/>
              <w:left w:val="nil"/>
              <w:right w:val="nil"/>
            </w:tcBorders>
            <w:shd w:val="clear" w:color="000000" w:fill="FFFFFF"/>
            <w:noWrap/>
            <w:vAlign w:val="bottom"/>
            <w:hideMark/>
          </w:tcPr>
          <w:p w14:paraId="4EBD903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0.119 (</w:t>
            </w:r>
            <w:r w:rsidR="00EC6A12" w:rsidRPr="004C43D5">
              <w:rPr>
                <w:rFonts w:ascii="Arial" w:hAnsi="Arial" w:cs="Arial"/>
                <w:sz w:val="16"/>
                <w:szCs w:val="16"/>
              </w:rPr>
              <w:t>P</w:t>
            </w:r>
            <w:r w:rsidRPr="004C43D5">
              <w:rPr>
                <w:rFonts w:ascii="Arial" w:hAnsi="Arial" w:cs="Arial"/>
                <w:sz w:val="16"/>
                <w:szCs w:val="16"/>
              </w:rPr>
              <w:t>=0.733)</w:t>
            </w:r>
          </w:p>
        </w:tc>
        <w:tc>
          <w:tcPr>
            <w:tcW w:w="1034" w:type="pct"/>
            <w:tcBorders>
              <w:top w:val="nil"/>
              <w:left w:val="nil"/>
              <w:right w:val="nil"/>
            </w:tcBorders>
            <w:shd w:val="clear" w:color="000000" w:fill="FFFFFF"/>
            <w:noWrap/>
            <w:vAlign w:val="bottom"/>
            <w:hideMark/>
          </w:tcPr>
          <w:p w14:paraId="5953146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1.279 (</w:t>
            </w:r>
            <w:r w:rsidR="00EC6A12" w:rsidRPr="004C43D5">
              <w:rPr>
                <w:rFonts w:ascii="Arial" w:hAnsi="Arial" w:cs="Arial"/>
                <w:sz w:val="16"/>
                <w:szCs w:val="16"/>
              </w:rPr>
              <w:t>P</w:t>
            </w:r>
            <w:r w:rsidRPr="004C43D5">
              <w:rPr>
                <w:rFonts w:ascii="Arial" w:hAnsi="Arial" w:cs="Arial"/>
                <w:sz w:val="16"/>
                <w:szCs w:val="16"/>
              </w:rPr>
              <w:t>=0.269)</w:t>
            </w:r>
          </w:p>
        </w:tc>
        <w:tc>
          <w:tcPr>
            <w:tcW w:w="1034" w:type="pct"/>
            <w:tcBorders>
              <w:top w:val="nil"/>
              <w:left w:val="nil"/>
              <w:right w:val="nil"/>
            </w:tcBorders>
            <w:shd w:val="clear" w:color="000000" w:fill="FFFFFF"/>
            <w:noWrap/>
            <w:vAlign w:val="bottom"/>
            <w:hideMark/>
          </w:tcPr>
          <w:p w14:paraId="6341AB1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1.032 (</w:t>
            </w:r>
            <w:r w:rsidR="00EC6A12" w:rsidRPr="004C43D5">
              <w:rPr>
                <w:rFonts w:ascii="Arial" w:hAnsi="Arial" w:cs="Arial"/>
                <w:sz w:val="16"/>
                <w:szCs w:val="16"/>
              </w:rPr>
              <w:t>P</w:t>
            </w:r>
            <w:r w:rsidRPr="004C43D5">
              <w:rPr>
                <w:rFonts w:ascii="Arial" w:hAnsi="Arial" w:cs="Arial"/>
                <w:sz w:val="16"/>
                <w:szCs w:val="16"/>
              </w:rPr>
              <w:t>=0.320)</w:t>
            </w:r>
          </w:p>
        </w:tc>
        <w:tc>
          <w:tcPr>
            <w:tcW w:w="253" w:type="pct"/>
            <w:tcBorders>
              <w:top w:val="nil"/>
              <w:left w:val="nil"/>
              <w:right w:val="nil"/>
            </w:tcBorders>
            <w:shd w:val="clear" w:color="000000" w:fill="FFFFFF"/>
            <w:noWrap/>
            <w:vAlign w:val="bottom"/>
            <w:hideMark/>
          </w:tcPr>
          <w:p w14:paraId="694EB4F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1/27</w:t>
            </w:r>
          </w:p>
        </w:tc>
      </w:tr>
      <w:tr w:rsidR="004C43D5" w:rsidRPr="004C43D5" w14:paraId="2199EB1E" w14:textId="77777777" w:rsidTr="00766EBB">
        <w:trPr>
          <w:trHeight w:val="227"/>
        </w:trPr>
        <w:tc>
          <w:tcPr>
            <w:tcW w:w="489" w:type="pct"/>
            <w:vMerge/>
            <w:tcBorders>
              <w:top w:val="nil"/>
              <w:left w:val="nil"/>
              <w:bottom w:val="nil"/>
              <w:right w:val="nil"/>
            </w:tcBorders>
            <w:vAlign w:val="center"/>
            <w:hideMark/>
          </w:tcPr>
          <w:p w14:paraId="689209F0" w14:textId="77777777" w:rsidR="00766EBB" w:rsidRPr="004C43D5" w:rsidRDefault="00766EBB" w:rsidP="00766EBB">
            <w:pPr>
              <w:rPr>
                <w:rFonts w:ascii="Arial" w:hAnsi="Arial" w:cs="Arial"/>
                <w:b/>
                <w:bCs/>
                <w:sz w:val="16"/>
                <w:szCs w:val="16"/>
              </w:rPr>
            </w:pPr>
          </w:p>
        </w:tc>
        <w:tc>
          <w:tcPr>
            <w:tcW w:w="1156" w:type="pct"/>
            <w:tcBorders>
              <w:top w:val="nil"/>
              <w:left w:val="nil"/>
              <w:bottom w:val="single" w:sz="4" w:space="0" w:color="auto"/>
              <w:right w:val="nil"/>
            </w:tcBorders>
            <w:shd w:val="clear" w:color="000000" w:fill="FFFFFF"/>
            <w:noWrap/>
            <w:vAlign w:val="bottom"/>
            <w:hideMark/>
          </w:tcPr>
          <w:p w14:paraId="45942FF4"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5HIAA/5HT</w:t>
            </w:r>
          </w:p>
        </w:tc>
        <w:tc>
          <w:tcPr>
            <w:tcW w:w="1034" w:type="pct"/>
            <w:tcBorders>
              <w:top w:val="nil"/>
              <w:left w:val="nil"/>
              <w:bottom w:val="single" w:sz="4" w:space="0" w:color="auto"/>
              <w:right w:val="nil"/>
            </w:tcBorders>
            <w:shd w:val="clear" w:color="000000" w:fill="FFFFFF"/>
            <w:noWrap/>
            <w:vAlign w:val="bottom"/>
            <w:hideMark/>
          </w:tcPr>
          <w:p w14:paraId="61006F77"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0.000 (</w:t>
            </w:r>
            <w:r w:rsidR="00EC6A12" w:rsidRPr="004C43D5">
              <w:rPr>
                <w:rFonts w:ascii="Arial" w:hAnsi="Arial" w:cs="Arial"/>
                <w:sz w:val="16"/>
                <w:szCs w:val="16"/>
              </w:rPr>
              <w:t>P</w:t>
            </w:r>
            <w:r w:rsidRPr="004C43D5">
              <w:rPr>
                <w:rFonts w:ascii="Arial" w:hAnsi="Arial" w:cs="Arial"/>
                <w:sz w:val="16"/>
                <w:szCs w:val="16"/>
              </w:rPr>
              <w:t>=0.998)</w:t>
            </w:r>
          </w:p>
        </w:tc>
        <w:tc>
          <w:tcPr>
            <w:tcW w:w="1034" w:type="pct"/>
            <w:tcBorders>
              <w:top w:val="nil"/>
              <w:left w:val="nil"/>
              <w:bottom w:val="single" w:sz="4" w:space="0" w:color="auto"/>
              <w:right w:val="nil"/>
            </w:tcBorders>
            <w:shd w:val="clear" w:color="000000" w:fill="FFFFFF"/>
            <w:noWrap/>
            <w:vAlign w:val="bottom"/>
            <w:hideMark/>
          </w:tcPr>
          <w:p w14:paraId="68C1218A"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0.262 (</w:t>
            </w:r>
            <w:r w:rsidR="00EC6A12" w:rsidRPr="004C43D5">
              <w:rPr>
                <w:rFonts w:ascii="Arial" w:hAnsi="Arial" w:cs="Arial"/>
                <w:sz w:val="16"/>
                <w:szCs w:val="16"/>
              </w:rPr>
              <w:t>P</w:t>
            </w:r>
            <w:r w:rsidRPr="004C43D5">
              <w:rPr>
                <w:rFonts w:ascii="Arial" w:hAnsi="Arial" w:cs="Arial"/>
                <w:sz w:val="16"/>
                <w:szCs w:val="16"/>
              </w:rPr>
              <w:t>=0.613)</w:t>
            </w:r>
          </w:p>
        </w:tc>
        <w:tc>
          <w:tcPr>
            <w:tcW w:w="1034" w:type="pct"/>
            <w:tcBorders>
              <w:top w:val="nil"/>
              <w:left w:val="nil"/>
              <w:bottom w:val="single" w:sz="4" w:space="0" w:color="auto"/>
              <w:right w:val="nil"/>
            </w:tcBorders>
            <w:shd w:val="clear" w:color="000000" w:fill="FFFFFF"/>
            <w:noWrap/>
            <w:vAlign w:val="bottom"/>
            <w:hideMark/>
          </w:tcPr>
          <w:p w14:paraId="543087E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0.450 (</w:t>
            </w:r>
            <w:r w:rsidR="00EC6A12" w:rsidRPr="004C43D5">
              <w:rPr>
                <w:rFonts w:ascii="Arial" w:hAnsi="Arial" w:cs="Arial"/>
                <w:sz w:val="16"/>
                <w:szCs w:val="16"/>
              </w:rPr>
              <w:t>P</w:t>
            </w:r>
            <w:r w:rsidRPr="004C43D5">
              <w:rPr>
                <w:rFonts w:ascii="Arial" w:hAnsi="Arial" w:cs="Arial"/>
                <w:sz w:val="16"/>
                <w:szCs w:val="16"/>
              </w:rPr>
              <w:t>=0.508)</w:t>
            </w:r>
          </w:p>
        </w:tc>
        <w:tc>
          <w:tcPr>
            <w:tcW w:w="253" w:type="pct"/>
            <w:tcBorders>
              <w:top w:val="nil"/>
              <w:left w:val="nil"/>
              <w:bottom w:val="single" w:sz="4" w:space="0" w:color="auto"/>
              <w:right w:val="nil"/>
            </w:tcBorders>
            <w:shd w:val="clear" w:color="000000" w:fill="FFFFFF"/>
            <w:noWrap/>
            <w:vAlign w:val="bottom"/>
            <w:hideMark/>
          </w:tcPr>
          <w:p w14:paraId="64DA311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1/29</w:t>
            </w:r>
          </w:p>
        </w:tc>
      </w:tr>
      <w:tr w:rsidR="004C43D5" w:rsidRPr="004C43D5" w14:paraId="71B240CC" w14:textId="77777777" w:rsidTr="00766EBB">
        <w:trPr>
          <w:trHeight w:val="227"/>
        </w:trPr>
        <w:tc>
          <w:tcPr>
            <w:tcW w:w="489" w:type="pct"/>
            <w:vMerge w:val="restart"/>
            <w:tcBorders>
              <w:top w:val="nil"/>
              <w:left w:val="nil"/>
              <w:bottom w:val="nil"/>
              <w:right w:val="nil"/>
            </w:tcBorders>
            <w:shd w:val="clear" w:color="000000" w:fill="FFFFFF"/>
            <w:noWrap/>
            <w:vAlign w:val="center"/>
            <w:hideMark/>
          </w:tcPr>
          <w:p w14:paraId="28DD9460"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HYPO</w:t>
            </w:r>
          </w:p>
        </w:tc>
        <w:tc>
          <w:tcPr>
            <w:tcW w:w="1156" w:type="pct"/>
            <w:tcBorders>
              <w:top w:val="single" w:sz="4" w:space="0" w:color="auto"/>
              <w:left w:val="nil"/>
              <w:bottom w:val="nil"/>
              <w:right w:val="nil"/>
            </w:tcBorders>
            <w:shd w:val="clear" w:color="000000" w:fill="FFFFFF"/>
            <w:noWrap/>
            <w:vAlign w:val="bottom"/>
            <w:hideMark/>
          </w:tcPr>
          <w:p w14:paraId="5791DC5F"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DA</w:t>
            </w:r>
          </w:p>
        </w:tc>
        <w:tc>
          <w:tcPr>
            <w:tcW w:w="1034" w:type="pct"/>
            <w:tcBorders>
              <w:top w:val="single" w:sz="4" w:space="0" w:color="auto"/>
              <w:left w:val="nil"/>
              <w:bottom w:val="nil"/>
              <w:right w:val="nil"/>
            </w:tcBorders>
            <w:shd w:val="clear" w:color="000000" w:fill="FFFFFF"/>
            <w:noWrap/>
            <w:vAlign w:val="bottom"/>
            <w:hideMark/>
          </w:tcPr>
          <w:p w14:paraId="11C01CE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0.307 (</w:t>
            </w:r>
            <w:r w:rsidR="00EC6A12" w:rsidRPr="004C43D5">
              <w:rPr>
                <w:rFonts w:ascii="Arial" w:hAnsi="Arial" w:cs="Arial"/>
                <w:sz w:val="16"/>
                <w:szCs w:val="16"/>
              </w:rPr>
              <w:t>P</w:t>
            </w:r>
            <w:r w:rsidRPr="004C43D5">
              <w:rPr>
                <w:rFonts w:ascii="Arial" w:hAnsi="Arial" w:cs="Arial"/>
                <w:sz w:val="16"/>
                <w:szCs w:val="16"/>
              </w:rPr>
              <w:t>=0.585)</w:t>
            </w:r>
          </w:p>
        </w:tc>
        <w:tc>
          <w:tcPr>
            <w:tcW w:w="1034" w:type="pct"/>
            <w:tcBorders>
              <w:top w:val="single" w:sz="4" w:space="0" w:color="auto"/>
              <w:left w:val="nil"/>
              <w:bottom w:val="nil"/>
              <w:right w:val="nil"/>
            </w:tcBorders>
            <w:shd w:val="clear" w:color="000000" w:fill="FFFFFF"/>
            <w:noWrap/>
            <w:vAlign w:val="bottom"/>
            <w:hideMark/>
          </w:tcPr>
          <w:p w14:paraId="12209A97"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2.715 (</w:t>
            </w:r>
            <w:r w:rsidR="00EC6A12" w:rsidRPr="004C43D5">
              <w:rPr>
                <w:rFonts w:ascii="Arial" w:hAnsi="Arial" w:cs="Arial"/>
                <w:sz w:val="16"/>
                <w:szCs w:val="16"/>
              </w:rPr>
              <w:t>P</w:t>
            </w:r>
            <w:r w:rsidRPr="004C43D5">
              <w:rPr>
                <w:rFonts w:ascii="Arial" w:hAnsi="Arial" w:cs="Arial"/>
                <w:sz w:val="16"/>
                <w:szCs w:val="16"/>
              </w:rPr>
              <w:t>=0.114)</w:t>
            </w:r>
          </w:p>
        </w:tc>
        <w:tc>
          <w:tcPr>
            <w:tcW w:w="1034" w:type="pct"/>
            <w:tcBorders>
              <w:top w:val="single" w:sz="4" w:space="0" w:color="auto"/>
              <w:left w:val="nil"/>
              <w:bottom w:val="nil"/>
              <w:right w:val="nil"/>
            </w:tcBorders>
            <w:shd w:val="clear" w:color="000000" w:fill="FFFFFF"/>
            <w:noWrap/>
            <w:vAlign w:val="bottom"/>
            <w:hideMark/>
          </w:tcPr>
          <w:p w14:paraId="07D744D6"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0.009 (</w:t>
            </w:r>
            <w:r w:rsidR="00EC6A12" w:rsidRPr="004C43D5">
              <w:rPr>
                <w:rFonts w:ascii="Arial" w:hAnsi="Arial" w:cs="Arial"/>
                <w:sz w:val="16"/>
                <w:szCs w:val="16"/>
              </w:rPr>
              <w:t>P</w:t>
            </w:r>
            <w:r w:rsidRPr="004C43D5">
              <w:rPr>
                <w:rFonts w:ascii="Arial" w:hAnsi="Arial" w:cs="Arial"/>
                <w:sz w:val="16"/>
                <w:szCs w:val="16"/>
              </w:rPr>
              <w:t>=0.926)</w:t>
            </w:r>
          </w:p>
        </w:tc>
        <w:tc>
          <w:tcPr>
            <w:tcW w:w="253" w:type="pct"/>
            <w:tcBorders>
              <w:top w:val="single" w:sz="4" w:space="0" w:color="auto"/>
              <w:left w:val="nil"/>
              <w:bottom w:val="nil"/>
              <w:right w:val="nil"/>
            </w:tcBorders>
            <w:shd w:val="clear" w:color="000000" w:fill="FFFFFF"/>
            <w:noWrap/>
            <w:vAlign w:val="bottom"/>
            <w:hideMark/>
          </w:tcPr>
          <w:p w14:paraId="68787F23"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1/25</w:t>
            </w:r>
          </w:p>
        </w:tc>
      </w:tr>
      <w:tr w:rsidR="004C43D5" w:rsidRPr="004C43D5" w14:paraId="277FA007" w14:textId="77777777" w:rsidTr="00766EBB">
        <w:trPr>
          <w:trHeight w:val="227"/>
        </w:trPr>
        <w:tc>
          <w:tcPr>
            <w:tcW w:w="489" w:type="pct"/>
            <w:vMerge/>
            <w:tcBorders>
              <w:top w:val="nil"/>
              <w:left w:val="nil"/>
              <w:bottom w:val="nil"/>
              <w:right w:val="nil"/>
            </w:tcBorders>
            <w:vAlign w:val="center"/>
            <w:hideMark/>
          </w:tcPr>
          <w:p w14:paraId="5E6CBF34"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0CF019B7"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DOPAC+HVA/DA</w:t>
            </w:r>
          </w:p>
        </w:tc>
        <w:tc>
          <w:tcPr>
            <w:tcW w:w="1034" w:type="pct"/>
            <w:tcBorders>
              <w:top w:val="nil"/>
              <w:left w:val="nil"/>
              <w:bottom w:val="nil"/>
              <w:right w:val="nil"/>
            </w:tcBorders>
            <w:shd w:val="clear" w:color="000000" w:fill="FFFFFF"/>
            <w:noWrap/>
            <w:vAlign w:val="bottom"/>
            <w:hideMark/>
          </w:tcPr>
          <w:p w14:paraId="7217439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0.931 (</w:t>
            </w:r>
            <w:r w:rsidR="00EC6A12" w:rsidRPr="004C43D5">
              <w:rPr>
                <w:rFonts w:ascii="Arial" w:hAnsi="Arial" w:cs="Arial"/>
                <w:sz w:val="16"/>
                <w:szCs w:val="16"/>
              </w:rPr>
              <w:t>P</w:t>
            </w:r>
            <w:r w:rsidRPr="004C43D5">
              <w:rPr>
                <w:rFonts w:ascii="Arial" w:hAnsi="Arial" w:cs="Arial"/>
                <w:sz w:val="16"/>
                <w:szCs w:val="16"/>
              </w:rPr>
              <w:t>=0.345)</w:t>
            </w:r>
          </w:p>
        </w:tc>
        <w:tc>
          <w:tcPr>
            <w:tcW w:w="1034" w:type="pct"/>
            <w:tcBorders>
              <w:top w:val="nil"/>
              <w:left w:val="nil"/>
              <w:bottom w:val="nil"/>
              <w:right w:val="nil"/>
            </w:tcBorders>
            <w:shd w:val="clear" w:color="000000" w:fill="FFFFFF"/>
            <w:noWrap/>
            <w:vAlign w:val="bottom"/>
            <w:hideMark/>
          </w:tcPr>
          <w:p w14:paraId="0187F376"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1.570 (</w:t>
            </w:r>
            <w:r w:rsidR="00EC6A12" w:rsidRPr="004C43D5">
              <w:rPr>
                <w:rFonts w:ascii="Arial" w:hAnsi="Arial" w:cs="Arial"/>
                <w:sz w:val="16"/>
                <w:szCs w:val="16"/>
              </w:rPr>
              <w:t>P</w:t>
            </w:r>
            <w:r w:rsidRPr="004C43D5">
              <w:rPr>
                <w:rFonts w:ascii="Arial" w:hAnsi="Arial" w:cs="Arial"/>
                <w:sz w:val="16"/>
                <w:szCs w:val="16"/>
              </w:rPr>
              <w:t>=0.223)</w:t>
            </w:r>
          </w:p>
        </w:tc>
        <w:tc>
          <w:tcPr>
            <w:tcW w:w="1034" w:type="pct"/>
            <w:tcBorders>
              <w:top w:val="nil"/>
              <w:left w:val="nil"/>
              <w:bottom w:val="nil"/>
              <w:right w:val="nil"/>
            </w:tcBorders>
            <w:shd w:val="clear" w:color="000000" w:fill="FFFFFF"/>
            <w:noWrap/>
            <w:vAlign w:val="bottom"/>
            <w:hideMark/>
          </w:tcPr>
          <w:p w14:paraId="5793AAFE"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0.512 (</w:t>
            </w:r>
            <w:r w:rsidR="00EC6A12" w:rsidRPr="004C43D5">
              <w:rPr>
                <w:rFonts w:ascii="Arial" w:hAnsi="Arial" w:cs="Arial"/>
                <w:sz w:val="16"/>
                <w:szCs w:val="16"/>
              </w:rPr>
              <w:t>P</w:t>
            </w:r>
            <w:r w:rsidRPr="004C43D5">
              <w:rPr>
                <w:rFonts w:ascii="Arial" w:hAnsi="Arial" w:cs="Arial"/>
                <w:sz w:val="16"/>
                <w:szCs w:val="16"/>
              </w:rPr>
              <w:t>=0.482)</w:t>
            </w:r>
          </w:p>
        </w:tc>
        <w:tc>
          <w:tcPr>
            <w:tcW w:w="253" w:type="pct"/>
            <w:tcBorders>
              <w:top w:val="nil"/>
              <w:left w:val="nil"/>
              <w:bottom w:val="nil"/>
              <w:right w:val="nil"/>
            </w:tcBorders>
            <w:shd w:val="clear" w:color="000000" w:fill="FFFFFF"/>
            <w:noWrap/>
            <w:vAlign w:val="bottom"/>
            <w:hideMark/>
          </w:tcPr>
          <w:p w14:paraId="5713A3C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1/25</w:t>
            </w:r>
          </w:p>
        </w:tc>
      </w:tr>
      <w:tr w:rsidR="004C43D5" w:rsidRPr="004C43D5" w14:paraId="6FCE3056" w14:textId="77777777" w:rsidTr="00766EBB">
        <w:trPr>
          <w:trHeight w:val="227"/>
        </w:trPr>
        <w:tc>
          <w:tcPr>
            <w:tcW w:w="489" w:type="pct"/>
            <w:vMerge/>
            <w:tcBorders>
              <w:top w:val="nil"/>
              <w:left w:val="nil"/>
              <w:bottom w:val="nil"/>
              <w:right w:val="nil"/>
            </w:tcBorders>
            <w:vAlign w:val="center"/>
            <w:hideMark/>
          </w:tcPr>
          <w:p w14:paraId="662AFAFE"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19EBC2EF"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 xml:space="preserve">NA </w:t>
            </w:r>
          </w:p>
        </w:tc>
        <w:tc>
          <w:tcPr>
            <w:tcW w:w="1034" w:type="pct"/>
            <w:tcBorders>
              <w:top w:val="nil"/>
              <w:left w:val="nil"/>
              <w:bottom w:val="nil"/>
              <w:right w:val="nil"/>
            </w:tcBorders>
            <w:shd w:val="clear" w:color="000000" w:fill="FFFFFF"/>
            <w:noWrap/>
            <w:vAlign w:val="bottom"/>
            <w:hideMark/>
          </w:tcPr>
          <w:p w14:paraId="04A20A7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0.729 (</w:t>
            </w:r>
            <w:r w:rsidR="00EC6A12" w:rsidRPr="004C43D5">
              <w:rPr>
                <w:rFonts w:ascii="Arial" w:hAnsi="Arial" w:cs="Arial"/>
                <w:sz w:val="16"/>
                <w:szCs w:val="16"/>
              </w:rPr>
              <w:t>P</w:t>
            </w:r>
            <w:r w:rsidRPr="004C43D5">
              <w:rPr>
                <w:rFonts w:ascii="Arial" w:hAnsi="Arial" w:cs="Arial"/>
                <w:sz w:val="16"/>
                <w:szCs w:val="16"/>
              </w:rPr>
              <w:t>=0.402)</w:t>
            </w:r>
          </w:p>
        </w:tc>
        <w:tc>
          <w:tcPr>
            <w:tcW w:w="1034" w:type="pct"/>
            <w:tcBorders>
              <w:top w:val="nil"/>
              <w:left w:val="nil"/>
              <w:bottom w:val="nil"/>
              <w:right w:val="nil"/>
            </w:tcBorders>
            <w:shd w:val="clear" w:color="000000" w:fill="FFFFFF"/>
            <w:noWrap/>
            <w:vAlign w:val="bottom"/>
            <w:hideMark/>
          </w:tcPr>
          <w:p w14:paraId="57774CB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11.151 (</w:t>
            </w:r>
            <w:r w:rsidR="00EC6A12" w:rsidRPr="004C43D5">
              <w:rPr>
                <w:rFonts w:ascii="Arial" w:hAnsi="Arial" w:cs="Arial"/>
                <w:b/>
                <w:sz w:val="16"/>
                <w:szCs w:val="16"/>
              </w:rPr>
              <w:t>P</w:t>
            </w:r>
            <w:r w:rsidRPr="004C43D5">
              <w:rPr>
                <w:rFonts w:ascii="Arial" w:hAnsi="Arial" w:cs="Arial"/>
                <w:b/>
                <w:sz w:val="16"/>
                <w:szCs w:val="16"/>
              </w:rPr>
              <w:t>&lt;0.01</w:t>
            </w:r>
            <w:r w:rsidRPr="004C43D5">
              <w:rPr>
                <w:rFonts w:ascii="Arial" w:hAnsi="Arial" w:cs="Arial"/>
                <w:sz w:val="16"/>
                <w:szCs w:val="16"/>
              </w:rPr>
              <w:t>)</w:t>
            </w:r>
          </w:p>
        </w:tc>
        <w:tc>
          <w:tcPr>
            <w:tcW w:w="1034" w:type="pct"/>
            <w:tcBorders>
              <w:top w:val="nil"/>
              <w:left w:val="nil"/>
              <w:bottom w:val="nil"/>
              <w:right w:val="nil"/>
            </w:tcBorders>
            <w:shd w:val="clear" w:color="000000" w:fill="FFFFFF"/>
            <w:noWrap/>
            <w:vAlign w:val="bottom"/>
            <w:hideMark/>
          </w:tcPr>
          <w:p w14:paraId="16C6129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0.019 (</w:t>
            </w:r>
            <w:r w:rsidR="00EC6A12" w:rsidRPr="004C43D5">
              <w:rPr>
                <w:rFonts w:ascii="Arial" w:hAnsi="Arial" w:cs="Arial"/>
                <w:sz w:val="16"/>
                <w:szCs w:val="16"/>
              </w:rPr>
              <w:t>P</w:t>
            </w:r>
            <w:r w:rsidRPr="004C43D5">
              <w:rPr>
                <w:rFonts w:ascii="Arial" w:hAnsi="Arial" w:cs="Arial"/>
                <w:sz w:val="16"/>
                <w:szCs w:val="16"/>
              </w:rPr>
              <w:t>=0.891)</w:t>
            </w:r>
          </w:p>
        </w:tc>
        <w:tc>
          <w:tcPr>
            <w:tcW w:w="253" w:type="pct"/>
            <w:tcBorders>
              <w:top w:val="nil"/>
              <w:left w:val="nil"/>
              <w:bottom w:val="nil"/>
              <w:right w:val="nil"/>
            </w:tcBorders>
            <w:shd w:val="clear" w:color="000000" w:fill="FFFFFF"/>
            <w:noWrap/>
            <w:vAlign w:val="bottom"/>
            <w:hideMark/>
          </w:tcPr>
          <w:p w14:paraId="47C51BF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1/25</w:t>
            </w:r>
          </w:p>
        </w:tc>
      </w:tr>
      <w:tr w:rsidR="004C43D5" w:rsidRPr="004C43D5" w14:paraId="549F70E0" w14:textId="77777777" w:rsidTr="00766EBB">
        <w:trPr>
          <w:trHeight w:val="227"/>
        </w:trPr>
        <w:tc>
          <w:tcPr>
            <w:tcW w:w="489" w:type="pct"/>
            <w:vMerge/>
            <w:tcBorders>
              <w:top w:val="nil"/>
              <w:left w:val="nil"/>
              <w:bottom w:val="nil"/>
              <w:right w:val="nil"/>
            </w:tcBorders>
            <w:vAlign w:val="center"/>
            <w:hideMark/>
          </w:tcPr>
          <w:p w14:paraId="54214522" w14:textId="77777777" w:rsidR="00766EBB" w:rsidRPr="004C43D5" w:rsidRDefault="00766EBB" w:rsidP="00766EBB">
            <w:pPr>
              <w:rPr>
                <w:rFonts w:ascii="Arial" w:hAnsi="Arial" w:cs="Arial"/>
                <w:b/>
                <w:bCs/>
                <w:sz w:val="16"/>
                <w:szCs w:val="16"/>
              </w:rPr>
            </w:pPr>
          </w:p>
        </w:tc>
        <w:tc>
          <w:tcPr>
            <w:tcW w:w="1156" w:type="pct"/>
            <w:tcBorders>
              <w:top w:val="nil"/>
              <w:left w:val="nil"/>
              <w:right w:val="nil"/>
            </w:tcBorders>
            <w:shd w:val="clear" w:color="000000" w:fill="FFFFFF"/>
            <w:noWrap/>
            <w:vAlign w:val="bottom"/>
            <w:hideMark/>
          </w:tcPr>
          <w:p w14:paraId="1B6606CA"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5HT</w:t>
            </w:r>
          </w:p>
        </w:tc>
        <w:tc>
          <w:tcPr>
            <w:tcW w:w="1034" w:type="pct"/>
            <w:tcBorders>
              <w:top w:val="nil"/>
              <w:left w:val="nil"/>
              <w:right w:val="nil"/>
            </w:tcBorders>
            <w:shd w:val="clear" w:color="000000" w:fill="FFFFFF"/>
            <w:noWrap/>
            <w:vAlign w:val="bottom"/>
            <w:hideMark/>
          </w:tcPr>
          <w:p w14:paraId="341F3A4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17.355 (</w:t>
            </w:r>
            <w:r w:rsidR="00EC6A12" w:rsidRPr="004C43D5">
              <w:rPr>
                <w:rFonts w:ascii="Arial" w:hAnsi="Arial" w:cs="Arial"/>
                <w:b/>
                <w:sz w:val="16"/>
                <w:szCs w:val="16"/>
              </w:rPr>
              <w:t>P</w:t>
            </w:r>
            <w:r w:rsidRPr="004C43D5">
              <w:rPr>
                <w:rFonts w:ascii="Arial" w:hAnsi="Arial" w:cs="Arial"/>
                <w:b/>
                <w:sz w:val="16"/>
                <w:szCs w:val="16"/>
              </w:rPr>
              <w:t>&lt;0.01</w:t>
            </w:r>
            <w:r w:rsidRPr="004C43D5">
              <w:rPr>
                <w:rFonts w:ascii="Arial" w:hAnsi="Arial" w:cs="Arial"/>
                <w:sz w:val="16"/>
                <w:szCs w:val="16"/>
              </w:rPr>
              <w:t>)</w:t>
            </w:r>
          </w:p>
        </w:tc>
        <w:tc>
          <w:tcPr>
            <w:tcW w:w="1034" w:type="pct"/>
            <w:tcBorders>
              <w:top w:val="nil"/>
              <w:left w:val="nil"/>
              <w:right w:val="nil"/>
            </w:tcBorders>
            <w:shd w:val="clear" w:color="000000" w:fill="FFFFFF"/>
            <w:noWrap/>
            <w:vAlign w:val="bottom"/>
            <w:hideMark/>
          </w:tcPr>
          <w:p w14:paraId="2D0B161A"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3.940 (</w:t>
            </w:r>
            <w:r w:rsidR="00EC6A12" w:rsidRPr="004C43D5">
              <w:rPr>
                <w:rFonts w:ascii="Arial" w:hAnsi="Arial" w:cs="Arial"/>
                <w:sz w:val="16"/>
                <w:szCs w:val="16"/>
              </w:rPr>
              <w:t>P</w:t>
            </w:r>
            <w:r w:rsidRPr="004C43D5">
              <w:rPr>
                <w:rFonts w:ascii="Arial" w:hAnsi="Arial" w:cs="Arial"/>
                <w:sz w:val="16"/>
                <w:szCs w:val="16"/>
              </w:rPr>
              <w:t>=0.062)</w:t>
            </w:r>
          </w:p>
        </w:tc>
        <w:tc>
          <w:tcPr>
            <w:tcW w:w="1034" w:type="pct"/>
            <w:tcBorders>
              <w:top w:val="nil"/>
              <w:left w:val="nil"/>
              <w:right w:val="nil"/>
            </w:tcBorders>
            <w:shd w:val="clear" w:color="000000" w:fill="FFFFFF"/>
            <w:noWrap/>
            <w:vAlign w:val="bottom"/>
            <w:hideMark/>
          </w:tcPr>
          <w:p w14:paraId="1D5B9D4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0.362 (</w:t>
            </w:r>
            <w:r w:rsidR="00EC6A12" w:rsidRPr="004C43D5">
              <w:rPr>
                <w:rFonts w:ascii="Arial" w:hAnsi="Arial" w:cs="Arial"/>
                <w:sz w:val="16"/>
                <w:szCs w:val="16"/>
              </w:rPr>
              <w:t>P</w:t>
            </w:r>
            <w:r w:rsidRPr="004C43D5">
              <w:rPr>
                <w:rFonts w:ascii="Arial" w:hAnsi="Arial" w:cs="Arial"/>
                <w:sz w:val="16"/>
                <w:szCs w:val="16"/>
              </w:rPr>
              <w:t>=0.554)</w:t>
            </w:r>
          </w:p>
        </w:tc>
        <w:tc>
          <w:tcPr>
            <w:tcW w:w="253" w:type="pct"/>
            <w:tcBorders>
              <w:top w:val="nil"/>
              <w:left w:val="nil"/>
              <w:right w:val="nil"/>
            </w:tcBorders>
            <w:shd w:val="clear" w:color="000000" w:fill="FFFFFF"/>
            <w:noWrap/>
            <w:vAlign w:val="bottom"/>
            <w:hideMark/>
          </w:tcPr>
          <w:p w14:paraId="5EAE026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1/22</w:t>
            </w:r>
          </w:p>
        </w:tc>
      </w:tr>
      <w:tr w:rsidR="004C43D5" w:rsidRPr="004C43D5" w14:paraId="06920A53" w14:textId="77777777" w:rsidTr="00766EBB">
        <w:trPr>
          <w:trHeight w:val="227"/>
        </w:trPr>
        <w:tc>
          <w:tcPr>
            <w:tcW w:w="489" w:type="pct"/>
            <w:vMerge/>
            <w:tcBorders>
              <w:top w:val="nil"/>
              <w:left w:val="nil"/>
              <w:bottom w:val="nil"/>
              <w:right w:val="nil"/>
            </w:tcBorders>
            <w:vAlign w:val="center"/>
            <w:hideMark/>
          </w:tcPr>
          <w:p w14:paraId="03BA2F73" w14:textId="77777777" w:rsidR="00766EBB" w:rsidRPr="004C43D5" w:rsidRDefault="00766EBB" w:rsidP="00766EBB">
            <w:pPr>
              <w:rPr>
                <w:rFonts w:ascii="Arial" w:hAnsi="Arial" w:cs="Arial"/>
                <w:b/>
                <w:bCs/>
                <w:sz w:val="16"/>
                <w:szCs w:val="16"/>
              </w:rPr>
            </w:pPr>
          </w:p>
        </w:tc>
        <w:tc>
          <w:tcPr>
            <w:tcW w:w="1156" w:type="pct"/>
            <w:tcBorders>
              <w:top w:val="nil"/>
              <w:left w:val="nil"/>
              <w:bottom w:val="single" w:sz="4" w:space="0" w:color="auto"/>
              <w:right w:val="nil"/>
            </w:tcBorders>
            <w:shd w:val="clear" w:color="000000" w:fill="FFFFFF"/>
            <w:noWrap/>
            <w:vAlign w:val="bottom"/>
            <w:hideMark/>
          </w:tcPr>
          <w:p w14:paraId="18BAFBBD"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5HIAA/5HT</w:t>
            </w:r>
          </w:p>
        </w:tc>
        <w:tc>
          <w:tcPr>
            <w:tcW w:w="1034" w:type="pct"/>
            <w:tcBorders>
              <w:top w:val="nil"/>
              <w:left w:val="nil"/>
              <w:bottom w:val="single" w:sz="4" w:space="0" w:color="auto"/>
              <w:right w:val="nil"/>
            </w:tcBorders>
            <w:shd w:val="clear" w:color="000000" w:fill="FFFFFF"/>
            <w:noWrap/>
            <w:vAlign w:val="bottom"/>
            <w:hideMark/>
          </w:tcPr>
          <w:p w14:paraId="5858348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3.842 (</w:t>
            </w:r>
            <w:r w:rsidR="00EC6A12" w:rsidRPr="004C43D5">
              <w:rPr>
                <w:rFonts w:ascii="Arial" w:hAnsi="Arial" w:cs="Arial"/>
                <w:sz w:val="16"/>
                <w:szCs w:val="16"/>
              </w:rPr>
              <w:t>P</w:t>
            </w:r>
            <w:r w:rsidRPr="004C43D5">
              <w:rPr>
                <w:rFonts w:ascii="Arial" w:hAnsi="Arial" w:cs="Arial"/>
                <w:sz w:val="16"/>
                <w:szCs w:val="16"/>
              </w:rPr>
              <w:t>=0.065)</w:t>
            </w:r>
          </w:p>
        </w:tc>
        <w:tc>
          <w:tcPr>
            <w:tcW w:w="1034" w:type="pct"/>
            <w:tcBorders>
              <w:top w:val="nil"/>
              <w:left w:val="nil"/>
              <w:bottom w:val="single" w:sz="4" w:space="0" w:color="auto"/>
              <w:right w:val="nil"/>
            </w:tcBorders>
            <w:shd w:val="clear" w:color="000000" w:fill="FFFFFF"/>
            <w:noWrap/>
            <w:vAlign w:val="bottom"/>
            <w:hideMark/>
          </w:tcPr>
          <w:p w14:paraId="4AE4526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2.911 (</w:t>
            </w:r>
            <w:r w:rsidR="00EC6A12" w:rsidRPr="004C43D5">
              <w:rPr>
                <w:rFonts w:ascii="Arial" w:hAnsi="Arial" w:cs="Arial"/>
                <w:sz w:val="16"/>
                <w:szCs w:val="16"/>
              </w:rPr>
              <w:t>P</w:t>
            </w:r>
            <w:r w:rsidRPr="004C43D5">
              <w:rPr>
                <w:rFonts w:ascii="Arial" w:hAnsi="Arial" w:cs="Arial"/>
                <w:sz w:val="16"/>
                <w:szCs w:val="16"/>
              </w:rPr>
              <w:t>=0.104)</w:t>
            </w:r>
          </w:p>
        </w:tc>
        <w:tc>
          <w:tcPr>
            <w:tcW w:w="1034" w:type="pct"/>
            <w:tcBorders>
              <w:top w:val="nil"/>
              <w:left w:val="nil"/>
              <w:bottom w:val="single" w:sz="4" w:space="0" w:color="auto"/>
              <w:right w:val="nil"/>
            </w:tcBorders>
            <w:shd w:val="clear" w:color="000000" w:fill="FFFFFF"/>
            <w:noWrap/>
            <w:vAlign w:val="bottom"/>
            <w:hideMark/>
          </w:tcPr>
          <w:p w14:paraId="343ACD3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0.012 (</w:t>
            </w:r>
            <w:r w:rsidR="00EC6A12" w:rsidRPr="004C43D5">
              <w:rPr>
                <w:rFonts w:ascii="Arial" w:hAnsi="Arial" w:cs="Arial"/>
                <w:sz w:val="16"/>
                <w:szCs w:val="16"/>
              </w:rPr>
              <w:t>P</w:t>
            </w:r>
            <w:r w:rsidRPr="004C43D5">
              <w:rPr>
                <w:rFonts w:ascii="Arial" w:hAnsi="Arial" w:cs="Arial"/>
                <w:sz w:val="16"/>
                <w:szCs w:val="16"/>
              </w:rPr>
              <w:t>=0.913)</w:t>
            </w:r>
          </w:p>
        </w:tc>
        <w:tc>
          <w:tcPr>
            <w:tcW w:w="253" w:type="pct"/>
            <w:tcBorders>
              <w:top w:val="nil"/>
              <w:left w:val="nil"/>
              <w:bottom w:val="single" w:sz="4" w:space="0" w:color="auto"/>
              <w:right w:val="nil"/>
            </w:tcBorders>
            <w:shd w:val="clear" w:color="000000" w:fill="FFFFFF"/>
            <w:noWrap/>
            <w:vAlign w:val="bottom"/>
            <w:hideMark/>
          </w:tcPr>
          <w:p w14:paraId="4EE01BA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1/22</w:t>
            </w:r>
          </w:p>
        </w:tc>
      </w:tr>
      <w:tr w:rsidR="004C43D5" w:rsidRPr="004C43D5" w14:paraId="4A435FF2" w14:textId="77777777" w:rsidTr="00766EBB">
        <w:trPr>
          <w:trHeight w:val="227"/>
        </w:trPr>
        <w:tc>
          <w:tcPr>
            <w:tcW w:w="489" w:type="pct"/>
            <w:vMerge w:val="restart"/>
            <w:tcBorders>
              <w:top w:val="nil"/>
              <w:left w:val="nil"/>
              <w:bottom w:val="nil"/>
              <w:right w:val="nil"/>
            </w:tcBorders>
            <w:shd w:val="clear" w:color="000000" w:fill="FFFFFF"/>
            <w:noWrap/>
            <w:vAlign w:val="center"/>
            <w:hideMark/>
          </w:tcPr>
          <w:p w14:paraId="2BA2C328"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AMY</w:t>
            </w:r>
          </w:p>
        </w:tc>
        <w:tc>
          <w:tcPr>
            <w:tcW w:w="1156" w:type="pct"/>
            <w:tcBorders>
              <w:top w:val="single" w:sz="4" w:space="0" w:color="auto"/>
              <w:left w:val="nil"/>
              <w:bottom w:val="nil"/>
              <w:right w:val="nil"/>
            </w:tcBorders>
            <w:shd w:val="clear" w:color="000000" w:fill="FFFFFF"/>
            <w:noWrap/>
            <w:vAlign w:val="bottom"/>
            <w:hideMark/>
          </w:tcPr>
          <w:p w14:paraId="1E25A76E"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DA</w:t>
            </w:r>
          </w:p>
        </w:tc>
        <w:tc>
          <w:tcPr>
            <w:tcW w:w="1034" w:type="pct"/>
            <w:tcBorders>
              <w:top w:val="single" w:sz="4" w:space="0" w:color="auto"/>
              <w:left w:val="nil"/>
              <w:bottom w:val="nil"/>
              <w:right w:val="nil"/>
            </w:tcBorders>
            <w:shd w:val="clear" w:color="000000" w:fill="FFFFFF"/>
            <w:noWrap/>
            <w:vAlign w:val="center"/>
            <w:hideMark/>
          </w:tcPr>
          <w:p w14:paraId="2594EEE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0.146 (</w:t>
            </w:r>
            <w:r w:rsidR="00EC6A12" w:rsidRPr="004C43D5">
              <w:rPr>
                <w:rFonts w:ascii="Arial" w:hAnsi="Arial" w:cs="Arial"/>
                <w:sz w:val="16"/>
                <w:szCs w:val="16"/>
              </w:rPr>
              <w:t>P</w:t>
            </w:r>
            <w:r w:rsidRPr="004C43D5">
              <w:rPr>
                <w:rFonts w:ascii="Arial" w:hAnsi="Arial" w:cs="Arial"/>
                <w:sz w:val="16"/>
                <w:szCs w:val="16"/>
              </w:rPr>
              <w:t>=0.706)</w:t>
            </w:r>
          </w:p>
        </w:tc>
        <w:tc>
          <w:tcPr>
            <w:tcW w:w="1034" w:type="pct"/>
            <w:tcBorders>
              <w:top w:val="single" w:sz="4" w:space="0" w:color="auto"/>
              <w:left w:val="nil"/>
              <w:bottom w:val="nil"/>
              <w:right w:val="nil"/>
            </w:tcBorders>
            <w:shd w:val="clear" w:color="000000" w:fill="FFFFFF"/>
            <w:noWrap/>
            <w:vAlign w:val="center"/>
            <w:hideMark/>
          </w:tcPr>
          <w:p w14:paraId="5D9D890D"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0.468 (</w:t>
            </w:r>
            <w:r w:rsidR="00EC6A12" w:rsidRPr="004C43D5">
              <w:rPr>
                <w:rFonts w:ascii="Arial" w:hAnsi="Arial" w:cs="Arial"/>
                <w:sz w:val="16"/>
                <w:szCs w:val="16"/>
              </w:rPr>
              <w:t>P</w:t>
            </w:r>
            <w:r w:rsidRPr="004C43D5">
              <w:rPr>
                <w:rFonts w:ascii="Arial" w:hAnsi="Arial" w:cs="Arial"/>
                <w:sz w:val="16"/>
                <w:szCs w:val="16"/>
              </w:rPr>
              <w:t>=0.501)</w:t>
            </w:r>
          </w:p>
        </w:tc>
        <w:tc>
          <w:tcPr>
            <w:tcW w:w="1034" w:type="pct"/>
            <w:tcBorders>
              <w:top w:val="single" w:sz="4" w:space="0" w:color="auto"/>
              <w:left w:val="nil"/>
              <w:bottom w:val="nil"/>
              <w:right w:val="nil"/>
            </w:tcBorders>
            <w:shd w:val="clear" w:color="000000" w:fill="FFFFFF"/>
            <w:noWrap/>
            <w:vAlign w:val="center"/>
            <w:hideMark/>
          </w:tcPr>
          <w:p w14:paraId="7F9FAAF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0.696 (</w:t>
            </w:r>
            <w:r w:rsidR="00EC6A12" w:rsidRPr="004C43D5">
              <w:rPr>
                <w:rFonts w:ascii="Arial" w:hAnsi="Arial" w:cs="Arial"/>
                <w:sz w:val="16"/>
                <w:szCs w:val="16"/>
              </w:rPr>
              <w:t>P</w:t>
            </w:r>
            <w:r w:rsidRPr="004C43D5">
              <w:rPr>
                <w:rFonts w:ascii="Arial" w:hAnsi="Arial" w:cs="Arial"/>
                <w:sz w:val="16"/>
                <w:szCs w:val="16"/>
              </w:rPr>
              <w:t>=0.413)</w:t>
            </w:r>
          </w:p>
        </w:tc>
        <w:tc>
          <w:tcPr>
            <w:tcW w:w="253" w:type="pct"/>
            <w:tcBorders>
              <w:top w:val="single" w:sz="4" w:space="0" w:color="auto"/>
              <w:left w:val="nil"/>
              <w:bottom w:val="nil"/>
              <w:right w:val="nil"/>
            </w:tcBorders>
            <w:shd w:val="clear" w:color="000000" w:fill="FFFFFF"/>
            <w:noWrap/>
            <w:vAlign w:val="center"/>
            <w:hideMark/>
          </w:tcPr>
          <w:p w14:paraId="2B6E872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1/26</w:t>
            </w:r>
          </w:p>
        </w:tc>
      </w:tr>
      <w:tr w:rsidR="004C43D5" w:rsidRPr="004C43D5" w14:paraId="01C55A14" w14:textId="77777777" w:rsidTr="00766EBB">
        <w:trPr>
          <w:trHeight w:val="227"/>
        </w:trPr>
        <w:tc>
          <w:tcPr>
            <w:tcW w:w="489" w:type="pct"/>
            <w:vMerge/>
            <w:tcBorders>
              <w:top w:val="nil"/>
              <w:left w:val="nil"/>
              <w:bottom w:val="nil"/>
              <w:right w:val="nil"/>
            </w:tcBorders>
            <w:vAlign w:val="center"/>
            <w:hideMark/>
          </w:tcPr>
          <w:p w14:paraId="15C4A806"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346EB13E"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DOPAC+HVA/DA</w:t>
            </w:r>
          </w:p>
        </w:tc>
        <w:tc>
          <w:tcPr>
            <w:tcW w:w="1034" w:type="pct"/>
            <w:tcBorders>
              <w:top w:val="nil"/>
              <w:left w:val="nil"/>
              <w:bottom w:val="nil"/>
              <w:right w:val="nil"/>
            </w:tcBorders>
            <w:shd w:val="clear" w:color="000000" w:fill="FFFFFF"/>
            <w:noWrap/>
            <w:vAlign w:val="center"/>
            <w:hideMark/>
          </w:tcPr>
          <w:p w14:paraId="159260CE"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2.699 (</w:t>
            </w:r>
            <w:r w:rsidR="00EC6A12" w:rsidRPr="004C43D5">
              <w:rPr>
                <w:rFonts w:ascii="Arial" w:hAnsi="Arial" w:cs="Arial"/>
                <w:sz w:val="16"/>
                <w:szCs w:val="16"/>
              </w:rPr>
              <w:t>P</w:t>
            </w:r>
            <w:r w:rsidRPr="004C43D5">
              <w:rPr>
                <w:rFonts w:ascii="Arial" w:hAnsi="Arial" w:cs="Arial"/>
                <w:sz w:val="16"/>
                <w:szCs w:val="16"/>
              </w:rPr>
              <w:t>=0.113)</w:t>
            </w:r>
          </w:p>
        </w:tc>
        <w:tc>
          <w:tcPr>
            <w:tcW w:w="1034" w:type="pct"/>
            <w:tcBorders>
              <w:top w:val="nil"/>
              <w:left w:val="nil"/>
              <w:bottom w:val="nil"/>
              <w:right w:val="nil"/>
            </w:tcBorders>
            <w:shd w:val="clear" w:color="000000" w:fill="FFFFFF"/>
            <w:noWrap/>
            <w:vAlign w:val="center"/>
            <w:hideMark/>
          </w:tcPr>
          <w:p w14:paraId="2B988B0A"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7.952 (</w:t>
            </w:r>
            <w:r w:rsidR="00EC6A12" w:rsidRPr="004C43D5">
              <w:rPr>
                <w:rFonts w:ascii="Arial" w:hAnsi="Arial" w:cs="Arial"/>
                <w:b/>
                <w:sz w:val="16"/>
                <w:szCs w:val="16"/>
              </w:rPr>
              <w:t>P</w:t>
            </w:r>
            <w:r w:rsidRPr="004C43D5">
              <w:rPr>
                <w:rFonts w:ascii="Arial" w:hAnsi="Arial" w:cs="Arial"/>
                <w:b/>
                <w:sz w:val="16"/>
                <w:szCs w:val="16"/>
              </w:rPr>
              <w:t>&lt;0.01</w:t>
            </w:r>
            <w:r w:rsidRPr="004C43D5">
              <w:rPr>
                <w:rFonts w:ascii="Arial" w:hAnsi="Arial" w:cs="Arial"/>
                <w:sz w:val="16"/>
                <w:szCs w:val="16"/>
              </w:rPr>
              <w:t>)</w:t>
            </w:r>
          </w:p>
        </w:tc>
        <w:tc>
          <w:tcPr>
            <w:tcW w:w="1034" w:type="pct"/>
            <w:tcBorders>
              <w:top w:val="nil"/>
              <w:left w:val="nil"/>
              <w:bottom w:val="nil"/>
              <w:right w:val="nil"/>
            </w:tcBorders>
            <w:shd w:val="clear" w:color="000000" w:fill="FFFFFF"/>
            <w:noWrap/>
            <w:vAlign w:val="center"/>
            <w:hideMark/>
          </w:tcPr>
          <w:p w14:paraId="161ACE0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2.542 (</w:t>
            </w:r>
            <w:r w:rsidR="00EC6A12" w:rsidRPr="004C43D5">
              <w:rPr>
                <w:rFonts w:ascii="Arial" w:hAnsi="Arial" w:cs="Arial"/>
                <w:sz w:val="16"/>
                <w:szCs w:val="16"/>
              </w:rPr>
              <w:t>P</w:t>
            </w:r>
            <w:r w:rsidRPr="004C43D5">
              <w:rPr>
                <w:rFonts w:ascii="Arial" w:hAnsi="Arial" w:cs="Arial"/>
                <w:sz w:val="16"/>
                <w:szCs w:val="16"/>
              </w:rPr>
              <w:t>=0.124)</w:t>
            </w:r>
          </w:p>
        </w:tc>
        <w:tc>
          <w:tcPr>
            <w:tcW w:w="253" w:type="pct"/>
            <w:tcBorders>
              <w:top w:val="nil"/>
              <w:left w:val="nil"/>
              <w:bottom w:val="nil"/>
              <w:right w:val="nil"/>
            </w:tcBorders>
            <w:shd w:val="clear" w:color="000000" w:fill="FFFFFF"/>
            <w:noWrap/>
            <w:vAlign w:val="center"/>
            <w:hideMark/>
          </w:tcPr>
          <w:p w14:paraId="1D5FDD9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1/27</w:t>
            </w:r>
          </w:p>
        </w:tc>
      </w:tr>
      <w:tr w:rsidR="004C43D5" w:rsidRPr="004C43D5" w14:paraId="2A33D26D" w14:textId="77777777" w:rsidTr="00766EBB">
        <w:trPr>
          <w:trHeight w:val="227"/>
        </w:trPr>
        <w:tc>
          <w:tcPr>
            <w:tcW w:w="489" w:type="pct"/>
            <w:vMerge/>
            <w:tcBorders>
              <w:top w:val="nil"/>
              <w:left w:val="nil"/>
              <w:bottom w:val="nil"/>
              <w:right w:val="nil"/>
            </w:tcBorders>
            <w:vAlign w:val="center"/>
            <w:hideMark/>
          </w:tcPr>
          <w:p w14:paraId="0B1D71C8"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03A2C833"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 xml:space="preserve">NA </w:t>
            </w:r>
          </w:p>
        </w:tc>
        <w:tc>
          <w:tcPr>
            <w:tcW w:w="1034" w:type="pct"/>
            <w:tcBorders>
              <w:top w:val="nil"/>
              <w:left w:val="nil"/>
              <w:bottom w:val="nil"/>
              <w:right w:val="nil"/>
            </w:tcBorders>
            <w:shd w:val="clear" w:color="000000" w:fill="FFFFFF"/>
            <w:noWrap/>
            <w:vAlign w:val="center"/>
            <w:hideMark/>
          </w:tcPr>
          <w:p w14:paraId="16E6FC06"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0.000 (</w:t>
            </w:r>
            <w:r w:rsidR="00EC6A12" w:rsidRPr="004C43D5">
              <w:rPr>
                <w:rFonts w:ascii="Arial" w:hAnsi="Arial" w:cs="Arial"/>
                <w:sz w:val="16"/>
                <w:szCs w:val="16"/>
              </w:rPr>
              <w:t>P</w:t>
            </w:r>
            <w:r w:rsidRPr="004C43D5">
              <w:rPr>
                <w:rFonts w:ascii="Arial" w:hAnsi="Arial" w:cs="Arial"/>
                <w:sz w:val="16"/>
                <w:szCs w:val="16"/>
              </w:rPr>
              <w:t>=0.999)</w:t>
            </w:r>
          </w:p>
        </w:tc>
        <w:tc>
          <w:tcPr>
            <w:tcW w:w="1034" w:type="pct"/>
            <w:tcBorders>
              <w:top w:val="nil"/>
              <w:left w:val="nil"/>
              <w:bottom w:val="nil"/>
              <w:right w:val="nil"/>
            </w:tcBorders>
            <w:shd w:val="clear" w:color="000000" w:fill="FFFFFF"/>
            <w:noWrap/>
            <w:vAlign w:val="center"/>
            <w:hideMark/>
          </w:tcPr>
          <w:p w14:paraId="365F42E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0.826 (</w:t>
            </w:r>
            <w:r w:rsidR="00EC6A12" w:rsidRPr="004C43D5">
              <w:rPr>
                <w:rFonts w:ascii="Arial" w:hAnsi="Arial" w:cs="Arial"/>
                <w:sz w:val="16"/>
                <w:szCs w:val="16"/>
              </w:rPr>
              <w:t>P</w:t>
            </w:r>
            <w:r w:rsidRPr="004C43D5">
              <w:rPr>
                <w:rFonts w:ascii="Arial" w:hAnsi="Arial" w:cs="Arial"/>
                <w:sz w:val="16"/>
                <w:szCs w:val="16"/>
              </w:rPr>
              <w:t>=0.373)</w:t>
            </w:r>
          </w:p>
        </w:tc>
        <w:tc>
          <w:tcPr>
            <w:tcW w:w="1034" w:type="pct"/>
            <w:tcBorders>
              <w:top w:val="nil"/>
              <w:left w:val="nil"/>
              <w:bottom w:val="nil"/>
              <w:right w:val="nil"/>
            </w:tcBorders>
            <w:shd w:val="clear" w:color="000000" w:fill="FFFFFF"/>
            <w:noWrap/>
            <w:vAlign w:val="center"/>
            <w:hideMark/>
          </w:tcPr>
          <w:p w14:paraId="7F96913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0.589 (</w:t>
            </w:r>
            <w:r w:rsidR="00EC6A12" w:rsidRPr="004C43D5">
              <w:rPr>
                <w:rFonts w:ascii="Arial" w:hAnsi="Arial" w:cs="Arial"/>
                <w:sz w:val="16"/>
                <w:szCs w:val="16"/>
              </w:rPr>
              <w:t>P</w:t>
            </w:r>
            <w:r w:rsidRPr="004C43D5">
              <w:rPr>
                <w:rFonts w:ascii="Arial" w:hAnsi="Arial" w:cs="Arial"/>
                <w:sz w:val="16"/>
                <w:szCs w:val="16"/>
              </w:rPr>
              <w:t>=0.451)</w:t>
            </w:r>
          </w:p>
        </w:tc>
        <w:tc>
          <w:tcPr>
            <w:tcW w:w="253" w:type="pct"/>
            <w:tcBorders>
              <w:top w:val="nil"/>
              <w:left w:val="nil"/>
              <w:bottom w:val="nil"/>
              <w:right w:val="nil"/>
            </w:tcBorders>
            <w:shd w:val="clear" w:color="000000" w:fill="FFFFFF"/>
            <w:noWrap/>
            <w:vAlign w:val="center"/>
            <w:hideMark/>
          </w:tcPr>
          <w:p w14:paraId="4E4E3AD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1/25</w:t>
            </w:r>
          </w:p>
        </w:tc>
      </w:tr>
      <w:tr w:rsidR="004C43D5" w:rsidRPr="004C43D5" w14:paraId="1FAFE1EC" w14:textId="77777777" w:rsidTr="00766EBB">
        <w:trPr>
          <w:trHeight w:val="227"/>
        </w:trPr>
        <w:tc>
          <w:tcPr>
            <w:tcW w:w="489" w:type="pct"/>
            <w:vMerge/>
            <w:tcBorders>
              <w:top w:val="nil"/>
              <w:left w:val="nil"/>
              <w:bottom w:val="nil"/>
              <w:right w:val="nil"/>
            </w:tcBorders>
            <w:vAlign w:val="center"/>
            <w:hideMark/>
          </w:tcPr>
          <w:p w14:paraId="211C594B" w14:textId="77777777" w:rsidR="00766EBB" w:rsidRPr="004C43D5" w:rsidRDefault="00766EBB" w:rsidP="00766EBB">
            <w:pPr>
              <w:rPr>
                <w:rFonts w:ascii="Arial" w:hAnsi="Arial" w:cs="Arial"/>
                <w:b/>
                <w:bCs/>
                <w:sz w:val="16"/>
                <w:szCs w:val="16"/>
              </w:rPr>
            </w:pPr>
          </w:p>
        </w:tc>
        <w:tc>
          <w:tcPr>
            <w:tcW w:w="1156" w:type="pct"/>
            <w:tcBorders>
              <w:top w:val="nil"/>
              <w:left w:val="nil"/>
              <w:right w:val="nil"/>
            </w:tcBorders>
            <w:shd w:val="clear" w:color="000000" w:fill="FFFFFF"/>
            <w:noWrap/>
            <w:vAlign w:val="bottom"/>
            <w:hideMark/>
          </w:tcPr>
          <w:p w14:paraId="579A66D7"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5HT</w:t>
            </w:r>
          </w:p>
        </w:tc>
        <w:tc>
          <w:tcPr>
            <w:tcW w:w="1034" w:type="pct"/>
            <w:tcBorders>
              <w:top w:val="nil"/>
              <w:left w:val="nil"/>
              <w:right w:val="nil"/>
            </w:tcBorders>
            <w:shd w:val="clear" w:color="000000" w:fill="FFFFFF"/>
            <w:noWrap/>
            <w:vAlign w:val="center"/>
            <w:hideMark/>
          </w:tcPr>
          <w:p w14:paraId="596822B7"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2.458 (</w:t>
            </w:r>
            <w:r w:rsidR="00EC6A12" w:rsidRPr="004C43D5">
              <w:rPr>
                <w:rFonts w:ascii="Arial" w:hAnsi="Arial" w:cs="Arial"/>
                <w:sz w:val="16"/>
                <w:szCs w:val="16"/>
              </w:rPr>
              <w:t>P</w:t>
            </w:r>
            <w:r w:rsidRPr="004C43D5">
              <w:rPr>
                <w:rFonts w:ascii="Arial" w:hAnsi="Arial" w:cs="Arial"/>
                <w:sz w:val="16"/>
                <w:szCs w:val="16"/>
              </w:rPr>
              <w:t>=0.131)</w:t>
            </w:r>
          </w:p>
        </w:tc>
        <w:tc>
          <w:tcPr>
            <w:tcW w:w="1034" w:type="pct"/>
            <w:tcBorders>
              <w:top w:val="nil"/>
              <w:left w:val="nil"/>
              <w:right w:val="nil"/>
            </w:tcBorders>
            <w:shd w:val="clear" w:color="000000" w:fill="FFFFFF"/>
            <w:noWrap/>
            <w:vAlign w:val="center"/>
            <w:hideMark/>
          </w:tcPr>
          <w:p w14:paraId="0B08B3CE"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2.062 (</w:t>
            </w:r>
            <w:r w:rsidR="00EC6A12" w:rsidRPr="004C43D5">
              <w:rPr>
                <w:rFonts w:ascii="Arial" w:hAnsi="Arial" w:cs="Arial"/>
                <w:sz w:val="16"/>
                <w:szCs w:val="16"/>
              </w:rPr>
              <w:t>P</w:t>
            </w:r>
            <w:r w:rsidRPr="004C43D5">
              <w:rPr>
                <w:rFonts w:ascii="Arial" w:hAnsi="Arial" w:cs="Arial"/>
                <w:sz w:val="16"/>
                <w:szCs w:val="16"/>
              </w:rPr>
              <w:t>=0.165)</w:t>
            </w:r>
          </w:p>
        </w:tc>
        <w:tc>
          <w:tcPr>
            <w:tcW w:w="1034" w:type="pct"/>
            <w:tcBorders>
              <w:top w:val="nil"/>
              <w:left w:val="nil"/>
              <w:right w:val="nil"/>
            </w:tcBorders>
            <w:shd w:val="clear" w:color="000000" w:fill="FFFFFF"/>
            <w:noWrap/>
            <w:vAlign w:val="center"/>
            <w:hideMark/>
          </w:tcPr>
          <w:p w14:paraId="67E699D6"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0.270 (</w:t>
            </w:r>
            <w:r w:rsidR="00EC6A12" w:rsidRPr="004C43D5">
              <w:rPr>
                <w:rFonts w:ascii="Arial" w:hAnsi="Arial" w:cs="Arial"/>
                <w:sz w:val="16"/>
                <w:szCs w:val="16"/>
              </w:rPr>
              <w:t>P</w:t>
            </w:r>
            <w:r w:rsidRPr="004C43D5">
              <w:rPr>
                <w:rFonts w:ascii="Arial" w:hAnsi="Arial" w:cs="Arial"/>
                <w:sz w:val="16"/>
                <w:szCs w:val="16"/>
              </w:rPr>
              <w:t>=0.608)</w:t>
            </w:r>
          </w:p>
        </w:tc>
        <w:tc>
          <w:tcPr>
            <w:tcW w:w="253" w:type="pct"/>
            <w:tcBorders>
              <w:top w:val="nil"/>
              <w:left w:val="nil"/>
              <w:right w:val="nil"/>
            </w:tcBorders>
            <w:shd w:val="clear" w:color="000000" w:fill="FFFFFF"/>
            <w:noWrap/>
            <w:vAlign w:val="center"/>
            <w:hideMark/>
          </w:tcPr>
          <w:p w14:paraId="14A882D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1/25</w:t>
            </w:r>
          </w:p>
        </w:tc>
      </w:tr>
      <w:tr w:rsidR="004C43D5" w:rsidRPr="004C43D5" w14:paraId="323427F0" w14:textId="77777777" w:rsidTr="00766EBB">
        <w:trPr>
          <w:trHeight w:val="227"/>
        </w:trPr>
        <w:tc>
          <w:tcPr>
            <w:tcW w:w="489" w:type="pct"/>
            <w:vMerge/>
            <w:tcBorders>
              <w:top w:val="nil"/>
              <w:left w:val="nil"/>
              <w:bottom w:val="nil"/>
              <w:right w:val="nil"/>
            </w:tcBorders>
            <w:vAlign w:val="center"/>
            <w:hideMark/>
          </w:tcPr>
          <w:p w14:paraId="397AEB95" w14:textId="77777777" w:rsidR="00766EBB" w:rsidRPr="004C43D5" w:rsidRDefault="00766EBB" w:rsidP="00766EBB">
            <w:pPr>
              <w:rPr>
                <w:rFonts w:ascii="Arial" w:hAnsi="Arial" w:cs="Arial"/>
                <w:b/>
                <w:bCs/>
                <w:sz w:val="16"/>
                <w:szCs w:val="16"/>
              </w:rPr>
            </w:pPr>
          </w:p>
        </w:tc>
        <w:tc>
          <w:tcPr>
            <w:tcW w:w="1156" w:type="pct"/>
            <w:tcBorders>
              <w:top w:val="nil"/>
              <w:left w:val="nil"/>
              <w:bottom w:val="single" w:sz="4" w:space="0" w:color="auto"/>
              <w:right w:val="nil"/>
            </w:tcBorders>
            <w:shd w:val="clear" w:color="000000" w:fill="FFFFFF"/>
            <w:noWrap/>
            <w:vAlign w:val="bottom"/>
            <w:hideMark/>
          </w:tcPr>
          <w:p w14:paraId="3BAC8C98"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5HIAA/5HT</w:t>
            </w:r>
          </w:p>
        </w:tc>
        <w:tc>
          <w:tcPr>
            <w:tcW w:w="1034" w:type="pct"/>
            <w:tcBorders>
              <w:top w:val="nil"/>
              <w:left w:val="nil"/>
              <w:bottom w:val="single" w:sz="4" w:space="0" w:color="auto"/>
              <w:right w:val="nil"/>
            </w:tcBorders>
            <w:shd w:val="clear" w:color="000000" w:fill="FFFFFF"/>
            <w:noWrap/>
            <w:vAlign w:val="center"/>
            <w:hideMark/>
          </w:tcPr>
          <w:p w14:paraId="659A786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2.094 (</w:t>
            </w:r>
            <w:r w:rsidR="00EC6A12" w:rsidRPr="004C43D5">
              <w:rPr>
                <w:rFonts w:ascii="Arial" w:hAnsi="Arial" w:cs="Arial"/>
                <w:sz w:val="16"/>
                <w:szCs w:val="16"/>
              </w:rPr>
              <w:t>P</w:t>
            </w:r>
            <w:r w:rsidRPr="004C43D5">
              <w:rPr>
                <w:rFonts w:ascii="Arial" w:hAnsi="Arial" w:cs="Arial"/>
                <w:sz w:val="16"/>
                <w:szCs w:val="16"/>
              </w:rPr>
              <w:t>=0.163)</w:t>
            </w:r>
          </w:p>
        </w:tc>
        <w:tc>
          <w:tcPr>
            <w:tcW w:w="1034" w:type="pct"/>
            <w:tcBorders>
              <w:top w:val="nil"/>
              <w:left w:val="nil"/>
              <w:bottom w:val="single" w:sz="4" w:space="0" w:color="auto"/>
              <w:right w:val="nil"/>
            </w:tcBorders>
            <w:shd w:val="clear" w:color="000000" w:fill="FFFFFF"/>
            <w:noWrap/>
            <w:vAlign w:val="center"/>
            <w:hideMark/>
          </w:tcPr>
          <w:p w14:paraId="720A4223"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1.285 (</w:t>
            </w:r>
            <w:r w:rsidR="00EC6A12" w:rsidRPr="004C43D5">
              <w:rPr>
                <w:rFonts w:ascii="Arial" w:hAnsi="Arial" w:cs="Arial"/>
                <w:sz w:val="16"/>
                <w:szCs w:val="16"/>
              </w:rPr>
              <w:t>P</w:t>
            </w:r>
            <w:r w:rsidRPr="004C43D5">
              <w:rPr>
                <w:rFonts w:ascii="Arial" w:hAnsi="Arial" w:cs="Arial"/>
                <w:sz w:val="16"/>
                <w:szCs w:val="16"/>
              </w:rPr>
              <w:t>=0.270)</w:t>
            </w:r>
          </w:p>
        </w:tc>
        <w:tc>
          <w:tcPr>
            <w:tcW w:w="1034" w:type="pct"/>
            <w:tcBorders>
              <w:top w:val="nil"/>
              <w:left w:val="nil"/>
              <w:bottom w:val="single" w:sz="4" w:space="0" w:color="auto"/>
              <w:right w:val="nil"/>
            </w:tcBorders>
            <w:shd w:val="clear" w:color="000000" w:fill="FFFFFF"/>
            <w:noWrap/>
            <w:vAlign w:val="center"/>
            <w:hideMark/>
          </w:tcPr>
          <w:p w14:paraId="0E982B6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3.202 (</w:t>
            </w:r>
            <w:r w:rsidR="00EC6A12" w:rsidRPr="004C43D5">
              <w:rPr>
                <w:rFonts w:ascii="Arial" w:hAnsi="Arial" w:cs="Arial"/>
                <w:sz w:val="16"/>
                <w:szCs w:val="16"/>
              </w:rPr>
              <w:t>P</w:t>
            </w:r>
            <w:r w:rsidRPr="004C43D5">
              <w:rPr>
                <w:rFonts w:ascii="Arial" w:hAnsi="Arial" w:cs="Arial"/>
                <w:sz w:val="16"/>
                <w:szCs w:val="16"/>
              </w:rPr>
              <w:t>=0.088)</w:t>
            </w:r>
          </w:p>
        </w:tc>
        <w:tc>
          <w:tcPr>
            <w:tcW w:w="253" w:type="pct"/>
            <w:tcBorders>
              <w:top w:val="nil"/>
              <w:left w:val="nil"/>
              <w:bottom w:val="single" w:sz="4" w:space="0" w:color="auto"/>
              <w:right w:val="nil"/>
            </w:tcBorders>
            <w:shd w:val="clear" w:color="000000" w:fill="FFFFFF"/>
            <w:noWrap/>
            <w:vAlign w:val="center"/>
            <w:hideMark/>
          </w:tcPr>
          <w:p w14:paraId="7EC6F86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1/24</w:t>
            </w:r>
          </w:p>
        </w:tc>
      </w:tr>
      <w:tr w:rsidR="004C43D5" w:rsidRPr="004C43D5" w14:paraId="7F9C706A" w14:textId="77777777" w:rsidTr="00766EBB">
        <w:trPr>
          <w:trHeight w:val="227"/>
        </w:trPr>
        <w:tc>
          <w:tcPr>
            <w:tcW w:w="489" w:type="pct"/>
            <w:vMerge w:val="restart"/>
            <w:tcBorders>
              <w:top w:val="nil"/>
              <w:left w:val="nil"/>
              <w:bottom w:val="nil"/>
              <w:right w:val="nil"/>
            </w:tcBorders>
            <w:shd w:val="clear" w:color="000000" w:fill="FFFFFF"/>
            <w:noWrap/>
            <w:vAlign w:val="center"/>
            <w:hideMark/>
          </w:tcPr>
          <w:p w14:paraId="15ECF5BC"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HIPP</w:t>
            </w:r>
          </w:p>
        </w:tc>
        <w:tc>
          <w:tcPr>
            <w:tcW w:w="1156" w:type="pct"/>
            <w:tcBorders>
              <w:top w:val="single" w:sz="4" w:space="0" w:color="auto"/>
              <w:left w:val="nil"/>
              <w:bottom w:val="nil"/>
              <w:right w:val="nil"/>
            </w:tcBorders>
            <w:shd w:val="clear" w:color="000000" w:fill="FFFFFF"/>
            <w:noWrap/>
            <w:vAlign w:val="bottom"/>
            <w:hideMark/>
          </w:tcPr>
          <w:p w14:paraId="3E9BF514"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DA</w:t>
            </w:r>
          </w:p>
        </w:tc>
        <w:tc>
          <w:tcPr>
            <w:tcW w:w="1034" w:type="pct"/>
            <w:tcBorders>
              <w:top w:val="single" w:sz="4" w:space="0" w:color="auto"/>
              <w:left w:val="nil"/>
              <w:bottom w:val="nil"/>
              <w:right w:val="nil"/>
            </w:tcBorders>
            <w:shd w:val="clear" w:color="000000" w:fill="FFFFFF"/>
            <w:noWrap/>
            <w:vAlign w:val="bottom"/>
            <w:hideMark/>
          </w:tcPr>
          <w:p w14:paraId="0015DA8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0.004 (</w:t>
            </w:r>
            <w:r w:rsidR="00EC6A12" w:rsidRPr="004C43D5">
              <w:rPr>
                <w:rFonts w:ascii="Arial" w:hAnsi="Arial" w:cs="Arial"/>
                <w:sz w:val="16"/>
                <w:szCs w:val="16"/>
              </w:rPr>
              <w:t>P</w:t>
            </w:r>
            <w:r w:rsidRPr="004C43D5">
              <w:rPr>
                <w:rFonts w:ascii="Arial" w:hAnsi="Arial" w:cs="Arial"/>
                <w:sz w:val="16"/>
                <w:szCs w:val="16"/>
              </w:rPr>
              <w:t>=0.947)</w:t>
            </w:r>
          </w:p>
        </w:tc>
        <w:tc>
          <w:tcPr>
            <w:tcW w:w="1034" w:type="pct"/>
            <w:tcBorders>
              <w:top w:val="single" w:sz="4" w:space="0" w:color="auto"/>
              <w:left w:val="nil"/>
              <w:bottom w:val="nil"/>
              <w:right w:val="nil"/>
            </w:tcBorders>
            <w:shd w:val="clear" w:color="000000" w:fill="FFFFFF"/>
            <w:noWrap/>
            <w:vAlign w:val="bottom"/>
            <w:hideMark/>
          </w:tcPr>
          <w:p w14:paraId="616E4EB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1.254 (</w:t>
            </w:r>
            <w:r w:rsidR="00EC6A12" w:rsidRPr="004C43D5">
              <w:rPr>
                <w:rFonts w:ascii="Arial" w:hAnsi="Arial" w:cs="Arial"/>
                <w:sz w:val="16"/>
                <w:szCs w:val="16"/>
              </w:rPr>
              <w:t>P</w:t>
            </w:r>
            <w:r w:rsidRPr="004C43D5">
              <w:rPr>
                <w:rFonts w:ascii="Arial" w:hAnsi="Arial" w:cs="Arial"/>
                <w:sz w:val="16"/>
                <w:szCs w:val="16"/>
              </w:rPr>
              <w:t>=0.268)</w:t>
            </w:r>
          </w:p>
        </w:tc>
        <w:tc>
          <w:tcPr>
            <w:tcW w:w="1034" w:type="pct"/>
            <w:tcBorders>
              <w:top w:val="single" w:sz="4" w:space="0" w:color="auto"/>
              <w:left w:val="nil"/>
              <w:bottom w:val="nil"/>
              <w:right w:val="nil"/>
            </w:tcBorders>
            <w:shd w:val="clear" w:color="000000" w:fill="FFFFFF"/>
            <w:noWrap/>
            <w:vAlign w:val="bottom"/>
            <w:hideMark/>
          </w:tcPr>
          <w:p w14:paraId="5FCE366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0.071 (</w:t>
            </w:r>
            <w:r w:rsidR="00EC6A12" w:rsidRPr="004C43D5">
              <w:rPr>
                <w:rFonts w:ascii="Arial" w:hAnsi="Arial" w:cs="Arial"/>
                <w:sz w:val="16"/>
                <w:szCs w:val="16"/>
              </w:rPr>
              <w:t>P</w:t>
            </w:r>
            <w:r w:rsidRPr="004C43D5">
              <w:rPr>
                <w:rFonts w:ascii="Arial" w:hAnsi="Arial" w:cs="Arial"/>
                <w:sz w:val="16"/>
                <w:szCs w:val="16"/>
              </w:rPr>
              <w:t>=0.791)</w:t>
            </w:r>
          </w:p>
        </w:tc>
        <w:tc>
          <w:tcPr>
            <w:tcW w:w="253" w:type="pct"/>
            <w:tcBorders>
              <w:top w:val="single" w:sz="4" w:space="0" w:color="auto"/>
              <w:left w:val="nil"/>
              <w:bottom w:val="nil"/>
              <w:right w:val="nil"/>
            </w:tcBorders>
            <w:shd w:val="clear" w:color="000000" w:fill="FFFFFF"/>
            <w:noWrap/>
            <w:vAlign w:val="bottom"/>
            <w:hideMark/>
          </w:tcPr>
          <w:p w14:paraId="050A84F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1/27</w:t>
            </w:r>
          </w:p>
        </w:tc>
      </w:tr>
      <w:tr w:rsidR="004C43D5" w:rsidRPr="004C43D5" w14:paraId="31E2E158" w14:textId="77777777" w:rsidTr="00766EBB">
        <w:trPr>
          <w:trHeight w:val="227"/>
        </w:trPr>
        <w:tc>
          <w:tcPr>
            <w:tcW w:w="489" w:type="pct"/>
            <w:vMerge/>
            <w:tcBorders>
              <w:top w:val="nil"/>
              <w:left w:val="nil"/>
              <w:bottom w:val="nil"/>
              <w:right w:val="nil"/>
            </w:tcBorders>
            <w:vAlign w:val="center"/>
            <w:hideMark/>
          </w:tcPr>
          <w:p w14:paraId="2F918D8B"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7DEFCADC"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DOPAC+HVA/DA</w:t>
            </w:r>
          </w:p>
        </w:tc>
        <w:tc>
          <w:tcPr>
            <w:tcW w:w="1034" w:type="pct"/>
            <w:tcBorders>
              <w:top w:val="nil"/>
              <w:left w:val="nil"/>
              <w:bottom w:val="nil"/>
              <w:right w:val="nil"/>
            </w:tcBorders>
            <w:shd w:val="clear" w:color="000000" w:fill="FFFFFF"/>
            <w:noWrap/>
            <w:vAlign w:val="bottom"/>
            <w:hideMark/>
          </w:tcPr>
          <w:p w14:paraId="7346510E"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0.055 (</w:t>
            </w:r>
            <w:r w:rsidR="00EC6A12" w:rsidRPr="004C43D5">
              <w:rPr>
                <w:rFonts w:ascii="Arial" w:hAnsi="Arial" w:cs="Arial"/>
                <w:sz w:val="16"/>
                <w:szCs w:val="16"/>
              </w:rPr>
              <w:t>P</w:t>
            </w:r>
            <w:r w:rsidRPr="004C43D5">
              <w:rPr>
                <w:rFonts w:ascii="Arial" w:hAnsi="Arial" w:cs="Arial"/>
                <w:sz w:val="16"/>
                <w:szCs w:val="16"/>
              </w:rPr>
              <w:t>=0.816)</w:t>
            </w:r>
          </w:p>
        </w:tc>
        <w:tc>
          <w:tcPr>
            <w:tcW w:w="1034" w:type="pct"/>
            <w:tcBorders>
              <w:top w:val="nil"/>
              <w:left w:val="nil"/>
              <w:bottom w:val="nil"/>
              <w:right w:val="nil"/>
            </w:tcBorders>
            <w:shd w:val="clear" w:color="000000" w:fill="FFFFFF"/>
            <w:noWrap/>
            <w:vAlign w:val="bottom"/>
            <w:hideMark/>
          </w:tcPr>
          <w:p w14:paraId="6BA07F1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0.000 (</w:t>
            </w:r>
            <w:r w:rsidR="00EC6A12" w:rsidRPr="004C43D5">
              <w:rPr>
                <w:rFonts w:ascii="Arial" w:hAnsi="Arial" w:cs="Arial"/>
                <w:sz w:val="16"/>
                <w:szCs w:val="16"/>
              </w:rPr>
              <w:t>P</w:t>
            </w:r>
            <w:r w:rsidRPr="004C43D5">
              <w:rPr>
                <w:rFonts w:ascii="Arial" w:hAnsi="Arial" w:cs="Arial"/>
                <w:sz w:val="16"/>
                <w:szCs w:val="16"/>
              </w:rPr>
              <w:t>=0.985)</w:t>
            </w:r>
          </w:p>
        </w:tc>
        <w:tc>
          <w:tcPr>
            <w:tcW w:w="1034" w:type="pct"/>
            <w:tcBorders>
              <w:top w:val="nil"/>
              <w:left w:val="nil"/>
              <w:bottom w:val="nil"/>
              <w:right w:val="nil"/>
            </w:tcBorders>
            <w:shd w:val="clear" w:color="000000" w:fill="FFFFFF"/>
            <w:noWrap/>
            <w:vAlign w:val="bottom"/>
            <w:hideMark/>
          </w:tcPr>
          <w:p w14:paraId="0738A30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0.688 (</w:t>
            </w:r>
            <w:r w:rsidR="00EC6A12" w:rsidRPr="004C43D5">
              <w:rPr>
                <w:rFonts w:ascii="Arial" w:hAnsi="Arial" w:cs="Arial"/>
                <w:sz w:val="16"/>
                <w:szCs w:val="16"/>
              </w:rPr>
              <w:t>P</w:t>
            </w:r>
            <w:r w:rsidRPr="004C43D5">
              <w:rPr>
                <w:rFonts w:ascii="Arial" w:hAnsi="Arial" w:cs="Arial"/>
                <w:sz w:val="16"/>
                <w:szCs w:val="16"/>
              </w:rPr>
              <w:t>=0.411)</w:t>
            </w:r>
          </w:p>
        </w:tc>
        <w:tc>
          <w:tcPr>
            <w:tcW w:w="253" w:type="pct"/>
            <w:tcBorders>
              <w:top w:val="nil"/>
              <w:left w:val="nil"/>
              <w:bottom w:val="nil"/>
              <w:right w:val="nil"/>
            </w:tcBorders>
            <w:shd w:val="clear" w:color="000000" w:fill="FFFFFF"/>
            <w:noWrap/>
            <w:vAlign w:val="bottom"/>
            <w:hideMark/>
          </w:tcPr>
          <w:p w14:paraId="22D3C96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1/27</w:t>
            </w:r>
          </w:p>
        </w:tc>
      </w:tr>
      <w:tr w:rsidR="004C43D5" w:rsidRPr="004C43D5" w14:paraId="6866C2A7" w14:textId="77777777" w:rsidTr="00766EBB">
        <w:trPr>
          <w:trHeight w:val="227"/>
        </w:trPr>
        <w:tc>
          <w:tcPr>
            <w:tcW w:w="489" w:type="pct"/>
            <w:vMerge/>
            <w:tcBorders>
              <w:top w:val="nil"/>
              <w:left w:val="nil"/>
              <w:bottom w:val="nil"/>
              <w:right w:val="nil"/>
            </w:tcBorders>
            <w:vAlign w:val="center"/>
            <w:hideMark/>
          </w:tcPr>
          <w:p w14:paraId="67EBADC8"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5776B011"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 xml:space="preserve">NA </w:t>
            </w:r>
          </w:p>
        </w:tc>
        <w:tc>
          <w:tcPr>
            <w:tcW w:w="1034" w:type="pct"/>
            <w:tcBorders>
              <w:top w:val="nil"/>
              <w:left w:val="nil"/>
              <w:bottom w:val="nil"/>
              <w:right w:val="nil"/>
            </w:tcBorders>
            <w:shd w:val="clear" w:color="000000" w:fill="FFFFFF"/>
            <w:noWrap/>
            <w:vAlign w:val="bottom"/>
            <w:hideMark/>
          </w:tcPr>
          <w:p w14:paraId="7F4D50E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1.317 (</w:t>
            </w:r>
            <w:r w:rsidR="00EC6A12" w:rsidRPr="004C43D5">
              <w:rPr>
                <w:rFonts w:ascii="Arial" w:hAnsi="Arial" w:cs="Arial"/>
                <w:sz w:val="16"/>
                <w:szCs w:val="16"/>
              </w:rPr>
              <w:t>P</w:t>
            </w:r>
            <w:r w:rsidRPr="004C43D5">
              <w:rPr>
                <w:rFonts w:ascii="Arial" w:hAnsi="Arial" w:cs="Arial"/>
                <w:sz w:val="16"/>
                <w:szCs w:val="16"/>
              </w:rPr>
              <w:t>=0.256)</w:t>
            </w:r>
          </w:p>
        </w:tc>
        <w:tc>
          <w:tcPr>
            <w:tcW w:w="1034" w:type="pct"/>
            <w:tcBorders>
              <w:top w:val="nil"/>
              <w:left w:val="nil"/>
              <w:bottom w:val="nil"/>
              <w:right w:val="nil"/>
            </w:tcBorders>
            <w:shd w:val="clear" w:color="000000" w:fill="FFFFFF"/>
            <w:noWrap/>
            <w:vAlign w:val="bottom"/>
            <w:hideMark/>
          </w:tcPr>
          <w:p w14:paraId="542631E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0.037 (</w:t>
            </w:r>
            <w:r w:rsidR="00EC6A12" w:rsidRPr="004C43D5">
              <w:rPr>
                <w:rFonts w:ascii="Arial" w:hAnsi="Arial" w:cs="Arial"/>
                <w:sz w:val="16"/>
                <w:szCs w:val="16"/>
              </w:rPr>
              <w:t>P</w:t>
            </w:r>
            <w:r w:rsidRPr="004C43D5">
              <w:rPr>
                <w:rFonts w:ascii="Arial" w:hAnsi="Arial" w:cs="Arial"/>
                <w:sz w:val="16"/>
                <w:szCs w:val="16"/>
              </w:rPr>
              <w:t>=0.847)</w:t>
            </w:r>
          </w:p>
        </w:tc>
        <w:tc>
          <w:tcPr>
            <w:tcW w:w="1034" w:type="pct"/>
            <w:tcBorders>
              <w:top w:val="nil"/>
              <w:left w:val="nil"/>
              <w:bottom w:val="nil"/>
              <w:right w:val="nil"/>
            </w:tcBorders>
            <w:shd w:val="clear" w:color="000000" w:fill="FFFFFF"/>
            <w:noWrap/>
            <w:vAlign w:val="bottom"/>
            <w:hideMark/>
          </w:tcPr>
          <w:p w14:paraId="5855E99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0.862 (</w:t>
            </w:r>
            <w:r w:rsidR="00EC6A12" w:rsidRPr="004C43D5">
              <w:rPr>
                <w:rFonts w:ascii="Arial" w:hAnsi="Arial" w:cs="Arial"/>
                <w:sz w:val="16"/>
                <w:szCs w:val="16"/>
              </w:rPr>
              <w:t>P</w:t>
            </w:r>
            <w:r w:rsidRPr="004C43D5">
              <w:rPr>
                <w:rFonts w:ascii="Arial" w:hAnsi="Arial" w:cs="Arial"/>
                <w:sz w:val="16"/>
                <w:szCs w:val="16"/>
              </w:rPr>
              <w:t>=0.357)</w:t>
            </w:r>
          </w:p>
        </w:tc>
        <w:tc>
          <w:tcPr>
            <w:tcW w:w="253" w:type="pct"/>
            <w:tcBorders>
              <w:top w:val="nil"/>
              <w:left w:val="nil"/>
              <w:bottom w:val="nil"/>
              <w:right w:val="nil"/>
            </w:tcBorders>
            <w:shd w:val="clear" w:color="000000" w:fill="FFFFFF"/>
            <w:noWrap/>
            <w:vAlign w:val="bottom"/>
            <w:hideMark/>
          </w:tcPr>
          <w:p w14:paraId="72EF7BA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1/28</w:t>
            </w:r>
          </w:p>
        </w:tc>
      </w:tr>
      <w:tr w:rsidR="004C43D5" w:rsidRPr="004C43D5" w14:paraId="4C640D76" w14:textId="77777777" w:rsidTr="00766EBB">
        <w:trPr>
          <w:trHeight w:val="227"/>
        </w:trPr>
        <w:tc>
          <w:tcPr>
            <w:tcW w:w="489" w:type="pct"/>
            <w:vMerge/>
            <w:tcBorders>
              <w:top w:val="nil"/>
              <w:left w:val="nil"/>
              <w:bottom w:val="nil"/>
              <w:right w:val="nil"/>
            </w:tcBorders>
            <w:vAlign w:val="center"/>
            <w:hideMark/>
          </w:tcPr>
          <w:p w14:paraId="4946618D" w14:textId="77777777" w:rsidR="00766EBB" w:rsidRPr="004C43D5" w:rsidRDefault="00766EBB" w:rsidP="00766EBB">
            <w:pPr>
              <w:rPr>
                <w:rFonts w:ascii="Arial" w:hAnsi="Arial" w:cs="Arial"/>
                <w:b/>
                <w:bCs/>
                <w:sz w:val="16"/>
                <w:szCs w:val="16"/>
              </w:rPr>
            </w:pPr>
          </w:p>
        </w:tc>
        <w:tc>
          <w:tcPr>
            <w:tcW w:w="1156" w:type="pct"/>
            <w:tcBorders>
              <w:top w:val="nil"/>
              <w:left w:val="nil"/>
              <w:right w:val="nil"/>
            </w:tcBorders>
            <w:shd w:val="clear" w:color="000000" w:fill="FFFFFF"/>
            <w:noWrap/>
            <w:vAlign w:val="bottom"/>
            <w:hideMark/>
          </w:tcPr>
          <w:p w14:paraId="2C1932BE"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5HT</w:t>
            </w:r>
          </w:p>
        </w:tc>
        <w:tc>
          <w:tcPr>
            <w:tcW w:w="1034" w:type="pct"/>
            <w:tcBorders>
              <w:top w:val="nil"/>
              <w:left w:val="nil"/>
              <w:right w:val="nil"/>
            </w:tcBorders>
            <w:shd w:val="clear" w:color="000000" w:fill="FFFFFF"/>
            <w:noWrap/>
            <w:vAlign w:val="bottom"/>
            <w:hideMark/>
          </w:tcPr>
          <w:p w14:paraId="5DBC78AA"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1.355 (</w:t>
            </w:r>
            <w:r w:rsidR="00EC6A12" w:rsidRPr="004C43D5">
              <w:rPr>
                <w:rFonts w:ascii="Arial" w:hAnsi="Arial" w:cs="Arial"/>
                <w:sz w:val="16"/>
                <w:szCs w:val="16"/>
              </w:rPr>
              <w:t>P</w:t>
            </w:r>
            <w:r w:rsidRPr="004C43D5">
              <w:rPr>
                <w:rFonts w:ascii="Arial" w:hAnsi="Arial" w:cs="Arial"/>
                <w:sz w:val="16"/>
                <w:szCs w:val="16"/>
              </w:rPr>
              <w:t>=0.250)</w:t>
            </w:r>
          </w:p>
        </w:tc>
        <w:tc>
          <w:tcPr>
            <w:tcW w:w="1034" w:type="pct"/>
            <w:tcBorders>
              <w:top w:val="nil"/>
              <w:left w:val="nil"/>
              <w:right w:val="nil"/>
            </w:tcBorders>
            <w:shd w:val="clear" w:color="000000" w:fill="FFFFFF"/>
            <w:noWrap/>
            <w:vAlign w:val="bottom"/>
            <w:hideMark/>
          </w:tcPr>
          <w:p w14:paraId="226E033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3.698 (</w:t>
            </w:r>
            <w:r w:rsidR="00EC6A12" w:rsidRPr="004C43D5">
              <w:rPr>
                <w:rFonts w:ascii="Arial" w:hAnsi="Arial" w:cs="Arial"/>
                <w:sz w:val="16"/>
                <w:szCs w:val="16"/>
              </w:rPr>
              <w:t>P</w:t>
            </w:r>
            <w:r w:rsidRPr="004C43D5">
              <w:rPr>
                <w:rFonts w:ascii="Arial" w:hAnsi="Arial" w:cs="Arial"/>
                <w:sz w:val="16"/>
                <w:szCs w:val="16"/>
              </w:rPr>
              <w:t>=0.060)</w:t>
            </w:r>
          </w:p>
        </w:tc>
        <w:tc>
          <w:tcPr>
            <w:tcW w:w="1034" w:type="pct"/>
            <w:tcBorders>
              <w:top w:val="nil"/>
              <w:left w:val="nil"/>
              <w:right w:val="nil"/>
            </w:tcBorders>
            <w:shd w:val="clear" w:color="000000" w:fill="FFFFFF"/>
            <w:noWrap/>
            <w:vAlign w:val="bottom"/>
            <w:hideMark/>
          </w:tcPr>
          <w:p w14:paraId="717D9583"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2.743 (</w:t>
            </w:r>
            <w:r w:rsidR="00EC6A12" w:rsidRPr="004C43D5">
              <w:rPr>
                <w:rFonts w:ascii="Arial" w:hAnsi="Arial" w:cs="Arial"/>
                <w:sz w:val="16"/>
                <w:szCs w:val="16"/>
              </w:rPr>
              <w:t>P</w:t>
            </w:r>
            <w:r w:rsidRPr="004C43D5">
              <w:rPr>
                <w:rFonts w:ascii="Arial" w:hAnsi="Arial" w:cs="Arial"/>
                <w:sz w:val="16"/>
                <w:szCs w:val="16"/>
              </w:rPr>
              <w:t>=0.104)</w:t>
            </w:r>
          </w:p>
        </w:tc>
        <w:tc>
          <w:tcPr>
            <w:tcW w:w="253" w:type="pct"/>
            <w:tcBorders>
              <w:top w:val="nil"/>
              <w:left w:val="nil"/>
              <w:right w:val="nil"/>
            </w:tcBorders>
            <w:shd w:val="clear" w:color="000000" w:fill="FFFFFF"/>
            <w:noWrap/>
            <w:vAlign w:val="bottom"/>
            <w:hideMark/>
          </w:tcPr>
          <w:p w14:paraId="79DDC88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1/28</w:t>
            </w:r>
          </w:p>
        </w:tc>
      </w:tr>
      <w:tr w:rsidR="004C43D5" w:rsidRPr="004C43D5" w14:paraId="4B766CAE" w14:textId="77777777" w:rsidTr="00766EBB">
        <w:trPr>
          <w:trHeight w:val="227"/>
        </w:trPr>
        <w:tc>
          <w:tcPr>
            <w:tcW w:w="489" w:type="pct"/>
            <w:vMerge/>
            <w:tcBorders>
              <w:top w:val="nil"/>
              <w:left w:val="nil"/>
              <w:bottom w:val="nil"/>
              <w:right w:val="nil"/>
            </w:tcBorders>
            <w:vAlign w:val="center"/>
            <w:hideMark/>
          </w:tcPr>
          <w:p w14:paraId="356536EB" w14:textId="77777777" w:rsidR="00766EBB" w:rsidRPr="004C43D5" w:rsidRDefault="00766EBB" w:rsidP="00766EBB">
            <w:pPr>
              <w:rPr>
                <w:rFonts w:ascii="Arial" w:hAnsi="Arial" w:cs="Arial"/>
                <w:b/>
                <w:bCs/>
                <w:sz w:val="16"/>
                <w:szCs w:val="16"/>
              </w:rPr>
            </w:pPr>
          </w:p>
        </w:tc>
        <w:tc>
          <w:tcPr>
            <w:tcW w:w="1156" w:type="pct"/>
            <w:tcBorders>
              <w:top w:val="nil"/>
              <w:left w:val="nil"/>
              <w:bottom w:val="single" w:sz="4" w:space="0" w:color="auto"/>
              <w:right w:val="nil"/>
            </w:tcBorders>
            <w:shd w:val="clear" w:color="000000" w:fill="FFFFFF"/>
            <w:noWrap/>
            <w:vAlign w:val="bottom"/>
            <w:hideMark/>
          </w:tcPr>
          <w:p w14:paraId="06F8A10D"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5HIAA/5HT</w:t>
            </w:r>
          </w:p>
        </w:tc>
        <w:tc>
          <w:tcPr>
            <w:tcW w:w="1034" w:type="pct"/>
            <w:tcBorders>
              <w:top w:val="nil"/>
              <w:left w:val="nil"/>
              <w:bottom w:val="single" w:sz="4" w:space="0" w:color="auto"/>
              <w:right w:val="nil"/>
            </w:tcBorders>
            <w:shd w:val="clear" w:color="000000" w:fill="FFFFFF"/>
            <w:noWrap/>
            <w:vAlign w:val="bottom"/>
            <w:hideMark/>
          </w:tcPr>
          <w:p w14:paraId="0B4734B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0.395 (</w:t>
            </w:r>
            <w:r w:rsidR="00EC6A12" w:rsidRPr="004C43D5">
              <w:rPr>
                <w:rFonts w:ascii="Arial" w:hAnsi="Arial" w:cs="Arial"/>
                <w:sz w:val="16"/>
                <w:szCs w:val="16"/>
              </w:rPr>
              <w:t>P</w:t>
            </w:r>
            <w:r w:rsidRPr="004C43D5">
              <w:rPr>
                <w:rFonts w:ascii="Arial" w:hAnsi="Arial" w:cs="Arial"/>
                <w:sz w:val="16"/>
                <w:szCs w:val="16"/>
              </w:rPr>
              <w:t>=0.532)</w:t>
            </w:r>
          </w:p>
        </w:tc>
        <w:tc>
          <w:tcPr>
            <w:tcW w:w="1034" w:type="pct"/>
            <w:tcBorders>
              <w:top w:val="nil"/>
              <w:left w:val="nil"/>
              <w:bottom w:val="single" w:sz="4" w:space="0" w:color="auto"/>
              <w:right w:val="nil"/>
            </w:tcBorders>
            <w:shd w:val="clear" w:color="000000" w:fill="FFFFFF"/>
            <w:noWrap/>
            <w:vAlign w:val="bottom"/>
            <w:hideMark/>
          </w:tcPr>
          <w:p w14:paraId="45BECEF0"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0.875 (</w:t>
            </w:r>
            <w:r w:rsidR="00EC6A12" w:rsidRPr="004C43D5">
              <w:rPr>
                <w:rFonts w:ascii="Arial" w:hAnsi="Arial" w:cs="Arial"/>
                <w:sz w:val="16"/>
                <w:szCs w:val="16"/>
              </w:rPr>
              <w:t>P</w:t>
            </w:r>
            <w:r w:rsidRPr="004C43D5">
              <w:rPr>
                <w:rFonts w:ascii="Arial" w:hAnsi="Arial" w:cs="Arial"/>
                <w:sz w:val="16"/>
                <w:szCs w:val="16"/>
              </w:rPr>
              <w:t>=0.354)</w:t>
            </w:r>
          </w:p>
        </w:tc>
        <w:tc>
          <w:tcPr>
            <w:tcW w:w="1034" w:type="pct"/>
            <w:tcBorders>
              <w:top w:val="nil"/>
              <w:left w:val="nil"/>
              <w:bottom w:val="single" w:sz="4" w:space="0" w:color="auto"/>
              <w:right w:val="nil"/>
            </w:tcBorders>
            <w:shd w:val="clear" w:color="000000" w:fill="FFFFFF"/>
            <w:noWrap/>
            <w:vAlign w:val="bottom"/>
            <w:hideMark/>
          </w:tcPr>
          <w:p w14:paraId="4415A15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0.067 (</w:t>
            </w:r>
            <w:r w:rsidR="00EC6A12" w:rsidRPr="004C43D5">
              <w:rPr>
                <w:rFonts w:ascii="Arial" w:hAnsi="Arial" w:cs="Arial"/>
                <w:sz w:val="16"/>
                <w:szCs w:val="16"/>
              </w:rPr>
              <w:t>P</w:t>
            </w:r>
            <w:r w:rsidRPr="004C43D5">
              <w:rPr>
                <w:rFonts w:ascii="Arial" w:hAnsi="Arial" w:cs="Arial"/>
                <w:sz w:val="16"/>
                <w:szCs w:val="16"/>
              </w:rPr>
              <w:t>=0.797)</w:t>
            </w:r>
          </w:p>
        </w:tc>
        <w:tc>
          <w:tcPr>
            <w:tcW w:w="253" w:type="pct"/>
            <w:tcBorders>
              <w:top w:val="nil"/>
              <w:left w:val="nil"/>
              <w:bottom w:val="single" w:sz="4" w:space="0" w:color="auto"/>
              <w:right w:val="nil"/>
            </w:tcBorders>
            <w:shd w:val="clear" w:color="000000" w:fill="FFFFFF"/>
            <w:noWrap/>
            <w:vAlign w:val="bottom"/>
            <w:hideMark/>
          </w:tcPr>
          <w:p w14:paraId="0CDB130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1/28</w:t>
            </w:r>
          </w:p>
        </w:tc>
      </w:tr>
      <w:tr w:rsidR="004C43D5" w:rsidRPr="004C43D5" w14:paraId="43606565" w14:textId="77777777" w:rsidTr="00766EBB">
        <w:trPr>
          <w:trHeight w:val="227"/>
        </w:trPr>
        <w:tc>
          <w:tcPr>
            <w:tcW w:w="489" w:type="pct"/>
            <w:vMerge w:val="restart"/>
            <w:tcBorders>
              <w:top w:val="nil"/>
              <w:left w:val="nil"/>
              <w:bottom w:val="nil"/>
              <w:right w:val="nil"/>
            </w:tcBorders>
            <w:shd w:val="clear" w:color="000000" w:fill="FFFFFF"/>
            <w:noWrap/>
            <w:vAlign w:val="center"/>
            <w:hideMark/>
          </w:tcPr>
          <w:p w14:paraId="19342754"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SN</w:t>
            </w:r>
          </w:p>
        </w:tc>
        <w:tc>
          <w:tcPr>
            <w:tcW w:w="1156" w:type="pct"/>
            <w:tcBorders>
              <w:top w:val="single" w:sz="4" w:space="0" w:color="auto"/>
              <w:left w:val="nil"/>
              <w:bottom w:val="nil"/>
              <w:right w:val="nil"/>
            </w:tcBorders>
            <w:shd w:val="clear" w:color="000000" w:fill="FFFFFF"/>
            <w:noWrap/>
            <w:vAlign w:val="bottom"/>
            <w:hideMark/>
          </w:tcPr>
          <w:p w14:paraId="00D58C60"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DA</w:t>
            </w:r>
          </w:p>
        </w:tc>
        <w:tc>
          <w:tcPr>
            <w:tcW w:w="1034" w:type="pct"/>
            <w:tcBorders>
              <w:top w:val="single" w:sz="4" w:space="0" w:color="auto"/>
              <w:left w:val="nil"/>
              <w:bottom w:val="nil"/>
              <w:right w:val="nil"/>
            </w:tcBorders>
            <w:shd w:val="clear" w:color="000000" w:fill="FFFFFF"/>
            <w:noWrap/>
            <w:vAlign w:val="center"/>
            <w:hideMark/>
          </w:tcPr>
          <w:p w14:paraId="1B76DD9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1.756 (</w:t>
            </w:r>
            <w:r w:rsidR="00EC6A12" w:rsidRPr="004C43D5">
              <w:rPr>
                <w:rFonts w:ascii="Arial" w:hAnsi="Arial" w:cs="Arial"/>
                <w:sz w:val="16"/>
                <w:szCs w:val="16"/>
              </w:rPr>
              <w:t>P</w:t>
            </w:r>
            <w:r w:rsidRPr="004C43D5">
              <w:rPr>
                <w:rFonts w:ascii="Arial" w:hAnsi="Arial" w:cs="Arial"/>
                <w:sz w:val="16"/>
                <w:szCs w:val="16"/>
              </w:rPr>
              <w:t>=0.198)</w:t>
            </w:r>
          </w:p>
        </w:tc>
        <w:tc>
          <w:tcPr>
            <w:tcW w:w="1034" w:type="pct"/>
            <w:tcBorders>
              <w:top w:val="single" w:sz="4" w:space="0" w:color="auto"/>
              <w:left w:val="nil"/>
              <w:bottom w:val="nil"/>
              <w:right w:val="nil"/>
            </w:tcBorders>
            <w:shd w:val="clear" w:color="000000" w:fill="FFFFFF"/>
            <w:noWrap/>
            <w:vAlign w:val="center"/>
            <w:hideMark/>
          </w:tcPr>
          <w:p w14:paraId="3A1FFC3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0.056 (</w:t>
            </w:r>
            <w:r w:rsidR="00EC6A12" w:rsidRPr="004C43D5">
              <w:rPr>
                <w:rFonts w:ascii="Arial" w:hAnsi="Arial" w:cs="Arial"/>
                <w:sz w:val="16"/>
                <w:szCs w:val="16"/>
              </w:rPr>
              <w:t>P</w:t>
            </w:r>
            <w:r w:rsidRPr="004C43D5">
              <w:rPr>
                <w:rFonts w:ascii="Arial" w:hAnsi="Arial" w:cs="Arial"/>
                <w:sz w:val="16"/>
                <w:szCs w:val="16"/>
              </w:rPr>
              <w:t>=0.815)</w:t>
            </w:r>
          </w:p>
        </w:tc>
        <w:tc>
          <w:tcPr>
            <w:tcW w:w="1034" w:type="pct"/>
            <w:tcBorders>
              <w:top w:val="single" w:sz="4" w:space="0" w:color="auto"/>
              <w:left w:val="nil"/>
              <w:bottom w:val="nil"/>
              <w:right w:val="nil"/>
            </w:tcBorders>
            <w:shd w:val="clear" w:color="000000" w:fill="FFFFFF"/>
            <w:noWrap/>
            <w:vAlign w:val="center"/>
            <w:hideMark/>
          </w:tcPr>
          <w:p w14:paraId="781ABF53"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0.335 (</w:t>
            </w:r>
            <w:r w:rsidR="00EC6A12" w:rsidRPr="004C43D5">
              <w:rPr>
                <w:rFonts w:ascii="Arial" w:hAnsi="Arial" w:cs="Arial"/>
                <w:sz w:val="16"/>
                <w:szCs w:val="16"/>
              </w:rPr>
              <w:t>P</w:t>
            </w:r>
            <w:r w:rsidRPr="004C43D5">
              <w:rPr>
                <w:rFonts w:ascii="Arial" w:hAnsi="Arial" w:cs="Arial"/>
                <w:sz w:val="16"/>
                <w:szCs w:val="16"/>
              </w:rPr>
              <w:t>=0.568)</w:t>
            </w:r>
          </w:p>
        </w:tc>
        <w:tc>
          <w:tcPr>
            <w:tcW w:w="253" w:type="pct"/>
            <w:tcBorders>
              <w:top w:val="single" w:sz="4" w:space="0" w:color="auto"/>
              <w:left w:val="nil"/>
              <w:bottom w:val="nil"/>
              <w:right w:val="nil"/>
            </w:tcBorders>
            <w:shd w:val="clear" w:color="000000" w:fill="FFFFFF"/>
            <w:noWrap/>
            <w:vAlign w:val="center"/>
            <w:hideMark/>
          </w:tcPr>
          <w:p w14:paraId="352ABB4E"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1/27</w:t>
            </w:r>
          </w:p>
        </w:tc>
      </w:tr>
      <w:tr w:rsidR="004C43D5" w:rsidRPr="004C43D5" w14:paraId="0994AD67" w14:textId="77777777" w:rsidTr="00766EBB">
        <w:trPr>
          <w:trHeight w:val="227"/>
        </w:trPr>
        <w:tc>
          <w:tcPr>
            <w:tcW w:w="489" w:type="pct"/>
            <w:vMerge/>
            <w:tcBorders>
              <w:top w:val="nil"/>
              <w:left w:val="nil"/>
              <w:bottom w:val="nil"/>
              <w:right w:val="nil"/>
            </w:tcBorders>
            <w:vAlign w:val="center"/>
            <w:hideMark/>
          </w:tcPr>
          <w:p w14:paraId="641EA729"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06FFB713"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DOPAC+HVA/DA</w:t>
            </w:r>
          </w:p>
        </w:tc>
        <w:tc>
          <w:tcPr>
            <w:tcW w:w="1034" w:type="pct"/>
            <w:tcBorders>
              <w:top w:val="nil"/>
              <w:left w:val="nil"/>
              <w:bottom w:val="nil"/>
              <w:right w:val="nil"/>
            </w:tcBorders>
            <w:shd w:val="clear" w:color="000000" w:fill="FFFFFF"/>
            <w:noWrap/>
            <w:vAlign w:val="center"/>
            <w:hideMark/>
          </w:tcPr>
          <w:p w14:paraId="1B1F0BF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0.134 (</w:t>
            </w:r>
            <w:r w:rsidR="00EC6A12" w:rsidRPr="004C43D5">
              <w:rPr>
                <w:rFonts w:ascii="Arial" w:hAnsi="Arial" w:cs="Arial"/>
                <w:sz w:val="16"/>
                <w:szCs w:val="16"/>
              </w:rPr>
              <w:t>P</w:t>
            </w:r>
            <w:r w:rsidRPr="004C43D5">
              <w:rPr>
                <w:rFonts w:ascii="Arial" w:hAnsi="Arial" w:cs="Arial"/>
                <w:sz w:val="16"/>
                <w:szCs w:val="16"/>
              </w:rPr>
              <w:t>=0.717)</w:t>
            </w:r>
          </w:p>
        </w:tc>
        <w:tc>
          <w:tcPr>
            <w:tcW w:w="1034" w:type="pct"/>
            <w:tcBorders>
              <w:top w:val="nil"/>
              <w:left w:val="nil"/>
              <w:bottom w:val="nil"/>
              <w:right w:val="nil"/>
            </w:tcBorders>
            <w:shd w:val="clear" w:color="000000" w:fill="FFFFFF"/>
            <w:noWrap/>
            <w:vAlign w:val="center"/>
            <w:hideMark/>
          </w:tcPr>
          <w:p w14:paraId="111A3E06"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2.881 (</w:t>
            </w:r>
            <w:r w:rsidR="00EC6A12" w:rsidRPr="004C43D5">
              <w:rPr>
                <w:rFonts w:ascii="Arial" w:hAnsi="Arial" w:cs="Arial"/>
                <w:sz w:val="16"/>
                <w:szCs w:val="16"/>
              </w:rPr>
              <w:t>P</w:t>
            </w:r>
            <w:r w:rsidRPr="004C43D5">
              <w:rPr>
                <w:rFonts w:ascii="Arial" w:hAnsi="Arial" w:cs="Arial"/>
                <w:sz w:val="16"/>
                <w:szCs w:val="16"/>
              </w:rPr>
              <w:t>=0.103)</w:t>
            </w:r>
          </w:p>
        </w:tc>
        <w:tc>
          <w:tcPr>
            <w:tcW w:w="1034" w:type="pct"/>
            <w:tcBorders>
              <w:top w:val="nil"/>
              <w:left w:val="nil"/>
              <w:bottom w:val="nil"/>
              <w:right w:val="nil"/>
            </w:tcBorders>
            <w:shd w:val="clear" w:color="000000" w:fill="FFFFFF"/>
            <w:noWrap/>
            <w:vAlign w:val="center"/>
            <w:hideMark/>
          </w:tcPr>
          <w:p w14:paraId="36CA305E"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3.383 (</w:t>
            </w:r>
            <w:r w:rsidR="00EC6A12" w:rsidRPr="004C43D5">
              <w:rPr>
                <w:rFonts w:ascii="Arial" w:hAnsi="Arial" w:cs="Arial"/>
                <w:sz w:val="16"/>
                <w:szCs w:val="16"/>
              </w:rPr>
              <w:t>P</w:t>
            </w:r>
            <w:r w:rsidRPr="004C43D5">
              <w:rPr>
                <w:rFonts w:ascii="Arial" w:hAnsi="Arial" w:cs="Arial"/>
                <w:sz w:val="16"/>
                <w:szCs w:val="16"/>
              </w:rPr>
              <w:t>=0.078)</w:t>
            </w:r>
          </w:p>
        </w:tc>
        <w:tc>
          <w:tcPr>
            <w:tcW w:w="253" w:type="pct"/>
            <w:tcBorders>
              <w:top w:val="nil"/>
              <w:left w:val="nil"/>
              <w:bottom w:val="nil"/>
              <w:right w:val="nil"/>
            </w:tcBorders>
            <w:shd w:val="clear" w:color="000000" w:fill="FFFFFF"/>
            <w:noWrap/>
            <w:vAlign w:val="center"/>
            <w:hideMark/>
          </w:tcPr>
          <w:p w14:paraId="05AE44DE"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1/27</w:t>
            </w:r>
          </w:p>
        </w:tc>
      </w:tr>
      <w:tr w:rsidR="004C43D5" w:rsidRPr="004C43D5" w14:paraId="3396F7ED" w14:textId="77777777" w:rsidTr="00766EBB">
        <w:trPr>
          <w:trHeight w:val="227"/>
        </w:trPr>
        <w:tc>
          <w:tcPr>
            <w:tcW w:w="489" w:type="pct"/>
            <w:vMerge/>
            <w:tcBorders>
              <w:top w:val="nil"/>
              <w:left w:val="nil"/>
              <w:bottom w:val="nil"/>
              <w:right w:val="nil"/>
            </w:tcBorders>
            <w:vAlign w:val="center"/>
            <w:hideMark/>
          </w:tcPr>
          <w:p w14:paraId="27CCF71A"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7D305A23"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 xml:space="preserve">NA </w:t>
            </w:r>
          </w:p>
        </w:tc>
        <w:tc>
          <w:tcPr>
            <w:tcW w:w="1034" w:type="pct"/>
            <w:tcBorders>
              <w:top w:val="nil"/>
              <w:left w:val="nil"/>
              <w:bottom w:val="nil"/>
              <w:right w:val="nil"/>
            </w:tcBorders>
            <w:shd w:val="clear" w:color="000000" w:fill="FFFFFF"/>
            <w:noWrap/>
            <w:vAlign w:val="center"/>
            <w:hideMark/>
          </w:tcPr>
          <w:p w14:paraId="42FEEBA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0.058 (</w:t>
            </w:r>
            <w:r w:rsidR="00EC6A12" w:rsidRPr="004C43D5">
              <w:rPr>
                <w:rFonts w:ascii="Arial" w:hAnsi="Arial" w:cs="Arial"/>
                <w:sz w:val="16"/>
                <w:szCs w:val="16"/>
              </w:rPr>
              <w:t>P</w:t>
            </w:r>
            <w:r w:rsidRPr="004C43D5">
              <w:rPr>
                <w:rFonts w:ascii="Arial" w:hAnsi="Arial" w:cs="Arial"/>
                <w:sz w:val="16"/>
                <w:szCs w:val="16"/>
              </w:rPr>
              <w:t>=0.812)</w:t>
            </w:r>
          </w:p>
        </w:tc>
        <w:tc>
          <w:tcPr>
            <w:tcW w:w="1034" w:type="pct"/>
            <w:tcBorders>
              <w:top w:val="nil"/>
              <w:left w:val="nil"/>
              <w:bottom w:val="nil"/>
              <w:right w:val="nil"/>
            </w:tcBorders>
            <w:shd w:val="clear" w:color="000000" w:fill="FFFFFF"/>
            <w:noWrap/>
            <w:vAlign w:val="center"/>
            <w:hideMark/>
          </w:tcPr>
          <w:p w14:paraId="48A4022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2.591 (</w:t>
            </w:r>
            <w:r w:rsidR="00EC6A12" w:rsidRPr="004C43D5">
              <w:rPr>
                <w:rFonts w:ascii="Arial" w:hAnsi="Arial" w:cs="Arial"/>
                <w:sz w:val="16"/>
                <w:szCs w:val="16"/>
              </w:rPr>
              <w:t>P</w:t>
            </w:r>
            <w:r w:rsidRPr="004C43D5">
              <w:rPr>
                <w:rFonts w:ascii="Arial" w:hAnsi="Arial" w:cs="Arial"/>
                <w:sz w:val="16"/>
                <w:szCs w:val="16"/>
              </w:rPr>
              <w:t>=0.121)</w:t>
            </w:r>
          </w:p>
        </w:tc>
        <w:tc>
          <w:tcPr>
            <w:tcW w:w="1034" w:type="pct"/>
            <w:tcBorders>
              <w:top w:val="nil"/>
              <w:left w:val="nil"/>
              <w:bottom w:val="nil"/>
              <w:right w:val="nil"/>
            </w:tcBorders>
            <w:shd w:val="clear" w:color="000000" w:fill="FFFFFF"/>
            <w:noWrap/>
            <w:vAlign w:val="center"/>
            <w:hideMark/>
          </w:tcPr>
          <w:p w14:paraId="56F41FE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0.015 (</w:t>
            </w:r>
            <w:r w:rsidR="00EC6A12" w:rsidRPr="004C43D5">
              <w:rPr>
                <w:rFonts w:ascii="Arial" w:hAnsi="Arial" w:cs="Arial"/>
                <w:sz w:val="16"/>
                <w:szCs w:val="16"/>
              </w:rPr>
              <w:t>P</w:t>
            </w:r>
            <w:r w:rsidRPr="004C43D5">
              <w:rPr>
                <w:rFonts w:ascii="Arial" w:hAnsi="Arial" w:cs="Arial"/>
                <w:sz w:val="16"/>
                <w:szCs w:val="16"/>
              </w:rPr>
              <w:t>=0.905)</w:t>
            </w:r>
          </w:p>
        </w:tc>
        <w:tc>
          <w:tcPr>
            <w:tcW w:w="253" w:type="pct"/>
            <w:tcBorders>
              <w:top w:val="nil"/>
              <w:left w:val="nil"/>
              <w:bottom w:val="nil"/>
              <w:right w:val="nil"/>
            </w:tcBorders>
            <w:shd w:val="clear" w:color="000000" w:fill="FFFFFF"/>
            <w:noWrap/>
            <w:vAlign w:val="center"/>
            <w:hideMark/>
          </w:tcPr>
          <w:p w14:paraId="6E7903E2"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1/26</w:t>
            </w:r>
          </w:p>
        </w:tc>
      </w:tr>
      <w:tr w:rsidR="004C43D5" w:rsidRPr="004C43D5" w14:paraId="09538393" w14:textId="77777777" w:rsidTr="00766EBB">
        <w:trPr>
          <w:trHeight w:val="227"/>
        </w:trPr>
        <w:tc>
          <w:tcPr>
            <w:tcW w:w="489" w:type="pct"/>
            <w:vMerge/>
            <w:tcBorders>
              <w:top w:val="nil"/>
              <w:left w:val="nil"/>
              <w:bottom w:val="nil"/>
              <w:right w:val="nil"/>
            </w:tcBorders>
            <w:vAlign w:val="center"/>
            <w:hideMark/>
          </w:tcPr>
          <w:p w14:paraId="41B21EA2" w14:textId="77777777" w:rsidR="00766EBB" w:rsidRPr="004C43D5" w:rsidRDefault="00766EBB" w:rsidP="00766EBB">
            <w:pPr>
              <w:rPr>
                <w:rFonts w:ascii="Arial" w:hAnsi="Arial" w:cs="Arial"/>
                <w:b/>
                <w:bCs/>
                <w:sz w:val="16"/>
                <w:szCs w:val="16"/>
              </w:rPr>
            </w:pPr>
          </w:p>
        </w:tc>
        <w:tc>
          <w:tcPr>
            <w:tcW w:w="1156" w:type="pct"/>
            <w:tcBorders>
              <w:top w:val="nil"/>
              <w:left w:val="nil"/>
              <w:right w:val="nil"/>
            </w:tcBorders>
            <w:shd w:val="clear" w:color="000000" w:fill="FFFFFF"/>
            <w:noWrap/>
            <w:vAlign w:val="bottom"/>
            <w:hideMark/>
          </w:tcPr>
          <w:p w14:paraId="694DF707"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5HT</w:t>
            </w:r>
          </w:p>
        </w:tc>
        <w:tc>
          <w:tcPr>
            <w:tcW w:w="1034" w:type="pct"/>
            <w:tcBorders>
              <w:top w:val="nil"/>
              <w:left w:val="nil"/>
              <w:right w:val="nil"/>
            </w:tcBorders>
            <w:shd w:val="clear" w:color="000000" w:fill="FFFFFF"/>
            <w:noWrap/>
            <w:vAlign w:val="center"/>
            <w:hideMark/>
          </w:tcPr>
          <w:p w14:paraId="6F0AC100"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0.489 (</w:t>
            </w:r>
            <w:r w:rsidR="00EC6A12" w:rsidRPr="004C43D5">
              <w:rPr>
                <w:rFonts w:ascii="Arial" w:hAnsi="Arial" w:cs="Arial"/>
                <w:sz w:val="16"/>
                <w:szCs w:val="16"/>
              </w:rPr>
              <w:t>P</w:t>
            </w:r>
            <w:r w:rsidRPr="004C43D5">
              <w:rPr>
                <w:rFonts w:ascii="Arial" w:hAnsi="Arial" w:cs="Arial"/>
                <w:sz w:val="16"/>
                <w:szCs w:val="16"/>
              </w:rPr>
              <w:t>=0.492)</w:t>
            </w:r>
          </w:p>
        </w:tc>
        <w:tc>
          <w:tcPr>
            <w:tcW w:w="1034" w:type="pct"/>
            <w:tcBorders>
              <w:top w:val="nil"/>
              <w:left w:val="nil"/>
              <w:right w:val="nil"/>
            </w:tcBorders>
            <w:shd w:val="clear" w:color="000000" w:fill="FFFFFF"/>
            <w:noWrap/>
            <w:vAlign w:val="center"/>
            <w:hideMark/>
          </w:tcPr>
          <w:p w14:paraId="0A9B07B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3.032 (</w:t>
            </w:r>
            <w:r w:rsidR="00EC6A12" w:rsidRPr="004C43D5">
              <w:rPr>
                <w:rFonts w:ascii="Arial" w:hAnsi="Arial" w:cs="Arial"/>
                <w:sz w:val="16"/>
                <w:szCs w:val="16"/>
              </w:rPr>
              <w:t>P</w:t>
            </w:r>
            <w:r w:rsidRPr="004C43D5">
              <w:rPr>
                <w:rFonts w:ascii="Arial" w:hAnsi="Arial" w:cs="Arial"/>
                <w:sz w:val="16"/>
                <w:szCs w:val="16"/>
              </w:rPr>
              <w:t>=0.095)</w:t>
            </w:r>
          </w:p>
        </w:tc>
        <w:tc>
          <w:tcPr>
            <w:tcW w:w="1034" w:type="pct"/>
            <w:tcBorders>
              <w:top w:val="nil"/>
              <w:left w:val="nil"/>
              <w:right w:val="nil"/>
            </w:tcBorders>
            <w:shd w:val="clear" w:color="000000" w:fill="FFFFFF"/>
            <w:noWrap/>
            <w:vAlign w:val="center"/>
            <w:hideMark/>
          </w:tcPr>
          <w:p w14:paraId="78832AAD"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0.040 (</w:t>
            </w:r>
            <w:r w:rsidR="00EC6A12" w:rsidRPr="004C43D5">
              <w:rPr>
                <w:rFonts w:ascii="Arial" w:hAnsi="Arial" w:cs="Arial"/>
                <w:sz w:val="16"/>
                <w:szCs w:val="16"/>
              </w:rPr>
              <w:t>P</w:t>
            </w:r>
            <w:r w:rsidRPr="004C43D5">
              <w:rPr>
                <w:rFonts w:ascii="Arial" w:hAnsi="Arial" w:cs="Arial"/>
                <w:sz w:val="16"/>
                <w:szCs w:val="16"/>
              </w:rPr>
              <w:t>=0.843)</w:t>
            </w:r>
          </w:p>
        </w:tc>
        <w:tc>
          <w:tcPr>
            <w:tcW w:w="253" w:type="pct"/>
            <w:tcBorders>
              <w:top w:val="nil"/>
              <w:left w:val="nil"/>
              <w:right w:val="nil"/>
            </w:tcBorders>
            <w:shd w:val="clear" w:color="000000" w:fill="FFFFFF"/>
            <w:noWrap/>
            <w:vAlign w:val="center"/>
            <w:hideMark/>
          </w:tcPr>
          <w:p w14:paraId="5B09281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1/26</w:t>
            </w:r>
          </w:p>
        </w:tc>
      </w:tr>
      <w:tr w:rsidR="004C43D5" w:rsidRPr="004C43D5" w14:paraId="196EF1FE" w14:textId="77777777" w:rsidTr="00766EBB">
        <w:trPr>
          <w:trHeight w:val="227"/>
        </w:trPr>
        <w:tc>
          <w:tcPr>
            <w:tcW w:w="489" w:type="pct"/>
            <w:vMerge/>
            <w:tcBorders>
              <w:top w:val="nil"/>
              <w:left w:val="nil"/>
              <w:bottom w:val="nil"/>
              <w:right w:val="nil"/>
            </w:tcBorders>
            <w:vAlign w:val="center"/>
            <w:hideMark/>
          </w:tcPr>
          <w:p w14:paraId="63EB5EFD" w14:textId="77777777" w:rsidR="00766EBB" w:rsidRPr="004C43D5" w:rsidRDefault="00766EBB" w:rsidP="00766EBB">
            <w:pPr>
              <w:rPr>
                <w:rFonts w:ascii="Arial" w:hAnsi="Arial" w:cs="Arial"/>
                <w:b/>
                <w:bCs/>
                <w:sz w:val="16"/>
                <w:szCs w:val="16"/>
              </w:rPr>
            </w:pPr>
          </w:p>
        </w:tc>
        <w:tc>
          <w:tcPr>
            <w:tcW w:w="1156" w:type="pct"/>
            <w:tcBorders>
              <w:top w:val="nil"/>
              <w:left w:val="nil"/>
              <w:bottom w:val="single" w:sz="4" w:space="0" w:color="auto"/>
              <w:right w:val="nil"/>
            </w:tcBorders>
            <w:shd w:val="clear" w:color="000000" w:fill="FFFFFF"/>
            <w:noWrap/>
            <w:vAlign w:val="bottom"/>
            <w:hideMark/>
          </w:tcPr>
          <w:p w14:paraId="57A7FFC7"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5HIAA/5HT</w:t>
            </w:r>
          </w:p>
        </w:tc>
        <w:tc>
          <w:tcPr>
            <w:tcW w:w="1034" w:type="pct"/>
            <w:tcBorders>
              <w:top w:val="nil"/>
              <w:left w:val="nil"/>
              <w:bottom w:val="single" w:sz="4" w:space="0" w:color="auto"/>
              <w:right w:val="nil"/>
            </w:tcBorders>
            <w:shd w:val="clear" w:color="000000" w:fill="FFFFFF"/>
            <w:noWrap/>
            <w:vAlign w:val="center"/>
            <w:hideMark/>
          </w:tcPr>
          <w:p w14:paraId="630C5666"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3.293 (</w:t>
            </w:r>
            <w:r w:rsidR="00EC6A12" w:rsidRPr="004C43D5">
              <w:rPr>
                <w:rFonts w:ascii="Arial" w:hAnsi="Arial" w:cs="Arial"/>
                <w:sz w:val="16"/>
                <w:szCs w:val="16"/>
              </w:rPr>
              <w:t>P</w:t>
            </w:r>
            <w:r w:rsidRPr="004C43D5">
              <w:rPr>
                <w:rFonts w:ascii="Arial" w:hAnsi="Arial" w:cs="Arial"/>
                <w:sz w:val="16"/>
                <w:szCs w:val="16"/>
              </w:rPr>
              <w:t>=0.083)</w:t>
            </w:r>
          </w:p>
        </w:tc>
        <w:tc>
          <w:tcPr>
            <w:tcW w:w="1034" w:type="pct"/>
            <w:tcBorders>
              <w:top w:val="nil"/>
              <w:left w:val="nil"/>
              <w:bottom w:val="single" w:sz="4" w:space="0" w:color="auto"/>
              <w:right w:val="nil"/>
            </w:tcBorders>
            <w:shd w:val="clear" w:color="000000" w:fill="FFFFFF"/>
            <w:noWrap/>
            <w:vAlign w:val="center"/>
            <w:hideMark/>
          </w:tcPr>
          <w:p w14:paraId="6B5B707A"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0.668 (</w:t>
            </w:r>
            <w:r w:rsidR="00EC6A12" w:rsidRPr="004C43D5">
              <w:rPr>
                <w:rFonts w:ascii="Arial" w:hAnsi="Arial" w:cs="Arial"/>
                <w:sz w:val="16"/>
                <w:szCs w:val="16"/>
              </w:rPr>
              <w:t>P</w:t>
            </w:r>
            <w:r w:rsidRPr="004C43D5">
              <w:rPr>
                <w:rFonts w:ascii="Arial" w:hAnsi="Arial" w:cs="Arial"/>
                <w:sz w:val="16"/>
                <w:szCs w:val="16"/>
              </w:rPr>
              <w:t>=0.422)</w:t>
            </w:r>
          </w:p>
        </w:tc>
        <w:tc>
          <w:tcPr>
            <w:tcW w:w="1034" w:type="pct"/>
            <w:tcBorders>
              <w:top w:val="nil"/>
              <w:left w:val="nil"/>
              <w:bottom w:val="single" w:sz="4" w:space="0" w:color="auto"/>
              <w:right w:val="nil"/>
            </w:tcBorders>
            <w:shd w:val="clear" w:color="000000" w:fill="FFFFFF"/>
            <w:noWrap/>
            <w:vAlign w:val="center"/>
            <w:hideMark/>
          </w:tcPr>
          <w:p w14:paraId="2DF6E7F7"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2.277 (</w:t>
            </w:r>
            <w:r w:rsidR="00EC6A12" w:rsidRPr="004C43D5">
              <w:rPr>
                <w:rFonts w:ascii="Arial" w:hAnsi="Arial" w:cs="Arial"/>
                <w:sz w:val="16"/>
                <w:szCs w:val="16"/>
              </w:rPr>
              <w:t>P</w:t>
            </w:r>
            <w:r w:rsidRPr="004C43D5">
              <w:rPr>
                <w:rFonts w:ascii="Arial" w:hAnsi="Arial" w:cs="Arial"/>
                <w:sz w:val="16"/>
                <w:szCs w:val="16"/>
              </w:rPr>
              <w:t>=0.146)</w:t>
            </w:r>
          </w:p>
        </w:tc>
        <w:tc>
          <w:tcPr>
            <w:tcW w:w="253" w:type="pct"/>
            <w:tcBorders>
              <w:top w:val="nil"/>
              <w:left w:val="nil"/>
              <w:bottom w:val="single" w:sz="4" w:space="0" w:color="auto"/>
              <w:right w:val="nil"/>
            </w:tcBorders>
            <w:shd w:val="clear" w:color="000000" w:fill="FFFFFF"/>
            <w:noWrap/>
            <w:vAlign w:val="center"/>
            <w:hideMark/>
          </w:tcPr>
          <w:p w14:paraId="742DBB1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1/25</w:t>
            </w:r>
          </w:p>
        </w:tc>
      </w:tr>
      <w:tr w:rsidR="004C43D5" w:rsidRPr="004C43D5" w14:paraId="5DAB04F1" w14:textId="77777777" w:rsidTr="00766EBB">
        <w:trPr>
          <w:trHeight w:val="227"/>
        </w:trPr>
        <w:tc>
          <w:tcPr>
            <w:tcW w:w="489" w:type="pct"/>
            <w:vMerge w:val="restart"/>
            <w:tcBorders>
              <w:top w:val="nil"/>
              <w:left w:val="nil"/>
              <w:bottom w:val="nil"/>
              <w:right w:val="nil"/>
            </w:tcBorders>
            <w:shd w:val="clear" w:color="000000" w:fill="FFFFFF"/>
            <w:noWrap/>
            <w:vAlign w:val="center"/>
            <w:hideMark/>
          </w:tcPr>
          <w:p w14:paraId="50465D56"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VTA</w:t>
            </w:r>
          </w:p>
        </w:tc>
        <w:tc>
          <w:tcPr>
            <w:tcW w:w="1156" w:type="pct"/>
            <w:tcBorders>
              <w:top w:val="single" w:sz="4" w:space="0" w:color="auto"/>
              <w:left w:val="nil"/>
              <w:bottom w:val="nil"/>
              <w:right w:val="nil"/>
            </w:tcBorders>
            <w:shd w:val="clear" w:color="000000" w:fill="FFFFFF"/>
            <w:noWrap/>
            <w:vAlign w:val="bottom"/>
            <w:hideMark/>
          </w:tcPr>
          <w:p w14:paraId="367791B2"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DA</w:t>
            </w:r>
          </w:p>
        </w:tc>
        <w:tc>
          <w:tcPr>
            <w:tcW w:w="1034" w:type="pct"/>
            <w:tcBorders>
              <w:top w:val="single" w:sz="4" w:space="0" w:color="auto"/>
              <w:left w:val="nil"/>
              <w:bottom w:val="nil"/>
              <w:right w:val="nil"/>
            </w:tcBorders>
            <w:shd w:val="clear" w:color="000000" w:fill="FFFFFF"/>
            <w:noWrap/>
            <w:vAlign w:val="center"/>
            <w:hideMark/>
          </w:tcPr>
          <w:p w14:paraId="241D3142"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0.027 (</w:t>
            </w:r>
            <w:r w:rsidR="00EC6A12" w:rsidRPr="004C43D5">
              <w:rPr>
                <w:rFonts w:ascii="Arial" w:hAnsi="Arial" w:cs="Arial"/>
                <w:sz w:val="16"/>
                <w:szCs w:val="16"/>
              </w:rPr>
              <w:t>P</w:t>
            </w:r>
            <w:r w:rsidRPr="004C43D5">
              <w:rPr>
                <w:rFonts w:ascii="Arial" w:hAnsi="Arial" w:cs="Arial"/>
                <w:sz w:val="16"/>
                <w:szCs w:val="16"/>
              </w:rPr>
              <w:t>=0.871)</w:t>
            </w:r>
          </w:p>
        </w:tc>
        <w:tc>
          <w:tcPr>
            <w:tcW w:w="1034" w:type="pct"/>
            <w:tcBorders>
              <w:top w:val="single" w:sz="4" w:space="0" w:color="auto"/>
              <w:left w:val="nil"/>
              <w:bottom w:val="nil"/>
              <w:right w:val="nil"/>
            </w:tcBorders>
            <w:shd w:val="clear" w:color="000000" w:fill="FFFFFF"/>
            <w:noWrap/>
            <w:vAlign w:val="center"/>
            <w:hideMark/>
          </w:tcPr>
          <w:p w14:paraId="0EF7716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12.471 (</w:t>
            </w:r>
            <w:r w:rsidR="00EC6A12" w:rsidRPr="004C43D5">
              <w:rPr>
                <w:rFonts w:ascii="Arial" w:hAnsi="Arial" w:cs="Arial"/>
                <w:b/>
                <w:sz w:val="16"/>
                <w:szCs w:val="16"/>
              </w:rPr>
              <w:t>P</w:t>
            </w:r>
            <w:r w:rsidRPr="004C43D5">
              <w:rPr>
                <w:rFonts w:ascii="Arial" w:hAnsi="Arial" w:cs="Arial"/>
                <w:b/>
                <w:sz w:val="16"/>
                <w:szCs w:val="16"/>
              </w:rPr>
              <w:t>&lt;0.01</w:t>
            </w:r>
            <w:r w:rsidRPr="004C43D5">
              <w:rPr>
                <w:rFonts w:ascii="Arial" w:hAnsi="Arial" w:cs="Arial"/>
                <w:sz w:val="16"/>
                <w:szCs w:val="16"/>
              </w:rPr>
              <w:t>)</w:t>
            </w:r>
          </w:p>
        </w:tc>
        <w:tc>
          <w:tcPr>
            <w:tcW w:w="1034" w:type="pct"/>
            <w:tcBorders>
              <w:top w:val="single" w:sz="4" w:space="0" w:color="auto"/>
              <w:left w:val="nil"/>
              <w:bottom w:val="nil"/>
              <w:right w:val="nil"/>
            </w:tcBorders>
            <w:shd w:val="clear" w:color="000000" w:fill="FFFFFF"/>
            <w:noWrap/>
            <w:vAlign w:val="center"/>
            <w:hideMark/>
          </w:tcPr>
          <w:p w14:paraId="45C6D170"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0.005 (</w:t>
            </w:r>
            <w:r w:rsidR="00EC6A12" w:rsidRPr="004C43D5">
              <w:rPr>
                <w:rFonts w:ascii="Arial" w:hAnsi="Arial" w:cs="Arial"/>
                <w:sz w:val="16"/>
                <w:szCs w:val="16"/>
              </w:rPr>
              <w:t>P</w:t>
            </w:r>
            <w:r w:rsidRPr="004C43D5">
              <w:rPr>
                <w:rFonts w:ascii="Arial" w:hAnsi="Arial" w:cs="Arial"/>
                <w:sz w:val="16"/>
                <w:szCs w:val="16"/>
              </w:rPr>
              <w:t>=0.942)</w:t>
            </w:r>
          </w:p>
        </w:tc>
        <w:tc>
          <w:tcPr>
            <w:tcW w:w="253" w:type="pct"/>
            <w:tcBorders>
              <w:top w:val="single" w:sz="4" w:space="0" w:color="auto"/>
              <w:left w:val="nil"/>
              <w:bottom w:val="nil"/>
              <w:right w:val="nil"/>
            </w:tcBorders>
            <w:shd w:val="clear" w:color="000000" w:fill="FFFFFF"/>
            <w:noWrap/>
            <w:vAlign w:val="center"/>
            <w:hideMark/>
          </w:tcPr>
          <w:p w14:paraId="775D9F0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1/24</w:t>
            </w:r>
          </w:p>
        </w:tc>
      </w:tr>
      <w:tr w:rsidR="004C43D5" w:rsidRPr="004C43D5" w14:paraId="5E206080" w14:textId="77777777" w:rsidTr="00766EBB">
        <w:trPr>
          <w:trHeight w:val="227"/>
        </w:trPr>
        <w:tc>
          <w:tcPr>
            <w:tcW w:w="489" w:type="pct"/>
            <w:vMerge/>
            <w:tcBorders>
              <w:top w:val="nil"/>
              <w:left w:val="nil"/>
              <w:bottom w:val="nil"/>
              <w:right w:val="nil"/>
            </w:tcBorders>
            <w:vAlign w:val="center"/>
            <w:hideMark/>
          </w:tcPr>
          <w:p w14:paraId="04E98851"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0E1F3B15"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DOPAC+HVA/DA</w:t>
            </w:r>
          </w:p>
        </w:tc>
        <w:tc>
          <w:tcPr>
            <w:tcW w:w="1034" w:type="pct"/>
            <w:tcBorders>
              <w:top w:val="nil"/>
              <w:left w:val="nil"/>
              <w:bottom w:val="nil"/>
              <w:right w:val="nil"/>
            </w:tcBorders>
            <w:shd w:val="clear" w:color="000000" w:fill="FFFFFF"/>
            <w:noWrap/>
            <w:vAlign w:val="center"/>
            <w:hideMark/>
          </w:tcPr>
          <w:p w14:paraId="5F2A5C2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0.007 (</w:t>
            </w:r>
            <w:r w:rsidR="00EC6A12" w:rsidRPr="004C43D5">
              <w:rPr>
                <w:rFonts w:ascii="Arial" w:hAnsi="Arial" w:cs="Arial"/>
                <w:sz w:val="16"/>
                <w:szCs w:val="16"/>
              </w:rPr>
              <w:t>P</w:t>
            </w:r>
            <w:r w:rsidRPr="004C43D5">
              <w:rPr>
                <w:rFonts w:ascii="Arial" w:hAnsi="Arial" w:cs="Arial"/>
                <w:sz w:val="16"/>
                <w:szCs w:val="16"/>
              </w:rPr>
              <w:t>=0.933)</w:t>
            </w:r>
          </w:p>
        </w:tc>
        <w:tc>
          <w:tcPr>
            <w:tcW w:w="1034" w:type="pct"/>
            <w:tcBorders>
              <w:top w:val="nil"/>
              <w:left w:val="nil"/>
              <w:bottom w:val="nil"/>
              <w:right w:val="nil"/>
            </w:tcBorders>
            <w:shd w:val="clear" w:color="000000" w:fill="FFFFFF"/>
            <w:noWrap/>
            <w:vAlign w:val="center"/>
            <w:hideMark/>
          </w:tcPr>
          <w:p w14:paraId="771F62D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3.643 (</w:t>
            </w:r>
            <w:r w:rsidR="00EC6A12" w:rsidRPr="004C43D5">
              <w:rPr>
                <w:rFonts w:ascii="Arial" w:hAnsi="Arial" w:cs="Arial"/>
                <w:sz w:val="16"/>
                <w:szCs w:val="16"/>
              </w:rPr>
              <w:t>P</w:t>
            </w:r>
            <w:r w:rsidRPr="004C43D5">
              <w:rPr>
                <w:rFonts w:ascii="Arial" w:hAnsi="Arial" w:cs="Arial"/>
                <w:sz w:val="16"/>
                <w:szCs w:val="16"/>
              </w:rPr>
              <w:t>=0.068)</w:t>
            </w:r>
          </w:p>
        </w:tc>
        <w:tc>
          <w:tcPr>
            <w:tcW w:w="1034" w:type="pct"/>
            <w:tcBorders>
              <w:top w:val="nil"/>
              <w:left w:val="nil"/>
              <w:bottom w:val="nil"/>
              <w:right w:val="nil"/>
            </w:tcBorders>
            <w:shd w:val="clear" w:color="000000" w:fill="FFFFFF"/>
            <w:noWrap/>
            <w:vAlign w:val="center"/>
            <w:hideMark/>
          </w:tcPr>
          <w:p w14:paraId="0A1EF3C6"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0.377 (</w:t>
            </w:r>
            <w:r w:rsidR="00EC6A12" w:rsidRPr="004C43D5">
              <w:rPr>
                <w:rFonts w:ascii="Arial" w:hAnsi="Arial" w:cs="Arial"/>
                <w:sz w:val="16"/>
                <w:szCs w:val="16"/>
              </w:rPr>
              <w:t>P</w:t>
            </w:r>
            <w:r w:rsidRPr="004C43D5">
              <w:rPr>
                <w:rFonts w:ascii="Arial" w:hAnsi="Arial" w:cs="Arial"/>
                <w:sz w:val="16"/>
                <w:szCs w:val="16"/>
              </w:rPr>
              <w:t>=0.545)</w:t>
            </w:r>
          </w:p>
        </w:tc>
        <w:tc>
          <w:tcPr>
            <w:tcW w:w="253" w:type="pct"/>
            <w:tcBorders>
              <w:top w:val="nil"/>
              <w:left w:val="nil"/>
              <w:bottom w:val="nil"/>
              <w:right w:val="nil"/>
            </w:tcBorders>
            <w:shd w:val="clear" w:color="000000" w:fill="FFFFFF"/>
            <w:noWrap/>
            <w:vAlign w:val="center"/>
            <w:hideMark/>
          </w:tcPr>
          <w:p w14:paraId="607AB28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1/28</w:t>
            </w:r>
          </w:p>
        </w:tc>
      </w:tr>
      <w:tr w:rsidR="004C43D5" w:rsidRPr="004C43D5" w14:paraId="7486973A" w14:textId="77777777" w:rsidTr="00766EBB">
        <w:trPr>
          <w:trHeight w:val="227"/>
        </w:trPr>
        <w:tc>
          <w:tcPr>
            <w:tcW w:w="489" w:type="pct"/>
            <w:vMerge/>
            <w:tcBorders>
              <w:top w:val="nil"/>
              <w:left w:val="nil"/>
              <w:bottom w:val="nil"/>
              <w:right w:val="nil"/>
            </w:tcBorders>
            <w:vAlign w:val="center"/>
            <w:hideMark/>
          </w:tcPr>
          <w:p w14:paraId="1B22FED2"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28967C7B"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 xml:space="preserve">NA </w:t>
            </w:r>
          </w:p>
        </w:tc>
        <w:tc>
          <w:tcPr>
            <w:tcW w:w="1034" w:type="pct"/>
            <w:tcBorders>
              <w:top w:val="nil"/>
              <w:left w:val="nil"/>
              <w:bottom w:val="nil"/>
              <w:right w:val="nil"/>
            </w:tcBorders>
            <w:shd w:val="clear" w:color="000000" w:fill="FFFFFF"/>
            <w:noWrap/>
            <w:vAlign w:val="center"/>
            <w:hideMark/>
          </w:tcPr>
          <w:p w14:paraId="30324B62"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0.136 (</w:t>
            </w:r>
            <w:r w:rsidR="00EC6A12" w:rsidRPr="004C43D5">
              <w:rPr>
                <w:rFonts w:ascii="Arial" w:hAnsi="Arial" w:cs="Arial"/>
                <w:sz w:val="16"/>
                <w:szCs w:val="16"/>
              </w:rPr>
              <w:t>P</w:t>
            </w:r>
            <w:r w:rsidRPr="004C43D5">
              <w:rPr>
                <w:rFonts w:ascii="Arial" w:hAnsi="Arial" w:cs="Arial"/>
                <w:sz w:val="16"/>
                <w:szCs w:val="16"/>
              </w:rPr>
              <w:t>=0.716)</w:t>
            </w:r>
          </w:p>
        </w:tc>
        <w:tc>
          <w:tcPr>
            <w:tcW w:w="1034" w:type="pct"/>
            <w:tcBorders>
              <w:top w:val="nil"/>
              <w:left w:val="nil"/>
              <w:bottom w:val="nil"/>
              <w:right w:val="nil"/>
            </w:tcBorders>
            <w:shd w:val="clear" w:color="000000" w:fill="FFFFFF"/>
            <w:noWrap/>
            <w:vAlign w:val="center"/>
            <w:hideMark/>
          </w:tcPr>
          <w:p w14:paraId="1482BA22"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5.210 (</w:t>
            </w:r>
            <w:r w:rsidR="00EC6A12" w:rsidRPr="004C43D5">
              <w:rPr>
                <w:rFonts w:ascii="Arial" w:hAnsi="Arial" w:cs="Arial"/>
                <w:b/>
                <w:sz w:val="16"/>
                <w:szCs w:val="16"/>
              </w:rPr>
              <w:t>P</w:t>
            </w:r>
            <w:r w:rsidRPr="004C43D5">
              <w:rPr>
                <w:rFonts w:ascii="Arial" w:hAnsi="Arial" w:cs="Arial"/>
                <w:b/>
                <w:sz w:val="16"/>
                <w:szCs w:val="16"/>
              </w:rPr>
              <w:t>&lt;0.05</w:t>
            </w:r>
            <w:r w:rsidRPr="004C43D5">
              <w:rPr>
                <w:rFonts w:ascii="Arial" w:hAnsi="Arial" w:cs="Arial"/>
                <w:sz w:val="16"/>
                <w:szCs w:val="16"/>
              </w:rPr>
              <w:t>)</w:t>
            </w:r>
          </w:p>
        </w:tc>
        <w:tc>
          <w:tcPr>
            <w:tcW w:w="1034" w:type="pct"/>
            <w:tcBorders>
              <w:top w:val="nil"/>
              <w:left w:val="nil"/>
              <w:bottom w:val="nil"/>
              <w:right w:val="nil"/>
            </w:tcBorders>
            <w:shd w:val="clear" w:color="000000" w:fill="FFFFFF"/>
            <w:noWrap/>
            <w:vAlign w:val="center"/>
            <w:hideMark/>
          </w:tcPr>
          <w:p w14:paraId="762B616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1.378 (</w:t>
            </w:r>
            <w:r w:rsidR="00EC6A12" w:rsidRPr="004C43D5">
              <w:rPr>
                <w:rFonts w:ascii="Arial" w:hAnsi="Arial" w:cs="Arial"/>
                <w:sz w:val="16"/>
                <w:szCs w:val="16"/>
              </w:rPr>
              <w:t>P</w:t>
            </w:r>
            <w:r w:rsidRPr="004C43D5">
              <w:rPr>
                <w:rFonts w:ascii="Arial" w:hAnsi="Arial" w:cs="Arial"/>
                <w:sz w:val="16"/>
                <w:szCs w:val="16"/>
              </w:rPr>
              <w:t>=0.251)</w:t>
            </w:r>
          </w:p>
        </w:tc>
        <w:tc>
          <w:tcPr>
            <w:tcW w:w="253" w:type="pct"/>
            <w:tcBorders>
              <w:top w:val="nil"/>
              <w:left w:val="nil"/>
              <w:bottom w:val="nil"/>
              <w:right w:val="nil"/>
            </w:tcBorders>
            <w:shd w:val="clear" w:color="000000" w:fill="FFFFFF"/>
            <w:noWrap/>
            <w:vAlign w:val="center"/>
            <w:hideMark/>
          </w:tcPr>
          <w:p w14:paraId="7945597A"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1/29</w:t>
            </w:r>
          </w:p>
        </w:tc>
      </w:tr>
      <w:tr w:rsidR="004C43D5" w:rsidRPr="004C43D5" w14:paraId="4EEDB8FE" w14:textId="77777777" w:rsidTr="00766EBB">
        <w:trPr>
          <w:trHeight w:val="227"/>
        </w:trPr>
        <w:tc>
          <w:tcPr>
            <w:tcW w:w="489" w:type="pct"/>
            <w:vMerge/>
            <w:tcBorders>
              <w:top w:val="nil"/>
              <w:left w:val="nil"/>
              <w:bottom w:val="nil"/>
              <w:right w:val="nil"/>
            </w:tcBorders>
            <w:vAlign w:val="center"/>
            <w:hideMark/>
          </w:tcPr>
          <w:p w14:paraId="6A647A4A" w14:textId="77777777" w:rsidR="00766EBB" w:rsidRPr="004C43D5" w:rsidRDefault="00766EBB" w:rsidP="00766EBB">
            <w:pPr>
              <w:rPr>
                <w:rFonts w:ascii="Arial" w:hAnsi="Arial" w:cs="Arial"/>
                <w:b/>
                <w:bCs/>
                <w:sz w:val="16"/>
                <w:szCs w:val="16"/>
              </w:rPr>
            </w:pPr>
          </w:p>
        </w:tc>
        <w:tc>
          <w:tcPr>
            <w:tcW w:w="1156" w:type="pct"/>
            <w:tcBorders>
              <w:top w:val="nil"/>
              <w:left w:val="nil"/>
              <w:right w:val="nil"/>
            </w:tcBorders>
            <w:shd w:val="clear" w:color="000000" w:fill="FFFFFF"/>
            <w:noWrap/>
            <w:vAlign w:val="bottom"/>
            <w:hideMark/>
          </w:tcPr>
          <w:p w14:paraId="2BB44A37"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5HT</w:t>
            </w:r>
          </w:p>
        </w:tc>
        <w:tc>
          <w:tcPr>
            <w:tcW w:w="1034" w:type="pct"/>
            <w:tcBorders>
              <w:top w:val="nil"/>
              <w:left w:val="nil"/>
              <w:right w:val="nil"/>
            </w:tcBorders>
            <w:shd w:val="clear" w:color="000000" w:fill="FFFFFF"/>
            <w:noWrap/>
            <w:vAlign w:val="center"/>
            <w:hideMark/>
          </w:tcPr>
          <w:p w14:paraId="3E8FF7F2"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0.857 (</w:t>
            </w:r>
            <w:r w:rsidR="00EC6A12" w:rsidRPr="004C43D5">
              <w:rPr>
                <w:rFonts w:ascii="Arial" w:hAnsi="Arial" w:cs="Arial"/>
                <w:sz w:val="16"/>
                <w:szCs w:val="16"/>
              </w:rPr>
              <w:t>P</w:t>
            </w:r>
            <w:r w:rsidRPr="004C43D5">
              <w:rPr>
                <w:rFonts w:ascii="Arial" w:hAnsi="Arial" w:cs="Arial"/>
                <w:sz w:val="16"/>
                <w:szCs w:val="16"/>
              </w:rPr>
              <w:t>=0.363)</w:t>
            </w:r>
          </w:p>
        </w:tc>
        <w:tc>
          <w:tcPr>
            <w:tcW w:w="1034" w:type="pct"/>
            <w:tcBorders>
              <w:top w:val="nil"/>
              <w:left w:val="nil"/>
              <w:right w:val="nil"/>
            </w:tcBorders>
            <w:shd w:val="clear" w:color="000000" w:fill="FFFFFF"/>
            <w:noWrap/>
            <w:vAlign w:val="center"/>
            <w:hideMark/>
          </w:tcPr>
          <w:p w14:paraId="3427E232"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7.130 (</w:t>
            </w:r>
            <w:r w:rsidR="00EC6A12" w:rsidRPr="004C43D5">
              <w:rPr>
                <w:rFonts w:ascii="Arial" w:hAnsi="Arial" w:cs="Arial"/>
                <w:b/>
                <w:sz w:val="16"/>
                <w:szCs w:val="16"/>
              </w:rPr>
              <w:t>P</w:t>
            </w:r>
            <w:r w:rsidRPr="004C43D5">
              <w:rPr>
                <w:rFonts w:ascii="Arial" w:hAnsi="Arial" w:cs="Arial"/>
                <w:b/>
                <w:sz w:val="16"/>
                <w:szCs w:val="16"/>
              </w:rPr>
              <w:t>&lt;0.05</w:t>
            </w:r>
            <w:r w:rsidRPr="004C43D5">
              <w:rPr>
                <w:rFonts w:ascii="Arial" w:hAnsi="Arial" w:cs="Arial"/>
                <w:sz w:val="16"/>
                <w:szCs w:val="16"/>
              </w:rPr>
              <w:t>)</w:t>
            </w:r>
          </w:p>
        </w:tc>
        <w:tc>
          <w:tcPr>
            <w:tcW w:w="1034" w:type="pct"/>
            <w:tcBorders>
              <w:top w:val="nil"/>
              <w:left w:val="nil"/>
              <w:right w:val="nil"/>
            </w:tcBorders>
            <w:shd w:val="clear" w:color="000000" w:fill="FFFFFF"/>
            <w:noWrap/>
            <w:vAlign w:val="center"/>
            <w:hideMark/>
          </w:tcPr>
          <w:p w14:paraId="791D657D"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2.811 (</w:t>
            </w:r>
            <w:r w:rsidR="00EC6A12" w:rsidRPr="004C43D5">
              <w:rPr>
                <w:rFonts w:ascii="Arial" w:hAnsi="Arial" w:cs="Arial"/>
                <w:sz w:val="16"/>
                <w:szCs w:val="16"/>
              </w:rPr>
              <w:t>P</w:t>
            </w:r>
            <w:r w:rsidRPr="004C43D5">
              <w:rPr>
                <w:rFonts w:ascii="Arial" w:hAnsi="Arial" w:cs="Arial"/>
                <w:sz w:val="16"/>
                <w:szCs w:val="16"/>
              </w:rPr>
              <w:t>=0.106)</w:t>
            </w:r>
          </w:p>
        </w:tc>
        <w:tc>
          <w:tcPr>
            <w:tcW w:w="253" w:type="pct"/>
            <w:tcBorders>
              <w:top w:val="nil"/>
              <w:left w:val="nil"/>
              <w:right w:val="nil"/>
            </w:tcBorders>
            <w:shd w:val="clear" w:color="000000" w:fill="FFFFFF"/>
            <w:noWrap/>
            <w:vAlign w:val="center"/>
            <w:hideMark/>
          </w:tcPr>
          <w:p w14:paraId="77CB57A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1/29</w:t>
            </w:r>
          </w:p>
        </w:tc>
      </w:tr>
      <w:tr w:rsidR="004C43D5" w:rsidRPr="004C43D5" w14:paraId="4EBCA0D9" w14:textId="77777777" w:rsidTr="00766EBB">
        <w:trPr>
          <w:trHeight w:val="227"/>
        </w:trPr>
        <w:tc>
          <w:tcPr>
            <w:tcW w:w="489" w:type="pct"/>
            <w:vMerge/>
            <w:tcBorders>
              <w:top w:val="nil"/>
              <w:left w:val="nil"/>
              <w:bottom w:val="nil"/>
              <w:right w:val="nil"/>
            </w:tcBorders>
            <w:vAlign w:val="center"/>
            <w:hideMark/>
          </w:tcPr>
          <w:p w14:paraId="10DECBB5" w14:textId="77777777" w:rsidR="00766EBB" w:rsidRPr="004C43D5" w:rsidRDefault="00766EBB" w:rsidP="00766EBB">
            <w:pPr>
              <w:rPr>
                <w:rFonts w:ascii="Arial" w:hAnsi="Arial" w:cs="Arial"/>
                <w:b/>
                <w:bCs/>
                <w:sz w:val="16"/>
                <w:szCs w:val="16"/>
              </w:rPr>
            </w:pPr>
          </w:p>
        </w:tc>
        <w:tc>
          <w:tcPr>
            <w:tcW w:w="1156" w:type="pct"/>
            <w:tcBorders>
              <w:top w:val="nil"/>
              <w:left w:val="nil"/>
              <w:bottom w:val="single" w:sz="4" w:space="0" w:color="auto"/>
              <w:right w:val="nil"/>
            </w:tcBorders>
            <w:shd w:val="clear" w:color="000000" w:fill="FFFFFF"/>
            <w:noWrap/>
            <w:vAlign w:val="bottom"/>
            <w:hideMark/>
          </w:tcPr>
          <w:p w14:paraId="4E3993A7"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5HIAA/5HT</w:t>
            </w:r>
          </w:p>
        </w:tc>
        <w:tc>
          <w:tcPr>
            <w:tcW w:w="1034" w:type="pct"/>
            <w:tcBorders>
              <w:top w:val="nil"/>
              <w:left w:val="nil"/>
              <w:bottom w:val="single" w:sz="4" w:space="0" w:color="auto"/>
              <w:right w:val="nil"/>
            </w:tcBorders>
            <w:shd w:val="clear" w:color="000000" w:fill="FFFFFF"/>
            <w:noWrap/>
            <w:vAlign w:val="center"/>
            <w:hideMark/>
          </w:tcPr>
          <w:p w14:paraId="11E250A7"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0.396 (</w:t>
            </w:r>
            <w:r w:rsidR="00EC6A12" w:rsidRPr="004C43D5">
              <w:rPr>
                <w:rFonts w:ascii="Arial" w:hAnsi="Arial" w:cs="Arial"/>
                <w:sz w:val="16"/>
                <w:szCs w:val="16"/>
              </w:rPr>
              <w:t>P</w:t>
            </w:r>
            <w:r w:rsidRPr="004C43D5">
              <w:rPr>
                <w:rFonts w:ascii="Arial" w:hAnsi="Arial" w:cs="Arial"/>
                <w:sz w:val="16"/>
                <w:szCs w:val="16"/>
              </w:rPr>
              <w:t>=0.535)</w:t>
            </w:r>
          </w:p>
        </w:tc>
        <w:tc>
          <w:tcPr>
            <w:tcW w:w="1034" w:type="pct"/>
            <w:tcBorders>
              <w:top w:val="nil"/>
              <w:left w:val="nil"/>
              <w:bottom w:val="single" w:sz="4" w:space="0" w:color="auto"/>
              <w:right w:val="nil"/>
            </w:tcBorders>
            <w:shd w:val="clear" w:color="000000" w:fill="FFFFFF"/>
            <w:noWrap/>
            <w:vAlign w:val="center"/>
            <w:hideMark/>
          </w:tcPr>
          <w:p w14:paraId="323CC81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0.033 (</w:t>
            </w:r>
            <w:r w:rsidR="00EC6A12" w:rsidRPr="004C43D5">
              <w:rPr>
                <w:rFonts w:ascii="Arial" w:hAnsi="Arial" w:cs="Arial"/>
                <w:sz w:val="16"/>
                <w:szCs w:val="16"/>
              </w:rPr>
              <w:t>P</w:t>
            </w:r>
            <w:r w:rsidRPr="004C43D5">
              <w:rPr>
                <w:rFonts w:ascii="Arial" w:hAnsi="Arial" w:cs="Arial"/>
                <w:sz w:val="16"/>
                <w:szCs w:val="16"/>
              </w:rPr>
              <w:t>=0.858)</w:t>
            </w:r>
          </w:p>
        </w:tc>
        <w:tc>
          <w:tcPr>
            <w:tcW w:w="1034" w:type="pct"/>
            <w:tcBorders>
              <w:top w:val="nil"/>
              <w:left w:val="nil"/>
              <w:bottom w:val="single" w:sz="4" w:space="0" w:color="auto"/>
              <w:right w:val="nil"/>
            </w:tcBorders>
            <w:shd w:val="clear" w:color="000000" w:fill="FFFFFF"/>
            <w:noWrap/>
            <w:vAlign w:val="center"/>
            <w:hideMark/>
          </w:tcPr>
          <w:p w14:paraId="60D6229A"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0.24 (</w:t>
            </w:r>
            <w:r w:rsidR="00EC6A12" w:rsidRPr="004C43D5">
              <w:rPr>
                <w:rFonts w:ascii="Arial" w:hAnsi="Arial" w:cs="Arial"/>
                <w:sz w:val="16"/>
                <w:szCs w:val="16"/>
              </w:rPr>
              <w:t>P</w:t>
            </w:r>
            <w:r w:rsidRPr="004C43D5">
              <w:rPr>
                <w:rFonts w:ascii="Arial" w:hAnsi="Arial" w:cs="Arial"/>
                <w:sz w:val="16"/>
                <w:szCs w:val="16"/>
              </w:rPr>
              <w:t>=0.629)</w:t>
            </w:r>
          </w:p>
        </w:tc>
        <w:tc>
          <w:tcPr>
            <w:tcW w:w="253" w:type="pct"/>
            <w:tcBorders>
              <w:top w:val="nil"/>
              <w:left w:val="nil"/>
              <w:bottom w:val="single" w:sz="4" w:space="0" w:color="auto"/>
              <w:right w:val="nil"/>
            </w:tcBorders>
            <w:shd w:val="clear" w:color="000000" w:fill="FFFFFF"/>
            <w:noWrap/>
            <w:vAlign w:val="center"/>
            <w:hideMark/>
          </w:tcPr>
          <w:p w14:paraId="11FA69E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1/29</w:t>
            </w:r>
          </w:p>
        </w:tc>
      </w:tr>
      <w:tr w:rsidR="004C43D5" w:rsidRPr="004C43D5" w14:paraId="704759BC" w14:textId="77777777" w:rsidTr="00766EBB">
        <w:trPr>
          <w:trHeight w:val="227"/>
        </w:trPr>
        <w:tc>
          <w:tcPr>
            <w:tcW w:w="489" w:type="pct"/>
            <w:vMerge w:val="restart"/>
            <w:tcBorders>
              <w:top w:val="nil"/>
              <w:left w:val="nil"/>
              <w:bottom w:val="nil"/>
              <w:right w:val="nil"/>
            </w:tcBorders>
            <w:shd w:val="clear" w:color="000000" w:fill="FFFFFF"/>
            <w:noWrap/>
            <w:vAlign w:val="center"/>
            <w:hideMark/>
          </w:tcPr>
          <w:p w14:paraId="357382F1"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DR</w:t>
            </w:r>
          </w:p>
        </w:tc>
        <w:tc>
          <w:tcPr>
            <w:tcW w:w="1156" w:type="pct"/>
            <w:tcBorders>
              <w:top w:val="single" w:sz="4" w:space="0" w:color="auto"/>
              <w:left w:val="nil"/>
              <w:bottom w:val="nil"/>
              <w:right w:val="nil"/>
            </w:tcBorders>
            <w:shd w:val="clear" w:color="000000" w:fill="FFFFFF"/>
            <w:noWrap/>
            <w:vAlign w:val="bottom"/>
            <w:hideMark/>
          </w:tcPr>
          <w:p w14:paraId="2B7336C9"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DA</w:t>
            </w:r>
          </w:p>
        </w:tc>
        <w:tc>
          <w:tcPr>
            <w:tcW w:w="1034" w:type="pct"/>
            <w:tcBorders>
              <w:top w:val="single" w:sz="4" w:space="0" w:color="auto"/>
              <w:left w:val="nil"/>
              <w:bottom w:val="nil"/>
              <w:right w:val="nil"/>
            </w:tcBorders>
            <w:shd w:val="clear" w:color="000000" w:fill="FFFFFF"/>
            <w:noWrap/>
            <w:vAlign w:val="bottom"/>
            <w:hideMark/>
          </w:tcPr>
          <w:p w14:paraId="7E0991A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0.055 (</w:t>
            </w:r>
            <w:r w:rsidR="00EC6A12" w:rsidRPr="004C43D5">
              <w:rPr>
                <w:rFonts w:ascii="Arial" w:hAnsi="Arial" w:cs="Arial"/>
                <w:sz w:val="16"/>
                <w:szCs w:val="16"/>
              </w:rPr>
              <w:t>P</w:t>
            </w:r>
            <w:r w:rsidRPr="004C43D5">
              <w:rPr>
                <w:rFonts w:ascii="Arial" w:hAnsi="Arial" w:cs="Arial"/>
                <w:sz w:val="16"/>
                <w:szCs w:val="16"/>
              </w:rPr>
              <w:t>=0.817)</w:t>
            </w:r>
          </w:p>
        </w:tc>
        <w:tc>
          <w:tcPr>
            <w:tcW w:w="1034" w:type="pct"/>
            <w:tcBorders>
              <w:top w:val="single" w:sz="4" w:space="0" w:color="auto"/>
              <w:left w:val="nil"/>
              <w:bottom w:val="nil"/>
              <w:right w:val="nil"/>
            </w:tcBorders>
            <w:shd w:val="clear" w:color="000000" w:fill="FFFFFF"/>
            <w:noWrap/>
            <w:vAlign w:val="bottom"/>
            <w:hideMark/>
          </w:tcPr>
          <w:p w14:paraId="5026F08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3.049 (</w:t>
            </w:r>
            <w:r w:rsidR="00EC6A12" w:rsidRPr="004C43D5">
              <w:rPr>
                <w:rFonts w:ascii="Arial" w:hAnsi="Arial" w:cs="Arial"/>
                <w:sz w:val="16"/>
                <w:szCs w:val="16"/>
              </w:rPr>
              <w:t>P</w:t>
            </w:r>
            <w:r w:rsidRPr="004C43D5">
              <w:rPr>
                <w:rFonts w:ascii="Arial" w:hAnsi="Arial" w:cs="Arial"/>
                <w:sz w:val="16"/>
                <w:szCs w:val="16"/>
              </w:rPr>
              <w:t>=0.094)</w:t>
            </w:r>
          </w:p>
        </w:tc>
        <w:tc>
          <w:tcPr>
            <w:tcW w:w="1034" w:type="pct"/>
            <w:tcBorders>
              <w:top w:val="single" w:sz="4" w:space="0" w:color="auto"/>
              <w:left w:val="nil"/>
              <w:bottom w:val="nil"/>
              <w:right w:val="nil"/>
            </w:tcBorders>
            <w:shd w:val="clear" w:color="000000" w:fill="FFFFFF"/>
            <w:noWrap/>
            <w:vAlign w:val="bottom"/>
            <w:hideMark/>
          </w:tcPr>
          <w:p w14:paraId="00E5E13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0.278 (</w:t>
            </w:r>
            <w:r w:rsidR="00EC6A12" w:rsidRPr="004C43D5">
              <w:rPr>
                <w:rFonts w:ascii="Arial" w:hAnsi="Arial" w:cs="Arial"/>
                <w:sz w:val="16"/>
                <w:szCs w:val="16"/>
              </w:rPr>
              <w:t>P</w:t>
            </w:r>
            <w:r w:rsidRPr="004C43D5">
              <w:rPr>
                <w:rFonts w:ascii="Arial" w:hAnsi="Arial" w:cs="Arial"/>
                <w:sz w:val="16"/>
                <w:szCs w:val="16"/>
              </w:rPr>
              <w:t>=0.603)</w:t>
            </w:r>
          </w:p>
        </w:tc>
        <w:tc>
          <w:tcPr>
            <w:tcW w:w="253" w:type="pct"/>
            <w:tcBorders>
              <w:top w:val="single" w:sz="4" w:space="0" w:color="auto"/>
              <w:left w:val="nil"/>
              <w:bottom w:val="nil"/>
              <w:right w:val="nil"/>
            </w:tcBorders>
            <w:shd w:val="clear" w:color="000000" w:fill="FFFFFF"/>
            <w:noWrap/>
            <w:vAlign w:val="bottom"/>
            <w:hideMark/>
          </w:tcPr>
          <w:p w14:paraId="0DFE4FC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1/27</w:t>
            </w:r>
          </w:p>
        </w:tc>
      </w:tr>
      <w:tr w:rsidR="004C43D5" w:rsidRPr="004C43D5" w14:paraId="74830743" w14:textId="77777777" w:rsidTr="00766EBB">
        <w:trPr>
          <w:trHeight w:val="227"/>
        </w:trPr>
        <w:tc>
          <w:tcPr>
            <w:tcW w:w="489" w:type="pct"/>
            <w:vMerge/>
            <w:tcBorders>
              <w:top w:val="nil"/>
              <w:left w:val="nil"/>
              <w:bottom w:val="nil"/>
              <w:right w:val="nil"/>
            </w:tcBorders>
            <w:vAlign w:val="center"/>
            <w:hideMark/>
          </w:tcPr>
          <w:p w14:paraId="7C4A81D5"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5163CCA0"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DOPAC+HVA/DA</w:t>
            </w:r>
          </w:p>
        </w:tc>
        <w:tc>
          <w:tcPr>
            <w:tcW w:w="1034" w:type="pct"/>
            <w:tcBorders>
              <w:top w:val="nil"/>
              <w:left w:val="nil"/>
              <w:bottom w:val="nil"/>
              <w:right w:val="nil"/>
            </w:tcBorders>
            <w:shd w:val="clear" w:color="000000" w:fill="FFFFFF"/>
            <w:noWrap/>
            <w:vAlign w:val="bottom"/>
            <w:hideMark/>
          </w:tcPr>
          <w:p w14:paraId="7CAE06E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2.945 (</w:t>
            </w:r>
            <w:r w:rsidR="00EC6A12" w:rsidRPr="004C43D5">
              <w:rPr>
                <w:rFonts w:ascii="Arial" w:hAnsi="Arial" w:cs="Arial"/>
                <w:sz w:val="16"/>
                <w:szCs w:val="16"/>
              </w:rPr>
              <w:t>P</w:t>
            </w:r>
            <w:r w:rsidRPr="004C43D5">
              <w:rPr>
                <w:rFonts w:ascii="Arial" w:hAnsi="Arial" w:cs="Arial"/>
                <w:sz w:val="16"/>
                <w:szCs w:val="16"/>
              </w:rPr>
              <w:t>=0.101)</w:t>
            </w:r>
          </w:p>
        </w:tc>
        <w:tc>
          <w:tcPr>
            <w:tcW w:w="1034" w:type="pct"/>
            <w:tcBorders>
              <w:top w:val="nil"/>
              <w:left w:val="nil"/>
              <w:bottom w:val="nil"/>
              <w:right w:val="nil"/>
            </w:tcBorders>
            <w:shd w:val="clear" w:color="000000" w:fill="FFFFFF"/>
            <w:noWrap/>
            <w:vAlign w:val="bottom"/>
            <w:hideMark/>
          </w:tcPr>
          <w:p w14:paraId="3B4B40D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1.707 (</w:t>
            </w:r>
            <w:r w:rsidR="00EC6A12" w:rsidRPr="004C43D5">
              <w:rPr>
                <w:rFonts w:ascii="Arial" w:hAnsi="Arial" w:cs="Arial"/>
                <w:sz w:val="16"/>
                <w:szCs w:val="16"/>
              </w:rPr>
              <w:t>P</w:t>
            </w:r>
            <w:r w:rsidRPr="004C43D5">
              <w:rPr>
                <w:rFonts w:ascii="Arial" w:hAnsi="Arial" w:cs="Arial"/>
                <w:sz w:val="16"/>
                <w:szCs w:val="16"/>
              </w:rPr>
              <w:t>=0.205)</w:t>
            </w:r>
          </w:p>
        </w:tc>
        <w:tc>
          <w:tcPr>
            <w:tcW w:w="1034" w:type="pct"/>
            <w:tcBorders>
              <w:top w:val="nil"/>
              <w:left w:val="nil"/>
              <w:bottom w:val="nil"/>
              <w:right w:val="nil"/>
            </w:tcBorders>
            <w:shd w:val="clear" w:color="000000" w:fill="FFFFFF"/>
            <w:noWrap/>
            <w:vAlign w:val="bottom"/>
            <w:hideMark/>
          </w:tcPr>
          <w:p w14:paraId="5102E35A"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1.428 (</w:t>
            </w:r>
            <w:r w:rsidR="00EC6A12" w:rsidRPr="004C43D5">
              <w:rPr>
                <w:rFonts w:ascii="Arial" w:hAnsi="Arial" w:cs="Arial"/>
                <w:sz w:val="16"/>
                <w:szCs w:val="16"/>
              </w:rPr>
              <w:t>P</w:t>
            </w:r>
            <w:r w:rsidRPr="004C43D5">
              <w:rPr>
                <w:rFonts w:ascii="Arial" w:hAnsi="Arial" w:cs="Arial"/>
                <w:sz w:val="16"/>
                <w:szCs w:val="16"/>
              </w:rPr>
              <w:t>=0.245)</w:t>
            </w:r>
          </w:p>
        </w:tc>
        <w:tc>
          <w:tcPr>
            <w:tcW w:w="253" w:type="pct"/>
            <w:tcBorders>
              <w:top w:val="nil"/>
              <w:left w:val="nil"/>
              <w:bottom w:val="nil"/>
              <w:right w:val="nil"/>
            </w:tcBorders>
            <w:shd w:val="clear" w:color="000000" w:fill="FFFFFF"/>
            <w:noWrap/>
            <w:vAlign w:val="bottom"/>
            <w:hideMark/>
          </w:tcPr>
          <w:p w14:paraId="76D8C17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1/24</w:t>
            </w:r>
          </w:p>
        </w:tc>
      </w:tr>
      <w:tr w:rsidR="004C43D5" w:rsidRPr="004C43D5" w14:paraId="04C59576" w14:textId="77777777" w:rsidTr="00766EBB">
        <w:trPr>
          <w:trHeight w:val="227"/>
        </w:trPr>
        <w:tc>
          <w:tcPr>
            <w:tcW w:w="489" w:type="pct"/>
            <w:vMerge/>
            <w:tcBorders>
              <w:top w:val="nil"/>
              <w:left w:val="nil"/>
              <w:bottom w:val="nil"/>
              <w:right w:val="nil"/>
            </w:tcBorders>
            <w:vAlign w:val="center"/>
            <w:hideMark/>
          </w:tcPr>
          <w:p w14:paraId="61BA7A1E"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49EBB693"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 xml:space="preserve">NA </w:t>
            </w:r>
          </w:p>
        </w:tc>
        <w:tc>
          <w:tcPr>
            <w:tcW w:w="1034" w:type="pct"/>
            <w:tcBorders>
              <w:top w:val="nil"/>
              <w:left w:val="nil"/>
              <w:bottom w:val="nil"/>
              <w:right w:val="nil"/>
            </w:tcBorders>
            <w:shd w:val="clear" w:color="000000" w:fill="FFFFFF"/>
            <w:noWrap/>
            <w:vAlign w:val="bottom"/>
            <w:hideMark/>
          </w:tcPr>
          <w:p w14:paraId="72C811E5"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0.031 (</w:t>
            </w:r>
            <w:r w:rsidR="00EC6A12" w:rsidRPr="004C43D5">
              <w:rPr>
                <w:rFonts w:ascii="Arial" w:hAnsi="Arial" w:cs="Arial"/>
                <w:sz w:val="16"/>
                <w:szCs w:val="16"/>
              </w:rPr>
              <w:t>P</w:t>
            </w:r>
            <w:r w:rsidRPr="004C43D5">
              <w:rPr>
                <w:rFonts w:ascii="Arial" w:hAnsi="Arial" w:cs="Arial"/>
                <w:sz w:val="16"/>
                <w:szCs w:val="16"/>
              </w:rPr>
              <w:t>=0.862)</w:t>
            </w:r>
          </w:p>
        </w:tc>
        <w:tc>
          <w:tcPr>
            <w:tcW w:w="1034" w:type="pct"/>
            <w:tcBorders>
              <w:top w:val="nil"/>
              <w:left w:val="nil"/>
              <w:bottom w:val="nil"/>
              <w:right w:val="nil"/>
            </w:tcBorders>
            <w:shd w:val="clear" w:color="000000" w:fill="FFFFFF"/>
            <w:noWrap/>
            <w:vAlign w:val="bottom"/>
            <w:hideMark/>
          </w:tcPr>
          <w:p w14:paraId="00637EF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0.656 (</w:t>
            </w:r>
            <w:r w:rsidR="00EC6A12" w:rsidRPr="004C43D5">
              <w:rPr>
                <w:rFonts w:ascii="Arial" w:hAnsi="Arial" w:cs="Arial"/>
                <w:sz w:val="16"/>
                <w:szCs w:val="16"/>
              </w:rPr>
              <w:t>P</w:t>
            </w:r>
            <w:r w:rsidRPr="004C43D5">
              <w:rPr>
                <w:rFonts w:ascii="Arial" w:hAnsi="Arial" w:cs="Arial"/>
                <w:sz w:val="16"/>
                <w:szCs w:val="16"/>
              </w:rPr>
              <w:t>=0.427)</w:t>
            </w:r>
          </w:p>
        </w:tc>
        <w:tc>
          <w:tcPr>
            <w:tcW w:w="1034" w:type="pct"/>
            <w:tcBorders>
              <w:top w:val="nil"/>
              <w:left w:val="nil"/>
              <w:bottom w:val="nil"/>
              <w:right w:val="nil"/>
            </w:tcBorders>
            <w:shd w:val="clear" w:color="000000" w:fill="FFFFFF"/>
            <w:noWrap/>
            <w:vAlign w:val="bottom"/>
            <w:hideMark/>
          </w:tcPr>
          <w:p w14:paraId="040BB96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0.224 (</w:t>
            </w:r>
            <w:r w:rsidR="00EC6A12" w:rsidRPr="004C43D5">
              <w:rPr>
                <w:rFonts w:ascii="Arial" w:hAnsi="Arial" w:cs="Arial"/>
                <w:sz w:val="16"/>
                <w:szCs w:val="16"/>
              </w:rPr>
              <w:t>P</w:t>
            </w:r>
            <w:r w:rsidRPr="004C43D5">
              <w:rPr>
                <w:rFonts w:ascii="Arial" w:hAnsi="Arial" w:cs="Arial"/>
                <w:sz w:val="16"/>
                <w:szCs w:val="16"/>
              </w:rPr>
              <w:t>=0.640)</w:t>
            </w:r>
          </w:p>
        </w:tc>
        <w:tc>
          <w:tcPr>
            <w:tcW w:w="253" w:type="pct"/>
            <w:tcBorders>
              <w:top w:val="nil"/>
              <w:left w:val="nil"/>
              <w:bottom w:val="nil"/>
              <w:right w:val="nil"/>
            </w:tcBorders>
            <w:shd w:val="clear" w:color="000000" w:fill="FFFFFF"/>
            <w:noWrap/>
            <w:vAlign w:val="bottom"/>
            <w:hideMark/>
          </w:tcPr>
          <w:p w14:paraId="50D48A2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1/25</w:t>
            </w:r>
          </w:p>
        </w:tc>
      </w:tr>
      <w:tr w:rsidR="004C43D5" w:rsidRPr="004C43D5" w14:paraId="3E626AD1" w14:textId="77777777" w:rsidTr="00766EBB">
        <w:trPr>
          <w:trHeight w:val="227"/>
        </w:trPr>
        <w:tc>
          <w:tcPr>
            <w:tcW w:w="489" w:type="pct"/>
            <w:vMerge/>
            <w:tcBorders>
              <w:top w:val="nil"/>
              <w:left w:val="nil"/>
              <w:bottom w:val="nil"/>
              <w:right w:val="nil"/>
            </w:tcBorders>
            <w:vAlign w:val="center"/>
            <w:hideMark/>
          </w:tcPr>
          <w:p w14:paraId="2B038A8A" w14:textId="77777777" w:rsidR="00766EBB" w:rsidRPr="004C43D5" w:rsidRDefault="00766EBB" w:rsidP="00766EBB">
            <w:pPr>
              <w:rPr>
                <w:rFonts w:ascii="Arial" w:hAnsi="Arial" w:cs="Arial"/>
                <w:b/>
                <w:bCs/>
                <w:sz w:val="16"/>
                <w:szCs w:val="16"/>
              </w:rPr>
            </w:pPr>
          </w:p>
        </w:tc>
        <w:tc>
          <w:tcPr>
            <w:tcW w:w="1156" w:type="pct"/>
            <w:tcBorders>
              <w:top w:val="nil"/>
              <w:left w:val="nil"/>
              <w:right w:val="nil"/>
            </w:tcBorders>
            <w:shd w:val="clear" w:color="000000" w:fill="FFFFFF"/>
            <w:noWrap/>
            <w:vAlign w:val="bottom"/>
            <w:hideMark/>
          </w:tcPr>
          <w:p w14:paraId="41E68C3A"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5HT</w:t>
            </w:r>
          </w:p>
        </w:tc>
        <w:tc>
          <w:tcPr>
            <w:tcW w:w="1034" w:type="pct"/>
            <w:tcBorders>
              <w:top w:val="nil"/>
              <w:left w:val="nil"/>
              <w:right w:val="nil"/>
            </w:tcBorders>
            <w:shd w:val="clear" w:color="000000" w:fill="FFFFFF"/>
            <w:noWrap/>
            <w:vAlign w:val="bottom"/>
            <w:hideMark/>
          </w:tcPr>
          <w:p w14:paraId="449E5A7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6.361 (</w:t>
            </w:r>
            <w:r w:rsidR="00EC6A12" w:rsidRPr="004C43D5">
              <w:rPr>
                <w:rFonts w:ascii="Arial" w:hAnsi="Arial" w:cs="Arial"/>
                <w:b/>
                <w:sz w:val="16"/>
                <w:szCs w:val="16"/>
              </w:rPr>
              <w:t>P</w:t>
            </w:r>
            <w:r w:rsidRPr="004C43D5">
              <w:rPr>
                <w:rFonts w:ascii="Arial" w:hAnsi="Arial" w:cs="Arial"/>
                <w:b/>
                <w:sz w:val="16"/>
                <w:szCs w:val="16"/>
              </w:rPr>
              <w:t>&lt;0.05</w:t>
            </w:r>
            <w:r w:rsidRPr="004C43D5">
              <w:rPr>
                <w:rFonts w:ascii="Arial" w:hAnsi="Arial" w:cs="Arial"/>
                <w:sz w:val="16"/>
                <w:szCs w:val="16"/>
              </w:rPr>
              <w:t>)</w:t>
            </w:r>
          </w:p>
        </w:tc>
        <w:tc>
          <w:tcPr>
            <w:tcW w:w="1034" w:type="pct"/>
            <w:tcBorders>
              <w:top w:val="nil"/>
              <w:left w:val="nil"/>
              <w:right w:val="nil"/>
            </w:tcBorders>
            <w:shd w:val="clear" w:color="000000" w:fill="FFFFFF"/>
            <w:noWrap/>
            <w:vAlign w:val="bottom"/>
            <w:hideMark/>
          </w:tcPr>
          <w:p w14:paraId="0A019FCA"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2.978 (</w:t>
            </w:r>
            <w:r w:rsidR="00EC6A12" w:rsidRPr="004C43D5">
              <w:rPr>
                <w:rFonts w:ascii="Arial" w:hAnsi="Arial" w:cs="Arial"/>
                <w:sz w:val="16"/>
                <w:szCs w:val="16"/>
              </w:rPr>
              <w:t>P</w:t>
            </w:r>
            <w:r w:rsidRPr="004C43D5">
              <w:rPr>
                <w:rFonts w:ascii="Arial" w:hAnsi="Arial" w:cs="Arial"/>
                <w:sz w:val="16"/>
                <w:szCs w:val="16"/>
              </w:rPr>
              <w:t>=0.099)</w:t>
            </w:r>
          </w:p>
        </w:tc>
        <w:tc>
          <w:tcPr>
            <w:tcW w:w="1034" w:type="pct"/>
            <w:tcBorders>
              <w:top w:val="nil"/>
              <w:left w:val="nil"/>
              <w:right w:val="nil"/>
            </w:tcBorders>
            <w:shd w:val="clear" w:color="000000" w:fill="FFFFFF"/>
            <w:noWrap/>
            <w:vAlign w:val="bottom"/>
            <w:hideMark/>
          </w:tcPr>
          <w:p w14:paraId="7B5BB4F6"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0.310 (</w:t>
            </w:r>
            <w:r w:rsidR="00EC6A12" w:rsidRPr="004C43D5">
              <w:rPr>
                <w:rFonts w:ascii="Arial" w:hAnsi="Arial" w:cs="Arial"/>
                <w:sz w:val="16"/>
                <w:szCs w:val="16"/>
              </w:rPr>
              <w:t>P</w:t>
            </w:r>
            <w:r w:rsidRPr="004C43D5">
              <w:rPr>
                <w:rFonts w:ascii="Arial" w:hAnsi="Arial" w:cs="Arial"/>
                <w:sz w:val="16"/>
                <w:szCs w:val="16"/>
              </w:rPr>
              <w:t>=0.584)</w:t>
            </w:r>
          </w:p>
        </w:tc>
        <w:tc>
          <w:tcPr>
            <w:tcW w:w="253" w:type="pct"/>
            <w:tcBorders>
              <w:top w:val="nil"/>
              <w:left w:val="nil"/>
              <w:right w:val="nil"/>
            </w:tcBorders>
            <w:shd w:val="clear" w:color="000000" w:fill="FFFFFF"/>
            <w:noWrap/>
            <w:vAlign w:val="bottom"/>
            <w:hideMark/>
          </w:tcPr>
          <w:p w14:paraId="083A447F"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1/23</w:t>
            </w:r>
          </w:p>
        </w:tc>
      </w:tr>
      <w:tr w:rsidR="004C43D5" w:rsidRPr="004C43D5" w14:paraId="7652D6F7" w14:textId="77777777" w:rsidTr="00766EBB">
        <w:trPr>
          <w:trHeight w:val="227"/>
        </w:trPr>
        <w:tc>
          <w:tcPr>
            <w:tcW w:w="489" w:type="pct"/>
            <w:vMerge/>
            <w:tcBorders>
              <w:top w:val="nil"/>
              <w:left w:val="nil"/>
              <w:bottom w:val="nil"/>
              <w:right w:val="nil"/>
            </w:tcBorders>
            <w:vAlign w:val="center"/>
            <w:hideMark/>
          </w:tcPr>
          <w:p w14:paraId="60A8B3FB" w14:textId="77777777" w:rsidR="00766EBB" w:rsidRPr="004C43D5" w:rsidRDefault="00766EBB" w:rsidP="00766EBB">
            <w:pPr>
              <w:rPr>
                <w:rFonts w:ascii="Arial" w:hAnsi="Arial" w:cs="Arial"/>
                <w:b/>
                <w:bCs/>
                <w:sz w:val="16"/>
                <w:szCs w:val="16"/>
              </w:rPr>
            </w:pPr>
          </w:p>
        </w:tc>
        <w:tc>
          <w:tcPr>
            <w:tcW w:w="1156" w:type="pct"/>
            <w:tcBorders>
              <w:top w:val="nil"/>
              <w:left w:val="nil"/>
              <w:bottom w:val="single" w:sz="4" w:space="0" w:color="auto"/>
              <w:right w:val="nil"/>
            </w:tcBorders>
            <w:shd w:val="clear" w:color="000000" w:fill="FFFFFF"/>
            <w:noWrap/>
            <w:vAlign w:val="bottom"/>
            <w:hideMark/>
          </w:tcPr>
          <w:p w14:paraId="430D9F24"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5HIAA/5HT</w:t>
            </w:r>
          </w:p>
        </w:tc>
        <w:tc>
          <w:tcPr>
            <w:tcW w:w="1034" w:type="pct"/>
            <w:tcBorders>
              <w:top w:val="nil"/>
              <w:left w:val="nil"/>
              <w:bottom w:val="single" w:sz="4" w:space="0" w:color="auto"/>
              <w:right w:val="nil"/>
            </w:tcBorders>
            <w:shd w:val="clear" w:color="000000" w:fill="FFFFFF"/>
            <w:noWrap/>
            <w:vAlign w:val="bottom"/>
            <w:hideMark/>
          </w:tcPr>
          <w:p w14:paraId="7C9F04B0"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0.110 (</w:t>
            </w:r>
            <w:r w:rsidR="00EC6A12" w:rsidRPr="004C43D5">
              <w:rPr>
                <w:rFonts w:ascii="Arial" w:hAnsi="Arial" w:cs="Arial"/>
                <w:sz w:val="16"/>
                <w:szCs w:val="16"/>
              </w:rPr>
              <w:t>P</w:t>
            </w:r>
            <w:r w:rsidRPr="004C43D5">
              <w:rPr>
                <w:rFonts w:ascii="Arial" w:hAnsi="Arial" w:cs="Arial"/>
                <w:sz w:val="16"/>
                <w:szCs w:val="16"/>
              </w:rPr>
              <w:t>=0.744)</w:t>
            </w:r>
          </w:p>
        </w:tc>
        <w:tc>
          <w:tcPr>
            <w:tcW w:w="1034" w:type="pct"/>
            <w:tcBorders>
              <w:top w:val="nil"/>
              <w:left w:val="nil"/>
              <w:bottom w:val="single" w:sz="4" w:space="0" w:color="auto"/>
              <w:right w:val="nil"/>
            </w:tcBorders>
            <w:shd w:val="clear" w:color="000000" w:fill="FFFFFF"/>
            <w:noWrap/>
            <w:vAlign w:val="bottom"/>
            <w:hideMark/>
          </w:tcPr>
          <w:p w14:paraId="7B83C14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0.060 (</w:t>
            </w:r>
            <w:r w:rsidR="00EC6A12" w:rsidRPr="004C43D5">
              <w:rPr>
                <w:rFonts w:ascii="Arial" w:hAnsi="Arial" w:cs="Arial"/>
                <w:sz w:val="16"/>
                <w:szCs w:val="16"/>
              </w:rPr>
              <w:t>P</w:t>
            </w:r>
            <w:r w:rsidRPr="004C43D5">
              <w:rPr>
                <w:rFonts w:ascii="Arial" w:hAnsi="Arial" w:cs="Arial"/>
                <w:sz w:val="16"/>
                <w:szCs w:val="16"/>
              </w:rPr>
              <w:t>=0.809)</w:t>
            </w:r>
          </w:p>
        </w:tc>
        <w:tc>
          <w:tcPr>
            <w:tcW w:w="1034" w:type="pct"/>
            <w:tcBorders>
              <w:top w:val="nil"/>
              <w:left w:val="nil"/>
              <w:bottom w:val="single" w:sz="4" w:space="0" w:color="auto"/>
              <w:right w:val="nil"/>
            </w:tcBorders>
            <w:shd w:val="clear" w:color="000000" w:fill="FFFFFF"/>
            <w:noWrap/>
            <w:vAlign w:val="bottom"/>
            <w:hideMark/>
          </w:tcPr>
          <w:p w14:paraId="0899DB6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0.353 (</w:t>
            </w:r>
            <w:r w:rsidR="00EC6A12" w:rsidRPr="004C43D5">
              <w:rPr>
                <w:rFonts w:ascii="Arial" w:hAnsi="Arial" w:cs="Arial"/>
                <w:sz w:val="16"/>
                <w:szCs w:val="16"/>
              </w:rPr>
              <w:t>P</w:t>
            </w:r>
            <w:r w:rsidRPr="004C43D5">
              <w:rPr>
                <w:rFonts w:ascii="Arial" w:hAnsi="Arial" w:cs="Arial"/>
                <w:sz w:val="16"/>
                <w:szCs w:val="16"/>
              </w:rPr>
              <w:t>=0.559)</w:t>
            </w:r>
          </w:p>
        </w:tc>
        <w:tc>
          <w:tcPr>
            <w:tcW w:w="253" w:type="pct"/>
            <w:tcBorders>
              <w:top w:val="nil"/>
              <w:left w:val="nil"/>
              <w:bottom w:val="single" w:sz="4" w:space="0" w:color="auto"/>
              <w:right w:val="nil"/>
            </w:tcBorders>
            <w:shd w:val="clear" w:color="000000" w:fill="FFFFFF"/>
            <w:noWrap/>
            <w:vAlign w:val="bottom"/>
            <w:hideMark/>
          </w:tcPr>
          <w:p w14:paraId="118354A4"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1/22</w:t>
            </w:r>
          </w:p>
        </w:tc>
      </w:tr>
      <w:tr w:rsidR="004C43D5" w:rsidRPr="004C43D5" w14:paraId="4786D13C" w14:textId="77777777" w:rsidTr="00766EBB">
        <w:trPr>
          <w:trHeight w:val="227"/>
        </w:trPr>
        <w:tc>
          <w:tcPr>
            <w:tcW w:w="489" w:type="pct"/>
            <w:vMerge w:val="restart"/>
            <w:tcBorders>
              <w:top w:val="nil"/>
              <w:left w:val="nil"/>
              <w:bottom w:val="nil"/>
              <w:right w:val="nil"/>
            </w:tcBorders>
            <w:shd w:val="clear" w:color="000000" w:fill="FFFFFF"/>
            <w:noWrap/>
            <w:vAlign w:val="center"/>
            <w:hideMark/>
          </w:tcPr>
          <w:p w14:paraId="630DB531" w14:textId="77777777" w:rsidR="00766EBB" w:rsidRPr="004C43D5" w:rsidRDefault="00766EBB" w:rsidP="00766EBB">
            <w:pPr>
              <w:jc w:val="center"/>
              <w:rPr>
                <w:rFonts w:ascii="Arial" w:hAnsi="Arial" w:cs="Arial"/>
                <w:b/>
                <w:bCs/>
                <w:sz w:val="16"/>
                <w:szCs w:val="16"/>
              </w:rPr>
            </w:pPr>
            <w:r w:rsidRPr="004C43D5">
              <w:rPr>
                <w:rFonts w:ascii="Arial" w:hAnsi="Arial" w:cs="Arial"/>
                <w:b/>
                <w:bCs/>
                <w:sz w:val="16"/>
                <w:szCs w:val="16"/>
              </w:rPr>
              <w:t>LC</w:t>
            </w:r>
          </w:p>
        </w:tc>
        <w:tc>
          <w:tcPr>
            <w:tcW w:w="1156" w:type="pct"/>
            <w:tcBorders>
              <w:top w:val="single" w:sz="4" w:space="0" w:color="auto"/>
              <w:left w:val="nil"/>
              <w:bottom w:val="nil"/>
              <w:right w:val="nil"/>
            </w:tcBorders>
            <w:shd w:val="clear" w:color="000000" w:fill="FFFFFF"/>
            <w:noWrap/>
            <w:vAlign w:val="bottom"/>
            <w:hideMark/>
          </w:tcPr>
          <w:p w14:paraId="1FED158F"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DA</w:t>
            </w:r>
          </w:p>
        </w:tc>
        <w:tc>
          <w:tcPr>
            <w:tcW w:w="1034" w:type="pct"/>
            <w:tcBorders>
              <w:top w:val="single" w:sz="4" w:space="0" w:color="auto"/>
              <w:left w:val="nil"/>
              <w:bottom w:val="nil"/>
              <w:right w:val="nil"/>
            </w:tcBorders>
            <w:shd w:val="clear" w:color="000000" w:fill="FFFFFF"/>
            <w:noWrap/>
            <w:vAlign w:val="center"/>
            <w:hideMark/>
          </w:tcPr>
          <w:p w14:paraId="6560D2F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0.066 (</w:t>
            </w:r>
            <w:r w:rsidR="00EC6A12" w:rsidRPr="004C43D5">
              <w:rPr>
                <w:rFonts w:ascii="Arial" w:hAnsi="Arial" w:cs="Arial"/>
                <w:sz w:val="16"/>
                <w:szCs w:val="16"/>
              </w:rPr>
              <w:t>P</w:t>
            </w:r>
            <w:r w:rsidRPr="004C43D5">
              <w:rPr>
                <w:rFonts w:ascii="Arial" w:hAnsi="Arial" w:cs="Arial"/>
                <w:sz w:val="16"/>
                <w:szCs w:val="16"/>
              </w:rPr>
              <w:t>=0.799)</w:t>
            </w:r>
          </w:p>
        </w:tc>
        <w:tc>
          <w:tcPr>
            <w:tcW w:w="1034" w:type="pct"/>
            <w:tcBorders>
              <w:top w:val="single" w:sz="4" w:space="0" w:color="auto"/>
              <w:left w:val="nil"/>
              <w:bottom w:val="nil"/>
              <w:right w:val="nil"/>
            </w:tcBorders>
            <w:shd w:val="clear" w:color="000000" w:fill="FFFFFF"/>
            <w:noWrap/>
            <w:vAlign w:val="center"/>
            <w:hideMark/>
          </w:tcPr>
          <w:p w14:paraId="4E8AE4B0"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2.962 (</w:t>
            </w:r>
            <w:r w:rsidR="00EC6A12" w:rsidRPr="004C43D5">
              <w:rPr>
                <w:rFonts w:ascii="Arial" w:hAnsi="Arial" w:cs="Arial"/>
                <w:sz w:val="16"/>
                <w:szCs w:val="16"/>
              </w:rPr>
              <w:t>P</w:t>
            </w:r>
            <w:r w:rsidRPr="004C43D5">
              <w:rPr>
                <w:rFonts w:ascii="Arial" w:hAnsi="Arial" w:cs="Arial"/>
                <w:sz w:val="16"/>
                <w:szCs w:val="16"/>
              </w:rPr>
              <w:t>=0.098)</w:t>
            </w:r>
          </w:p>
        </w:tc>
        <w:tc>
          <w:tcPr>
            <w:tcW w:w="1034" w:type="pct"/>
            <w:tcBorders>
              <w:top w:val="single" w:sz="4" w:space="0" w:color="auto"/>
              <w:left w:val="nil"/>
              <w:bottom w:val="nil"/>
              <w:right w:val="nil"/>
            </w:tcBorders>
            <w:shd w:val="clear" w:color="000000" w:fill="FFFFFF"/>
            <w:noWrap/>
            <w:vAlign w:val="center"/>
            <w:hideMark/>
          </w:tcPr>
          <w:p w14:paraId="4174174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1.069 (</w:t>
            </w:r>
            <w:r w:rsidR="00EC6A12" w:rsidRPr="004C43D5">
              <w:rPr>
                <w:rFonts w:ascii="Arial" w:hAnsi="Arial" w:cs="Arial"/>
                <w:sz w:val="16"/>
                <w:szCs w:val="16"/>
              </w:rPr>
              <w:t>P</w:t>
            </w:r>
            <w:r w:rsidRPr="004C43D5">
              <w:rPr>
                <w:rFonts w:ascii="Arial" w:hAnsi="Arial" w:cs="Arial"/>
                <w:sz w:val="16"/>
                <w:szCs w:val="16"/>
              </w:rPr>
              <w:t>=0.311)</w:t>
            </w:r>
          </w:p>
        </w:tc>
        <w:tc>
          <w:tcPr>
            <w:tcW w:w="253" w:type="pct"/>
            <w:tcBorders>
              <w:top w:val="single" w:sz="4" w:space="0" w:color="auto"/>
              <w:left w:val="nil"/>
              <w:bottom w:val="nil"/>
              <w:right w:val="nil"/>
            </w:tcBorders>
            <w:shd w:val="clear" w:color="000000" w:fill="FFFFFF"/>
            <w:noWrap/>
            <w:vAlign w:val="center"/>
            <w:hideMark/>
          </w:tcPr>
          <w:p w14:paraId="1DAE6C8B"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1/28</w:t>
            </w:r>
          </w:p>
        </w:tc>
      </w:tr>
      <w:tr w:rsidR="004C43D5" w:rsidRPr="004C43D5" w14:paraId="11CEA739" w14:textId="77777777" w:rsidTr="00766EBB">
        <w:trPr>
          <w:trHeight w:val="227"/>
        </w:trPr>
        <w:tc>
          <w:tcPr>
            <w:tcW w:w="489" w:type="pct"/>
            <w:vMerge/>
            <w:tcBorders>
              <w:top w:val="nil"/>
              <w:left w:val="nil"/>
              <w:bottom w:val="nil"/>
              <w:right w:val="nil"/>
            </w:tcBorders>
            <w:vAlign w:val="center"/>
            <w:hideMark/>
          </w:tcPr>
          <w:p w14:paraId="1A15C23E"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4FC97706"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DOPAC+HVA/DA</w:t>
            </w:r>
          </w:p>
        </w:tc>
        <w:tc>
          <w:tcPr>
            <w:tcW w:w="1034" w:type="pct"/>
            <w:tcBorders>
              <w:top w:val="nil"/>
              <w:left w:val="nil"/>
              <w:bottom w:val="nil"/>
              <w:right w:val="nil"/>
            </w:tcBorders>
            <w:shd w:val="clear" w:color="000000" w:fill="FFFFFF"/>
            <w:noWrap/>
            <w:vAlign w:val="center"/>
            <w:hideMark/>
          </w:tcPr>
          <w:p w14:paraId="7EE80B5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1.296 (</w:t>
            </w:r>
            <w:r w:rsidR="00EC6A12" w:rsidRPr="004C43D5">
              <w:rPr>
                <w:rFonts w:ascii="Arial" w:hAnsi="Arial" w:cs="Arial"/>
                <w:sz w:val="16"/>
                <w:szCs w:val="16"/>
              </w:rPr>
              <w:t>P</w:t>
            </w:r>
            <w:r w:rsidRPr="004C43D5">
              <w:rPr>
                <w:rFonts w:ascii="Arial" w:hAnsi="Arial" w:cs="Arial"/>
                <w:sz w:val="16"/>
                <w:szCs w:val="16"/>
              </w:rPr>
              <w:t>=0.266)</w:t>
            </w:r>
          </w:p>
        </w:tc>
        <w:tc>
          <w:tcPr>
            <w:tcW w:w="1034" w:type="pct"/>
            <w:tcBorders>
              <w:top w:val="nil"/>
              <w:left w:val="nil"/>
              <w:bottom w:val="nil"/>
              <w:right w:val="nil"/>
            </w:tcBorders>
            <w:shd w:val="clear" w:color="000000" w:fill="FFFFFF"/>
            <w:noWrap/>
            <w:vAlign w:val="center"/>
            <w:hideMark/>
          </w:tcPr>
          <w:p w14:paraId="2708644C"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0.196 (</w:t>
            </w:r>
            <w:r w:rsidR="00EC6A12" w:rsidRPr="004C43D5">
              <w:rPr>
                <w:rFonts w:ascii="Arial" w:hAnsi="Arial" w:cs="Arial"/>
                <w:sz w:val="16"/>
                <w:szCs w:val="16"/>
              </w:rPr>
              <w:t>P</w:t>
            </w:r>
            <w:r w:rsidRPr="004C43D5">
              <w:rPr>
                <w:rFonts w:ascii="Arial" w:hAnsi="Arial" w:cs="Arial"/>
                <w:sz w:val="16"/>
                <w:szCs w:val="16"/>
              </w:rPr>
              <w:t>=0.622)</w:t>
            </w:r>
          </w:p>
        </w:tc>
        <w:tc>
          <w:tcPr>
            <w:tcW w:w="1034" w:type="pct"/>
            <w:tcBorders>
              <w:top w:val="nil"/>
              <w:left w:val="nil"/>
              <w:bottom w:val="nil"/>
              <w:right w:val="nil"/>
            </w:tcBorders>
            <w:shd w:val="clear" w:color="000000" w:fill="FFFFFF"/>
            <w:noWrap/>
            <w:vAlign w:val="center"/>
            <w:hideMark/>
          </w:tcPr>
          <w:p w14:paraId="07FC80F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1.196 (</w:t>
            </w:r>
            <w:r w:rsidR="00EC6A12" w:rsidRPr="004C43D5">
              <w:rPr>
                <w:rFonts w:ascii="Arial" w:hAnsi="Arial" w:cs="Arial"/>
                <w:sz w:val="16"/>
                <w:szCs w:val="16"/>
              </w:rPr>
              <w:t>P</w:t>
            </w:r>
            <w:r w:rsidRPr="004C43D5">
              <w:rPr>
                <w:rFonts w:ascii="Arial" w:hAnsi="Arial" w:cs="Arial"/>
                <w:sz w:val="16"/>
                <w:szCs w:val="16"/>
              </w:rPr>
              <w:t>=0.285)</w:t>
            </w:r>
          </w:p>
        </w:tc>
        <w:tc>
          <w:tcPr>
            <w:tcW w:w="253" w:type="pct"/>
            <w:tcBorders>
              <w:top w:val="nil"/>
              <w:left w:val="nil"/>
              <w:bottom w:val="nil"/>
              <w:right w:val="nil"/>
            </w:tcBorders>
            <w:shd w:val="clear" w:color="000000" w:fill="FFFFFF"/>
            <w:noWrap/>
            <w:vAlign w:val="center"/>
            <w:hideMark/>
          </w:tcPr>
          <w:p w14:paraId="7CEC56E6"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1/27</w:t>
            </w:r>
          </w:p>
        </w:tc>
      </w:tr>
      <w:tr w:rsidR="004C43D5" w:rsidRPr="004C43D5" w14:paraId="29A221B1" w14:textId="77777777" w:rsidTr="00766EBB">
        <w:trPr>
          <w:trHeight w:val="227"/>
        </w:trPr>
        <w:tc>
          <w:tcPr>
            <w:tcW w:w="489" w:type="pct"/>
            <w:vMerge/>
            <w:tcBorders>
              <w:top w:val="nil"/>
              <w:left w:val="nil"/>
              <w:bottom w:val="nil"/>
              <w:right w:val="nil"/>
            </w:tcBorders>
            <w:vAlign w:val="center"/>
            <w:hideMark/>
          </w:tcPr>
          <w:p w14:paraId="3FF1FE50" w14:textId="77777777" w:rsidR="00766EBB" w:rsidRPr="004C43D5" w:rsidRDefault="00766EBB" w:rsidP="00766EBB">
            <w:pPr>
              <w:rPr>
                <w:rFonts w:ascii="Arial" w:hAnsi="Arial" w:cs="Arial"/>
                <w:b/>
                <w:bCs/>
                <w:sz w:val="16"/>
                <w:szCs w:val="16"/>
              </w:rPr>
            </w:pPr>
          </w:p>
        </w:tc>
        <w:tc>
          <w:tcPr>
            <w:tcW w:w="1156" w:type="pct"/>
            <w:tcBorders>
              <w:top w:val="nil"/>
              <w:left w:val="nil"/>
              <w:bottom w:val="nil"/>
              <w:right w:val="nil"/>
            </w:tcBorders>
            <w:shd w:val="clear" w:color="000000" w:fill="FFFFFF"/>
            <w:noWrap/>
            <w:vAlign w:val="bottom"/>
            <w:hideMark/>
          </w:tcPr>
          <w:p w14:paraId="41B61D47"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 xml:space="preserve">NA </w:t>
            </w:r>
          </w:p>
        </w:tc>
        <w:tc>
          <w:tcPr>
            <w:tcW w:w="1034" w:type="pct"/>
            <w:tcBorders>
              <w:top w:val="nil"/>
              <w:left w:val="nil"/>
              <w:bottom w:val="nil"/>
              <w:right w:val="nil"/>
            </w:tcBorders>
            <w:shd w:val="clear" w:color="000000" w:fill="FFFFFF"/>
            <w:noWrap/>
            <w:vAlign w:val="center"/>
            <w:hideMark/>
          </w:tcPr>
          <w:p w14:paraId="028DFAF2"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0.019 (</w:t>
            </w:r>
            <w:r w:rsidR="00EC6A12" w:rsidRPr="004C43D5">
              <w:rPr>
                <w:rFonts w:ascii="Arial" w:hAnsi="Arial" w:cs="Arial"/>
                <w:sz w:val="16"/>
                <w:szCs w:val="16"/>
              </w:rPr>
              <w:t>P</w:t>
            </w:r>
            <w:r w:rsidRPr="004C43D5">
              <w:rPr>
                <w:rFonts w:ascii="Arial" w:hAnsi="Arial" w:cs="Arial"/>
                <w:sz w:val="16"/>
                <w:szCs w:val="16"/>
              </w:rPr>
              <w:t>=0.892)</w:t>
            </w:r>
          </w:p>
        </w:tc>
        <w:tc>
          <w:tcPr>
            <w:tcW w:w="1034" w:type="pct"/>
            <w:tcBorders>
              <w:top w:val="nil"/>
              <w:left w:val="nil"/>
              <w:bottom w:val="nil"/>
              <w:right w:val="nil"/>
            </w:tcBorders>
            <w:shd w:val="clear" w:color="000000" w:fill="FFFFFF"/>
            <w:noWrap/>
            <w:vAlign w:val="center"/>
            <w:hideMark/>
          </w:tcPr>
          <w:p w14:paraId="1BE0DAB3"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1.688 (</w:t>
            </w:r>
            <w:r w:rsidR="00EC6A12" w:rsidRPr="004C43D5">
              <w:rPr>
                <w:rFonts w:ascii="Arial" w:hAnsi="Arial" w:cs="Arial"/>
                <w:sz w:val="16"/>
                <w:szCs w:val="16"/>
              </w:rPr>
              <w:t>P</w:t>
            </w:r>
            <w:r w:rsidRPr="004C43D5">
              <w:rPr>
                <w:rFonts w:ascii="Arial" w:hAnsi="Arial" w:cs="Arial"/>
                <w:sz w:val="16"/>
                <w:szCs w:val="16"/>
              </w:rPr>
              <w:t>=0.206)</w:t>
            </w:r>
          </w:p>
        </w:tc>
        <w:tc>
          <w:tcPr>
            <w:tcW w:w="1034" w:type="pct"/>
            <w:tcBorders>
              <w:top w:val="nil"/>
              <w:left w:val="nil"/>
              <w:bottom w:val="nil"/>
              <w:right w:val="nil"/>
            </w:tcBorders>
            <w:shd w:val="clear" w:color="000000" w:fill="FFFFFF"/>
            <w:noWrap/>
            <w:vAlign w:val="center"/>
            <w:hideMark/>
          </w:tcPr>
          <w:p w14:paraId="1C32D52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3.115 (</w:t>
            </w:r>
            <w:r w:rsidR="00EC6A12" w:rsidRPr="004C43D5">
              <w:rPr>
                <w:rFonts w:ascii="Arial" w:hAnsi="Arial" w:cs="Arial"/>
                <w:sz w:val="16"/>
                <w:szCs w:val="16"/>
              </w:rPr>
              <w:t>P</w:t>
            </w:r>
            <w:r w:rsidRPr="004C43D5">
              <w:rPr>
                <w:rFonts w:ascii="Arial" w:hAnsi="Arial" w:cs="Arial"/>
                <w:sz w:val="16"/>
                <w:szCs w:val="16"/>
              </w:rPr>
              <w:t>=0.090)</w:t>
            </w:r>
          </w:p>
        </w:tc>
        <w:tc>
          <w:tcPr>
            <w:tcW w:w="253" w:type="pct"/>
            <w:tcBorders>
              <w:top w:val="nil"/>
              <w:left w:val="nil"/>
              <w:bottom w:val="nil"/>
              <w:right w:val="nil"/>
            </w:tcBorders>
            <w:shd w:val="clear" w:color="000000" w:fill="FFFFFF"/>
            <w:noWrap/>
            <w:vAlign w:val="center"/>
            <w:hideMark/>
          </w:tcPr>
          <w:p w14:paraId="65272422"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1/27</w:t>
            </w:r>
          </w:p>
        </w:tc>
      </w:tr>
      <w:tr w:rsidR="004C43D5" w:rsidRPr="004C43D5" w14:paraId="511CB534" w14:textId="77777777" w:rsidTr="00766EBB">
        <w:trPr>
          <w:trHeight w:val="227"/>
        </w:trPr>
        <w:tc>
          <w:tcPr>
            <w:tcW w:w="489" w:type="pct"/>
            <w:vMerge/>
            <w:tcBorders>
              <w:top w:val="nil"/>
              <w:left w:val="nil"/>
              <w:bottom w:val="nil"/>
              <w:right w:val="nil"/>
            </w:tcBorders>
            <w:vAlign w:val="center"/>
            <w:hideMark/>
          </w:tcPr>
          <w:p w14:paraId="4BF34802" w14:textId="77777777" w:rsidR="00766EBB" w:rsidRPr="004C43D5" w:rsidRDefault="00766EBB" w:rsidP="00766EBB">
            <w:pPr>
              <w:rPr>
                <w:rFonts w:ascii="Arial" w:hAnsi="Arial" w:cs="Arial"/>
                <w:b/>
                <w:bCs/>
                <w:sz w:val="16"/>
                <w:szCs w:val="16"/>
              </w:rPr>
            </w:pPr>
          </w:p>
        </w:tc>
        <w:tc>
          <w:tcPr>
            <w:tcW w:w="1156" w:type="pct"/>
            <w:tcBorders>
              <w:top w:val="nil"/>
              <w:left w:val="nil"/>
              <w:right w:val="nil"/>
            </w:tcBorders>
            <w:shd w:val="clear" w:color="000000" w:fill="FFFFFF"/>
            <w:noWrap/>
            <w:vAlign w:val="bottom"/>
            <w:hideMark/>
          </w:tcPr>
          <w:p w14:paraId="4F1E6438"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5HT</w:t>
            </w:r>
          </w:p>
        </w:tc>
        <w:tc>
          <w:tcPr>
            <w:tcW w:w="1034" w:type="pct"/>
            <w:tcBorders>
              <w:top w:val="nil"/>
              <w:left w:val="nil"/>
              <w:right w:val="nil"/>
            </w:tcBorders>
            <w:shd w:val="clear" w:color="000000" w:fill="FFFFFF"/>
            <w:noWrap/>
            <w:vAlign w:val="center"/>
            <w:hideMark/>
          </w:tcPr>
          <w:p w14:paraId="5BF79CF9"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0.575 (</w:t>
            </w:r>
            <w:r w:rsidR="00EC6A12" w:rsidRPr="004C43D5">
              <w:rPr>
                <w:rFonts w:ascii="Arial" w:hAnsi="Arial" w:cs="Arial"/>
                <w:sz w:val="16"/>
                <w:szCs w:val="16"/>
              </w:rPr>
              <w:t>P</w:t>
            </w:r>
            <w:r w:rsidRPr="004C43D5">
              <w:rPr>
                <w:rFonts w:ascii="Arial" w:hAnsi="Arial" w:cs="Arial"/>
                <w:sz w:val="16"/>
                <w:szCs w:val="16"/>
              </w:rPr>
              <w:t>=0.456)</w:t>
            </w:r>
          </w:p>
        </w:tc>
        <w:tc>
          <w:tcPr>
            <w:tcW w:w="1034" w:type="pct"/>
            <w:tcBorders>
              <w:top w:val="nil"/>
              <w:left w:val="nil"/>
              <w:right w:val="nil"/>
            </w:tcBorders>
            <w:shd w:val="clear" w:color="000000" w:fill="FFFFFF"/>
            <w:noWrap/>
            <w:vAlign w:val="center"/>
            <w:hideMark/>
          </w:tcPr>
          <w:p w14:paraId="454DD420"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3.573 (</w:t>
            </w:r>
            <w:r w:rsidR="00EC6A12" w:rsidRPr="004C43D5">
              <w:rPr>
                <w:rFonts w:ascii="Arial" w:hAnsi="Arial" w:cs="Arial"/>
                <w:sz w:val="16"/>
                <w:szCs w:val="16"/>
              </w:rPr>
              <w:t>P</w:t>
            </w:r>
            <w:r w:rsidRPr="004C43D5">
              <w:rPr>
                <w:rFonts w:ascii="Arial" w:hAnsi="Arial" w:cs="Arial"/>
                <w:sz w:val="16"/>
                <w:szCs w:val="16"/>
              </w:rPr>
              <w:t>=0.071)</w:t>
            </w:r>
          </w:p>
        </w:tc>
        <w:tc>
          <w:tcPr>
            <w:tcW w:w="1034" w:type="pct"/>
            <w:tcBorders>
              <w:top w:val="nil"/>
              <w:left w:val="nil"/>
              <w:right w:val="nil"/>
            </w:tcBorders>
            <w:shd w:val="clear" w:color="000000" w:fill="FFFFFF"/>
            <w:noWrap/>
            <w:vAlign w:val="center"/>
            <w:hideMark/>
          </w:tcPr>
          <w:p w14:paraId="55CF970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0.756 (</w:t>
            </w:r>
            <w:r w:rsidR="00EC6A12" w:rsidRPr="004C43D5">
              <w:rPr>
                <w:rFonts w:ascii="Arial" w:hAnsi="Arial" w:cs="Arial"/>
                <w:sz w:val="16"/>
                <w:szCs w:val="16"/>
              </w:rPr>
              <w:t>P</w:t>
            </w:r>
            <w:r w:rsidRPr="004C43D5">
              <w:rPr>
                <w:rFonts w:ascii="Arial" w:hAnsi="Arial" w:cs="Arial"/>
                <w:sz w:val="16"/>
                <w:szCs w:val="16"/>
              </w:rPr>
              <w:t>=0.393)</w:t>
            </w:r>
          </w:p>
        </w:tc>
        <w:tc>
          <w:tcPr>
            <w:tcW w:w="253" w:type="pct"/>
            <w:tcBorders>
              <w:top w:val="nil"/>
              <w:left w:val="nil"/>
              <w:right w:val="nil"/>
            </w:tcBorders>
            <w:shd w:val="clear" w:color="000000" w:fill="FFFFFF"/>
            <w:noWrap/>
            <w:vAlign w:val="center"/>
            <w:hideMark/>
          </w:tcPr>
          <w:p w14:paraId="17E1EBB8"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1/27</w:t>
            </w:r>
          </w:p>
        </w:tc>
      </w:tr>
      <w:tr w:rsidR="004C43D5" w:rsidRPr="004C43D5" w14:paraId="4C493ED4" w14:textId="77777777" w:rsidTr="00766EBB">
        <w:trPr>
          <w:trHeight w:val="227"/>
        </w:trPr>
        <w:tc>
          <w:tcPr>
            <w:tcW w:w="489" w:type="pct"/>
            <w:vMerge/>
            <w:tcBorders>
              <w:top w:val="nil"/>
              <w:left w:val="nil"/>
              <w:right w:val="nil"/>
            </w:tcBorders>
            <w:vAlign w:val="center"/>
            <w:hideMark/>
          </w:tcPr>
          <w:p w14:paraId="5560710B" w14:textId="77777777" w:rsidR="00766EBB" w:rsidRPr="004C43D5" w:rsidRDefault="00766EBB" w:rsidP="00766EBB">
            <w:pPr>
              <w:rPr>
                <w:rFonts w:ascii="Arial" w:hAnsi="Arial" w:cs="Arial"/>
                <w:b/>
                <w:bCs/>
                <w:sz w:val="16"/>
                <w:szCs w:val="16"/>
              </w:rPr>
            </w:pPr>
          </w:p>
        </w:tc>
        <w:tc>
          <w:tcPr>
            <w:tcW w:w="1156" w:type="pct"/>
            <w:tcBorders>
              <w:top w:val="nil"/>
              <w:left w:val="nil"/>
              <w:bottom w:val="single" w:sz="4" w:space="0" w:color="auto"/>
              <w:right w:val="nil"/>
            </w:tcBorders>
            <w:shd w:val="clear" w:color="000000" w:fill="FFFFFF"/>
            <w:noWrap/>
            <w:vAlign w:val="bottom"/>
            <w:hideMark/>
          </w:tcPr>
          <w:p w14:paraId="6FDD9513" w14:textId="77777777" w:rsidR="00766EBB" w:rsidRPr="004C43D5" w:rsidRDefault="00766EBB" w:rsidP="00766EBB">
            <w:pPr>
              <w:rPr>
                <w:rFonts w:ascii="Arial" w:hAnsi="Arial" w:cs="Arial"/>
                <w:b/>
                <w:bCs/>
                <w:sz w:val="16"/>
                <w:szCs w:val="16"/>
              </w:rPr>
            </w:pPr>
            <w:r w:rsidRPr="004C43D5">
              <w:rPr>
                <w:rFonts w:ascii="Arial" w:hAnsi="Arial" w:cs="Arial"/>
                <w:b/>
                <w:bCs/>
                <w:sz w:val="16"/>
                <w:szCs w:val="16"/>
              </w:rPr>
              <w:t>5HIAA/5HT</w:t>
            </w:r>
          </w:p>
        </w:tc>
        <w:tc>
          <w:tcPr>
            <w:tcW w:w="1034" w:type="pct"/>
            <w:tcBorders>
              <w:top w:val="nil"/>
              <w:left w:val="nil"/>
              <w:bottom w:val="single" w:sz="4" w:space="0" w:color="auto"/>
              <w:right w:val="nil"/>
            </w:tcBorders>
            <w:shd w:val="clear" w:color="000000" w:fill="FFFFFF"/>
            <w:noWrap/>
            <w:vAlign w:val="center"/>
            <w:hideMark/>
          </w:tcPr>
          <w:p w14:paraId="22ACF13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w:t>
            </w:r>
            <w:r w:rsidR="00EC6A12" w:rsidRPr="004C43D5">
              <w:rPr>
                <w:rFonts w:ascii="Arial" w:hAnsi="Arial" w:cs="Arial"/>
                <w:sz w:val="16"/>
                <w:szCs w:val="16"/>
              </w:rPr>
              <w:t>184 (P</w:t>
            </w:r>
            <w:r w:rsidRPr="004C43D5">
              <w:rPr>
                <w:rFonts w:ascii="Arial" w:hAnsi="Arial" w:cs="Arial"/>
                <w:sz w:val="16"/>
                <w:szCs w:val="16"/>
              </w:rPr>
              <w:t>=0.672)</w:t>
            </w:r>
          </w:p>
        </w:tc>
        <w:tc>
          <w:tcPr>
            <w:tcW w:w="1034" w:type="pct"/>
            <w:tcBorders>
              <w:top w:val="nil"/>
              <w:left w:val="nil"/>
              <w:bottom w:val="single" w:sz="4" w:space="0" w:color="auto"/>
              <w:right w:val="nil"/>
            </w:tcBorders>
            <w:shd w:val="clear" w:color="000000" w:fill="FFFFFF"/>
            <w:noWrap/>
            <w:vAlign w:val="center"/>
            <w:hideMark/>
          </w:tcPr>
          <w:p w14:paraId="5FAD9EDE"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0.000 (</w:t>
            </w:r>
            <w:r w:rsidR="00EC6A12" w:rsidRPr="004C43D5">
              <w:rPr>
                <w:rFonts w:ascii="Arial" w:hAnsi="Arial" w:cs="Arial"/>
                <w:sz w:val="16"/>
                <w:szCs w:val="16"/>
              </w:rPr>
              <w:t>P</w:t>
            </w:r>
            <w:r w:rsidRPr="004C43D5">
              <w:rPr>
                <w:rFonts w:ascii="Arial" w:hAnsi="Arial" w:cs="Arial"/>
                <w:sz w:val="16"/>
                <w:szCs w:val="16"/>
              </w:rPr>
              <w:t>=0.996)</w:t>
            </w:r>
          </w:p>
        </w:tc>
        <w:tc>
          <w:tcPr>
            <w:tcW w:w="1034" w:type="pct"/>
            <w:tcBorders>
              <w:top w:val="nil"/>
              <w:left w:val="nil"/>
              <w:bottom w:val="single" w:sz="4" w:space="0" w:color="auto"/>
              <w:right w:val="nil"/>
            </w:tcBorders>
            <w:shd w:val="clear" w:color="000000" w:fill="FFFFFF"/>
            <w:noWrap/>
            <w:vAlign w:val="center"/>
            <w:hideMark/>
          </w:tcPr>
          <w:p w14:paraId="22B4A216"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0.459 (</w:t>
            </w:r>
            <w:r w:rsidR="00EC6A12" w:rsidRPr="004C43D5">
              <w:rPr>
                <w:rFonts w:ascii="Arial" w:hAnsi="Arial" w:cs="Arial"/>
                <w:sz w:val="16"/>
                <w:szCs w:val="16"/>
              </w:rPr>
              <w:t>P</w:t>
            </w:r>
            <w:r w:rsidRPr="004C43D5">
              <w:rPr>
                <w:rFonts w:ascii="Arial" w:hAnsi="Arial" w:cs="Arial"/>
                <w:sz w:val="16"/>
                <w:szCs w:val="16"/>
              </w:rPr>
              <w:t>=0.506)</w:t>
            </w:r>
          </w:p>
        </w:tc>
        <w:tc>
          <w:tcPr>
            <w:tcW w:w="253" w:type="pct"/>
            <w:tcBorders>
              <w:top w:val="nil"/>
              <w:left w:val="nil"/>
              <w:bottom w:val="single" w:sz="4" w:space="0" w:color="auto"/>
              <w:right w:val="nil"/>
            </w:tcBorders>
            <w:shd w:val="clear" w:color="000000" w:fill="FFFFFF"/>
            <w:noWrap/>
            <w:vAlign w:val="center"/>
            <w:hideMark/>
          </w:tcPr>
          <w:p w14:paraId="06BAEE01" w14:textId="77777777" w:rsidR="00766EBB" w:rsidRPr="004C43D5" w:rsidRDefault="00766EBB" w:rsidP="00766EBB">
            <w:pPr>
              <w:jc w:val="center"/>
              <w:rPr>
                <w:rFonts w:ascii="Arial" w:hAnsi="Arial" w:cs="Arial"/>
                <w:sz w:val="16"/>
                <w:szCs w:val="16"/>
              </w:rPr>
            </w:pPr>
            <w:r w:rsidRPr="004C43D5">
              <w:rPr>
                <w:rFonts w:ascii="Arial" w:hAnsi="Arial" w:cs="Arial"/>
                <w:sz w:val="16"/>
                <w:szCs w:val="16"/>
              </w:rPr>
              <w:t>1/24</w:t>
            </w:r>
          </w:p>
        </w:tc>
      </w:tr>
      <w:tr w:rsidR="004C43D5" w:rsidRPr="004C43D5" w14:paraId="574F1280" w14:textId="77777777" w:rsidTr="00766EBB">
        <w:trPr>
          <w:trHeight w:val="340"/>
        </w:trPr>
        <w:tc>
          <w:tcPr>
            <w:tcW w:w="5000" w:type="pct"/>
            <w:gridSpan w:val="6"/>
            <w:tcBorders>
              <w:top w:val="nil"/>
              <w:left w:val="nil"/>
            </w:tcBorders>
            <w:vAlign w:val="center"/>
          </w:tcPr>
          <w:p w14:paraId="30FC3A23" w14:textId="77777777" w:rsidR="00766EBB" w:rsidRPr="004C43D5" w:rsidRDefault="00766EBB" w:rsidP="00766EBB">
            <w:pPr>
              <w:spacing w:before="120"/>
              <w:jc w:val="both"/>
              <w:rPr>
                <w:rFonts w:ascii="Arial" w:hAnsi="Arial" w:cs="Arial"/>
                <w:sz w:val="16"/>
                <w:szCs w:val="16"/>
                <w:lang w:eastAsia="it-IT"/>
              </w:rPr>
            </w:pPr>
            <w:r w:rsidRPr="004C43D5">
              <w:rPr>
                <w:rFonts w:ascii="Arial" w:hAnsi="Arial" w:cs="Arial"/>
                <w:bCs/>
                <w:sz w:val="16"/>
                <w:szCs w:val="16"/>
              </w:rPr>
              <w:t>Abbreviations: Acb, nucleus accumbens; AMY, amygdala; CPu, caudate putamen; DR, dorsal raphe; HIPP, hippocampus; HYPO, hypothalamus; LC, locus coeruleus; mPFC, medial p</w:t>
            </w:r>
            <w:r w:rsidRPr="004C43D5">
              <w:rPr>
                <w:rFonts w:ascii="Arial" w:hAnsi="Arial" w:cs="Arial"/>
                <w:bCs/>
                <w:sz w:val="16"/>
                <w:szCs w:val="16"/>
                <w:lang w:eastAsia="it-IT"/>
              </w:rPr>
              <w:t>refrontal cortex; SN, substantia nigra; VTA, ventral tegmental area.</w:t>
            </w:r>
          </w:p>
        </w:tc>
      </w:tr>
      <w:tr w:rsidR="004C43D5" w:rsidRPr="004C43D5" w14:paraId="7C516F48" w14:textId="77777777" w:rsidTr="00766EBB">
        <w:trPr>
          <w:trHeight w:val="227"/>
        </w:trPr>
        <w:tc>
          <w:tcPr>
            <w:tcW w:w="5000" w:type="pct"/>
            <w:gridSpan w:val="6"/>
            <w:tcBorders>
              <w:top w:val="nil"/>
              <w:left w:val="nil"/>
            </w:tcBorders>
            <w:vAlign w:val="center"/>
          </w:tcPr>
          <w:p w14:paraId="0F85A4C6" w14:textId="77777777" w:rsidR="00766EBB" w:rsidRPr="004C43D5" w:rsidRDefault="00766EBB" w:rsidP="00766EBB">
            <w:pPr>
              <w:jc w:val="both"/>
              <w:rPr>
                <w:rFonts w:ascii="Arial" w:hAnsi="Arial" w:cs="Arial"/>
                <w:bCs/>
                <w:sz w:val="16"/>
                <w:szCs w:val="16"/>
                <w:lang w:eastAsia="it-IT"/>
              </w:rPr>
            </w:pPr>
          </w:p>
          <w:p w14:paraId="150F0577" w14:textId="77777777" w:rsidR="00766EBB" w:rsidRPr="004C43D5" w:rsidRDefault="00766EBB" w:rsidP="00766EBB">
            <w:pPr>
              <w:jc w:val="both"/>
              <w:rPr>
                <w:rFonts w:ascii="Arial" w:hAnsi="Arial" w:cs="Arial"/>
                <w:bCs/>
                <w:sz w:val="16"/>
                <w:szCs w:val="16"/>
                <w:lang w:eastAsia="it-IT"/>
              </w:rPr>
            </w:pPr>
          </w:p>
        </w:tc>
      </w:tr>
    </w:tbl>
    <w:p w14:paraId="5B27212E" w14:textId="77777777" w:rsidR="00766EBB" w:rsidRPr="004C43D5" w:rsidRDefault="00766EBB" w:rsidP="00A2240F">
      <w:pPr>
        <w:pStyle w:val="SMcaption"/>
        <w:jc w:val="both"/>
        <w:rPr>
          <w:rFonts w:ascii="Arial" w:hAnsi="Arial" w:cs="Arial"/>
          <w:sz w:val="20"/>
        </w:rPr>
      </w:pPr>
    </w:p>
    <w:sectPr w:rsidR="00766EBB" w:rsidRPr="004C43D5" w:rsidSect="00F125EE">
      <w:headerReference w:type="default" r:id="rId10"/>
      <w:footerReference w:type="default" r:id="rId1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D0611" w14:textId="77777777" w:rsidR="006165E1" w:rsidRDefault="006165E1">
      <w:r>
        <w:separator/>
      </w:r>
    </w:p>
  </w:endnote>
  <w:endnote w:type="continuationSeparator" w:id="0">
    <w:p w14:paraId="4CBBC667" w14:textId="77777777" w:rsidR="006165E1" w:rsidRDefault="00616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E6A82" w14:textId="16A2F8B3" w:rsidR="00944FA9" w:rsidRDefault="00944FA9">
    <w:pPr>
      <w:pStyle w:val="Pidipagina"/>
      <w:jc w:val="right"/>
    </w:pPr>
    <w:r>
      <w:fldChar w:fldCharType="begin"/>
    </w:r>
    <w:r>
      <w:instrText xml:space="preserve"> PAGE   \* MERGEFORMAT </w:instrText>
    </w:r>
    <w:r>
      <w:fldChar w:fldCharType="separate"/>
    </w:r>
    <w:r w:rsidR="0064638A">
      <w:rPr>
        <w:noProof/>
      </w:rPr>
      <w:t>9</w:t>
    </w:r>
    <w:r>
      <w:rPr>
        <w:noProof/>
      </w:rPr>
      <w:fldChar w:fldCharType="end"/>
    </w:r>
  </w:p>
  <w:p w14:paraId="06B8F26B" w14:textId="77777777" w:rsidR="00944FA9" w:rsidRDefault="00944FA9">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C5F49" w14:textId="77777777" w:rsidR="006165E1" w:rsidRDefault="006165E1">
      <w:r>
        <w:separator/>
      </w:r>
    </w:p>
  </w:footnote>
  <w:footnote w:type="continuationSeparator" w:id="0">
    <w:p w14:paraId="1BFBA39E" w14:textId="77777777" w:rsidR="006165E1" w:rsidRDefault="006165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938D8" w14:textId="77777777" w:rsidR="00944FA9" w:rsidRPr="005001AC" w:rsidRDefault="00944FA9" w:rsidP="005001AC">
    <w:pPr>
      <w:jc w:val="right"/>
      <w:rPr>
        <w:sz w:val="20"/>
      </w:rPr>
    </w:pPr>
  </w:p>
  <w:p w14:paraId="227671BD" w14:textId="77777777" w:rsidR="00944FA9" w:rsidRDefault="00944FA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C32ADF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E9A0988"/>
    <w:lvl w:ilvl="0">
      <w:start w:val="1"/>
      <w:numFmt w:val="decimal"/>
      <w:pStyle w:val="Numeroelenco5"/>
      <w:lvlText w:val="%1."/>
      <w:lvlJc w:val="left"/>
      <w:pPr>
        <w:tabs>
          <w:tab w:val="num" w:pos="1800"/>
        </w:tabs>
        <w:ind w:left="1800" w:hanging="360"/>
      </w:pPr>
    </w:lvl>
  </w:abstractNum>
  <w:abstractNum w:abstractNumId="2" w15:restartNumberingAfterBreak="0">
    <w:nsid w:val="FFFFFF7D"/>
    <w:multiLevelType w:val="singleLevel"/>
    <w:tmpl w:val="498CFF00"/>
    <w:lvl w:ilvl="0">
      <w:start w:val="1"/>
      <w:numFmt w:val="decimal"/>
      <w:pStyle w:val="Numeroelenco4"/>
      <w:lvlText w:val="%1."/>
      <w:lvlJc w:val="left"/>
      <w:pPr>
        <w:tabs>
          <w:tab w:val="num" w:pos="1440"/>
        </w:tabs>
        <w:ind w:left="1440" w:hanging="360"/>
      </w:pPr>
    </w:lvl>
  </w:abstractNum>
  <w:abstractNum w:abstractNumId="3" w15:restartNumberingAfterBreak="0">
    <w:nsid w:val="FFFFFF7E"/>
    <w:multiLevelType w:val="singleLevel"/>
    <w:tmpl w:val="1D94376A"/>
    <w:lvl w:ilvl="0">
      <w:start w:val="1"/>
      <w:numFmt w:val="decimal"/>
      <w:pStyle w:val="Numeroelenco3"/>
      <w:lvlText w:val="%1."/>
      <w:lvlJc w:val="left"/>
      <w:pPr>
        <w:tabs>
          <w:tab w:val="num" w:pos="1080"/>
        </w:tabs>
        <w:ind w:left="1080" w:hanging="360"/>
      </w:pPr>
    </w:lvl>
  </w:abstractNum>
  <w:abstractNum w:abstractNumId="4" w15:restartNumberingAfterBreak="0">
    <w:nsid w:val="FFFFFF7F"/>
    <w:multiLevelType w:val="singleLevel"/>
    <w:tmpl w:val="BC8CF8D2"/>
    <w:lvl w:ilvl="0">
      <w:start w:val="1"/>
      <w:numFmt w:val="decimal"/>
      <w:pStyle w:val="Numeroelenco2"/>
      <w:lvlText w:val="%1."/>
      <w:lvlJc w:val="left"/>
      <w:pPr>
        <w:tabs>
          <w:tab w:val="num" w:pos="720"/>
        </w:tabs>
        <w:ind w:left="720" w:hanging="360"/>
      </w:pPr>
    </w:lvl>
  </w:abstractNum>
  <w:abstractNum w:abstractNumId="5" w15:restartNumberingAfterBreak="0">
    <w:nsid w:val="FFFFFF80"/>
    <w:multiLevelType w:val="singleLevel"/>
    <w:tmpl w:val="BE508C2A"/>
    <w:lvl w:ilvl="0">
      <w:start w:val="1"/>
      <w:numFmt w:val="bullet"/>
      <w:pStyle w:val="Puntoelenco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4BDA3A4C"/>
    <w:lvl w:ilvl="0">
      <w:start w:val="1"/>
      <w:numFmt w:val="bullet"/>
      <w:pStyle w:val="Puntoelenco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9F6ED8A8"/>
    <w:lvl w:ilvl="0">
      <w:start w:val="1"/>
      <w:numFmt w:val="bullet"/>
      <w:pStyle w:val="Puntoelenco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B406D81E"/>
    <w:lvl w:ilvl="0">
      <w:start w:val="1"/>
      <w:numFmt w:val="bullet"/>
      <w:pStyle w:val="Puntoelenco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98E05002"/>
    <w:lvl w:ilvl="0">
      <w:start w:val="1"/>
      <w:numFmt w:val="decimal"/>
      <w:pStyle w:val="Numeroelenco"/>
      <w:lvlText w:val="%1."/>
      <w:lvlJc w:val="left"/>
      <w:pPr>
        <w:tabs>
          <w:tab w:val="num" w:pos="360"/>
        </w:tabs>
        <w:ind w:left="360" w:hanging="360"/>
      </w:pPr>
    </w:lvl>
  </w:abstractNum>
  <w:abstractNum w:abstractNumId="10" w15:restartNumberingAfterBreak="0">
    <w:nsid w:val="FFFFFF89"/>
    <w:multiLevelType w:val="singleLevel"/>
    <w:tmpl w:val="FE4E81E6"/>
    <w:lvl w:ilvl="0">
      <w:start w:val="1"/>
      <w:numFmt w:val="bullet"/>
      <w:pStyle w:val="Puntoelenco"/>
      <w:lvlText w:val=""/>
      <w:lvlJc w:val="left"/>
      <w:pPr>
        <w:tabs>
          <w:tab w:val="num" w:pos="360"/>
        </w:tabs>
        <w:ind w:left="360" w:hanging="360"/>
      </w:pPr>
      <w:rPr>
        <w:rFonts w:ascii="Symbol" w:hAnsi="Symbol" w:hint="default"/>
      </w:rPr>
    </w:lvl>
  </w:abstractNum>
  <w:abstractNum w:abstractNumId="11"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1"/>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C030F"/>
    <w:rsid w:val="00001825"/>
    <w:rsid w:val="0001235F"/>
    <w:rsid w:val="00012C4B"/>
    <w:rsid w:val="00015F74"/>
    <w:rsid w:val="00017C53"/>
    <w:rsid w:val="00030840"/>
    <w:rsid w:val="00033C49"/>
    <w:rsid w:val="000440DC"/>
    <w:rsid w:val="000524F6"/>
    <w:rsid w:val="0005366D"/>
    <w:rsid w:val="000559E1"/>
    <w:rsid w:val="000574F8"/>
    <w:rsid w:val="00065EBD"/>
    <w:rsid w:val="00070427"/>
    <w:rsid w:val="00075103"/>
    <w:rsid w:val="00083B44"/>
    <w:rsid w:val="000845BA"/>
    <w:rsid w:val="000850DC"/>
    <w:rsid w:val="000B41EA"/>
    <w:rsid w:val="000C0A7A"/>
    <w:rsid w:val="000C2771"/>
    <w:rsid w:val="000D02DB"/>
    <w:rsid w:val="000D55C5"/>
    <w:rsid w:val="000E5A7A"/>
    <w:rsid w:val="000F0DCE"/>
    <w:rsid w:val="00102C9B"/>
    <w:rsid w:val="00106D19"/>
    <w:rsid w:val="00111266"/>
    <w:rsid w:val="00112C5B"/>
    <w:rsid w:val="00114193"/>
    <w:rsid w:val="00115A38"/>
    <w:rsid w:val="0011687B"/>
    <w:rsid w:val="00117CA5"/>
    <w:rsid w:val="00121CC6"/>
    <w:rsid w:val="00123A45"/>
    <w:rsid w:val="00124F82"/>
    <w:rsid w:val="00135DB5"/>
    <w:rsid w:val="001363AC"/>
    <w:rsid w:val="0014589C"/>
    <w:rsid w:val="0014590C"/>
    <w:rsid w:val="00154689"/>
    <w:rsid w:val="00155FF5"/>
    <w:rsid w:val="0016337A"/>
    <w:rsid w:val="00164269"/>
    <w:rsid w:val="00171CA7"/>
    <w:rsid w:val="00174A5A"/>
    <w:rsid w:val="00191CFD"/>
    <w:rsid w:val="00191E8E"/>
    <w:rsid w:val="001A1BDE"/>
    <w:rsid w:val="001A4348"/>
    <w:rsid w:val="001C0520"/>
    <w:rsid w:val="001C0975"/>
    <w:rsid w:val="001C56BC"/>
    <w:rsid w:val="001D54F9"/>
    <w:rsid w:val="001D5AD6"/>
    <w:rsid w:val="001E60B9"/>
    <w:rsid w:val="001F0876"/>
    <w:rsid w:val="001F167C"/>
    <w:rsid w:val="001F1F2F"/>
    <w:rsid w:val="001F350E"/>
    <w:rsid w:val="001F55EB"/>
    <w:rsid w:val="001F5E91"/>
    <w:rsid w:val="001F7DF3"/>
    <w:rsid w:val="00202938"/>
    <w:rsid w:val="00204B4F"/>
    <w:rsid w:val="002077B9"/>
    <w:rsid w:val="00214BC0"/>
    <w:rsid w:val="0025040B"/>
    <w:rsid w:val="0025051A"/>
    <w:rsid w:val="00262D72"/>
    <w:rsid w:val="002719FF"/>
    <w:rsid w:val="00294FBB"/>
    <w:rsid w:val="002B01D1"/>
    <w:rsid w:val="002B51ED"/>
    <w:rsid w:val="002B5A95"/>
    <w:rsid w:val="002C030F"/>
    <w:rsid w:val="002C41E6"/>
    <w:rsid w:val="002C6EB7"/>
    <w:rsid w:val="002C777B"/>
    <w:rsid w:val="00313B39"/>
    <w:rsid w:val="00313FA4"/>
    <w:rsid w:val="0031433F"/>
    <w:rsid w:val="00317E8D"/>
    <w:rsid w:val="00322455"/>
    <w:rsid w:val="00325D90"/>
    <w:rsid w:val="00331D75"/>
    <w:rsid w:val="00334228"/>
    <w:rsid w:val="00343B8D"/>
    <w:rsid w:val="00350C0C"/>
    <w:rsid w:val="0035307C"/>
    <w:rsid w:val="00353521"/>
    <w:rsid w:val="00354E7D"/>
    <w:rsid w:val="00355362"/>
    <w:rsid w:val="00363E44"/>
    <w:rsid w:val="00364377"/>
    <w:rsid w:val="00372CB0"/>
    <w:rsid w:val="00372EE1"/>
    <w:rsid w:val="0037742C"/>
    <w:rsid w:val="0038119A"/>
    <w:rsid w:val="003814E9"/>
    <w:rsid w:val="00383E7D"/>
    <w:rsid w:val="00387114"/>
    <w:rsid w:val="003906E2"/>
    <w:rsid w:val="00395E86"/>
    <w:rsid w:val="003A2FD8"/>
    <w:rsid w:val="003A7A0A"/>
    <w:rsid w:val="003B40E6"/>
    <w:rsid w:val="003C23D1"/>
    <w:rsid w:val="003D0FB0"/>
    <w:rsid w:val="003E58D9"/>
    <w:rsid w:val="003F6E14"/>
    <w:rsid w:val="00405336"/>
    <w:rsid w:val="00406F36"/>
    <w:rsid w:val="0041701C"/>
    <w:rsid w:val="00422C68"/>
    <w:rsid w:val="00427D50"/>
    <w:rsid w:val="0043754C"/>
    <w:rsid w:val="004378C8"/>
    <w:rsid w:val="00443D19"/>
    <w:rsid w:val="004571D5"/>
    <w:rsid w:val="00461D81"/>
    <w:rsid w:val="0046356B"/>
    <w:rsid w:val="004653A1"/>
    <w:rsid w:val="00466E69"/>
    <w:rsid w:val="00477182"/>
    <w:rsid w:val="004779CB"/>
    <w:rsid w:val="00494F8A"/>
    <w:rsid w:val="004A159F"/>
    <w:rsid w:val="004A4B58"/>
    <w:rsid w:val="004A5CD6"/>
    <w:rsid w:val="004B2F21"/>
    <w:rsid w:val="004C43D5"/>
    <w:rsid w:val="004C78E6"/>
    <w:rsid w:val="004D138E"/>
    <w:rsid w:val="004D4622"/>
    <w:rsid w:val="004D597E"/>
    <w:rsid w:val="004E3CE6"/>
    <w:rsid w:val="004E42D8"/>
    <w:rsid w:val="004E5FD0"/>
    <w:rsid w:val="004E7BA2"/>
    <w:rsid w:val="004F7EDF"/>
    <w:rsid w:val="005001AC"/>
    <w:rsid w:val="00505A9B"/>
    <w:rsid w:val="00506C34"/>
    <w:rsid w:val="0051651C"/>
    <w:rsid w:val="005257EF"/>
    <w:rsid w:val="00527D71"/>
    <w:rsid w:val="0054097B"/>
    <w:rsid w:val="00541DCC"/>
    <w:rsid w:val="00547EAA"/>
    <w:rsid w:val="005514A6"/>
    <w:rsid w:val="005607DD"/>
    <w:rsid w:val="00565A7C"/>
    <w:rsid w:val="00572844"/>
    <w:rsid w:val="00572AA3"/>
    <w:rsid w:val="00575CF4"/>
    <w:rsid w:val="005A0880"/>
    <w:rsid w:val="005A1AAF"/>
    <w:rsid w:val="005A558C"/>
    <w:rsid w:val="005D747F"/>
    <w:rsid w:val="005D7CE5"/>
    <w:rsid w:val="005E211B"/>
    <w:rsid w:val="005E28F8"/>
    <w:rsid w:val="005E520F"/>
    <w:rsid w:val="005E6513"/>
    <w:rsid w:val="005E6DF2"/>
    <w:rsid w:val="005F0520"/>
    <w:rsid w:val="005F0D71"/>
    <w:rsid w:val="005F409C"/>
    <w:rsid w:val="006140DF"/>
    <w:rsid w:val="006165E1"/>
    <w:rsid w:val="006168E2"/>
    <w:rsid w:val="00617EFB"/>
    <w:rsid w:val="00625766"/>
    <w:rsid w:val="00626CB0"/>
    <w:rsid w:val="0064638A"/>
    <w:rsid w:val="00650B7D"/>
    <w:rsid w:val="00651114"/>
    <w:rsid w:val="00651749"/>
    <w:rsid w:val="0065772A"/>
    <w:rsid w:val="00662F89"/>
    <w:rsid w:val="0066408E"/>
    <w:rsid w:val="00670299"/>
    <w:rsid w:val="00675257"/>
    <w:rsid w:val="0068050A"/>
    <w:rsid w:val="0069027C"/>
    <w:rsid w:val="00691985"/>
    <w:rsid w:val="00694ADE"/>
    <w:rsid w:val="006A004A"/>
    <w:rsid w:val="006A1B64"/>
    <w:rsid w:val="006A6BB9"/>
    <w:rsid w:val="006B0729"/>
    <w:rsid w:val="006B68B4"/>
    <w:rsid w:val="006C49CD"/>
    <w:rsid w:val="006D103B"/>
    <w:rsid w:val="006E3E68"/>
    <w:rsid w:val="006F1C83"/>
    <w:rsid w:val="007108F5"/>
    <w:rsid w:val="00710F0D"/>
    <w:rsid w:val="00713E5B"/>
    <w:rsid w:val="00725CC7"/>
    <w:rsid w:val="007350F9"/>
    <w:rsid w:val="007402FC"/>
    <w:rsid w:val="007411A1"/>
    <w:rsid w:val="0074376C"/>
    <w:rsid w:val="007509A0"/>
    <w:rsid w:val="00751F55"/>
    <w:rsid w:val="007643A8"/>
    <w:rsid w:val="00766EBB"/>
    <w:rsid w:val="00796CF2"/>
    <w:rsid w:val="007978C8"/>
    <w:rsid w:val="007B53FC"/>
    <w:rsid w:val="007B5946"/>
    <w:rsid w:val="007B766B"/>
    <w:rsid w:val="007C1049"/>
    <w:rsid w:val="007C5059"/>
    <w:rsid w:val="007D3579"/>
    <w:rsid w:val="007E04E0"/>
    <w:rsid w:val="007E3A10"/>
    <w:rsid w:val="007E4FC2"/>
    <w:rsid w:val="007F351A"/>
    <w:rsid w:val="007F4850"/>
    <w:rsid w:val="007F798B"/>
    <w:rsid w:val="008020FD"/>
    <w:rsid w:val="00807D35"/>
    <w:rsid w:val="00814B84"/>
    <w:rsid w:val="0081516D"/>
    <w:rsid w:val="00820484"/>
    <w:rsid w:val="00824DF3"/>
    <w:rsid w:val="00857852"/>
    <w:rsid w:val="0086077E"/>
    <w:rsid w:val="008612C7"/>
    <w:rsid w:val="00870959"/>
    <w:rsid w:val="008732D7"/>
    <w:rsid w:val="0087757D"/>
    <w:rsid w:val="00885C9B"/>
    <w:rsid w:val="00892AF1"/>
    <w:rsid w:val="008B0257"/>
    <w:rsid w:val="008B086D"/>
    <w:rsid w:val="008B271B"/>
    <w:rsid w:val="008C2B2B"/>
    <w:rsid w:val="008D5D2A"/>
    <w:rsid w:val="008F4D30"/>
    <w:rsid w:val="00914B63"/>
    <w:rsid w:val="00915D0E"/>
    <w:rsid w:val="009258B8"/>
    <w:rsid w:val="009354F3"/>
    <w:rsid w:val="00937C3C"/>
    <w:rsid w:val="00942B44"/>
    <w:rsid w:val="00943C3C"/>
    <w:rsid w:val="009447DC"/>
    <w:rsid w:val="00944FA9"/>
    <w:rsid w:val="00954217"/>
    <w:rsid w:val="00955178"/>
    <w:rsid w:val="00961072"/>
    <w:rsid w:val="00961BA5"/>
    <w:rsid w:val="009743A9"/>
    <w:rsid w:val="00981350"/>
    <w:rsid w:val="009868BB"/>
    <w:rsid w:val="009953F0"/>
    <w:rsid w:val="009A1194"/>
    <w:rsid w:val="009A4124"/>
    <w:rsid w:val="009A5287"/>
    <w:rsid w:val="009A670E"/>
    <w:rsid w:val="009B2AC5"/>
    <w:rsid w:val="009B66B9"/>
    <w:rsid w:val="009B7686"/>
    <w:rsid w:val="009B7984"/>
    <w:rsid w:val="009D30A5"/>
    <w:rsid w:val="009E21F2"/>
    <w:rsid w:val="009F1662"/>
    <w:rsid w:val="009F4BED"/>
    <w:rsid w:val="009F52FD"/>
    <w:rsid w:val="009F7D93"/>
    <w:rsid w:val="00A038ED"/>
    <w:rsid w:val="00A143D3"/>
    <w:rsid w:val="00A16C7E"/>
    <w:rsid w:val="00A211DA"/>
    <w:rsid w:val="00A2240F"/>
    <w:rsid w:val="00A24A34"/>
    <w:rsid w:val="00A3403B"/>
    <w:rsid w:val="00A51A12"/>
    <w:rsid w:val="00A627D4"/>
    <w:rsid w:val="00A643CB"/>
    <w:rsid w:val="00A64946"/>
    <w:rsid w:val="00A706BD"/>
    <w:rsid w:val="00A74DA2"/>
    <w:rsid w:val="00A850A3"/>
    <w:rsid w:val="00A90F46"/>
    <w:rsid w:val="00A9306C"/>
    <w:rsid w:val="00AA35E2"/>
    <w:rsid w:val="00AB5140"/>
    <w:rsid w:val="00AC15B4"/>
    <w:rsid w:val="00AD0FC2"/>
    <w:rsid w:val="00AD3467"/>
    <w:rsid w:val="00AD499C"/>
    <w:rsid w:val="00AE3800"/>
    <w:rsid w:val="00AF09E0"/>
    <w:rsid w:val="00AF14BC"/>
    <w:rsid w:val="00B03A49"/>
    <w:rsid w:val="00B06700"/>
    <w:rsid w:val="00B12271"/>
    <w:rsid w:val="00B142B4"/>
    <w:rsid w:val="00B20892"/>
    <w:rsid w:val="00B21F36"/>
    <w:rsid w:val="00B24090"/>
    <w:rsid w:val="00B330AB"/>
    <w:rsid w:val="00B333EB"/>
    <w:rsid w:val="00B34C0B"/>
    <w:rsid w:val="00B36869"/>
    <w:rsid w:val="00B37DB8"/>
    <w:rsid w:val="00B42F9C"/>
    <w:rsid w:val="00B43B31"/>
    <w:rsid w:val="00B47CFA"/>
    <w:rsid w:val="00B51078"/>
    <w:rsid w:val="00B53627"/>
    <w:rsid w:val="00B54AA2"/>
    <w:rsid w:val="00B57F00"/>
    <w:rsid w:val="00B70F00"/>
    <w:rsid w:val="00B749FE"/>
    <w:rsid w:val="00B77B2A"/>
    <w:rsid w:val="00B82C22"/>
    <w:rsid w:val="00B836F6"/>
    <w:rsid w:val="00B84689"/>
    <w:rsid w:val="00B84BC2"/>
    <w:rsid w:val="00B86704"/>
    <w:rsid w:val="00B8723B"/>
    <w:rsid w:val="00B92B05"/>
    <w:rsid w:val="00B93DBA"/>
    <w:rsid w:val="00B9440A"/>
    <w:rsid w:val="00BA728B"/>
    <w:rsid w:val="00BB14A0"/>
    <w:rsid w:val="00BB2D2A"/>
    <w:rsid w:val="00BC4AE7"/>
    <w:rsid w:val="00BD21F7"/>
    <w:rsid w:val="00BD3B15"/>
    <w:rsid w:val="00BD58CF"/>
    <w:rsid w:val="00BD6A5F"/>
    <w:rsid w:val="00BD7AFF"/>
    <w:rsid w:val="00BE2F64"/>
    <w:rsid w:val="00BF0281"/>
    <w:rsid w:val="00BF2F03"/>
    <w:rsid w:val="00C04CC1"/>
    <w:rsid w:val="00C050D0"/>
    <w:rsid w:val="00C07AE9"/>
    <w:rsid w:val="00C251D5"/>
    <w:rsid w:val="00C50C6D"/>
    <w:rsid w:val="00C54DD3"/>
    <w:rsid w:val="00C600D9"/>
    <w:rsid w:val="00C6644B"/>
    <w:rsid w:val="00C71C48"/>
    <w:rsid w:val="00C74277"/>
    <w:rsid w:val="00C76D88"/>
    <w:rsid w:val="00C80FE2"/>
    <w:rsid w:val="00C85A9B"/>
    <w:rsid w:val="00C92FF5"/>
    <w:rsid w:val="00C94E31"/>
    <w:rsid w:val="00CA57B8"/>
    <w:rsid w:val="00CB0D15"/>
    <w:rsid w:val="00CC1384"/>
    <w:rsid w:val="00CC4ADD"/>
    <w:rsid w:val="00CC51A4"/>
    <w:rsid w:val="00CD3380"/>
    <w:rsid w:val="00CD3720"/>
    <w:rsid w:val="00CD43BF"/>
    <w:rsid w:val="00CE6F75"/>
    <w:rsid w:val="00CE7996"/>
    <w:rsid w:val="00CF1848"/>
    <w:rsid w:val="00CF5C2F"/>
    <w:rsid w:val="00D04107"/>
    <w:rsid w:val="00D04BCF"/>
    <w:rsid w:val="00D143D9"/>
    <w:rsid w:val="00D16AFD"/>
    <w:rsid w:val="00D269AB"/>
    <w:rsid w:val="00D346C2"/>
    <w:rsid w:val="00D3751A"/>
    <w:rsid w:val="00D41A8C"/>
    <w:rsid w:val="00D566F4"/>
    <w:rsid w:val="00D6047E"/>
    <w:rsid w:val="00D72AE3"/>
    <w:rsid w:val="00D8006B"/>
    <w:rsid w:val="00D8232B"/>
    <w:rsid w:val="00D94F03"/>
    <w:rsid w:val="00DA06C3"/>
    <w:rsid w:val="00DA40BA"/>
    <w:rsid w:val="00DC081D"/>
    <w:rsid w:val="00DC46D2"/>
    <w:rsid w:val="00DD421A"/>
    <w:rsid w:val="00DD42EF"/>
    <w:rsid w:val="00DE0B98"/>
    <w:rsid w:val="00E14D52"/>
    <w:rsid w:val="00E23040"/>
    <w:rsid w:val="00E25246"/>
    <w:rsid w:val="00E257C8"/>
    <w:rsid w:val="00E30701"/>
    <w:rsid w:val="00E37047"/>
    <w:rsid w:val="00E502D4"/>
    <w:rsid w:val="00E54843"/>
    <w:rsid w:val="00E55BEF"/>
    <w:rsid w:val="00E56AB8"/>
    <w:rsid w:val="00E60D0F"/>
    <w:rsid w:val="00E632B0"/>
    <w:rsid w:val="00E80A38"/>
    <w:rsid w:val="00E9696B"/>
    <w:rsid w:val="00E9773B"/>
    <w:rsid w:val="00EA5319"/>
    <w:rsid w:val="00EA596B"/>
    <w:rsid w:val="00EB40D0"/>
    <w:rsid w:val="00EC13A3"/>
    <w:rsid w:val="00EC3EF3"/>
    <w:rsid w:val="00EC6A12"/>
    <w:rsid w:val="00EC7C85"/>
    <w:rsid w:val="00EE2247"/>
    <w:rsid w:val="00EE4B1B"/>
    <w:rsid w:val="00EE549A"/>
    <w:rsid w:val="00EE6066"/>
    <w:rsid w:val="00EF0F58"/>
    <w:rsid w:val="00EF51D1"/>
    <w:rsid w:val="00F03896"/>
    <w:rsid w:val="00F101CE"/>
    <w:rsid w:val="00F10D30"/>
    <w:rsid w:val="00F125EE"/>
    <w:rsid w:val="00F12E98"/>
    <w:rsid w:val="00F14E98"/>
    <w:rsid w:val="00F22029"/>
    <w:rsid w:val="00F32CD3"/>
    <w:rsid w:val="00F60EB8"/>
    <w:rsid w:val="00F62B0B"/>
    <w:rsid w:val="00F630EA"/>
    <w:rsid w:val="00F66C8A"/>
    <w:rsid w:val="00F7007E"/>
    <w:rsid w:val="00F70200"/>
    <w:rsid w:val="00F73193"/>
    <w:rsid w:val="00F7348A"/>
    <w:rsid w:val="00F74900"/>
    <w:rsid w:val="00F74F95"/>
    <w:rsid w:val="00F80705"/>
    <w:rsid w:val="00F84D6D"/>
    <w:rsid w:val="00F92804"/>
    <w:rsid w:val="00F9371E"/>
    <w:rsid w:val="00F93C2C"/>
    <w:rsid w:val="00F97C37"/>
    <w:rsid w:val="00FA1481"/>
    <w:rsid w:val="00FA6324"/>
    <w:rsid w:val="00FC5498"/>
    <w:rsid w:val="00FE2C4F"/>
    <w:rsid w:val="00FF04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04759C9"/>
  <w15:docId w15:val="{5D7DC556-10CE-4BAC-AA20-9F75559E7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630EA"/>
    <w:rPr>
      <w:sz w:val="24"/>
      <w:lang w:val="en-US" w:eastAsia="en-US"/>
    </w:rPr>
  </w:style>
  <w:style w:type="paragraph" w:styleId="Titolo1">
    <w:name w:val="heading 1"/>
    <w:basedOn w:val="Normale"/>
    <w:next w:val="Normale"/>
    <w:link w:val="Titolo1Carattere"/>
    <w:qFormat/>
    <w:rsid w:val="00B43B31"/>
    <w:pPr>
      <w:keepNext/>
      <w:spacing w:before="240" w:after="60"/>
      <w:outlineLvl w:val="0"/>
    </w:pPr>
    <w:rPr>
      <w:b/>
      <w:bCs/>
      <w:kern w:val="32"/>
      <w:szCs w:val="24"/>
    </w:rPr>
  </w:style>
  <w:style w:type="paragraph" w:styleId="Titolo2">
    <w:name w:val="heading 2"/>
    <w:basedOn w:val="Normale"/>
    <w:next w:val="Normale"/>
    <w:link w:val="Titolo2Carattere"/>
    <w:qFormat/>
    <w:rsid w:val="007411A1"/>
    <w:pPr>
      <w:keepNext/>
      <w:spacing w:before="240" w:after="60"/>
      <w:outlineLvl w:val="1"/>
    </w:pPr>
    <w:rPr>
      <w:rFonts w:ascii="Cambria" w:hAnsi="Cambria"/>
      <w:b/>
      <w:bCs/>
      <w:i/>
      <w:iCs/>
      <w:sz w:val="28"/>
      <w:szCs w:val="28"/>
    </w:rPr>
  </w:style>
  <w:style w:type="paragraph" w:styleId="Titolo3">
    <w:name w:val="heading 3"/>
    <w:basedOn w:val="Normale"/>
    <w:next w:val="Normale"/>
    <w:qFormat/>
    <w:rsid w:val="00C600D9"/>
    <w:pPr>
      <w:keepNext/>
      <w:spacing w:line="480" w:lineRule="auto"/>
      <w:outlineLvl w:val="2"/>
    </w:pPr>
    <w:rPr>
      <w:rFonts w:ascii="Times" w:eastAsia="Times" w:hAnsi="Times"/>
      <w:b/>
    </w:rPr>
  </w:style>
  <w:style w:type="paragraph" w:styleId="Titolo4">
    <w:name w:val="heading 4"/>
    <w:basedOn w:val="Normale"/>
    <w:next w:val="Normale"/>
    <w:qFormat/>
    <w:rsid w:val="00C600D9"/>
    <w:pPr>
      <w:keepNext/>
      <w:spacing w:line="480" w:lineRule="auto"/>
      <w:outlineLvl w:val="3"/>
    </w:pPr>
    <w:rPr>
      <w:rFonts w:ascii="Times" w:hAnsi="Times"/>
      <w:b/>
      <w:color w:val="0000FF"/>
      <w:sz w:val="44"/>
    </w:rPr>
  </w:style>
  <w:style w:type="paragraph" w:styleId="Titolo5">
    <w:name w:val="heading 5"/>
    <w:basedOn w:val="Normale"/>
    <w:next w:val="Normale"/>
    <w:link w:val="Titolo5Carattere"/>
    <w:qFormat/>
    <w:rsid w:val="007411A1"/>
    <w:pPr>
      <w:spacing w:before="240" w:after="60"/>
      <w:outlineLvl w:val="4"/>
    </w:pPr>
    <w:rPr>
      <w:rFonts w:ascii="Calibri" w:hAnsi="Calibri"/>
      <w:b/>
      <w:bCs/>
      <w:i/>
      <w:iCs/>
      <w:sz w:val="26"/>
      <w:szCs w:val="26"/>
    </w:rPr>
  </w:style>
  <w:style w:type="paragraph" w:styleId="Titolo6">
    <w:name w:val="heading 6"/>
    <w:basedOn w:val="Normale"/>
    <w:next w:val="Normale"/>
    <w:link w:val="Titolo6Carattere"/>
    <w:qFormat/>
    <w:rsid w:val="007411A1"/>
    <w:pPr>
      <w:spacing w:before="240" w:after="60"/>
      <w:outlineLvl w:val="5"/>
    </w:pPr>
    <w:rPr>
      <w:rFonts w:ascii="Calibri" w:hAnsi="Calibri"/>
      <w:b/>
      <w:bCs/>
      <w:sz w:val="22"/>
      <w:szCs w:val="22"/>
    </w:rPr>
  </w:style>
  <w:style w:type="paragraph" w:styleId="Titolo7">
    <w:name w:val="heading 7"/>
    <w:basedOn w:val="Normale"/>
    <w:next w:val="Normale"/>
    <w:link w:val="Titolo7Carattere"/>
    <w:qFormat/>
    <w:rsid w:val="007411A1"/>
    <w:pPr>
      <w:spacing w:before="240" w:after="60"/>
      <w:outlineLvl w:val="6"/>
    </w:pPr>
    <w:rPr>
      <w:rFonts w:ascii="Calibri" w:hAnsi="Calibri"/>
      <w:szCs w:val="24"/>
    </w:rPr>
  </w:style>
  <w:style w:type="paragraph" w:styleId="Titolo8">
    <w:name w:val="heading 8"/>
    <w:basedOn w:val="Normale"/>
    <w:next w:val="Normale"/>
    <w:link w:val="Titolo8Carattere"/>
    <w:qFormat/>
    <w:rsid w:val="007411A1"/>
    <w:pPr>
      <w:spacing w:before="240" w:after="60"/>
      <w:outlineLvl w:val="7"/>
    </w:pPr>
    <w:rPr>
      <w:rFonts w:ascii="Calibri" w:hAnsi="Calibri"/>
      <w:i/>
      <w:iCs/>
      <w:szCs w:val="24"/>
    </w:rPr>
  </w:style>
  <w:style w:type="paragraph" w:styleId="Titolo9">
    <w:name w:val="heading 9"/>
    <w:basedOn w:val="Normale"/>
    <w:next w:val="Normale"/>
    <w:link w:val="Titolo9Carattere"/>
    <w:qFormat/>
    <w:rsid w:val="007411A1"/>
    <w:pPr>
      <w:spacing w:before="240" w:after="60"/>
      <w:outlineLvl w:val="8"/>
    </w:pPr>
    <w:rPr>
      <w:rFonts w:ascii="Cambria" w:hAnsi="Cambria"/>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semiHidden/>
    <w:rsid w:val="00477182"/>
  </w:style>
  <w:style w:type="character" w:customStyle="1" w:styleId="Titolo1Carattere">
    <w:name w:val="Titolo 1 Carattere"/>
    <w:link w:val="Titolo1"/>
    <w:semiHidden/>
    <w:rsid w:val="00FF04E3"/>
    <w:rPr>
      <w:b/>
      <w:bCs/>
      <w:kern w:val="32"/>
      <w:sz w:val="24"/>
      <w:szCs w:val="24"/>
    </w:rPr>
  </w:style>
  <w:style w:type="character" w:customStyle="1" w:styleId="Titolo2Carattere">
    <w:name w:val="Titolo 2 Carattere"/>
    <w:link w:val="Titolo2"/>
    <w:semiHidden/>
    <w:rsid w:val="00FF04E3"/>
    <w:rPr>
      <w:rFonts w:ascii="Cambria" w:hAnsi="Cambria"/>
      <w:b/>
      <w:bCs/>
      <w:i/>
      <w:iCs/>
      <w:sz w:val="28"/>
      <w:szCs w:val="28"/>
    </w:rPr>
  </w:style>
  <w:style w:type="character" w:customStyle="1" w:styleId="Titolo5Carattere">
    <w:name w:val="Titolo 5 Carattere"/>
    <w:link w:val="Titolo5"/>
    <w:semiHidden/>
    <w:rsid w:val="00FF04E3"/>
    <w:rPr>
      <w:rFonts w:ascii="Calibri" w:hAnsi="Calibri"/>
      <w:b/>
      <w:bCs/>
      <w:i/>
      <w:iCs/>
      <w:sz w:val="26"/>
      <w:szCs w:val="26"/>
    </w:rPr>
  </w:style>
  <w:style w:type="character" w:customStyle="1" w:styleId="Titolo6Carattere">
    <w:name w:val="Titolo 6 Carattere"/>
    <w:link w:val="Titolo6"/>
    <w:semiHidden/>
    <w:rsid w:val="00FF04E3"/>
    <w:rPr>
      <w:rFonts w:ascii="Calibri" w:hAnsi="Calibri"/>
      <w:b/>
      <w:bCs/>
      <w:sz w:val="22"/>
      <w:szCs w:val="22"/>
    </w:rPr>
  </w:style>
  <w:style w:type="character" w:customStyle="1" w:styleId="Titolo7Carattere">
    <w:name w:val="Titolo 7 Carattere"/>
    <w:link w:val="Titolo7"/>
    <w:semiHidden/>
    <w:rsid w:val="00FF04E3"/>
    <w:rPr>
      <w:rFonts w:ascii="Calibri" w:hAnsi="Calibri"/>
      <w:sz w:val="24"/>
      <w:szCs w:val="24"/>
    </w:rPr>
  </w:style>
  <w:style w:type="character" w:customStyle="1" w:styleId="Titolo8Carattere">
    <w:name w:val="Titolo 8 Carattere"/>
    <w:link w:val="Titolo8"/>
    <w:semiHidden/>
    <w:rsid w:val="00FF04E3"/>
    <w:rPr>
      <w:rFonts w:ascii="Calibri" w:hAnsi="Calibri"/>
      <w:i/>
      <w:iCs/>
      <w:sz w:val="24"/>
      <w:szCs w:val="24"/>
    </w:rPr>
  </w:style>
  <w:style w:type="character" w:customStyle="1" w:styleId="Titolo9Carattere">
    <w:name w:val="Titolo 9 Carattere"/>
    <w:link w:val="Titolo9"/>
    <w:semiHidden/>
    <w:rsid w:val="00FF04E3"/>
    <w:rPr>
      <w:rFonts w:ascii="Cambria" w:hAnsi="Cambria"/>
      <w:sz w:val="22"/>
      <w:szCs w:val="22"/>
    </w:rPr>
  </w:style>
  <w:style w:type="paragraph" w:customStyle="1" w:styleId="SMHeading">
    <w:name w:val="SM Heading"/>
    <w:basedOn w:val="Titolo1"/>
    <w:qFormat/>
    <w:rsid w:val="00F74F95"/>
  </w:style>
  <w:style w:type="paragraph" w:customStyle="1" w:styleId="SMSubheading">
    <w:name w:val="SM Subheading"/>
    <w:basedOn w:val="Normale"/>
    <w:qFormat/>
    <w:rsid w:val="00B9440A"/>
    <w:rPr>
      <w:u w:val="words"/>
    </w:rPr>
  </w:style>
  <w:style w:type="paragraph" w:customStyle="1" w:styleId="SMText">
    <w:name w:val="SM Text"/>
    <w:basedOn w:val="Normale"/>
    <w:qFormat/>
    <w:rsid w:val="00B9440A"/>
    <w:pPr>
      <w:ind w:firstLine="480"/>
    </w:pPr>
  </w:style>
  <w:style w:type="paragraph" w:customStyle="1" w:styleId="SMcaption">
    <w:name w:val="SM caption"/>
    <w:basedOn w:val="SMText"/>
    <w:qFormat/>
    <w:rsid w:val="00B9440A"/>
    <w:pPr>
      <w:ind w:firstLine="0"/>
    </w:pPr>
  </w:style>
  <w:style w:type="paragraph" w:styleId="Testofumetto">
    <w:name w:val="Balloon Text"/>
    <w:basedOn w:val="Normale"/>
    <w:link w:val="TestofumettoCarattere"/>
    <w:semiHidden/>
    <w:rsid w:val="00405336"/>
    <w:rPr>
      <w:rFonts w:ascii="Tahoma" w:hAnsi="Tahoma"/>
      <w:sz w:val="16"/>
      <w:szCs w:val="16"/>
    </w:rPr>
  </w:style>
  <w:style w:type="character" w:customStyle="1" w:styleId="TestofumettoCarattere">
    <w:name w:val="Testo fumetto Carattere"/>
    <w:link w:val="Testofumetto"/>
    <w:semiHidden/>
    <w:rsid w:val="00FF04E3"/>
    <w:rPr>
      <w:rFonts w:ascii="Tahoma" w:hAnsi="Tahoma" w:cs="Tahoma"/>
      <w:sz w:val="16"/>
      <w:szCs w:val="16"/>
    </w:rPr>
  </w:style>
  <w:style w:type="paragraph" w:customStyle="1" w:styleId="Grigliatab21">
    <w:name w:val="Griglia tab. 21"/>
    <w:basedOn w:val="Normale"/>
    <w:next w:val="Normale"/>
    <w:uiPriority w:val="37"/>
    <w:semiHidden/>
    <w:rsid w:val="00405336"/>
  </w:style>
  <w:style w:type="paragraph" w:styleId="Testodelblocco">
    <w:name w:val="Block Text"/>
    <w:basedOn w:val="Normale"/>
    <w:semiHidden/>
    <w:rsid w:val="00405336"/>
    <w:pPr>
      <w:spacing w:after="120"/>
      <w:ind w:left="1440" w:right="1440"/>
    </w:pPr>
  </w:style>
  <w:style w:type="paragraph" w:styleId="Corpotesto">
    <w:name w:val="Body Text"/>
    <w:basedOn w:val="Normale"/>
    <w:link w:val="CorpotestoCarattere"/>
    <w:semiHidden/>
    <w:rsid w:val="00405336"/>
    <w:pPr>
      <w:spacing w:after="120"/>
    </w:pPr>
  </w:style>
  <w:style w:type="character" w:customStyle="1" w:styleId="CorpotestoCarattere">
    <w:name w:val="Corpo testo Carattere"/>
    <w:link w:val="Corpotesto"/>
    <w:semiHidden/>
    <w:rsid w:val="00FF04E3"/>
    <w:rPr>
      <w:sz w:val="24"/>
    </w:rPr>
  </w:style>
  <w:style w:type="paragraph" w:styleId="Corpodeltesto2">
    <w:name w:val="Body Text 2"/>
    <w:basedOn w:val="Normale"/>
    <w:link w:val="Corpodeltesto2Carattere"/>
    <w:semiHidden/>
    <w:rsid w:val="00405336"/>
    <w:pPr>
      <w:spacing w:after="120" w:line="480" w:lineRule="auto"/>
    </w:pPr>
  </w:style>
  <w:style w:type="character" w:customStyle="1" w:styleId="Corpodeltesto2Carattere">
    <w:name w:val="Corpo del testo 2 Carattere"/>
    <w:link w:val="Corpodeltesto2"/>
    <w:semiHidden/>
    <w:rsid w:val="00FF04E3"/>
    <w:rPr>
      <w:sz w:val="24"/>
    </w:rPr>
  </w:style>
  <w:style w:type="paragraph" w:styleId="Corpodeltesto3">
    <w:name w:val="Body Text 3"/>
    <w:basedOn w:val="Normale"/>
    <w:link w:val="Corpodeltesto3Carattere"/>
    <w:semiHidden/>
    <w:rsid w:val="00405336"/>
    <w:pPr>
      <w:spacing w:after="120"/>
    </w:pPr>
    <w:rPr>
      <w:sz w:val="16"/>
      <w:szCs w:val="16"/>
    </w:rPr>
  </w:style>
  <w:style w:type="character" w:customStyle="1" w:styleId="Corpodeltesto3Carattere">
    <w:name w:val="Corpo del testo 3 Carattere"/>
    <w:link w:val="Corpodeltesto3"/>
    <w:semiHidden/>
    <w:rsid w:val="00FF04E3"/>
    <w:rPr>
      <w:sz w:val="16"/>
      <w:szCs w:val="16"/>
    </w:rPr>
  </w:style>
  <w:style w:type="paragraph" w:styleId="Primorientrocorpodeltesto">
    <w:name w:val="Body Text First Indent"/>
    <w:basedOn w:val="Corpotesto"/>
    <w:link w:val="PrimorientrocorpodeltestoCarattere"/>
    <w:semiHidden/>
    <w:rsid w:val="00405336"/>
    <w:pPr>
      <w:ind w:firstLine="210"/>
    </w:pPr>
  </w:style>
  <w:style w:type="character" w:customStyle="1" w:styleId="PrimorientrocorpodeltestoCarattere">
    <w:name w:val="Primo rientro corpo del testo Carattere"/>
    <w:link w:val="Primorientrocorpodeltesto"/>
    <w:semiHidden/>
    <w:rsid w:val="00FF04E3"/>
    <w:rPr>
      <w:sz w:val="24"/>
    </w:rPr>
  </w:style>
  <w:style w:type="paragraph" w:styleId="Rientrocorpodeltesto">
    <w:name w:val="Body Text Indent"/>
    <w:basedOn w:val="Normale"/>
    <w:link w:val="RientrocorpodeltestoCarattere"/>
    <w:semiHidden/>
    <w:rsid w:val="00405336"/>
    <w:pPr>
      <w:spacing w:after="120"/>
      <w:ind w:left="360"/>
    </w:pPr>
  </w:style>
  <w:style w:type="character" w:customStyle="1" w:styleId="RientrocorpodeltestoCarattere">
    <w:name w:val="Rientro corpo del testo Carattere"/>
    <w:link w:val="Rientrocorpodeltesto"/>
    <w:semiHidden/>
    <w:rsid w:val="00FF04E3"/>
    <w:rPr>
      <w:sz w:val="24"/>
    </w:rPr>
  </w:style>
  <w:style w:type="paragraph" w:styleId="Primorientrocorpodeltesto2">
    <w:name w:val="Body Text First Indent 2"/>
    <w:basedOn w:val="Rientrocorpodeltesto"/>
    <w:link w:val="Primorientrocorpodeltesto2Carattere"/>
    <w:semiHidden/>
    <w:rsid w:val="00405336"/>
    <w:pPr>
      <w:ind w:firstLine="210"/>
    </w:pPr>
  </w:style>
  <w:style w:type="character" w:customStyle="1" w:styleId="Primorientrocorpodeltesto2Carattere">
    <w:name w:val="Primo rientro corpo del testo 2 Carattere"/>
    <w:link w:val="Primorientrocorpodeltesto2"/>
    <w:semiHidden/>
    <w:rsid w:val="00FF04E3"/>
    <w:rPr>
      <w:sz w:val="24"/>
    </w:rPr>
  </w:style>
  <w:style w:type="paragraph" w:styleId="Rientrocorpodeltesto2">
    <w:name w:val="Body Text Indent 2"/>
    <w:basedOn w:val="Normale"/>
    <w:link w:val="Rientrocorpodeltesto2Carattere"/>
    <w:semiHidden/>
    <w:rsid w:val="00405336"/>
    <w:pPr>
      <w:spacing w:after="120" w:line="480" w:lineRule="auto"/>
      <w:ind w:left="360"/>
    </w:pPr>
  </w:style>
  <w:style w:type="character" w:customStyle="1" w:styleId="Rientrocorpodeltesto2Carattere">
    <w:name w:val="Rientro corpo del testo 2 Carattere"/>
    <w:link w:val="Rientrocorpodeltesto2"/>
    <w:semiHidden/>
    <w:rsid w:val="00FF04E3"/>
    <w:rPr>
      <w:sz w:val="24"/>
    </w:rPr>
  </w:style>
  <w:style w:type="paragraph" w:styleId="Rientrocorpodeltesto3">
    <w:name w:val="Body Text Indent 3"/>
    <w:basedOn w:val="Normale"/>
    <w:link w:val="Rientrocorpodeltesto3Carattere"/>
    <w:semiHidden/>
    <w:rsid w:val="00405336"/>
    <w:pPr>
      <w:spacing w:after="120"/>
      <w:ind w:left="360"/>
    </w:pPr>
    <w:rPr>
      <w:sz w:val="16"/>
      <w:szCs w:val="16"/>
    </w:rPr>
  </w:style>
  <w:style w:type="character" w:customStyle="1" w:styleId="Rientrocorpodeltesto3Carattere">
    <w:name w:val="Rientro corpo del testo 3 Carattere"/>
    <w:link w:val="Rientrocorpodeltesto3"/>
    <w:semiHidden/>
    <w:rsid w:val="00FF04E3"/>
    <w:rPr>
      <w:sz w:val="16"/>
      <w:szCs w:val="16"/>
    </w:rPr>
  </w:style>
  <w:style w:type="paragraph" w:styleId="Didascalia">
    <w:name w:val="caption"/>
    <w:basedOn w:val="Normale"/>
    <w:next w:val="Normale"/>
    <w:qFormat/>
    <w:rsid w:val="00405336"/>
    <w:rPr>
      <w:b/>
      <w:bCs/>
      <w:sz w:val="20"/>
    </w:rPr>
  </w:style>
  <w:style w:type="paragraph" w:styleId="Formuladichiusura">
    <w:name w:val="Closing"/>
    <w:basedOn w:val="Normale"/>
    <w:link w:val="FormuladichiusuraCarattere"/>
    <w:semiHidden/>
    <w:rsid w:val="00405336"/>
    <w:pPr>
      <w:ind w:left="4320"/>
    </w:pPr>
  </w:style>
  <w:style w:type="character" w:customStyle="1" w:styleId="FormuladichiusuraCarattere">
    <w:name w:val="Formula di chiusura Carattere"/>
    <w:link w:val="Formuladichiusura"/>
    <w:semiHidden/>
    <w:rsid w:val="00FF04E3"/>
    <w:rPr>
      <w:sz w:val="24"/>
    </w:rPr>
  </w:style>
  <w:style w:type="paragraph" w:styleId="Testocommento">
    <w:name w:val="annotation text"/>
    <w:basedOn w:val="Normale"/>
    <w:link w:val="TestocommentoCarattere"/>
    <w:uiPriority w:val="99"/>
    <w:semiHidden/>
    <w:rsid w:val="00405336"/>
    <w:rPr>
      <w:sz w:val="20"/>
    </w:rPr>
  </w:style>
  <w:style w:type="character" w:customStyle="1" w:styleId="TestocommentoCarattere">
    <w:name w:val="Testo commento Carattere"/>
    <w:basedOn w:val="Carpredefinitoparagrafo"/>
    <w:link w:val="Testocommento"/>
    <w:uiPriority w:val="99"/>
    <w:semiHidden/>
    <w:rsid w:val="00FF04E3"/>
  </w:style>
  <w:style w:type="paragraph" w:styleId="Soggettocommento">
    <w:name w:val="annotation subject"/>
    <w:basedOn w:val="Testocommento"/>
    <w:next w:val="Testocommento"/>
    <w:link w:val="SoggettocommentoCarattere"/>
    <w:semiHidden/>
    <w:rsid w:val="00405336"/>
    <w:rPr>
      <w:b/>
      <w:bCs/>
    </w:rPr>
  </w:style>
  <w:style w:type="character" w:customStyle="1" w:styleId="SoggettocommentoCarattere">
    <w:name w:val="Soggetto commento Carattere"/>
    <w:link w:val="Soggettocommento"/>
    <w:semiHidden/>
    <w:rsid w:val="00FF04E3"/>
    <w:rPr>
      <w:b/>
      <w:bCs/>
    </w:rPr>
  </w:style>
  <w:style w:type="paragraph" w:styleId="Data">
    <w:name w:val="Date"/>
    <w:basedOn w:val="Normale"/>
    <w:next w:val="Normale"/>
    <w:link w:val="DataCarattere"/>
    <w:semiHidden/>
    <w:rsid w:val="00405336"/>
  </w:style>
  <w:style w:type="character" w:customStyle="1" w:styleId="DataCarattere">
    <w:name w:val="Data Carattere"/>
    <w:link w:val="Data"/>
    <w:semiHidden/>
    <w:rsid w:val="00FF04E3"/>
    <w:rPr>
      <w:sz w:val="24"/>
    </w:rPr>
  </w:style>
  <w:style w:type="paragraph" w:styleId="Mappadocumento">
    <w:name w:val="Document Map"/>
    <w:basedOn w:val="Normale"/>
    <w:link w:val="MappadocumentoCarattere"/>
    <w:semiHidden/>
    <w:rsid w:val="00405336"/>
    <w:rPr>
      <w:rFonts w:ascii="Tahoma" w:hAnsi="Tahoma"/>
      <w:sz w:val="16"/>
      <w:szCs w:val="16"/>
    </w:rPr>
  </w:style>
  <w:style w:type="character" w:customStyle="1" w:styleId="MappadocumentoCarattere">
    <w:name w:val="Mappa documento Carattere"/>
    <w:link w:val="Mappadocumento"/>
    <w:semiHidden/>
    <w:rsid w:val="00FF04E3"/>
    <w:rPr>
      <w:rFonts w:ascii="Tahoma" w:hAnsi="Tahoma" w:cs="Tahoma"/>
      <w:sz w:val="16"/>
      <w:szCs w:val="16"/>
    </w:rPr>
  </w:style>
  <w:style w:type="paragraph" w:styleId="Firmadipostaelettronica">
    <w:name w:val="E-mail Signature"/>
    <w:basedOn w:val="Normale"/>
    <w:link w:val="FirmadipostaelettronicaCarattere"/>
    <w:semiHidden/>
    <w:rsid w:val="00405336"/>
  </w:style>
  <w:style w:type="character" w:customStyle="1" w:styleId="FirmadipostaelettronicaCarattere">
    <w:name w:val="Firma di posta elettronica Carattere"/>
    <w:link w:val="Firmadipostaelettronica"/>
    <w:semiHidden/>
    <w:rsid w:val="00FF04E3"/>
    <w:rPr>
      <w:sz w:val="24"/>
    </w:rPr>
  </w:style>
  <w:style w:type="paragraph" w:styleId="Testonotadichiusura">
    <w:name w:val="endnote text"/>
    <w:basedOn w:val="Normale"/>
    <w:link w:val="TestonotadichiusuraCarattere"/>
    <w:semiHidden/>
    <w:rsid w:val="00405336"/>
    <w:rPr>
      <w:sz w:val="20"/>
    </w:rPr>
  </w:style>
  <w:style w:type="character" w:customStyle="1" w:styleId="TestonotadichiusuraCarattere">
    <w:name w:val="Testo nota di chiusura Carattere"/>
    <w:basedOn w:val="Carpredefinitoparagrafo"/>
    <w:link w:val="Testonotadichiusura"/>
    <w:semiHidden/>
    <w:rsid w:val="00FF04E3"/>
  </w:style>
  <w:style w:type="paragraph" w:styleId="Indirizzodestinatario">
    <w:name w:val="envelope address"/>
    <w:basedOn w:val="Normale"/>
    <w:semiHidden/>
    <w:rsid w:val="00405336"/>
    <w:pPr>
      <w:framePr w:w="7920" w:h="1980" w:hRule="exact" w:hSpace="180" w:wrap="auto" w:hAnchor="page" w:xAlign="center" w:yAlign="bottom"/>
      <w:ind w:left="2880"/>
    </w:pPr>
    <w:rPr>
      <w:rFonts w:ascii="Cambria" w:hAnsi="Cambria"/>
      <w:szCs w:val="24"/>
    </w:rPr>
  </w:style>
  <w:style w:type="paragraph" w:styleId="Indirizzomittente">
    <w:name w:val="envelope return"/>
    <w:basedOn w:val="Normale"/>
    <w:semiHidden/>
    <w:rsid w:val="00405336"/>
    <w:rPr>
      <w:rFonts w:ascii="Cambria" w:hAnsi="Cambria"/>
      <w:sz w:val="20"/>
    </w:rPr>
  </w:style>
  <w:style w:type="paragraph" w:styleId="Pidipagina">
    <w:name w:val="footer"/>
    <w:basedOn w:val="Normale"/>
    <w:link w:val="PidipaginaCarattere"/>
    <w:semiHidden/>
    <w:rsid w:val="00405336"/>
    <w:pPr>
      <w:tabs>
        <w:tab w:val="center" w:pos="4680"/>
        <w:tab w:val="right" w:pos="9360"/>
      </w:tabs>
    </w:pPr>
  </w:style>
  <w:style w:type="character" w:customStyle="1" w:styleId="PidipaginaCarattere">
    <w:name w:val="Piè di pagina Carattere"/>
    <w:link w:val="Pidipagina"/>
    <w:semiHidden/>
    <w:rsid w:val="00FF04E3"/>
    <w:rPr>
      <w:sz w:val="24"/>
    </w:rPr>
  </w:style>
  <w:style w:type="paragraph" w:styleId="Testonotaapidipagina">
    <w:name w:val="footnote text"/>
    <w:basedOn w:val="Normale"/>
    <w:link w:val="TestonotaapidipaginaCarattere"/>
    <w:semiHidden/>
    <w:rsid w:val="00405336"/>
    <w:rPr>
      <w:sz w:val="20"/>
    </w:rPr>
  </w:style>
  <w:style w:type="character" w:customStyle="1" w:styleId="TestonotaapidipaginaCarattere">
    <w:name w:val="Testo nota a piè di pagina Carattere"/>
    <w:basedOn w:val="Carpredefinitoparagrafo"/>
    <w:link w:val="Testonotaapidipagina"/>
    <w:semiHidden/>
    <w:rsid w:val="00FF04E3"/>
  </w:style>
  <w:style w:type="paragraph" w:styleId="Intestazione">
    <w:name w:val="header"/>
    <w:basedOn w:val="Normale"/>
    <w:link w:val="IntestazioneCarattere"/>
    <w:semiHidden/>
    <w:rsid w:val="00405336"/>
    <w:pPr>
      <w:tabs>
        <w:tab w:val="center" w:pos="4680"/>
        <w:tab w:val="right" w:pos="9360"/>
      </w:tabs>
    </w:pPr>
  </w:style>
  <w:style w:type="character" w:customStyle="1" w:styleId="IntestazioneCarattere">
    <w:name w:val="Intestazione Carattere"/>
    <w:link w:val="Intestazione"/>
    <w:semiHidden/>
    <w:rsid w:val="00FF04E3"/>
    <w:rPr>
      <w:sz w:val="24"/>
    </w:rPr>
  </w:style>
  <w:style w:type="paragraph" w:styleId="IndirizzoHTML">
    <w:name w:val="HTML Address"/>
    <w:basedOn w:val="Normale"/>
    <w:link w:val="IndirizzoHTMLCarattere"/>
    <w:semiHidden/>
    <w:rsid w:val="00405336"/>
    <w:rPr>
      <w:i/>
      <w:iCs/>
    </w:rPr>
  </w:style>
  <w:style w:type="character" w:customStyle="1" w:styleId="IndirizzoHTMLCarattere">
    <w:name w:val="Indirizzo HTML Carattere"/>
    <w:link w:val="IndirizzoHTML"/>
    <w:semiHidden/>
    <w:rsid w:val="00FF04E3"/>
    <w:rPr>
      <w:i/>
      <w:iCs/>
      <w:sz w:val="24"/>
    </w:rPr>
  </w:style>
  <w:style w:type="paragraph" w:styleId="PreformattatoHTML">
    <w:name w:val="HTML Preformatted"/>
    <w:basedOn w:val="Normale"/>
    <w:link w:val="PreformattatoHTMLCarattere"/>
    <w:semiHidden/>
    <w:rsid w:val="00405336"/>
    <w:rPr>
      <w:rFonts w:ascii="Courier New" w:hAnsi="Courier New"/>
      <w:sz w:val="20"/>
    </w:rPr>
  </w:style>
  <w:style w:type="character" w:customStyle="1" w:styleId="PreformattatoHTMLCarattere">
    <w:name w:val="Preformattato HTML Carattere"/>
    <w:link w:val="PreformattatoHTML"/>
    <w:semiHidden/>
    <w:rsid w:val="00FF04E3"/>
    <w:rPr>
      <w:rFonts w:ascii="Courier New" w:hAnsi="Courier New" w:cs="Courier New"/>
    </w:rPr>
  </w:style>
  <w:style w:type="paragraph" w:styleId="Indice1">
    <w:name w:val="index 1"/>
    <w:basedOn w:val="Normale"/>
    <w:next w:val="Normale"/>
    <w:autoRedefine/>
    <w:semiHidden/>
    <w:rsid w:val="00405336"/>
    <w:pPr>
      <w:ind w:left="240" w:hanging="240"/>
    </w:pPr>
  </w:style>
  <w:style w:type="paragraph" w:styleId="Indice2">
    <w:name w:val="index 2"/>
    <w:basedOn w:val="Normale"/>
    <w:next w:val="Normale"/>
    <w:autoRedefine/>
    <w:semiHidden/>
    <w:rsid w:val="00405336"/>
    <w:pPr>
      <w:ind w:left="480" w:hanging="240"/>
    </w:pPr>
  </w:style>
  <w:style w:type="paragraph" w:styleId="Indice3">
    <w:name w:val="index 3"/>
    <w:basedOn w:val="Normale"/>
    <w:next w:val="Normale"/>
    <w:autoRedefine/>
    <w:semiHidden/>
    <w:rsid w:val="00405336"/>
    <w:pPr>
      <w:ind w:left="720" w:hanging="240"/>
    </w:pPr>
  </w:style>
  <w:style w:type="paragraph" w:styleId="Indice4">
    <w:name w:val="index 4"/>
    <w:basedOn w:val="Normale"/>
    <w:next w:val="Normale"/>
    <w:autoRedefine/>
    <w:semiHidden/>
    <w:rsid w:val="00405336"/>
    <w:pPr>
      <w:ind w:left="960" w:hanging="240"/>
    </w:pPr>
  </w:style>
  <w:style w:type="paragraph" w:styleId="Indice5">
    <w:name w:val="index 5"/>
    <w:basedOn w:val="Normale"/>
    <w:next w:val="Normale"/>
    <w:autoRedefine/>
    <w:semiHidden/>
    <w:rsid w:val="00405336"/>
    <w:pPr>
      <w:ind w:left="1200" w:hanging="240"/>
    </w:pPr>
  </w:style>
  <w:style w:type="paragraph" w:styleId="Indice6">
    <w:name w:val="index 6"/>
    <w:basedOn w:val="Normale"/>
    <w:next w:val="Normale"/>
    <w:autoRedefine/>
    <w:semiHidden/>
    <w:rsid w:val="00405336"/>
    <w:pPr>
      <w:ind w:left="1440" w:hanging="240"/>
    </w:pPr>
  </w:style>
  <w:style w:type="paragraph" w:styleId="Indice7">
    <w:name w:val="index 7"/>
    <w:basedOn w:val="Normale"/>
    <w:next w:val="Normale"/>
    <w:autoRedefine/>
    <w:semiHidden/>
    <w:rsid w:val="00405336"/>
    <w:pPr>
      <w:ind w:left="1680" w:hanging="240"/>
    </w:pPr>
  </w:style>
  <w:style w:type="paragraph" w:styleId="Indice8">
    <w:name w:val="index 8"/>
    <w:basedOn w:val="Normale"/>
    <w:next w:val="Normale"/>
    <w:autoRedefine/>
    <w:semiHidden/>
    <w:rsid w:val="00405336"/>
    <w:pPr>
      <w:ind w:left="1920" w:hanging="240"/>
    </w:pPr>
  </w:style>
  <w:style w:type="paragraph" w:styleId="Indice9">
    <w:name w:val="index 9"/>
    <w:basedOn w:val="Normale"/>
    <w:next w:val="Normale"/>
    <w:autoRedefine/>
    <w:semiHidden/>
    <w:rsid w:val="00405336"/>
    <w:pPr>
      <w:ind w:left="2160" w:hanging="240"/>
    </w:pPr>
  </w:style>
  <w:style w:type="paragraph" w:styleId="Titoloindice">
    <w:name w:val="index heading"/>
    <w:basedOn w:val="Normale"/>
    <w:next w:val="Indice1"/>
    <w:semiHidden/>
    <w:rsid w:val="00405336"/>
    <w:rPr>
      <w:rFonts w:ascii="Cambria" w:hAnsi="Cambria"/>
      <w:b/>
      <w:bCs/>
    </w:rPr>
  </w:style>
  <w:style w:type="paragraph" w:customStyle="1" w:styleId="Grigliaacolori-Colore31">
    <w:name w:val="Griglia a colori - Colore 31"/>
    <w:basedOn w:val="Normale"/>
    <w:next w:val="Normale"/>
    <w:link w:val="Grigliaacolori-Colore3Carattere"/>
    <w:uiPriority w:val="30"/>
    <w:semiHidden/>
    <w:qFormat/>
    <w:rsid w:val="00405336"/>
    <w:pPr>
      <w:pBdr>
        <w:bottom w:val="single" w:sz="4" w:space="4" w:color="4F81BD"/>
      </w:pBdr>
      <w:spacing w:before="200" w:after="280"/>
      <w:ind w:left="936" w:right="936"/>
    </w:pPr>
    <w:rPr>
      <w:b/>
      <w:bCs/>
      <w:i/>
      <w:iCs/>
      <w:color w:val="4F81BD"/>
    </w:rPr>
  </w:style>
  <w:style w:type="character" w:customStyle="1" w:styleId="Grigliaacolori-Colore3Carattere">
    <w:name w:val="Griglia a colori - Colore 3 Carattere"/>
    <w:link w:val="Grigliaacolori-Colore31"/>
    <w:uiPriority w:val="30"/>
    <w:semiHidden/>
    <w:rsid w:val="00FF04E3"/>
    <w:rPr>
      <w:b/>
      <w:bCs/>
      <w:i/>
      <w:iCs/>
      <w:color w:val="4F81BD"/>
      <w:sz w:val="24"/>
    </w:rPr>
  </w:style>
  <w:style w:type="paragraph" w:styleId="Elenco">
    <w:name w:val="List"/>
    <w:basedOn w:val="Normale"/>
    <w:semiHidden/>
    <w:rsid w:val="00405336"/>
    <w:pPr>
      <w:ind w:left="360" w:hanging="360"/>
      <w:contextualSpacing/>
    </w:pPr>
  </w:style>
  <w:style w:type="paragraph" w:styleId="Elenco2">
    <w:name w:val="List 2"/>
    <w:basedOn w:val="Normale"/>
    <w:semiHidden/>
    <w:rsid w:val="00405336"/>
    <w:pPr>
      <w:ind w:left="720" w:hanging="360"/>
      <w:contextualSpacing/>
    </w:pPr>
  </w:style>
  <w:style w:type="paragraph" w:styleId="Elenco3">
    <w:name w:val="List 3"/>
    <w:basedOn w:val="Normale"/>
    <w:semiHidden/>
    <w:rsid w:val="00405336"/>
    <w:pPr>
      <w:ind w:left="1080" w:hanging="360"/>
      <w:contextualSpacing/>
    </w:pPr>
  </w:style>
  <w:style w:type="paragraph" w:styleId="Elenco4">
    <w:name w:val="List 4"/>
    <w:basedOn w:val="Normale"/>
    <w:semiHidden/>
    <w:rsid w:val="00405336"/>
    <w:pPr>
      <w:ind w:left="1440" w:hanging="360"/>
      <w:contextualSpacing/>
    </w:pPr>
  </w:style>
  <w:style w:type="paragraph" w:styleId="Elenco5">
    <w:name w:val="List 5"/>
    <w:basedOn w:val="Normale"/>
    <w:semiHidden/>
    <w:rsid w:val="00405336"/>
    <w:pPr>
      <w:ind w:left="1800" w:hanging="360"/>
      <w:contextualSpacing/>
    </w:pPr>
  </w:style>
  <w:style w:type="paragraph" w:styleId="Puntoelenco">
    <w:name w:val="List Bullet"/>
    <w:basedOn w:val="Normale"/>
    <w:semiHidden/>
    <w:rsid w:val="00405336"/>
    <w:pPr>
      <w:numPr>
        <w:numId w:val="1"/>
      </w:numPr>
      <w:contextualSpacing/>
    </w:pPr>
  </w:style>
  <w:style w:type="paragraph" w:styleId="Puntoelenco2">
    <w:name w:val="List Bullet 2"/>
    <w:basedOn w:val="Normale"/>
    <w:semiHidden/>
    <w:rsid w:val="00405336"/>
    <w:pPr>
      <w:numPr>
        <w:numId w:val="2"/>
      </w:numPr>
      <w:contextualSpacing/>
    </w:pPr>
  </w:style>
  <w:style w:type="paragraph" w:styleId="Puntoelenco3">
    <w:name w:val="List Bullet 3"/>
    <w:basedOn w:val="Normale"/>
    <w:semiHidden/>
    <w:rsid w:val="00405336"/>
    <w:pPr>
      <w:numPr>
        <w:numId w:val="3"/>
      </w:numPr>
      <w:contextualSpacing/>
    </w:pPr>
  </w:style>
  <w:style w:type="paragraph" w:styleId="Puntoelenco4">
    <w:name w:val="List Bullet 4"/>
    <w:basedOn w:val="Normale"/>
    <w:semiHidden/>
    <w:rsid w:val="00405336"/>
    <w:pPr>
      <w:numPr>
        <w:numId w:val="4"/>
      </w:numPr>
      <w:contextualSpacing/>
    </w:pPr>
  </w:style>
  <w:style w:type="paragraph" w:styleId="Puntoelenco5">
    <w:name w:val="List Bullet 5"/>
    <w:basedOn w:val="Normale"/>
    <w:semiHidden/>
    <w:rsid w:val="00405336"/>
    <w:pPr>
      <w:numPr>
        <w:numId w:val="5"/>
      </w:numPr>
      <w:contextualSpacing/>
    </w:pPr>
  </w:style>
  <w:style w:type="paragraph" w:styleId="Elencocontinua">
    <w:name w:val="List Continue"/>
    <w:basedOn w:val="Normale"/>
    <w:semiHidden/>
    <w:rsid w:val="00405336"/>
    <w:pPr>
      <w:spacing w:after="120"/>
      <w:ind w:left="360"/>
      <w:contextualSpacing/>
    </w:pPr>
  </w:style>
  <w:style w:type="paragraph" w:styleId="Elencocontinua2">
    <w:name w:val="List Continue 2"/>
    <w:basedOn w:val="Normale"/>
    <w:semiHidden/>
    <w:rsid w:val="00405336"/>
    <w:pPr>
      <w:spacing w:after="120"/>
      <w:ind w:left="720"/>
      <w:contextualSpacing/>
    </w:pPr>
  </w:style>
  <w:style w:type="paragraph" w:styleId="Elencocontinua3">
    <w:name w:val="List Continue 3"/>
    <w:basedOn w:val="Normale"/>
    <w:semiHidden/>
    <w:rsid w:val="00405336"/>
    <w:pPr>
      <w:spacing w:after="120"/>
      <w:ind w:left="1080"/>
      <w:contextualSpacing/>
    </w:pPr>
  </w:style>
  <w:style w:type="paragraph" w:styleId="Elencocontinua4">
    <w:name w:val="List Continue 4"/>
    <w:basedOn w:val="Normale"/>
    <w:semiHidden/>
    <w:rsid w:val="00405336"/>
    <w:pPr>
      <w:spacing w:after="120"/>
      <w:ind w:left="1440"/>
      <w:contextualSpacing/>
    </w:pPr>
  </w:style>
  <w:style w:type="paragraph" w:styleId="Elencocontinua5">
    <w:name w:val="List Continue 5"/>
    <w:basedOn w:val="Normale"/>
    <w:semiHidden/>
    <w:rsid w:val="00405336"/>
    <w:pPr>
      <w:spacing w:after="120"/>
      <w:ind w:left="1800"/>
      <w:contextualSpacing/>
    </w:pPr>
  </w:style>
  <w:style w:type="paragraph" w:styleId="Numeroelenco">
    <w:name w:val="List Number"/>
    <w:basedOn w:val="Normale"/>
    <w:semiHidden/>
    <w:rsid w:val="00405336"/>
    <w:pPr>
      <w:numPr>
        <w:numId w:val="6"/>
      </w:numPr>
      <w:contextualSpacing/>
    </w:pPr>
  </w:style>
  <w:style w:type="paragraph" w:styleId="Numeroelenco2">
    <w:name w:val="List Number 2"/>
    <w:basedOn w:val="Normale"/>
    <w:semiHidden/>
    <w:rsid w:val="00405336"/>
    <w:pPr>
      <w:numPr>
        <w:numId w:val="7"/>
      </w:numPr>
      <w:contextualSpacing/>
    </w:pPr>
  </w:style>
  <w:style w:type="paragraph" w:styleId="Numeroelenco3">
    <w:name w:val="List Number 3"/>
    <w:basedOn w:val="Normale"/>
    <w:semiHidden/>
    <w:rsid w:val="00405336"/>
    <w:pPr>
      <w:numPr>
        <w:numId w:val="8"/>
      </w:numPr>
      <w:contextualSpacing/>
    </w:pPr>
  </w:style>
  <w:style w:type="paragraph" w:styleId="Numeroelenco4">
    <w:name w:val="List Number 4"/>
    <w:basedOn w:val="Normale"/>
    <w:semiHidden/>
    <w:rsid w:val="00405336"/>
    <w:pPr>
      <w:numPr>
        <w:numId w:val="9"/>
      </w:numPr>
      <w:contextualSpacing/>
    </w:pPr>
  </w:style>
  <w:style w:type="paragraph" w:styleId="Numeroelenco5">
    <w:name w:val="List Number 5"/>
    <w:basedOn w:val="Normale"/>
    <w:semiHidden/>
    <w:rsid w:val="00405336"/>
    <w:pPr>
      <w:numPr>
        <w:numId w:val="10"/>
      </w:numPr>
      <w:contextualSpacing/>
    </w:pPr>
  </w:style>
  <w:style w:type="paragraph" w:customStyle="1" w:styleId="Sfondoacolori-Colore31">
    <w:name w:val="Sfondo a colori - Colore 31"/>
    <w:basedOn w:val="Normale"/>
    <w:uiPriority w:val="34"/>
    <w:semiHidden/>
    <w:qFormat/>
    <w:rsid w:val="00405336"/>
    <w:pPr>
      <w:ind w:left="720"/>
    </w:pPr>
  </w:style>
  <w:style w:type="paragraph" w:styleId="Testomacro">
    <w:name w:val="macro"/>
    <w:link w:val="TestomacroCaratter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stomacroCarattere">
    <w:name w:val="Testo macro Carattere"/>
    <w:link w:val="Testomacro"/>
    <w:semiHidden/>
    <w:rsid w:val="00FF04E3"/>
    <w:rPr>
      <w:rFonts w:ascii="Courier New" w:hAnsi="Courier New" w:cs="Courier New"/>
      <w:lang w:val="en-US" w:eastAsia="en-US" w:bidi="ar-SA"/>
    </w:rPr>
  </w:style>
  <w:style w:type="paragraph" w:styleId="Intestazionemessaggio">
    <w:name w:val="Message Header"/>
    <w:basedOn w:val="Normale"/>
    <w:link w:val="IntestazionemessaggioCarattere"/>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IntestazionemessaggioCarattere">
    <w:name w:val="Intestazione messaggio Carattere"/>
    <w:link w:val="Intestazionemessaggio"/>
    <w:semiHidden/>
    <w:rsid w:val="00FF04E3"/>
    <w:rPr>
      <w:rFonts w:ascii="Cambria" w:hAnsi="Cambria"/>
      <w:sz w:val="24"/>
      <w:szCs w:val="24"/>
      <w:shd w:val="pct20" w:color="auto" w:fill="auto"/>
    </w:rPr>
  </w:style>
  <w:style w:type="paragraph" w:customStyle="1" w:styleId="Sfondomedio1-Colore21">
    <w:name w:val="Sfondo medio 1 - Colore 21"/>
    <w:uiPriority w:val="1"/>
    <w:semiHidden/>
    <w:qFormat/>
    <w:rsid w:val="00405336"/>
    <w:rPr>
      <w:sz w:val="24"/>
      <w:lang w:val="en-US" w:eastAsia="en-US"/>
    </w:rPr>
  </w:style>
  <w:style w:type="paragraph" w:styleId="NormaleWeb">
    <w:name w:val="Normal (Web)"/>
    <w:basedOn w:val="Normale"/>
    <w:uiPriority w:val="99"/>
    <w:rsid w:val="00405336"/>
    <w:rPr>
      <w:szCs w:val="24"/>
    </w:rPr>
  </w:style>
  <w:style w:type="paragraph" w:styleId="Rientronormale">
    <w:name w:val="Normal Indent"/>
    <w:basedOn w:val="Normale"/>
    <w:semiHidden/>
    <w:rsid w:val="00405336"/>
    <w:pPr>
      <w:ind w:left="720"/>
    </w:pPr>
  </w:style>
  <w:style w:type="paragraph" w:styleId="Intestazionenota">
    <w:name w:val="Note Heading"/>
    <w:basedOn w:val="Normale"/>
    <w:next w:val="Normale"/>
    <w:link w:val="IntestazionenotaCarattere"/>
    <w:semiHidden/>
    <w:rsid w:val="00405336"/>
  </w:style>
  <w:style w:type="character" w:customStyle="1" w:styleId="IntestazionenotaCarattere">
    <w:name w:val="Intestazione nota Carattere"/>
    <w:link w:val="Intestazionenota"/>
    <w:semiHidden/>
    <w:rsid w:val="00FF04E3"/>
    <w:rPr>
      <w:sz w:val="24"/>
    </w:rPr>
  </w:style>
  <w:style w:type="paragraph" w:styleId="Testonormale">
    <w:name w:val="Plain Text"/>
    <w:basedOn w:val="Normale"/>
    <w:link w:val="TestonormaleCarattere"/>
    <w:semiHidden/>
    <w:rsid w:val="00405336"/>
    <w:rPr>
      <w:rFonts w:ascii="Courier New" w:hAnsi="Courier New"/>
      <w:sz w:val="20"/>
    </w:rPr>
  </w:style>
  <w:style w:type="character" w:customStyle="1" w:styleId="TestonormaleCarattere">
    <w:name w:val="Testo normale Carattere"/>
    <w:link w:val="Testonormale"/>
    <w:semiHidden/>
    <w:rsid w:val="00FF04E3"/>
    <w:rPr>
      <w:rFonts w:ascii="Courier New" w:hAnsi="Courier New" w:cs="Courier New"/>
    </w:rPr>
  </w:style>
  <w:style w:type="paragraph" w:customStyle="1" w:styleId="Elencoacolori-Colore31">
    <w:name w:val="Elenco a colori - Colore 31"/>
    <w:basedOn w:val="Normale"/>
    <w:next w:val="Normale"/>
    <w:link w:val="Elencoacolori-Colore3Carattere"/>
    <w:uiPriority w:val="29"/>
    <w:semiHidden/>
    <w:qFormat/>
    <w:rsid w:val="00405336"/>
    <w:rPr>
      <w:i/>
      <w:iCs/>
      <w:color w:val="000000"/>
    </w:rPr>
  </w:style>
  <w:style w:type="character" w:customStyle="1" w:styleId="Elencoacolori-Colore3Carattere">
    <w:name w:val="Elenco a colori - Colore 3 Carattere"/>
    <w:link w:val="Elencoacolori-Colore31"/>
    <w:uiPriority w:val="29"/>
    <w:semiHidden/>
    <w:rsid w:val="00FF04E3"/>
    <w:rPr>
      <w:i/>
      <w:iCs/>
      <w:color w:val="000000"/>
      <w:sz w:val="24"/>
    </w:rPr>
  </w:style>
  <w:style w:type="paragraph" w:styleId="Formuladiapertura">
    <w:name w:val="Salutation"/>
    <w:basedOn w:val="Normale"/>
    <w:next w:val="Normale"/>
    <w:link w:val="FormuladiaperturaCarattere"/>
    <w:semiHidden/>
    <w:rsid w:val="00405336"/>
  </w:style>
  <w:style w:type="character" w:customStyle="1" w:styleId="FormuladiaperturaCarattere">
    <w:name w:val="Formula di apertura Carattere"/>
    <w:link w:val="Formuladiapertura"/>
    <w:semiHidden/>
    <w:rsid w:val="00FF04E3"/>
    <w:rPr>
      <w:sz w:val="24"/>
    </w:rPr>
  </w:style>
  <w:style w:type="paragraph" w:styleId="Firma">
    <w:name w:val="Signature"/>
    <w:basedOn w:val="Normale"/>
    <w:link w:val="FirmaCarattere"/>
    <w:semiHidden/>
    <w:rsid w:val="00405336"/>
    <w:pPr>
      <w:ind w:left="4320"/>
    </w:pPr>
  </w:style>
  <w:style w:type="character" w:customStyle="1" w:styleId="FirmaCarattere">
    <w:name w:val="Firma Carattere"/>
    <w:link w:val="Firma"/>
    <w:semiHidden/>
    <w:rsid w:val="00FF04E3"/>
    <w:rPr>
      <w:sz w:val="24"/>
    </w:rPr>
  </w:style>
  <w:style w:type="paragraph" w:styleId="Sottotitolo">
    <w:name w:val="Subtitle"/>
    <w:basedOn w:val="Normale"/>
    <w:next w:val="Normale"/>
    <w:link w:val="SottotitoloCarattere"/>
    <w:qFormat/>
    <w:rsid w:val="00405336"/>
    <w:pPr>
      <w:spacing w:after="60"/>
      <w:jc w:val="center"/>
      <w:outlineLvl w:val="1"/>
    </w:pPr>
    <w:rPr>
      <w:rFonts w:ascii="Cambria" w:hAnsi="Cambria"/>
      <w:szCs w:val="24"/>
    </w:rPr>
  </w:style>
  <w:style w:type="character" w:customStyle="1" w:styleId="SottotitoloCarattere">
    <w:name w:val="Sottotitolo Carattere"/>
    <w:link w:val="Sottotitolo"/>
    <w:semiHidden/>
    <w:rsid w:val="00FF04E3"/>
    <w:rPr>
      <w:rFonts w:ascii="Cambria" w:hAnsi="Cambria"/>
      <w:sz w:val="24"/>
      <w:szCs w:val="24"/>
    </w:rPr>
  </w:style>
  <w:style w:type="paragraph" w:styleId="Indicefonti">
    <w:name w:val="table of authorities"/>
    <w:basedOn w:val="Normale"/>
    <w:next w:val="Normale"/>
    <w:semiHidden/>
    <w:rsid w:val="00405336"/>
    <w:pPr>
      <w:ind w:left="240" w:hanging="240"/>
    </w:pPr>
  </w:style>
  <w:style w:type="paragraph" w:styleId="Indicedellefigure">
    <w:name w:val="table of figures"/>
    <w:basedOn w:val="Normale"/>
    <w:next w:val="Normale"/>
    <w:semiHidden/>
    <w:rsid w:val="00405336"/>
  </w:style>
  <w:style w:type="paragraph" w:styleId="Titolo">
    <w:name w:val="Title"/>
    <w:basedOn w:val="Normale"/>
    <w:next w:val="Normale"/>
    <w:link w:val="TitoloCarattere"/>
    <w:qFormat/>
    <w:rsid w:val="00405336"/>
    <w:pPr>
      <w:spacing w:before="240" w:after="60"/>
      <w:jc w:val="center"/>
      <w:outlineLvl w:val="0"/>
    </w:pPr>
    <w:rPr>
      <w:rFonts w:ascii="Cambria" w:hAnsi="Cambria"/>
      <w:b/>
      <w:bCs/>
      <w:kern w:val="28"/>
      <w:sz w:val="32"/>
      <w:szCs w:val="32"/>
    </w:rPr>
  </w:style>
  <w:style w:type="character" w:customStyle="1" w:styleId="TitoloCarattere">
    <w:name w:val="Titolo Carattere"/>
    <w:link w:val="Titolo"/>
    <w:semiHidden/>
    <w:rsid w:val="00FF04E3"/>
    <w:rPr>
      <w:rFonts w:ascii="Cambria" w:hAnsi="Cambria"/>
      <w:b/>
      <w:bCs/>
      <w:kern w:val="28"/>
      <w:sz w:val="32"/>
      <w:szCs w:val="32"/>
    </w:rPr>
  </w:style>
  <w:style w:type="paragraph" w:styleId="Titoloindicefonti">
    <w:name w:val="toa heading"/>
    <w:basedOn w:val="Normale"/>
    <w:next w:val="Normale"/>
    <w:semiHidden/>
    <w:rsid w:val="00405336"/>
    <w:pPr>
      <w:spacing w:before="120"/>
    </w:pPr>
    <w:rPr>
      <w:rFonts w:ascii="Cambria" w:hAnsi="Cambria"/>
      <w:b/>
      <w:bCs/>
      <w:szCs w:val="24"/>
    </w:rPr>
  </w:style>
  <w:style w:type="paragraph" w:styleId="Sommario1">
    <w:name w:val="toc 1"/>
    <w:basedOn w:val="Normale"/>
    <w:next w:val="Normale"/>
    <w:autoRedefine/>
    <w:semiHidden/>
    <w:rsid w:val="00405336"/>
  </w:style>
  <w:style w:type="paragraph" w:styleId="Sommario2">
    <w:name w:val="toc 2"/>
    <w:basedOn w:val="Normale"/>
    <w:next w:val="Normale"/>
    <w:autoRedefine/>
    <w:semiHidden/>
    <w:rsid w:val="00405336"/>
    <w:pPr>
      <w:ind w:left="240"/>
    </w:pPr>
  </w:style>
  <w:style w:type="paragraph" w:styleId="Sommario3">
    <w:name w:val="toc 3"/>
    <w:basedOn w:val="Normale"/>
    <w:next w:val="Normale"/>
    <w:autoRedefine/>
    <w:semiHidden/>
    <w:rsid w:val="00405336"/>
    <w:pPr>
      <w:ind w:left="480"/>
    </w:pPr>
  </w:style>
  <w:style w:type="paragraph" w:styleId="Sommario4">
    <w:name w:val="toc 4"/>
    <w:basedOn w:val="Normale"/>
    <w:next w:val="Normale"/>
    <w:autoRedefine/>
    <w:semiHidden/>
    <w:rsid w:val="00405336"/>
    <w:pPr>
      <w:ind w:left="720"/>
    </w:pPr>
  </w:style>
  <w:style w:type="paragraph" w:styleId="Sommario5">
    <w:name w:val="toc 5"/>
    <w:basedOn w:val="Normale"/>
    <w:next w:val="Normale"/>
    <w:autoRedefine/>
    <w:semiHidden/>
    <w:rsid w:val="00405336"/>
    <w:pPr>
      <w:ind w:left="960"/>
    </w:pPr>
  </w:style>
  <w:style w:type="paragraph" w:styleId="Sommario6">
    <w:name w:val="toc 6"/>
    <w:basedOn w:val="Normale"/>
    <w:next w:val="Normale"/>
    <w:autoRedefine/>
    <w:semiHidden/>
    <w:rsid w:val="00405336"/>
    <w:pPr>
      <w:ind w:left="1200"/>
    </w:pPr>
  </w:style>
  <w:style w:type="paragraph" w:styleId="Sommario7">
    <w:name w:val="toc 7"/>
    <w:basedOn w:val="Normale"/>
    <w:next w:val="Normale"/>
    <w:autoRedefine/>
    <w:semiHidden/>
    <w:rsid w:val="00405336"/>
    <w:pPr>
      <w:ind w:left="1440"/>
    </w:pPr>
  </w:style>
  <w:style w:type="paragraph" w:styleId="Sommario8">
    <w:name w:val="toc 8"/>
    <w:basedOn w:val="Normale"/>
    <w:next w:val="Normale"/>
    <w:autoRedefine/>
    <w:semiHidden/>
    <w:rsid w:val="00405336"/>
    <w:pPr>
      <w:ind w:left="1680"/>
    </w:pPr>
  </w:style>
  <w:style w:type="paragraph" w:styleId="Sommario9">
    <w:name w:val="toc 9"/>
    <w:basedOn w:val="Normale"/>
    <w:next w:val="Normale"/>
    <w:autoRedefine/>
    <w:semiHidden/>
    <w:rsid w:val="00405336"/>
    <w:pPr>
      <w:ind w:left="1920"/>
    </w:pPr>
  </w:style>
  <w:style w:type="paragraph" w:customStyle="1" w:styleId="Grigliatab31">
    <w:name w:val="Griglia tab. 31"/>
    <w:basedOn w:val="Titolo1"/>
    <w:next w:val="Normale"/>
    <w:uiPriority w:val="39"/>
    <w:semiHidden/>
    <w:unhideWhenUsed/>
    <w:qFormat/>
    <w:rsid w:val="00405336"/>
    <w:pPr>
      <w:outlineLvl w:val="9"/>
    </w:pPr>
    <w:rPr>
      <w:rFonts w:ascii="Cambria" w:hAnsi="Cambria"/>
      <w:sz w:val="32"/>
      <w:szCs w:val="32"/>
    </w:rPr>
  </w:style>
  <w:style w:type="character" w:styleId="Collegamentoipertestuale">
    <w:name w:val="Hyperlink"/>
    <w:semiHidden/>
    <w:rsid w:val="007402FC"/>
    <w:rPr>
      <w:color w:val="0000FF"/>
      <w:u w:val="single"/>
    </w:rPr>
  </w:style>
  <w:style w:type="character" w:styleId="Enfasicorsivo">
    <w:name w:val="Emphasis"/>
    <w:uiPriority w:val="20"/>
    <w:qFormat/>
    <w:rsid w:val="00B42F9C"/>
    <w:rPr>
      <w:i/>
      <w:iCs/>
    </w:rPr>
  </w:style>
  <w:style w:type="character" w:styleId="Rimandocommento">
    <w:name w:val="annotation reference"/>
    <w:uiPriority w:val="99"/>
    <w:semiHidden/>
    <w:rsid w:val="009258B8"/>
    <w:rPr>
      <w:sz w:val="16"/>
      <w:szCs w:val="16"/>
    </w:rPr>
  </w:style>
  <w:style w:type="character" w:customStyle="1" w:styleId="tl8wme">
    <w:name w:val="tl8wme"/>
    <w:rsid w:val="00001825"/>
  </w:style>
  <w:style w:type="paragraph" w:styleId="Revisione">
    <w:name w:val="Revision"/>
    <w:hidden/>
    <w:uiPriority w:val="71"/>
    <w:rsid w:val="0041701C"/>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679433086">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carlo.cifani@unicam.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C815C-48A1-4073-ACBF-F089A94A9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14022</Words>
  <Characters>79931</Characters>
  <Application>Microsoft Office Word</Application>
  <DocSecurity>0</DocSecurity>
  <Lines>666</Lines>
  <Paragraphs>187</Paragraphs>
  <ScaleCrop>false</ScaleCrop>
  <HeadingPairs>
    <vt:vector size="2" baseType="variant">
      <vt:variant>
        <vt:lpstr>Titolo</vt:lpstr>
      </vt:variant>
      <vt:variant>
        <vt:i4>1</vt:i4>
      </vt:variant>
    </vt:vector>
  </HeadingPairs>
  <TitlesOfParts>
    <vt:vector size="1" baseType="lpstr">
      <vt:lpstr>Supporting Online Material for</vt:lpstr>
    </vt:vector>
  </TitlesOfParts>
  <Company>Hewlett-Packard Company</Company>
  <LinksUpToDate>false</LinksUpToDate>
  <CharactersWithSpaces>93766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CARLO CIFANI</cp:lastModifiedBy>
  <cp:revision>36</cp:revision>
  <cp:lastPrinted>2020-01-15T10:27:00Z</cp:lastPrinted>
  <dcterms:created xsi:type="dcterms:W3CDTF">2020-04-02T08:28:00Z</dcterms:created>
  <dcterms:modified xsi:type="dcterms:W3CDTF">2020-04-14T21:58:00Z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http://www.zotero.org/styles/chicago-author-date</vt:lpwstr>
  </property>
  <property fmtid="{D5CDD505-2E9C-101B-9397-08002B2CF9AE}" pid="3" name="Mendeley Recent Style Name 0_1">
    <vt:lpwstr>Chicago Manual of Style 17th edition (author-date)</vt:lpwstr>
  </property>
  <property fmtid="{D5CDD505-2E9C-101B-9397-08002B2CF9AE}" pid="4" name="Mendeley Recent Style Id 1_1">
    <vt:lpwstr>http://www.zotero.org/styles/harvard-cite-them-right</vt:lpwstr>
  </property>
  <property fmtid="{D5CDD505-2E9C-101B-9397-08002B2CF9AE}" pid="5" name="Mendeley Recent Style Name 1_1">
    <vt:lpwstr>Cite Them Right 10th edition - Harvard</vt:lpwstr>
  </property>
  <property fmtid="{D5CDD505-2E9C-101B-9397-08002B2CF9AE}" pid="6" name="Mendeley Recent Style Id 2_1">
    <vt:lpwstr>http://www.zotero.org/styles/ieee</vt:lpwstr>
  </property>
  <property fmtid="{D5CDD505-2E9C-101B-9397-08002B2CF9AE}" pid="7" name="Mendeley Recent Style Name 2_1">
    <vt:lpwstr>IEEE</vt:lpwstr>
  </property>
  <property fmtid="{D5CDD505-2E9C-101B-9397-08002B2CF9AE}" pid="8" name="Mendeley Recent Style Id 3_1">
    <vt:lpwstr>http://www.zotero.org/styles/modern-humanities-research-association</vt:lpwstr>
  </property>
  <property fmtid="{D5CDD505-2E9C-101B-9397-08002B2CF9AE}" pid="9" name="Mendeley Recent Style Name 3_1">
    <vt:lpwstr>Modern Humanities Research Association 3rd edition (note with bibliography)</vt:lpwstr>
  </property>
  <property fmtid="{D5CDD505-2E9C-101B-9397-08002B2CF9AE}" pid="10" name="Mendeley Recent Style Id 4_1">
    <vt:lpwstr>http://www.zotero.org/styles/modern-language-association</vt:lpwstr>
  </property>
  <property fmtid="{D5CDD505-2E9C-101B-9397-08002B2CF9AE}" pid="11" name="Mendeley Recent Style Name 4_1">
    <vt:lpwstr>Modern Language Association 8th edition</vt:lpwstr>
  </property>
  <property fmtid="{D5CDD505-2E9C-101B-9397-08002B2CF9AE}" pid="12" name="Mendeley Recent Style Id 5_1">
    <vt:lpwstr>http://www.zotero.org/styles/neuropsychopharmacology</vt:lpwstr>
  </property>
  <property fmtid="{D5CDD505-2E9C-101B-9397-08002B2CF9AE}" pid="13" name="Mendeley Recent Style Name 5_1">
    <vt:lpwstr>Neuropsychopharmacology</vt:lpwstr>
  </property>
  <property fmtid="{D5CDD505-2E9C-101B-9397-08002B2CF9AE}" pid="14" name="Mendeley Recent Style Id 6_1">
    <vt:lpwstr>http://www.zotero.org/styles/springer-basic-note</vt:lpwstr>
  </property>
  <property fmtid="{D5CDD505-2E9C-101B-9397-08002B2CF9AE}" pid="15" name="Mendeley Recent Style Name 6_1">
    <vt:lpwstr>Springer - Basic (note)</vt:lpwstr>
  </property>
  <property fmtid="{D5CDD505-2E9C-101B-9397-08002B2CF9AE}" pid="16" name="Mendeley Recent Style Id 7_1">
    <vt:lpwstr>http://www.zotero.org/styles/springer-basic-brackets</vt:lpwstr>
  </property>
  <property fmtid="{D5CDD505-2E9C-101B-9397-08002B2CF9AE}" pid="17" name="Mendeley Recent Style Name 7_1">
    <vt:lpwstr>Springer - Basic (numeric, brackets)</vt:lpwstr>
  </property>
  <property fmtid="{D5CDD505-2E9C-101B-9397-08002B2CF9AE}" pid="18" name="Mendeley Recent Style Id 8_1">
    <vt:lpwstr>http://www.zotero.org/styles/springer-science-reviews</vt:lpwstr>
  </property>
  <property fmtid="{D5CDD505-2E9C-101B-9397-08002B2CF9AE}" pid="19" name="Mendeley Recent Style Name 8_1">
    <vt:lpwstr>Springer Science Reviews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00f674e8-6ff2-3ed5-84c9-e7a5f74c6b2a</vt:lpwstr>
  </property>
  <property fmtid="{D5CDD505-2E9C-101B-9397-08002B2CF9AE}" pid="24" name="Mendeley Citation Style_1">
    <vt:lpwstr>http://www.zotero.org/styles/neuropsychopharmacology</vt:lpwstr>
  </property>
</Properties>
</file>