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E54AB" w14:textId="77777777" w:rsidR="00654E8F" w:rsidRPr="00E25A5D" w:rsidRDefault="00654E8F" w:rsidP="009539F3">
      <w:pPr>
        <w:jc w:val="center"/>
        <w:rPr>
          <w:b/>
        </w:rPr>
      </w:pPr>
      <w:r w:rsidRPr="00E25A5D">
        <w:rPr>
          <w:b/>
        </w:rPr>
        <w:t>Supplementary Material</w:t>
      </w:r>
    </w:p>
    <w:p w14:paraId="6A933152" w14:textId="27E3D624" w:rsidR="00D21D4D" w:rsidRPr="00E25A5D" w:rsidRDefault="00E93194" w:rsidP="00D21D4D">
      <w:pPr>
        <w:jc w:val="both"/>
        <w:rPr>
          <w:rFonts w:cs="Times New Roman"/>
          <w:i/>
        </w:rPr>
      </w:pPr>
      <w:r w:rsidRPr="00E25A5D">
        <w:rPr>
          <w:b/>
          <w:i/>
        </w:rPr>
        <w:br/>
      </w:r>
      <w:r w:rsidR="00D21D4D" w:rsidRPr="00E25A5D">
        <w:rPr>
          <w:b/>
          <w:i/>
        </w:rPr>
        <w:t>Supplementary Table</w:t>
      </w:r>
      <w:r w:rsidR="00D21D4D" w:rsidRPr="00E25A5D">
        <w:rPr>
          <w:rFonts w:cs="Times New Roman"/>
          <w:b/>
          <w:i/>
        </w:rPr>
        <w:t xml:space="preserve"> S1. Gene Expression Omnibus (GEO) datasets used in the present study.</w:t>
      </w:r>
      <w:r w:rsidR="00D21D4D" w:rsidRPr="00E25A5D">
        <w:rPr>
          <w:rFonts w:cs="Times New Roman"/>
          <w:i/>
        </w:rPr>
        <w:t xml:space="preserve"> GSE: GEO series experiment. </w:t>
      </w:r>
      <w:r w:rsidR="00D21D4D" w:rsidRPr="00E25A5D">
        <w:rPr>
          <w:rFonts w:cs="Times New Roman"/>
          <w:b/>
          <w:i/>
        </w:rPr>
        <w:t>Table 1</w:t>
      </w:r>
      <w:r w:rsidR="00D21D4D" w:rsidRPr="00E25A5D">
        <w:rPr>
          <w:rFonts w:cs="Times New Roman"/>
          <w:i/>
        </w:rPr>
        <w:t xml:space="preserve"> contains detailed information.</w:t>
      </w:r>
    </w:p>
    <w:tbl>
      <w:tblPr>
        <w:tblStyle w:val="TableGrid"/>
        <w:tblW w:w="0" w:type="auto"/>
        <w:tblLayout w:type="fixed"/>
        <w:tblCellMar>
          <w:left w:w="28" w:type="dxa"/>
          <w:right w:w="28" w:type="dxa"/>
        </w:tblCellMar>
        <w:tblLook w:val="0600" w:firstRow="0" w:lastRow="0" w:firstColumn="0" w:lastColumn="0" w:noHBand="1" w:noVBand="1"/>
      </w:tblPr>
      <w:tblGrid>
        <w:gridCol w:w="1390"/>
        <w:gridCol w:w="6597"/>
        <w:gridCol w:w="1780"/>
      </w:tblGrid>
      <w:tr w:rsidR="00D21D4D" w:rsidRPr="00E25A5D" w14:paraId="37225C21" w14:textId="77777777" w:rsidTr="00B92D6C">
        <w:trPr>
          <w:cantSplit/>
          <w:trHeight w:val="20"/>
        </w:trPr>
        <w:tc>
          <w:tcPr>
            <w:tcW w:w="1390" w:type="dxa"/>
          </w:tcPr>
          <w:p w14:paraId="2BD81618" w14:textId="77777777" w:rsidR="00D21D4D" w:rsidRPr="00E25A5D" w:rsidRDefault="00D21D4D" w:rsidP="00B92D6C">
            <w:pPr>
              <w:jc w:val="center"/>
              <w:rPr>
                <w:rFonts w:ascii="Arial" w:hAnsi="Arial" w:cs="Arial"/>
              </w:rPr>
            </w:pPr>
            <w:r w:rsidRPr="00E25A5D">
              <w:rPr>
                <w:rFonts w:ascii="Arial" w:hAnsi="Arial" w:cs="Arial"/>
              </w:rPr>
              <w:t>Dataset</w:t>
            </w:r>
          </w:p>
        </w:tc>
        <w:tc>
          <w:tcPr>
            <w:tcW w:w="6597" w:type="dxa"/>
          </w:tcPr>
          <w:p w14:paraId="1BD46180" w14:textId="77777777" w:rsidR="00D21D4D" w:rsidRPr="00E25A5D" w:rsidRDefault="00D21D4D" w:rsidP="00B92D6C">
            <w:pPr>
              <w:jc w:val="center"/>
              <w:rPr>
                <w:rFonts w:ascii="Arial" w:hAnsi="Arial" w:cs="Arial"/>
              </w:rPr>
            </w:pPr>
            <w:r w:rsidRPr="00E25A5D">
              <w:rPr>
                <w:rFonts w:ascii="Arial" w:hAnsi="Arial" w:cs="Arial"/>
              </w:rPr>
              <w:t>Accession link</w:t>
            </w:r>
          </w:p>
        </w:tc>
        <w:tc>
          <w:tcPr>
            <w:tcW w:w="1780" w:type="dxa"/>
          </w:tcPr>
          <w:p w14:paraId="3DAD299E" w14:textId="77777777" w:rsidR="00D21D4D" w:rsidRPr="00E25A5D" w:rsidRDefault="00D21D4D" w:rsidP="00B92D6C">
            <w:pPr>
              <w:jc w:val="center"/>
              <w:rPr>
                <w:rFonts w:ascii="Arial" w:hAnsi="Arial" w:cs="Arial"/>
              </w:rPr>
            </w:pPr>
            <w:r w:rsidRPr="00E25A5D">
              <w:rPr>
                <w:rFonts w:ascii="Arial" w:hAnsi="Arial" w:cs="Arial"/>
              </w:rPr>
              <w:t>Publication</w:t>
            </w:r>
          </w:p>
        </w:tc>
      </w:tr>
      <w:tr w:rsidR="00D21D4D" w:rsidRPr="00E25A5D" w14:paraId="4A06572A" w14:textId="77777777" w:rsidTr="00B92D6C">
        <w:trPr>
          <w:cantSplit/>
          <w:trHeight w:val="20"/>
        </w:trPr>
        <w:tc>
          <w:tcPr>
            <w:tcW w:w="1390" w:type="dxa"/>
            <w:vAlign w:val="center"/>
          </w:tcPr>
          <w:p w14:paraId="3C352DA3" w14:textId="77777777" w:rsidR="00D21D4D" w:rsidRPr="00E25A5D" w:rsidRDefault="00D21D4D" w:rsidP="00B92D6C">
            <w:pPr>
              <w:rPr>
                <w:rFonts w:cs="Times New Roman"/>
                <w:szCs w:val="24"/>
              </w:rPr>
            </w:pPr>
            <w:r w:rsidRPr="00E25A5D">
              <w:rPr>
                <w:rFonts w:cs="Times New Roman"/>
                <w:szCs w:val="24"/>
              </w:rPr>
              <w:t>GSE80655</w:t>
            </w:r>
          </w:p>
        </w:tc>
        <w:tc>
          <w:tcPr>
            <w:tcW w:w="6597" w:type="dxa"/>
            <w:vAlign w:val="center"/>
          </w:tcPr>
          <w:p w14:paraId="5F24A346" w14:textId="77777777" w:rsidR="00D21D4D" w:rsidRPr="00E25A5D" w:rsidRDefault="00D21D4D" w:rsidP="00B92D6C">
            <w:pPr>
              <w:rPr>
                <w:rFonts w:cs="Times New Roman"/>
                <w:color w:val="000000"/>
                <w:szCs w:val="24"/>
                <w:lang w:val="en-GB"/>
              </w:rPr>
            </w:pPr>
            <w:r w:rsidRPr="00E25A5D">
              <w:rPr>
                <w:rFonts w:cs="Times New Roman"/>
                <w:color w:val="000000"/>
                <w:szCs w:val="24"/>
              </w:rPr>
              <w:t>https://www.ncbi.nlm.nih.gov/geo/query/acc.cgi?acc=GSE80655</w:t>
            </w:r>
          </w:p>
        </w:tc>
        <w:tc>
          <w:tcPr>
            <w:tcW w:w="1780" w:type="dxa"/>
            <w:vAlign w:val="center"/>
          </w:tcPr>
          <w:p w14:paraId="1B98A533" w14:textId="77777777" w:rsidR="00D21D4D" w:rsidRPr="00E25A5D" w:rsidRDefault="00D21D4D" w:rsidP="00B92D6C">
            <w:pPr>
              <w:rPr>
                <w:rFonts w:cs="Times New Roman"/>
                <w:szCs w:val="24"/>
              </w:rPr>
            </w:pPr>
            <w:r w:rsidRPr="00E25A5D">
              <w:rPr>
                <w:rFonts w:cs="Times New Roman"/>
                <w:szCs w:val="24"/>
              </w:rPr>
              <w:fldChar w:fldCharType="begin"/>
            </w:r>
            <w:r w:rsidRPr="00E25A5D">
              <w:rPr>
                <w:rFonts w:cs="Times New Roman"/>
                <w:szCs w:val="24"/>
              </w:rPr>
              <w:instrText xml:space="preserve"> ADDIN ZOTERO_ITEM CSL_CITATION {"citationID":"r6Zwv5B4","properties":{"formattedCitation":"(Ramaker et al., 2017)","plainCitation":"(Ramaker et al., 2017)","noteIndex":0},"citationItems":[{"id":6288,"uris":["http://zotero.org/users/4407378/items/HHWLASU3"],"itemData":{"id":6288,"type":"article-journal","abstract":"Psychiatric disorders are multigenic diseases with complex etiology that contribute significantly to human morbidity and mortality. Although clinically distinct, several disorders share many symptoms, suggesting common underlying molecular changes exist that may implicate important regulators of pathogenesis and provide new therapeutic targets.","container-title":"Genome Medicine","DOI":"10.1186/s13073-017-0458-5","ISSN":"1756-994X","issue":"1","journalAbbreviation":"Genome Medicine","page":"72","source":"BioMed Central","title":"Post-mortem molecular profiling of three psychiatric disorders","volume":"9","author":[{"family":"Ramaker","given":"Ryne C."},{"family":"Bowling","given":"Kevin M."},{"family":"Lasseigne","given":"Brittany N."},{"family":"Hagenauer","given":"Megan H."},{"family":"Hardigan","given":"Andrew A."},{"family":"Davis","given":"Nicholas S."},{"family":"Gertz","given":"Jason"},{"family":"Cartagena","given":"Preston M."},{"family":"Walsh","given":"David M."},{"family":"Vawter","given":"Marquis P."},{"family":"Jones","given":"Edward G."},{"family":"Schatzberg","given":"Alan F."},{"family":"Barchas","given":"Jack D."},{"family":"Watson","given":"Stanley J."},{"family":"Bunney","given":"Blynn G."},{"family":"Akil","given":"Huda"},{"family":"Bunney","given":"William E."},{"family":"Li","given":"Jun Z."},{"family":"Cooper","given":"Sara J."},{"family":"Myers","given":"Richard M."}],"issued":{"date-parts":[["2017",7,28]]}}}],"schema":"https://github.com/citation-style-language/schema/raw/master/csl-citation.json"} </w:instrText>
            </w:r>
            <w:r w:rsidRPr="00E25A5D">
              <w:rPr>
                <w:rFonts w:cs="Times New Roman"/>
                <w:szCs w:val="24"/>
              </w:rPr>
              <w:fldChar w:fldCharType="separate"/>
            </w:r>
            <w:r w:rsidRPr="00E25A5D">
              <w:rPr>
                <w:rFonts w:cs="Times New Roman"/>
                <w:szCs w:val="24"/>
              </w:rPr>
              <w:t>(Ramaker et al., 2017)</w:t>
            </w:r>
            <w:r w:rsidRPr="00E25A5D">
              <w:rPr>
                <w:rFonts w:cs="Times New Roman"/>
                <w:szCs w:val="24"/>
              </w:rPr>
              <w:fldChar w:fldCharType="end"/>
            </w:r>
          </w:p>
        </w:tc>
      </w:tr>
      <w:tr w:rsidR="00D21D4D" w:rsidRPr="00E25A5D" w14:paraId="343A1012" w14:textId="77777777" w:rsidTr="00B92D6C">
        <w:trPr>
          <w:cantSplit/>
          <w:trHeight w:val="20"/>
        </w:trPr>
        <w:tc>
          <w:tcPr>
            <w:tcW w:w="1390" w:type="dxa"/>
            <w:vAlign w:val="center"/>
          </w:tcPr>
          <w:p w14:paraId="704AC497" w14:textId="77777777" w:rsidR="00D21D4D" w:rsidRPr="00E25A5D" w:rsidRDefault="00D21D4D" w:rsidP="00B92D6C">
            <w:pPr>
              <w:rPr>
                <w:rFonts w:cs="Times New Roman"/>
                <w:szCs w:val="24"/>
              </w:rPr>
            </w:pPr>
            <w:r w:rsidRPr="00E25A5D">
              <w:rPr>
                <w:rFonts w:cs="Times New Roman"/>
                <w:szCs w:val="24"/>
              </w:rPr>
              <w:t>GSE189821</w:t>
            </w:r>
          </w:p>
        </w:tc>
        <w:tc>
          <w:tcPr>
            <w:tcW w:w="6597" w:type="dxa"/>
            <w:vAlign w:val="center"/>
          </w:tcPr>
          <w:p w14:paraId="7F64C8FE" w14:textId="77777777" w:rsidR="00D21D4D" w:rsidRPr="00E25A5D" w:rsidRDefault="00D21D4D" w:rsidP="00B92D6C">
            <w:pPr>
              <w:rPr>
                <w:rFonts w:cs="Times New Roman"/>
                <w:color w:val="000000"/>
                <w:szCs w:val="24"/>
                <w:lang w:val="en-GB"/>
              </w:rPr>
            </w:pPr>
            <w:r w:rsidRPr="00E25A5D">
              <w:rPr>
                <w:rFonts w:cs="Times New Roman"/>
                <w:color w:val="000000"/>
                <w:szCs w:val="24"/>
              </w:rPr>
              <w:t>https://www.ncbi.nlm.nih.gov/geo/query/acc.cgi?acc=GSE189821</w:t>
            </w:r>
          </w:p>
        </w:tc>
        <w:tc>
          <w:tcPr>
            <w:tcW w:w="1780" w:type="dxa"/>
            <w:vAlign w:val="center"/>
          </w:tcPr>
          <w:p w14:paraId="587FA717" w14:textId="77777777" w:rsidR="00D21D4D" w:rsidRPr="00E25A5D" w:rsidRDefault="00D21D4D" w:rsidP="00B92D6C">
            <w:pPr>
              <w:rPr>
                <w:rFonts w:cs="Times New Roman"/>
                <w:szCs w:val="24"/>
              </w:rPr>
            </w:pPr>
            <w:r w:rsidRPr="00E25A5D">
              <w:rPr>
                <w:rFonts w:cs="Times New Roman"/>
                <w:szCs w:val="24"/>
              </w:rPr>
              <w:fldChar w:fldCharType="begin"/>
            </w:r>
            <w:r w:rsidRPr="00E25A5D">
              <w:rPr>
                <w:rFonts w:cs="Times New Roman"/>
                <w:szCs w:val="24"/>
              </w:rPr>
              <w:instrText xml:space="preserve"> ADDIN ZOTERO_ITEM CSL_CITATION {"citationID":"e2PlFt5g","properties":{"formattedCitation":"(Zuo et al., 2022)","plainCitation":"(Zuo et al., 2022)","noteIndex":0},"citationItems":[{"id":6301,"uris":["http://zotero.org/users/4407378/items/TQAA2LBW"],"itemData":{"id":6301,"type":"article-journal","abstract":"During adolescence, frequent and heavy cannabis use can lead to serious adverse health effects and cannabis use disorder (CUD). Rodent models of adolescent exposure to the main psychoactive component of cannabis, delta-9-tetrahydrocannabinol (THC), mimic the behavioral alterations observed in adolescent users. However, the underlying molecular mechanisms remain largely unknown. Here, we treated female and male C57BL6/N mice with high doses of THC during early adolescence and assessed their memory and social behaviors in late adolescence. We then profiled the transcriptome of five brain regions involved in cognitive and addiction-related processes. We applied gene coexpression network analysis and identified gene coexpression modules, termed cognitive modules, that simultaneously correlated with THC treatment and memory traits reduced by THC. The cognitive modules were related to endocannabinoid signaling in the female dorsal medial striatum, inflammation in the female ventral tegmental area, and synaptic transmission in the male nucleus accumbens. Moreover, cross-brain region module-module interaction networks uncovered intra- and inter-region molecular circuitries influenced by THC. Lastly, we identified key driver genes of gene networks associated with THC in mice and genetic susceptibility to CUD in humans. This analysis revealed a common regulatory mechanism linked to CUD vulnerability in the nucleus accumbens of females and males, which shared four key drivers (Hapln4, Kcnc1, Elavl2, Zcchc12). These genes regulate transcriptional subnetworks implicated in addiction processes, synaptic transmission, brain development, and lipid metabolism. Our study provides novel insights into disease mechanisms regulated by adolescent exposure to THC in a sex- and brain region-specific manner.","container-title":"Neuropsychopharmacology: Official Publication of the American College of Neuropsychopharmacology","DOI":"10.1038/s41386-022-01413-2","ISSN":"1740-634X","issue":"12","journalAbbreviation":"Neuropsychopharmacology","language":"eng","note":"PMID: 35995972\nPMCID: PMC9556757","page":"2071-2080","source":"PubMed","title":"Chronic adolescent exposure to cannabis in mice leads to sex-biased changes in gene expression networks across brain regions","volume":"47","author":[{"family":"Zuo","given":"Yanning"},{"family":"Iemolo","given":"Attilio"},{"family":"Montilla-Perez","given":"Patricia"},{"family":"Li","given":"Hai-Ri"},{"family":"Yang","given":"Xia"},{"family":"Telese","given":"Francesca"}],"issued":{"date-parts":[["2022",11]]}}}],"schema":"https://github.com/citation-style-language/schema/raw/master/csl-citation.json"} </w:instrText>
            </w:r>
            <w:r w:rsidRPr="00E25A5D">
              <w:rPr>
                <w:rFonts w:cs="Times New Roman"/>
                <w:szCs w:val="24"/>
              </w:rPr>
              <w:fldChar w:fldCharType="separate"/>
            </w:r>
            <w:r w:rsidRPr="00E25A5D">
              <w:rPr>
                <w:rFonts w:cs="Times New Roman"/>
                <w:szCs w:val="24"/>
              </w:rPr>
              <w:t>(Zuo et al., 2022)</w:t>
            </w:r>
            <w:r w:rsidRPr="00E25A5D">
              <w:rPr>
                <w:rFonts w:cs="Times New Roman"/>
                <w:szCs w:val="24"/>
              </w:rPr>
              <w:fldChar w:fldCharType="end"/>
            </w:r>
          </w:p>
        </w:tc>
      </w:tr>
      <w:tr w:rsidR="00D21D4D" w:rsidRPr="00E25A5D" w14:paraId="5DF38B06" w14:textId="77777777" w:rsidTr="00B92D6C">
        <w:trPr>
          <w:cantSplit/>
          <w:trHeight w:val="20"/>
        </w:trPr>
        <w:tc>
          <w:tcPr>
            <w:tcW w:w="1390" w:type="dxa"/>
            <w:vAlign w:val="center"/>
          </w:tcPr>
          <w:p w14:paraId="32875FE7" w14:textId="77777777" w:rsidR="00D21D4D" w:rsidRPr="00E25A5D" w:rsidRDefault="00D21D4D" w:rsidP="00B92D6C">
            <w:pPr>
              <w:rPr>
                <w:rFonts w:cs="Times New Roman"/>
                <w:szCs w:val="24"/>
              </w:rPr>
            </w:pPr>
            <w:r w:rsidRPr="00E25A5D">
              <w:rPr>
                <w:rFonts w:cs="Times New Roman"/>
                <w:szCs w:val="24"/>
              </w:rPr>
              <w:t>GSE116813</w:t>
            </w:r>
          </w:p>
        </w:tc>
        <w:tc>
          <w:tcPr>
            <w:tcW w:w="6597" w:type="dxa"/>
            <w:vAlign w:val="center"/>
          </w:tcPr>
          <w:p w14:paraId="0E76E0D6" w14:textId="77777777" w:rsidR="00D21D4D" w:rsidRPr="00E25A5D" w:rsidRDefault="00D21D4D" w:rsidP="00B92D6C">
            <w:pPr>
              <w:rPr>
                <w:rFonts w:cs="Times New Roman"/>
                <w:color w:val="000000"/>
                <w:szCs w:val="24"/>
                <w:lang w:val="en-GB"/>
              </w:rPr>
            </w:pPr>
            <w:r w:rsidRPr="00E25A5D">
              <w:rPr>
                <w:rFonts w:cs="Times New Roman"/>
                <w:color w:val="000000"/>
                <w:szCs w:val="24"/>
              </w:rPr>
              <w:t>https://www.ncbi.nlm.nih.gov/geo/query/acc.cgi?acc=GSE116813</w:t>
            </w:r>
          </w:p>
        </w:tc>
        <w:tc>
          <w:tcPr>
            <w:tcW w:w="1780" w:type="dxa"/>
            <w:vAlign w:val="center"/>
          </w:tcPr>
          <w:p w14:paraId="019C22E6" w14:textId="77777777" w:rsidR="00D21D4D" w:rsidRPr="00E25A5D" w:rsidRDefault="00D21D4D" w:rsidP="00B92D6C">
            <w:pPr>
              <w:rPr>
                <w:rFonts w:cs="Times New Roman"/>
                <w:szCs w:val="24"/>
              </w:rPr>
            </w:pPr>
            <w:r w:rsidRPr="00E25A5D">
              <w:rPr>
                <w:rFonts w:cs="Times New Roman"/>
                <w:szCs w:val="24"/>
              </w:rPr>
              <w:fldChar w:fldCharType="begin"/>
            </w:r>
            <w:r w:rsidRPr="00E25A5D">
              <w:rPr>
                <w:rFonts w:cs="Times New Roman"/>
                <w:szCs w:val="24"/>
              </w:rPr>
              <w:instrText xml:space="preserve"> ADDIN ZOTERO_ITEM CSL_CITATION {"citationID":"DYI2OGky","properties":{"formattedCitation":"(Jouroukhin et al., 2019)","plainCitation":"(Jouroukhin et al., 2019)","noteIndex":0},"citationItems":[{"id":6292,"uris":["http://zotero.org/users/4407378/items/7MBAYWHV"],"itemData":{"id":6292,"type":"article-journal","abstract":"BACKGROUND: Although several studies have linked adolescent cannabis use to long-term cognitive dysfunction, there are negative reports as well. The fact that not all users develop cognitive impairment suggests a genetic vulnerability to adverse effects of cannabis, which are attributed to action of Δ9-tetrahydrocannabinol (Δ9-THC), a cannabis constituent and partial agonist of brain cannabinoid receptor 1. As both neurons and glial cells express cannabinoid receptor 1, genetic vulnerability could influence Δ9-THC-induced signaling in a cell type-specific manner.\nMETHODS: Here we use an animal model of inducible expression of dominant-negative disrupted in schizophrenia 1 (DN-DISC1) selectively in astrocytes to evaluate the molecular mechanisms, whereby an astrocyte genetic vulnerability could interact with adolescent Δ9-THC exposure to impair recognition memory in adulthood.\nRESULTS: Selective expression of DN-DISC1 in astrocytes and adolescent treatment with Δ9-THC synergistically affected recognition memory in adult mice. Similar deficits in recognition memory were observed following knockdown of endogenous Disc1 in hippocampal astrocytes in mice treated with Δ9-THC during adolescence. At the molecular level, DN-DISC1 and Δ9-THC synergistically activated the nuclear factor-κB-cyclooxygenase-2 pathway in astrocytes and decreased immunoreactivity of parvalbumin-positive presynaptic inhibitory boutons around pyramidal neurons of the hippocampal CA3 area. The cognitive abnormalities were prevented in DN-DISC1 mice exposed to Δ9-THC by simultaneous adolescent treatment with the cyclooxygenase-2 inhibitor, NS398.\nCONCLUSIONS: Our data demonstrate that individual vulnerability to cannabis can be exclusively mediated by astrocytes. Results of this work suggest that genetic predisposition within astrocytes can exaggerate Δ9-THC-produced cognitive impairments via convergent inflammatory signaling, suggesting possible targets for preventing adverse effects of cannabis within susceptible individuals.","container-title":"Biological Psychiatry","DOI":"10.1016/j.biopsych.2018.07.024","ISSN":"1873-2402","issue":"11","journalAbbreviation":"Biol Psychiatry","language":"eng","note":"PMID: 30219209\nPMCID: PMC6525084","page":"891-903","source":"PubMed","title":"Adolescent Δ9-Tetrahydrocannabinol Exposure and Astrocyte-Specific Genetic Vulnerability Converge on Nuclear Factor-κB-Cyclooxygenase-2 Signaling to Impair Memory in Adulthood","volume":"85","author":[{"family":"Jouroukhin","given":"Yan"},{"family":"Zhu","given":"Xiaolei"},{"family":"Shevelkin","given":"Alexey V."},{"family":"Hasegawa","given":"Yuto"},{"family":"Abazyan","given":"Bagrat"},{"family":"Saito","given":"Atsushi"},{"family":"Pevsner","given":"Jonathan"},{"family":"Kamiya","given":"Atsushi"},{"family":"Pletnikov","given":"Mikhail V."}],"issued":{"date-parts":[["2019",6,1]]}}}],"schema":"https://github.com/citation-style-language/schema/raw/master/csl-citation.json"} </w:instrText>
            </w:r>
            <w:r w:rsidRPr="00E25A5D">
              <w:rPr>
                <w:rFonts w:cs="Times New Roman"/>
                <w:szCs w:val="24"/>
              </w:rPr>
              <w:fldChar w:fldCharType="separate"/>
            </w:r>
            <w:r w:rsidRPr="00E25A5D">
              <w:rPr>
                <w:rFonts w:cs="Times New Roman"/>
                <w:szCs w:val="24"/>
              </w:rPr>
              <w:t>(Jouroukhin et al., 2019)</w:t>
            </w:r>
            <w:r w:rsidRPr="00E25A5D">
              <w:rPr>
                <w:rFonts w:cs="Times New Roman"/>
                <w:szCs w:val="24"/>
              </w:rPr>
              <w:fldChar w:fldCharType="end"/>
            </w:r>
          </w:p>
        </w:tc>
      </w:tr>
      <w:tr w:rsidR="00D21D4D" w:rsidRPr="00E25A5D" w14:paraId="2E02B906" w14:textId="77777777" w:rsidTr="00B92D6C">
        <w:trPr>
          <w:cantSplit/>
          <w:trHeight w:val="20"/>
        </w:trPr>
        <w:tc>
          <w:tcPr>
            <w:tcW w:w="1390" w:type="dxa"/>
            <w:vAlign w:val="center"/>
          </w:tcPr>
          <w:p w14:paraId="63294B3B" w14:textId="77777777" w:rsidR="00D21D4D" w:rsidRPr="00E25A5D" w:rsidRDefault="00D21D4D" w:rsidP="00B92D6C">
            <w:pPr>
              <w:rPr>
                <w:rFonts w:cs="Times New Roman"/>
                <w:szCs w:val="24"/>
              </w:rPr>
            </w:pPr>
            <w:r w:rsidRPr="00E25A5D">
              <w:rPr>
                <w:rFonts w:cs="Times New Roman"/>
                <w:szCs w:val="24"/>
              </w:rPr>
              <w:t>GSE70689</w:t>
            </w:r>
          </w:p>
        </w:tc>
        <w:tc>
          <w:tcPr>
            <w:tcW w:w="6597" w:type="dxa"/>
            <w:vAlign w:val="center"/>
          </w:tcPr>
          <w:p w14:paraId="42380ADF" w14:textId="77777777" w:rsidR="00D21D4D" w:rsidRPr="00E25A5D" w:rsidRDefault="00D21D4D" w:rsidP="00B92D6C">
            <w:pPr>
              <w:rPr>
                <w:rFonts w:cs="Times New Roman"/>
                <w:color w:val="000000"/>
                <w:szCs w:val="24"/>
                <w:lang w:val="en-GB"/>
              </w:rPr>
            </w:pPr>
            <w:r w:rsidRPr="00E25A5D">
              <w:rPr>
                <w:rFonts w:cs="Times New Roman"/>
                <w:color w:val="000000"/>
                <w:szCs w:val="24"/>
              </w:rPr>
              <w:t>https://www.ncbi.nlm.nih.gov/geo/query/acc.cgi?acc=GSE70689</w:t>
            </w:r>
          </w:p>
        </w:tc>
        <w:tc>
          <w:tcPr>
            <w:tcW w:w="1780" w:type="dxa"/>
            <w:vAlign w:val="center"/>
          </w:tcPr>
          <w:p w14:paraId="7B05F130" w14:textId="77777777" w:rsidR="00D21D4D" w:rsidRPr="00E25A5D" w:rsidRDefault="00D21D4D" w:rsidP="00B92D6C">
            <w:pPr>
              <w:rPr>
                <w:rFonts w:cs="Times New Roman"/>
                <w:szCs w:val="24"/>
              </w:rPr>
            </w:pPr>
            <w:r w:rsidRPr="00E25A5D">
              <w:rPr>
                <w:rFonts w:cs="Times New Roman"/>
                <w:szCs w:val="24"/>
              </w:rPr>
              <w:fldChar w:fldCharType="begin"/>
            </w:r>
            <w:r w:rsidRPr="00E25A5D">
              <w:rPr>
                <w:rFonts w:cs="Times New Roman"/>
                <w:szCs w:val="24"/>
              </w:rPr>
              <w:instrText xml:space="preserve"> ADDIN ZOTERO_ITEM CSL_CITATION {"citationID":"gpM9sL4b","properties":{"formattedCitation":"(Juknat et al., 2013)","plainCitation":"(Juknat et al., 2013)","noteIndex":0},"citationItems":[{"id":6295,"uris":["http://zotero.org/users/4407378/items/L44UWJG3"],"itemData":{"id":6295,"type":"article-journal","abstract":"Cannabinoids are known to exert immunosuppressive activities. However, the mechanisms which contribute to these effects are unknown. Using lipopolysaccharide (LPS) to activate BV-2 microglial cells, we examined how Δ(9)-tetrahydrocannabinol (THC), the major psychoactive component of marijuana, and cannabidiol (CBD) the non-psychoactive component, modulate the inflammatory response. Microarray analysis of genome-wide mRNA levels was performed using Illumina platform and the resulting expression patterns analyzed using the Ingenuity Pathway Analysis to identify functional subsets of genes, and the Ingenuity System Database to denote the gene networks regulated by CBD and THC. From the 5338 transcripts that were differentially expressed across treatments, 400 transcripts were found to be upregulated by LPS, 502 by CBD+LPS and 424 by THC+LPS, while 145 were downregulated by LPS, 297 by CBD+LPS and 149 by THC+LPS, by 2-fold or more (p≤0.005). Results clearly link the effects of CBD and THC to inflammatory signaling pathways and identify new cannabinoid targets in the MAPK pathway (Dusp1, Dusp8, Dusp2), cell cycle related (Cdkn2b, Gadd45a) as well as JAK/STAT regulatory molecules (Socs3, Cish, Stat1). The impact of CBD on LPS-stimulated gene expression was greater than that of THC. We attribute this difference to the fact that CBD highly upregulated several genes encoding negative regulators of both NFκB and AP-1 transcriptional activities, such as Trib3 and Dusp1 known to be modulated through Nrf2 activation. The CBD-specific expression profile reflected changes associated with oxidative stress and glutathione depletion via Trib3 and expression of ATF4 target genes. Furthermore, the CBD affected genes were shown to be controlled by nuclear factors usually involved in regulation of stress response and inflammation, mainly via Nrf2/Hmox1 axis and the Nrf2/ATF4-Trib3 pathway. These observations indicate that CBD, and less so THC, induce a cellular stress response and that this response underlies their high immunosuppressant activities.","container-title":"PloS One","DOI":"10.1371/journal.pone.0061462","ISSN":"1932-6203","issue":"4","journalAbbreviation":"PLoS One","language":"eng","note":"PMID: 23637839\nPMCID: PMC3634783","page":"e61462","source":"PubMed","title":"Microarray and pathway analysis reveal distinct mechanisms underlying cannabinoid-mediated modulation of LPS-induced activation of BV-2 microglial cells","volume":"8","author":[{"family":"Juknat","given":"Ana"},{"family":"Pietr","given":"Maciej"},{"family":"Kozela","given":"Ewa"},{"family":"Rimmerman","given":"Neta"},{"family":"Levy","given":"Rivka"},{"family":"Gao","given":"Fuying"},{"family":"Coppola","given":"Giovanni"},{"family":"Geschwind","given":"Daniel"},{"family":"Vogel","given":"Zvi"}],"issued":{"date-parts":[["2013"]]}}}],"schema":"https://github.com/citation-style-language/schema/raw/master/csl-citation.json"} </w:instrText>
            </w:r>
            <w:r w:rsidRPr="00E25A5D">
              <w:rPr>
                <w:rFonts w:cs="Times New Roman"/>
                <w:szCs w:val="24"/>
              </w:rPr>
              <w:fldChar w:fldCharType="separate"/>
            </w:r>
            <w:r w:rsidRPr="00E25A5D">
              <w:rPr>
                <w:rFonts w:cs="Times New Roman"/>
                <w:szCs w:val="24"/>
              </w:rPr>
              <w:t>(Juknat et al., 2013)</w:t>
            </w:r>
            <w:r w:rsidRPr="00E25A5D">
              <w:rPr>
                <w:rFonts w:cs="Times New Roman"/>
                <w:szCs w:val="24"/>
              </w:rPr>
              <w:fldChar w:fldCharType="end"/>
            </w:r>
          </w:p>
        </w:tc>
      </w:tr>
      <w:tr w:rsidR="00D21D4D" w:rsidRPr="00E25A5D" w14:paraId="60A6D5E9" w14:textId="77777777" w:rsidTr="00B92D6C">
        <w:trPr>
          <w:cantSplit/>
          <w:trHeight w:val="20"/>
        </w:trPr>
        <w:tc>
          <w:tcPr>
            <w:tcW w:w="1390" w:type="dxa"/>
            <w:vAlign w:val="center"/>
          </w:tcPr>
          <w:p w14:paraId="3980D4F3" w14:textId="77777777" w:rsidR="00D21D4D" w:rsidRPr="00E25A5D" w:rsidRDefault="00D21D4D" w:rsidP="00B92D6C">
            <w:pPr>
              <w:rPr>
                <w:rFonts w:cs="Times New Roman"/>
                <w:szCs w:val="24"/>
              </w:rPr>
            </w:pPr>
            <w:r w:rsidRPr="00E25A5D">
              <w:rPr>
                <w:rFonts w:cs="Times New Roman"/>
                <w:szCs w:val="24"/>
              </w:rPr>
              <w:t>GSE77578</w:t>
            </w:r>
          </w:p>
        </w:tc>
        <w:tc>
          <w:tcPr>
            <w:tcW w:w="6597" w:type="dxa"/>
            <w:vAlign w:val="center"/>
          </w:tcPr>
          <w:p w14:paraId="1E7649D8" w14:textId="77777777" w:rsidR="00D21D4D" w:rsidRPr="00E25A5D" w:rsidRDefault="00D21D4D" w:rsidP="00B92D6C">
            <w:pPr>
              <w:rPr>
                <w:rFonts w:cs="Times New Roman"/>
                <w:color w:val="000000"/>
                <w:szCs w:val="24"/>
                <w:lang w:val="en-GB"/>
              </w:rPr>
            </w:pPr>
            <w:r w:rsidRPr="00E25A5D">
              <w:rPr>
                <w:rFonts w:cs="Times New Roman"/>
                <w:color w:val="000000"/>
                <w:szCs w:val="24"/>
              </w:rPr>
              <w:t>https://www.ncbi.nlm.nih.gov/geo/query/acc.cgi?acc=GSE77578</w:t>
            </w:r>
          </w:p>
        </w:tc>
        <w:tc>
          <w:tcPr>
            <w:tcW w:w="1780" w:type="dxa"/>
            <w:vAlign w:val="center"/>
          </w:tcPr>
          <w:p w14:paraId="3AFB9599" w14:textId="77777777" w:rsidR="00D21D4D" w:rsidRPr="00E25A5D" w:rsidRDefault="00D21D4D" w:rsidP="00B92D6C">
            <w:pPr>
              <w:rPr>
                <w:rFonts w:cs="Times New Roman"/>
                <w:szCs w:val="24"/>
              </w:rPr>
            </w:pPr>
            <w:r w:rsidRPr="00E25A5D">
              <w:rPr>
                <w:rFonts w:cs="Times New Roman"/>
                <w:szCs w:val="24"/>
              </w:rPr>
              <w:fldChar w:fldCharType="begin"/>
            </w:r>
            <w:r w:rsidRPr="00E25A5D">
              <w:rPr>
                <w:rFonts w:cs="Times New Roman"/>
                <w:szCs w:val="24"/>
              </w:rPr>
              <w:instrText xml:space="preserve"> ADDIN ZOTERO_ITEM CSL_CITATION {"citationID":"Poz1G40x","properties":{"formattedCitation":"(Srivastava et al., 2018)","plainCitation":"(Srivastava et al., 2018)","noteIndex":0},"citationItems":[{"id":6298,"uris":["http://zotero.org/users/4407378/items/GX9Z3GM4"],"itemData":{"id":6298,"type":"article-journal","abstract":"The identification of drug targets is highly challenging, particularly for diseases of the brain. To address this problem, we developed and experimentally validated a general computational framework for drug target discovery that combines gene regulatory information with causal reasoning (\"Causal Reasoning Analytical Framework for Target discovery\"-CRAFT). Using a systems genetics approach and starting from gene expression data from the target tissue, CRAFT provides a predictive framework for identifying cell membrane receptors with a direction-specified influence over disease-related gene expression profiles. As proof of concept, we applied CRAFT to epilepsy and predicted the tyrosine kinase receptor Csf1R as a potential therapeutic target. The predicted effect of Csf1R blockade in attenuating epilepsy seizures was validated in three pre-clinical models of epilepsy. These results highlight CRAFT as a systems-level framework for target discovery and suggest Csf1R blockade as a novel therapeutic strategy in epilepsy. CRAFT is applicable to disease settings other than epilepsy.","container-title":"Nature Communications","DOI":"10.1038/s41467-018-06008-4","ISSN":"2041-1723","issue":"1","journalAbbreviation":"Nat Commun","language":"eng","note":"PMID: 30177815\nPMCID: PMC6120885","page":"3561","source":"PubMed","title":"A systems-level framework for drug discovery identifies Csf1R as an anti-epileptic drug target","volume":"9","author":[{"family":"Srivastava","given":"Prashant K."},{"family":"Eyll","given":"Jonathan","non-dropping-particle":"van"},{"family":"Godard","given":"Patrice"},{"family":"Mazzuferi","given":"Manuela"},{"family":"Delahaye-Duriez","given":"Andree"},{"family":"Van Steenwinckel","given":"Juliette"},{"family":"Gressens","given":"Pierre"},{"family":"Danis","given":"Benedicte"},{"family":"Vandenplas","given":"Catherine"},{"family":"Foerch","given":"Patrik"},{"family":"Leclercq","given":"Karine"},{"family":"Mairet-Coello","given":"Georges"},{"family":"Cardenas","given":"Alvaro"},{"family":"Vanclef","given":"Frederic"},{"family":"Laaniste","given":"Liisi"},{"family":"Niespodziany","given":"Isabelle"},{"family":"Keaney","given":"James"},{"family":"Gasser","given":"Julien"},{"family":"Gillet","given":"Gaelle"},{"family":"Shkura","given":"Kirill"},{"family":"Chong","given":"Seon-Ah"},{"family":"Behmoaras","given":"Jacques"},{"family":"Kadiu","given":"Irena"},{"family":"Petretto","given":"Enrico"},{"family":"Kaminski","given":"Rafal M."},{"family":"Johnson","given":"Michael R."}],"issued":{"date-parts":[["2018",9,3]]}}}],"schema":"https://github.com/citation-style-language/schema/raw/master/csl-citation.json"} </w:instrText>
            </w:r>
            <w:r w:rsidRPr="00E25A5D">
              <w:rPr>
                <w:rFonts w:cs="Times New Roman"/>
                <w:szCs w:val="24"/>
              </w:rPr>
              <w:fldChar w:fldCharType="separate"/>
            </w:r>
            <w:r w:rsidRPr="00E25A5D">
              <w:rPr>
                <w:rFonts w:cs="Times New Roman"/>
                <w:szCs w:val="24"/>
              </w:rPr>
              <w:t>(Srivastava et al., 2018)</w:t>
            </w:r>
            <w:r w:rsidRPr="00E25A5D">
              <w:rPr>
                <w:rFonts w:cs="Times New Roman"/>
                <w:szCs w:val="24"/>
              </w:rPr>
              <w:fldChar w:fldCharType="end"/>
            </w:r>
          </w:p>
        </w:tc>
      </w:tr>
      <w:tr w:rsidR="00D21D4D" w:rsidRPr="00E25A5D" w14:paraId="2E717678" w14:textId="77777777" w:rsidTr="00B92D6C">
        <w:trPr>
          <w:cantSplit/>
          <w:trHeight w:val="619"/>
        </w:trPr>
        <w:tc>
          <w:tcPr>
            <w:tcW w:w="1390" w:type="dxa"/>
            <w:vAlign w:val="center"/>
          </w:tcPr>
          <w:p w14:paraId="7B6948D9" w14:textId="77777777" w:rsidR="00D21D4D" w:rsidRPr="00E25A5D" w:rsidRDefault="00D21D4D" w:rsidP="00B92D6C">
            <w:pPr>
              <w:rPr>
                <w:rFonts w:cs="Times New Roman"/>
                <w:szCs w:val="24"/>
              </w:rPr>
            </w:pPr>
            <w:r w:rsidRPr="00E25A5D">
              <w:rPr>
                <w:rFonts w:cs="Times New Roman"/>
                <w:szCs w:val="24"/>
              </w:rPr>
              <w:t>GSE190451</w:t>
            </w:r>
          </w:p>
        </w:tc>
        <w:tc>
          <w:tcPr>
            <w:tcW w:w="6597" w:type="dxa"/>
            <w:vAlign w:val="center"/>
          </w:tcPr>
          <w:p w14:paraId="111C9AAE" w14:textId="77777777" w:rsidR="00D21D4D" w:rsidRPr="00E25A5D" w:rsidRDefault="00D21D4D" w:rsidP="00B92D6C">
            <w:pPr>
              <w:rPr>
                <w:rFonts w:cs="Times New Roman"/>
                <w:color w:val="000000"/>
                <w:szCs w:val="24"/>
                <w:lang w:val="en-GB"/>
              </w:rPr>
            </w:pPr>
            <w:r w:rsidRPr="00E25A5D">
              <w:rPr>
                <w:rFonts w:cs="Times New Roman"/>
                <w:color w:val="000000"/>
                <w:szCs w:val="24"/>
              </w:rPr>
              <w:t>https://www.ncbi.nlm.nih.gov/geo/query/acc.cgi?acc=GSE190451</w:t>
            </w:r>
          </w:p>
        </w:tc>
        <w:tc>
          <w:tcPr>
            <w:tcW w:w="1780" w:type="dxa"/>
            <w:vAlign w:val="center"/>
          </w:tcPr>
          <w:p w14:paraId="1166C3C7" w14:textId="77777777" w:rsidR="00D21D4D" w:rsidRPr="00E25A5D" w:rsidRDefault="00D21D4D" w:rsidP="00B92D6C">
            <w:pPr>
              <w:rPr>
                <w:rFonts w:cs="Times New Roman"/>
                <w:szCs w:val="24"/>
              </w:rPr>
            </w:pPr>
            <w:r w:rsidRPr="00E25A5D">
              <w:rPr>
                <w:rFonts w:cs="Times New Roman"/>
                <w:szCs w:val="24"/>
              </w:rPr>
              <w:fldChar w:fldCharType="begin"/>
            </w:r>
            <w:r w:rsidRPr="00E25A5D">
              <w:rPr>
                <w:rFonts w:cs="Times New Roman"/>
                <w:szCs w:val="24"/>
              </w:rPr>
              <w:instrText xml:space="preserve"> ADDIN ZOTERO_ITEM CSL_CITATION {"citationID":"VpV2o1SC","properties":{"formattedCitation":"(Chen et al., 2023)","plainCitation":"(Chen et al., 2023)","noteIndex":0},"citationItems":[{"id":6291,"uris":["http://zotero.org/users/4407378/items/JRL9U8TA"],"itemData":{"id":6291,"type":"article-journal","abstract":"Reactive astrocytes play an important role in neurological diseases, but their molecular and functional phenotypes in epilepsy are unclear. Here, we show that in patients with temporal lobe epilepsy (TLE) and mouse models of epilepsy, excessive lipid accumulation in astrocytes leads to the formation of lipid-accumulated reactive astrocytes (LARAs), a new reactive astrocyte subtype characterized by elevated APOE expression. Genetic knockout of APOE inhibited LARA formation and seizure activities in epileptic mice. Single-nucleus RNA sequencing in TLE patients confirmed the existence of a LARA subpopulation with a distinct molecular signature. Functional studies in epilepsy mouse models and human brain slices showed that LARAs promote neuronal hyperactivity and disease progression. Targeting LARAs by intervention with lipid transport and metabolism could thus provide new therapeutic options for drug-resistant TLE.","container-title":"Nature Neuroscience","DOI":"10.1038/s41593-023-01288-6","ISSN":"1546-1726","issue":"4","journalAbbreviation":"Nat Neurosci","language":"en","license":"2023 The Author(s), under exclusive licence to Springer Nature America, Inc.","note":"number: 4\npublisher: Nature Publishing Group","page":"542-554","source":"www.nature.com","title":"Lipid-accumulated reactive astrocytes promote disease progression in epilepsy","volume":"26","author":[{"family":"Chen","given":"Zhang-Peng"},{"family":"Wang","given":"Suji"},{"family":"Zhao","given":"Xiansen"},{"family":"Fang","given":"Wen"},{"family":"Wang","given":"Zhengge"},{"family":"Ye","given":"Haojie"},{"family":"Wang","given":"Meng-Ju"},{"family":"Ke","given":"Ling"},{"family":"Huang","given":"Tengfei"},{"family":"Lv","given":"Pin"},{"family":"Jiang","given":"Xiaohong"},{"family":"Zhang","given":"Qipeng"},{"family":"Li","given":"Liang"},{"family":"Xie","given":"Shu-Tao"},{"family":"Zhu","given":"Jing-Ning"},{"family":"Hang","given":"Chunhua"},{"family":"Chen","given":"Dijun"},{"family":"Liu","given":"Xiangyu"},{"family":"Yan","given":"Chao"}],"issued":{"date-parts":[["2023",4]]}}}],"schema":"https://github.com/citation-style-language/schema/raw/master/csl-citation.json"} </w:instrText>
            </w:r>
            <w:r w:rsidRPr="00E25A5D">
              <w:rPr>
                <w:rFonts w:cs="Times New Roman"/>
                <w:szCs w:val="24"/>
              </w:rPr>
              <w:fldChar w:fldCharType="separate"/>
            </w:r>
            <w:r w:rsidRPr="00E25A5D">
              <w:rPr>
                <w:rFonts w:cs="Times New Roman"/>
                <w:szCs w:val="24"/>
              </w:rPr>
              <w:t>(Chen et al., 2023)</w:t>
            </w:r>
            <w:r w:rsidRPr="00E25A5D">
              <w:rPr>
                <w:rFonts w:cs="Times New Roman"/>
                <w:szCs w:val="24"/>
              </w:rPr>
              <w:fldChar w:fldCharType="end"/>
            </w:r>
          </w:p>
        </w:tc>
      </w:tr>
      <w:tr w:rsidR="00FA062D" w:rsidRPr="00E25A5D" w14:paraId="506DFC69" w14:textId="77777777" w:rsidTr="00B92D6C">
        <w:trPr>
          <w:cantSplit/>
          <w:trHeight w:val="619"/>
        </w:trPr>
        <w:tc>
          <w:tcPr>
            <w:tcW w:w="1390" w:type="dxa"/>
            <w:vAlign w:val="center"/>
          </w:tcPr>
          <w:p w14:paraId="0ECFE28F" w14:textId="01C86B94" w:rsidR="00FA062D" w:rsidRPr="00E25A5D" w:rsidRDefault="00FA062D" w:rsidP="00FA062D">
            <w:pPr>
              <w:rPr>
                <w:rFonts w:cs="Times New Roman"/>
                <w:szCs w:val="24"/>
              </w:rPr>
            </w:pPr>
            <w:r w:rsidRPr="00E25A5D">
              <w:rPr>
                <w:rFonts w:cs="Times New Roman"/>
                <w:szCs w:val="24"/>
              </w:rPr>
              <w:t>GSE74150</w:t>
            </w:r>
          </w:p>
        </w:tc>
        <w:tc>
          <w:tcPr>
            <w:tcW w:w="6597" w:type="dxa"/>
            <w:vAlign w:val="center"/>
          </w:tcPr>
          <w:p w14:paraId="58333E32" w14:textId="7FB43C17" w:rsidR="00FA062D" w:rsidRPr="00E25A5D" w:rsidRDefault="00FA062D" w:rsidP="00FA062D">
            <w:pPr>
              <w:rPr>
                <w:rFonts w:cs="Times New Roman"/>
                <w:color w:val="000000"/>
                <w:szCs w:val="24"/>
              </w:rPr>
            </w:pPr>
            <w:r w:rsidRPr="00E25A5D">
              <w:rPr>
                <w:rFonts w:cs="Times New Roman"/>
                <w:color w:val="000000"/>
                <w:szCs w:val="24"/>
              </w:rPr>
              <w:t>https://www.ncbi.nlm.nih.gov/geo/query/acc.cgi?acc=GSE74150</w:t>
            </w:r>
          </w:p>
        </w:tc>
        <w:tc>
          <w:tcPr>
            <w:tcW w:w="1780" w:type="dxa"/>
            <w:vAlign w:val="center"/>
          </w:tcPr>
          <w:p w14:paraId="40E5F17C" w14:textId="5345C50F" w:rsidR="00FA062D" w:rsidRPr="00E25A5D" w:rsidRDefault="00FA062D" w:rsidP="00FA062D">
            <w:pPr>
              <w:rPr>
                <w:rFonts w:cs="Times New Roman"/>
                <w:szCs w:val="24"/>
              </w:rPr>
            </w:pPr>
            <w:r w:rsidRPr="00E25A5D">
              <w:rPr>
                <w:rFonts w:cs="Times New Roman"/>
                <w:szCs w:val="24"/>
              </w:rPr>
              <w:fldChar w:fldCharType="begin"/>
            </w:r>
            <w:r w:rsidRPr="00E25A5D">
              <w:rPr>
                <w:rFonts w:cs="Times New Roman"/>
                <w:szCs w:val="24"/>
              </w:rPr>
              <w:instrText xml:space="preserve"> ADDIN ZOTERO_ITEM CSL_CITATION {"citationID":"sWUuqtPB","properties":{"formattedCitation":"(Damasceno et al., 2020)","plainCitation":"(Damasceno et al., 2020)","noteIndex":0},"citationItems":[{"id":6927,"uris":["http://zotero.org/users/4407378/items/PW78VRPU"],"itemData":{"id":6927,"type":"article-journal","abstract":"The Wistar Audiogenic Rat (WAR) and the Genetic Audiogenic Seizure Hamster from Salamanca (GASH/Sal) strains are audiogenic epilepsy models, in which seizures are triggered by acoustic stimulation. These strains were developed by selective reproduction and have a genetic background with minimal or no variation. In the current study, we evaluated the transcriptome of the inferior colliculus, the epileptogenic nucleus, of both audiogenic models, in order to get insights into common molecular aspects associated to their epileptic phenotype. Based on GASH/Sal RNA-Seq and WAR microarray data, we performed a comparative analysis that includes selection and functional annotation of differentially regulated genes in each model, transcriptional evaluation by quantitative reverse transcription PCR of common genes identified in both transcriptomes and immunohistochemistry. The microarray data revealed 71 genes with differential expression in WAR, and the RNA-Seq data revealed 64 genes in GASH/Sal, showing common genes in both models. Analysis of transcripts showed that Egr3 was overexpressed in WAR and GASH/Sal after audiogenic seizures. The Npy, Rgs2, Ttr, and Abcb1a genes presented the same transcriptional profile in the WAR, being overexpressed in the naïve and stimulated WAR in relation to their controls. Npy appeared overexpressed only in the naïve GASH/Sal compared to its control, while Rgs2 and Ttr genes appeared overexpressed in naïve GASH/Sal and overexpressed after audiogenic seizure. No statistical difference was observed in the expression of Abcb1a in the GASH/Sal model. Compared to control animals, the immunohistochemical analysis of the inferior colliculus showed an increased immunoreactivity for NPY, RGS2, and TTR in both audiogenic models. Our data suggest that WAR and GASH/Sal strains have a difference in the timing of gene expression after seizure, in which GASH/Sal seems to respond more quickly. The transcriptional profile of the Npy, Rgs2, and Ttr genes under free-seizure conditions in both audiogenic models indicates an intrinsic expression already established in the strains. Our findings suggest that these genes may be causing small changes in different biological processes involved in seizure occurrence and response, and indirectly contributing to the susceptibility of the WAR and GASH/Sal models to audiogenic seizures.","container-title":"Frontiers in Neurology","DOI":"10.3389/fneur.2020.00033","ISSN":"1664-2295","journalAbbreviation":"Front Neurol","language":"eng","note":"PMID: 32117006\nPMCID: PMC7031349","page":"33","source":"PubMed","title":"Top Common Differentially Expressed Genes in the Epileptogenic Nucleus of Two Strains of Rodents Susceptible to Audiogenic Seizures: WAR and GASH/Sal","title-short":"Top Common Differentially Expressed Genes in the Epileptogenic Nucleus of Two Strains of Rodents Susceptible to Audiogenic Seizures","volume":"11","author":[{"family":"Damasceno","given":"Samara"},{"family":"Gómez-Nieto","given":"Ricardo"},{"family":"Garcia-Cairasco","given":"Norberto"},{"family":"Herrero-Turrión","given":"Manuel Javier"},{"family":"Marín","given":"Faustino"},{"family":"Lopéz","given":"Dolores E."}],"issued":{"date-parts":[["2020"]]}}}],"schema":"https://github.com/citation-style-language/schema/raw/master/csl-citation.json"} </w:instrText>
            </w:r>
            <w:r w:rsidRPr="00E25A5D">
              <w:rPr>
                <w:rFonts w:cs="Times New Roman"/>
                <w:szCs w:val="24"/>
              </w:rPr>
              <w:fldChar w:fldCharType="separate"/>
            </w:r>
            <w:r w:rsidRPr="00E25A5D">
              <w:rPr>
                <w:rFonts w:cs="Times New Roman"/>
              </w:rPr>
              <w:t>(Damasceno et al., 2020)</w:t>
            </w:r>
            <w:r w:rsidRPr="00E25A5D">
              <w:rPr>
                <w:rFonts w:cs="Times New Roman"/>
                <w:szCs w:val="24"/>
              </w:rPr>
              <w:fldChar w:fldCharType="end"/>
            </w:r>
          </w:p>
        </w:tc>
      </w:tr>
    </w:tbl>
    <w:p w14:paraId="180F3F5F" w14:textId="2C6CB5DB" w:rsidR="00D21D4D" w:rsidRPr="00E25A5D" w:rsidRDefault="00D21D4D" w:rsidP="00434A6A">
      <w:pPr>
        <w:jc w:val="both"/>
        <w:rPr>
          <w:b/>
          <w:i/>
        </w:rPr>
      </w:pPr>
    </w:p>
    <w:p w14:paraId="6189528C" w14:textId="5BED46A0" w:rsidR="00252A6A" w:rsidRPr="00E25A5D" w:rsidRDefault="00252A6A" w:rsidP="00252A6A">
      <w:pPr>
        <w:jc w:val="both"/>
        <w:rPr>
          <w:i/>
        </w:rPr>
      </w:pPr>
      <w:r w:rsidRPr="00E25A5D">
        <w:rPr>
          <w:b/>
          <w:i/>
        </w:rPr>
        <w:t>Supplementary Table S2</w:t>
      </w:r>
      <w:r w:rsidRPr="00E25A5D">
        <w:rPr>
          <w:i/>
        </w:rPr>
        <w:t xml:space="preserve">. </w:t>
      </w:r>
      <w:r w:rsidRPr="00E25A5D">
        <w:rPr>
          <w:b/>
          <w:i/>
        </w:rPr>
        <w:t xml:space="preserve">Genes of interest in the present study. </w:t>
      </w:r>
      <w:r w:rsidR="00A02F2A" w:rsidRPr="00E25A5D">
        <w:rPr>
          <w:i/>
        </w:rPr>
        <w:t>Thirteen</w:t>
      </w:r>
      <w:r w:rsidRPr="00E25A5D">
        <w:rPr>
          <w:b/>
          <w:i/>
        </w:rPr>
        <w:t xml:space="preserve"> </w:t>
      </w:r>
      <w:r w:rsidRPr="00E25A5D">
        <w:rPr>
          <w:i/>
        </w:rPr>
        <w:t xml:space="preserve">genes were </w:t>
      </w:r>
      <w:r w:rsidR="006024C8" w:rsidRPr="00E25A5D">
        <w:rPr>
          <w:i/>
        </w:rPr>
        <w:t xml:space="preserve">selected based on known actors of the </w:t>
      </w:r>
      <w:proofErr w:type="spellStart"/>
      <w:r w:rsidR="006024C8" w:rsidRPr="00E25A5D">
        <w:rPr>
          <w:i/>
        </w:rPr>
        <w:t>eCB</w:t>
      </w:r>
      <w:proofErr w:type="spellEnd"/>
      <w:r w:rsidR="006024C8" w:rsidRPr="00E25A5D">
        <w:rPr>
          <w:i/>
        </w:rPr>
        <w:t xml:space="preserve"> system.</w:t>
      </w:r>
    </w:p>
    <w:tbl>
      <w:tblPr>
        <w:tblStyle w:val="TableGrid"/>
        <w:tblW w:w="0" w:type="auto"/>
        <w:jc w:val="center"/>
        <w:tblLook w:val="04A0" w:firstRow="1" w:lastRow="0" w:firstColumn="1" w:lastColumn="0" w:noHBand="0" w:noVBand="1"/>
      </w:tblPr>
      <w:tblGrid>
        <w:gridCol w:w="1413"/>
        <w:gridCol w:w="6662"/>
        <w:gridCol w:w="1583"/>
      </w:tblGrid>
      <w:tr w:rsidR="00E81229" w:rsidRPr="00E25A5D" w14:paraId="3769D3CC" w14:textId="41C1FA9A" w:rsidTr="00E81229">
        <w:trPr>
          <w:trHeight w:hRule="exact" w:val="567"/>
          <w:jc w:val="center"/>
        </w:trPr>
        <w:tc>
          <w:tcPr>
            <w:tcW w:w="1413" w:type="dxa"/>
            <w:vAlign w:val="center"/>
          </w:tcPr>
          <w:p w14:paraId="3EB5F9CC" w14:textId="6BD4E144" w:rsidR="00E81229" w:rsidRPr="00E25A5D" w:rsidRDefault="00E81229" w:rsidP="00E81229">
            <w:pPr>
              <w:spacing w:before="0"/>
              <w:jc w:val="center"/>
              <w:rPr>
                <w:b/>
              </w:rPr>
            </w:pPr>
            <w:r w:rsidRPr="00E25A5D">
              <w:rPr>
                <w:b/>
              </w:rPr>
              <w:t>Gene</w:t>
            </w:r>
          </w:p>
        </w:tc>
        <w:tc>
          <w:tcPr>
            <w:tcW w:w="6662" w:type="dxa"/>
            <w:vAlign w:val="center"/>
          </w:tcPr>
          <w:p w14:paraId="663CEB23" w14:textId="2CFB8284" w:rsidR="00E81229" w:rsidRPr="00E25A5D" w:rsidRDefault="00E81229" w:rsidP="00E81229">
            <w:pPr>
              <w:spacing w:before="0"/>
              <w:jc w:val="center"/>
            </w:pPr>
            <w:r w:rsidRPr="00E25A5D">
              <w:rPr>
                <w:b/>
              </w:rPr>
              <w:t>Full</w:t>
            </w:r>
            <w:r w:rsidRPr="00E25A5D">
              <w:t xml:space="preserve"> </w:t>
            </w:r>
            <w:r w:rsidRPr="00E25A5D">
              <w:rPr>
                <w:b/>
              </w:rPr>
              <w:t>name</w:t>
            </w:r>
          </w:p>
        </w:tc>
        <w:tc>
          <w:tcPr>
            <w:tcW w:w="1583" w:type="dxa"/>
            <w:vAlign w:val="center"/>
          </w:tcPr>
          <w:p w14:paraId="49B7BCA3" w14:textId="02F3E790" w:rsidR="00E81229" w:rsidRPr="00E25A5D" w:rsidRDefault="00E81229" w:rsidP="00E81229">
            <w:pPr>
              <w:spacing w:before="0"/>
              <w:jc w:val="center"/>
              <w:rPr>
                <w:b/>
              </w:rPr>
            </w:pPr>
            <w:r w:rsidRPr="00E25A5D">
              <w:rPr>
                <w:b/>
              </w:rPr>
              <w:t>Function</w:t>
            </w:r>
          </w:p>
        </w:tc>
      </w:tr>
      <w:tr w:rsidR="00E81229" w:rsidRPr="00E25A5D" w14:paraId="03D264EF" w14:textId="28CC9920" w:rsidTr="00E81229">
        <w:trPr>
          <w:trHeight w:hRule="exact" w:val="567"/>
          <w:jc w:val="center"/>
        </w:trPr>
        <w:tc>
          <w:tcPr>
            <w:tcW w:w="1413" w:type="dxa"/>
            <w:vAlign w:val="center"/>
          </w:tcPr>
          <w:p w14:paraId="71EF13EB" w14:textId="7A4B70ED" w:rsidR="00E81229" w:rsidRPr="00E25A5D" w:rsidRDefault="00E81229" w:rsidP="00E81229">
            <w:pPr>
              <w:tabs>
                <w:tab w:val="left" w:pos="2110"/>
              </w:tabs>
              <w:spacing w:before="0"/>
              <w:jc w:val="center"/>
            </w:pPr>
            <w:r w:rsidRPr="00E25A5D">
              <w:t>CNR1</w:t>
            </w:r>
          </w:p>
        </w:tc>
        <w:tc>
          <w:tcPr>
            <w:tcW w:w="6662" w:type="dxa"/>
            <w:vAlign w:val="center"/>
          </w:tcPr>
          <w:p w14:paraId="7BDC2444" w14:textId="325A388A" w:rsidR="00E81229" w:rsidRPr="00E25A5D" w:rsidRDefault="00E81229" w:rsidP="00E81229">
            <w:pPr>
              <w:pStyle w:val="Heading1"/>
              <w:numPr>
                <w:ilvl w:val="0"/>
                <w:numId w:val="0"/>
              </w:numPr>
              <w:spacing w:before="0"/>
              <w:ind w:left="567" w:hanging="567"/>
              <w:jc w:val="center"/>
              <w:rPr>
                <w:b w:val="0"/>
              </w:rPr>
            </w:pPr>
            <w:r w:rsidRPr="00E25A5D">
              <w:rPr>
                <w:b w:val="0"/>
              </w:rPr>
              <w:t>cannabinoid receptor 1</w:t>
            </w:r>
          </w:p>
        </w:tc>
        <w:tc>
          <w:tcPr>
            <w:tcW w:w="1583" w:type="dxa"/>
            <w:vAlign w:val="center"/>
          </w:tcPr>
          <w:p w14:paraId="4C1B2748" w14:textId="23F6B9AE" w:rsidR="00E81229" w:rsidRPr="00E25A5D" w:rsidRDefault="00E81229" w:rsidP="00E81229">
            <w:pPr>
              <w:spacing w:before="0"/>
              <w:jc w:val="center"/>
            </w:pPr>
            <w:r w:rsidRPr="00E25A5D">
              <w:t>receptor</w:t>
            </w:r>
          </w:p>
        </w:tc>
      </w:tr>
      <w:tr w:rsidR="00E81229" w:rsidRPr="00E25A5D" w14:paraId="7CB89A9D" w14:textId="48BEDA02" w:rsidTr="00E81229">
        <w:trPr>
          <w:trHeight w:hRule="exact" w:val="567"/>
          <w:jc w:val="center"/>
        </w:trPr>
        <w:tc>
          <w:tcPr>
            <w:tcW w:w="1413" w:type="dxa"/>
            <w:vAlign w:val="center"/>
          </w:tcPr>
          <w:p w14:paraId="3976C5A5" w14:textId="2F2E8142" w:rsidR="00E81229" w:rsidRPr="00E25A5D" w:rsidRDefault="00E81229" w:rsidP="00E81229">
            <w:pPr>
              <w:spacing w:before="0"/>
              <w:jc w:val="center"/>
            </w:pPr>
            <w:r w:rsidRPr="00E25A5D">
              <w:t>CNR2</w:t>
            </w:r>
          </w:p>
        </w:tc>
        <w:tc>
          <w:tcPr>
            <w:tcW w:w="6662" w:type="dxa"/>
            <w:vAlign w:val="center"/>
          </w:tcPr>
          <w:p w14:paraId="1C8913D9" w14:textId="28432B16" w:rsidR="00E81229" w:rsidRPr="00E25A5D" w:rsidRDefault="00E81229" w:rsidP="00E81229">
            <w:pPr>
              <w:pStyle w:val="Heading1"/>
              <w:numPr>
                <w:ilvl w:val="0"/>
                <w:numId w:val="0"/>
              </w:numPr>
              <w:spacing w:before="0"/>
              <w:ind w:left="567" w:hanging="567"/>
              <w:jc w:val="center"/>
              <w:rPr>
                <w:b w:val="0"/>
                <w:sz w:val="48"/>
              </w:rPr>
            </w:pPr>
            <w:r w:rsidRPr="00E25A5D">
              <w:rPr>
                <w:b w:val="0"/>
              </w:rPr>
              <w:t>cannabinoid receptor 2</w:t>
            </w:r>
          </w:p>
        </w:tc>
        <w:tc>
          <w:tcPr>
            <w:tcW w:w="1583" w:type="dxa"/>
            <w:vAlign w:val="center"/>
          </w:tcPr>
          <w:p w14:paraId="5CBE6B4C" w14:textId="4B0B6F65" w:rsidR="00E81229" w:rsidRPr="00E25A5D" w:rsidRDefault="00E81229" w:rsidP="00E81229">
            <w:pPr>
              <w:spacing w:before="0"/>
              <w:jc w:val="center"/>
            </w:pPr>
            <w:r w:rsidRPr="00E25A5D">
              <w:t>receptor</w:t>
            </w:r>
          </w:p>
        </w:tc>
      </w:tr>
      <w:tr w:rsidR="00E81229" w:rsidRPr="00E25A5D" w14:paraId="133D50CE" w14:textId="10272405" w:rsidTr="00E81229">
        <w:trPr>
          <w:trHeight w:hRule="exact" w:val="567"/>
          <w:jc w:val="center"/>
        </w:trPr>
        <w:tc>
          <w:tcPr>
            <w:tcW w:w="1413" w:type="dxa"/>
            <w:vAlign w:val="center"/>
          </w:tcPr>
          <w:p w14:paraId="511065AE" w14:textId="733ABB1D" w:rsidR="00E81229" w:rsidRPr="00E25A5D" w:rsidRDefault="00E81229" w:rsidP="00E81229">
            <w:pPr>
              <w:spacing w:before="0"/>
              <w:jc w:val="center"/>
            </w:pPr>
            <w:r w:rsidRPr="00E25A5D">
              <w:t>TRPV1</w:t>
            </w:r>
          </w:p>
        </w:tc>
        <w:tc>
          <w:tcPr>
            <w:tcW w:w="6662" w:type="dxa"/>
            <w:vAlign w:val="center"/>
          </w:tcPr>
          <w:p w14:paraId="7D19ACBC" w14:textId="590DC48F" w:rsidR="00E81229" w:rsidRPr="00E25A5D" w:rsidRDefault="00E81229" w:rsidP="00E81229">
            <w:pPr>
              <w:spacing w:before="0"/>
              <w:jc w:val="center"/>
            </w:pPr>
            <w:r w:rsidRPr="00E25A5D">
              <w:t>transient receptor potential cation channel, subfamily V, member 1</w:t>
            </w:r>
          </w:p>
        </w:tc>
        <w:tc>
          <w:tcPr>
            <w:tcW w:w="1583" w:type="dxa"/>
            <w:vAlign w:val="center"/>
          </w:tcPr>
          <w:p w14:paraId="489D8C63" w14:textId="10BD480A" w:rsidR="00E81229" w:rsidRPr="00E25A5D" w:rsidRDefault="00E81229" w:rsidP="00E81229">
            <w:pPr>
              <w:spacing w:before="0"/>
              <w:jc w:val="center"/>
            </w:pPr>
            <w:r w:rsidRPr="00E25A5D">
              <w:t>receptor</w:t>
            </w:r>
          </w:p>
        </w:tc>
      </w:tr>
      <w:tr w:rsidR="00E81229" w:rsidRPr="00E25A5D" w14:paraId="75A3D486" w14:textId="5F1F911F" w:rsidTr="00E81229">
        <w:trPr>
          <w:trHeight w:hRule="exact" w:val="567"/>
          <w:jc w:val="center"/>
        </w:trPr>
        <w:tc>
          <w:tcPr>
            <w:tcW w:w="1413" w:type="dxa"/>
            <w:vAlign w:val="center"/>
          </w:tcPr>
          <w:p w14:paraId="3251A157" w14:textId="722CEE07" w:rsidR="00E81229" w:rsidRPr="00E25A5D" w:rsidRDefault="00E81229" w:rsidP="00E81229">
            <w:pPr>
              <w:spacing w:before="0"/>
              <w:jc w:val="center"/>
            </w:pPr>
            <w:r w:rsidRPr="00E25A5D">
              <w:t>GPR55</w:t>
            </w:r>
          </w:p>
        </w:tc>
        <w:tc>
          <w:tcPr>
            <w:tcW w:w="6662" w:type="dxa"/>
            <w:vAlign w:val="center"/>
          </w:tcPr>
          <w:p w14:paraId="00A74A6B" w14:textId="6926C932" w:rsidR="00E81229" w:rsidRPr="00E25A5D" w:rsidRDefault="00E81229" w:rsidP="00E81229">
            <w:pPr>
              <w:spacing w:before="0"/>
              <w:jc w:val="center"/>
            </w:pPr>
            <w:r w:rsidRPr="00E25A5D">
              <w:t>G protein-coupled receptor 55</w:t>
            </w:r>
          </w:p>
        </w:tc>
        <w:tc>
          <w:tcPr>
            <w:tcW w:w="1583" w:type="dxa"/>
            <w:vAlign w:val="center"/>
          </w:tcPr>
          <w:p w14:paraId="590F4653" w14:textId="48817303" w:rsidR="00E81229" w:rsidRPr="00E25A5D" w:rsidRDefault="00E81229" w:rsidP="00E81229">
            <w:pPr>
              <w:spacing w:before="0"/>
              <w:jc w:val="center"/>
            </w:pPr>
            <w:r w:rsidRPr="00E25A5D">
              <w:t>receptor</w:t>
            </w:r>
          </w:p>
        </w:tc>
      </w:tr>
      <w:tr w:rsidR="00E81229" w:rsidRPr="00E25A5D" w14:paraId="4552B20A" w14:textId="3A09C5DB" w:rsidTr="00E81229">
        <w:trPr>
          <w:trHeight w:hRule="exact" w:val="567"/>
          <w:jc w:val="center"/>
        </w:trPr>
        <w:tc>
          <w:tcPr>
            <w:tcW w:w="1413" w:type="dxa"/>
            <w:vAlign w:val="center"/>
          </w:tcPr>
          <w:p w14:paraId="291D1DB7" w14:textId="6798508E" w:rsidR="00E81229" w:rsidRPr="00E25A5D" w:rsidRDefault="00E81229" w:rsidP="00E81229">
            <w:pPr>
              <w:spacing w:before="0"/>
              <w:jc w:val="center"/>
            </w:pPr>
            <w:r w:rsidRPr="00E25A5D">
              <w:lastRenderedPageBreak/>
              <w:t>GPR110</w:t>
            </w:r>
          </w:p>
        </w:tc>
        <w:tc>
          <w:tcPr>
            <w:tcW w:w="6662" w:type="dxa"/>
            <w:vAlign w:val="center"/>
          </w:tcPr>
          <w:p w14:paraId="5D09CF78" w14:textId="07567334" w:rsidR="00E81229" w:rsidRPr="00E25A5D" w:rsidRDefault="00E81229" w:rsidP="00E81229">
            <w:pPr>
              <w:spacing w:before="0"/>
              <w:jc w:val="center"/>
              <w:rPr>
                <w:i/>
              </w:rPr>
            </w:pPr>
            <w:r w:rsidRPr="00E25A5D">
              <w:t>G protein-coupled receptor 110</w:t>
            </w:r>
          </w:p>
        </w:tc>
        <w:tc>
          <w:tcPr>
            <w:tcW w:w="1583" w:type="dxa"/>
            <w:vAlign w:val="center"/>
          </w:tcPr>
          <w:p w14:paraId="23F82506" w14:textId="00B5B310" w:rsidR="00E81229" w:rsidRPr="00E25A5D" w:rsidRDefault="00E81229" w:rsidP="00E81229">
            <w:pPr>
              <w:spacing w:before="0"/>
              <w:jc w:val="center"/>
              <w:rPr>
                <w:i/>
              </w:rPr>
            </w:pPr>
            <w:r w:rsidRPr="00E25A5D">
              <w:t>receptor</w:t>
            </w:r>
          </w:p>
        </w:tc>
      </w:tr>
      <w:tr w:rsidR="00E81229" w:rsidRPr="00E25A5D" w14:paraId="3DFE6790" w14:textId="01B10F15" w:rsidTr="00E81229">
        <w:trPr>
          <w:trHeight w:hRule="exact" w:val="567"/>
          <w:jc w:val="center"/>
        </w:trPr>
        <w:tc>
          <w:tcPr>
            <w:tcW w:w="1413" w:type="dxa"/>
            <w:vAlign w:val="center"/>
          </w:tcPr>
          <w:p w14:paraId="1084F89C" w14:textId="766D6242" w:rsidR="00E81229" w:rsidRPr="00E25A5D" w:rsidRDefault="00E81229" w:rsidP="00E81229">
            <w:pPr>
              <w:spacing w:before="0"/>
              <w:jc w:val="center"/>
            </w:pPr>
            <w:r w:rsidRPr="00E25A5D">
              <w:t>MGLL</w:t>
            </w:r>
          </w:p>
        </w:tc>
        <w:tc>
          <w:tcPr>
            <w:tcW w:w="6662" w:type="dxa"/>
            <w:vAlign w:val="center"/>
          </w:tcPr>
          <w:p w14:paraId="58423D61" w14:textId="23C32256" w:rsidR="00E81229" w:rsidRPr="00E25A5D" w:rsidRDefault="00E81229" w:rsidP="00E81229">
            <w:pPr>
              <w:spacing w:before="0" w:after="0"/>
              <w:jc w:val="center"/>
              <w:rPr>
                <w:i/>
              </w:rPr>
            </w:pPr>
            <w:r w:rsidRPr="00E25A5D">
              <w:t>monoglyceride lipase</w:t>
            </w:r>
          </w:p>
        </w:tc>
        <w:tc>
          <w:tcPr>
            <w:tcW w:w="1583" w:type="dxa"/>
            <w:vAlign w:val="center"/>
          </w:tcPr>
          <w:p w14:paraId="009C3914" w14:textId="56807728" w:rsidR="00E81229" w:rsidRPr="00E25A5D" w:rsidRDefault="00E81229" w:rsidP="00E81229">
            <w:pPr>
              <w:spacing w:before="0"/>
              <w:jc w:val="center"/>
            </w:pPr>
            <w:r w:rsidRPr="00E25A5D">
              <w:t>enzyme</w:t>
            </w:r>
          </w:p>
        </w:tc>
      </w:tr>
      <w:tr w:rsidR="00E81229" w:rsidRPr="00E25A5D" w14:paraId="0F5A467E" w14:textId="04465A56" w:rsidTr="00E81229">
        <w:trPr>
          <w:trHeight w:hRule="exact" w:val="567"/>
          <w:jc w:val="center"/>
        </w:trPr>
        <w:tc>
          <w:tcPr>
            <w:tcW w:w="1413" w:type="dxa"/>
            <w:vAlign w:val="center"/>
          </w:tcPr>
          <w:p w14:paraId="63D7D6FA" w14:textId="55220CF8" w:rsidR="00E81229" w:rsidRPr="00E25A5D" w:rsidRDefault="00E81229" w:rsidP="00E81229">
            <w:pPr>
              <w:spacing w:before="0"/>
              <w:jc w:val="center"/>
            </w:pPr>
            <w:r w:rsidRPr="00E25A5D">
              <w:t>DAGLA</w:t>
            </w:r>
          </w:p>
        </w:tc>
        <w:tc>
          <w:tcPr>
            <w:tcW w:w="6662" w:type="dxa"/>
            <w:vAlign w:val="center"/>
          </w:tcPr>
          <w:p w14:paraId="6A5F30F9" w14:textId="18E514ED" w:rsidR="00E81229" w:rsidRPr="00E25A5D" w:rsidRDefault="00E81229" w:rsidP="00E81229">
            <w:pPr>
              <w:spacing w:before="0"/>
              <w:jc w:val="center"/>
              <w:rPr>
                <w:i/>
              </w:rPr>
            </w:pPr>
            <w:r w:rsidRPr="00E25A5D">
              <w:t>diacylglycerol lipase, alpha</w:t>
            </w:r>
          </w:p>
        </w:tc>
        <w:tc>
          <w:tcPr>
            <w:tcW w:w="1583" w:type="dxa"/>
            <w:vAlign w:val="center"/>
          </w:tcPr>
          <w:p w14:paraId="1A0443D8" w14:textId="4BB1CA1E" w:rsidR="00E81229" w:rsidRPr="00E25A5D" w:rsidRDefault="00E81229" w:rsidP="00E81229">
            <w:pPr>
              <w:spacing w:before="0"/>
              <w:jc w:val="center"/>
              <w:rPr>
                <w:i/>
              </w:rPr>
            </w:pPr>
            <w:r w:rsidRPr="00E25A5D">
              <w:t>enzyme</w:t>
            </w:r>
          </w:p>
        </w:tc>
      </w:tr>
      <w:tr w:rsidR="00E81229" w:rsidRPr="00E25A5D" w14:paraId="4E93E4EA" w14:textId="77777777" w:rsidTr="00E81229">
        <w:trPr>
          <w:trHeight w:hRule="exact" w:val="567"/>
          <w:jc w:val="center"/>
        </w:trPr>
        <w:tc>
          <w:tcPr>
            <w:tcW w:w="1413" w:type="dxa"/>
            <w:vAlign w:val="center"/>
          </w:tcPr>
          <w:p w14:paraId="4DFFC107" w14:textId="07F38DCC" w:rsidR="00E81229" w:rsidRPr="00E25A5D" w:rsidRDefault="00E81229" w:rsidP="00E81229">
            <w:pPr>
              <w:spacing w:before="0"/>
              <w:jc w:val="center"/>
            </w:pPr>
            <w:r w:rsidRPr="00E25A5D">
              <w:t>PLCB1</w:t>
            </w:r>
          </w:p>
        </w:tc>
        <w:tc>
          <w:tcPr>
            <w:tcW w:w="6662" w:type="dxa"/>
            <w:vAlign w:val="center"/>
          </w:tcPr>
          <w:p w14:paraId="679D076D" w14:textId="61F70067" w:rsidR="00E81229" w:rsidRPr="00E25A5D" w:rsidRDefault="00E81229" w:rsidP="00E81229">
            <w:pPr>
              <w:spacing w:before="0"/>
              <w:jc w:val="center"/>
              <w:rPr>
                <w:i/>
              </w:rPr>
            </w:pPr>
            <w:r w:rsidRPr="00E25A5D">
              <w:t>phospholipase C beta 1</w:t>
            </w:r>
          </w:p>
        </w:tc>
        <w:tc>
          <w:tcPr>
            <w:tcW w:w="1583" w:type="dxa"/>
            <w:vAlign w:val="center"/>
          </w:tcPr>
          <w:p w14:paraId="0E32D14B" w14:textId="2B0FA5EE" w:rsidR="00E81229" w:rsidRPr="00E25A5D" w:rsidRDefault="00E81229" w:rsidP="00E81229">
            <w:pPr>
              <w:spacing w:before="0"/>
              <w:jc w:val="center"/>
              <w:rPr>
                <w:i/>
              </w:rPr>
            </w:pPr>
            <w:r w:rsidRPr="00E25A5D">
              <w:t>enzyme</w:t>
            </w:r>
          </w:p>
        </w:tc>
      </w:tr>
      <w:tr w:rsidR="00E81229" w:rsidRPr="00E25A5D" w14:paraId="460737E6" w14:textId="77777777" w:rsidTr="00E81229">
        <w:trPr>
          <w:trHeight w:hRule="exact" w:val="567"/>
          <w:jc w:val="center"/>
        </w:trPr>
        <w:tc>
          <w:tcPr>
            <w:tcW w:w="1413" w:type="dxa"/>
            <w:vAlign w:val="center"/>
          </w:tcPr>
          <w:p w14:paraId="72FF6C79" w14:textId="3CF4C8D7" w:rsidR="00E81229" w:rsidRPr="00E25A5D" w:rsidRDefault="00E81229" w:rsidP="00E81229">
            <w:pPr>
              <w:spacing w:before="0"/>
              <w:jc w:val="center"/>
            </w:pPr>
            <w:r w:rsidRPr="00E25A5D">
              <w:t>NAPE-PLD</w:t>
            </w:r>
          </w:p>
        </w:tc>
        <w:tc>
          <w:tcPr>
            <w:tcW w:w="6662" w:type="dxa"/>
            <w:vAlign w:val="center"/>
          </w:tcPr>
          <w:p w14:paraId="4BF16521" w14:textId="071A38FA" w:rsidR="00E81229" w:rsidRPr="00E25A5D" w:rsidRDefault="00E81229" w:rsidP="00E81229">
            <w:pPr>
              <w:spacing w:before="0"/>
              <w:jc w:val="center"/>
              <w:rPr>
                <w:i/>
              </w:rPr>
            </w:pPr>
            <w:r w:rsidRPr="00E25A5D">
              <w:t>N-acyl phosphatidylethanolamine phospholipase D</w:t>
            </w:r>
          </w:p>
        </w:tc>
        <w:tc>
          <w:tcPr>
            <w:tcW w:w="1583" w:type="dxa"/>
            <w:vAlign w:val="center"/>
          </w:tcPr>
          <w:p w14:paraId="06C1708B" w14:textId="61CC7759" w:rsidR="00E81229" w:rsidRPr="00E25A5D" w:rsidRDefault="00E81229" w:rsidP="00E81229">
            <w:pPr>
              <w:spacing w:before="0"/>
              <w:jc w:val="center"/>
              <w:rPr>
                <w:i/>
              </w:rPr>
            </w:pPr>
            <w:r w:rsidRPr="00E25A5D">
              <w:t>enzyme</w:t>
            </w:r>
          </w:p>
        </w:tc>
      </w:tr>
      <w:tr w:rsidR="00E81229" w:rsidRPr="00E25A5D" w14:paraId="7940BDBF" w14:textId="77777777" w:rsidTr="00E81229">
        <w:trPr>
          <w:trHeight w:hRule="exact" w:val="567"/>
          <w:jc w:val="center"/>
        </w:trPr>
        <w:tc>
          <w:tcPr>
            <w:tcW w:w="1413" w:type="dxa"/>
            <w:vAlign w:val="center"/>
          </w:tcPr>
          <w:p w14:paraId="37846825" w14:textId="41D91828" w:rsidR="00E81229" w:rsidRPr="00E25A5D" w:rsidRDefault="00E81229" w:rsidP="00E81229">
            <w:pPr>
              <w:spacing w:before="0"/>
              <w:jc w:val="center"/>
            </w:pPr>
            <w:r w:rsidRPr="00E25A5D">
              <w:t>FAAH</w:t>
            </w:r>
          </w:p>
        </w:tc>
        <w:tc>
          <w:tcPr>
            <w:tcW w:w="6662" w:type="dxa"/>
            <w:vAlign w:val="center"/>
          </w:tcPr>
          <w:p w14:paraId="6D9C2DBA" w14:textId="0319ADB9" w:rsidR="00E81229" w:rsidRPr="00E25A5D" w:rsidRDefault="00E81229" w:rsidP="00E81229">
            <w:pPr>
              <w:spacing w:before="0"/>
              <w:jc w:val="center"/>
              <w:rPr>
                <w:i/>
              </w:rPr>
            </w:pPr>
            <w:r w:rsidRPr="00E25A5D">
              <w:t>fatty acid amide hydrolase</w:t>
            </w:r>
          </w:p>
        </w:tc>
        <w:tc>
          <w:tcPr>
            <w:tcW w:w="1583" w:type="dxa"/>
            <w:vAlign w:val="center"/>
          </w:tcPr>
          <w:p w14:paraId="1B93340E" w14:textId="0533A856" w:rsidR="00E81229" w:rsidRPr="00E25A5D" w:rsidRDefault="00E81229" w:rsidP="00E81229">
            <w:pPr>
              <w:spacing w:before="0"/>
              <w:jc w:val="center"/>
              <w:rPr>
                <w:i/>
              </w:rPr>
            </w:pPr>
            <w:r w:rsidRPr="00E25A5D">
              <w:t>enzyme</w:t>
            </w:r>
          </w:p>
        </w:tc>
      </w:tr>
      <w:tr w:rsidR="00E81229" w:rsidRPr="00E25A5D" w14:paraId="0008861F" w14:textId="77777777" w:rsidTr="00E81229">
        <w:trPr>
          <w:trHeight w:hRule="exact" w:val="567"/>
          <w:jc w:val="center"/>
        </w:trPr>
        <w:tc>
          <w:tcPr>
            <w:tcW w:w="1413" w:type="dxa"/>
            <w:vAlign w:val="center"/>
          </w:tcPr>
          <w:p w14:paraId="79042DB2" w14:textId="345F130D" w:rsidR="00E81229" w:rsidRPr="00E25A5D" w:rsidRDefault="00E81229" w:rsidP="00E81229">
            <w:pPr>
              <w:spacing w:before="0"/>
              <w:jc w:val="center"/>
            </w:pPr>
            <w:r w:rsidRPr="00E25A5D">
              <w:t>ABHD6</w:t>
            </w:r>
          </w:p>
        </w:tc>
        <w:tc>
          <w:tcPr>
            <w:tcW w:w="6662" w:type="dxa"/>
            <w:vAlign w:val="center"/>
          </w:tcPr>
          <w:p w14:paraId="3059EBDE" w14:textId="6EFDBF47" w:rsidR="00E81229" w:rsidRPr="00E25A5D" w:rsidRDefault="00E81229" w:rsidP="00E81229">
            <w:pPr>
              <w:spacing w:before="0"/>
              <w:jc w:val="center"/>
              <w:rPr>
                <w:i/>
              </w:rPr>
            </w:pPr>
            <w:proofErr w:type="spellStart"/>
            <w:r w:rsidRPr="00E25A5D">
              <w:t>abhydrolase</w:t>
            </w:r>
            <w:proofErr w:type="spellEnd"/>
            <w:r w:rsidRPr="00E25A5D">
              <w:t xml:space="preserve"> domain containing</w:t>
            </w:r>
          </w:p>
        </w:tc>
        <w:tc>
          <w:tcPr>
            <w:tcW w:w="1583" w:type="dxa"/>
            <w:vAlign w:val="center"/>
          </w:tcPr>
          <w:p w14:paraId="04BA7433" w14:textId="135B44EA" w:rsidR="00E81229" w:rsidRPr="00E25A5D" w:rsidRDefault="00E81229" w:rsidP="00E81229">
            <w:pPr>
              <w:spacing w:before="0"/>
              <w:jc w:val="center"/>
              <w:rPr>
                <w:i/>
              </w:rPr>
            </w:pPr>
            <w:r w:rsidRPr="00E25A5D">
              <w:t>enzyme</w:t>
            </w:r>
          </w:p>
        </w:tc>
      </w:tr>
      <w:tr w:rsidR="00E81229" w:rsidRPr="00E25A5D" w14:paraId="305A687E" w14:textId="77777777" w:rsidTr="00E81229">
        <w:trPr>
          <w:trHeight w:hRule="exact" w:val="567"/>
          <w:jc w:val="center"/>
        </w:trPr>
        <w:tc>
          <w:tcPr>
            <w:tcW w:w="1413" w:type="dxa"/>
            <w:vAlign w:val="center"/>
          </w:tcPr>
          <w:p w14:paraId="429158EC" w14:textId="06CA0DF4" w:rsidR="00E81229" w:rsidRPr="00E25A5D" w:rsidRDefault="00E81229" w:rsidP="00E81229">
            <w:pPr>
              <w:spacing w:before="0"/>
              <w:jc w:val="center"/>
            </w:pPr>
            <w:r w:rsidRPr="00E25A5D">
              <w:t>PLA2G4A</w:t>
            </w:r>
          </w:p>
        </w:tc>
        <w:tc>
          <w:tcPr>
            <w:tcW w:w="6662" w:type="dxa"/>
            <w:vAlign w:val="center"/>
          </w:tcPr>
          <w:p w14:paraId="5D0D29F4" w14:textId="66BEC95E" w:rsidR="00E81229" w:rsidRPr="00E25A5D" w:rsidRDefault="00E81229" w:rsidP="00E81229">
            <w:pPr>
              <w:spacing w:before="0"/>
              <w:jc w:val="center"/>
              <w:rPr>
                <w:i/>
              </w:rPr>
            </w:pPr>
            <w:r w:rsidRPr="00E25A5D">
              <w:t>phospholipase A2 group 4A</w:t>
            </w:r>
          </w:p>
        </w:tc>
        <w:tc>
          <w:tcPr>
            <w:tcW w:w="1583" w:type="dxa"/>
            <w:vAlign w:val="center"/>
          </w:tcPr>
          <w:p w14:paraId="5D0F55C6" w14:textId="6318B77A" w:rsidR="00E81229" w:rsidRPr="00E25A5D" w:rsidRDefault="00E81229" w:rsidP="00E81229">
            <w:pPr>
              <w:spacing w:before="0"/>
              <w:jc w:val="center"/>
              <w:rPr>
                <w:i/>
              </w:rPr>
            </w:pPr>
            <w:r w:rsidRPr="00E25A5D">
              <w:t>enzyme</w:t>
            </w:r>
          </w:p>
        </w:tc>
      </w:tr>
      <w:tr w:rsidR="00AB2B80" w:rsidRPr="00E25A5D" w14:paraId="05743F01" w14:textId="77777777" w:rsidTr="00E81229">
        <w:trPr>
          <w:trHeight w:hRule="exact" w:val="567"/>
          <w:jc w:val="center"/>
        </w:trPr>
        <w:tc>
          <w:tcPr>
            <w:tcW w:w="1413" w:type="dxa"/>
            <w:vAlign w:val="center"/>
          </w:tcPr>
          <w:p w14:paraId="41DD6111" w14:textId="6DF90799" w:rsidR="00AB2B80" w:rsidRPr="00E25A5D" w:rsidRDefault="00AB2B80" w:rsidP="00E81229">
            <w:pPr>
              <w:spacing w:before="0"/>
              <w:jc w:val="center"/>
            </w:pPr>
            <w:r w:rsidRPr="00E25A5D">
              <w:t>Alox8</w:t>
            </w:r>
          </w:p>
        </w:tc>
        <w:tc>
          <w:tcPr>
            <w:tcW w:w="6662" w:type="dxa"/>
            <w:vAlign w:val="center"/>
          </w:tcPr>
          <w:p w14:paraId="64E1A722" w14:textId="4F27D86E" w:rsidR="00AB2B80" w:rsidRPr="00E25A5D" w:rsidRDefault="00AB2B80" w:rsidP="00E81229">
            <w:pPr>
              <w:spacing w:before="0"/>
              <w:jc w:val="center"/>
            </w:pPr>
            <w:r w:rsidRPr="00E25A5D">
              <w:t>arachidonate 8-lipoxygenase</w:t>
            </w:r>
          </w:p>
        </w:tc>
        <w:tc>
          <w:tcPr>
            <w:tcW w:w="1583" w:type="dxa"/>
            <w:vAlign w:val="center"/>
          </w:tcPr>
          <w:p w14:paraId="3FD5BB03" w14:textId="760A23F3" w:rsidR="00AB2B80" w:rsidRPr="00E25A5D" w:rsidRDefault="00AB2B80" w:rsidP="00E81229">
            <w:pPr>
              <w:spacing w:before="0"/>
              <w:jc w:val="center"/>
            </w:pPr>
            <w:r w:rsidRPr="00E25A5D">
              <w:t>enzyme</w:t>
            </w:r>
          </w:p>
        </w:tc>
      </w:tr>
    </w:tbl>
    <w:p w14:paraId="1DE28B59" w14:textId="77777777" w:rsidR="00E81229" w:rsidRPr="00E25A5D" w:rsidRDefault="00E81229" w:rsidP="00252A6A">
      <w:pPr>
        <w:jc w:val="both"/>
        <w:rPr>
          <w:b/>
          <w:i/>
        </w:rPr>
      </w:pPr>
    </w:p>
    <w:p w14:paraId="20DCA364" w14:textId="16A4CFF2" w:rsidR="000B0696" w:rsidRPr="00E25A5D" w:rsidRDefault="000B0696" w:rsidP="000B0696">
      <w:pPr>
        <w:jc w:val="both"/>
        <w:rPr>
          <w:b/>
          <w:i/>
        </w:rPr>
      </w:pPr>
      <w:r w:rsidRPr="00E25A5D">
        <w:rPr>
          <w:b/>
          <w:i/>
        </w:rPr>
        <w:t xml:space="preserve">Supplementary Table S3. </w:t>
      </w:r>
      <w:r w:rsidR="00D965E6" w:rsidRPr="00E25A5D">
        <w:rPr>
          <w:b/>
          <w:i/>
        </w:rPr>
        <w:t>List of d</w:t>
      </w:r>
      <w:r w:rsidRPr="00E25A5D">
        <w:rPr>
          <w:b/>
          <w:i/>
        </w:rPr>
        <w:t>ifferentiall</w:t>
      </w:r>
      <w:r w:rsidR="00CE48E9" w:rsidRPr="00E25A5D">
        <w:rPr>
          <w:b/>
          <w:i/>
        </w:rPr>
        <w:t xml:space="preserve">y expressed transcripts found to be similar </w:t>
      </w:r>
      <w:r w:rsidR="00D965E6" w:rsidRPr="00E25A5D">
        <w:rPr>
          <w:b/>
          <w:i/>
        </w:rPr>
        <w:t>between</w:t>
      </w:r>
      <w:r w:rsidRPr="00E25A5D">
        <w:rPr>
          <w:b/>
          <w:i/>
        </w:rPr>
        <w:t xml:space="preserve"> GSE77578, GSE190451 </w:t>
      </w:r>
      <w:r w:rsidR="00D965E6" w:rsidRPr="00E25A5D">
        <w:rPr>
          <w:b/>
          <w:i/>
        </w:rPr>
        <w:t>and</w:t>
      </w:r>
      <w:r w:rsidRPr="00E25A5D">
        <w:rPr>
          <w:b/>
          <w:i/>
        </w:rPr>
        <w:t xml:space="preserve"> GSE74150.</w:t>
      </w:r>
    </w:p>
    <w:tbl>
      <w:tblPr>
        <w:tblStyle w:val="TableGrid"/>
        <w:tblW w:w="0" w:type="auto"/>
        <w:tblLook w:val="04A0" w:firstRow="1" w:lastRow="0" w:firstColumn="1" w:lastColumn="0" w:noHBand="0" w:noVBand="1"/>
      </w:tblPr>
      <w:tblGrid>
        <w:gridCol w:w="3255"/>
        <w:gridCol w:w="3256"/>
        <w:gridCol w:w="3256"/>
      </w:tblGrid>
      <w:tr w:rsidR="00D965E6" w:rsidRPr="00E25A5D" w14:paraId="617365F9" w14:textId="77777777" w:rsidTr="00D965E6">
        <w:tc>
          <w:tcPr>
            <w:tcW w:w="3255" w:type="dxa"/>
          </w:tcPr>
          <w:p w14:paraId="45396E15" w14:textId="69AD1A66" w:rsidR="00D965E6" w:rsidRPr="00E25A5D" w:rsidRDefault="00D965E6" w:rsidP="000B0696">
            <w:pPr>
              <w:jc w:val="both"/>
              <w:rPr>
                <w:b/>
              </w:rPr>
            </w:pPr>
            <w:r w:rsidRPr="00E25A5D">
              <w:rPr>
                <w:b/>
              </w:rPr>
              <w:t>GSE77578 and GSE190451</w:t>
            </w:r>
          </w:p>
        </w:tc>
        <w:tc>
          <w:tcPr>
            <w:tcW w:w="3256" w:type="dxa"/>
          </w:tcPr>
          <w:p w14:paraId="4740E25C" w14:textId="28F34FAE" w:rsidR="00D965E6" w:rsidRPr="00E25A5D" w:rsidRDefault="00D965E6" w:rsidP="00D965E6">
            <w:pPr>
              <w:jc w:val="both"/>
              <w:rPr>
                <w:b/>
              </w:rPr>
            </w:pPr>
            <w:r w:rsidRPr="00E25A5D">
              <w:rPr>
                <w:b/>
              </w:rPr>
              <w:t>GSE77578 and GSE74150</w:t>
            </w:r>
          </w:p>
        </w:tc>
        <w:tc>
          <w:tcPr>
            <w:tcW w:w="3256" w:type="dxa"/>
          </w:tcPr>
          <w:p w14:paraId="1F38CF3F" w14:textId="76F4DBDA" w:rsidR="00D965E6" w:rsidRPr="00E25A5D" w:rsidRDefault="00D965E6" w:rsidP="000B0696">
            <w:pPr>
              <w:jc w:val="both"/>
              <w:rPr>
                <w:b/>
              </w:rPr>
            </w:pPr>
            <w:r w:rsidRPr="00E25A5D">
              <w:rPr>
                <w:b/>
              </w:rPr>
              <w:t>GSE190451and GSE74150</w:t>
            </w:r>
          </w:p>
        </w:tc>
      </w:tr>
      <w:tr w:rsidR="00D965E6" w:rsidRPr="00E25A5D" w14:paraId="764919A6" w14:textId="77777777" w:rsidTr="00AB2B41">
        <w:trPr>
          <w:trHeight w:val="1656"/>
        </w:trPr>
        <w:tc>
          <w:tcPr>
            <w:tcW w:w="3255" w:type="dxa"/>
          </w:tcPr>
          <w:p w14:paraId="231BE33E" w14:textId="4FD78CFF" w:rsidR="00D965E6" w:rsidRPr="00E25A5D" w:rsidRDefault="00AB2B41" w:rsidP="000B0696">
            <w:pPr>
              <w:jc w:val="both"/>
            </w:pPr>
            <w:r w:rsidRPr="00E25A5D">
              <w:t>Aak1, Anxa2, Bcl11a, C1qb</w:t>
            </w:r>
            <w:r w:rsidR="00C558F9" w:rsidRPr="00E25A5D">
              <w:t xml:space="preserve">, Cd9, </w:t>
            </w:r>
            <w:proofErr w:type="spellStart"/>
            <w:r w:rsidR="00C558F9" w:rsidRPr="00E25A5D">
              <w:t>Cyba</w:t>
            </w:r>
            <w:proofErr w:type="spellEnd"/>
            <w:r w:rsidR="00C558F9" w:rsidRPr="00E25A5D">
              <w:t xml:space="preserve">, Enpp2, </w:t>
            </w:r>
            <w:proofErr w:type="spellStart"/>
            <w:r w:rsidR="00C558F9" w:rsidRPr="00E25A5D">
              <w:t>Gfap</w:t>
            </w:r>
            <w:proofErr w:type="spellEnd"/>
            <w:r w:rsidR="00C558F9" w:rsidRPr="00E25A5D">
              <w:t>, Ina, K</w:t>
            </w:r>
            <w:r w:rsidRPr="00E25A5D">
              <w:t xml:space="preserve">cnd2, Ly86, Ntrk2, Ptk2b, R100a6, Rerpinf1, Rorl1, </w:t>
            </w:r>
            <w:proofErr w:type="spellStart"/>
            <w:r w:rsidRPr="00E25A5D">
              <w:t>Rparc</w:t>
            </w:r>
            <w:proofErr w:type="spellEnd"/>
            <w:r w:rsidRPr="00E25A5D">
              <w:t xml:space="preserve">, </w:t>
            </w:r>
            <w:proofErr w:type="spellStart"/>
            <w:r w:rsidRPr="00E25A5D">
              <w:t>Rtrbp</w:t>
            </w:r>
            <w:proofErr w:type="spellEnd"/>
          </w:p>
        </w:tc>
        <w:tc>
          <w:tcPr>
            <w:tcW w:w="3256" w:type="dxa"/>
          </w:tcPr>
          <w:p w14:paraId="7FE97692" w14:textId="7190D385" w:rsidR="00D965E6" w:rsidRPr="00E25A5D" w:rsidRDefault="00AB2B41" w:rsidP="00AB2B41">
            <w:pPr>
              <w:jc w:val="center"/>
              <w:rPr>
                <w:i/>
              </w:rPr>
            </w:pPr>
            <w:r w:rsidRPr="00E25A5D">
              <w:rPr>
                <w:i/>
              </w:rPr>
              <w:t>nil</w:t>
            </w:r>
          </w:p>
        </w:tc>
        <w:tc>
          <w:tcPr>
            <w:tcW w:w="3256" w:type="dxa"/>
          </w:tcPr>
          <w:p w14:paraId="3A76AFF5" w14:textId="0B8EAB49" w:rsidR="00D965E6" w:rsidRPr="00E25A5D" w:rsidRDefault="00AB2B41" w:rsidP="00AB2B41">
            <w:pPr>
              <w:jc w:val="both"/>
            </w:pPr>
            <w:r w:rsidRPr="00E25A5D">
              <w:t xml:space="preserve">Eno4, Fcer1g, Itm2a, Krtcap2, Lair1, P2ry12, Pam16, Trem2, </w:t>
            </w:r>
            <w:proofErr w:type="spellStart"/>
            <w:r w:rsidRPr="00E25A5D">
              <w:t>Tyrobp</w:t>
            </w:r>
            <w:proofErr w:type="spellEnd"/>
          </w:p>
        </w:tc>
      </w:tr>
    </w:tbl>
    <w:p w14:paraId="760ED857" w14:textId="77777777" w:rsidR="000B0696" w:rsidRPr="00E25A5D" w:rsidRDefault="000B0696" w:rsidP="000B0696">
      <w:pPr>
        <w:jc w:val="both"/>
        <w:rPr>
          <w:b/>
          <w:i/>
        </w:rPr>
      </w:pPr>
    </w:p>
    <w:p w14:paraId="7B5C88C3" w14:textId="60151B28" w:rsidR="00E93194" w:rsidRPr="00E25A5D" w:rsidRDefault="00252A6A" w:rsidP="00434A6A">
      <w:pPr>
        <w:jc w:val="both"/>
        <w:rPr>
          <w:i/>
        </w:rPr>
      </w:pPr>
      <w:r w:rsidRPr="00E25A5D">
        <w:rPr>
          <w:b/>
          <w:i/>
        </w:rPr>
        <w:t>Supplementary Table S</w:t>
      </w:r>
      <w:r w:rsidR="000B0696" w:rsidRPr="00E25A5D">
        <w:rPr>
          <w:b/>
          <w:i/>
        </w:rPr>
        <w:t>4</w:t>
      </w:r>
      <w:r w:rsidR="00E93194" w:rsidRPr="00E25A5D">
        <w:rPr>
          <w:i/>
        </w:rPr>
        <w:t xml:space="preserve">. </w:t>
      </w:r>
      <w:r w:rsidR="00E93194" w:rsidRPr="00E25A5D">
        <w:rPr>
          <w:b/>
          <w:i/>
        </w:rPr>
        <w:t xml:space="preserve">Gene Ontology (GO) enrichments found in both GSE77578 and GSE190451. </w:t>
      </w:r>
      <w:r w:rsidR="00E93194" w:rsidRPr="00E25A5D">
        <w:rPr>
          <w:i/>
        </w:rPr>
        <w:t xml:space="preserve">Enrichment values represent the number of differentially expressed genes in each GO term over the total number of genes found differentially expressed. Here, genes not associated </w:t>
      </w:r>
      <w:r w:rsidR="00FA0F0A" w:rsidRPr="00E25A5D">
        <w:rPr>
          <w:i/>
        </w:rPr>
        <w:t>with</w:t>
      </w:r>
      <w:r w:rsidR="00E93194" w:rsidRPr="00E25A5D">
        <w:rPr>
          <w:i/>
        </w:rPr>
        <w:t xml:space="preserve"> any GO term were excluded from such calculations.</w:t>
      </w:r>
    </w:p>
    <w:tbl>
      <w:tblPr>
        <w:tblStyle w:val="TableGrid"/>
        <w:tblW w:w="0" w:type="auto"/>
        <w:tblInd w:w="-289" w:type="dxa"/>
        <w:tblLook w:val="04A0" w:firstRow="1" w:lastRow="0" w:firstColumn="1" w:lastColumn="0" w:noHBand="0" w:noVBand="1"/>
      </w:tblPr>
      <w:tblGrid>
        <w:gridCol w:w="1415"/>
        <w:gridCol w:w="5106"/>
        <w:gridCol w:w="1682"/>
        <w:gridCol w:w="1524"/>
      </w:tblGrid>
      <w:tr w:rsidR="00E93194" w:rsidRPr="00E25A5D" w14:paraId="25F6A5DF" w14:textId="77777777" w:rsidTr="0052160D">
        <w:trPr>
          <w:trHeight w:val="20"/>
        </w:trPr>
        <w:tc>
          <w:tcPr>
            <w:tcW w:w="1415" w:type="dxa"/>
            <w:vAlign w:val="center"/>
          </w:tcPr>
          <w:p w14:paraId="27F795A8" w14:textId="77777777" w:rsidR="00E93194" w:rsidRPr="00E25A5D" w:rsidRDefault="00E93194" w:rsidP="009539F3">
            <w:pPr>
              <w:rPr>
                <w:b/>
              </w:rPr>
            </w:pPr>
            <w:r w:rsidRPr="00E25A5D">
              <w:rPr>
                <w:b/>
              </w:rPr>
              <w:t>Terms</w:t>
            </w:r>
          </w:p>
        </w:tc>
        <w:tc>
          <w:tcPr>
            <w:tcW w:w="5106" w:type="dxa"/>
            <w:vAlign w:val="center"/>
          </w:tcPr>
          <w:p w14:paraId="60350866" w14:textId="77777777" w:rsidR="00E93194" w:rsidRPr="00E25A5D" w:rsidRDefault="00E93194" w:rsidP="009539F3">
            <w:pPr>
              <w:rPr>
                <w:b/>
              </w:rPr>
            </w:pPr>
            <w:r w:rsidRPr="00E25A5D">
              <w:rPr>
                <w:b/>
              </w:rPr>
              <w:t>Description</w:t>
            </w:r>
          </w:p>
        </w:tc>
        <w:tc>
          <w:tcPr>
            <w:tcW w:w="1682" w:type="dxa"/>
            <w:vAlign w:val="center"/>
          </w:tcPr>
          <w:p w14:paraId="6D901DFF" w14:textId="77777777" w:rsidR="00E93194" w:rsidRPr="00E25A5D" w:rsidRDefault="00E93194" w:rsidP="009539F3">
            <w:pPr>
              <w:rPr>
                <w:b/>
              </w:rPr>
            </w:pPr>
            <w:r w:rsidRPr="00E25A5D">
              <w:rPr>
                <w:b/>
              </w:rPr>
              <w:t>GSE77578 enrichment</w:t>
            </w:r>
          </w:p>
        </w:tc>
        <w:tc>
          <w:tcPr>
            <w:tcW w:w="1524" w:type="dxa"/>
            <w:vAlign w:val="center"/>
          </w:tcPr>
          <w:p w14:paraId="4CDBC3E2" w14:textId="77777777" w:rsidR="00E93194" w:rsidRPr="00E25A5D" w:rsidRDefault="00E93194" w:rsidP="009539F3">
            <w:pPr>
              <w:rPr>
                <w:b/>
              </w:rPr>
            </w:pPr>
            <w:r w:rsidRPr="00E25A5D">
              <w:rPr>
                <w:b/>
              </w:rPr>
              <w:t>GSE190451 enrichment</w:t>
            </w:r>
          </w:p>
        </w:tc>
      </w:tr>
      <w:tr w:rsidR="00E93194" w:rsidRPr="00E25A5D" w14:paraId="7A13B7C8" w14:textId="77777777" w:rsidTr="0052160D">
        <w:trPr>
          <w:trHeight w:val="20"/>
        </w:trPr>
        <w:tc>
          <w:tcPr>
            <w:tcW w:w="1415" w:type="dxa"/>
          </w:tcPr>
          <w:p w14:paraId="02461DA7" w14:textId="77777777" w:rsidR="00E93194" w:rsidRPr="00E25A5D" w:rsidRDefault="00E93194" w:rsidP="009539F3">
            <w:pPr>
              <w:rPr>
                <w:color w:val="000000"/>
                <w:lang w:val="en-GB"/>
              </w:rPr>
            </w:pPr>
            <w:r w:rsidRPr="00E25A5D">
              <w:rPr>
                <w:color w:val="000000"/>
                <w:sz w:val="22"/>
              </w:rPr>
              <w:t>GO:0006898</w:t>
            </w:r>
          </w:p>
        </w:tc>
        <w:tc>
          <w:tcPr>
            <w:tcW w:w="5106" w:type="dxa"/>
          </w:tcPr>
          <w:p w14:paraId="56EC47A3" w14:textId="77777777" w:rsidR="00E93194" w:rsidRPr="00E25A5D" w:rsidRDefault="00E93194" w:rsidP="009539F3">
            <w:pPr>
              <w:rPr>
                <w:i/>
              </w:rPr>
            </w:pPr>
            <w:r w:rsidRPr="00E25A5D">
              <w:rPr>
                <w:color w:val="000000"/>
                <w:sz w:val="22"/>
              </w:rPr>
              <w:t>receptor-mediated endocytosis</w:t>
            </w:r>
          </w:p>
        </w:tc>
        <w:tc>
          <w:tcPr>
            <w:tcW w:w="1682" w:type="dxa"/>
          </w:tcPr>
          <w:p w14:paraId="41852C5B" w14:textId="77777777" w:rsidR="00E93194" w:rsidRPr="00E25A5D" w:rsidRDefault="00E93194" w:rsidP="009539F3">
            <w:pPr>
              <w:rPr>
                <w:color w:val="000000"/>
              </w:rPr>
            </w:pPr>
            <w:r w:rsidRPr="00E25A5D">
              <w:rPr>
                <w:color w:val="000000"/>
                <w:sz w:val="22"/>
              </w:rPr>
              <w:t>6/115</w:t>
            </w:r>
          </w:p>
        </w:tc>
        <w:tc>
          <w:tcPr>
            <w:tcW w:w="1524" w:type="dxa"/>
          </w:tcPr>
          <w:p w14:paraId="2D037E5E" w14:textId="77777777" w:rsidR="00E93194" w:rsidRPr="00E25A5D" w:rsidRDefault="00E93194" w:rsidP="009539F3">
            <w:pPr>
              <w:rPr>
                <w:color w:val="000000"/>
              </w:rPr>
            </w:pPr>
            <w:r w:rsidRPr="00E25A5D">
              <w:rPr>
                <w:color w:val="000000"/>
                <w:sz w:val="22"/>
              </w:rPr>
              <w:t>41/1333</w:t>
            </w:r>
          </w:p>
        </w:tc>
      </w:tr>
      <w:tr w:rsidR="00E93194" w:rsidRPr="00E25A5D" w14:paraId="1A662264" w14:textId="77777777" w:rsidTr="0052160D">
        <w:trPr>
          <w:trHeight w:val="20"/>
        </w:trPr>
        <w:tc>
          <w:tcPr>
            <w:tcW w:w="1415" w:type="dxa"/>
          </w:tcPr>
          <w:p w14:paraId="617E797A" w14:textId="77777777" w:rsidR="00E93194" w:rsidRPr="00E25A5D" w:rsidRDefault="00E93194" w:rsidP="009539F3">
            <w:pPr>
              <w:rPr>
                <w:i/>
              </w:rPr>
            </w:pPr>
            <w:r w:rsidRPr="00E25A5D">
              <w:rPr>
                <w:color w:val="000000"/>
                <w:sz w:val="22"/>
              </w:rPr>
              <w:t>GO:0007009</w:t>
            </w:r>
          </w:p>
        </w:tc>
        <w:tc>
          <w:tcPr>
            <w:tcW w:w="5106" w:type="dxa"/>
          </w:tcPr>
          <w:p w14:paraId="4C07270B" w14:textId="77777777" w:rsidR="00E93194" w:rsidRPr="00E25A5D" w:rsidRDefault="00E93194" w:rsidP="009539F3">
            <w:pPr>
              <w:rPr>
                <w:i/>
              </w:rPr>
            </w:pPr>
            <w:r w:rsidRPr="00E25A5D">
              <w:rPr>
                <w:color w:val="000000"/>
                <w:sz w:val="22"/>
              </w:rPr>
              <w:t>plasma membrane organization</w:t>
            </w:r>
          </w:p>
        </w:tc>
        <w:tc>
          <w:tcPr>
            <w:tcW w:w="1682" w:type="dxa"/>
          </w:tcPr>
          <w:p w14:paraId="4971B626" w14:textId="77777777" w:rsidR="00E93194" w:rsidRPr="00E25A5D" w:rsidRDefault="00E93194" w:rsidP="009539F3">
            <w:pPr>
              <w:rPr>
                <w:color w:val="000000"/>
              </w:rPr>
            </w:pPr>
            <w:r w:rsidRPr="00E25A5D">
              <w:rPr>
                <w:color w:val="000000"/>
                <w:sz w:val="22"/>
              </w:rPr>
              <w:t>5/115</w:t>
            </w:r>
          </w:p>
        </w:tc>
        <w:tc>
          <w:tcPr>
            <w:tcW w:w="1524" w:type="dxa"/>
          </w:tcPr>
          <w:p w14:paraId="2A65B1E3" w14:textId="77777777" w:rsidR="00E93194" w:rsidRPr="00E25A5D" w:rsidRDefault="00E93194" w:rsidP="009539F3">
            <w:pPr>
              <w:rPr>
                <w:color w:val="000000"/>
              </w:rPr>
            </w:pPr>
            <w:r w:rsidRPr="00E25A5D">
              <w:rPr>
                <w:color w:val="000000"/>
                <w:sz w:val="22"/>
              </w:rPr>
              <w:t>19/1333</w:t>
            </w:r>
          </w:p>
        </w:tc>
      </w:tr>
      <w:tr w:rsidR="00E93194" w:rsidRPr="00E25A5D" w14:paraId="6B3A3A59" w14:textId="77777777" w:rsidTr="0052160D">
        <w:trPr>
          <w:trHeight w:val="20"/>
        </w:trPr>
        <w:tc>
          <w:tcPr>
            <w:tcW w:w="1415" w:type="dxa"/>
          </w:tcPr>
          <w:p w14:paraId="5B421065" w14:textId="77777777" w:rsidR="00E93194" w:rsidRPr="00E25A5D" w:rsidRDefault="00E93194" w:rsidP="009539F3">
            <w:pPr>
              <w:rPr>
                <w:i/>
              </w:rPr>
            </w:pPr>
            <w:r w:rsidRPr="00E25A5D">
              <w:rPr>
                <w:color w:val="000000"/>
                <w:sz w:val="22"/>
              </w:rPr>
              <w:lastRenderedPageBreak/>
              <w:t>GO:0007015</w:t>
            </w:r>
          </w:p>
        </w:tc>
        <w:tc>
          <w:tcPr>
            <w:tcW w:w="5106" w:type="dxa"/>
          </w:tcPr>
          <w:p w14:paraId="107BEA21" w14:textId="77777777" w:rsidR="00E93194" w:rsidRPr="00E25A5D" w:rsidRDefault="00E93194" w:rsidP="009539F3">
            <w:pPr>
              <w:rPr>
                <w:i/>
              </w:rPr>
            </w:pPr>
            <w:r w:rsidRPr="00E25A5D">
              <w:rPr>
                <w:color w:val="000000"/>
                <w:sz w:val="22"/>
              </w:rPr>
              <w:t>actin filament organization</w:t>
            </w:r>
          </w:p>
        </w:tc>
        <w:tc>
          <w:tcPr>
            <w:tcW w:w="1682" w:type="dxa"/>
          </w:tcPr>
          <w:p w14:paraId="7CD1BBFE" w14:textId="77777777" w:rsidR="00E93194" w:rsidRPr="00E25A5D" w:rsidRDefault="00E93194" w:rsidP="009539F3">
            <w:pPr>
              <w:rPr>
                <w:color w:val="000000"/>
              </w:rPr>
            </w:pPr>
            <w:r w:rsidRPr="00E25A5D">
              <w:rPr>
                <w:color w:val="000000"/>
                <w:sz w:val="22"/>
              </w:rPr>
              <w:t>7/115</w:t>
            </w:r>
          </w:p>
        </w:tc>
        <w:tc>
          <w:tcPr>
            <w:tcW w:w="1524" w:type="dxa"/>
          </w:tcPr>
          <w:p w14:paraId="1525EE78" w14:textId="77777777" w:rsidR="00E93194" w:rsidRPr="00E25A5D" w:rsidRDefault="00E93194" w:rsidP="009539F3">
            <w:pPr>
              <w:rPr>
                <w:color w:val="000000"/>
              </w:rPr>
            </w:pPr>
            <w:r w:rsidRPr="00E25A5D">
              <w:rPr>
                <w:color w:val="000000"/>
                <w:sz w:val="22"/>
              </w:rPr>
              <w:t>45/1333</w:t>
            </w:r>
          </w:p>
        </w:tc>
      </w:tr>
      <w:tr w:rsidR="00E93194" w:rsidRPr="00E25A5D" w14:paraId="71B05880" w14:textId="77777777" w:rsidTr="0052160D">
        <w:trPr>
          <w:trHeight w:val="20"/>
        </w:trPr>
        <w:tc>
          <w:tcPr>
            <w:tcW w:w="1415" w:type="dxa"/>
          </w:tcPr>
          <w:p w14:paraId="33DD507C" w14:textId="77777777" w:rsidR="00E93194" w:rsidRPr="00E25A5D" w:rsidRDefault="00E93194" w:rsidP="009539F3">
            <w:pPr>
              <w:rPr>
                <w:i/>
              </w:rPr>
            </w:pPr>
            <w:r w:rsidRPr="00E25A5D">
              <w:rPr>
                <w:color w:val="000000"/>
                <w:sz w:val="22"/>
              </w:rPr>
              <w:t>GO:0007272</w:t>
            </w:r>
          </w:p>
        </w:tc>
        <w:tc>
          <w:tcPr>
            <w:tcW w:w="5106" w:type="dxa"/>
          </w:tcPr>
          <w:p w14:paraId="4C656B1B" w14:textId="77777777" w:rsidR="00E93194" w:rsidRPr="00E25A5D" w:rsidRDefault="00E93194" w:rsidP="009539F3">
            <w:pPr>
              <w:rPr>
                <w:i/>
              </w:rPr>
            </w:pPr>
            <w:r w:rsidRPr="00E25A5D">
              <w:rPr>
                <w:color w:val="000000"/>
                <w:sz w:val="22"/>
              </w:rPr>
              <w:t>ensheathment of neurons</w:t>
            </w:r>
          </w:p>
        </w:tc>
        <w:tc>
          <w:tcPr>
            <w:tcW w:w="1682" w:type="dxa"/>
          </w:tcPr>
          <w:p w14:paraId="69CABE47" w14:textId="77777777" w:rsidR="00E93194" w:rsidRPr="00E25A5D" w:rsidRDefault="00E93194" w:rsidP="009539F3">
            <w:pPr>
              <w:rPr>
                <w:color w:val="000000"/>
              </w:rPr>
            </w:pPr>
            <w:r w:rsidRPr="00E25A5D">
              <w:rPr>
                <w:color w:val="000000"/>
                <w:sz w:val="22"/>
              </w:rPr>
              <w:t>5/115</w:t>
            </w:r>
          </w:p>
        </w:tc>
        <w:tc>
          <w:tcPr>
            <w:tcW w:w="1524" w:type="dxa"/>
          </w:tcPr>
          <w:p w14:paraId="21F290F9" w14:textId="77777777" w:rsidR="00E93194" w:rsidRPr="00E25A5D" w:rsidRDefault="00E93194" w:rsidP="009539F3">
            <w:pPr>
              <w:rPr>
                <w:color w:val="000000"/>
              </w:rPr>
            </w:pPr>
            <w:r w:rsidRPr="00E25A5D">
              <w:rPr>
                <w:color w:val="000000"/>
                <w:sz w:val="22"/>
              </w:rPr>
              <w:t>29/1333</w:t>
            </w:r>
          </w:p>
        </w:tc>
      </w:tr>
      <w:tr w:rsidR="00E93194" w:rsidRPr="00E25A5D" w14:paraId="1A596ED7" w14:textId="77777777" w:rsidTr="0052160D">
        <w:trPr>
          <w:trHeight w:val="20"/>
        </w:trPr>
        <w:tc>
          <w:tcPr>
            <w:tcW w:w="1415" w:type="dxa"/>
          </w:tcPr>
          <w:p w14:paraId="1540219C" w14:textId="77777777" w:rsidR="00E93194" w:rsidRPr="00E25A5D" w:rsidRDefault="00E93194" w:rsidP="009539F3">
            <w:pPr>
              <w:rPr>
                <w:i/>
              </w:rPr>
            </w:pPr>
            <w:r w:rsidRPr="00E25A5D">
              <w:rPr>
                <w:color w:val="000000"/>
                <w:sz w:val="22"/>
              </w:rPr>
              <w:t>GO:0008366</w:t>
            </w:r>
          </w:p>
        </w:tc>
        <w:tc>
          <w:tcPr>
            <w:tcW w:w="5106" w:type="dxa"/>
          </w:tcPr>
          <w:p w14:paraId="585621EE" w14:textId="77777777" w:rsidR="00E93194" w:rsidRPr="00E25A5D" w:rsidRDefault="00E93194" w:rsidP="009539F3">
            <w:pPr>
              <w:rPr>
                <w:i/>
              </w:rPr>
            </w:pPr>
            <w:r w:rsidRPr="00E25A5D">
              <w:rPr>
                <w:color w:val="000000"/>
                <w:sz w:val="22"/>
              </w:rPr>
              <w:t>axon ensheathment</w:t>
            </w:r>
          </w:p>
        </w:tc>
        <w:tc>
          <w:tcPr>
            <w:tcW w:w="1682" w:type="dxa"/>
          </w:tcPr>
          <w:p w14:paraId="7B609381" w14:textId="77777777" w:rsidR="00E93194" w:rsidRPr="00E25A5D" w:rsidRDefault="00E93194" w:rsidP="009539F3">
            <w:pPr>
              <w:rPr>
                <w:color w:val="000000"/>
              </w:rPr>
            </w:pPr>
            <w:r w:rsidRPr="00E25A5D">
              <w:rPr>
                <w:color w:val="000000"/>
                <w:sz w:val="22"/>
              </w:rPr>
              <w:t>5/115</w:t>
            </w:r>
          </w:p>
        </w:tc>
        <w:tc>
          <w:tcPr>
            <w:tcW w:w="1524" w:type="dxa"/>
          </w:tcPr>
          <w:p w14:paraId="4307B938" w14:textId="77777777" w:rsidR="00E93194" w:rsidRPr="00E25A5D" w:rsidRDefault="00E93194" w:rsidP="009539F3">
            <w:pPr>
              <w:rPr>
                <w:color w:val="000000"/>
              </w:rPr>
            </w:pPr>
            <w:r w:rsidRPr="00E25A5D">
              <w:rPr>
                <w:color w:val="000000"/>
                <w:sz w:val="22"/>
              </w:rPr>
              <w:t>29/1333</w:t>
            </w:r>
          </w:p>
        </w:tc>
      </w:tr>
      <w:tr w:rsidR="00E93194" w:rsidRPr="00E25A5D" w14:paraId="32D23CB5" w14:textId="77777777" w:rsidTr="0052160D">
        <w:trPr>
          <w:trHeight w:val="20"/>
        </w:trPr>
        <w:tc>
          <w:tcPr>
            <w:tcW w:w="1415" w:type="dxa"/>
          </w:tcPr>
          <w:p w14:paraId="73FDEB3E" w14:textId="77777777" w:rsidR="00E93194" w:rsidRPr="00E25A5D" w:rsidRDefault="00E93194" w:rsidP="009539F3">
            <w:pPr>
              <w:rPr>
                <w:i/>
              </w:rPr>
            </w:pPr>
            <w:r w:rsidRPr="00E25A5D">
              <w:rPr>
                <w:color w:val="000000"/>
                <w:sz w:val="22"/>
              </w:rPr>
              <w:t>GO:0010001</w:t>
            </w:r>
          </w:p>
        </w:tc>
        <w:tc>
          <w:tcPr>
            <w:tcW w:w="5106" w:type="dxa"/>
          </w:tcPr>
          <w:p w14:paraId="6F36B21D" w14:textId="77777777" w:rsidR="00E93194" w:rsidRPr="00E25A5D" w:rsidRDefault="00E93194" w:rsidP="009539F3">
            <w:pPr>
              <w:rPr>
                <w:i/>
              </w:rPr>
            </w:pPr>
            <w:r w:rsidRPr="00E25A5D">
              <w:rPr>
                <w:color w:val="000000"/>
                <w:sz w:val="22"/>
              </w:rPr>
              <w:t>glial cell differentiation</w:t>
            </w:r>
          </w:p>
        </w:tc>
        <w:tc>
          <w:tcPr>
            <w:tcW w:w="1682" w:type="dxa"/>
          </w:tcPr>
          <w:p w14:paraId="205C07D6" w14:textId="77777777" w:rsidR="00E93194" w:rsidRPr="00E25A5D" w:rsidRDefault="00E93194" w:rsidP="009539F3">
            <w:pPr>
              <w:rPr>
                <w:color w:val="000000"/>
              </w:rPr>
            </w:pPr>
            <w:r w:rsidRPr="00E25A5D">
              <w:rPr>
                <w:color w:val="000000"/>
                <w:sz w:val="22"/>
              </w:rPr>
              <w:t>8/115</w:t>
            </w:r>
          </w:p>
        </w:tc>
        <w:tc>
          <w:tcPr>
            <w:tcW w:w="1524" w:type="dxa"/>
          </w:tcPr>
          <w:p w14:paraId="05A5559E" w14:textId="77777777" w:rsidR="00E93194" w:rsidRPr="00E25A5D" w:rsidRDefault="00E93194" w:rsidP="009539F3">
            <w:pPr>
              <w:rPr>
                <w:color w:val="000000"/>
              </w:rPr>
            </w:pPr>
            <w:r w:rsidRPr="00E25A5D">
              <w:rPr>
                <w:color w:val="000000"/>
                <w:sz w:val="22"/>
              </w:rPr>
              <w:t>41/1333</w:t>
            </w:r>
          </w:p>
        </w:tc>
      </w:tr>
      <w:tr w:rsidR="00E93194" w:rsidRPr="00E25A5D" w14:paraId="751368FB" w14:textId="77777777" w:rsidTr="0052160D">
        <w:trPr>
          <w:trHeight w:val="20"/>
        </w:trPr>
        <w:tc>
          <w:tcPr>
            <w:tcW w:w="1415" w:type="dxa"/>
          </w:tcPr>
          <w:p w14:paraId="466FA8F8" w14:textId="77777777" w:rsidR="00E93194" w:rsidRPr="00E25A5D" w:rsidRDefault="00E93194" w:rsidP="009539F3">
            <w:pPr>
              <w:rPr>
                <w:i/>
              </w:rPr>
            </w:pPr>
            <w:r w:rsidRPr="00E25A5D">
              <w:rPr>
                <w:color w:val="000000"/>
                <w:sz w:val="22"/>
              </w:rPr>
              <w:t>GO:0010721</w:t>
            </w:r>
          </w:p>
        </w:tc>
        <w:tc>
          <w:tcPr>
            <w:tcW w:w="5106" w:type="dxa"/>
          </w:tcPr>
          <w:p w14:paraId="44B21B4B" w14:textId="77777777" w:rsidR="00E93194" w:rsidRPr="00E25A5D" w:rsidRDefault="00E93194" w:rsidP="009539F3">
            <w:pPr>
              <w:rPr>
                <w:i/>
              </w:rPr>
            </w:pPr>
            <w:r w:rsidRPr="00E25A5D">
              <w:rPr>
                <w:color w:val="000000"/>
                <w:sz w:val="22"/>
              </w:rPr>
              <w:t>negative regulation of cell development</w:t>
            </w:r>
          </w:p>
        </w:tc>
        <w:tc>
          <w:tcPr>
            <w:tcW w:w="1682" w:type="dxa"/>
          </w:tcPr>
          <w:p w14:paraId="7FCDE6FB" w14:textId="77777777" w:rsidR="00E93194" w:rsidRPr="00E25A5D" w:rsidRDefault="00E93194" w:rsidP="009539F3">
            <w:pPr>
              <w:rPr>
                <w:color w:val="000000"/>
              </w:rPr>
            </w:pPr>
            <w:r w:rsidRPr="00E25A5D">
              <w:rPr>
                <w:color w:val="000000"/>
                <w:sz w:val="22"/>
              </w:rPr>
              <w:t>10/115</w:t>
            </w:r>
          </w:p>
        </w:tc>
        <w:tc>
          <w:tcPr>
            <w:tcW w:w="1524" w:type="dxa"/>
          </w:tcPr>
          <w:p w14:paraId="19232A1D" w14:textId="77777777" w:rsidR="00E93194" w:rsidRPr="00E25A5D" w:rsidRDefault="00E93194" w:rsidP="009539F3">
            <w:pPr>
              <w:rPr>
                <w:color w:val="000000"/>
              </w:rPr>
            </w:pPr>
            <w:r w:rsidRPr="00E25A5D">
              <w:rPr>
                <w:color w:val="000000"/>
                <w:sz w:val="22"/>
              </w:rPr>
              <w:t>50/1333</w:t>
            </w:r>
          </w:p>
        </w:tc>
      </w:tr>
      <w:tr w:rsidR="00E93194" w:rsidRPr="00E25A5D" w14:paraId="0CF61882" w14:textId="77777777" w:rsidTr="0052160D">
        <w:trPr>
          <w:trHeight w:val="20"/>
        </w:trPr>
        <w:tc>
          <w:tcPr>
            <w:tcW w:w="1415" w:type="dxa"/>
          </w:tcPr>
          <w:p w14:paraId="04AF6C35" w14:textId="77777777" w:rsidR="00E93194" w:rsidRPr="00E25A5D" w:rsidRDefault="00E93194" w:rsidP="009539F3">
            <w:pPr>
              <w:rPr>
                <w:i/>
              </w:rPr>
            </w:pPr>
            <w:r w:rsidRPr="00E25A5D">
              <w:rPr>
                <w:color w:val="000000"/>
                <w:sz w:val="22"/>
              </w:rPr>
              <w:t>GO:0010976</w:t>
            </w:r>
          </w:p>
        </w:tc>
        <w:tc>
          <w:tcPr>
            <w:tcW w:w="5106" w:type="dxa"/>
          </w:tcPr>
          <w:p w14:paraId="58D6ED04" w14:textId="77777777" w:rsidR="00E93194" w:rsidRPr="00E25A5D" w:rsidRDefault="00E93194" w:rsidP="009539F3">
            <w:pPr>
              <w:rPr>
                <w:i/>
              </w:rPr>
            </w:pPr>
            <w:r w:rsidRPr="00E25A5D">
              <w:rPr>
                <w:color w:val="000000"/>
                <w:sz w:val="22"/>
              </w:rPr>
              <w:t>positive regulation of neuron projection development</w:t>
            </w:r>
          </w:p>
        </w:tc>
        <w:tc>
          <w:tcPr>
            <w:tcW w:w="1682" w:type="dxa"/>
          </w:tcPr>
          <w:p w14:paraId="484FA265" w14:textId="77777777" w:rsidR="00E93194" w:rsidRPr="00E25A5D" w:rsidRDefault="00E93194" w:rsidP="009539F3">
            <w:pPr>
              <w:rPr>
                <w:color w:val="000000"/>
              </w:rPr>
            </w:pPr>
            <w:r w:rsidRPr="00E25A5D">
              <w:rPr>
                <w:color w:val="000000"/>
                <w:sz w:val="22"/>
              </w:rPr>
              <w:t>11/115</w:t>
            </w:r>
          </w:p>
        </w:tc>
        <w:tc>
          <w:tcPr>
            <w:tcW w:w="1524" w:type="dxa"/>
          </w:tcPr>
          <w:p w14:paraId="3215E4C5" w14:textId="77777777" w:rsidR="00E93194" w:rsidRPr="00E25A5D" w:rsidRDefault="00E93194" w:rsidP="009539F3">
            <w:pPr>
              <w:rPr>
                <w:color w:val="000000"/>
              </w:rPr>
            </w:pPr>
            <w:r w:rsidRPr="00E25A5D">
              <w:rPr>
                <w:color w:val="000000"/>
              </w:rPr>
              <w:t>36</w:t>
            </w:r>
            <w:r w:rsidRPr="00E25A5D">
              <w:rPr>
                <w:color w:val="000000"/>
                <w:sz w:val="22"/>
              </w:rPr>
              <w:t>/1333</w:t>
            </w:r>
          </w:p>
        </w:tc>
      </w:tr>
      <w:tr w:rsidR="00E93194" w:rsidRPr="00E25A5D" w14:paraId="7C5218DF" w14:textId="77777777" w:rsidTr="0052160D">
        <w:trPr>
          <w:trHeight w:val="20"/>
        </w:trPr>
        <w:tc>
          <w:tcPr>
            <w:tcW w:w="1415" w:type="dxa"/>
          </w:tcPr>
          <w:p w14:paraId="5816FCE1" w14:textId="77777777" w:rsidR="00E93194" w:rsidRPr="00E25A5D" w:rsidRDefault="00E93194" w:rsidP="009539F3">
            <w:pPr>
              <w:rPr>
                <w:i/>
              </w:rPr>
            </w:pPr>
            <w:r w:rsidRPr="00E25A5D">
              <w:rPr>
                <w:color w:val="000000"/>
                <w:sz w:val="22"/>
              </w:rPr>
              <w:t>GO:0010977</w:t>
            </w:r>
          </w:p>
        </w:tc>
        <w:tc>
          <w:tcPr>
            <w:tcW w:w="5106" w:type="dxa"/>
          </w:tcPr>
          <w:p w14:paraId="04F032C9" w14:textId="77777777" w:rsidR="00E93194" w:rsidRPr="00E25A5D" w:rsidRDefault="00E93194" w:rsidP="009539F3">
            <w:pPr>
              <w:rPr>
                <w:i/>
              </w:rPr>
            </w:pPr>
            <w:r w:rsidRPr="00E25A5D">
              <w:rPr>
                <w:color w:val="000000"/>
                <w:sz w:val="22"/>
              </w:rPr>
              <w:t>negative regulation of neuron projection developmen</w:t>
            </w:r>
            <w:r w:rsidRPr="00E25A5D">
              <w:rPr>
                <w:color w:val="000000"/>
              </w:rPr>
              <w:t>t</w:t>
            </w:r>
          </w:p>
        </w:tc>
        <w:tc>
          <w:tcPr>
            <w:tcW w:w="1682" w:type="dxa"/>
          </w:tcPr>
          <w:p w14:paraId="0DD903D7" w14:textId="77777777" w:rsidR="00E93194" w:rsidRPr="00E25A5D" w:rsidRDefault="00E93194" w:rsidP="009539F3">
            <w:pPr>
              <w:rPr>
                <w:color w:val="000000"/>
              </w:rPr>
            </w:pPr>
            <w:r w:rsidRPr="00E25A5D">
              <w:rPr>
                <w:color w:val="000000"/>
                <w:sz w:val="22"/>
              </w:rPr>
              <w:t>8/115</w:t>
            </w:r>
          </w:p>
        </w:tc>
        <w:tc>
          <w:tcPr>
            <w:tcW w:w="1524" w:type="dxa"/>
          </w:tcPr>
          <w:p w14:paraId="59751922" w14:textId="77777777" w:rsidR="00E93194" w:rsidRPr="00E25A5D" w:rsidRDefault="00E93194" w:rsidP="009539F3">
            <w:pPr>
              <w:rPr>
                <w:color w:val="000000"/>
              </w:rPr>
            </w:pPr>
            <w:r w:rsidRPr="00E25A5D">
              <w:rPr>
                <w:color w:val="000000"/>
              </w:rPr>
              <w:t>24</w:t>
            </w:r>
            <w:r w:rsidRPr="00E25A5D">
              <w:rPr>
                <w:color w:val="000000"/>
                <w:sz w:val="22"/>
              </w:rPr>
              <w:t>/1333</w:t>
            </w:r>
          </w:p>
        </w:tc>
      </w:tr>
      <w:tr w:rsidR="00E93194" w:rsidRPr="00E25A5D" w14:paraId="3A0A3175" w14:textId="77777777" w:rsidTr="0052160D">
        <w:trPr>
          <w:trHeight w:val="20"/>
        </w:trPr>
        <w:tc>
          <w:tcPr>
            <w:tcW w:w="1415" w:type="dxa"/>
          </w:tcPr>
          <w:p w14:paraId="749115F3" w14:textId="77777777" w:rsidR="00E93194" w:rsidRPr="00E25A5D" w:rsidRDefault="00E93194" w:rsidP="009539F3">
            <w:pPr>
              <w:rPr>
                <w:i/>
              </w:rPr>
            </w:pPr>
            <w:r w:rsidRPr="00E25A5D">
              <w:rPr>
                <w:color w:val="000000"/>
                <w:sz w:val="22"/>
              </w:rPr>
              <w:t>GO:0014013</w:t>
            </w:r>
          </w:p>
        </w:tc>
        <w:tc>
          <w:tcPr>
            <w:tcW w:w="5106" w:type="dxa"/>
          </w:tcPr>
          <w:p w14:paraId="7D03FDB0" w14:textId="77777777" w:rsidR="00E93194" w:rsidRPr="00E25A5D" w:rsidRDefault="00E93194" w:rsidP="009539F3">
            <w:pPr>
              <w:rPr>
                <w:i/>
              </w:rPr>
            </w:pPr>
            <w:r w:rsidRPr="00E25A5D">
              <w:rPr>
                <w:color w:val="000000"/>
                <w:sz w:val="22"/>
              </w:rPr>
              <w:t xml:space="preserve">regulation of </w:t>
            </w:r>
            <w:proofErr w:type="spellStart"/>
            <w:r w:rsidRPr="00E25A5D">
              <w:rPr>
                <w:color w:val="000000"/>
                <w:sz w:val="22"/>
              </w:rPr>
              <w:t>gliogenesis</w:t>
            </w:r>
            <w:proofErr w:type="spellEnd"/>
          </w:p>
        </w:tc>
        <w:tc>
          <w:tcPr>
            <w:tcW w:w="1682" w:type="dxa"/>
          </w:tcPr>
          <w:p w14:paraId="1D28573B" w14:textId="77777777" w:rsidR="00E93194" w:rsidRPr="00E25A5D" w:rsidRDefault="00E93194" w:rsidP="009539F3">
            <w:pPr>
              <w:rPr>
                <w:color w:val="000000"/>
              </w:rPr>
            </w:pPr>
            <w:r w:rsidRPr="00E25A5D">
              <w:rPr>
                <w:color w:val="000000"/>
                <w:sz w:val="22"/>
              </w:rPr>
              <w:t>6/115</w:t>
            </w:r>
          </w:p>
        </w:tc>
        <w:tc>
          <w:tcPr>
            <w:tcW w:w="1524" w:type="dxa"/>
          </w:tcPr>
          <w:p w14:paraId="2FA72383" w14:textId="77777777" w:rsidR="00E93194" w:rsidRPr="00E25A5D" w:rsidRDefault="00E93194" w:rsidP="009539F3">
            <w:pPr>
              <w:rPr>
                <w:color w:val="000000"/>
              </w:rPr>
            </w:pPr>
            <w:r w:rsidRPr="00E25A5D">
              <w:rPr>
                <w:color w:val="000000"/>
                <w:sz w:val="22"/>
              </w:rPr>
              <w:t>21/1333</w:t>
            </w:r>
          </w:p>
        </w:tc>
      </w:tr>
      <w:tr w:rsidR="00E93194" w:rsidRPr="00E25A5D" w14:paraId="1D680736" w14:textId="77777777" w:rsidTr="0052160D">
        <w:trPr>
          <w:trHeight w:val="20"/>
        </w:trPr>
        <w:tc>
          <w:tcPr>
            <w:tcW w:w="1415" w:type="dxa"/>
          </w:tcPr>
          <w:p w14:paraId="34181951" w14:textId="77777777" w:rsidR="00E93194" w:rsidRPr="00E25A5D" w:rsidRDefault="00E93194" w:rsidP="009539F3">
            <w:pPr>
              <w:rPr>
                <w:i/>
              </w:rPr>
            </w:pPr>
            <w:r w:rsidRPr="00E25A5D">
              <w:rPr>
                <w:color w:val="000000"/>
                <w:sz w:val="22"/>
              </w:rPr>
              <w:t>GO:0021782</w:t>
            </w:r>
          </w:p>
        </w:tc>
        <w:tc>
          <w:tcPr>
            <w:tcW w:w="5106" w:type="dxa"/>
          </w:tcPr>
          <w:p w14:paraId="1B8FFAAA" w14:textId="77777777" w:rsidR="00E93194" w:rsidRPr="00E25A5D" w:rsidRDefault="00E93194" w:rsidP="009539F3">
            <w:pPr>
              <w:rPr>
                <w:i/>
              </w:rPr>
            </w:pPr>
            <w:r w:rsidRPr="00E25A5D">
              <w:rPr>
                <w:color w:val="000000"/>
                <w:sz w:val="22"/>
              </w:rPr>
              <w:t>glial cell development</w:t>
            </w:r>
          </w:p>
        </w:tc>
        <w:tc>
          <w:tcPr>
            <w:tcW w:w="1682" w:type="dxa"/>
          </w:tcPr>
          <w:p w14:paraId="7D90151C" w14:textId="77777777" w:rsidR="00E93194" w:rsidRPr="00E25A5D" w:rsidRDefault="00E93194" w:rsidP="009539F3">
            <w:pPr>
              <w:rPr>
                <w:color w:val="000000"/>
              </w:rPr>
            </w:pPr>
            <w:r w:rsidRPr="00E25A5D">
              <w:rPr>
                <w:color w:val="000000"/>
                <w:sz w:val="22"/>
              </w:rPr>
              <w:t>4/115</w:t>
            </w:r>
          </w:p>
        </w:tc>
        <w:tc>
          <w:tcPr>
            <w:tcW w:w="1524" w:type="dxa"/>
          </w:tcPr>
          <w:p w14:paraId="1B86CCB5" w14:textId="77777777" w:rsidR="00E93194" w:rsidRPr="00E25A5D" w:rsidRDefault="00E93194" w:rsidP="009539F3">
            <w:pPr>
              <w:rPr>
                <w:color w:val="000000"/>
              </w:rPr>
            </w:pPr>
            <w:r w:rsidRPr="00E25A5D">
              <w:rPr>
                <w:color w:val="000000"/>
                <w:sz w:val="22"/>
              </w:rPr>
              <w:t>26/1333</w:t>
            </w:r>
          </w:p>
        </w:tc>
      </w:tr>
      <w:tr w:rsidR="00E93194" w:rsidRPr="00E25A5D" w14:paraId="7F3164AF" w14:textId="77777777" w:rsidTr="0052160D">
        <w:trPr>
          <w:trHeight w:val="20"/>
        </w:trPr>
        <w:tc>
          <w:tcPr>
            <w:tcW w:w="1415" w:type="dxa"/>
          </w:tcPr>
          <w:p w14:paraId="3AE952B9" w14:textId="77777777" w:rsidR="00E93194" w:rsidRPr="00E25A5D" w:rsidRDefault="00E93194" w:rsidP="009539F3">
            <w:pPr>
              <w:rPr>
                <w:i/>
              </w:rPr>
            </w:pPr>
            <w:r w:rsidRPr="00E25A5D">
              <w:rPr>
                <w:color w:val="000000"/>
                <w:sz w:val="22"/>
              </w:rPr>
              <w:t>GO:0022407</w:t>
            </w:r>
          </w:p>
        </w:tc>
        <w:tc>
          <w:tcPr>
            <w:tcW w:w="5106" w:type="dxa"/>
          </w:tcPr>
          <w:p w14:paraId="24174E36" w14:textId="77777777" w:rsidR="00E93194" w:rsidRPr="00E25A5D" w:rsidRDefault="00E93194" w:rsidP="009539F3">
            <w:pPr>
              <w:rPr>
                <w:i/>
              </w:rPr>
            </w:pPr>
            <w:r w:rsidRPr="00E25A5D">
              <w:rPr>
                <w:color w:val="000000"/>
                <w:sz w:val="22"/>
              </w:rPr>
              <w:t>regulation of cell-cell adhesion</w:t>
            </w:r>
          </w:p>
        </w:tc>
        <w:tc>
          <w:tcPr>
            <w:tcW w:w="1682" w:type="dxa"/>
          </w:tcPr>
          <w:p w14:paraId="2D2040A4" w14:textId="77777777" w:rsidR="00E93194" w:rsidRPr="00E25A5D" w:rsidRDefault="00E93194" w:rsidP="009539F3">
            <w:pPr>
              <w:rPr>
                <w:color w:val="000000"/>
              </w:rPr>
            </w:pPr>
            <w:r w:rsidRPr="00E25A5D">
              <w:rPr>
                <w:color w:val="000000"/>
                <w:sz w:val="22"/>
              </w:rPr>
              <w:t>7/115</w:t>
            </w:r>
          </w:p>
        </w:tc>
        <w:tc>
          <w:tcPr>
            <w:tcW w:w="1524" w:type="dxa"/>
          </w:tcPr>
          <w:p w14:paraId="495C90F2" w14:textId="77777777" w:rsidR="00E93194" w:rsidRPr="00E25A5D" w:rsidRDefault="00E93194" w:rsidP="009539F3">
            <w:pPr>
              <w:rPr>
                <w:color w:val="000000"/>
              </w:rPr>
            </w:pPr>
            <w:r w:rsidRPr="00E25A5D">
              <w:rPr>
                <w:color w:val="000000"/>
                <w:sz w:val="22"/>
              </w:rPr>
              <w:t>46/1333</w:t>
            </w:r>
          </w:p>
        </w:tc>
      </w:tr>
      <w:tr w:rsidR="00E93194" w:rsidRPr="00E25A5D" w14:paraId="4FDCFD34" w14:textId="77777777" w:rsidTr="0052160D">
        <w:trPr>
          <w:trHeight w:val="20"/>
        </w:trPr>
        <w:tc>
          <w:tcPr>
            <w:tcW w:w="1415" w:type="dxa"/>
          </w:tcPr>
          <w:p w14:paraId="24F0866F" w14:textId="77777777" w:rsidR="00E93194" w:rsidRPr="00E25A5D" w:rsidRDefault="00E93194" w:rsidP="009539F3">
            <w:pPr>
              <w:rPr>
                <w:i/>
              </w:rPr>
            </w:pPr>
            <w:r w:rsidRPr="00E25A5D">
              <w:rPr>
                <w:color w:val="000000"/>
                <w:sz w:val="22"/>
              </w:rPr>
              <w:t>GO:0030100</w:t>
            </w:r>
          </w:p>
        </w:tc>
        <w:tc>
          <w:tcPr>
            <w:tcW w:w="5106" w:type="dxa"/>
          </w:tcPr>
          <w:p w14:paraId="3A6229B7" w14:textId="77777777" w:rsidR="00E93194" w:rsidRPr="00E25A5D" w:rsidRDefault="00E93194" w:rsidP="009539F3">
            <w:pPr>
              <w:rPr>
                <w:i/>
              </w:rPr>
            </w:pPr>
            <w:r w:rsidRPr="00E25A5D">
              <w:rPr>
                <w:color w:val="000000"/>
                <w:sz w:val="22"/>
              </w:rPr>
              <w:t>regulation of endocytosis</w:t>
            </w:r>
          </w:p>
        </w:tc>
        <w:tc>
          <w:tcPr>
            <w:tcW w:w="1682" w:type="dxa"/>
          </w:tcPr>
          <w:p w14:paraId="62E71FB4" w14:textId="77777777" w:rsidR="00E93194" w:rsidRPr="00E25A5D" w:rsidRDefault="00E93194" w:rsidP="009539F3">
            <w:pPr>
              <w:rPr>
                <w:color w:val="000000"/>
              </w:rPr>
            </w:pPr>
            <w:r w:rsidRPr="00E25A5D">
              <w:rPr>
                <w:color w:val="000000"/>
                <w:sz w:val="22"/>
              </w:rPr>
              <w:t>5/115</w:t>
            </w:r>
          </w:p>
        </w:tc>
        <w:tc>
          <w:tcPr>
            <w:tcW w:w="1524" w:type="dxa"/>
          </w:tcPr>
          <w:p w14:paraId="57B82E81" w14:textId="77777777" w:rsidR="00E93194" w:rsidRPr="00E25A5D" w:rsidRDefault="00E93194" w:rsidP="009539F3">
            <w:pPr>
              <w:rPr>
                <w:color w:val="000000"/>
              </w:rPr>
            </w:pPr>
            <w:r w:rsidRPr="00E25A5D">
              <w:rPr>
                <w:color w:val="000000"/>
              </w:rPr>
              <w:t>30</w:t>
            </w:r>
            <w:r w:rsidRPr="00E25A5D">
              <w:rPr>
                <w:color w:val="000000"/>
                <w:sz w:val="22"/>
              </w:rPr>
              <w:t>/1333</w:t>
            </w:r>
          </w:p>
        </w:tc>
      </w:tr>
      <w:tr w:rsidR="00E93194" w:rsidRPr="00E25A5D" w14:paraId="25C7560E" w14:textId="77777777" w:rsidTr="0052160D">
        <w:trPr>
          <w:trHeight w:val="20"/>
        </w:trPr>
        <w:tc>
          <w:tcPr>
            <w:tcW w:w="1415" w:type="dxa"/>
          </w:tcPr>
          <w:p w14:paraId="6BEA94C5" w14:textId="77777777" w:rsidR="00E93194" w:rsidRPr="00E25A5D" w:rsidRDefault="00E93194" w:rsidP="009539F3">
            <w:pPr>
              <w:rPr>
                <w:i/>
              </w:rPr>
            </w:pPr>
            <w:r w:rsidRPr="00E25A5D">
              <w:rPr>
                <w:color w:val="000000"/>
                <w:sz w:val="22"/>
              </w:rPr>
              <w:t>GO:0030900</w:t>
            </w:r>
          </w:p>
        </w:tc>
        <w:tc>
          <w:tcPr>
            <w:tcW w:w="5106" w:type="dxa"/>
          </w:tcPr>
          <w:p w14:paraId="215A4473" w14:textId="77777777" w:rsidR="00E93194" w:rsidRPr="00E25A5D" w:rsidRDefault="00E93194" w:rsidP="009539F3">
            <w:pPr>
              <w:rPr>
                <w:color w:val="000000"/>
                <w:lang w:val="en-GB"/>
              </w:rPr>
            </w:pPr>
            <w:r w:rsidRPr="00E25A5D">
              <w:rPr>
                <w:color w:val="000000"/>
                <w:sz w:val="22"/>
              </w:rPr>
              <w:t>forebrain development</w:t>
            </w:r>
          </w:p>
        </w:tc>
        <w:tc>
          <w:tcPr>
            <w:tcW w:w="1682" w:type="dxa"/>
          </w:tcPr>
          <w:p w14:paraId="1F00C56C" w14:textId="77777777" w:rsidR="00E93194" w:rsidRPr="00E25A5D" w:rsidRDefault="00E93194" w:rsidP="009539F3">
            <w:pPr>
              <w:rPr>
                <w:color w:val="000000"/>
              </w:rPr>
            </w:pPr>
            <w:r w:rsidRPr="00E25A5D">
              <w:rPr>
                <w:color w:val="000000"/>
                <w:sz w:val="22"/>
              </w:rPr>
              <w:t>7/115</w:t>
            </w:r>
          </w:p>
        </w:tc>
        <w:tc>
          <w:tcPr>
            <w:tcW w:w="1524" w:type="dxa"/>
          </w:tcPr>
          <w:p w14:paraId="7BA28B4F" w14:textId="77777777" w:rsidR="00E93194" w:rsidRPr="00E25A5D" w:rsidRDefault="00E93194" w:rsidP="009539F3">
            <w:pPr>
              <w:rPr>
                <w:color w:val="000000"/>
              </w:rPr>
            </w:pPr>
            <w:r w:rsidRPr="00E25A5D">
              <w:rPr>
                <w:color w:val="000000"/>
                <w:sz w:val="22"/>
              </w:rPr>
              <w:t>49/1333</w:t>
            </w:r>
          </w:p>
        </w:tc>
      </w:tr>
      <w:tr w:rsidR="00E93194" w:rsidRPr="00E25A5D" w14:paraId="5B6B7D0A" w14:textId="77777777" w:rsidTr="0052160D">
        <w:trPr>
          <w:trHeight w:val="20"/>
        </w:trPr>
        <w:tc>
          <w:tcPr>
            <w:tcW w:w="1415" w:type="dxa"/>
          </w:tcPr>
          <w:p w14:paraId="6B3D1067" w14:textId="77777777" w:rsidR="00E93194" w:rsidRPr="00E25A5D" w:rsidRDefault="00E93194" w:rsidP="009539F3">
            <w:pPr>
              <w:rPr>
                <w:i/>
              </w:rPr>
            </w:pPr>
            <w:r w:rsidRPr="00E25A5D">
              <w:rPr>
                <w:color w:val="000000"/>
                <w:sz w:val="22"/>
              </w:rPr>
              <w:t>GO:0031345</w:t>
            </w:r>
          </w:p>
        </w:tc>
        <w:tc>
          <w:tcPr>
            <w:tcW w:w="5106" w:type="dxa"/>
          </w:tcPr>
          <w:p w14:paraId="20AB3DE6" w14:textId="77777777" w:rsidR="00E93194" w:rsidRPr="00E25A5D" w:rsidRDefault="00E93194" w:rsidP="009539F3">
            <w:pPr>
              <w:rPr>
                <w:i/>
              </w:rPr>
            </w:pPr>
            <w:r w:rsidRPr="00E25A5D">
              <w:rPr>
                <w:color w:val="000000"/>
                <w:sz w:val="22"/>
              </w:rPr>
              <w:t>negative regulation of cell projection organization</w:t>
            </w:r>
          </w:p>
        </w:tc>
        <w:tc>
          <w:tcPr>
            <w:tcW w:w="1682" w:type="dxa"/>
          </w:tcPr>
          <w:p w14:paraId="64726B68" w14:textId="77777777" w:rsidR="00E93194" w:rsidRPr="00E25A5D" w:rsidRDefault="00E93194" w:rsidP="009539F3">
            <w:pPr>
              <w:rPr>
                <w:color w:val="000000"/>
              </w:rPr>
            </w:pPr>
            <w:r w:rsidRPr="00E25A5D">
              <w:rPr>
                <w:color w:val="000000"/>
                <w:sz w:val="22"/>
              </w:rPr>
              <w:t>8/115</w:t>
            </w:r>
          </w:p>
        </w:tc>
        <w:tc>
          <w:tcPr>
            <w:tcW w:w="1524" w:type="dxa"/>
          </w:tcPr>
          <w:p w14:paraId="148F603B" w14:textId="77777777" w:rsidR="00E93194" w:rsidRPr="00E25A5D" w:rsidRDefault="00E93194" w:rsidP="009539F3">
            <w:pPr>
              <w:rPr>
                <w:color w:val="000000"/>
              </w:rPr>
            </w:pPr>
            <w:r w:rsidRPr="00E25A5D">
              <w:rPr>
                <w:color w:val="000000"/>
                <w:sz w:val="22"/>
              </w:rPr>
              <w:t>25/1333</w:t>
            </w:r>
          </w:p>
        </w:tc>
      </w:tr>
      <w:tr w:rsidR="00E93194" w:rsidRPr="00E25A5D" w14:paraId="266009D0" w14:textId="77777777" w:rsidTr="0052160D">
        <w:trPr>
          <w:trHeight w:val="20"/>
        </w:trPr>
        <w:tc>
          <w:tcPr>
            <w:tcW w:w="1415" w:type="dxa"/>
          </w:tcPr>
          <w:p w14:paraId="45A8DF05" w14:textId="77777777" w:rsidR="00E93194" w:rsidRPr="00E25A5D" w:rsidRDefault="00E93194" w:rsidP="009539F3">
            <w:pPr>
              <w:rPr>
                <w:i/>
              </w:rPr>
            </w:pPr>
            <w:r w:rsidRPr="00E25A5D">
              <w:rPr>
                <w:color w:val="000000"/>
                <w:sz w:val="22"/>
              </w:rPr>
              <w:t>GO:0031346</w:t>
            </w:r>
          </w:p>
        </w:tc>
        <w:tc>
          <w:tcPr>
            <w:tcW w:w="5106" w:type="dxa"/>
          </w:tcPr>
          <w:p w14:paraId="7A809C5A" w14:textId="77777777" w:rsidR="00E93194" w:rsidRPr="00E25A5D" w:rsidRDefault="00E93194" w:rsidP="009539F3">
            <w:pPr>
              <w:rPr>
                <w:i/>
              </w:rPr>
            </w:pPr>
            <w:r w:rsidRPr="00E25A5D">
              <w:rPr>
                <w:color w:val="000000"/>
                <w:sz w:val="22"/>
              </w:rPr>
              <w:t>positive regulation of cell projection organization</w:t>
            </w:r>
          </w:p>
        </w:tc>
        <w:tc>
          <w:tcPr>
            <w:tcW w:w="1682" w:type="dxa"/>
          </w:tcPr>
          <w:p w14:paraId="32FB2B39" w14:textId="77777777" w:rsidR="00E93194" w:rsidRPr="00E25A5D" w:rsidRDefault="00E93194" w:rsidP="009539F3">
            <w:pPr>
              <w:rPr>
                <w:color w:val="000000"/>
              </w:rPr>
            </w:pPr>
            <w:r w:rsidRPr="00E25A5D">
              <w:rPr>
                <w:color w:val="000000"/>
                <w:sz w:val="22"/>
              </w:rPr>
              <w:t>13/115</w:t>
            </w:r>
          </w:p>
        </w:tc>
        <w:tc>
          <w:tcPr>
            <w:tcW w:w="1524" w:type="dxa"/>
          </w:tcPr>
          <w:p w14:paraId="68B5ED5D" w14:textId="77777777" w:rsidR="00E93194" w:rsidRPr="00E25A5D" w:rsidRDefault="00E93194" w:rsidP="009539F3">
            <w:pPr>
              <w:rPr>
                <w:color w:val="000000"/>
              </w:rPr>
            </w:pPr>
            <w:r w:rsidRPr="00E25A5D">
              <w:rPr>
                <w:color w:val="000000"/>
                <w:sz w:val="22"/>
              </w:rPr>
              <w:t>53/1333</w:t>
            </w:r>
          </w:p>
        </w:tc>
      </w:tr>
      <w:tr w:rsidR="00E93194" w:rsidRPr="00E25A5D" w14:paraId="6038F332" w14:textId="77777777" w:rsidTr="0052160D">
        <w:trPr>
          <w:trHeight w:val="20"/>
        </w:trPr>
        <w:tc>
          <w:tcPr>
            <w:tcW w:w="1415" w:type="dxa"/>
          </w:tcPr>
          <w:p w14:paraId="4D654229" w14:textId="77777777" w:rsidR="00E93194" w:rsidRPr="00E25A5D" w:rsidRDefault="00E93194" w:rsidP="009539F3">
            <w:pPr>
              <w:rPr>
                <w:i/>
              </w:rPr>
            </w:pPr>
            <w:r w:rsidRPr="00E25A5D">
              <w:rPr>
                <w:color w:val="000000"/>
                <w:sz w:val="22"/>
              </w:rPr>
              <w:t>GO:0034063</w:t>
            </w:r>
          </w:p>
        </w:tc>
        <w:tc>
          <w:tcPr>
            <w:tcW w:w="5106" w:type="dxa"/>
          </w:tcPr>
          <w:p w14:paraId="40A7F151" w14:textId="77777777" w:rsidR="00E93194" w:rsidRPr="00E25A5D" w:rsidRDefault="00E93194" w:rsidP="009539F3">
            <w:pPr>
              <w:rPr>
                <w:i/>
              </w:rPr>
            </w:pPr>
            <w:r w:rsidRPr="00E25A5D">
              <w:rPr>
                <w:color w:val="000000"/>
                <w:sz w:val="22"/>
              </w:rPr>
              <w:t>stress granule assembly</w:t>
            </w:r>
          </w:p>
        </w:tc>
        <w:tc>
          <w:tcPr>
            <w:tcW w:w="1682" w:type="dxa"/>
          </w:tcPr>
          <w:p w14:paraId="05E182C7" w14:textId="77777777" w:rsidR="00E93194" w:rsidRPr="00E25A5D" w:rsidRDefault="00E93194" w:rsidP="009539F3">
            <w:pPr>
              <w:rPr>
                <w:color w:val="000000"/>
              </w:rPr>
            </w:pPr>
            <w:r w:rsidRPr="00E25A5D">
              <w:rPr>
                <w:color w:val="000000"/>
                <w:sz w:val="22"/>
              </w:rPr>
              <w:t>2/115</w:t>
            </w:r>
          </w:p>
        </w:tc>
        <w:tc>
          <w:tcPr>
            <w:tcW w:w="1524" w:type="dxa"/>
          </w:tcPr>
          <w:p w14:paraId="3762B14F" w14:textId="77777777" w:rsidR="00E93194" w:rsidRPr="00E25A5D" w:rsidRDefault="00E93194" w:rsidP="009539F3">
            <w:pPr>
              <w:rPr>
                <w:color w:val="000000"/>
              </w:rPr>
            </w:pPr>
            <w:r w:rsidRPr="00E25A5D">
              <w:rPr>
                <w:color w:val="000000"/>
              </w:rPr>
              <w:t>6</w:t>
            </w:r>
            <w:r w:rsidRPr="00E25A5D">
              <w:rPr>
                <w:color w:val="000000"/>
                <w:sz w:val="22"/>
              </w:rPr>
              <w:t>/1333</w:t>
            </w:r>
          </w:p>
        </w:tc>
      </w:tr>
      <w:tr w:rsidR="00E93194" w:rsidRPr="00E25A5D" w14:paraId="22FBF4AD" w14:textId="77777777" w:rsidTr="0052160D">
        <w:trPr>
          <w:trHeight w:val="20"/>
        </w:trPr>
        <w:tc>
          <w:tcPr>
            <w:tcW w:w="1415" w:type="dxa"/>
          </w:tcPr>
          <w:p w14:paraId="03D6BAA8" w14:textId="77777777" w:rsidR="00E93194" w:rsidRPr="00E25A5D" w:rsidRDefault="00E93194" w:rsidP="009539F3">
            <w:pPr>
              <w:rPr>
                <w:i/>
              </w:rPr>
            </w:pPr>
            <w:r w:rsidRPr="00E25A5D">
              <w:rPr>
                <w:color w:val="000000"/>
                <w:sz w:val="22"/>
              </w:rPr>
              <w:t>GO:0042063</w:t>
            </w:r>
          </w:p>
        </w:tc>
        <w:tc>
          <w:tcPr>
            <w:tcW w:w="5106" w:type="dxa"/>
          </w:tcPr>
          <w:p w14:paraId="5FC36B50" w14:textId="77777777" w:rsidR="00E93194" w:rsidRPr="00E25A5D" w:rsidRDefault="00E93194" w:rsidP="009539F3">
            <w:pPr>
              <w:rPr>
                <w:i/>
              </w:rPr>
            </w:pPr>
            <w:proofErr w:type="spellStart"/>
            <w:r w:rsidRPr="00E25A5D">
              <w:rPr>
                <w:color w:val="000000"/>
                <w:sz w:val="22"/>
              </w:rPr>
              <w:t>gliogenesis</w:t>
            </w:r>
            <w:proofErr w:type="spellEnd"/>
          </w:p>
        </w:tc>
        <w:tc>
          <w:tcPr>
            <w:tcW w:w="1682" w:type="dxa"/>
          </w:tcPr>
          <w:p w14:paraId="66F8C350" w14:textId="77777777" w:rsidR="00E93194" w:rsidRPr="00E25A5D" w:rsidRDefault="00E93194" w:rsidP="009539F3">
            <w:pPr>
              <w:rPr>
                <w:color w:val="000000"/>
              </w:rPr>
            </w:pPr>
            <w:r w:rsidRPr="00E25A5D">
              <w:rPr>
                <w:color w:val="000000"/>
                <w:sz w:val="22"/>
              </w:rPr>
              <w:t>10/115</w:t>
            </w:r>
          </w:p>
        </w:tc>
        <w:tc>
          <w:tcPr>
            <w:tcW w:w="1524" w:type="dxa"/>
          </w:tcPr>
          <w:p w14:paraId="7069B970" w14:textId="77777777" w:rsidR="00E93194" w:rsidRPr="00E25A5D" w:rsidRDefault="00E93194" w:rsidP="009539F3">
            <w:pPr>
              <w:rPr>
                <w:color w:val="000000"/>
              </w:rPr>
            </w:pPr>
            <w:r w:rsidRPr="00E25A5D">
              <w:rPr>
                <w:color w:val="000000"/>
                <w:sz w:val="22"/>
              </w:rPr>
              <w:t>53/1333</w:t>
            </w:r>
          </w:p>
        </w:tc>
      </w:tr>
      <w:tr w:rsidR="00E93194" w:rsidRPr="00E25A5D" w14:paraId="7AEF4B96" w14:textId="77777777" w:rsidTr="0052160D">
        <w:trPr>
          <w:trHeight w:val="20"/>
        </w:trPr>
        <w:tc>
          <w:tcPr>
            <w:tcW w:w="1415" w:type="dxa"/>
          </w:tcPr>
          <w:p w14:paraId="36E65568" w14:textId="77777777" w:rsidR="00E93194" w:rsidRPr="00E25A5D" w:rsidRDefault="00E93194" w:rsidP="009539F3">
            <w:pPr>
              <w:rPr>
                <w:i/>
              </w:rPr>
            </w:pPr>
            <w:r w:rsidRPr="00E25A5D">
              <w:rPr>
                <w:color w:val="000000"/>
                <w:sz w:val="22"/>
              </w:rPr>
              <w:t>GO:0042552</w:t>
            </w:r>
          </w:p>
        </w:tc>
        <w:tc>
          <w:tcPr>
            <w:tcW w:w="5106" w:type="dxa"/>
          </w:tcPr>
          <w:p w14:paraId="3D675857" w14:textId="77777777" w:rsidR="00E93194" w:rsidRPr="00E25A5D" w:rsidRDefault="00E93194" w:rsidP="009539F3">
            <w:pPr>
              <w:rPr>
                <w:i/>
              </w:rPr>
            </w:pPr>
            <w:r w:rsidRPr="00E25A5D">
              <w:rPr>
                <w:color w:val="000000"/>
                <w:sz w:val="22"/>
              </w:rPr>
              <w:t>myelination</w:t>
            </w:r>
          </w:p>
        </w:tc>
        <w:tc>
          <w:tcPr>
            <w:tcW w:w="1682" w:type="dxa"/>
          </w:tcPr>
          <w:p w14:paraId="40B4C81D" w14:textId="77777777" w:rsidR="00E93194" w:rsidRPr="00E25A5D" w:rsidRDefault="00E93194" w:rsidP="009539F3">
            <w:pPr>
              <w:rPr>
                <w:color w:val="000000"/>
              </w:rPr>
            </w:pPr>
            <w:r w:rsidRPr="00E25A5D">
              <w:rPr>
                <w:color w:val="000000"/>
                <w:sz w:val="22"/>
              </w:rPr>
              <w:t>5/115</w:t>
            </w:r>
          </w:p>
        </w:tc>
        <w:tc>
          <w:tcPr>
            <w:tcW w:w="1524" w:type="dxa"/>
          </w:tcPr>
          <w:p w14:paraId="726DD773" w14:textId="77777777" w:rsidR="00E93194" w:rsidRPr="00E25A5D" w:rsidRDefault="00E93194" w:rsidP="009539F3">
            <w:pPr>
              <w:rPr>
                <w:color w:val="000000"/>
              </w:rPr>
            </w:pPr>
            <w:r w:rsidRPr="00E25A5D">
              <w:rPr>
                <w:color w:val="000000"/>
                <w:sz w:val="22"/>
              </w:rPr>
              <w:t>29/1333</w:t>
            </w:r>
          </w:p>
        </w:tc>
      </w:tr>
      <w:tr w:rsidR="00E93194" w:rsidRPr="00E25A5D" w14:paraId="579F3D2B" w14:textId="77777777" w:rsidTr="0052160D">
        <w:trPr>
          <w:trHeight w:val="20"/>
        </w:trPr>
        <w:tc>
          <w:tcPr>
            <w:tcW w:w="1415" w:type="dxa"/>
          </w:tcPr>
          <w:p w14:paraId="4933C096" w14:textId="77777777" w:rsidR="00E93194" w:rsidRPr="00E25A5D" w:rsidRDefault="00E93194" w:rsidP="009539F3">
            <w:pPr>
              <w:rPr>
                <w:i/>
              </w:rPr>
            </w:pPr>
            <w:r w:rsidRPr="00E25A5D">
              <w:rPr>
                <w:color w:val="000000"/>
                <w:sz w:val="22"/>
              </w:rPr>
              <w:t>GO:0043112</w:t>
            </w:r>
          </w:p>
        </w:tc>
        <w:tc>
          <w:tcPr>
            <w:tcW w:w="5106" w:type="dxa"/>
          </w:tcPr>
          <w:p w14:paraId="61702783" w14:textId="77777777" w:rsidR="00E93194" w:rsidRPr="00E25A5D" w:rsidRDefault="00E93194" w:rsidP="009539F3">
            <w:pPr>
              <w:rPr>
                <w:i/>
              </w:rPr>
            </w:pPr>
            <w:r w:rsidRPr="00E25A5D">
              <w:rPr>
                <w:color w:val="000000"/>
                <w:sz w:val="22"/>
              </w:rPr>
              <w:t>receptor metabolic process</w:t>
            </w:r>
          </w:p>
        </w:tc>
        <w:tc>
          <w:tcPr>
            <w:tcW w:w="1682" w:type="dxa"/>
          </w:tcPr>
          <w:p w14:paraId="26A8B172" w14:textId="77777777" w:rsidR="00E93194" w:rsidRPr="00E25A5D" w:rsidRDefault="00E93194" w:rsidP="009539F3">
            <w:pPr>
              <w:rPr>
                <w:color w:val="000000"/>
              </w:rPr>
            </w:pPr>
            <w:r w:rsidRPr="00E25A5D">
              <w:rPr>
                <w:color w:val="000000"/>
                <w:sz w:val="22"/>
              </w:rPr>
              <w:t>7/115</w:t>
            </w:r>
          </w:p>
        </w:tc>
        <w:tc>
          <w:tcPr>
            <w:tcW w:w="1524" w:type="dxa"/>
          </w:tcPr>
          <w:p w14:paraId="30AC28A0" w14:textId="77777777" w:rsidR="00E93194" w:rsidRPr="00E25A5D" w:rsidRDefault="00E93194" w:rsidP="009539F3">
            <w:pPr>
              <w:rPr>
                <w:color w:val="000000"/>
              </w:rPr>
            </w:pPr>
            <w:r w:rsidRPr="00E25A5D">
              <w:rPr>
                <w:color w:val="000000"/>
                <w:sz w:val="22"/>
              </w:rPr>
              <w:t>27/1333</w:t>
            </w:r>
          </w:p>
        </w:tc>
      </w:tr>
      <w:tr w:rsidR="00E93194" w:rsidRPr="00E25A5D" w14:paraId="00221221" w14:textId="77777777" w:rsidTr="0052160D">
        <w:trPr>
          <w:trHeight w:val="20"/>
        </w:trPr>
        <w:tc>
          <w:tcPr>
            <w:tcW w:w="1415" w:type="dxa"/>
          </w:tcPr>
          <w:p w14:paraId="12FA798F" w14:textId="77777777" w:rsidR="00E93194" w:rsidRPr="00E25A5D" w:rsidRDefault="00E93194" w:rsidP="009539F3">
            <w:pPr>
              <w:rPr>
                <w:i/>
              </w:rPr>
            </w:pPr>
            <w:r w:rsidRPr="00E25A5D">
              <w:rPr>
                <w:color w:val="000000"/>
                <w:sz w:val="22"/>
              </w:rPr>
              <w:t>GO:0043523</w:t>
            </w:r>
          </w:p>
        </w:tc>
        <w:tc>
          <w:tcPr>
            <w:tcW w:w="5106" w:type="dxa"/>
          </w:tcPr>
          <w:p w14:paraId="2E161BBF" w14:textId="77777777" w:rsidR="00E93194" w:rsidRPr="00E25A5D" w:rsidRDefault="00E93194" w:rsidP="009539F3">
            <w:pPr>
              <w:rPr>
                <w:i/>
              </w:rPr>
            </w:pPr>
            <w:r w:rsidRPr="00E25A5D">
              <w:rPr>
                <w:color w:val="000000"/>
                <w:sz w:val="22"/>
              </w:rPr>
              <w:t>regulation of neuron apoptotic process</w:t>
            </w:r>
          </w:p>
        </w:tc>
        <w:tc>
          <w:tcPr>
            <w:tcW w:w="1682" w:type="dxa"/>
          </w:tcPr>
          <w:p w14:paraId="21333C17" w14:textId="77777777" w:rsidR="00E93194" w:rsidRPr="00E25A5D" w:rsidRDefault="00E93194" w:rsidP="009539F3">
            <w:pPr>
              <w:rPr>
                <w:color w:val="000000"/>
              </w:rPr>
            </w:pPr>
            <w:r w:rsidRPr="00E25A5D">
              <w:rPr>
                <w:color w:val="000000"/>
                <w:sz w:val="22"/>
              </w:rPr>
              <w:t>6/115</w:t>
            </w:r>
          </w:p>
        </w:tc>
        <w:tc>
          <w:tcPr>
            <w:tcW w:w="1524" w:type="dxa"/>
          </w:tcPr>
          <w:p w14:paraId="4594FFB1" w14:textId="77777777" w:rsidR="00E93194" w:rsidRPr="00E25A5D" w:rsidRDefault="00E93194" w:rsidP="009539F3">
            <w:pPr>
              <w:rPr>
                <w:color w:val="000000"/>
              </w:rPr>
            </w:pPr>
            <w:r w:rsidRPr="00E25A5D">
              <w:rPr>
                <w:color w:val="000000"/>
                <w:sz w:val="22"/>
              </w:rPr>
              <w:t>2</w:t>
            </w:r>
            <w:r w:rsidRPr="00E25A5D">
              <w:rPr>
                <w:color w:val="000000"/>
              </w:rPr>
              <w:t>8</w:t>
            </w:r>
            <w:r w:rsidRPr="00E25A5D">
              <w:rPr>
                <w:color w:val="000000"/>
                <w:sz w:val="22"/>
              </w:rPr>
              <w:t>/1333</w:t>
            </w:r>
          </w:p>
        </w:tc>
      </w:tr>
      <w:tr w:rsidR="00E93194" w:rsidRPr="00E25A5D" w14:paraId="0252FDA2" w14:textId="77777777" w:rsidTr="0052160D">
        <w:trPr>
          <w:trHeight w:val="20"/>
        </w:trPr>
        <w:tc>
          <w:tcPr>
            <w:tcW w:w="1415" w:type="dxa"/>
          </w:tcPr>
          <w:p w14:paraId="361E33E3" w14:textId="77777777" w:rsidR="00E93194" w:rsidRPr="00E25A5D" w:rsidRDefault="00E93194" w:rsidP="009539F3">
            <w:pPr>
              <w:rPr>
                <w:i/>
              </w:rPr>
            </w:pPr>
            <w:r w:rsidRPr="00E25A5D">
              <w:rPr>
                <w:color w:val="000000"/>
                <w:sz w:val="22"/>
              </w:rPr>
              <w:t>GO:0045665</w:t>
            </w:r>
          </w:p>
        </w:tc>
        <w:tc>
          <w:tcPr>
            <w:tcW w:w="5106" w:type="dxa"/>
          </w:tcPr>
          <w:p w14:paraId="3FB95246" w14:textId="77777777" w:rsidR="00E93194" w:rsidRPr="00E25A5D" w:rsidRDefault="00E93194" w:rsidP="009539F3">
            <w:pPr>
              <w:rPr>
                <w:i/>
              </w:rPr>
            </w:pPr>
            <w:r w:rsidRPr="00E25A5D">
              <w:rPr>
                <w:color w:val="000000"/>
                <w:sz w:val="22"/>
              </w:rPr>
              <w:t>negative regulation of neuron differentiation</w:t>
            </w:r>
          </w:p>
        </w:tc>
        <w:tc>
          <w:tcPr>
            <w:tcW w:w="1682" w:type="dxa"/>
          </w:tcPr>
          <w:p w14:paraId="4396223E" w14:textId="77777777" w:rsidR="00E93194" w:rsidRPr="00E25A5D" w:rsidRDefault="00E93194" w:rsidP="009539F3">
            <w:pPr>
              <w:rPr>
                <w:color w:val="000000"/>
              </w:rPr>
            </w:pPr>
            <w:r w:rsidRPr="00E25A5D">
              <w:rPr>
                <w:color w:val="000000"/>
                <w:sz w:val="22"/>
              </w:rPr>
              <w:t>8/115</w:t>
            </w:r>
          </w:p>
        </w:tc>
        <w:tc>
          <w:tcPr>
            <w:tcW w:w="1524" w:type="dxa"/>
          </w:tcPr>
          <w:p w14:paraId="71AC840E" w14:textId="77777777" w:rsidR="00E93194" w:rsidRPr="00E25A5D" w:rsidRDefault="00E93194" w:rsidP="009539F3">
            <w:pPr>
              <w:rPr>
                <w:color w:val="000000"/>
              </w:rPr>
            </w:pPr>
            <w:r w:rsidRPr="00E25A5D">
              <w:rPr>
                <w:color w:val="000000"/>
                <w:sz w:val="22"/>
              </w:rPr>
              <w:t>32/1333</w:t>
            </w:r>
          </w:p>
        </w:tc>
      </w:tr>
      <w:tr w:rsidR="00E93194" w:rsidRPr="00E25A5D" w14:paraId="0483A63E" w14:textId="77777777" w:rsidTr="0052160D">
        <w:trPr>
          <w:trHeight w:val="20"/>
        </w:trPr>
        <w:tc>
          <w:tcPr>
            <w:tcW w:w="1415" w:type="dxa"/>
          </w:tcPr>
          <w:p w14:paraId="44D8DCBC" w14:textId="77777777" w:rsidR="00E93194" w:rsidRPr="00E25A5D" w:rsidRDefault="00E93194" w:rsidP="009539F3">
            <w:pPr>
              <w:rPr>
                <w:i/>
              </w:rPr>
            </w:pPr>
            <w:r w:rsidRPr="00E25A5D">
              <w:rPr>
                <w:color w:val="000000"/>
                <w:sz w:val="22"/>
              </w:rPr>
              <w:t>GO:0048259</w:t>
            </w:r>
          </w:p>
        </w:tc>
        <w:tc>
          <w:tcPr>
            <w:tcW w:w="5106" w:type="dxa"/>
          </w:tcPr>
          <w:p w14:paraId="4E98EA92" w14:textId="77777777" w:rsidR="00E93194" w:rsidRPr="00E25A5D" w:rsidRDefault="00E93194" w:rsidP="009539F3">
            <w:pPr>
              <w:rPr>
                <w:i/>
              </w:rPr>
            </w:pPr>
            <w:r w:rsidRPr="00E25A5D">
              <w:rPr>
                <w:color w:val="000000"/>
                <w:sz w:val="22"/>
              </w:rPr>
              <w:t>regulation of receptor-mediated endocytosis</w:t>
            </w:r>
          </w:p>
        </w:tc>
        <w:tc>
          <w:tcPr>
            <w:tcW w:w="1682" w:type="dxa"/>
          </w:tcPr>
          <w:p w14:paraId="5B6BBE73" w14:textId="77777777" w:rsidR="00E93194" w:rsidRPr="00E25A5D" w:rsidRDefault="00E93194" w:rsidP="009539F3">
            <w:pPr>
              <w:rPr>
                <w:color w:val="000000"/>
              </w:rPr>
            </w:pPr>
            <w:r w:rsidRPr="00E25A5D">
              <w:rPr>
                <w:color w:val="000000"/>
                <w:sz w:val="22"/>
              </w:rPr>
              <w:t>5/115</w:t>
            </w:r>
          </w:p>
        </w:tc>
        <w:tc>
          <w:tcPr>
            <w:tcW w:w="1524" w:type="dxa"/>
          </w:tcPr>
          <w:p w14:paraId="4F7632B2" w14:textId="77777777" w:rsidR="00E93194" w:rsidRPr="00E25A5D" w:rsidRDefault="00E93194" w:rsidP="009539F3">
            <w:pPr>
              <w:rPr>
                <w:color w:val="000000"/>
              </w:rPr>
            </w:pPr>
            <w:r w:rsidRPr="00E25A5D">
              <w:rPr>
                <w:color w:val="000000"/>
                <w:sz w:val="22"/>
              </w:rPr>
              <w:t>18/1333</w:t>
            </w:r>
          </w:p>
        </w:tc>
      </w:tr>
      <w:tr w:rsidR="00E93194" w:rsidRPr="00E25A5D" w14:paraId="3AD94A40" w14:textId="77777777" w:rsidTr="0052160D">
        <w:trPr>
          <w:trHeight w:val="20"/>
        </w:trPr>
        <w:tc>
          <w:tcPr>
            <w:tcW w:w="1415" w:type="dxa"/>
          </w:tcPr>
          <w:p w14:paraId="498D4841" w14:textId="77777777" w:rsidR="00E93194" w:rsidRPr="00E25A5D" w:rsidRDefault="00E93194" w:rsidP="009539F3">
            <w:pPr>
              <w:rPr>
                <w:i/>
              </w:rPr>
            </w:pPr>
            <w:r w:rsidRPr="00E25A5D">
              <w:rPr>
                <w:color w:val="000000"/>
                <w:sz w:val="22"/>
              </w:rPr>
              <w:lastRenderedPageBreak/>
              <w:t>GO:0048709</w:t>
            </w:r>
          </w:p>
        </w:tc>
        <w:tc>
          <w:tcPr>
            <w:tcW w:w="5106" w:type="dxa"/>
          </w:tcPr>
          <w:p w14:paraId="4C19B423" w14:textId="77777777" w:rsidR="00E93194" w:rsidRPr="00E25A5D" w:rsidRDefault="00E93194" w:rsidP="009539F3">
            <w:pPr>
              <w:rPr>
                <w:i/>
              </w:rPr>
            </w:pPr>
            <w:r w:rsidRPr="00E25A5D">
              <w:rPr>
                <w:color w:val="000000"/>
                <w:sz w:val="22"/>
              </w:rPr>
              <w:t>oligodendrocyte differentiation</w:t>
            </w:r>
          </w:p>
        </w:tc>
        <w:tc>
          <w:tcPr>
            <w:tcW w:w="1682" w:type="dxa"/>
          </w:tcPr>
          <w:p w14:paraId="11208A58" w14:textId="77777777" w:rsidR="00E93194" w:rsidRPr="00E25A5D" w:rsidRDefault="00E93194" w:rsidP="009539F3">
            <w:pPr>
              <w:rPr>
                <w:color w:val="000000"/>
              </w:rPr>
            </w:pPr>
            <w:r w:rsidRPr="00E25A5D">
              <w:rPr>
                <w:color w:val="000000"/>
                <w:sz w:val="22"/>
              </w:rPr>
              <w:t>4/115</w:t>
            </w:r>
          </w:p>
        </w:tc>
        <w:tc>
          <w:tcPr>
            <w:tcW w:w="1524" w:type="dxa"/>
          </w:tcPr>
          <w:p w14:paraId="28680D77" w14:textId="77777777" w:rsidR="00E93194" w:rsidRPr="00E25A5D" w:rsidRDefault="00E93194" w:rsidP="009539F3">
            <w:pPr>
              <w:rPr>
                <w:color w:val="000000"/>
              </w:rPr>
            </w:pPr>
            <w:r w:rsidRPr="00E25A5D">
              <w:rPr>
                <w:color w:val="000000"/>
                <w:sz w:val="22"/>
              </w:rPr>
              <w:t>24/1333</w:t>
            </w:r>
          </w:p>
        </w:tc>
      </w:tr>
      <w:tr w:rsidR="00E93194" w:rsidRPr="00E25A5D" w14:paraId="404E80E8" w14:textId="77777777" w:rsidTr="0052160D">
        <w:trPr>
          <w:trHeight w:val="20"/>
        </w:trPr>
        <w:tc>
          <w:tcPr>
            <w:tcW w:w="1415" w:type="dxa"/>
          </w:tcPr>
          <w:p w14:paraId="3D023FAF" w14:textId="77777777" w:rsidR="00E93194" w:rsidRPr="00E25A5D" w:rsidRDefault="00E93194" w:rsidP="009539F3">
            <w:pPr>
              <w:rPr>
                <w:i/>
              </w:rPr>
            </w:pPr>
            <w:r w:rsidRPr="00E25A5D">
              <w:rPr>
                <w:color w:val="000000"/>
                <w:sz w:val="22"/>
              </w:rPr>
              <w:t>GO:0050768</w:t>
            </w:r>
          </w:p>
        </w:tc>
        <w:tc>
          <w:tcPr>
            <w:tcW w:w="5106" w:type="dxa"/>
          </w:tcPr>
          <w:p w14:paraId="1A51EC86" w14:textId="77777777" w:rsidR="00E93194" w:rsidRPr="00E25A5D" w:rsidRDefault="00E93194" w:rsidP="009539F3">
            <w:pPr>
              <w:rPr>
                <w:i/>
              </w:rPr>
            </w:pPr>
            <w:r w:rsidRPr="00E25A5D">
              <w:rPr>
                <w:color w:val="000000"/>
                <w:sz w:val="22"/>
              </w:rPr>
              <w:t>negative regulation of neurogenesis</w:t>
            </w:r>
          </w:p>
        </w:tc>
        <w:tc>
          <w:tcPr>
            <w:tcW w:w="1682" w:type="dxa"/>
          </w:tcPr>
          <w:p w14:paraId="53EBA340" w14:textId="77777777" w:rsidR="00E93194" w:rsidRPr="00E25A5D" w:rsidRDefault="00E93194" w:rsidP="009539F3">
            <w:pPr>
              <w:rPr>
                <w:color w:val="000000"/>
              </w:rPr>
            </w:pPr>
            <w:r w:rsidRPr="00E25A5D">
              <w:rPr>
                <w:color w:val="000000"/>
                <w:sz w:val="22"/>
              </w:rPr>
              <w:t>10/115</w:t>
            </w:r>
          </w:p>
        </w:tc>
        <w:tc>
          <w:tcPr>
            <w:tcW w:w="1524" w:type="dxa"/>
          </w:tcPr>
          <w:p w14:paraId="11E2AE89" w14:textId="77777777" w:rsidR="00E93194" w:rsidRPr="00E25A5D" w:rsidRDefault="00E93194" w:rsidP="009539F3">
            <w:pPr>
              <w:rPr>
                <w:color w:val="000000"/>
              </w:rPr>
            </w:pPr>
            <w:r w:rsidRPr="00E25A5D">
              <w:rPr>
                <w:color w:val="000000"/>
                <w:sz w:val="22"/>
              </w:rPr>
              <w:t>46/1333</w:t>
            </w:r>
          </w:p>
        </w:tc>
      </w:tr>
      <w:tr w:rsidR="00E93194" w:rsidRPr="00E25A5D" w14:paraId="14768FA6" w14:textId="77777777" w:rsidTr="0052160D">
        <w:trPr>
          <w:trHeight w:val="20"/>
        </w:trPr>
        <w:tc>
          <w:tcPr>
            <w:tcW w:w="1415" w:type="dxa"/>
          </w:tcPr>
          <w:p w14:paraId="1EB41488" w14:textId="77777777" w:rsidR="00E93194" w:rsidRPr="00E25A5D" w:rsidRDefault="00E93194" w:rsidP="009539F3">
            <w:pPr>
              <w:rPr>
                <w:i/>
              </w:rPr>
            </w:pPr>
            <w:r w:rsidRPr="00E25A5D">
              <w:rPr>
                <w:color w:val="000000"/>
                <w:sz w:val="22"/>
              </w:rPr>
              <w:t>GO:0050808</w:t>
            </w:r>
          </w:p>
        </w:tc>
        <w:tc>
          <w:tcPr>
            <w:tcW w:w="5106" w:type="dxa"/>
          </w:tcPr>
          <w:p w14:paraId="7D846D7C" w14:textId="77777777" w:rsidR="00E93194" w:rsidRPr="00E25A5D" w:rsidRDefault="00E93194" w:rsidP="009539F3">
            <w:pPr>
              <w:rPr>
                <w:i/>
              </w:rPr>
            </w:pPr>
            <w:r w:rsidRPr="00E25A5D">
              <w:rPr>
                <w:color w:val="000000"/>
                <w:sz w:val="22"/>
              </w:rPr>
              <w:t>synapse organization</w:t>
            </w:r>
          </w:p>
        </w:tc>
        <w:tc>
          <w:tcPr>
            <w:tcW w:w="1682" w:type="dxa"/>
          </w:tcPr>
          <w:p w14:paraId="5C692435" w14:textId="77777777" w:rsidR="00E93194" w:rsidRPr="00E25A5D" w:rsidRDefault="00E93194" w:rsidP="009539F3">
            <w:pPr>
              <w:rPr>
                <w:color w:val="000000"/>
              </w:rPr>
            </w:pPr>
            <w:r w:rsidRPr="00E25A5D">
              <w:rPr>
                <w:color w:val="000000"/>
                <w:sz w:val="22"/>
              </w:rPr>
              <w:t>9/115</w:t>
            </w:r>
          </w:p>
        </w:tc>
        <w:tc>
          <w:tcPr>
            <w:tcW w:w="1524" w:type="dxa"/>
          </w:tcPr>
          <w:p w14:paraId="489EF054" w14:textId="77777777" w:rsidR="00E93194" w:rsidRPr="00E25A5D" w:rsidRDefault="00E93194" w:rsidP="009539F3">
            <w:pPr>
              <w:rPr>
                <w:color w:val="000000"/>
              </w:rPr>
            </w:pPr>
            <w:r w:rsidRPr="00E25A5D">
              <w:rPr>
                <w:color w:val="000000"/>
                <w:sz w:val="22"/>
              </w:rPr>
              <w:t>47/1333</w:t>
            </w:r>
          </w:p>
        </w:tc>
      </w:tr>
      <w:tr w:rsidR="00E93194" w:rsidRPr="00E25A5D" w14:paraId="74B6F51D" w14:textId="77777777" w:rsidTr="0052160D">
        <w:trPr>
          <w:trHeight w:val="20"/>
        </w:trPr>
        <w:tc>
          <w:tcPr>
            <w:tcW w:w="1415" w:type="dxa"/>
          </w:tcPr>
          <w:p w14:paraId="23719192" w14:textId="77777777" w:rsidR="00E93194" w:rsidRPr="00E25A5D" w:rsidRDefault="00E93194" w:rsidP="009539F3">
            <w:pPr>
              <w:rPr>
                <w:i/>
              </w:rPr>
            </w:pPr>
            <w:r w:rsidRPr="00E25A5D">
              <w:rPr>
                <w:color w:val="000000"/>
                <w:sz w:val="22"/>
              </w:rPr>
              <w:t>GO:0051017</w:t>
            </w:r>
          </w:p>
        </w:tc>
        <w:tc>
          <w:tcPr>
            <w:tcW w:w="5106" w:type="dxa"/>
          </w:tcPr>
          <w:p w14:paraId="56EA65B4" w14:textId="77777777" w:rsidR="00E93194" w:rsidRPr="00E25A5D" w:rsidRDefault="00E93194" w:rsidP="009539F3">
            <w:pPr>
              <w:rPr>
                <w:i/>
              </w:rPr>
            </w:pPr>
            <w:r w:rsidRPr="00E25A5D">
              <w:rPr>
                <w:color w:val="000000"/>
                <w:sz w:val="22"/>
              </w:rPr>
              <w:t>actin filament bundle assembly</w:t>
            </w:r>
          </w:p>
        </w:tc>
        <w:tc>
          <w:tcPr>
            <w:tcW w:w="1682" w:type="dxa"/>
          </w:tcPr>
          <w:p w14:paraId="794C9828" w14:textId="77777777" w:rsidR="00E93194" w:rsidRPr="00E25A5D" w:rsidRDefault="00E93194" w:rsidP="009539F3">
            <w:pPr>
              <w:rPr>
                <w:color w:val="000000"/>
              </w:rPr>
            </w:pPr>
            <w:r w:rsidRPr="00E25A5D">
              <w:rPr>
                <w:color w:val="000000"/>
                <w:sz w:val="22"/>
              </w:rPr>
              <w:t>5/115</w:t>
            </w:r>
          </w:p>
        </w:tc>
        <w:tc>
          <w:tcPr>
            <w:tcW w:w="1524" w:type="dxa"/>
          </w:tcPr>
          <w:p w14:paraId="0A763AB5" w14:textId="77777777" w:rsidR="00E93194" w:rsidRPr="00E25A5D" w:rsidRDefault="00E93194" w:rsidP="009539F3">
            <w:pPr>
              <w:rPr>
                <w:color w:val="000000"/>
              </w:rPr>
            </w:pPr>
            <w:r w:rsidRPr="00E25A5D">
              <w:rPr>
                <w:color w:val="000000"/>
                <w:sz w:val="22"/>
              </w:rPr>
              <w:t>22/1333</w:t>
            </w:r>
          </w:p>
        </w:tc>
      </w:tr>
      <w:tr w:rsidR="00E93194" w:rsidRPr="00E25A5D" w14:paraId="7F6794CF" w14:textId="77777777" w:rsidTr="0052160D">
        <w:trPr>
          <w:trHeight w:val="20"/>
        </w:trPr>
        <w:tc>
          <w:tcPr>
            <w:tcW w:w="1415" w:type="dxa"/>
          </w:tcPr>
          <w:p w14:paraId="29E63EB1" w14:textId="77777777" w:rsidR="00E93194" w:rsidRPr="00E25A5D" w:rsidRDefault="00E93194" w:rsidP="009539F3">
            <w:pPr>
              <w:rPr>
                <w:i/>
              </w:rPr>
            </w:pPr>
            <w:r w:rsidRPr="00E25A5D">
              <w:rPr>
                <w:color w:val="000000"/>
                <w:sz w:val="22"/>
              </w:rPr>
              <w:t>GO:0051402</w:t>
            </w:r>
          </w:p>
        </w:tc>
        <w:tc>
          <w:tcPr>
            <w:tcW w:w="5106" w:type="dxa"/>
          </w:tcPr>
          <w:p w14:paraId="00FFC82C" w14:textId="77777777" w:rsidR="00E93194" w:rsidRPr="00E25A5D" w:rsidRDefault="00E93194" w:rsidP="009539F3">
            <w:pPr>
              <w:rPr>
                <w:i/>
              </w:rPr>
            </w:pPr>
            <w:r w:rsidRPr="00E25A5D">
              <w:rPr>
                <w:color w:val="000000"/>
                <w:sz w:val="22"/>
              </w:rPr>
              <w:t>neuron apoptotic process</w:t>
            </w:r>
          </w:p>
        </w:tc>
        <w:tc>
          <w:tcPr>
            <w:tcW w:w="1682" w:type="dxa"/>
          </w:tcPr>
          <w:p w14:paraId="6FAEF87A" w14:textId="77777777" w:rsidR="00E93194" w:rsidRPr="00E25A5D" w:rsidRDefault="00E93194" w:rsidP="009539F3">
            <w:pPr>
              <w:rPr>
                <w:color w:val="000000"/>
              </w:rPr>
            </w:pPr>
            <w:r w:rsidRPr="00E25A5D">
              <w:rPr>
                <w:color w:val="000000"/>
                <w:sz w:val="22"/>
              </w:rPr>
              <w:t>7/115</w:t>
            </w:r>
          </w:p>
        </w:tc>
        <w:tc>
          <w:tcPr>
            <w:tcW w:w="1524" w:type="dxa"/>
          </w:tcPr>
          <w:p w14:paraId="267F5EE1" w14:textId="77777777" w:rsidR="00E93194" w:rsidRPr="00E25A5D" w:rsidRDefault="00E93194" w:rsidP="009539F3">
            <w:pPr>
              <w:rPr>
                <w:color w:val="000000"/>
              </w:rPr>
            </w:pPr>
            <w:r w:rsidRPr="00E25A5D">
              <w:rPr>
                <w:color w:val="000000"/>
                <w:sz w:val="22"/>
              </w:rPr>
              <w:t>32/1333</w:t>
            </w:r>
          </w:p>
        </w:tc>
      </w:tr>
      <w:tr w:rsidR="00E93194" w:rsidRPr="00E25A5D" w14:paraId="230EB495" w14:textId="77777777" w:rsidTr="0052160D">
        <w:trPr>
          <w:trHeight w:val="20"/>
        </w:trPr>
        <w:tc>
          <w:tcPr>
            <w:tcW w:w="1415" w:type="dxa"/>
          </w:tcPr>
          <w:p w14:paraId="43C4B672" w14:textId="77777777" w:rsidR="00E93194" w:rsidRPr="00E25A5D" w:rsidRDefault="00E93194" w:rsidP="009539F3">
            <w:pPr>
              <w:rPr>
                <w:i/>
              </w:rPr>
            </w:pPr>
            <w:r w:rsidRPr="00E25A5D">
              <w:rPr>
                <w:color w:val="000000"/>
                <w:sz w:val="22"/>
              </w:rPr>
              <w:t>GO:0051961</w:t>
            </w:r>
          </w:p>
        </w:tc>
        <w:tc>
          <w:tcPr>
            <w:tcW w:w="5106" w:type="dxa"/>
          </w:tcPr>
          <w:p w14:paraId="6C9806F5" w14:textId="77777777" w:rsidR="00E93194" w:rsidRPr="00E25A5D" w:rsidRDefault="00E93194" w:rsidP="009539F3">
            <w:pPr>
              <w:rPr>
                <w:i/>
              </w:rPr>
            </w:pPr>
            <w:r w:rsidRPr="00E25A5D">
              <w:rPr>
                <w:color w:val="000000"/>
                <w:sz w:val="22"/>
              </w:rPr>
              <w:t>negative regulation of nervous system development</w:t>
            </w:r>
          </w:p>
        </w:tc>
        <w:tc>
          <w:tcPr>
            <w:tcW w:w="1682" w:type="dxa"/>
          </w:tcPr>
          <w:p w14:paraId="1F4FD327" w14:textId="77777777" w:rsidR="00E93194" w:rsidRPr="00E25A5D" w:rsidRDefault="00E93194" w:rsidP="009539F3">
            <w:pPr>
              <w:rPr>
                <w:color w:val="000000"/>
              </w:rPr>
            </w:pPr>
            <w:r w:rsidRPr="00E25A5D">
              <w:rPr>
                <w:color w:val="000000"/>
                <w:sz w:val="22"/>
              </w:rPr>
              <w:t>11/115</w:t>
            </w:r>
          </w:p>
        </w:tc>
        <w:tc>
          <w:tcPr>
            <w:tcW w:w="1524" w:type="dxa"/>
          </w:tcPr>
          <w:p w14:paraId="5464333E" w14:textId="77777777" w:rsidR="00E93194" w:rsidRPr="00E25A5D" w:rsidRDefault="00E93194" w:rsidP="009539F3">
            <w:pPr>
              <w:rPr>
                <w:color w:val="000000"/>
              </w:rPr>
            </w:pPr>
            <w:r w:rsidRPr="00E25A5D">
              <w:rPr>
                <w:color w:val="000000"/>
                <w:sz w:val="22"/>
              </w:rPr>
              <w:t>48/1333</w:t>
            </w:r>
          </w:p>
        </w:tc>
      </w:tr>
      <w:tr w:rsidR="00E93194" w:rsidRPr="00E25A5D" w14:paraId="77210B97" w14:textId="77777777" w:rsidTr="0052160D">
        <w:trPr>
          <w:trHeight w:val="20"/>
        </w:trPr>
        <w:tc>
          <w:tcPr>
            <w:tcW w:w="1415" w:type="dxa"/>
          </w:tcPr>
          <w:p w14:paraId="0632708E" w14:textId="77777777" w:rsidR="00E93194" w:rsidRPr="00E25A5D" w:rsidRDefault="00E93194" w:rsidP="009539F3">
            <w:pPr>
              <w:rPr>
                <w:i/>
              </w:rPr>
            </w:pPr>
            <w:r w:rsidRPr="00E25A5D">
              <w:rPr>
                <w:color w:val="000000"/>
                <w:sz w:val="22"/>
              </w:rPr>
              <w:t>GO:0061572</w:t>
            </w:r>
          </w:p>
        </w:tc>
        <w:tc>
          <w:tcPr>
            <w:tcW w:w="5106" w:type="dxa"/>
          </w:tcPr>
          <w:p w14:paraId="5814A272" w14:textId="77777777" w:rsidR="00E93194" w:rsidRPr="00E25A5D" w:rsidRDefault="00E93194" w:rsidP="009539F3">
            <w:pPr>
              <w:rPr>
                <w:i/>
              </w:rPr>
            </w:pPr>
            <w:r w:rsidRPr="00E25A5D">
              <w:rPr>
                <w:color w:val="000000"/>
                <w:sz w:val="22"/>
              </w:rPr>
              <w:t>actin filament bundle organization</w:t>
            </w:r>
          </w:p>
        </w:tc>
        <w:tc>
          <w:tcPr>
            <w:tcW w:w="1682" w:type="dxa"/>
          </w:tcPr>
          <w:p w14:paraId="2AA8C55C" w14:textId="77777777" w:rsidR="00E93194" w:rsidRPr="00E25A5D" w:rsidRDefault="00E93194" w:rsidP="009539F3">
            <w:pPr>
              <w:rPr>
                <w:color w:val="000000"/>
              </w:rPr>
            </w:pPr>
            <w:r w:rsidRPr="00E25A5D">
              <w:rPr>
                <w:color w:val="000000"/>
                <w:sz w:val="22"/>
              </w:rPr>
              <w:t>5/115</w:t>
            </w:r>
          </w:p>
        </w:tc>
        <w:tc>
          <w:tcPr>
            <w:tcW w:w="1524" w:type="dxa"/>
          </w:tcPr>
          <w:p w14:paraId="27A81B03" w14:textId="77777777" w:rsidR="00E93194" w:rsidRPr="00E25A5D" w:rsidRDefault="00E93194" w:rsidP="009539F3">
            <w:pPr>
              <w:rPr>
                <w:color w:val="000000"/>
              </w:rPr>
            </w:pPr>
            <w:r w:rsidRPr="00E25A5D">
              <w:rPr>
                <w:color w:val="000000"/>
                <w:sz w:val="22"/>
              </w:rPr>
              <w:t>22/1333</w:t>
            </w:r>
          </w:p>
        </w:tc>
      </w:tr>
      <w:tr w:rsidR="00E93194" w:rsidRPr="00E25A5D" w14:paraId="3A349EBD" w14:textId="77777777" w:rsidTr="0052160D">
        <w:trPr>
          <w:trHeight w:val="20"/>
        </w:trPr>
        <w:tc>
          <w:tcPr>
            <w:tcW w:w="1415" w:type="dxa"/>
          </w:tcPr>
          <w:p w14:paraId="49C6A753" w14:textId="77777777" w:rsidR="00E93194" w:rsidRPr="00E25A5D" w:rsidRDefault="00E93194" w:rsidP="009539F3">
            <w:pPr>
              <w:rPr>
                <w:i/>
              </w:rPr>
            </w:pPr>
            <w:r w:rsidRPr="00E25A5D">
              <w:rPr>
                <w:color w:val="000000"/>
                <w:sz w:val="22"/>
              </w:rPr>
              <w:t>GO:0070997</w:t>
            </w:r>
          </w:p>
        </w:tc>
        <w:tc>
          <w:tcPr>
            <w:tcW w:w="5106" w:type="dxa"/>
          </w:tcPr>
          <w:p w14:paraId="650E0493" w14:textId="77777777" w:rsidR="00E93194" w:rsidRPr="00E25A5D" w:rsidRDefault="00E93194" w:rsidP="009539F3">
            <w:pPr>
              <w:rPr>
                <w:i/>
              </w:rPr>
            </w:pPr>
            <w:r w:rsidRPr="00E25A5D">
              <w:rPr>
                <w:color w:val="000000"/>
                <w:sz w:val="22"/>
              </w:rPr>
              <w:t>neuron death</w:t>
            </w:r>
          </w:p>
        </w:tc>
        <w:tc>
          <w:tcPr>
            <w:tcW w:w="1682" w:type="dxa"/>
          </w:tcPr>
          <w:p w14:paraId="65D26B0B" w14:textId="77777777" w:rsidR="00E93194" w:rsidRPr="00E25A5D" w:rsidRDefault="00E93194" w:rsidP="009539F3">
            <w:pPr>
              <w:rPr>
                <w:color w:val="000000"/>
              </w:rPr>
            </w:pPr>
            <w:r w:rsidRPr="00E25A5D">
              <w:rPr>
                <w:color w:val="000000"/>
                <w:sz w:val="22"/>
              </w:rPr>
              <w:t>10/115</w:t>
            </w:r>
          </w:p>
        </w:tc>
        <w:tc>
          <w:tcPr>
            <w:tcW w:w="1524" w:type="dxa"/>
          </w:tcPr>
          <w:p w14:paraId="5461778F" w14:textId="77777777" w:rsidR="00E93194" w:rsidRPr="00E25A5D" w:rsidRDefault="00E93194" w:rsidP="009539F3">
            <w:pPr>
              <w:rPr>
                <w:color w:val="000000"/>
              </w:rPr>
            </w:pPr>
            <w:r w:rsidRPr="00E25A5D">
              <w:rPr>
                <w:color w:val="000000"/>
                <w:sz w:val="22"/>
              </w:rPr>
              <w:t>51/1333</w:t>
            </w:r>
          </w:p>
        </w:tc>
      </w:tr>
      <w:tr w:rsidR="00E93194" w:rsidRPr="00E25A5D" w14:paraId="7C50E99D" w14:textId="77777777" w:rsidTr="0052160D">
        <w:trPr>
          <w:trHeight w:val="20"/>
        </w:trPr>
        <w:tc>
          <w:tcPr>
            <w:tcW w:w="1415" w:type="dxa"/>
          </w:tcPr>
          <w:p w14:paraId="0FBA80D2" w14:textId="77777777" w:rsidR="00E93194" w:rsidRPr="00E25A5D" w:rsidRDefault="00E93194" w:rsidP="009539F3">
            <w:pPr>
              <w:rPr>
                <w:color w:val="000000"/>
                <w:lang w:val="en-GB"/>
              </w:rPr>
            </w:pPr>
            <w:r w:rsidRPr="00E25A5D">
              <w:rPr>
                <w:color w:val="000000"/>
                <w:sz w:val="22"/>
              </w:rPr>
              <w:t>GO:1901214</w:t>
            </w:r>
          </w:p>
        </w:tc>
        <w:tc>
          <w:tcPr>
            <w:tcW w:w="5106" w:type="dxa"/>
          </w:tcPr>
          <w:p w14:paraId="00ECA8B2" w14:textId="77777777" w:rsidR="00E93194" w:rsidRPr="00E25A5D" w:rsidRDefault="00E93194" w:rsidP="009539F3">
            <w:pPr>
              <w:rPr>
                <w:i/>
              </w:rPr>
            </w:pPr>
            <w:r w:rsidRPr="00E25A5D">
              <w:rPr>
                <w:color w:val="000000"/>
                <w:sz w:val="22"/>
              </w:rPr>
              <w:t>regulation of neuron death</w:t>
            </w:r>
          </w:p>
        </w:tc>
        <w:tc>
          <w:tcPr>
            <w:tcW w:w="1682" w:type="dxa"/>
          </w:tcPr>
          <w:p w14:paraId="1210752E" w14:textId="77777777" w:rsidR="00E93194" w:rsidRPr="00E25A5D" w:rsidRDefault="00E93194" w:rsidP="009539F3">
            <w:pPr>
              <w:rPr>
                <w:color w:val="000000"/>
              </w:rPr>
            </w:pPr>
            <w:r w:rsidRPr="00E25A5D">
              <w:rPr>
                <w:color w:val="000000"/>
                <w:sz w:val="22"/>
              </w:rPr>
              <w:t>9/115</w:t>
            </w:r>
          </w:p>
        </w:tc>
        <w:tc>
          <w:tcPr>
            <w:tcW w:w="1524" w:type="dxa"/>
          </w:tcPr>
          <w:p w14:paraId="1C6C2840" w14:textId="77777777" w:rsidR="00E93194" w:rsidRPr="00E25A5D" w:rsidRDefault="00E93194" w:rsidP="009539F3">
            <w:pPr>
              <w:rPr>
                <w:color w:val="000000"/>
              </w:rPr>
            </w:pPr>
            <w:r w:rsidRPr="00E25A5D">
              <w:rPr>
                <w:color w:val="000000"/>
                <w:sz w:val="22"/>
              </w:rPr>
              <w:t>45/1333</w:t>
            </w:r>
          </w:p>
        </w:tc>
      </w:tr>
      <w:tr w:rsidR="00E93194" w:rsidRPr="00E25A5D" w14:paraId="6B0AA34B" w14:textId="77777777" w:rsidTr="0052160D">
        <w:trPr>
          <w:trHeight w:val="20"/>
        </w:trPr>
        <w:tc>
          <w:tcPr>
            <w:tcW w:w="1415" w:type="dxa"/>
          </w:tcPr>
          <w:p w14:paraId="471F23BC" w14:textId="77777777" w:rsidR="00E93194" w:rsidRPr="00E25A5D" w:rsidRDefault="00E93194" w:rsidP="009539F3">
            <w:pPr>
              <w:rPr>
                <w:i/>
              </w:rPr>
            </w:pPr>
            <w:r w:rsidRPr="00E25A5D">
              <w:rPr>
                <w:color w:val="000000"/>
                <w:sz w:val="22"/>
              </w:rPr>
              <w:t>GO:1901215</w:t>
            </w:r>
          </w:p>
        </w:tc>
        <w:tc>
          <w:tcPr>
            <w:tcW w:w="5106" w:type="dxa"/>
          </w:tcPr>
          <w:p w14:paraId="10AAB08D" w14:textId="77777777" w:rsidR="00E93194" w:rsidRPr="00E25A5D" w:rsidRDefault="00E93194" w:rsidP="009539F3">
            <w:pPr>
              <w:rPr>
                <w:i/>
              </w:rPr>
            </w:pPr>
            <w:r w:rsidRPr="00E25A5D">
              <w:rPr>
                <w:color w:val="000000"/>
                <w:sz w:val="22"/>
              </w:rPr>
              <w:t>negative regulation of neuron death</w:t>
            </w:r>
          </w:p>
        </w:tc>
        <w:tc>
          <w:tcPr>
            <w:tcW w:w="1682" w:type="dxa"/>
          </w:tcPr>
          <w:p w14:paraId="7F43CF1C" w14:textId="77777777" w:rsidR="00E93194" w:rsidRPr="00E25A5D" w:rsidRDefault="00E93194" w:rsidP="009539F3">
            <w:pPr>
              <w:rPr>
                <w:color w:val="000000"/>
              </w:rPr>
            </w:pPr>
            <w:r w:rsidRPr="00E25A5D">
              <w:rPr>
                <w:color w:val="000000"/>
                <w:sz w:val="22"/>
              </w:rPr>
              <w:t>8/115</w:t>
            </w:r>
          </w:p>
        </w:tc>
        <w:tc>
          <w:tcPr>
            <w:tcW w:w="1524" w:type="dxa"/>
          </w:tcPr>
          <w:p w14:paraId="676D66B9" w14:textId="77777777" w:rsidR="00E93194" w:rsidRPr="00E25A5D" w:rsidRDefault="00E93194" w:rsidP="009539F3">
            <w:pPr>
              <w:rPr>
                <w:color w:val="000000"/>
              </w:rPr>
            </w:pPr>
            <w:r w:rsidRPr="00E25A5D">
              <w:rPr>
                <w:color w:val="000000"/>
                <w:sz w:val="22"/>
              </w:rPr>
              <w:t>27/1333</w:t>
            </w:r>
          </w:p>
        </w:tc>
      </w:tr>
      <w:tr w:rsidR="00E93194" w:rsidRPr="00E25A5D" w14:paraId="429BB462" w14:textId="77777777" w:rsidTr="0052160D">
        <w:trPr>
          <w:trHeight w:val="20"/>
        </w:trPr>
        <w:tc>
          <w:tcPr>
            <w:tcW w:w="1415" w:type="dxa"/>
          </w:tcPr>
          <w:p w14:paraId="12275728" w14:textId="77777777" w:rsidR="00E93194" w:rsidRPr="00E25A5D" w:rsidRDefault="00E93194" w:rsidP="009539F3">
            <w:pPr>
              <w:rPr>
                <w:i/>
              </w:rPr>
            </w:pPr>
            <w:r w:rsidRPr="00E25A5D">
              <w:rPr>
                <w:color w:val="000000"/>
                <w:sz w:val="22"/>
              </w:rPr>
              <w:t>GO:1902903</w:t>
            </w:r>
          </w:p>
        </w:tc>
        <w:tc>
          <w:tcPr>
            <w:tcW w:w="5106" w:type="dxa"/>
          </w:tcPr>
          <w:p w14:paraId="0A474405" w14:textId="77777777" w:rsidR="00E93194" w:rsidRPr="00E25A5D" w:rsidRDefault="00E93194" w:rsidP="009539F3">
            <w:pPr>
              <w:rPr>
                <w:i/>
              </w:rPr>
            </w:pPr>
            <w:r w:rsidRPr="00E25A5D">
              <w:rPr>
                <w:color w:val="000000"/>
                <w:sz w:val="22"/>
              </w:rPr>
              <w:t>regulation of supramolecular fiber organization</w:t>
            </w:r>
          </w:p>
        </w:tc>
        <w:tc>
          <w:tcPr>
            <w:tcW w:w="1682" w:type="dxa"/>
          </w:tcPr>
          <w:p w14:paraId="6B0926EA" w14:textId="77777777" w:rsidR="00E93194" w:rsidRPr="00E25A5D" w:rsidRDefault="00E93194" w:rsidP="009539F3">
            <w:pPr>
              <w:rPr>
                <w:color w:val="000000"/>
              </w:rPr>
            </w:pPr>
            <w:r w:rsidRPr="00E25A5D">
              <w:rPr>
                <w:color w:val="000000"/>
                <w:sz w:val="22"/>
              </w:rPr>
              <w:t>8/115</w:t>
            </w:r>
          </w:p>
        </w:tc>
        <w:tc>
          <w:tcPr>
            <w:tcW w:w="1524" w:type="dxa"/>
          </w:tcPr>
          <w:p w14:paraId="5926DA90" w14:textId="77777777" w:rsidR="00E93194" w:rsidRPr="00E25A5D" w:rsidRDefault="00E93194" w:rsidP="009539F3">
            <w:pPr>
              <w:rPr>
                <w:color w:val="000000"/>
              </w:rPr>
            </w:pPr>
            <w:r w:rsidRPr="00E25A5D">
              <w:rPr>
                <w:color w:val="000000"/>
                <w:sz w:val="22"/>
              </w:rPr>
              <w:t>42/1333</w:t>
            </w:r>
          </w:p>
        </w:tc>
      </w:tr>
      <w:tr w:rsidR="00E93194" w:rsidRPr="00E25A5D" w14:paraId="6E686DD9" w14:textId="77777777" w:rsidTr="0052160D">
        <w:trPr>
          <w:trHeight w:val="20"/>
        </w:trPr>
        <w:tc>
          <w:tcPr>
            <w:tcW w:w="1415" w:type="dxa"/>
          </w:tcPr>
          <w:p w14:paraId="6A63E6EB" w14:textId="77777777" w:rsidR="00E93194" w:rsidRPr="00E25A5D" w:rsidRDefault="00E93194" w:rsidP="009539F3">
            <w:pPr>
              <w:rPr>
                <w:i/>
              </w:rPr>
            </w:pPr>
            <w:r w:rsidRPr="00E25A5D">
              <w:rPr>
                <w:color w:val="000000"/>
                <w:sz w:val="22"/>
              </w:rPr>
              <w:t>GO:1905517</w:t>
            </w:r>
          </w:p>
        </w:tc>
        <w:tc>
          <w:tcPr>
            <w:tcW w:w="5106" w:type="dxa"/>
          </w:tcPr>
          <w:p w14:paraId="159EC4FA" w14:textId="77777777" w:rsidR="00E93194" w:rsidRPr="00E25A5D" w:rsidRDefault="00E93194" w:rsidP="009539F3">
            <w:pPr>
              <w:rPr>
                <w:i/>
              </w:rPr>
            </w:pPr>
            <w:r w:rsidRPr="00E25A5D">
              <w:rPr>
                <w:color w:val="000000"/>
                <w:sz w:val="22"/>
              </w:rPr>
              <w:t>macrophage migration</w:t>
            </w:r>
          </w:p>
        </w:tc>
        <w:tc>
          <w:tcPr>
            <w:tcW w:w="1682" w:type="dxa"/>
          </w:tcPr>
          <w:p w14:paraId="06F76B1D" w14:textId="77777777" w:rsidR="00E93194" w:rsidRPr="00E25A5D" w:rsidRDefault="00E93194" w:rsidP="009539F3">
            <w:pPr>
              <w:rPr>
                <w:color w:val="000000"/>
              </w:rPr>
            </w:pPr>
            <w:r w:rsidRPr="00E25A5D">
              <w:rPr>
                <w:color w:val="000000"/>
                <w:sz w:val="22"/>
              </w:rPr>
              <w:t>3/115</w:t>
            </w:r>
          </w:p>
        </w:tc>
        <w:tc>
          <w:tcPr>
            <w:tcW w:w="1524" w:type="dxa"/>
          </w:tcPr>
          <w:p w14:paraId="5CD4E52A" w14:textId="77777777" w:rsidR="00E93194" w:rsidRPr="00E25A5D" w:rsidRDefault="00E93194" w:rsidP="009539F3">
            <w:pPr>
              <w:rPr>
                <w:color w:val="000000"/>
              </w:rPr>
            </w:pPr>
            <w:r w:rsidRPr="00E25A5D">
              <w:rPr>
                <w:color w:val="000000"/>
                <w:sz w:val="22"/>
              </w:rPr>
              <w:t>11/1333</w:t>
            </w:r>
          </w:p>
        </w:tc>
      </w:tr>
      <w:tr w:rsidR="00E93194" w:rsidRPr="00E25A5D" w14:paraId="3B192FB2" w14:textId="77777777" w:rsidTr="0052160D">
        <w:trPr>
          <w:trHeight w:val="20"/>
        </w:trPr>
        <w:tc>
          <w:tcPr>
            <w:tcW w:w="1415" w:type="dxa"/>
          </w:tcPr>
          <w:p w14:paraId="374B05C2" w14:textId="77777777" w:rsidR="00E93194" w:rsidRPr="00E25A5D" w:rsidRDefault="00E93194" w:rsidP="009539F3">
            <w:pPr>
              <w:rPr>
                <w:i/>
              </w:rPr>
            </w:pPr>
            <w:r w:rsidRPr="00E25A5D">
              <w:rPr>
                <w:color w:val="000000"/>
                <w:sz w:val="22"/>
              </w:rPr>
              <w:t>GO:1905521</w:t>
            </w:r>
          </w:p>
        </w:tc>
        <w:tc>
          <w:tcPr>
            <w:tcW w:w="5106" w:type="dxa"/>
          </w:tcPr>
          <w:p w14:paraId="5428BAEB" w14:textId="77777777" w:rsidR="00E93194" w:rsidRPr="00E25A5D" w:rsidRDefault="00E93194" w:rsidP="009539F3">
            <w:pPr>
              <w:rPr>
                <w:i/>
              </w:rPr>
            </w:pPr>
            <w:r w:rsidRPr="00E25A5D">
              <w:rPr>
                <w:color w:val="000000"/>
                <w:sz w:val="22"/>
              </w:rPr>
              <w:t>regulation of macrophage migration</w:t>
            </w:r>
          </w:p>
        </w:tc>
        <w:tc>
          <w:tcPr>
            <w:tcW w:w="1682" w:type="dxa"/>
          </w:tcPr>
          <w:p w14:paraId="3997A23D" w14:textId="77777777" w:rsidR="00E93194" w:rsidRPr="00E25A5D" w:rsidRDefault="00E93194" w:rsidP="009539F3">
            <w:pPr>
              <w:rPr>
                <w:color w:val="000000"/>
              </w:rPr>
            </w:pPr>
            <w:r w:rsidRPr="00E25A5D">
              <w:rPr>
                <w:color w:val="000000"/>
                <w:sz w:val="22"/>
              </w:rPr>
              <w:t>3/115</w:t>
            </w:r>
          </w:p>
        </w:tc>
        <w:tc>
          <w:tcPr>
            <w:tcW w:w="1524" w:type="dxa"/>
          </w:tcPr>
          <w:p w14:paraId="0937C1F9" w14:textId="77777777" w:rsidR="00E93194" w:rsidRPr="00E25A5D" w:rsidRDefault="00E93194" w:rsidP="009539F3">
            <w:pPr>
              <w:rPr>
                <w:color w:val="000000"/>
              </w:rPr>
            </w:pPr>
            <w:r w:rsidRPr="00E25A5D">
              <w:rPr>
                <w:color w:val="000000"/>
              </w:rPr>
              <w:t>10</w:t>
            </w:r>
            <w:r w:rsidRPr="00E25A5D">
              <w:rPr>
                <w:color w:val="000000"/>
                <w:sz w:val="22"/>
              </w:rPr>
              <w:t>/1333</w:t>
            </w:r>
          </w:p>
        </w:tc>
      </w:tr>
      <w:tr w:rsidR="00E93194" w:rsidRPr="00E25A5D" w14:paraId="4FF272D6" w14:textId="77777777" w:rsidTr="0052160D">
        <w:trPr>
          <w:trHeight w:val="70"/>
        </w:trPr>
        <w:tc>
          <w:tcPr>
            <w:tcW w:w="1415" w:type="dxa"/>
          </w:tcPr>
          <w:p w14:paraId="50478905" w14:textId="77777777" w:rsidR="00E93194" w:rsidRPr="00E25A5D" w:rsidRDefault="00E93194" w:rsidP="009539F3">
            <w:pPr>
              <w:rPr>
                <w:i/>
              </w:rPr>
            </w:pPr>
            <w:r w:rsidRPr="00E25A5D">
              <w:rPr>
                <w:color w:val="000000"/>
                <w:sz w:val="22"/>
              </w:rPr>
              <w:t>GO:1990778</w:t>
            </w:r>
          </w:p>
        </w:tc>
        <w:tc>
          <w:tcPr>
            <w:tcW w:w="5106" w:type="dxa"/>
          </w:tcPr>
          <w:p w14:paraId="636057FC" w14:textId="77777777" w:rsidR="00E93194" w:rsidRPr="00E25A5D" w:rsidRDefault="00E93194" w:rsidP="009539F3">
            <w:pPr>
              <w:rPr>
                <w:i/>
              </w:rPr>
            </w:pPr>
            <w:r w:rsidRPr="00E25A5D">
              <w:rPr>
                <w:color w:val="000000"/>
                <w:sz w:val="22"/>
              </w:rPr>
              <w:t>protein localization to cell periphery</w:t>
            </w:r>
          </w:p>
        </w:tc>
        <w:tc>
          <w:tcPr>
            <w:tcW w:w="1682" w:type="dxa"/>
          </w:tcPr>
          <w:p w14:paraId="021C5038" w14:textId="77777777" w:rsidR="00E93194" w:rsidRPr="00E25A5D" w:rsidRDefault="00E93194" w:rsidP="009539F3">
            <w:pPr>
              <w:rPr>
                <w:color w:val="000000"/>
                <w:lang w:val="en-GB"/>
              </w:rPr>
            </w:pPr>
            <w:r w:rsidRPr="00E25A5D">
              <w:rPr>
                <w:color w:val="000000"/>
                <w:sz w:val="22"/>
              </w:rPr>
              <w:t>8/115</w:t>
            </w:r>
          </w:p>
        </w:tc>
        <w:tc>
          <w:tcPr>
            <w:tcW w:w="1524" w:type="dxa"/>
          </w:tcPr>
          <w:p w14:paraId="133E1684" w14:textId="77777777" w:rsidR="00E93194" w:rsidRPr="00E25A5D" w:rsidRDefault="00E93194" w:rsidP="009539F3">
            <w:pPr>
              <w:rPr>
                <w:color w:val="000000"/>
                <w:lang w:val="en-GB"/>
              </w:rPr>
            </w:pPr>
            <w:r w:rsidRPr="00E25A5D">
              <w:rPr>
                <w:color w:val="000000"/>
                <w:sz w:val="22"/>
              </w:rPr>
              <w:t>42/1333</w:t>
            </w:r>
          </w:p>
        </w:tc>
      </w:tr>
    </w:tbl>
    <w:p w14:paraId="232C6505" w14:textId="77777777" w:rsidR="00E93194" w:rsidRPr="00E25A5D" w:rsidRDefault="00E93194" w:rsidP="009539F3">
      <w:pPr>
        <w:rPr>
          <w:i/>
        </w:rPr>
      </w:pPr>
    </w:p>
    <w:p w14:paraId="40FD55E8" w14:textId="71A4E86B" w:rsidR="005F23F7" w:rsidRPr="00E25A5D" w:rsidRDefault="005F23F7" w:rsidP="00434A6A">
      <w:pPr>
        <w:jc w:val="both"/>
      </w:pPr>
      <w:r w:rsidRPr="00E25A5D">
        <w:rPr>
          <w:b/>
          <w:i/>
        </w:rPr>
        <w:t>Supplementary Table S</w:t>
      </w:r>
      <w:r w:rsidR="000B0696" w:rsidRPr="00E25A5D">
        <w:rPr>
          <w:b/>
          <w:i/>
        </w:rPr>
        <w:t>5</w:t>
      </w:r>
      <w:r w:rsidRPr="00E25A5D">
        <w:t xml:space="preserve">. </w:t>
      </w:r>
      <w:r w:rsidRPr="00E25A5D">
        <w:rPr>
          <w:b/>
          <w:i/>
        </w:rPr>
        <w:t>Numbers of CBR protein orthologs in various deuterostome</w:t>
      </w:r>
      <w:r w:rsidR="00A72B6A" w:rsidRPr="00E25A5D">
        <w:rPr>
          <w:b/>
          <w:i/>
        </w:rPr>
        <w:t>s</w:t>
      </w:r>
      <w:r w:rsidRPr="00E25A5D">
        <w:rPr>
          <w:b/>
          <w:i/>
        </w:rPr>
        <w:t xml:space="preserve"> (and insects (protostomes)).</w:t>
      </w:r>
      <w:r w:rsidRPr="00E25A5D">
        <w:rPr>
          <w:i/>
        </w:rPr>
        <w:t xml:space="preserve"> Search carried out </w:t>
      </w:r>
      <w:r w:rsidR="008A7711" w:rsidRPr="00E25A5D">
        <w:rPr>
          <w:i/>
        </w:rPr>
        <w:t>with</w:t>
      </w:r>
      <w:r w:rsidRPr="00E25A5D">
        <w:rPr>
          <w:i/>
        </w:rPr>
        <w:t xml:space="preserve"> BLASTP using C</w:t>
      </w:r>
      <w:r w:rsidR="005E76E6" w:rsidRPr="00E25A5D">
        <w:rPr>
          <w:i/>
        </w:rPr>
        <w:t>B1R</w:t>
      </w:r>
      <w:r w:rsidRPr="00E25A5D">
        <w:rPr>
          <w:i/>
        </w:rPr>
        <w:t xml:space="preserve"> from </w:t>
      </w:r>
      <w:r w:rsidRPr="00E25A5D">
        <w:rPr>
          <w:i/>
          <w:iCs/>
        </w:rPr>
        <w:t>Homo sapiens</w:t>
      </w:r>
      <w:r w:rsidRPr="00E25A5D">
        <w:rPr>
          <w:i/>
        </w:rPr>
        <w:t xml:space="preserve"> as </w:t>
      </w:r>
      <w:r w:rsidR="003305D1" w:rsidRPr="00E25A5D">
        <w:rPr>
          <w:i/>
        </w:rPr>
        <w:t>bait</w:t>
      </w:r>
      <w:r w:rsidRPr="00E25A5D">
        <w:rPr>
          <w:i/>
        </w:rPr>
        <w:t xml:space="preserve">. </w:t>
      </w:r>
    </w:p>
    <w:tbl>
      <w:tblPr>
        <w:tblW w:w="9148" w:type="dxa"/>
        <w:tblLook w:val="04A0" w:firstRow="1" w:lastRow="0" w:firstColumn="1" w:lastColumn="0" w:noHBand="0" w:noVBand="1"/>
      </w:tblPr>
      <w:tblGrid>
        <w:gridCol w:w="1985"/>
        <w:gridCol w:w="2763"/>
        <w:gridCol w:w="1500"/>
        <w:gridCol w:w="1480"/>
        <w:gridCol w:w="1420"/>
      </w:tblGrid>
      <w:tr w:rsidR="005F23F7" w:rsidRPr="00E25A5D" w14:paraId="289719F1" w14:textId="77777777" w:rsidTr="000B5E0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58557" w14:textId="77777777" w:rsidR="005F23F7" w:rsidRPr="00E25A5D" w:rsidRDefault="005F23F7" w:rsidP="005F23F7">
            <w:pPr>
              <w:jc w:val="center"/>
              <w:rPr>
                <w:rFonts w:ascii="Calibri" w:eastAsia="Times New Roman" w:hAnsi="Calibri" w:cs="Calibri"/>
                <w:b/>
                <w:bCs/>
                <w:color w:val="000000"/>
                <w:lang w:eastAsia="en-GB"/>
              </w:rPr>
            </w:pPr>
            <w:r w:rsidRPr="00E25A5D">
              <w:rPr>
                <w:rFonts w:ascii="Calibri" w:eastAsia="Times New Roman" w:hAnsi="Calibri" w:cs="Calibri"/>
                <w:b/>
                <w:bCs/>
                <w:color w:val="000000"/>
                <w:lang w:eastAsia="en-GB"/>
              </w:rPr>
              <w:t>Taxon</w:t>
            </w:r>
          </w:p>
        </w:tc>
        <w:tc>
          <w:tcPr>
            <w:tcW w:w="2763" w:type="dxa"/>
            <w:tcBorders>
              <w:top w:val="single" w:sz="4" w:space="0" w:color="auto"/>
              <w:left w:val="nil"/>
              <w:bottom w:val="single" w:sz="4" w:space="0" w:color="auto"/>
              <w:right w:val="single" w:sz="4" w:space="0" w:color="auto"/>
            </w:tcBorders>
            <w:shd w:val="clear" w:color="auto" w:fill="auto"/>
            <w:noWrap/>
            <w:vAlign w:val="center"/>
            <w:hideMark/>
          </w:tcPr>
          <w:p w14:paraId="07692F34" w14:textId="77777777" w:rsidR="005F23F7" w:rsidRPr="00E25A5D" w:rsidRDefault="005F23F7" w:rsidP="005F23F7">
            <w:pPr>
              <w:jc w:val="center"/>
              <w:rPr>
                <w:rFonts w:ascii="Calibri" w:eastAsia="Times New Roman" w:hAnsi="Calibri" w:cs="Calibri"/>
                <w:b/>
                <w:bCs/>
                <w:color w:val="000000"/>
                <w:lang w:eastAsia="en-GB"/>
              </w:rPr>
            </w:pPr>
            <w:r w:rsidRPr="00E25A5D">
              <w:rPr>
                <w:rFonts w:ascii="Calibri" w:eastAsia="Times New Roman" w:hAnsi="Calibri" w:cs="Calibri"/>
                <w:b/>
                <w:bCs/>
                <w:color w:val="000000"/>
                <w:lang w:eastAsia="en-GB"/>
              </w:rPr>
              <w:t>Species</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69449423" w14:textId="1338EB2C" w:rsidR="005F23F7" w:rsidRPr="00E25A5D" w:rsidRDefault="005F23F7" w:rsidP="005F23F7">
            <w:pPr>
              <w:jc w:val="center"/>
              <w:rPr>
                <w:rFonts w:ascii="Calibri" w:eastAsia="Times New Roman" w:hAnsi="Calibri" w:cs="Calibri"/>
                <w:b/>
                <w:bCs/>
                <w:color w:val="000000"/>
                <w:lang w:eastAsia="en-GB"/>
              </w:rPr>
            </w:pPr>
            <w:r w:rsidRPr="00E25A5D">
              <w:rPr>
                <w:rFonts w:ascii="Calibri" w:eastAsia="Times New Roman" w:hAnsi="Calibri" w:cs="Calibri"/>
                <w:b/>
                <w:bCs/>
                <w:color w:val="000000"/>
                <w:lang w:eastAsia="en-GB"/>
              </w:rPr>
              <w:t>CB1R orthologs</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14:paraId="06F3F00A" w14:textId="5A85EFC9" w:rsidR="005F23F7" w:rsidRPr="00E25A5D" w:rsidRDefault="005F23F7" w:rsidP="005F23F7">
            <w:pPr>
              <w:jc w:val="center"/>
              <w:rPr>
                <w:rFonts w:ascii="Calibri" w:eastAsia="Times New Roman" w:hAnsi="Calibri" w:cs="Calibri"/>
                <w:b/>
                <w:bCs/>
                <w:color w:val="000000"/>
                <w:lang w:eastAsia="en-GB"/>
              </w:rPr>
            </w:pPr>
            <w:r w:rsidRPr="00E25A5D">
              <w:rPr>
                <w:rFonts w:ascii="Calibri" w:eastAsia="Times New Roman" w:hAnsi="Calibri" w:cs="Calibri"/>
                <w:b/>
                <w:bCs/>
                <w:color w:val="000000"/>
                <w:lang w:eastAsia="en-GB"/>
              </w:rPr>
              <w:t>CB2R orthologs</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14:paraId="574C63A2" w14:textId="77777777" w:rsidR="005F23F7" w:rsidRPr="00E25A5D" w:rsidRDefault="005F23F7" w:rsidP="005F23F7">
            <w:pPr>
              <w:jc w:val="center"/>
              <w:rPr>
                <w:rFonts w:ascii="Calibri" w:eastAsia="Times New Roman" w:hAnsi="Calibri" w:cs="Calibri"/>
                <w:b/>
                <w:bCs/>
                <w:color w:val="000000"/>
                <w:lang w:eastAsia="en-GB"/>
              </w:rPr>
            </w:pPr>
            <w:r w:rsidRPr="00E25A5D">
              <w:rPr>
                <w:rFonts w:ascii="Calibri" w:eastAsia="Times New Roman" w:hAnsi="Calibri" w:cs="Calibri"/>
                <w:b/>
                <w:bCs/>
                <w:color w:val="000000"/>
                <w:lang w:eastAsia="en-GB"/>
              </w:rPr>
              <w:t>unknown CNR</w:t>
            </w:r>
          </w:p>
        </w:tc>
      </w:tr>
      <w:tr w:rsidR="005F23F7" w:rsidRPr="00E25A5D" w14:paraId="2D37AD2A" w14:textId="77777777" w:rsidTr="000B5E0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47CAEF18" w14:textId="77777777" w:rsidR="005F23F7" w:rsidRPr="00E25A5D" w:rsidRDefault="005F23F7" w:rsidP="005F23F7">
            <w:pPr>
              <w:rPr>
                <w:rFonts w:eastAsia="Times New Roman" w:cs="Times New Roman"/>
                <w:color w:val="000000"/>
                <w:lang w:eastAsia="en-GB"/>
              </w:rPr>
            </w:pPr>
            <w:r w:rsidRPr="00E25A5D">
              <w:rPr>
                <w:rFonts w:eastAsia="Times New Roman" w:cs="Times New Roman"/>
                <w:color w:val="000000"/>
                <w:lang w:eastAsia="en-GB"/>
              </w:rPr>
              <w:t>Placental mammals</w:t>
            </w:r>
          </w:p>
        </w:tc>
        <w:tc>
          <w:tcPr>
            <w:tcW w:w="2763" w:type="dxa"/>
            <w:tcBorders>
              <w:top w:val="nil"/>
              <w:left w:val="nil"/>
              <w:bottom w:val="single" w:sz="4" w:space="0" w:color="auto"/>
              <w:right w:val="single" w:sz="4" w:space="0" w:color="auto"/>
            </w:tcBorders>
            <w:shd w:val="clear" w:color="auto" w:fill="auto"/>
            <w:noWrap/>
            <w:vAlign w:val="bottom"/>
            <w:hideMark/>
          </w:tcPr>
          <w:p w14:paraId="4F433C91" w14:textId="77777777" w:rsidR="005F23F7" w:rsidRPr="00E25A5D" w:rsidRDefault="005F23F7" w:rsidP="005F23F7">
            <w:pPr>
              <w:rPr>
                <w:rFonts w:eastAsia="Times New Roman" w:cs="Times New Roman"/>
                <w:i/>
                <w:iCs/>
                <w:color w:val="000000"/>
                <w:lang w:eastAsia="en-GB"/>
              </w:rPr>
            </w:pPr>
            <w:r w:rsidRPr="00E25A5D">
              <w:rPr>
                <w:rFonts w:eastAsia="Times New Roman" w:cs="Times New Roman"/>
                <w:i/>
                <w:iCs/>
                <w:color w:val="000000"/>
                <w:lang w:eastAsia="en-GB"/>
              </w:rPr>
              <w:t>Homo sapiens</w:t>
            </w:r>
          </w:p>
        </w:tc>
        <w:tc>
          <w:tcPr>
            <w:tcW w:w="1500" w:type="dxa"/>
            <w:tcBorders>
              <w:top w:val="nil"/>
              <w:left w:val="nil"/>
              <w:bottom w:val="single" w:sz="4" w:space="0" w:color="auto"/>
              <w:right w:val="single" w:sz="4" w:space="0" w:color="auto"/>
            </w:tcBorders>
            <w:shd w:val="clear" w:color="auto" w:fill="auto"/>
            <w:noWrap/>
            <w:vAlign w:val="bottom"/>
            <w:hideMark/>
          </w:tcPr>
          <w:p w14:paraId="61776023"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c>
          <w:tcPr>
            <w:tcW w:w="1480" w:type="dxa"/>
            <w:tcBorders>
              <w:top w:val="nil"/>
              <w:left w:val="nil"/>
              <w:bottom w:val="single" w:sz="4" w:space="0" w:color="auto"/>
              <w:right w:val="single" w:sz="4" w:space="0" w:color="auto"/>
            </w:tcBorders>
            <w:shd w:val="clear" w:color="auto" w:fill="auto"/>
            <w:noWrap/>
            <w:vAlign w:val="bottom"/>
            <w:hideMark/>
          </w:tcPr>
          <w:p w14:paraId="3BB01A46"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c>
          <w:tcPr>
            <w:tcW w:w="1420" w:type="dxa"/>
            <w:tcBorders>
              <w:top w:val="nil"/>
              <w:left w:val="nil"/>
              <w:bottom w:val="single" w:sz="4" w:space="0" w:color="auto"/>
              <w:right w:val="single" w:sz="4" w:space="0" w:color="auto"/>
            </w:tcBorders>
            <w:shd w:val="clear" w:color="auto" w:fill="auto"/>
            <w:noWrap/>
            <w:vAlign w:val="bottom"/>
            <w:hideMark/>
          </w:tcPr>
          <w:p w14:paraId="6DECB70F"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r>
      <w:tr w:rsidR="005F23F7" w:rsidRPr="00E25A5D" w14:paraId="16C4838D" w14:textId="77777777" w:rsidTr="000B5E0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4BFB01B1" w14:textId="77777777" w:rsidR="005F23F7" w:rsidRPr="00E25A5D" w:rsidRDefault="005F23F7" w:rsidP="005F23F7">
            <w:pPr>
              <w:rPr>
                <w:rFonts w:eastAsia="Times New Roman" w:cs="Times New Roman"/>
                <w:color w:val="000000"/>
                <w:lang w:eastAsia="en-GB"/>
              </w:rPr>
            </w:pPr>
            <w:r w:rsidRPr="00E25A5D">
              <w:rPr>
                <w:rFonts w:eastAsia="Times New Roman" w:cs="Times New Roman"/>
                <w:color w:val="000000"/>
                <w:lang w:eastAsia="en-GB"/>
              </w:rPr>
              <w:t>Marsupials</w:t>
            </w:r>
          </w:p>
        </w:tc>
        <w:tc>
          <w:tcPr>
            <w:tcW w:w="2763" w:type="dxa"/>
            <w:tcBorders>
              <w:top w:val="nil"/>
              <w:left w:val="nil"/>
              <w:bottom w:val="single" w:sz="4" w:space="0" w:color="auto"/>
              <w:right w:val="single" w:sz="4" w:space="0" w:color="auto"/>
            </w:tcBorders>
            <w:shd w:val="clear" w:color="auto" w:fill="auto"/>
            <w:noWrap/>
            <w:vAlign w:val="bottom"/>
            <w:hideMark/>
          </w:tcPr>
          <w:p w14:paraId="777CD08B" w14:textId="77777777" w:rsidR="005F23F7" w:rsidRPr="00E25A5D" w:rsidRDefault="005F23F7" w:rsidP="005F23F7">
            <w:pPr>
              <w:rPr>
                <w:rFonts w:eastAsia="Times New Roman" w:cs="Times New Roman"/>
                <w:i/>
                <w:iCs/>
                <w:color w:val="000000"/>
                <w:lang w:eastAsia="en-GB"/>
              </w:rPr>
            </w:pPr>
            <w:proofErr w:type="spellStart"/>
            <w:r w:rsidRPr="00E25A5D">
              <w:rPr>
                <w:rFonts w:eastAsia="Times New Roman" w:cs="Times New Roman"/>
                <w:i/>
                <w:iCs/>
                <w:color w:val="000000"/>
                <w:lang w:eastAsia="en-GB"/>
              </w:rPr>
              <w:t>Monodelphis</w:t>
            </w:r>
            <w:proofErr w:type="spellEnd"/>
            <w:r w:rsidRPr="00E25A5D">
              <w:rPr>
                <w:rFonts w:eastAsia="Times New Roman" w:cs="Times New Roman"/>
                <w:i/>
                <w:iCs/>
                <w:color w:val="000000"/>
                <w:lang w:eastAsia="en-GB"/>
              </w:rPr>
              <w:t xml:space="preserve"> domestica</w:t>
            </w:r>
          </w:p>
        </w:tc>
        <w:tc>
          <w:tcPr>
            <w:tcW w:w="1500" w:type="dxa"/>
            <w:tcBorders>
              <w:top w:val="nil"/>
              <w:left w:val="nil"/>
              <w:bottom w:val="single" w:sz="4" w:space="0" w:color="auto"/>
              <w:right w:val="single" w:sz="4" w:space="0" w:color="auto"/>
            </w:tcBorders>
            <w:shd w:val="clear" w:color="auto" w:fill="auto"/>
            <w:noWrap/>
            <w:vAlign w:val="bottom"/>
            <w:hideMark/>
          </w:tcPr>
          <w:p w14:paraId="0A595E42"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c>
          <w:tcPr>
            <w:tcW w:w="1480" w:type="dxa"/>
            <w:tcBorders>
              <w:top w:val="nil"/>
              <w:left w:val="nil"/>
              <w:bottom w:val="single" w:sz="4" w:space="0" w:color="auto"/>
              <w:right w:val="single" w:sz="4" w:space="0" w:color="auto"/>
            </w:tcBorders>
            <w:shd w:val="clear" w:color="auto" w:fill="auto"/>
            <w:noWrap/>
            <w:vAlign w:val="bottom"/>
            <w:hideMark/>
          </w:tcPr>
          <w:p w14:paraId="2181C3E6"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c>
          <w:tcPr>
            <w:tcW w:w="1420" w:type="dxa"/>
            <w:tcBorders>
              <w:top w:val="nil"/>
              <w:left w:val="nil"/>
              <w:bottom w:val="single" w:sz="4" w:space="0" w:color="auto"/>
              <w:right w:val="single" w:sz="4" w:space="0" w:color="auto"/>
            </w:tcBorders>
            <w:shd w:val="clear" w:color="auto" w:fill="auto"/>
            <w:noWrap/>
            <w:vAlign w:val="bottom"/>
            <w:hideMark/>
          </w:tcPr>
          <w:p w14:paraId="0A4511B2"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r>
      <w:tr w:rsidR="005F23F7" w:rsidRPr="00E25A5D" w14:paraId="1105FCFE" w14:textId="77777777" w:rsidTr="000B5E0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0BF7804F" w14:textId="77777777" w:rsidR="005F23F7" w:rsidRPr="00E25A5D" w:rsidRDefault="005F23F7" w:rsidP="005F23F7">
            <w:pPr>
              <w:rPr>
                <w:rFonts w:eastAsia="Times New Roman" w:cs="Times New Roman"/>
                <w:color w:val="000000"/>
                <w:lang w:eastAsia="en-GB"/>
              </w:rPr>
            </w:pPr>
            <w:r w:rsidRPr="00E25A5D">
              <w:rPr>
                <w:rFonts w:eastAsia="Times New Roman" w:cs="Times New Roman"/>
                <w:color w:val="000000"/>
                <w:lang w:eastAsia="en-GB"/>
              </w:rPr>
              <w:lastRenderedPageBreak/>
              <w:t>Monotremes</w:t>
            </w:r>
          </w:p>
        </w:tc>
        <w:tc>
          <w:tcPr>
            <w:tcW w:w="2763" w:type="dxa"/>
            <w:tcBorders>
              <w:top w:val="nil"/>
              <w:left w:val="nil"/>
              <w:bottom w:val="single" w:sz="4" w:space="0" w:color="auto"/>
              <w:right w:val="single" w:sz="4" w:space="0" w:color="auto"/>
            </w:tcBorders>
            <w:shd w:val="clear" w:color="auto" w:fill="auto"/>
            <w:noWrap/>
            <w:vAlign w:val="bottom"/>
            <w:hideMark/>
          </w:tcPr>
          <w:p w14:paraId="31020023" w14:textId="77777777" w:rsidR="005F23F7" w:rsidRPr="00E25A5D" w:rsidRDefault="005F23F7" w:rsidP="005F23F7">
            <w:pPr>
              <w:rPr>
                <w:rFonts w:eastAsia="Times New Roman" w:cs="Times New Roman"/>
                <w:i/>
                <w:iCs/>
                <w:color w:val="000000"/>
                <w:lang w:eastAsia="en-GB"/>
              </w:rPr>
            </w:pPr>
            <w:proofErr w:type="spellStart"/>
            <w:r w:rsidRPr="00E25A5D">
              <w:rPr>
                <w:rFonts w:eastAsia="Times New Roman" w:cs="Times New Roman"/>
                <w:i/>
                <w:iCs/>
                <w:color w:val="000000"/>
                <w:lang w:eastAsia="en-GB"/>
              </w:rPr>
              <w:t>Ornithorhyncus</w:t>
            </w:r>
            <w:proofErr w:type="spellEnd"/>
            <w:r w:rsidRPr="00E25A5D">
              <w:rPr>
                <w:rFonts w:eastAsia="Times New Roman" w:cs="Times New Roman"/>
                <w:i/>
                <w:iCs/>
                <w:color w:val="000000"/>
                <w:lang w:eastAsia="en-GB"/>
              </w:rPr>
              <w:t xml:space="preserve"> anatinus</w:t>
            </w:r>
          </w:p>
        </w:tc>
        <w:tc>
          <w:tcPr>
            <w:tcW w:w="1500" w:type="dxa"/>
            <w:tcBorders>
              <w:top w:val="nil"/>
              <w:left w:val="nil"/>
              <w:bottom w:val="single" w:sz="4" w:space="0" w:color="auto"/>
              <w:right w:val="single" w:sz="4" w:space="0" w:color="auto"/>
            </w:tcBorders>
            <w:shd w:val="clear" w:color="auto" w:fill="auto"/>
            <w:noWrap/>
            <w:vAlign w:val="bottom"/>
            <w:hideMark/>
          </w:tcPr>
          <w:p w14:paraId="34CC035A"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c>
          <w:tcPr>
            <w:tcW w:w="1480" w:type="dxa"/>
            <w:tcBorders>
              <w:top w:val="nil"/>
              <w:left w:val="nil"/>
              <w:bottom w:val="single" w:sz="4" w:space="0" w:color="auto"/>
              <w:right w:val="single" w:sz="4" w:space="0" w:color="auto"/>
            </w:tcBorders>
            <w:shd w:val="clear" w:color="auto" w:fill="auto"/>
            <w:noWrap/>
            <w:vAlign w:val="bottom"/>
            <w:hideMark/>
          </w:tcPr>
          <w:p w14:paraId="11A955DC"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c>
          <w:tcPr>
            <w:tcW w:w="1420" w:type="dxa"/>
            <w:tcBorders>
              <w:top w:val="nil"/>
              <w:left w:val="nil"/>
              <w:bottom w:val="single" w:sz="4" w:space="0" w:color="auto"/>
              <w:right w:val="single" w:sz="4" w:space="0" w:color="auto"/>
            </w:tcBorders>
            <w:shd w:val="clear" w:color="auto" w:fill="auto"/>
            <w:noWrap/>
            <w:vAlign w:val="bottom"/>
            <w:hideMark/>
          </w:tcPr>
          <w:p w14:paraId="284F9B4F"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r>
      <w:tr w:rsidR="005F23F7" w:rsidRPr="00E25A5D" w14:paraId="16F9A2FA" w14:textId="77777777" w:rsidTr="000B5E0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2DC76734" w14:textId="77777777" w:rsidR="005F23F7" w:rsidRPr="00E25A5D" w:rsidRDefault="005F23F7" w:rsidP="005F23F7">
            <w:pPr>
              <w:rPr>
                <w:rFonts w:eastAsia="Times New Roman" w:cs="Times New Roman"/>
                <w:color w:val="000000"/>
                <w:lang w:eastAsia="en-GB"/>
              </w:rPr>
            </w:pPr>
            <w:r w:rsidRPr="00E25A5D">
              <w:rPr>
                <w:rFonts w:eastAsia="Times New Roman" w:cs="Times New Roman"/>
                <w:color w:val="000000"/>
                <w:lang w:eastAsia="en-GB"/>
              </w:rPr>
              <w:t>Birds</w:t>
            </w:r>
          </w:p>
        </w:tc>
        <w:tc>
          <w:tcPr>
            <w:tcW w:w="2763" w:type="dxa"/>
            <w:tcBorders>
              <w:top w:val="nil"/>
              <w:left w:val="nil"/>
              <w:bottom w:val="single" w:sz="4" w:space="0" w:color="auto"/>
              <w:right w:val="single" w:sz="4" w:space="0" w:color="auto"/>
            </w:tcBorders>
            <w:shd w:val="clear" w:color="auto" w:fill="auto"/>
            <w:noWrap/>
            <w:vAlign w:val="bottom"/>
            <w:hideMark/>
          </w:tcPr>
          <w:p w14:paraId="55CF01F1" w14:textId="77777777" w:rsidR="005F23F7" w:rsidRPr="00E25A5D" w:rsidRDefault="005F23F7" w:rsidP="005F23F7">
            <w:pPr>
              <w:rPr>
                <w:rFonts w:eastAsia="Times New Roman" w:cs="Times New Roman"/>
                <w:i/>
                <w:iCs/>
                <w:color w:val="000000"/>
                <w:lang w:eastAsia="en-GB"/>
              </w:rPr>
            </w:pPr>
            <w:r w:rsidRPr="00E25A5D">
              <w:rPr>
                <w:rFonts w:eastAsia="Times New Roman" w:cs="Times New Roman"/>
                <w:i/>
                <w:iCs/>
                <w:color w:val="000000"/>
                <w:lang w:eastAsia="en-GB"/>
              </w:rPr>
              <w:t xml:space="preserve">Gallus </w:t>
            </w:r>
            <w:proofErr w:type="spellStart"/>
            <w:r w:rsidRPr="00E25A5D">
              <w:rPr>
                <w:rFonts w:eastAsia="Times New Roman" w:cs="Times New Roman"/>
                <w:i/>
                <w:iCs/>
                <w:color w:val="000000"/>
                <w:lang w:eastAsia="en-GB"/>
              </w:rPr>
              <w:t>gallus</w:t>
            </w:r>
            <w:proofErr w:type="spellEnd"/>
          </w:p>
        </w:tc>
        <w:tc>
          <w:tcPr>
            <w:tcW w:w="1500" w:type="dxa"/>
            <w:tcBorders>
              <w:top w:val="nil"/>
              <w:left w:val="nil"/>
              <w:bottom w:val="single" w:sz="4" w:space="0" w:color="auto"/>
              <w:right w:val="single" w:sz="4" w:space="0" w:color="auto"/>
            </w:tcBorders>
            <w:shd w:val="clear" w:color="auto" w:fill="auto"/>
            <w:noWrap/>
            <w:vAlign w:val="bottom"/>
            <w:hideMark/>
          </w:tcPr>
          <w:p w14:paraId="018A6268"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c>
          <w:tcPr>
            <w:tcW w:w="1480" w:type="dxa"/>
            <w:tcBorders>
              <w:top w:val="nil"/>
              <w:left w:val="nil"/>
              <w:bottom w:val="single" w:sz="4" w:space="0" w:color="auto"/>
              <w:right w:val="single" w:sz="4" w:space="0" w:color="auto"/>
            </w:tcBorders>
            <w:shd w:val="clear" w:color="auto" w:fill="auto"/>
            <w:noWrap/>
            <w:vAlign w:val="bottom"/>
            <w:hideMark/>
          </w:tcPr>
          <w:p w14:paraId="34EDD9D1"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c>
          <w:tcPr>
            <w:tcW w:w="1420" w:type="dxa"/>
            <w:tcBorders>
              <w:top w:val="nil"/>
              <w:left w:val="nil"/>
              <w:bottom w:val="single" w:sz="4" w:space="0" w:color="auto"/>
              <w:right w:val="single" w:sz="4" w:space="0" w:color="auto"/>
            </w:tcBorders>
            <w:shd w:val="clear" w:color="auto" w:fill="auto"/>
            <w:noWrap/>
            <w:vAlign w:val="bottom"/>
            <w:hideMark/>
          </w:tcPr>
          <w:p w14:paraId="23C9FCF2"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r>
      <w:tr w:rsidR="005F23F7" w:rsidRPr="00E25A5D" w14:paraId="7D000A9C" w14:textId="77777777" w:rsidTr="000B5E0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01EDFE7E" w14:textId="77777777" w:rsidR="005F23F7" w:rsidRPr="00E25A5D" w:rsidRDefault="005F23F7" w:rsidP="005F23F7">
            <w:pPr>
              <w:rPr>
                <w:rFonts w:eastAsia="Times New Roman" w:cs="Times New Roman"/>
                <w:color w:val="000000"/>
                <w:lang w:eastAsia="en-GB"/>
              </w:rPr>
            </w:pPr>
            <w:r w:rsidRPr="00E25A5D">
              <w:rPr>
                <w:rFonts w:eastAsia="Times New Roman" w:cs="Times New Roman"/>
                <w:color w:val="000000"/>
                <w:lang w:eastAsia="en-GB"/>
              </w:rPr>
              <w:t>Reptiles</w:t>
            </w:r>
          </w:p>
        </w:tc>
        <w:tc>
          <w:tcPr>
            <w:tcW w:w="2763" w:type="dxa"/>
            <w:tcBorders>
              <w:top w:val="nil"/>
              <w:left w:val="nil"/>
              <w:bottom w:val="single" w:sz="4" w:space="0" w:color="auto"/>
              <w:right w:val="single" w:sz="4" w:space="0" w:color="auto"/>
            </w:tcBorders>
            <w:shd w:val="clear" w:color="auto" w:fill="auto"/>
            <w:noWrap/>
            <w:vAlign w:val="bottom"/>
            <w:hideMark/>
          </w:tcPr>
          <w:p w14:paraId="2248E34E" w14:textId="77777777" w:rsidR="005F23F7" w:rsidRPr="00E25A5D" w:rsidRDefault="005F23F7" w:rsidP="005F23F7">
            <w:pPr>
              <w:rPr>
                <w:rFonts w:eastAsia="Times New Roman" w:cs="Times New Roman"/>
                <w:i/>
                <w:iCs/>
                <w:color w:val="000000"/>
                <w:lang w:eastAsia="en-GB"/>
              </w:rPr>
            </w:pPr>
            <w:r w:rsidRPr="00E25A5D">
              <w:rPr>
                <w:rFonts w:eastAsia="Times New Roman" w:cs="Times New Roman"/>
                <w:i/>
                <w:iCs/>
                <w:color w:val="000000"/>
                <w:lang w:eastAsia="en-GB"/>
              </w:rPr>
              <w:t>Anolis carolinensis</w:t>
            </w:r>
          </w:p>
        </w:tc>
        <w:tc>
          <w:tcPr>
            <w:tcW w:w="1500" w:type="dxa"/>
            <w:tcBorders>
              <w:top w:val="nil"/>
              <w:left w:val="nil"/>
              <w:bottom w:val="single" w:sz="4" w:space="0" w:color="auto"/>
              <w:right w:val="single" w:sz="4" w:space="0" w:color="auto"/>
            </w:tcBorders>
            <w:shd w:val="clear" w:color="auto" w:fill="auto"/>
            <w:noWrap/>
            <w:vAlign w:val="bottom"/>
            <w:hideMark/>
          </w:tcPr>
          <w:p w14:paraId="6144FA05"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c>
          <w:tcPr>
            <w:tcW w:w="1480" w:type="dxa"/>
            <w:tcBorders>
              <w:top w:val="nil"/>
              <w:left w:val="nil"/>
              <w:bottom w:val="single" w:sz="4" w:space="0" w:color="auto"/>
              <w:right w:val="single" w:sz="4" w:space="0" w:color="auto"/>
            </w:tcBorders>
            <w:shd w:val="clear" w:color="auto" w:fill="auto"/>
            <w:noWrap/>
            <w:vAlign w:val="bottom"/>
            <w:hideMark/>
          </w:tcPr>
          <w:p w14:paraId="2E388060"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c>
          <w:tcPr>
            <w:tcW w:w="1420" w:type="dxa"/>
            <w:tcBorders>
              <w:top w:val="nil"/>
              <w:left w:val="nil"/>
              <w:bottom w:val="single" w:sz="4" w:space="0" w:color="auto"/>
              <w:right w:val="single" w:sz="4" w:space="0" w:color="auto"/>
            </w:tcBorders>
            <w:shd w:val="clear" w:color="auto" w:fill="auto"/>
            <w:noWrap/>
            <w:vAlign w:val="bottom"/>
            <w:hideMark/>
          </w:tcPr>
          <w:p w14:paraId="48A1A9E8"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r>
      <w:tr w:rsidR="005F23F7" w:rsidRPr="00E25A5D" w14:paraId="34611864" w14:textId="77777777" w:rsidTr="000B5E0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05A40101" w14:textId="77777777" w:rsidR="005F23F7" w:rsidRPr="00E25A5D" w:rsidRDefault="005F23F7" w:rsidP="005F23F7">
            <w:pPr>
              <w:rPr>
                <w:rFonts w:eastAsia="Times New Roman" w:cs="Times New Roman"/>
                <w:color w:val="000000"/>
                <w:lang w:eastAsia="en-GB"/>
              </w:rPr>
            </w:pPr>
            <w:r w:rsidRPr="00E25A5D">
              <w:rPr>
                <w:rFonts w:eastAsia="Times New Roman" w:cs="Times New Roman"/>
                <w:color w:val="000000"/>
                <w:lang w:eastAsia="en-GB"/>
              </w:rPr>
              <w:t>Amphibians</w:t>
            </w:r>
          </w:p>
        </w:tc>
        <w:tc>
          <w:tcPr>
            <w:tcW w:w="2763" w:type="dxa"/>
            <w:tcBorders>
              <w:top w:val="nil"/>
              <w:left w:val="nil"/>
              <w:bottom w:val="single" w:sz="4" w:space="0" w:color="auto"/>
              <w:right w:val="single" w:sz="4" w:space="0" w:color="auto"/>
            </w:tcBorders>
            <w:shd w:val="clear" w:color="auto" w:fill="auto"/>
            <w:noWrap/>
            <w:vAlign w:val="bottom"/>
            <w:hideMark/>
          </w:tcPr>
          <w:p w14:paraId="7FC7406D" w14:textId="77777777" w:rsidR="005F23F7" w:rsidRPr="00E25A5D" w:rsidRDefault="005F23F7" w:rsidP="005F23F7">
            <w:pPr>
              <w:rPr>
                <w:rFonts w:eastAsia="Times New Roman" w:cs="Times New Roman"/>
                <w:i/>
                <w:iCs/>
                <w:color w:val="000000"/>
                <w:lang w:eastAsia="en-GB"/>
              </w:rPr>
            </w:pPr>
            <w:r w:rsidRPr="00E25A5D">
              <w:rPr>
                <w:rFonts w:eastAsia="Times New Roman" w:cs="Times New Roman"/>
                <w:i/>
                <w:iCs/>
                <w:color w:val="000000"/>
                <w:lang w:eastAsia="en-GB"/>
              </w:rPr>
              <w:t>Xenopus laevis</w:t>
            </w:r>
          </w:p>
        </w:tc>
        <w:tc>
          <w:tcPr>
            <w:tcW w:w="1500" w:type="dxa"/>
            <w:tcBorders>
              <w:top w:val="nil"/>
              <w:left w:val="nil"/>
              <w:bottom w:val="single" w:sz="4" w:space="0" w:color="auto"/>
              <w:right w:val="single" w:sz="4" w:space="0" w:color="auto"/>
            </w:tcBorders>
            <w:shd w:val="clear" w:color="auto" w:fill="auto"/>
            <w:noWrap/>
            <w:vAlign w:val="bottom"/>
            <w:hideMark/>
          </w:tcPr>
          <w:p w14:paraId="19FF973A"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c>
          <w:tcPr>
            <w:tcW w:w="1480" w:type="dxa"/>
            <w:tcBorders>
              <w:top w:val="nil"/>
              <w:left w:val="nil"/>
              <w:bottom w:val="single" w:sz="4" w:space="0" w:color="auto"/>
              <w:right w:val="single" w:sz="4" w:space="0" w:color="auto"/>
            </w:tcBorders>
            <w:shd w:val="clear" w:color="auto" w:fill="auto"/>
            <w:noWrap/>
            <w:vAlign w:val="bottom"/>
            <w:hideMark/>
          </w:tcPr>
          <w:p w14:paraId="7D5948D5"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c>
          <w:tcPr>
            <w:tcW w:w="1420" w:type="dxa"/>
            <w:tcBorders>
              <w:top w:val="nil"/>
              <w:left w:val="nil"/>
              <w:bottom w:val="single" w:sz="4" w:space="0" w:color="auto"/>
              <w:right w:val="single" w:sz="4" w:space="0" w:color="auto"/>
            </w:tcBorders>
            <w:shd w:val="clear" w:color="auto" w:fill="auto"/>
            <w:noWrap/>
            <w:vAlign w:val="bottom"/>
            <w:hideMark/>
          </w:tcPr>
          <w:p w14:paraId="654C1F7E"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r>
      <w:tr w:rsidR="005F23F7" w:rsidRPr="00E25A5D" w14:paraId="5F9EAAB6" w14:textId="77777777" w:rsidTr="000B5E0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0BF17239" w14:textId="77777777" w:rsidR="005F23F7" w:rsidRPr="00E25A5D" w:rsidRDefault="005F23F7" w:rsidP="005F23F7">
            <w:pPr>
              <w:rPr>
                <w:rFonts w:eastAsia="Times New Roman" w:cs="Times New Roman"/>
                <w:color w:val="000000"/>
                <w:lang w:eastAsia="en-GB"/>
              </w:rPr>
            </w:pPr>
            <w:proofErr w:type="spellStart"/>
            <w:r w:rsidRPr="00E25A5D">
              <w:rPr>
                <w:rFonts w:eastAsia="Times New Roman" w:cs="Times New Roman"/>
                <w:color w:val="000000"/>
                <w:lang w:eastAsia="en-GB"/>
              </w:rPr>
              <w:t>Teleosts</w:t>
            </w:r>
            <w:proofErr w:type="spellEnd"/>
          </w:p>
        </w:tc>
        <w:tc>
          <w:tcPr>
            <w:tcW w:w="2763" w:type="dxa"/>
            <w:tcBorders>
              <w:top w:val="nil"/>
              <w:left w:val="nil"/>
              <w:bottom w:val="single" w:sz="4" w:space="0" w:color="auto"/>
              <w:right w:val="single" w:sz="4" w:space="0" w:color="auto"/>
            </w:tcBorders>
            <w:shd w:val="clear" w:color="auto" w:fill="auto"/>
            <w:noWrap/>
            <w:vAlign w:val="bottom"/>
            <w:hideMark/>
          </w:tcPr>
          <w:p w14:paraId="48B7A988" w14:textId="77777777" w:rsidR="005F23F7" w:rsidRPr="00E25A5D" w:rsidRDefault="005F23F7" w:rsidP="005F23F7">
            <w:pPr>
              <w:rPr>
                <w:rFonts w:eastAsia="Times New Roman" w:cs="Times New Roman"/>
                <w:i/>
                <w:iCs/>
                <w:color w:val="000000"/>
                <w:lang w:eastAsia="en-GB"/>
              </w:rPr>
            </w:pPr>
            <w:r w:rsidRPr="00E25A5D">
              <w:rPr>
                <w:rFonts w:eastAsia="Times New Roman" w:cs="Times New Roman"/>
                <w:i/>
                <w:iCs/>
                <w:color w:val="000000"/>
                <w:lang w:eastAsia="en-GB"/>
              </w:rPr>
              <w:t>Danio rerio</w:t>
            </w:r>
          </w:p>
        </w:tc>
        <w:tc>
          <w:tcPr>
            <w:tcW w:w="1500" w:type="dxa"/>
            <w:tcBorders>
              <w:top w:val="nil"/>
              <w:left w:val="nil"/>
              <w:bottom w:val="single" w:sz="4" w:space="0" w:color="auto"/>
              <w:right w:val="single" w:sz="4" w:space="0" w:color="auto"/>
            </w:tcBorders>
            <w:shd w:val="clear" w:color="auto" w:fill="auto"/>
            <w:noWrap/>
            <w:vAlign w:val="bottom"/>
            <w:hideMark/>
          </w:tcPr>
          <w:p w14:paraId="48EFA26B"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c>
          <w:tcPr>
            <w:tcW w:w="1480" w:type="dxa"/>
            <w:tcBorders>
              <w:top w:val="nil"/>
              <w:left w:val="nil"/>
              <w:bottom w:val="single" w:sz="4" w:space="0" w:color="auto"/>
              <w:right w:val="single" w:sz="4" w:space="0" w:color="auto"/>
            </w:tcBorders>
            <w:shd w:val="clear" w:color="auto" w:fill="auto"/>
            <w:noWrap/>
            <w:vAlign w:val="bottom"/>
            <w:hideMark/>
          </w:tcPr>
          <w:p w14:paraId="2C36BECF"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2</w:t>
            </w:r>
          </w:p>
        </w:tc>
        <w:tc>
          <w:tcPr>
            <w:tcW w:w="1420" w:type="dxa"/>
            <w:tcBorders>
              <w:top w:val="nil"/>
              <w:left w:val="nil"/>
              <w:bottom w:val="single" w:sz="4" w:space="0" w:color="auto"/>
              <w:right w:val="single" w:sz="4" w:space="0" w:color="auto"/>
            </w:tcBorders>
            <w:shd w:val="clear" w:color="auto" w:fill="auto"/>
            <w:noWrap/>
            <w:vAlign w:val="bottom"/>
            <w:hideMark/>
          </w:tcPr>
          <w:p w14:paraId="4B42E02B"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r>
      <w:tr w:rsidR="005F23F7" w:rsidRPr="00E25A5D" w14:paraId="17ACF929" w14:textId="77777777" w:rsidTr="000B5E0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6507E0D5" w14:textId="77777777" w:rsidR="005F23F7" w:rsidRPr="00E25A5D" w:rsidRDefault="005F23F7" w:rsidP="005F23F7">
            <w:pPr>
              <w:rPr>
                <w:rFonts w:eastAsia="Times New Roman" w:cs="Times New Roman"/>
                <w:color w:val="000000"/>
                <w:lang w:eastAsia="en-GB"/>
              </w:rPr>
            </w:pPr>
            <w:r w:rsidRPr="00E25A5D">
              <w:rPr>
                <w:rFonts w:eastAsia="Times New Roman" w:cs="Times New Roman"/>
                <w:color w:val="000000"/>
                <w:lang w:eastAsia="en-GB"/>
              </w:rPr>
              <w:t>Elasmobranchs</w:t>
            </w:r>
          </w:p>
        </w:tc>
        <w:tc>
          <w:tcPr>
            <w:tcW w:w="2763" w:type="dxa"/>
            <w:tcBorders>
              <w:top w:val="nil"/>
              <w:left w:val="nil"/>
              <w:bottom w:val="single" w:sz="4" w:space="0" w:color="auto"/>
              <w:right w:val="single" w:sz="4" w:space="0" w:color="auto"/>
            </w:tcBorders>
            <w:shd w:val="clear" w:color="auto" w:fill="auto"/>
            <w:noWrap/>
            <w:vAlign w:val="bottom"/>
            <w:hideMark/>
          </w:tcPr>
          <w:p w14:paraId="7A49279D" w14:textId="77777777" w:rsidR="005F23F7" w:rsidRPr="00E25A5D" w:rsidRDefault="005F23F7" w:rsidP="005F23F7">
            <w:pPr>
              <w:rPr>
                <w:rFonts w:eastAsia="Times New Roman" w:cs="Times New Roman"/>
                <w:i/>
                <w:iCs/>
                <w:color w:val="000000"/>
                <w:lang w:eastAsia="en-GB"/>
              </w:rPr>
            </w:pPr>
            <w:proofErr w:type="spellStart"/>
            <w:r w:rsidRPr="00E25A5D">
              <w:rPr>
                <w:rFonts w:eastAsia="Times New Roman" w:cs="Times New Roman"/>
                <w:i/>
                <w:iCs/>
                <w:color w:val="000000"/>
                <w:lang w:eastAsia="en-GB"/>
              </w:rPr>
              <w:t>Callorhincus</w:t>
            </w:r>
            <w:proofErr w:type="spellEnd"/>
            <w:r w:rsidRPr="00E25A5D">
              <w:rPr>
                <w:rFonts w:eastAsia="Times New Roman" w:cs="Times New Roman"/>
                <w:i/>
                <w:iCs/>
                <w:color w:val="000000"/>
                <w:lang w:eastAsia="en-GB"/>
              </w:rPr>
              <w:t xml:space="preserve"> milli</w:t>
            </w:r>
          </w:p>
        </w:tc>
        <w:tc>
          <w:tcPr>
            <w:tcW w:w="1500" w:type="dxa"/>
            <w:tcBorders>
              <w:top w:val="nil"/>
              <w:left w:val="nil"/>
              <w:bottom w:val="single" w:sz="4" w:space="0" w:color="auto"/>
              <w:right w:val="single" w:sz="4" w:space="0" w:color="auto"/>
            </w:tcBorders>
            <w:shd w:val="clear" w:color="auto" w:fill="auto"/>
            <w:noWrap/>
            <w:vAlign w:val="bottom"/>
            <w:hideMark/>
          </w:tcPr>
          <w:p w14:paraId="6381A2E0"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c>
          <w:tcPr>
            <w:tcW w:w="1480" w:type="dxa"/>
            <w:tcBorders>
              <w:top w:val="nil"/>
              <w:left w:val="nil"/>
              <w:bottom w:val="single" w:sz="4" w:space="0" w:color="auto"/>
              <w:right w:val="single" w:sz="4" w:space="0" w:color="auto"/>
            </w:tcBorders>
            <w:shd w:val="clear" w:color="auto" w:fill="auto"/>
            <w:noWrap/>
            <w:vAlign w:val="bottom"/>
            <w:hideMark/>
          </w:tcPr>
          <w:p w14:paraId="7F525A7D"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c>
          <w:tcPr>
            <w:tcW w:w="1420" w:type="dxa"/>
            <w:tcBorders>
              <w:top w:val="nil"/>
              <w:left w:val="nil"/>
              <w:bottom w:val="single" w:sz="4" w:space="0" w:color="auto"/>
              <w:right w:val="single" w:sz="4" w:space="0" w:color="auto"/>
            </w:tcBorders>
            <w:shd w:val="clear" w:color="auto" w:fill="auto"/>
            <w:noWrap/>
            <w:vAlign w:val="bottom"/>
            <w:hideMark/>
          </w:tcPr>
          <w:p w14:paraId="15667BED"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r>
      <w:tr w:rsidR="005F23F7" w:rsidRPr="00E25A5D" w14:paraId="218639E9" w14:textId="77777777" w:rsidTr="000B5E0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61DF4700" w14:textId="77777777" w:rsidR="005F23F7" w:rsidRPr="00E25A5D" w:rsidRDefault="005F23F7" w:rsidP="005F23F7">
            <w:pPr>
              <w:rPr>
                <w:rFonts w:eastAsia="Times New Roman" w:cs="Times New Roman"/>
                <w:color w:val="000000"/>
                <w:lang w:eastAsia="en-GB"/>
              </w:rPr>
            </w:pPr>
            <w:proofErr w:type="spellStart"/>
            <w:r w:rsidRPr="00E25A5D">
              <w:rPr>
                <w:rFonts w:eastAsia="Times New Roman" w:cs="Times New Roman"/>
                <w:color w:val="000000"/>
                <w:lang w:eastAsia="en-GB"/>
              </w:rPr>
              <w:t>Agnatha</w:t>
            </w:r>
            <w:proofErr w:type="spellEnd"/>
          </w:p>
        </w:tc>
        <w:tc>
          <w:tcPr>
            <w:tcW w:w="2763" w:type="dxa"/>
            <w:tcBorders>
              <w:top w:val="nil"/>
              <w:left w:val="nil"/>
              <w:bottom w:val="single" w:sz="4" w:space="0" w:color="auto"/>
              <w:right w:val="single" w:sz="4" w:space="0" w:color="auto"/>
            </w:tcBorders>
            <w:shd w:val="clear" w:color="auto" w:fill="auto"/>
            <w:noWrap/>
            <w:vAlign w:val="bottom"/>
            <w:hideMark/>
          </w:tcPr>
          <w:p w14:paraId="4DB3B22D" w14:textId="77777777" w:rsidR="005F23F7" w:rsidRPr="00E25A5D" w:rsidRDefault="005F23F7" w:rsidP="005F23F7">
            <w:pPr>
              <w:rPr>
                <w:rFonts w:eastAsia="Times New Roman" w:cs="Times New Roman"/>
                <w:i/>
                <w:iCs/>
                <w:color w:val="000000"/>
                <w:lang w:eastAsia="en-GB"/>
              </w:rPr>
            </w:pPr>
            <w:r w:rsidRPr="00E25A5D">
              <w:rPr>
                <w:rFonts w:eastAsia="Times New Roman" w:cs="Times New Roman"/>
                <w:i/>
                <w:iCs/>
                <w:color w:val="000000"/>
                <w:lang w:eastAsia="en-GB"/>
              </w:rPr>
              <w:t>Petromyzon marinus</w:t>
            </w:r>
          </w:p>
        </w:tc>
        <w:tc>
          <w:tcPr>
            <w:tcW w:w="1500" w:type="dxa"/>
            <w:tcBorders>
              <w:top w:val="nil"/>
              <w:left w:val="nil"/>
              <w:bottom w:val="single" w:sz="4" w:space="0" w:color="auto"/>
              <w:right w:val="single" w:sz="4" w:space="0" w:color="auto"/>
            </w:tcBorders>
            <w:shd w:val="clear" w:color="auto" w:fill="auto"/>
            <w:noWrap/>
            <w:vAlign w:val="bottom"/>
            <w:hideMark/>
          </w:tcPr>
          <w:p w14:paraId="01C746C3"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c>
          <w:tcPr>
            <w:tcW w:w="1480" w:type="dxa"/>
            <w:tcBorders>
              <w:top w:val="nil"/>
              <w:left w:val="nil"/>
              <w:bottom w:val="single" w:sz="4" w:space="0" w:color="auto"/>
              <w:right w:val="single" w:sz="4" w:space="0" w:color="auto"/>
            </w:tcBorders>
            <w:shd w:val="clear" w:color="auto" w:fill="auto"/>
            <w:noWrap/>
            <w:vAlign w:val="bottom"/>
            <w:hideMark/>
          </w:tcPr>
          <w:p w14:paraId="54F25538"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c>
          <w:tcPr>
            <w:tcW w:w="1420" w:type="dxa"/>
            <w:tcBorders>
              <w:top w:val="nil"/>
              <w:left w:val="nil"/>
              <w:bottom w:val="single" w:sz="4" w:space="0" w:color="auto"/>
              <w:right w:val="single" w:sz="4" w:space="0" w:color="auto"/>
            </w:tcBorders>
            <w:shd w:val="clear" w:color="auto" w:fill="auto"/>
            <w:noWrap/>
            <w:vAlign w:val="bottom"/>
            <w:hideMark/>
          </w:tcPr>
          <w:p w14:paraId="6FBC2FE4" w14:textId="17B23C51" w:rsidR="000B5E00"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r>
      <w:tr w:rsidR="005F23F7" w:rsidRPr="00E25A5D" w14:paraId="307AC6D4" w14:textId="77777777" w:rsidTr="000B5E0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356871B1" w14:textId="77777777" w:rsidR="005F23F7" w:rsidRPr="00E25A5D" w:rsidRDefault="005F23F7" w:rsidP="005F23F7">
            <w:pPr>
              <w:rPr>
                <w:rFonts w:eastAsia="Times New Roman" w:cs="Times New Roman"/>
                <w:color w:val="000000"/>
                <w:lang w:eastAsia="en-GB"/>
              </w:rPr>
            </w:pPr>
            <w:r w:rsidRPr="00E25A5D">
              <w:rPr>
                <w:rFonts w:eastAsia="Times New Roman" w:cs="Times New Roman"/>
                <w:color w:val="000000"/>
                <w:lang w:eastAsia="en-GB"/>
              </w:rPr>
              <w:t>Cephalochordates</w:t>
            </w:r>
          </w:p>
        </w:tc>
        <w:tc>
          <w:tcPr>
            <w:tcW w:w="2763" w:type="dxa"/>
            <w:tcBorders>
              <w:top w:val="nil"/>
              <w:left w:val="nil"/>
              <w:bottom w:val="single" w:sz="4" w:space="0" w:color="auto"/>
              <w:right w:val="single" w:sz="4" w:space="0" w:color="auto"/>
            </w:tcBorders>
            <w:shd w:val="clear" w:color="auto" w:fill="auto"/>
            <w:noWrap/>
            <w:vAlign w:val="bottom"/>
            <w:hideMark/>
          </w:tcPr>
          <w:p w14:paraId="02DE692C" w14:textId="77777777" w:rsidR="005F23F7" w:rsidRPr="00E25A5D" w:rsidRDefault="005F23F7" w:rsidP="005F23F7">
            <w:pPr>
              <w:rPr>
                <w:rFonts w:eastAsia="Times New Roman" w:cs="Times New Roman"/>
                <w:i/>
                <w:iCs/>
                <w:color w:val="000000"/>
                <w:lang w:eastAsia="en-GB"/>
              </w:rPr>
            </w:pPr>
            <w:proofErr w:type="spellStart"/>
            <w:r w:rsidRPr="00E25A5D">
              <w:rPr>
                <w:rFonts w:eastAsia="Times New Roman" w:cs="Times New Roman"/>
                <w:i/>
                <w:iCs/>
                <w:color w:val="000000"/>
                <w:lang w:eastAsia="en-GB"/>
              </w:rPr>
              <w:t>Branchiostoma</w:t>
            </w:r>
            <w:proofErr w:type="spellEnd"/>
            <w:r w:rsidRPr="00E25A5D">
              <w:rPr>
                <w:rFonts w:eastAsia="Times New Roman" w:cs="Times New Roman"/>
                <w:i/>
                <w:iCs/>
                <w:color w:val="000000"/>
                <w:lang w:eastAsia="en-GB"/>
              </w:rPr>
              <w:t xml:space="preserve"> </w:t>
            </w:r>
            <w:proofErr w:type="spellStart"/>
            <w:r w:rsidRPr="00E25A5D">
              <w:rPr>
                <w:rFonts w:eastAsia="Times New Roman" w:cs="Times New Roman"/>
                <w:i/>
                <w:iCs/>
                <w:color w:val="000000"/>
                <w:lang w:eastAsia="en-GB"/>
              </w:rPr>
              <w:t>floridae</w:t>
            </w:r>
            <w:proofErr w:type="spellEnd"/>
          </w:p>
        </w:tc>
        <w:tc>
          <w:tcPr>
            <w:tcW w:w="1500" w:type="dxa"/>
            <w:tcBorders>
              <w:top w:val="nil"/>
              <w:left w:val="nil"/>
              <w:bottom w:val="single" w:sz="4" w:space="0" w:color="auto"/>
              <w:right w:val="single" w:sz="4" w:space="0" w:color="auto"/>
            </w:tcBorders>
            <w:shd w:val="clear" w:color="auto" w:fill="auto"/>
            <w:noWrap/>
            <w:vAlign w:val="bottom"/>
            <w:hideMark/>
          </w:tcPr>
          <w:p w14:paraId="2975769B"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c>
          <w:tcPr>
            <w:tcW w:w="1480" w:type="dxa"/>
            <w:tcBorders>
              <w:top w:val="nil"/>
              <w:left w:val="nil"/>
              <w:bottom w:val="single" w:sz="4" w:space="0" w:color="auto"/>
              <w:right w:val="single" w:sz="4" w:space="0" w:color="auto"/>
            </w:tcBorders>
            <w:shd w:val="clear" w:color="auto" w:fill="auto"/>
            <w:noWrap/>
            <w:vAlign w:val="bottom"/>
            <w:hideMark/>
          </w:tcPr>
          <w:p w14:paraId="1A53E5F0"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c>
          <w:tcPr>
            <w:tcW w:w="1420" w:type="dxa"/>
            <w:tcBorders>
              <w:top w:val="nil"/>
              <w:left w:val="nil"/>
              <w:bottom w:val="single" w:sz="4" w:space="0" w:color="auto"/>
              <w:right w:val="single" w:sz="4" w:space="0" w:color="auto"/>
            </w:tcBorders>
            <w:shd w:val="clear" w:color="auto" w:fill="auto"/>
            <w:noWrap/>
            <w:vAlign w:val="bottom"/>
            <w:hideMark/>
          </w:tcPr>
          <w:p w14:paraId="1FA8F990"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r>
      <w:tr w:rsidR="005F23F7" w:rsidRPr="00E25A5D" w14:paraId="1E543CB1" w14:textId="77777777" w:rsidTr="000B5E0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712A91B9" w14:textId="77777777" w:rsidR="005F23F7" w:rsidRPr="00E25A5D" w:rsidRDefault="005F23F7" w:rsidP="005F23F7">
            <w:pPr>
              <w:rPr>
                <w:rFonts w:eastAsia="Times New Roman" w:cs="Times New Roman"/>
                <w:color w:val="000000"/>
                <w:lang w:eastAsia="en-GB"/>
              </w:rPr>
            </w:pPr>
            <w:r w:rsidRPr="00E25A5D">
              <w:rPr>
                <w:rFonts w:eastAsia="Times New Roman" w:cs="Times New Roman"/>
                <w:color w:val="000000"/>
                <w:lang w:eastAsia="en-GB"/>
              </w:rPr>
              <w:t>Tunicates</w:t>
            </w:r>
          </w:p>
        </w:tc>
        <w:tc>
          <w:tcPr>
            <w:tcW w:w="2763" w:type="dxa"/>
            <w:tcBorders>
              <w:top w:val="nil"/>
              <w:left w:val="nil"/>
              <w:bottom w:val="single" w:sz="4" w:space="0" w:color="auto"/>
              <w:right w:val="single" w:sz="4" w:space="0" w:color="auto"/>
            </w:tcBorders>
            <w:shd w:val="clear" w:color="auto" w:fill="auto"/>
            <w:noWrap/>
            <w:vAlign w:val="bottom"/>
            <w:hideMark/>
          </w:tcPr>
          <w:p w14:paraId="092556D4" w14:textId="77777777" w:rsidR="005F23F7" w:rsidRPr="00E25A5D" w:rsidRDefault="005F23F7" w:rsidP="005F23F7">
            <w:pPr>
              <w:rPr>
                <w:rFonts w:eastAsia="Times New Roman" w:cs="Times New Roman"/>
                <w:i/>
                <w:iCs/>
                <w:color w:val="000000"/>
                <w:lang w:eastAsia="en-GB"/>
              </w:rPr>
            </w:pPr>
            <w:r w:rsidRPr="00E25A5D">
              <w:rPr>
                <w:rFonts w:eastAsia="Times New Roman" w:cs="Times New Roman"/>
                <w:i/>
                <w:iCs/>
                <w:color w:val="000000"/>
                <w:lang w:eastAsia="en-GB"/>
              </w:rPr>
              <w:t>Ciona intestinalis</w:t>
            </w:r>
          </w:p>
        </w:tc>
        <w:tc>
          <w:tcPr>
            <w:tcW w:w="1500" w:type="dxa"/>
            <w:tcBorders>
              <w:top w:val="nil"/>
              <w:left w:val="nil"/>
              <w:bottom w:val="single" w:sz="4" w:space="0" w:color="auto"/>
              <w:right w:val="single" w:sz="4" w:space="0" w:color="auto"/>
            </w:tcBorders>
            <w:shd w:val="clear" w:color="auto" w:fill="auto"/>
            <w:noWrap/>
            <w:vAlign w:val="bottom"/>
            <w:hideMark/>
          </w:tcPr>
          <w:p w14:paraId="7880B6CA"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c>
          <w:tcPr>
            <w:tcW w:w="1480" w:type="dxa"/>
            <w:tcBorders>
              <w:top w:val="nil"/>
              <w:left w:val="nil"/>
              <w:bottom w:val="single" w:sz="4" w:space="0" w:color="auto"/>
              <w:right w:val="single" w:sz="4" w:space="0" w:color="auto"/>
            </w:tcBorders>
            <w:shd w:val="clear" w:color="auto" w:fill="auto"/>
            <w:noWrap/>
            <w:vAlign w:val="bottom"/>
            <w:hideMark/>
          </w:tcPr>
          <w:p w14:paraId="7CF150ED"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c>
          <w:tcPr>
            <w:tcW w:w="1420" w:type="dxa"/>
            <w:tcBorders>
              <w:top w:val="nil"/>
              <w:left w:val="nil"/>
              <w:bottom w:val="single" w:sz="4" w:space="0" w:color="auto"/>
              <w:right w:val="single" w:sz="4" w:space="0" w:color="auto"/>
            </w:tcBorders>
            <w:shd w:val="clear" w:color="auto" w:fill="auto"/>
            <w:noWrap/>
            <w:vAlign w:val="bottom"/>
            <w:hideMark/>
          </w:tcPr>
          <w:p w14:paraId="50BA8384"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1</w:t>
            </w:r>
          </w:p>
        </w:tc>
      </w:tr>
      <w:tr w:rsidR="005F23F7" w:rsidRPr="00E25A5D" w14:paraId="55DF8C1A" w14:textId="77777777" w:rsidTr="000B5E0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20A90EB2" w14:textId="77777777" w:rsidR="005F23F7" w:rsidRPr="00E25A5D" w:rsidRDefault="005F23F7" w:rsidP="005F23F7">
            <w:pPr>
              <w:rPr>
                <w:rFonts w:eastAsia="Times New Roman" w:cs="Times New Roman"/>
                <w:color w:val="000000"/>
                <w:lang w:eastAsia="en-GB"/>
              </w:rPr>
            </w:pPr>
            <w:r w:rsidRPr="00E25A5D">
              <w:rPr>
                <w:rFonts w:eastAsia="Times New Roman" w:cs="Times New Roman"/>
                <w:color w:val="000000"/>
                <w:lang w:eastAsia="en-GB"/>
              </w:rPr>
              <w:t>Echinoderms</w:t>
            </w:r>
          </w:p>
        </w:tc>
        <w:tc>
          <w:tcPr>
            <w:tcW w:w="2763" w:type="dxa"/>
            <w:tcBorders>
              <w:top w:val="nil"/>
              <w:left w:val="nil"/>
              <w:bottom w:val="single" w:sz="4" w:space="0" w:color="auto"/>
              <w:right w:val="single" w:sz="4" w:space="0" w:color="auto"/>
            </w:tcBorders>
            <w:shd w:val="clear" w:color="auto" w:fill="auto"/>
            <w:noWrap/>
            <w:vAlign w:val="bottom"/>
            <w:hideMark/>
          </w:tcPr>
          <w:p w14:paraId="10A58594" w14:textId="77777777" w:rsidR="005F23F7" w:rsidRPr="00E25A5D" w:rsidRDefault="005F23F7" w:rsidP="005F23F7">
            <w:pPr>
              <w:rPr>
                <w:rFonts w:eastAsia="Times New Roman" w:cs="Times New Roman"/>
                <w:i/>
                <w:iCs/>
                <w:color w:val="000000"/>
                <w:lang w:eastAsia="en-GB"/>
              </w:rPr>
            </w:pPr>
            <w:r w:rsidRPr="00E25A5D">
              <w:rPr>
                <w:rFonts w:eastAsia="Times New Roman" w:cs="Times New Roman"/>
                <w:i/>
                <w:iCs/>
                <w:color w:val="000000"/>
                <w:lang w:eastAsia="en-GB"/>
              </w:rPr>
              <w:t xml:space="preserve">Strongylocentrotus </w:t>
            </w:r>
            <w:proofErr w:type="spellStart"/>
            <w:r w:rsidRPr="00E25A5D">
              <w:rPr>
                <w:rFonts w:eastAsia="Times New Roman" w:cs="Times New Roman"/>
                <w:i/>
                <w:iCs/>
                <w:color w:val="000000"/>
                <w:lang w:eastAsia="en-GB"/>
              </w:rPr>
              <w:t>purpuratus</w:t>
            </w:r>
            <w:proofErr w:type="spellEnd"/>
          </w:p>
        </w:tc>
        <w:tc>
          <w:tcPr>
            <w:tcW w:w="1500" w:type="dxa"/>
            <w:tcBorders>
              <w:top w:val="nil"/>
              <w:left w:val="nil"/>
              <w:bottom w:val="single" w:sz="4" w:space="0" w:color="auto"/>
              <w:right w:val="single" w:sz="4" w:space="0" w:color="auto"/>
            </w:tcBorders>
            <w:shd w:val="clear" w:color="auto" w:fill="auto"/>
            <w:noWrap/>
            <w:vAlign w:val="bottom"/>
            <w:hideMark/>
          </w:tcPr>
          <w:p w14:paraId="39023A1C"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c>
          <w:tcPr>
            <w:tcW w:w="1480" w:type="dxa"/>
            <w:tcBorders>
              <w:top w:val="nil"/>
              <w:left w:val="nil"/>
              <w:bottom w:val="single" w:sz="4" w:space="0" w:color="auto"/>
              <w:right w:val="single" w:sz="4" w:space="0" w:color="auto"/>
            </w:tcBorders>
            <w:shd w:val="clear" w:color="auto" w:fill="auto"/>
            <w:noWrap/>
            <w:vAlign w:val="bottom"/>
            <w:hideMark/>
          </w:tcPr>
          <w:p w14:paraId="257C189E"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c>
          <w:tcPr>
            <w:tcW w:w="1420" w:type="dxa"/>
            <w:tcBorders>
              <w:top w:val="nil"/>
              <w:left w:val="nil"/>
              <w:bottom w:val="single" w:sz="4" w:space="0" w:color="auto"/>
              <w:right w:val="single" w:sz="4" w:space="0" w:color="auto"/>
            </w:tcBorders>
            <w:shd w:val="clear" w:color="auto" w:fill="auto"/>
            <w:noWrap/>
            <w:vAlign w:val="bottom"/>
            <w:hideMark/>
          </w:tcPr>
          <w:p w14:paraId="24C93413"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r>
      <w:tr w:rsidR="005F23F7" w:rsidRPr="00E25A5D" w14:paraId="2FA2DB12" w14:textId="77777777" w:rsidTr="000B5E0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7C0E9B0E" w14:textId="77777777" w:rsidR="005F23F7" w:rsidRPr="00E25A5D" w:rsidRDefault="005F23F7" w:rsidP="005F23F7">
            <w:pPr>
              <w:rPr>
                <w:rFonts w:eastAsia="Times New Roman" w:cs="Times New Roman"/>
                <w:color w:val="000000"/>
                <w:lang w:eastAsia="en-GB"/>
              </w:rPr>
            </w:pPr>
            <w:r w:rsidRPr="00E25A5D">
              <w:rPr>
                <w:rFonts w:eastAsia="Times New Roman" w:cs="Times New Roman"/>
                <w:color w:val="000000"/>
                <w:lang w:eastAsia="en-GB"/>
              </w:rPr>
              <w:t>Insects</w:t>
            </w:r>
          </w:p>
        </w:tc>
        <w:tc>
          <w:tcPr>
            <w:tcW w:w="2763" w:type="dxa"/>
            <w:tcBorders>
              <w:top w:val="nil"/>
              <w:left w:val="nil"/>
              <w:bottom w:val="single" w:sz="4" w:space="0" w:color="auto"/>
              <w:right w:val="single" w:sz="4" w:space="0" w:color="auto"/>
            </w:tcBorders>
            <w:shd w:val="clear" w:color="auto" w:fill="auto"/>
            <w:noWrap/>
            <w:vAlign w:val="bottom"/>
            <w:hideMark/>
          </w:tcPr>
          <w:p w14:paraId="575F7194" w14:textId="77777777" w:rsidR="005F23F7" w:rsidRPr="00E25A5D" w:rsidRDefault="005F23F7" w:rsidP="005F23F7">
            <w:pPr>
              <w:rPr>
                <w:rFonts w:eastAsia="Times New Roman" w:cs="Times New Roman"/>
                <w:i/>
                <w:iCs/>
                <w:color w:val="000000"/>
                <w:lang w:eastAsia="en-GB"/>
              </w:rPr>
            </w:pPr>
            <w:r w:rsidRPr="00E25A5D">
              <w:rPr>
                <w:rFonts w:eastAsia="Times New Roman" w:cs="Times New Roman"/>
                <w:i/>
                <w:iCs/>
                <w:color w:val="000000"/>
                <w:lang w:eastAsia="en-GB"/>
              </w:rPr>
              <w:t>Drosophila melanogaster</w:t>
            </w:r>
          </w:p>
        </w:tc>
        <w:tc>
          <w:tcPr>
            <w:tcW w:w="1500" w:type="dxa"/>
            <w:tcBorders>
              <w:top w:val="nil"/>
              <w:left w:val="nil"/>
              <w:bottom w:val="single" w:sz="4" w:space="0" w:color="auto"/>
              <w:right w:val="single" w:sz="4" w:space="0" w:color="auto"/>
            </w:tcBorders>
            <w:shd w:val="clear" w:color="auto" w:fill="auto"/>
            <w:noWrap/>
            <w:vAlign w:val="bottom"/>
            <w:hideMark/>
          </w:tcPr>
          <w:p w14:paraId="03952099"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c>
          <w:tcPr>
            <w:tcW w:w="1480" w:type="dxa"/>
            <w:tcBorders>
              <w:top w:val="nil"/>
              <w:left w:val="nil"/>
              <w:bottom w:val="single" w:sz="4" w:space="0" w:color="auto"/>
              <w:right w:val="single" w:sz="4" w:space="0" w:color="auto"/>
            </w:tcBorders>
            <w:shd w:val="clear" w:color="auto" w:fill="auto"/>
            <w:noWrap/>
            <w:vAlign w:val="bottom"/>
            <w:hideMark/>
          </w:tcPr>
          <w:p w14:paraId="0B103B4B"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c>
          <w:tcPr>
            <w:tcW w:w="1420" w:type="dxa"/>
            <w:tcBorders>
              <w:top w:val="nil"/>
              <w:left w:val="nil"/>
              <w:bottom w:val="single" w:sz="4" w:space="0" w:color="auto"/>
              <w:right w:val="single" w:sz="4" w:space="0" w:color="auto"/>
            </w:tcBorders>
            <w:shd w:val="clear" w:color="auto" w:fill="auto"/>
            <w:noWrap/>
            <w:vAlign w:val="bottom"/>
            <w:hideMark/>
          </w:tcPr>
          <w:p w14:paraId="08BF5815" w14:textId="77777777" w:rsidR="005F23F7" w:rsidRPr="00E25A5D" w:rsidRDefault="005F23F7" w:rsidP="002E2900">
            <w:pPr>
              <w:jc w:val="center"/>
              <w:rPr>
                <w:rFonts w:eastAsia="Times New Roman" w:cs="Times New Roman"/>
                <w:color w:val="000000"/>
                <w:lang w:eastAsia="en-GB"/>
              </w:rPr>
            </w:pPr>
            <w:r w:rsidRPr="00E25A5D">
              <w:rPr>
                <w:rFonts w:eastAsia="Times New Roman" w:cs="Times New Roman"/>
                <w:color w:val="000000"/>
                <w:lang w:eastAsia="en-GB"/>
              </w:rPr>
              <w:t>0</w:t>
            </w:r>
          </w:p>
        </w:tc>
      </w:tr>
    </w:tbl>
    <w:p w14:paraId="0127DA81" w14:textId="15306EFF" w:rsidR="00E93194" w:rsidRPr="00E25A5D" w:rsidRDefault="00E93194" w:rsidP="005F23F7"/>
    <w:p w14:paraId="0166A2C0" w14:textId="770221E0" w:rsidR="00B57218" w:rsidRPr="00E25A5D" w:rsidRDefault="00417288" w:rsidP="00434A6A">
      <w:pPr>
        <w:jc w:val="both"/>
        <w:rPr>
          <w:i/>
        </w:rPr>
      </w:pPr>
      <w:r w:rsidRPr="00E25A5D">
        <w:rPr>
          <w:b/>
          <w:i/>
        </w:rPr>
        <w:t>Supplementary Table S</w:t>
      </w:r>
      <w:r w:rsidR="000B0696" w:rsidRPr="00E25A5D">
        <w:rPr>
          <w:b/>
          <w:i/>
        </w:rPr>
        <w:t>6</w:t>
      </w:r>
      <w:r w:rsidRPr="00E25A5D">
        <w:t xml:space="preserve"> </w:t>
      </w:r>
      <w:r w:rsidRPr="00E25A5D">
        <w:rPr>
          <w:b/>
          <w:i/>
        </w:rPr>
        <w:t>Numbers of TRPV protein paralogues by taxa.</w:t>
      </w:r>
      <w:r w:rsidRPr="00E25A5D">
        <w:rPr>
          <w:i/>
        </w:rPr>
        <w:t xml:space="preserve"> Search carried out </w:t>
      </w:r>
      <w:r w:rsidR="0091045F" w:rsidRPr="00E25A5D">
        <w:rPr>
          <w:i/>
        </w:rPr>
        <w:t>with</w:t>
      </w:r>
      <w:r w:rsidRPr="00E25A5D">
        <w:rPr>
          <w:i/>
        </w:rPr>
        <w:t xml:space="preserve"> BLAST within the GenBank database using TRPV1 from </w:t>
      </w:r>
      <w:r w:rsidRPr="00E25A5D">
        <w:rPr>
          <w:i/>
          <w:iCs/>
        </w:rPr>
        <w:t>Homo sapiens</w:t>
      </w:r>
      <w:r w:rsidRPr="00E25A5D">
        <w:rPr>
          <w:i/>
        </w:rPr>
        <w:t xml:space="preserve"> as </w:t>
      </w:r>
      <w:r w:rsidR="003305D1" w:rsidRPr="00E25A5D">
        <w:rPr>
          <w:i/>
        </w:rPr>
        <w:t>bait</w:t>
      </w:r>
      <w:r w:rsidRPr="00E25A5D">
        <w:rPr>
          <w:i/>
        </w:rPr>
        <w:t xml:space="preserve">. </w:t>
      </w:r>
      <w:r w:rsidR="009F7C5D" w:rsidRPr="00E25A5D">
        <w:rPr>
          <w:i/>
        </w:rPr>
        <w:t>Blue</w:t>
      </w:r>
      <w:r w:rsidR="00B57218" w:rsidRPr="00E25A5D">
        <w:rPr>
          <w:i/>
        </w:rPr>
        <w:t xml:space="preserve"> </w:t>
      </w:r>
      <w:r w:rsidR="00857972" w:rsidRPr="00E25A5D">
        <w:rPr>
          <w:i/>
        </w:rPr>
        <w:t>cells</w:t>
      </w:r>
      <w:r w:rsidR="00B57218" w:rsidRPr="00E25A5D">
        <w:rPr>
          <w:i/>
        </w:rPr>
        <w:t xml:space="preserve"> indicate paralogues outside of Chordata that are noticeably more divergent and fit outside of the core phylogenetic tree. Those represented by * are shortened versions and are not included in later phylogenetic reconstruction. The paralogue represented by † appears to be present (though not annotated) but its sequence is poor and is </w:t>
      </w:r>
      <w:r w:rsidR="00857972" w:rsidRPr="00E25A5D">
        <w:rPr>
          <w:i/>
        </w:rPr>
        <w:t xml:space="preserve">thus </w:t>
      </w:r>
      <w:r w:rsidR="00692D31" w:rsidRPr="00E25A5D">
        <w:rPr>
          <w:i/>
        </w:rPr>
        <w:t xml:space="preserve">also </w:t>
      </w:r>
      <w:r w:rsidR="00B57218" w:rsidRPr="00E25A5D">
        <w:rPr>
          <w:i/>
        </w:rPr>
        <w:t>excluded from phylogenetic reconstruction.</w:t>
      </w:r>
    </w:p>
    <w:tbl>
      <w:tblPr>
        <w:tblW w:w="10632" w:type="dxa"/>
        <w:tblInd w:w="-714" w:type="dxa"/>
        <w:tblLayout w:type="fixed"/>
        <w:tblLook w:val="04A0" w:firstRow="1" w:lastRow="0" w:firstColumn="1" w:lastColumn="0" w:noHBand="0" w:noVBand="1"/>
      </w:tblPr>
      <w:tblGrid>
        <w:gridCol w:w="2236"/>
        <w:gridCol w:w="3293"/>
        <w:gridCol w:w="992"/>
        <w:gridCol w:w="992"/>
        <w:gridCol w:w="992"/>
        <w:gridCol w:w="992"/>
        <w:gridCol w:w="1135"/>
      </w:tblGrid>
      <w:tr w:rsidR="00857972" w:rsidRPr="00E25A5D" w14:paraId="41364FB0" w14:textId="77777777" w:rsidTr="00434A6A">
        <w:trPr>
          <w:trHeight w:val="288"/>
        </w:trPr>
        <w:tc>
          <w:tcPr>
            <w:tcW w:w="2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2227D5" w14:textId="77777777" w:rsidR="00857972" w:rsidRPr="00E25A5D" w:rsidRDefault="00857972" w:rsidP="00857972">
            <w:pPr>
              <w:spacing w:after="0"/>
              <w:jc w:val="center"/>
              <w:rPr>
                <w:rFonts w:eastAsia="Times New Roman" w:cs="Times New Roman"/>
                <w:bCs/>
                <w:color w:val="000000"/>
                <w:lang w:eastAsia="en-GB"/>
              </w:rPr>
            </w:pPr>
            <w:r w:rsidRPr="00E25A5D">
              <w:rPr>
                <w:rFonts w:eastAsia="Times New Roman" w:cs="Times New Roman"/>
                <w:bCs/>
                <w:color w:val="000000"/>
                <w:lang w:eastAsia="en-GB"/>
              </w:rPr>
              <w:t>Taxon</w:t>
            </w:r>
          </w:p>
        </w:tc>
        <w:tc>
          <w:tcPr>
            <w:tcW w:w="3293" w:type="dxa"/>
            <w:tcBorders>
              <w:top w:val="single" w:sz="4" w:space="0" w:color="auto"/>
              <w:left w:val="nil"/>
              <w:bottom w:val="single" w:sz="4" w:space="0" w:color="auto"/>
              <w:right w:val="single" w:sz="4" w:space="0" w:color="auto"/>
            </w:tcBorders>
            <w:shd w:val="clear" w:color="auto" w:fill="auto"/>
            <w:noWrap/>
            <w:vAlign w:val="center"/>
            <w:hideMark/>
          </w:tcPr>
          <w:p w14:paraId="125ED9E4" w14:textId="77777777" w:rsidR="00857972" w:rsidRPr="00E25A5D" w:rsidRDefault="00857972" w:rsidP="00857972">
            <w:pPr>
              <w:spacing w:after="0"/>
              <w:jc w:val="center"/>
              <w:rPr>
                <w:rFonts w:eastAsia="Times New Roman" w:cs="Times New Roman"/>
                <w:bCs/>
                <w:color w:val="000000"/>
                <w:lang w:eastAsia="en-GB"/>
              </w:rPr>
            </w:pPr>
            <w:r w:rsidRPr="00E25A5D">
              <w:rPr>
                <w:rFonts w:eastAsia="Times New Roman" w:cs="Times New Roman"/>
                <w:bCs/>
                <w:color w:val="000000"/>
                <w:lang w:eastAsia="en-GB"/>
              </w:rPr>
              <w:t>Species</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BD9CC8E" w14:textId="77777777" w:rsidR="00857972" w:rsidRPr="00E25A5D" w:rsidRDefault="00857972" w:rsidP="00857972">
            <w:pPr>
              <w:spacing w:after="0"/>
              <w:jc w:val="center"/>
              <w:rPr>
                <w:rFonts w:eastAsia="Times New Roman" w:cs="Times New Roman"/>
                <w:color w:val="000000"/>
                <w:lang w:eastAsia="en-GB"/>
              </w:rPr>
            </w:pPr>
            <w:r w:rsidRPr="00E25A5D">
              <w:rPr>
                <w:rFonts w:eastAsia="Times New Roman" w:cs="Times New Roman"/>
                <w:color w:val="000000"/>
                <w:lang w:eastAsia="en-GB"/>
              </w:rPr>
              <w:t>TRPV1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D893D6D" w14:textId="77777777" w:rsidR="00857972" w:rsidRPr="00E25A5D" w:rsidRDefault="00857972" w:rsidP="00857972">
            <w:pPr>
              <w:spacing w:after="0"/>
              <w:jc w:val="center"/>
              <w:rPr>
                <w:rFonts w:eastAsia="Times New Roman" w:cs="Times New Roman"/>
                <w:color w:val="000000"/>
                <w:lang w:eastAsia="en-GB"/>
              </w:rPr>
            </w:pPr>
            <w:r w:rsidRPr="00E25A5D">
              <w:rPr>
                <w:rFonts w:eastAsia="Times New Roman" w:cs="Times New Roman"/>
                <w:color w:val="000000"/>
                <w:lang w:eastAsia="en-GB"/>
              </w:rPr>
              <w:t>TRPV2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5065045" w14:textId="77777777" w:rsidR="00857972" w:rsidRPr="00E25A5D" w:rsidRDefault="00857972" w:rsidP="00857972">
            <w:pPr>
              <w:spacing w:after="0"/>
              <w:jc w:val="center"/>
              <w:rPr>
                <w:rFonts w:eastAsia="Times New Roman" w:cs="Times New Roman"/>
                <w:color w:val="000000"/>
                <w:lang w:eastAsia="en-GB"/>
              </w:rPr>
            </w:pPr>
            <w:r w:rsidRPr="00E25A5D">
              <w:rPr>
                <w:rFonts w:eastAsia="Times New Roman" w:cs="Times New Roman"/>
                <w:color w:val="000000"/>
                <w:lang w:eastAsia="en-GB"/>
              </w:rPr>
              <w:t>TRPV3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E424074" w14:textId="77777777" w:rsidR="00857972" w:rsidRPr="00E25A5D" w:rsidRDefault="00857972" w:rsidP="00857972">
            <w:pPr>
              <w:spacing w:after="0"/>
              <w:jc w:val="center"/>
              <w:rPr>
                <w:rFonts w:eastAsia="Times New Roman" w:cs="Times New Roman"/>
                <w:color w:val="000000"/>
                <w:lang w:eastAsia="en-GB"/>
              </w:rPr>
            </w:pPr>
            <w:r w:rsidRPr="00E25A5D">
              <w:rPr>
                <w:rFonts w:eastAsia="Times New Roman" w:cs="Times New Roman"/>
                <w:color w:val="000000"/>
                <w:lang w:eastAsia="en-GB"/>
              </w:rPr>
              <w:t>TRPV4</w:t>
            </w:r>
          </w:p>
        </w:tc>
        <w:tc>
          <w:tcPr>
            <w:tcW w:w="1135" w:type="dxa"/>
            <w:tcBorders>
              <w:top w:val="single" w:sz="4" w:space="0" w:color="auto"/>
              <w:left w:val="nil"/>
              <w:bottom w:val="single" w:sz="4" w:space="0" w:color="auto"/>
              <w:right w:val="single" w:sz="4" w:space="0" w:color="auto"/>
            </w:tcBorders>
            <w:shd w:val="clear" w:color="auto" w:fill="auto"/>
            <w:noWrap/>
            <w:vAlign w:val="center"/>
            <w:hideMark/>
          </w:tcPr>
          <w:p w14:paraId="4EAF96BA" w14:textId="77777777" w:rsidR="00857972" w:rsidRPr="00E25A5D" w:rsidRDefault="00857972" w:rsidP="00857972">
            <w:pPr>
              <w:spacing w:after="0"/>
              <w:jc w:val="center"/>
              <w:rPr>
                <w:rFonts w:eastAsia="Times New Roman" w:cs="Times New Roman"/>
                <w:color w:val="000000"/>
                <w:lang w:eastAsia="en-GB"/>
              </w:rPr>
            </w:pPr>
            <w:r w:rsidRPr="00E25A5D">
              <w:rPr>
                <w:rFonts w:eastAsia="Times New Roman" w:cs="Times New Roman"/>
                <w:color w:val="000000"/>
                <w:lang w:eastAsia="en-GB"/>
              </w:rPr>
              <w:t>TRPV5/6</w:t>
            </w:r>
          </w:p>
        </w:tc>
      </w:tr>
      <w:tr w:rsidR="00857972" w:rsidRPr="00E25A5D" w14:paraId="7FF8176B" w14:textId="77777777" w:rsidTr="00434A6A">
        <w:trPr>
          <w:trHeight w:val="288"/>
        </w:trPr>
        <w:tc>
          <w:tcPr>
            <w:tcW w:w="2236" w:type="dxa"/>
            <w:tcBorders>
              <w:top w:val="nil"/>
              <w:left w:val="single" w:sz="4" w:space="0" w:color="auto"/>
              <w:bottom w:val="single" w:sz="4" w:space="0" w:color="auto"/>
              <w:right w:val="single" w:sz="4" w:space="0" w:color="auto"/>
            </w:tcBorders>
            <w:shd w:val="clear" w:color="auto" w:fill="auto"/>
            <w:noWrap/>
            <w:vAlign w:val="center"/>
            <w:hideMark/>
          </w:tcPr>
          <w:p w14:paraId="5B9BDEEA" w14:textId="77777777" w:rsidR="00857972" w:rsidRPr="00E25A5D" w:rsidRDefault="00857972" w:rsidP="003D740B">
            <w:pPr>
              <w:spacing w:after="0"/>
              <w:rPr>
                <w:rFonts w:eastAsia="Times New Roman" w:cs="Times New Roman"/>
                <w:color w:val="000000"/>
                <w:lang w:eastAsia="en-GB"/>
              </w:rPr>
            </w:pPr>
            <w:r w:rsidRPr="00E25A5D">
              <w:rPr>
                <w:rFonts w:eastAsia="Times New Roman" w:cs="Times New Roman"/>
                <w:color w:val="000000"/>
                <w:lang w:eastAsia="en-GB"/>
              </w:rPr>
              <w:t>Placental mammals</w:t>
            </w:r>
          </w:p>
        </w:tc>
        <w:tc>
          <w:tcPr>
            <w:tcW w:w="3293" w:type="dxa"/>
            <w:tcBorders>
              <w:top w:val="nil"/>
              <w:left w:val="nil"/>
              <w:bottom w:val="single" w:sz="4" w:space="0" w:color="auto"/>
              <w:right w:val="single" w:sz="4" w:space="0" w:color="auto"/>
            </w:tcBorders>
            <w:shd w:val="clear" w:color="auto" w:fill="auto"/>
            <w:noWrap/>
            <w:vAlign w:val="center"/>
            <w:hideMark/>
          </w:tcPr>
          <w:p w14:paraId="05C397E5" w14:textId="77777777" w:rsidR="00857972" w:rsidRPr="00E25A5D" w:rsidRDefault="00857972" w:rsidP="003D740B">
            <w:pPr>
              <w:spacing w:after="0"/>
              <w:rPr>
                <w:rFonts w:eastAsia="Times New Roman" w:cs="Times New Roman"/>
                <w:i/>
                <w:iCs/>
                <w:color w:val="000000"/>
                <w:lang w:eastAsia="en-GB"/>
              </w:rPr>
            </w:pPr>
            <w:r w:rsidRPr="00E25A5D">
              <w:rPr>
                <w:rFonts w:eastAsia="Times New Roman" w:cs="Times New Roman"/>
                <w:i/>
                <w:iCs/>
                <w:color w:val="000000"/>
                <w:lang w:eastAsia="en-GB"/>
              </w:rPr>
              <w:t>Homo sapiens</w:t>
            </w:r>
          </w:p>
        </w:tc>
        <w:tc>
          <w:tcPr>
            <w:tcW w:w="992" w:type="dxa"/>
            <w:tcBorders>
              <w:top w:val="nil"/>
              <w:left w:val="nil"/>
              <w:bottom w:val="single" w:sz="4" w:space="0" w:color="auto"/>
              <w:right w:val="single" w:sz="4" w:space="0" w:color="auto"/>
            </w:tcBorders>
            <w:shd w:val="clear" w:color="auto" w:fill="auto"/>
            <w:noWrap/>
            <w:vAlign w:val="bottom"/>
            <w:hideMark/>
          </w:tcPr>
          <w:p w14:paraId="3BA6DA59"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0B135DFB"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01090AE7"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52F3F38B"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1135" w:type="dxa"/>
            <w:tcBorders>
              <w:top w:val="nil"/>
              <w:left w:val="nil"/>
              <w:bottom w:val="single" w:sz="4" w:space="0" w:color="auto"/>
              <w:right w:val="single" w:sz="4" w:space="0" w:color="auto"/>
            </w:tcBorders>
            <w:shd w:val="clear" w:color="auto" w:fill="auto"/>
            <w:noWrap/>
            <w:vAlign w:val="bottom"/>
            <w:hideMark/>
          </w:tcPr>
          <w:p w14:paraId="73D2FB1A"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2</w:t>
            </w:r>
          </w:p>
        </w:tc>
      </w:tr>
      <w:tr w:rsidR="00857972" w:rsidRPr="00E25A5D" w14:paraId="51B2AACF" w14:textId="77777777" w:rsidTr="00434A6A">
        <w:trPr>
          <w:trHeight w:val="288"/>
        </w:trPr>
        <w:tc>
          <w:tcPr>
            <w:tcW w:w="2236" w:type="dxa"/>
            <w:tcBorders>
              <w:top w:val="nil"/>
              <w:left w:val="single" w:sz="4" w:space="0" w:color="auto"/>
              <w:bottom w:val="single" w:sz="4" w:space="0" w:color="auto"/>
              <w:right w:val="single" w:sz="4" w:space="0" w:color="auto"/>
            </w:tcBorders>
            <w:shd w:val="clear" w:color="auto" w:fill="auto"/>
            <w:noWrap/>
            <w:vAlign w:val="center"/>
            <w:hideMark/>
          </w:tcPr>
          <w:p w14:paraId="6BA75130" w14:textId="77777777" w:rsidR="00857972" w:rsidRPr="00E25A5D" w:rsidRDefault="00857972" w:rsidP="003D740B">
            <w:pPr>
              <w:spacing w:after="0"/>
              <w:rPr>
                <w:rFonts w:eastAsia="Times New Roman" w:cs="Times New Roman"/>
                <w:color w:val="000000"/>
                <w:lang w:eastAsia="en-GB"/>
              </w:rPr>
            </w:pPr>
            <w:r w:rsidRPr="00E25A5D">
              <w:rPr>
                <w:rFonts w:eastAsia="Times New Roman" w:cs="Times New Roman"/>
                <w:color w:val="000000"/>
                <w:lang w:eastAsia="en-GB"/>
              </w:rPr>
              <w:t>Marsupials</w:t>
            </w:r>
          </w:p>
        </w:tc>
        <w:tc>
          <w:tcPr>
            <w:tcW w:w="3293" w:type="dxa"/>
            <w:tcBorders>
              <w:top w:val="nil"/>
              <w:left w:val="nil"/>
              <w:bottom w:val="single" w:sz="4" w:space="0" w:color="auto"/>
              <w:right w:val="single" w:sz="4" w:space="0" w:color="auto"/>
            </w:tcBorders>
            <w:shd w:val="clear" w:color="auto" w:fill="auto"/>
            <w:noWrap/>
            <w:vAlign w:val="center"/>
            <w:hideMark/>
          </w:tcPr>
          <w:p w14:paraId="0CE29F3E" w14:textId="77777777" w:rsidR="00857972" w:rsidRPr="00E25A5D" w:rsidRDefault="00857972" w:rsidP="003D740B">
            <w:pPr>
              <w:spacing w:after="0"/>
              <w:rPr>
                <w:rFonts w:eastAsia="Times New Roman" w:cs="Times New Roman"/>
                <w:i/>
                <w:iCs/>
                <w:color w:val="000000"/>
                <w:lang w:eastAsia="en-GB"/>
              </w:rPr>
            </w:pPr>
            <w:proofErr w:type="spellStart"/>
            <w:r w:rsidRPr="00E25A5D">
              <w:rPr>
                <w:rFonts w:eastAsia="Times New Roman" w:cs="Times New Roman"/>
                <w:i/>
                <w:iCs/>
                <w:color w:val="000000"/>
                <w:lang w:eastAsia="en-GB"/>
              </w:rPr>
              <w:t>Monodelphis</w:t>
            </w:r>
            <w:proofErr w:type="spellEnd"/>
            <w:r w:rsidRPr="00E25A5D">
              <w:rPr>
                <w:rFonts w:eastAsia="Times New Roman" w:cs="Times New Roman"/>
                <w:i/>
                <w:iCs/>
                <w:color w:val="000000"/>
                <w:lang w:eastAsia="en-GB"/>
              </w:rPr>
              <w:t xml:space="preserve"> domestica</w:t>
            </w:r>
          </w:p>
        </w:tc>
        <w:tc>
          <w:tcPr>
            <w:tcW w:w="992" w:type="dxa"/>
            <w:tcBorders>
              <w:top w:val="nil"/>
              <w:left w:val="nil"/>
              <w:bottom w:val="single" w:sz="4" w:space="0" w:color="auto"/>
              <w:right w:val="single" w:sz="4" w:space="0" w:color="auto"/>
            </w:tcBorders>
            <w:shd w:val="clear" w:color="auto" w:fill="auto"/>
            <w:noWrap/>
            <w:vAlign w:val="bottom"/>
            <w:hideMark/>
          </w:tcPr>
          <w:p w14:paraId="6D03CA4A"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45745EA3"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r w:rsidRPr="00E25A5D">
              <w:rPr>
                <w:rFonts w:eastAsia="Times New Roman" w:cs="Times New Roman"/>
                <w:b/>
                <w:color w:val="000000"/>
                <w:vertAlign w:val="superscript"/>
                <w:lang w:eastAsia="en-GB"/>
              </w:rPr>
              <w:t>†</w:t>
            </w:r>
          </w:p>
        </w:tc>
        <w:tc>
          <w:tcPr>
            <w:tcW w:w="992" w:type="dxa"/>
            <w:tcBorders>
              <w:top w:val="nil"/>
              <w:left w:val="nil"/>
              <w:bottom w:val="single" w:sz="4" w:space="0" w:color="auto"/>
              <w:right w:val="single" w:sz="4" w:space="0" w:color="auto"/>
            </w:tcBorders>
            <w:shd w:val="clear" w:color="auto" w:fill="auto"/>
            <w:noWrap/>
            <w:vAlign w:val="bottom"/>
            <w:hideMark/>
          </w:tcPr>
          <w:p w14:paraId="1C5F6078"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1204997D"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1135" w:type="dxa"/>
            <w:tcBorders>
              <w:top w:val="nil"/>
              <w:left w:val="nil"/>
              <w:bottom w:val="single" w:sz="4" w:space="0" w:color="auto"/>
              <w:right w:val="single" w:sz="4" w:space="0" w:color="auto"/>
            </w:tcBorders>
            <w:shd w:val="clear" w:color="auto" w:fill="auto"/>
            <w:noWrap/>
            <w:vAlign w:val="bottom"/>
            <w:hideMark/>
          </w:tcPr>
          <w:p w14:paraId="5581053C"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2</w:t>
            </w:r>
          </w:p>
        </w:tc>
      </w:tr>
      <w:tr w:rsidR="00857972" w:rsidRPr="00E25A5D" w14:paraId="2DE16313" w14:textId="77777777" w:rsidTr="00434A6A">
        <w:trPr>
          <w:trHeight w:val="288"/>
        </w:trPr>
        <w:tc>
          <w:tcPr>
            <w:tcW w:w="2236" w:type="dxa"/>
            <w:tcBorders>
              <w:top w:val="nil"/>
              <w:left w:val="single" w:sz="4" w:space="0" w:color="auto"/>
              <w:bottom w:val="single" w:sz="4" w:space="0" w:color="auto"/>
              <w:right w:val="single" w:sz="4" w:space="0" w:color="auto"/>
            </w:tcBorders>
            <w:shd w:val="clear" w:color="auto" w:fill="auto"/>
            <w:noWrap/>
            <w:vAlign w:val="center"/>
            <w:hideMark/>
          </w:tcPr>
          <w:p w14:paraId="4E4FA323" w14:textId="77777777" w:rsidR="00857972" w:rsidRPr="00E25A5D" w:rsidRDefault="00857972" w:rsidP="003D740B">
            <w:pPr>
              <w:spacing w:after="0"/>
              <w:rPr>
                <w:rFonts w:eastAsia="Times New Roman" w:cs="Times New Roman"/>
                <w:color w:val="000000"/>
                <w:lang w:eastAsia="en-GB"/>
              </w:rPr>
            </w:pPr>
            <w:r w:rsidRPr="00E25A5D">
              <w:rPr>
                <w:rFonts w:eastAsia="Times New Roman" w:cs="Times New Roman"/>
                <w:color w:val="000000"/>
                <w:lang w:eastAsia="en-GB"/>
              </w:rPr>
              <w:t>Monotremes</w:t>
            </w:r>
          </w:p>
        </w:tc>
        <w:tc>
          <w:tcPr>
            <w:tcW w:w="3293" w:type="dxa"/>
            <w:tcBorders>
              <w:top w:val="nil"/>
              <w:left w:val="nil"/>
              <w:bottom w:val="single" w:sz="4" w:space="0" w:color="auto"/>
              <w:right w:val="single" w:sz="4" w:space="0" w:color="auto"/>
            </w:tcBorders>
            <w:shd w:val="clear" w:color="auto" w:fill="auto"/>
            <w:noWrap/>
            <w:vAlign w:val="center"/>
            <w:hideMark/>
          </w:tcPr>
          <w:p w14:paraId="60324AAF" w14:textId="77777777" w:rsidR="00857972" w:rsidRPr="00E25A5D" w:rsidRDefault="00857972" w:rsidP="003D740B">
            <w:pPr>
              <w:spacing w:after="0"/>
              <w:rPr>
                <w:rFonts w:eastAsia="Times New Roman" w:cs="Times New Roman"/>
                <w:i/>
                <w:iCs/>
                <w:color w:val="000000"/>
                <w:lang w:eastAsia="en-GB"/>
              </w:rPr>
            </w:pPr>
            <w:proofErr w:type="spellStart"/>
            <w:r w:rsidRPr="00E25A5D">
              <w:rPr>
                <w:rFonts w:eastAsia="Times New Roman" w:cs="Times New Roman"/>
                <w:i/>
                <w:iCs/>
                <w:color w:val="000000"/>
                <w:lang w:eastAsia="en-GB"/>
              </w:rPr>
              <w:t>Ornithorhyncus</w:t>
            </w:r>
            <w:proofErr w:type="spellEnd"/>
            <w:r w:rsidRPr="00E25A5D">
              <w:rPr>
                <w:rFonts w:eastAsia="Times New Roman" w:cs="Times New Roman"/>
                <w:i/>
                <w:iCs/>
                <w:color w:val="000000"/>
                <w:lang w:eastAsia="en-GB"/>
              </w:rPr>
              <w:t xml:space="preserve"> anatinus</w:t>
            </w:r>
          </w:p>
        </w:tc>
        <w:tc>
          <w:tcPr>
            <w:tcW w:w="992" w:type="dxa"/>
            <w:tcBorders>
              <w:top w:val="nil"/>
              <w:left w:val="nil"/>
              <w:bottom w:val="single" w:sz="4" w:space="0" w:color="auto"/>
              <w:right w:val="single" w:sz="4" w:space="0" w:color="auto"/>
            </w:tcBorders>
            <w:shd w:val="clear" w:color="auto" w:fill="auto"/>
            <w:noWrap/>
            <w:vAlign w:val="bottom"/>
            <w:hideMark/>
          </w:tcPr>
          <w:p w14:paraId="0467F4AB"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2321F67A"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68F95C31"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4152B4A5"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1135" w:type="dxa"/>
            <w:tcBorders>
              <w:top w:val="nil"/>
              <w:left w:val="nil"/>
              <w:bottom w:val="single" w:sz="4" w:space="0" w:color="auto"/>
              <w:right w:val="single" w:sz="4" w:space="0" w:color="auto"/>
            </w:tcBorders>
            <w:shd w:val="clear" w:color="auto" w:fill="auto"/>
            <w:noWrap/>
            <w:vAlign w:val="bottom"/>
            <w:hideMark/>
          </w:tcPr>
          <w:p w14:paraId="1CE8E68D"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3</w:t>
            </w:r>
          </w:p>
        </w:tc>
      </w:tr>
      <w:tr w:rsidR="00857972" w:rsidRPr="00E25A5D" w14:paraId="6B1C5BFC" w14:textId="77777777" w:rsidTr="00434A6A">
        <w:trPr>
          <w:trHeight w:val="288"/>
        </w:trPr>
        <w:tc>
          <w:tcPr>
            <w:tcW w:w="2236" w:type="dxa"/>
            <w:tcBorders>
              <w:top w:val="nil"/>
              <w:left w:val="single" w:sz="4" w:space="0" w:color="auto"/>
              <w:bottom w:val="single" w:sz="4" w:space="0" w:color="auto"/>
              <w:right w:val="single" w:sz="4" w:space="0" w:color="auto"/>
            </w:tcBorders>
            <w:shd w:val="clear" w:color="auto" w:fill="auto"/>
            <w:noWrap/>
            <w:vAlign w:val="center"/>
            <w:hideMark/>
          </w:tcPr>
          <w:p w14:paraId="3AA29E0E" w14:textId="77777777" w:rsidR="00857972" w:rsidRPr="00E25A5D" w:rsidRDefault="00857972" w:rsidP="003D740B">
            <w:pPr>
              <w:spacing w:after="0"/>
              <w:rPr>
                <w:rFonts w:eastAsia="Times New Roman" w:cs="Times New Roman"/>
                <w:color w:val="000000"/>
                <w:lang w:eastAsia="en-GB"/>
              </w:rPr>
            </w:pPr>
            <w:r w:rsidRPr="00E25A5D">
              <w:rPr>
                <w:rFonts w:eastAsia="Times New Roman" w:cs="Times New Roman"/>
                <w:color w:val="000000"/>
                <w:lang w:eastAsia="en-GB"/>
              </w:rPr>
              <w:t>Birds</w:t>
            </w:r>
          </w:p>
        </w:tc>
        <w:tc>
          <w:tcPr>
            <w:tcW w:w="3293" w:type="dxa"/>
            <w:tcBorders>
              <w:top w:val="nil"/>
              <w:left w:val="nil"/>
              <w:bottom w:val="single" w:sz="4" w:space="0" w:color="auto"/>
              <w:right w:val="single" w:sz="4" w:space="0" w:color="auto"/>
            </w:tcBorders>
            <w:shd w:val="clear" w:color="auto" w:fill="auto"/>
            <w:noWrap/>
            <w:vAlign w:val="center"/>
            <w:hideMark/>
          </w:tcPr>
          <w:p w14:paraId="0B9643E0" w14:textId="77777777" w:rsidR="00857972" w:rsidRPr="00E25A5D" w:rsidRDefault="00857972" w:rsidP="003D740B">
            <w:pPr>
              <w:spacing w:after="0"/>
              <w:rPr>
                <w:rFonts w:eastAsia="Times New Roman" w:cs="Times New Roman"/>
                <w:i/>
                <w:iCs/>
                <w:color w:val="000000"/>
                <w:lang w:eastAsia="en-GB"/>
              </w:rPr>
            </w:pPr>
            <w:r w:rsidRPr="00E25A5D">
              <w:rPr>
                <w:rFonts w:eastAsia="Times New Roman" w:cs="Times New Roman"/>
                <w:i/>
                <w:iCs/>
                <w:color w:val="000000"/>
                <w:lang w:eastAsia="en-GB"/>
              </w:rPr>
              <w:t xml:space="preserve">Gallus </w:t>
            </w:r>
            <w:proofErr w:type="spellStart"/>
            <w:r w:rsidRPr="00E25A5D">
              <w:rPr>
                <w:rFonts w:eastAsia="Times New Roman" w:cs="Times New Roman"/>
                <w:i/>
                <w:iCs/>
                <w:color w:val="000000"/>
                <w:lang w:eastAsia="en-GB"/>
              </w:rPr>
              <w:t>gallus</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14:paraId="1EB6921D"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5D101CAE"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4E291740"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196DDC80"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1135" w:type="dxa"/>
            <w:tcBorders>
              <w:top w:val="nil"/>
              <w:left w:val="nil"/>
              <w:bottom w:val="single" w:sz="4" w:space="0" w:color="auto"/>
              <w:right w:val="single" w:sz="4" w:space="0" w:color="auto"/>
            </w:tcBorders>
            <w:shd w:val="clear" w:color="auto" w:fill="auto"/>
            <w:noWrap/>
            <w:vAlign w:val="bottom"/>
            <w:hideMark/>
          </w:tcPr>
          <w:p w14:paraId="26B0E3B5"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r>
      <w:tr w:rsidR="00857972" w:rsidRPr="00E25A5D" w14:paraId="0FDE3C4B" w14:textId="77777777" w:rsidTr="00434A6A">
        <w:trPr>
          <w:trHeight w:val="288"/>
        </w:trPr>
        <w:tc>
          <w:tcPr>
            <w:tcW w:w="2236" w:type="dxa"/>
            <w:tcBorders>
              <w:top w:val="nil"/>
              <w:left w:val="single" w:sz="4" w:space="0" w:color="auto"/>
              <w:bottom w:val="single" w:sz="4" w:space="0" w:color="auto"/>
              <w:right w:val="single" w:sz="4" w:space="0" w:color="auto"/>
            </w:tcBorders>
            <w:shd w:val="clear" w:color="auto" w:fill="auto"/>
            <w:noWrap/>
            <w:vAlign w:val="center"/>
            <w:hideMark/>
          </w:tcPr>
          <w:p w14:paraId="3A01CC75" w14:textId="77777777" w:rsidR="00857972" w:rsidRPr="00E25A5D" w:rsidRDefault="00857972" w:rsidP="003D740B">
            <w:pPr>
              <w:spacing w:after="0"/>
              <w:rPr>
                <w:rFonts w:eastAsia="Times New Roman" w:cs="Times New Roman"/>
                <w:color w:val="000000"/>
                <w:lang w:eastAsia="en-GB"/>
              </w:rPr>
            </w:pPr>
            <w:r w:rsidRPr="00E25A5D">
              <w:rPr>
                <w:rFonts w:eastAsia="Times New Roman" w:cs="Times New Roman"/>
                <w:color w:val="000000"/>
                <w:lang w:eastAsia="en-GB"/>
              </w:rPr>
              <w:t>Reptiles</w:t>
            </w:r>
          </w:p>
        </w:tc>
        <w:tc>
          <w:tcPr>
            <w:tcW w:w="3293" w:type="dxa"/>
            <w:tcBorders>
              <w:top w:val="nil"/>
              <w:left w:val="nil"/>
              <w:bottom w:val="single" w:sz="4" w:space="0" w:color="auto"/>
              <w:right w:val="single" w:sz="4" w:space="0" w:color="auto"/>
            </w:tcBorders>
            <w:shd w:val="clear" w:color="auto" w:fill="auto"/>
            <w:noWrap/>
            <w:vAlign w:val="center"/>
            <w:hideMark/>
          </w:tcPr>
          <w:p w14:paraId="720D6C5B" w14:textId="77777777" w:rsidR="00857972" w:rsidRPr="00E25A5D" w:rsidRDefault="00857972" w:rsidP="003D740B">
            <w:pPr>
              <w:spacing w:after="0"/>
              <w:rPr>
                <w:rFonts w:eastAsia="Times New Roman" w:cs="Times New Roman"/>
                <w:i/>
                <w:iCs/>
                <w:color w:val="000000"/>
                <w:lang w:eastAsia="en-GB"/>
              </w:rPr>
            </w:pPr>
            <w:r w:rsidRPr="00E25A5D">
              <w:rPr>
                <w:rFonts w:eastAsia="Times New Roman" w:cs="Times New Roman"/>
                <w:i/>
                <w:iCs/>
                <w:color w:val="000000"/>
                <w:lang w:eastAsia="en-GB"/>
              </w:rPr>
              <w:t>Anolis carolinensis</w:t>
            </w:r>
          </w:p>
        </w:tc>
        <w:tc>
          <w:tcPr>
            <w:tcW w:w="992" w:type="dxa"/>
            <w:tcBorders>
              <w:top w:val="nil"/>
              <w:left w:val="nil"/>
              <w:bottom w:val="single" w:sz="4" w:space="0" w:color="auto"/>
              <w:right w:val="single" w:sz="4" w:space="0" w:color="auto"/>
            </w:tcBorders>
            <w:shd w:val="clear" w:color="auto" w:fill="auto"/>
            <w:noWrap/>
            <w:vAlign w:val="bottom"/>
            <w:hideMark/>
          </w:tcPr>
          <w:p w14:paraId="0802E6AF"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7258725B"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46280265"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07F0C7EB"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1135" w:type="dxa"/>
            <w:tcBorders>
              <w:top w:val="nil"/>
              <w:left w:val="nil"/>
              <w:bottom w:val="single" w:sz="4" w:space="0" w:color="auto"/>
              <w:right w:val="single" w:sz="4" w:space="0" w:color="auto"/>
            </w:tcBorders>
            <w:shd w:val="clear" w:color="auto" w:fill="auto"/>
            <w:noWrap/>
            <w:vAlign w:val="bottom"/>
            <w:hideMark/>
          </w:tcPr>
          <w:p w14:paraId="3B323313"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2</w:t>
            </w:r>
          </w:p>
        </w:tc>
      </w:tr>
      <w:tr w:rsidR="00857972" w:rsidRPr="00E25A5D" w14:paraId="3AE9EA0B" w14:textId="77777777" w:rsidTr="00434A6A">
        <w:trPr>
          <w:trHeight w:val="288"/>
        </w:trPr>
        <w:tc>
          <w:tcPr>
            <w:tcW w:w="2236" w:type="dxa"/>
            <w:tcBorders>
              <w:top w:val="nil"/>
              <w:left w:val="single" w:sz="4" w:space="0" w:color="auto"/>
              <w:bottom w:val="single" w:sz="4" w:space="0" w:color="auto"/>
              <w:right w:val="single" w:sz="4" w:space="0" w:color="auto"/>
            </w:tcBorders>
            <w:shd w:val="clear" w:color="auto" w:fill="auto"/>
            <w:noWrap/>
            <w:vAlign w:val="center"/>
            <w:hideMark/>
          </w:tcPr>
          <w:p w14:paraId="5BBBBB4C" w14:textId="77777777" w:rsidR="00857972" w:rsidRPr="00E25A5D" w:rsidRDefault="00857972" w:rsidP="003D740B">
            <w:pPr>
              <w:spacing w:after="0"/>
              <w:rPr>
                <w:rFonts w:eastAsia="Times New Roman" w:cs="Times New Roman"/>
                <w:color w:val="000000"/>
                <w:lang w:eastAsia="en-GB"/>
              </w:rPr>
            </w:pPr>
            <w:r w:rsidRPr="00E25A5D">
              <w:rPr>
                <w:rFonts w:eastAsia="Times New Roman" w:cs="Times New Roman"/>
                <w:color w:val="000000"/>
                <w:lang w:eastAsia="en-GB"/>
              </w:rPr>
              <w:t>Amphibians</w:t>
            </w:r>
          </w:p>
        </w:tc>
        <w:tc>
          <w:tcPr>
            <w:tcW w:w="3293" w:type="dxa"/>
            <w:tcBorders>
              <w:top w:val="nil"/>
              <w:left w:val="nil"/>
              <w:bottom w:val="single" w:sz="4" w:space="0" w:color="auto"/>
              <w:right w:val="single" w:sz="4" w:space="0" w:color="auto"/>
            </w:tcBorders>
            <w:shd w:val="clear" w:color="auto" w:fill="auto"/>
            <w:noWrap/>
            <w:vAlign w:val="center"/>
            <w:hideMark/>
          </w:tcPr>
          <w:p w14:paraId="4C0D3956" w14:textId="77777777" w:rsidR="00857972" w:rsidRPr="00E25A5D" w:rsidRDefault="00857972" w:rsidP="003D740B">
            <w:pPr>
              <w:spacing w:after="0"/>
              <w:rPr>
                <w:rFonts w:eastAsia="Times New Roman" w:cs="Times New Roman"/>
                <w:i/>
                <w:iCs/>
                <w:color w:val="000000"/>
                <w:lang w:eastAsia="en-GB"/>
              </w:rPr>
            </w:pPr>
            <w:r w:rsidRPr="00E25A5D">
              <w:rPr>
                <w:rFonts w:eastAsia="Times New Roman" w:cs="Times New Roman"/>
                <w:i/>
                <w:iCs/>
                <w:color w:val="000000"/>
                <w:lang w:eastAsia="en-GB"/>
              </w:rPr>
              <w:t>Xenopus laevis</w:t>
            </w:r>
          </w:p>
        </w:tc>
        <w:tc>
          <w:tcPr>
            <w:tcW w:w="992" w:type="dxa"/>
            <w:tcBorders>
              <w:top w:val="nil"/>
              <w:left w:val="nil"/>
              <w:bottom w:val="single" w:sz="4" w:space="0" w:color="auto"/>
              <w:right w:val="single" w:sz="4" w:space="0" w:color="auto"/>
            </w:tcBorders>
            <w:shd w:val="clear" w:color="auto" w:fill="auto"/>
            <w:noWrap/>
            <w:vAlign w:val="bottom"/>
            <w:hideMark/>
          </w:tcPr>
          <w:p w14:paraId="325D7335"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2</w:t>
            </w:r>
          </w:p>
        </w:tc>
        <w:tc>
          <w:tcPr>
            <w:tcW w:w="992" w:type="dxa"/>
            <w:tcBorders>
              <w:top w:val="nil"/>
              <w:left w:val="nil"/>
              <w:bottom w:val="single" w:sz="4" w:space="0" w:color="auto"/>
              <w:right w:val="single" w:sz="4" w:space="0" w:color="auto"/>
            </w:tcBorders>
            <w:shd w:val="clear" w:color="auto" w:fill="auto"/>
            <w:noWrap/>
            <w:vAlign w:val="bottom"/>
            <w:hideMark/>
          </w:tcPr>
          <w:p w14:paraId="46197F5C"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5B37D4B9"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07E8910E"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1135" w:type="dxa"/>
            <w:tcBorders>
              <w:top w:val="nil"/>
              <w:left w:val="nil"/>
              <w:bottom w:val="single" w:sz="4" w:space="0" w:color="auto"/>
              <w:right w:val="single" w:sz="4" w:space="0" w:color="auto"/>
            </w:tcBorders>
            <w:shd w:val="clear" w:color="auto" w:fill="auto"/>
            <w:noWrap/>
            <w:vAlign w:val="bottom"/>
            <w:hideMark/>
          </w:tcPr>
          <w:p w14:paraId="00118362"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r>
      <w:tr w:rsidR="00857972" w:rsidRPr="00E25A5D" w14:paraId="663E6E60" w14:textId="77777777" w:rsidTr="00434A6A">
        <w:trPr>
          <w:trHeight w:val="288"/>
        </w:trPr>
        <w:tc>
          <w:tcPr>
            <w:tcW w:w="2236" w:type="dxa"/>
            <w:tcBorders>
              <w:top w:val="nil"/>
              <w:left w:val="single" w:sz="4" w:space="0" w:color="auto"/>
              <w:bottom w:val="single" w:sz="4" w:space="0" w:color="auto"/>
              <w:right w:val="single" w:sz="4" w:space="0" w:color="auto"/>
            </w:tcBorders>
            <w:shd w:val="clear" w:color="auto" w:fill="auto"/>
            <w:noWrap/>
            <w:vAlign w:val="center"/>
            <w:hideMark/>
          </w:tcPr>
          <w:p w14:paraId="3AC47E9D" w14:textId="77777777" w:rsidR="00857972" w:rsidRPr="00E25A5D" w:rsidRDefault="00857972" w:rsidP="003D740B">
            <w:pPr>
              <w:spacing w:after="0"/>
              <w:rPr>
                <w:rFonts w:eastAsia="Times New Roman" w:cs="Times New Roman"/>
                <w:color w:val="000000"/>
                <w:lang w:eastAsia="en-GB"/>
              </w:rPr>
            </w:pPr>
            <w:proofErr w:type="spellStart"/>
            <w:r w:rsidRPr="00E25A5D">
              <w:rPr>
                <w:rFonts w:eastAsia="Times New Roman" w:cs="Times New Roman"/>
                <w:color w:val="000000"/>
                <w:lang w:eastAsia="en-GB"/>
              </w:rPr>
              <w:lastRenderedPageBreak/>
              <w:t>Teleosts</w:t>
            </w:r>
            <w:proofErr w:type="spellEnd"/>
          </w:p>
        </w:tc>
        <w:tc>
          <w:tcPr>
            <w:tcW w:w="3293" w:type="dxa"/>
            <w:tcBorders>
              <w:top w:val="nil"/>
              <w:left w:val="nil"/>
              <w:bottom w:val="single" w:sz="4" w:space="0" w:color="auto"/>
              <w:right w:val="single" w:sz="4" w:space="0" w:color="auto"/>
            </w:tcBorders>
            <w:shd w:val="clear" w:color="auto" w:fill="auto"/>
            <w:noWrap/>
            <w:vAlign w:val="center"/>
            <w:hideMark/>
          </w:tcPr>
          <w:p w14:paraId="1F3A339D" w14:textId="77777777" w:rsidR="00857972" w:rsidRPr="00E25A5D" w:rsidRDefault="00857972" w:rsidP="003D740B">
            <w:pPr>
              <w:spacing w:after="0"/>
              <w:rPr>
                <w:rFonts w:eastAsia="Times New Roman" w:cs="Times New Roman"/>
                <w:i/>
                <w:iCs/>
                <w:color w:val="000000"/>
                <w:lang w:eastAsia="en-GB"/>
              </w:rPr>
            </w:pPr>
            <w:r w:rsidRPr="00E25A5D">
              <w:rPr>
                <w:rFonts w:eastAsia="Times New Roman" w:cs="Times New Roman"/>
                <w:i/>
                <w:iCs/>
                <w:color w:val="000000"/>
                <w:lang w:eastAsia="en-GB"/>
              </w:rPr>
              <w:t>Danio rerio</w:t>
            </w:r>
          </w:p>
        </w:tc>
        <w:tc>
          <w:tcPr>
            <w:tcW w:w="992" w:type="dxa"/>
            <w:tcBorders>
              <w:top w:val="nil"/>
              <w:left w:val="nil"/>
              <w:bottom w:val="single" w:sz="4" w:space="0" w:color="auto"/>
              <w:right w:val="single" w:sz="4" w:space="0" w:color="auto"/>
            </w:tcBorders>
            <w:shd w:val="clear" w:color="auto" w:fill="auto"/>
            <w:noWrap/>
            <w:vAlign w:val="bottom"/>
            <w:hideMark/>
          </w:tcPr>
          <w:p w14:paraId="16DADB10"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6512C429"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1BFC4073"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3741304E"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1135" w:type="dxa"/>
            <w:tcBorders>
              <w:top w:val="nil"/>
              <w:left w:val="nil"/>
              <w:bottom w:val="single" w:sz="4" w:space="0" w:color="auto"/>
              <w:right w:val="single" w:sz="4" w:space="0" w:color="auto"/>
            </w:tcBorders>
            <w:shd w:val="clear" w:color="auto" w:fill="auto"/>
            <w:noWrap/>
            <w:vAlign w:val="bottom"/>
            <w:hideMark/>
          </w:tcPr>
          <w:p w14:paraId="5AE6E079"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r>
      <w:tr w:rsidR="00857972" w:rsidRPr="00E25A5D" w14:paraId="13ED8DCA" w14:textId="77777777" w:rsidTr="00434A6A">
        <w:trPr>
          <w:trHeight w:val="288"/>
        </w:trPr>
        <w:tc>
          <w:tcPr>
            <w:tcW w:w="2236" w:type="dxa"/>
            <w:tcBorders>
              <w:top w:val="nil"/>
              <w:left w:val="single" w:sz="4" w:space="0" w:color="auto"/>
              <w:bottom w:val="single" w:sz="4" w:space="0" w:color="auto"/>
              <w:right w:val="single" w:sz="4" w:space="0" w:color="auto"/>
            </w:tcBorders>
            <w:shd w:val="clear" w:color="auto" w:fill="auto"/>
            <w:noWrap/>
            <w:vAlign w:val="center"/>
            <w:hideMark/>
          </w:tcPr>
          <w:p w14:paraId="041D52B6" w14:textId="77777777" w:rsidR="00857972" w:rsidRPr="00E25A5D" w:rsidRDefault="00857972" w:rsidP="003D740B">
            <w:pPr>
              <w:spacing w:after="0"/>
              <w:rPr>
                <w:rFonts w:eastAsia="Times New Roman" w:cs="Times New Roman"/>
                <w:color w:val="000000"/>
                <w:lang w:eastAsia="en-GB"/>
              </w:rPr>
            </w:pPr>
            <w:r w:rsidRPr="00E25A5D">
              <w:rPr>
                <w:rFonts w:eastAsia="Times New Roman" w:cs="Times New Roman"/>
                <w:color w:val="000000"/>
                <w:lang w:eastAsia="en-GB"/>
              </w:rPr>
              <w:t>Elasmobranchs</w:t>
            </w:r>
          </w:p>
        </w:tc>
        <w:tc>
          <w:tcPr>
            <w:tcW w:w="3293" w:type="dxa"/>
            <w:tcBorders>
              <w:top w:val="nil"/>
              <w:left w:val="nil"/>
              <w:bottom w:val="single" w:sz="4" w:space="0" w:color="auto"/>
              <w:right w:val="single" w:sz="4" w:space="0" w:color="auto"/>
            </w:tcBorders>
            <w:shd w:val="clear" w:color="auto" w:fill="auto"/>
            <w:noWrap/>
            <w:vAlign w:val="center"/>
            <w:hideMark/>
          </w:tcPr>
          <w:p w14:paraId="73FAD0ED" w14:textId="77777777" w:rsidR="00857972" w:rsidRPr="00E25A5D" w:rsidRDefault="00857972" w:rsidP="003D740B">
            <w:pPr>
              <w:spacing w:after="0"/>
              <w:rPr>
                <w:rFonts w:eastAsia="Times New Roman" w:cs="Times New Roman"/>
                <w:i/>
                <w:iCs/>
                <w:color w:val="000000"/>
                <w:lang w:eastAsia="en-GB"/>
              </w:rPr>
            </w:pPr>
            <w:proofErr w:type="spellStart"/>
            <w:r w:rsidRPr="00E25A5D">
              <w:rPr>
                <w:rFonts w:eastAsia="Times New Roman" w:cs="Times New Roman"/>
                <w:i/>
                <w:iCs/>
                <w:color w:val="000000"/>
                <w:lang w:eastAsia="en-GB"/>
              </w:rPr>
              <w:t>Callorhincus</w:t>
            </w:r>
            <w:proofErr w:type="spellEnd"/>
            <w:r w:rsidRPr="00E25A5D">
              <w:rPr>
                <w:rFonts w:eastAsia="Times New Roman" w:cs="Times New Roman"/>
                <w:i/>
                <w:iCs/>
                <w:color w:val="000000"/>
                <w:lang w:eastAsia="en-GB"/>
              </w:rPr>
              <w:t xml:space="preserve"> milli</w:t>
            </w:r>
          </w:p>
        </w:tc>
        <w:tc>
          <w:tcPr>
            <w:tcW w:w="992" w:type="dxa"/>
            <w:tcBorders>
              <w:top w:val="nil"/>
              <w:left w:val="nil"/>
              <w:bottom w:val="single" w:sz="4" w:space="0" w:color="auto"/>
              <w:right w:val="single" w:sz="4" w:space="0" w:color="auto"/>
            </w:tcBorders>
            <w:shd w:val="clear" w:color="auto" w:fill="auto"/>
            <w:noWrap/>
            <w:vAlign w:val="bottom"/>
            <w:hideMark/>
          </w:tcPr>
          <w:p w14:paraId="782E18DE"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1B7CF7C2"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243991BD"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4F98C558"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1135" w:type="dxa"/>
            <w:tcBorders>
              <w:top w:val="nil"/>
              <w:left w:val="nil"/>
              <w:bottom w:val="single" w:sz="4" w:space="0" w:color="auto"/>
              <w:right w:val="single" w:sz="4" w:space="0" w:color="auto"/>
            </w:tcBorders>
            <w:shd w:val="clear" w:color="auto" w:fill="auto"/>
            <w:noWrap/>
            <w:vAlign w:val="bottom"/>
            <w:hideMark/>
          </w:tcPr>
          <w:p w14:paraId="32D797F6"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3</w:t>
            </w:r>
          </w:p>
        </w:tc>
      </w:tr>
      <w:tr w:rsidR="00857972" w:rsidRPr="00E25A5D" w14:paraId="0BDA3981" w14:textId="77777777" w:rsidTr="00434A6A">
        <w:trPr>
          <w:trHeight w:val="288"/>
        </w:trPr>
        <w:tc>
          <w:tcPr>
            <w:tcW w:w="2236" w:type="dxa"/>
            <w:tcBorders>
              <w:top w:val="nil"/>
              <w:left w:val="single" w:sz="4" w:space="0" w:color="auto"/>
              <w:bottom w:val="single" w:sz="4" w:space="0" w:color="auto"/>
              <w:right w:val="single" w:sz="4" w:space="0" w:color="auto"/>
            </w:tcBorders>
            <w:shd w:val="clear" w:color="auto" w:fill="auto"/>
            <w:noWrap/>
            <w:vAlign w:val="center"/>
            <w:hideMark/>
          </w:tcPr>
          <w:p w14:paraId="1B65348F" w14:textId="77777777" w:rsidR="00857972" w:rsidRPr="00E25A5D" w:rsidRDefault="00857972" w:rsidP="003D740B">
            <w:pPr>
              <w:spacing w:after="0"/>
              <w:rPr>
                <w:rFonts w:eastAsia="Times New Roman" w:cs="Times New Roman"/>
                <w:color w:val="000000"/>
                <w:lang w:eastAsia="en-GB"/>
              </w:rPr>
            </w:pPr>
            <w:proofErr w:type="spellStart"/>
            <w:r w:rsidRPr="00E25A5D">
              <w:rPr>
                <w:rFonts w:eastAsia="Times New Roman" w:cs="Times New Roman"/>
                <w:color w:val="000000"/>
                <w:lang w:eastAsia="en-GB"/>
              </w:rPr>
              <w:t>Agnatha</w:t>
            </w:r>
            <w:proofErr w:type="spellEnd"/>
          </w:p>
        </w:tc>
        <w:tc>
          <w:tcPr>
            <w:tcW w:w="3293" w:type="dxa"/>
            <w:tcBorders>
              <w:top w:val="nil"/>
              <w:left w:val="nil"/>
              <w:bottom w:val="single" w:sz="4" w:space="0" w:color="auto"/>
              <w:right w:val="single" w:sz="4" w:space="0" w:color="auto"/>
            </w:tcBorders>
            <w:shd w:val="clear" w:color="auto" w:fill="auto"/>
            <w:noWrap/>
            <w:vAlign w:val="center"/>
            <w:hideMark/>
          </w:tcPr>
          <w:p w14:paraId="149E11F1" w14:textId="77777777" w:rsidR="00857972" w:rsidRPr="00E25A5D" w:rsidRDefault="00857972" w:rsidP="003D740B">
            <w:pPr>
              <w:spacing w:after="0"/>
              <w:rPr>
                <w:rFonts w:eastAsia="Times New Roman" w:cs="Times New Roman"/>
                <w:i/>
                <w:iCs/>
                <w:color w:val="000000"/>
                <w:lang w:eastAsia="en-GB"/>
              </w:rPr>
            </w:pPr>
            <w:r w:rsidRPr="00E25A5D">
              <w:rPr>
                <w:rFonts w:eastAsia="Times New Roman" w:cs="Times New Roman"/>
                <w:i/>
                <w:iCs/>
                <w:color w:val="000000"/>
                <w:lang w:eastAsia="en-GB"/>
              </w:rPr>
              <w:t>Petromyzon marinus</w:t>
            </w:r>
          </w:p>
        </w:tc>
        <w:tc>
          <w:tcPr>
            <w:tcW w:w="992" w:type="dxa"/>
            <w:tcBorders>
              <w:top w:val="nil"/>
              <w:left w:val="nil"/>
              <w:bottom w:val="single" w:sz="4" w:space="0" w:color="auto"/>
              <w:right w:val="single" w:sz="4" w:space="0" w:color="auto"/>
            </w:tcBorders>
            <w:shd w:val="clear" w:color="auto" w:fill="auto"/>
            <w:noWrap/>
            <w:vAlign w:val="bottom"/>
            <w:hideMark/>
          </w:tcPr>
          <w:p w14:paraId="0F2302AD"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4D2A5C32"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6D1FD097"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7892164E"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1*</w:t>
            </w:r>
          </w:p>
        </w:tc>
        <w:tc>
          <w:tcPr>
            <w:tcW w:w="1135" w:type="dxa"/>
            <w:tcBorders>
              <w:top w:val="nil"/>
              <w:left w:val="nil"/>
              <w:bottom w:val="single" w:sz="4" w:space="0" w:color="auto"/>
              <w:right w:val="single" w:sz="4" w:space="0" w:color="auto"/>
            </w:tcBorders>
            <w:shd w:val="clear" w:color="auto" w:fill="auto"/>
            <w:noWrap/>
            <w:vAlign w:val="bottom"/>
            <w:hideMark/>
          </w:tcPr>
          <w:p w14:paraId="176EAC71" w14:textId="77777777" w:rsidR="00857972" w:rsidRPr="00E25A5D" w:rsidRDefault="00857972" w:rsidP="003D740B">
            <w:pPr>
              <w:spacing w:after="0"/>
              <w:jc w:val="center"/>
              <w:rPr>
                <w:rFonts w:eastAsia="Times New Roman" w:cs="Times New Roman"/>
                <w:bCs/>
                <w:color w:val="000000"/>
                <w:lang w:eastAsia="en-GB"/>
              </w:rPr>
            </w:pPr>
            <w:r w:rsidRPr="00E25A5D">
              <w:rPr>
                <w:rFonts w:eastAsia="Times New Roman" w:cs="Times New Roman"/>
                <w:bCs/>
                <w:color w:val="000000"/>
                <w:lang w:eastAsia="en-GB"/>
              </w:rPr>
              <w:t>2</w:t>
            </w:r>
          </w:p>
        </w:tc>
      </w:tr>
      <w:tr w:rsidR="00857972" w:rsidRPr="00E25A5D" w14:paraId="248C068C" w14:textId="77777777" w:rsidTr="009F7C5D">
        <w:trPr>
          <w:trHeight w:val="288"/>
        </w:trPr>
        <w:tc>
          <w:tcPr>
            <w:tcW w:w="2236" w:type="dxa"/>
            <w:tcBorders>
              <w:top w:val="nil"/>
              <w:left w:val="single" w:sz="4" w:space="0" w:color="auto"/>
              <w:bottom w:val="single" w:sz="4" w:space="0" w:color="auto"/>
              <w:right w:val="single" w:sz="4" w:space="0" w:color="auto"/>
            </w:tcBorders>
            <w:shd w:val="clear" w:color="auto" w:fill="auto"/>
            <w:noWrap/>
            <w:vAlign w:val="center"/>
            <w:hideMark/>
          </w:tcPr>
          <w:p w14:paraId="4DDCC428" w14:textId="77777777" w:rsidR="00857972" w:rsidRPr="00E25A5D" w:rsidRDefault="00857972" w:rsidP="003D740B">
            <w:pPr>
              <w:spacing w:after="0"/>
              <w:rPr>
                <w:rFonts w:eastAsia="Times New Roman" w:cs="Times New Roman"/>
                <w:color w:val="000000"/>
                <w:lang w:eastAsia="en-GB"/>
              </w:rPr>
            </w:pPr>
            <w:r w:rsidRPr="00E25A5D">
              <w:rPr>
                <w:rFonts w:eastAsia="Times New Roman" w:cs="Times New Roman"/>
                <w:color w:val="000000"/>
                <w:lang w:eastAsia="en-GB"/>
              </w:rPr>
              <w:t>Cephalochordates</w:t>
            </w:r>
          </w:p>
        </w:tc>
        <w:tc>
          <w:tcPr>
            <w:tcW w:w="3293" w:type="dxa"/>
            <w:tcBorders>
              <w:top w:val="nil"/>
              <w:left w:val="nil"/>
              <w:bottom w:val="single" w:sz="4" w:space="0" w:color="auto"/>
              <w:right w:val="single" w:sz="4" w:space="0" w:color="auto"/>
            </w:tcBorders>
            <w:shd w:val="clear" w:color="auto" w:fill="auto"/>
            <w:noWrap/>
            <w:vAlign w:val="center"/>
            <w:hideMark/>
          </w:tcPr>
          <w:p w14:paraId="295E1883" w14:textId="77777777" w:rsidR="00857972" w:rsidRPr="00E25A5D" w:rsidRDefault="00857972" w:rsidP="003D740B">
            <w:pPr>
              <w:spacing w:after="0"/>
              <w:rPr>
                <w:rFonts w:eastAsia="Times New Roman" w:cs="Times New Roman"/>
                <w:i/>
                <w:iCs/>
                <w:color w:val="000000"/>
                <w:lang w:eastAsia="en-GB"/>
              </w:rPr>
            </w:pPr>
            <w:proofErr w:type="spellStart"/>
            <w:r w:rsidRPr="00E25A5D">
              <w:rPr>
                <w:rFonts w:eastAsia="Times New Roman" w:cs="Times New Roman"/>
                <w:i/>
                <w:iCs/>
                <w:color w:val="000000"/>
                <w:lang w:eastAsia="en-GB"/>
              </w:rPr>
              <w:t>Branchiostoma</w:t>
            </w:r>
            <w:proofErr w:type="spellEnd"/>
            <w:r w:rsidRPr="00E25A5D">
              <w:rPr>
                <w:rFonts w:eastAsia="Times New Roman" w:cs="Times New Roman"/>
                <w:i/>
                <w:iCs/>
                <w:color w:val="000000"/>
                <w:lang w:eastAsia="en-GB"/>
              </w:rPr>
              <w:t xml:space="preserve"> </w:t>
            </w:r>
            <w:proofErr w:type="spellStart"/>
            <w:r w:rsidRPr="00E25A5D">
              <w:rPr>
                <w:rFonts w:eastAsia="Times New Roman" w:cs="Times New Roman"/>
                <w:i/>
                <w:iCs/>
                <w:color w:val="000000"/>
                <w:lang w:eastAsia="en-GB"/>
              </w:rPr>
              <w:t>floridae</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14:paraId="19DF153C"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1E3E68C1"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5B45724D"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123EEB09"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1135" w:type="dxa"/>
            <w:tcBorders>
              <w:top w:val="nil"/>
              <w:left w:val="nil"/>
              <w:bottom w:val="single" w:sz="4" w:space="0" w:color="auto"/>
              <w:right w:val="single" w:sz="4" w:space="0" w:color="auto"/>
            </w:tcBorders>
            <w:shd w:val="clear" w:color="auto" w:fill="8DB3E2" w:themeFill="text2" w:themeFillTint="66"/>
            <w:noWrap/>
            <w:vAlign w:val="bottom"/>
            <w:hideMark/>
          </w:tcPr>
          <w:p w14:paraId="12CB83CD" w14:textId="77777777" w:rsidR="00857972" w:rsidRPr="00E25A5D" w:rsidRDefault="00857972" w:rsidP="003D740B">
            <w:pPr>
              <w:spacing w:after="0"/>
              <w:jc w:val="center"/>
              <w:rPr>
                <w:rFonts w:eastAsia="Times New Roman" w:cs="Times New Roman"/>
                <w:iCs/>
                <w:lang w:eastAsia="en-GB"/>
              </w:rPr>
            </w:pPr>
            <w:r w:rsidRPr="00E25A5D">
              <w:rPr>
                <w:rFonts w:eastAsia="Times New Roman" w:cs="Times New Roman"/>
                <w:iCs/>
                <w:lang w:eastAsia="en-GB"/>
              </w:rPr>
              <w:t>2</w:t>
            </w:r>
          </w:p>
        </w:tc>
      </w:tr>
      <w:tr w:rsidR="00857972" w:rsidRPr="00E25A5D" w14:paraId="117BBD8C" w14:textId="77777777" w:rsidTr="009F7C5D">
        <w:trPr>
          <w:trHeight w:val="288"/>
        </w:trPr>
        <w:tc>
          <w:tcPr>
            <w:tcW w:w="2236" w:type="dxa"/>
            <w:tcBorders>
              <w:top w:val="nil"/>
              <w:left w:val="single" w:sz="4" w:space="0" w:color="auto"/>
              <w:bottom w:val="single" w:sz="4" w:space="0" w:color="auto"/>
              <w:right w:val="single" w:sz="4" w:space="0" w:color="auto"/>
            </w:tcBorders>
            <w:shd w:val="clear" w:color="auto" w:fill="auto"/>
            <w:noWrap/>
            <w:vAlign w:val="center"/>
            <w:hideMark/>
          </w:tcPr>
          <w:p w14:paraId="2AE3EFBE" w14:textId="77777777" w:rsidR="00857972" w:rsidRPr="00E25A5D" w:rsidRDefault="00857972" w:rsidP="003D740B">
            <w:pPr>
              <w:spacing w:after="0"/>
              <w:rPr>
                <w:rFonts w:eastAsia="Times New Roman" w:cs="Times New Roman"/>
                <w:color w:val="000000"/>
                <w:lang w:eastAsia="en-GB"/>
              </w:rPr>
            </w:pPr>
            <w:r w:rsidRPr="00E25A5D">
              <w:rPr>
                <w:rFonts w:eastAsia="Times New Roman" w:cs="Times New Roman"/>
                <w:color w:val="000000"/>
                <w:lang w:eastAsia="en-GB"/>
              </w:rPr>
              <w:t>Tunicates</w:t>
            </w:r>
          </w:p>
        </w:tc>
        <w:tc>
          <w:tcPr>
            <w:tcW w:w="3293" w:type="dxa"/>
            <w:tcBorders>
              <w:top w:val="nil"/>
              <w:left w:val="nil"/>
              <w:bottom w:val="single" w:sz="4" w:space="0" w:color="auto"/>
              <w:right w:val="single" w:sz="4" w:space="0" w:color="auto"/>
            </w:tcBorders>
            <w:shd w:val="clear" w:color="auto" w:fill="auto"/>
            <w:noWrap/>
            <w:vAlign w:val="center"/>
            <w:hideMark/>
          </w:tcPr>
          <w:p w14:paraId="05711F6C" w14:textId="77777777" w:rsidR="00857972" w:rsidRPr="00E25A5D" w:rsidRDefault="00857972" w:rsidP="003D740B">
            <w:pPr>
              <w:spacing w:after="0"/>
              <w:rPr>
                <w:rFonts w:eastAsia="Times New Roman" w:cs="Times New Roman"/>
                <w:i/>
                <w:iCs/>
                <w:color w:val="000000"/>
                <w:lang w:eastAsia="en-GB"/>
              </w:rPr>
            </w:pPr>
            <w:r w:rsidRPr="00E25A5D">
              <w:rPr>
                <w:rFonts w:eastAsia="Times New Roman" w:cs="Times New Roman"/>
                <w:i/>
                <w:iCs/>
                <w:color w:val="000000"/>
                <w:lang w:eastAsia="en-GB"/>
              </w:rPr>
              <w:t>Ciona intestinalis</w:t>
            </w:r>
          </w:p>
        </w:tc>
        <w:tc>
          <w:tcPr>
            <w:tcW w:w="992" w:type="dxa"/>
            <w:tcBorders>
              <w:top w:val="nil"/>
              <w:left w:val="nil"/>
              <w:bottom w:val="single" w:sz="4" w:space="0" w:color="auto"/>
              <w:right w:val="single" w:sz="4" w:space="0" w:color="auto"/>
            </w:tcBorders>
            <w:shd w:val="clear" w:color="auto" w:fill="auto"/>
            <w:noWrap/>
            <w:vAlign w:val="bottom"/>
            <w:hideMark/>
          </w:tcPr>
          <w:p w14:paraId="5FCF2C14"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29DADDCC"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4C7BAF7A"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4007C964"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1135" w:type="dxa"/>
            <w:tcBorders>
              <w:top w:val="nil"/>
              <w:left w:val="nil"/>
              <w:bottom w:val="single" w:sz="4" w:space="0" w:color="auto"/>
              <w:right w:val="single" w:sz="4" w:space="0" w:color="auto"/>
            </w:tcBorders>
            <w:shd w:val="clear" w:color="auto" w:fill="8DB3E2" w:themeFill="text2" w:themeFillTint="66"/>
            <w:noWrap/>
            <w:vAlign w:val="bottom"/>
            <w:hideMark/>
          </w:tcPr>
          <w:p w14:paraId="05C5D4A7" w14:textId="77777777" w:rsidR="00857972" w:rsidRPr="00E25A5D" w:rsidRDefault="00857972" w:rsidP="003D740B">
            <w:pPr>
              <w:spacing w:after="0"/>
              <w:jc w:val="center"/>
              <w:rPr>
                <w:rFonts w:eastAsia="Times New Roman" w:cs="Times New Roman"/>
                <w:iCs/>
                <w:lang w:eastAsia="en-GB"/>
              </w:rPr>
            </w:pPr>
            <w:r w:rsidRPr="00E25A5D">
              <w:rPr>
                <w:rFonts w:eastAsia="Times New Roman" w:cs="Times New Roman"/>
                <w:iCs/>
                <w:lang w:eastAsia="en-GB"/>
              </w:rPr>
              <w:t>2</w:t>
            </w:r>
          </w:p>
        </w:tc>
      </w:tr>
      <w:tr w:rsidR="00857972" w:rsidRPr="00E25A5D" w14:paraId="28426350" w14:textId="77777777" w:rsidTr="009F7C5D">
        <w:trPr>
          <w:trHeight w:val="288"/>
        </w:trPr>
        <w:tc>
          <w:tcPr>
            <w:tcW w:w="2236" w:type="dxa"/>
            <w:tcBorders>
              <w:top w:val="nil"/>
              <w:left w:val="single" w:sz="4" w:space="0" w:color="auto"/>
              <w:bottom w:val="single" w:sz="4" w:space="0" w:color="auto"/>
              <w:right w:val="single" w:sz="4" w:space="0" w:color="auto"/>
            </w:tcBorders>
            <w:shd w:val="clear" w:color="auto" w:fill="auto"/>
            <w:noWrap/>
            <w:vAlign w:val="center"/>
            <w:hideMark/>
          </w:tcPr>
          <w:p w14:paraId="53236426" w14:textId="77777777" w:rsidR="00857972" w:rsidRPr="00E25A5D" w:rsidRDefault="00857972" w:rsidP="003D740B">
            <w:pPr>
              <w:spacing w:after="0"/>
              <w:rPr>
                <w:rFonts w:eastAsia="Times New Roman" w:cs="Times New Roman"/>
                <w:color w:val="000000"/>
                <w:lang w:eastAsia="en-GB"/>
              </w:rPr>
            </w:pPr>
            <w:r w:rsidRPr="00E25A5D">
              <w:rPr>
                <w:rFonts w:eastAsia="Times New Roman" w:cs="Times New Roman"/>
                <w:color w:val="000000"/>
                <w:lang w:eastAsia="en-GB"/>
              </w:rPr>
              <w:t>Echinoderms</w:t>
            </w:r>
          </w:p>
        </w:tc>
        <w:tc>
          <w:tcPr>
            <w:tcW w:w="3293" w:type="dxa"/>
            <w:tcBorders>
              <w:top w:val="nil"/>
              <w:left w:val="nil"/>
              <w:bottom w:val="single" w:sz="4" w:space="0" w:color="auto"/>
              <w:right w:val="single" w:sz="4" w:space="0" w:color="auto"/>
            </w:tcBorders>
            <w:shd w:val="clear" w:color="auto" w:fill="auto"/>
            <w:noWrap/>
            <w:vAlign w:val="center"/>
            <w:hideMark/>
          </w:tcPr>
          <w:p w14:paraId="0FC5D9CD" w14:textId="77777777" w:rsidR="00857972" w:rsidRPr="00E25A5D" w:rsidRDefault="00857972" w:rsidP="003D740B">
            <w:pPr>
              <w:spacing w:after="0"/>
              <w:rPr>
                <w:rFonts w:eastAsia="Times New Roman" w:cs="Times New Roman"/>
                <w:i/>
                <w:iCs/>
                <w:color w:val="000000"/>
                <w:lang w:eastAsia="en-GB"/>
              </w:rPr>
            </w:pPr>
            <w:r w:rsidRPr="00E25A5D">
              <w:rPr>
                <w:rFonts w:eastAsia="Times New Roman" w:cs="Times New Roman"/>
                <w:i/>
                <w:iCs/>
                <w:color w:val="000000"/>
                <w:lang w:eastAsia="en-GB"/>
              </w:rPr>
              <w:t xml:space="preserve">Strongylocentrotus </w:t>
            </w:r>
            <w:proofErr w:type="spellStart"/>
            <w:r w:rsidRPr="00E25A5D">
              <w:rPr>
                <w:rFonts w:eastAsia="Times New Roman" w:cs="Times New Roman"/>
                <w:i/>
                <w:iCs/>
                <w:color w:val="000000"/>
                <w:lang w:eastAsia="en-GB"/>
              </w:rPr>
              <w:t>purpuratus</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14:paraId="344158B4"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49F4B2F4"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4B821202"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57F9A89F"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1135" w:type="dxa"/>
            <w:tcBorders>
              <w:top w:val="nil"/>
              <w:left w:val="nil"/>
              <w:bottom w:val="single" w:sz="4" w:space="0" w:color="auto"/>
              <w:right w:val="single" w:sz="4" w:space="0" w:color="auto"/>
            </w:tcBorders>
            <w:shd w:val="clear" w:color="auto" w:fill="8DB3E2" w:themeFill="text2" w:themeFillTint="66"/>
            <w:noWrap/>
            <w:vAlign w:val="bottom"/>
            <w:hideMark/>
          </w:tcPr>
          <w:p w14:paraId="1FC6CA0F" w14:textId="77777777" w:rsidR="00857972" w:rsidRPr="00E25A5D" w:rsidRDefault="00857972" w:rsidP="003D740B">
            <w:pPr>
              <w:spacing w:after="0"/>
              <w:jc w:val="center"/>
              <w:rPr>
                <w:rFonts w:eastAsia="Times New Roman" w:cs="Times New Roman"/>
                <w:iCs/>
                <w:lang w:eastAsia="en-GB"/>
              </w:rPr>
            </w:pPr>
            <w:r w:rsidRPr="00E25A5D">
              <w:rPr>
                <w:rFonts w:eastAsia="Times New Roman" w:cs="Times New Roman"/>
                <w:iCs/>
                <w:lang w:eastAsia="en-GB"/>
              </w:rPr>
              <w:t>3</w:t>
            </w:r>
          </w:p>
        </w:tc>
      </w:tr>
      <w:tr w:rsidR="00857972" w:rsidRPr="00E25A5D" w14:paraId="13085271" w14:textId="77777777" w:rsidTr="009F7C5D">
        <w:trPr>
          <w:trHeight w:val="288"/>
        </w:trPr>
        <w:tc>
          <w:tcPr>
            <w:tcW w:w="2236" w:type="dxa"/>
            <w:tcBorders>
              <w:top w:val="nil"/>
              <w:left w:val="single" w:sz="4" w:space="0" w:color="auto"/>
              <w:bottom w:val="single" w:sz="4" w:space="0" w:color="auto"/>
              <w:right w:val="single" w:sz="4" w:space="0" w:color="auto"/>
            </w:tcBorders>
            <w:shd w:val="clear" w:color="auto" w:fill="auto"/>
            <w:noWrap/>
            <w:vAlign w:val="center"/>
            <w:hideMark/>
          </w:tcPr>
          <w:p w14:paraId="15E8C0F1" w14:textId="77777777" w:rsidR="00857972" w:rsidRPr="00E25A5D" w:rsidRDefault="00857972" w:rsidP="003D740B">
            <w:pPr>
              <w:spacing w:after="0"/>
              <w:rPr>
                <w:rFonts w:eastAsia="Times New Roman" w:cs="Times New Roman"/>
                <w:color w:val="000000"/>
                <w:lang w:eastAsia="en-GB"/>
              </w:rPr>
            </w:pPr>
            <w:r w:rsidRPr="00E25A5D">
              <w:rPr>
                <w:rFonts w:eastAsia="Times New Roman" w:cs="Times New Roman"/>
                <w:color w:val="000000"/>
                <w:lang w:eastAsia="en-GB"/>
              </w:rPr>
              <w:t>Insects</w:t>
            </w:r>
          </w:p>
        </w:tc>
        <w:tc>
          <w:tcPr>
            <w:tcW w:w="3293" w:type="dxa"/>
            <w:tcBorders>
              <w:top w:val="nil"/>
              <w:left w:val="nil"/>
              <w:bottom w:val="single" w:sz="4" w:space="0" w:color="auto"/>
              <w:right w:val="single" w:sz="4" w:space="0" w:color="auto"/>
            </w:tcBorders>
            <w:shd w:val="clear" w:color="auto" w:fill="auto"/>
            <w:noWrap/>
            <w:vAlign w:val="center"/>
            <w:hideMark/>
          </w:tcPr>
          <w:p w14:paraId="1D3E9EF7" w14:textId="77777777" w:rsidR="00857972" w:rsidRPr="00E25A5D" w:rsidRDefault="00857972" w:rsidP="003D740B">
            <w:pPr>
              <w:spacing w:after="0"/>
              <w:rPr>
                <w:rFonts w:eastAsia="Times New Roman" w:cs="Times New Roman"/>
                <w:i/>
                <w:iCs/>
                <w:color w:val="000000"/>
                <w:lang w:eastAsia="en-GB"/>
              </w:rPr>
            </w:pPr>
            <w:r w:rsidRPr="00E25A5D">
              <w:rPr>
                <w:rFonts w:eastAsia="Times New Roman" w:cs="Times New Roman"/>
                <w:i/>
                <w:iCs/>
                <w:color w:val="000000"/>
                <w:lang w:eastAsia="en-GB"/>
              </w:rPr>
              <w:t>Drosophila melanogaster</w:t>
            </w:r>
          </w:p>
        </w:tc>
        <w:tc>
          <w:tcPr>
            <w:tcW w:w="992" w:type="dxa"/>
            <w:tcBorders>
              <w:top w:val="nil"/>
              <w:left w:val="nil"/>
              <w:bottom w:val="single" w:sz="4" w:space="0" w:color="auto"/>
              <w:right w:val="single" w:sz="4" w:space="0" w:color="auto"/>
            </w:tcBorders>
            <w:shd w:val="clear" w:color="auto" w:fill="auto"/>
            <w:noWrap/>
            <w:vAlign w:val="bottom"/>
            <w:hideMark/>
          </w:tcPr>
          <w:p w14:paraId="0665332A"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73688608"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0BEACE74"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992" w:type="dxa"/>
            <w:tcBorders>
              <w:top w:val="nil"/>
              <w:left w:val="nil"/>
              <w:bottom w:val="single" w:sz="4" w:space="0" w:color="auto"/>
              <w:right w:val="single" w:sz="4" w:space="0" w:color="auto"/>
            </w:tcBorders>
            <w:shd w:val="clear" w:color="auto" w:fill="auto"/>
            <w:noWrap/>
            <w:vAlign w:val="bottom"/>
            <w:hideMark/>
          </w:tcPr>
          <w:p w14:paraId="49FF0132" w14:textId="77777777" w:rsidR="00857972" w:rsidRPr="00E25A5D" w:rsidRDefault="00857972" w:rsidP="003D740B">
            <w:pPr>
              <w:spacing w:after="0"/>
              <w:jc w:val="center"/>
              <w:rPr>
                <w:rFonts w:eastAsia="Times New Roman" w:cs="Times New Roman"/>
                <w:color w:val="000000"/>
                <w:lang w:eastAsia="en-GB"/>
              </w:rPr>
            </w:pPr>
            <w:r w:rsidRPr="00E25A5D">
              <w:rPr>
                <w:rFonts w:eastAsia="Times New Roman" w:cs="Times New Roman"/>
                <w:color w:val="000000"/>
                <w:lang w:eastAsia="en-GB"/>
              </w:rPr>
              <w:t>0</w:t>
            </w:r>
          </w:p>
        </w:tc>
        <w:tc>
          <w:tcPr>
            <w:tcW w:w="1135" w:type="dxa"/>
            <w:tcBorders>
              <w:top w:val="nil"/>
              <w:left w:val="nil"/>
              <w:bottom w:val="single" w:sz="4" w:space="0" w:color="auto"/>
              <w:right w:val="single" w:sz="4" w:space="0" w:color="auto"/>
            </w:tcBorders>
            <w:shd w:val="clear" w:color="auto" w:fill="8DB3E2" w:themeFill="text2" w:themeFillTint="66"/>
            <w:noWrap/>
            <w:vAlign w:val="bottom"/>
            <w:hideMark/>
          </w:tcPr>
          <w:p w14:paraId="56DDB8D3" w14:textId="77777777" w:rsidR="00857972" w:rsidRPr="00E25A5D" w:rsidRDefault="00857972" w:rsidP="003D740B">
            <w:pPr>
              <w:spacing w:after="0"/>
              <w:jc w:val="center"/>
              <w:rPr>
                <w:rFonts w:eastAsia="Times New Roman" w:cs="Times New Roman"/>
                <w:iCs/>
                <w:lang w:eastAsia="en-GB"/>
              </w:rPr>
            </w:pPr>
            <w:r w:rsidRPr="00E25A5D">
              <w:rPr>
                <w:rFonts w:eastAsia="Times New Roman" w:cs="Times New Roman"/>
                <w:iCs/>
                <w:lang w:eastAsia="en-GB"/>
              </w:rPr>
              <w:t>2</w:t>
            </w:r>
          </w:p>
        </w:tc>
      </w:tr>
    </w:tbl>
    <w:p w14:paraId="0A785D1F" w14:textId="77777777" w:rsidR="00B57218" w:rsidRPr="00E25A5D" w:rsidRDefault="00B57218" w:rsidP="00B57218"/>
    <w:p w14:paraId="744E8468" w14:textId="4AA35110" w:rsidR="0080611E" w:rsidRPr="00E25A5D" w:rsidRDefault="002A4C0D" w:rsidP="002A4C0D">
      <w:pPr>
        <w:rPr>
          <w:i/>
        </w:rPr>
      </w:pPr>
      <w:r w:rsidRPr="00E25A5D">
        <w:rPr>
          <w:b/>
          <w:i/>
        </w:rPr>
        <w:t>Supplementary Material M1</w:t>
      </w:r>
      <w:r w:rsidRPr="00E25A5D">
        <w:t xml:space="preserve">. </w:t>
      </w:r>
      <w:r w:rsidR="007864BF" w:rsidRPr="00E25A5D">
        <w:rPr>
          <w:i/>
        </w:rPr>
        <w:t>Spreadsheet detailing our 7</w:t>
      </w:r>
      <w:r w:rsidRPr="00E25A5D">
        <w:rPr>
          <w:i/>
        </w:rPr>
        <w:t xml:space="preserve"> DEG analyses</w:t>
      </w:r>
      <w:r w:rsidR="00596917" w:rsidRPr="00E25A5D">
        <w:rPr>
          <w:i/>
        </w:rPr>
        <w:t xml:space="preserve">. GSE codes are given for each sheet. Yellow highlighting indicates comparisons. </w:t>
      </w:r>
      <w:proofErr w:type="spellStart"/>
      <w:r w:rsidR="00596917" w:rsidRPr="00E25A5D">
        <w:rPr>
          <w:i/>
        </w:rPr>
        <w:t>padj</w:t>
      </w:r>
      <w:proofErr w:type="spellEnd"/>
      <w:r w:rsidR="00596917" w:rsidRPr="00E25A5D">
        <w:rPr>
          <w:i/>
        </w:rPr>
        <w:t>: adjusted p value.</w:t>
      </w:r>
      <w:r w:rsidRPr="00E25A5D">
        <w:rPr>
          <w:i/>
        </w:rPr>
        <w:t xml:space="preserve"> </w:t>
      </w:r>
      <w:r w:rsidR="00596917" w:rsidRPr="00E25A5D">
        <w:rPr>
          <w:i/>
        </w:rPr>
        <w:t xml:space="preserve">Other abbreviations are detailed </w:t>
      </w:r>
      <w:r w:rsidR="00972539" w:rsidRPr="00E25A5D">
        <w:rPr>
          <w:i/>
        </w:rPr>
        <w:t xml:space="preserve">within the main manuscript </w:t>
      </w:r>
      <w:r w:rsidR="00596917" w:rsidRPr="00E25A5D">
        <w:rPr>
          <w:i/>
        </w:rPr>
        <w:t>or in figure legends.</w:t>
      </w:r>
    </w:p>
    <w:p w14:paraId="76699FB0" w14:textId="60200C5C" w:rsidR="007674C8" w:rsidRPr="00E25A5D" w:rsidRDefault="007674C8" w:rsidP="002A4C0D">
      <w:r w:rsidRPr="00E25A5D">
        <w:rPr>
          <w:i/>
        </w:rPr>
        <w:br/>
      </w:r>
      <w:r w:rsidRPr="00E25A5D">
        <w:t>References for Supplementary materials</w:t>
      </w:r>
    </w:p>
    <w:p w14:paraId="475BE77E" w14:textId="77777777" w:rsidR="007674C8" w:rsidRPr="00E25A5D" w:rsidRDefault="007674C8" w:rsidP="007674C8">
      <w:pPr>
        <w:pStyle w:val="Bibliography"/>
        <w:rPr>
          <w:rFonts w:cs="Times New Roman"/>
          <w:sz w:val="20"/>
        </w:rPr>
      </w:pPr>
      <w:r w:rsidRPr="00E25A5D">
        <w:rPr>
          <w:i/>
          <w:sz w:val="20"/>
        </w:rPr>
        <w:fldChar w:fldCharType="begin"/>
      </w:r>
      <w:r w:rsidRPr="00E25A5D">
        <w:rPr>
          <w:i/>
          <w:sz w:val="20"/>
        </w:rPr>
        <w:instrText xml:space="preserve"> ADDIN ZOTERO_BIBL {"uncited":[],"omitted":[],"custom":[]} CSL_BIBLIOGRAPHY </w:instrText>
      </w:r>
      <w:r w:rsidRPr="00E25A5D">
        <w:rPr>
          <w:i/>
          <w:sz w:val="20"/>
        </w:rPr>
        <w:fldChar w:fldCharType="separate"/>
      </w:r>
      <w:r w:rsidRPr="00E25A5D">
        <w:rPr>
          <w:rFonts w:cs="Times New Roman"/>
          <w:sz w:val="20"/>
        </w:rPr>
        <w:t xml:space="preserve">Chen, Z.-P., Wang, S., Zhao, X., Fang, W., Wang, Z., Ye, H., et al. (2023). Lipid-accumulated reactive astrocytes promote disease progression in epilepsy. </w:t>
      </w:r>
      <w:r w:rsidRPr="00E25A5D">
        <w:rPr>
          <w:rFonts w:cs="Times New Roman"/>
          <w:i/>
          <w:iCs/>
          <w:sz w:val="20"/>
        </w:rPr>
        <w:t>Nat. Neurosci.</w:t>
      </w:r>
      <w:r w:rsidRPr="00E25A5D">
        <w:rPr>
          <w:rFonts w:cs="Times New Roman"/>
          <w:sz w:val="20"/>
        </w:rPr>
        <w:t xml:space="preserve"> 26, 542–554. doi: 10.1038/s41593-023-01288-6.</w:t>
      </w:r>
    </w:p>
    <w:p w14:paraId="2BCC9D8C" w14:textId="77777777" w:rsidR="007674C8" w:rsidRPr="00E25A5D" w:rsidRDefault="007674C8" w:rsidP="007674C8">
      <w:pPr>
        <w:pStyle w:val="Bibliography"/>
        <w:rPr>
          <w:rFonts w:cs="Times New Roman"/>
          <w:sz w:val="20"/>
        </w:rPr>
      </w:pPr>
      <w:r w:rsidRPr="00E25A5D">
        <w:rPr>
          <w:rFonts w:cs="Times New Roman"/>
          <w:sz w:val="20"/>
        </w:rPr>
        <w:t xml:space="preserve">Damasceno, S., Gómez-Nieto, R., Garcia-Cairasco, N., Herrero-Turrión, M. J., Marín, F., and Lopéz, D. E. (2020). Top Common Differentially Expressed Genes in the Epileptogenic Nucleus of Two Strains of Rodents Susceptible to Audiogenic Seizures: WAR and GASH/Sal. </w:t>
      </w:r>
      <w:r w:rsidRPr="00E25A5D">
        <w:rPr>
          <w:rFonts w:cs="Times New Roman"/>
          <w:i/>
          <w:iCs/>
          <w:sz w:val="20"/>
        </w:rPr>
        <w:t>Front. Neurol.</w:t>
      </w:r>
      <w:r w:rsidRPr="00E25A5D">
        <w:rPr>
          <w:rFonts w:cs="Times New Roman"/>
          <w:sz w:val="20"/>
        </w:rPr>
        <w:t xml:space="preserve"> 11, 33. doi: 10.3389/fneur.2020.00033.</w:t>
      </w:r>
    </w:p>
    <w:p w14:paraId="63C4D65B" w14:textId="77777777" w:rsidR="007674C8" w:rsidRPr="00E25A5D" w:rsidRDefault="007674C8" w:rsidP="007674C8">
      <w:pPr>
        <w:pStyle w:val="Bibliography"/>
        <w:rPr>
          <w:rFonts w:cs="Times New Roman"/>
          <w:sz w:val="20"/>
        </w:rPr>
      </w:pPr>
      <w:r w:rsidRPr="00E25A5D">
        <w:rPr>
          <w:rFonts w:cs="Times New Roman"/>
          <w:sz w:val="20"/>
        </w:rPr>
        <w:t xml:space="preserve">Jouroukhin, Y., Zhu, X., Shevelkin, A. V., Hasegawa, Y., Abazyan, B., Saito, A., et al. (2019). Adolescent Δ9-Tetrahydrocannabinol Exposure and Astrocyte-Specific Genetic Vulnerability Converge on Nuclear Factor-κB-Cyclooxygenase-2 Signaling to Impair Memory in Adulthood. </w:t>
      </w:r>
      <w:r w:rsidRPr="00E25A5D">
        <w:rPr>
          <w:rFonts w:cs="Times New Roman"/>
          <w:i/>
          <w:iCs/>
          <w:sz w:val="20"/>
        </w:rPr>
        <w:t>Biol. Psychiatry</w:t>
      </w:r>
      <w:r w:rsidRPr="00E25A5D">
        <w:rPr>
          <w:rFonts w:cs="Times New Roman"/>
          <w:sz w:val="20"/>
        </w:rPr>
        <w:t xml:space="preserve"> 85, 891–903. doi: 10.1016/j.biopsych.2018.07.024.</w:t>
      </w:r>
    </w:p>
    <w:p w14:paraId="11603A60" w14:textId="77777777" w:rsidR="007674C8" w:rsidRPr="00E25A5D" w:rsidRDefault="007674C8" w:rsidP="007674C8">
      <w:pPr>
        <w:pStyle w:val="Bibliography"/>
        <w:rPr>
          <w:rFonts w:cs="Times New Roman"/>
          <w:sz w:val="20"/>
        </w:rPr>
      </w:pPr>
      <w:r w:rsidRPr="00E25A5D">
        <w:rPr>
          <w:rFonts w:cs="Times New Roman"/>
          <w:sz w:val="20"/>
        </w:rPr>
        <w:t xml:space="preserve">Juknat, A., Pietr, M., Kozela, E., Rimmerman, N., Levy, R., Gao, F., et al. (2013). Microarray and pathway analysis reveal distinct mechanisms underlying cannabinoid-mediated modulation of LPS-induced activation of BV-2 microglial cells. </w:t>
      </w:r>
      <w:r w:rsidRPr="00E25A5D">
        <w:rPr>
          <w:rFonts w:cs="Times New Roman"/>
          <w:i/>
          <w:iCs/>
          <w:sz w:val="20"/>
        </w:rPr>
        <w:t>PloS One</w:t>
      </w:r>
      <w:r w:rsidRPr="00E25A5D">
        <w:rPr>
          <w:rFonts w:cs="Times New Roman"/>
          <w:sz w:val="20"/>
        </w:rPr>
        <w:t xml:space="preserve"> 8, e61462. doi: 10.1371/journal.pone.0061462.</w:t>
      </w:r>
    </w:p>
    <w:p w14:paraId="33AC3C22" w14:textId="77777777" w:rsidR="007674C8" w:rsidRPr="00E25A5D" w:rsidRDefault="007674C8" w:rsidP="007674C8">
      <w:pPr>
        <w:pStyle w:val="Bibliography"/>
        <w:rPr>
          <w:rFonts w:cs="Times New Roman"/>
          <w:sz w:val="20"/>
        </w:rPr>
      </w:pPr>
      <w:r w:rsidRPr="00E25A5D">
        <w:rPr>
          <w:rFonts w:cs="Times New Roman"/>
          <w:sz w:val="20"/>
        </w:rPr>
        <w:t xml:space="preserve">Ramaker, R. C., Bowling, K. M., Lasseigne, B. N., Hagenauer, M. H., Hardigan, A. A., Davis, N. S., et al. (2017). Post-mortem molecular profiling of three psychiatric disorders. </w:t>
      </w:r>
      <w:r w:rsidRPr="00E25A5D">
        <w:rPr>
          <w:rFonts w:cs="Times New Roman"/>
          <w:i/>
          <w:iCs/>
          <w:sz w:val="20"/>
        </w:rPr>
        <w:t>Genome Med.</w:t>
      </w:r>
      <w:r w:rsidRPr="00E25A5D">
        <w:rPr>
          <w:rFonts w:cs="Times New Roman"/>
          <w:sz w:val="20"/>
        </w:rPr>
        <w:t xml:space="preserve"> 9, 72. doi: 10.1186/s13073-017-0458-5.</w:t>
      </w:r>
    </w:p>
    <w:p w14:paraId="718BB439" w14:textId="77777777" w:rsidR="007674C8" w:rsidRPr="00E25A5D" w:rsidRDefault="007674C8" w:rsidP="007674C8">
      <w:pPr>
        <w:pStyle w:val="Bibliography"/>
        <w:rPr>
          <w:rFonts w:cs="Times New Roman"/>
          <w:sz w:val="20"/>
        </w:rPr>
      </w:pPr>
      <w:r w:rsidRPr="00E25A5D">
        <w:rPr>
          <w:rFonts w:cs="Times New Roman"/>
          <w:sz w:val="20"/>
        </w:rPr>
        <w:t xml:space="preserve">Srivastava, P. K., van Eyll, J., Godard, P., Mazzuferi, M., Delahaye-Duriez, A., Van Steenwinckel, J., et al. (2018). A systems-level framework for drug discovery identifies Csf1R as an anti-epileptic drug target. </w:t>
      </w:r>
      <w:r w:rsidRPr="00E25A5D">
        <w:rPr>
          <w:rFonts w:cs="Times New Roman"/>
          <w:i/>
          <w:iCs/>
          <w:sz w:val="20"/>
        </w:rPr>
        <w:t>Nat. Commun.</w:t>
      </w:r>
      <w:r w:rsidRPr="00E25A5D">
        <w:rPr>
          <w:rFonts w:cs="Times New Roman"/>
          <w:sz w:val="20"/>
        </w:rPr>
        <w:t xml:space="preserve"> 9, 3561. doi: 10.1038/s41467-018-06008-4.</w:t>
      </w:r>
    </w:p>
    <w:p w14:paraId="178DE0AD" w14:textId="77777777" w:rsidR="007674C8" w:rsidRPr="00E25A5D" w:rsidRDefault="007674C8" w:rsidP="007674C8">
      <w:pPr>
        <w:pStyle w:val="Bibliography"/>
        <w:rPr>
          <w:rFonts w:cs="Times New Roman"/>
          <w:sz w:val="20"/>
        </w:rPr>
      </w:pPr>
      <w:r w:rsidRPr="00E25A5D">
        <w:rPr>
          <w:rFonts w:cs="Times New Roman"/>
          <w:sz w:val="20"/>
        </w:rPr>
        <w:t xml:space="preserve">Zuo, Y., Iemolo, A., Montilla-Perez, P., Li, H.-R., Yang, X., and Telese, F. (2022). Chronic adolescent exposure to cannabis in mice leads to sex-biased changes in gene expression networks across brain regions. </w:t>
      </w:r>
      <w:r w:rsidRPr="00E25A5D">
        <w:rPr>
          <w:rFonts w:cs="Times New Roman"/>
          <w:i/>
          <w:iCs/>
          <w:sz w:val="20"/>
        </w:rPr>
        <w:t>Neuropsychopharmacol. Off. Publ. Am. Coll. Neuropsychopharmacol.</w:t>
      </w:r>
      <w:r w:rsidRPr="00E25A5D">
        <w:rPr>
          <w:rFonts w:cs="Times New Roman"/>
          <w:sz w:val="20"/>
        </w:rPr>
        <w:t xml:space="preserve"> 47, 2071–2080. </w:t>
      </w:r>
      <w:proofErr w:type="spellStart"/>
      <w:r w:rsidRPr="00E25A5D">
        <w:rPr>
          <w:rFonts w:cs="Times New Roman"/>
          <w:sz w:val="20"/>
        </w:rPr>
        <w:t>doi</w:t>
      </w:r>
      <w:proofErr w:type="spellEnd"/>
      <w:r w:rsidRPr="00E25A5D">
        <w:rPr>
          <w:rFonts w:cs="Times New Roman"/>
          <w:sz w:val="20"/>
        </w:rPr>
        <w:t>: 10.1038/s41386-022-01413-2.</w:t>
      </w:r>
    </w:p>
    <w:p w14:paraId="794E9E01" w14:textId="77777777" w:rsidR="00E25A5D" w:rsidRDefault="00E25A5D" w:rsidP="00E25A5D">
      <w:pPr>
        <w:pStyle w:val="Heading1"/>
        <w:numPr>
          <w:ilvl w:val="0"/>
          <w:numId w:val="0"/>
        </w:numPr>
        <w:ind w:left="567" w:hanging="567"/>
      </w:pPr>
    </w:p>
    <w:p w14:paraId="0BA302CF" w14:textId="77777777" w:rsidR="00E25A5D" w:rsidRDefault="00E25A5D" w:rsidP="00E25A5D">
      <w:pPr>
        <w:pStyle w:val="Heading1"/>
        <w:numPr>
          <w:ilvl w:val="0"/>
          <w:numId w:val="0"/>
        </w:numPr>
        <w:ind w:left="567" w:hanging="567"/>
      </w:pPr>
    </w:p>
    <w:p w14:paraId="46C832E2" w14:textId="58107D47" w:rsidR="00E25A5D" w:rsidRPr="00E25A5D" w:rsidRDefault="00E25A5D" w:rsidP="00E25A5D">
      <w:pPr>
        <w:pStyle w:val="Heading1"/>
        <w:numPr>
          <w:ilvl w:val="0"/>
          <w:numId w:val="0"/>
        </w:numPr>
        <w:ind w:left="567" w:hanging="567"/>
        <w:rPr>
          <w:shd w:val="clear" w:color="auto" w:fill="FFFFFF"/>
        </w:rPr>
      </w:pPr>
      <w:r w:rsidRPr="00E25A5D">
        <w:lastRenderedPageBreak/>
        <w:t>Data Availability Statement</w:t>
      </w:r>
      <w:r w:rsidRPr="00E25A5D">
        <w:rPr>
          <w:shd w:val="clear" w:color="auto" w:fill="FFFFFF"/>
        </w:rPr>
        <w:t xml:space="preserve"> </w:t>
      </w:r>
    </w:p>
    <w:p w14:paraId="0954D761" w14:textId="77777777" w:rsidR="00E25A5D" w:rsidRPr="00E25A5D" w:rsidRDefault="00E25A5D" w:rsidP="00E25A5D">
      <w:pPr>
        <w:rPr>
          <w:rFonts w:ascii="Times" w:hAnsi="Times" w:cs="Arial"/>
          <w:color w:val="000000"/>
          <w:szCs w:val="24"/>
          <w:lang w:val="en-GB"/>
        </w:rPr>
      </w:pPr>
      <w:r w:rsidRPr="00E25A5D">
        <w:rPr>
          <w:rFonts w:cs="Times New Roman"/>
          <w:szCs w:val="24"/>
        </w:rPr>
        <w:t xml:space="preserve">The datasets analyzed for this study are available open-access and can be found at the following </w:t>
      </w:r>
      <w:r w:rsidRPr="00E25A5D">
        <w:rPr>
          <w:rFonts w:ascii="Times" w:hAnsi="Times" w:cs="Times New Roman"/>
          <w:szCs w:val="24"/>
        </w:rPr>
        <w:t xml:space="preserve">Gene Expression Omnibus (GEO) links: </w:t>
      </w:r>
      <w:r w:rsidRPr="00E25A5D">
        <w:rPr>
          <w:rFonts w:ascii="Times" w:hAnsi="Times" w:cs="Times New Roman"/>
          <w:szCs w:val="24"/>
        </w:rPr>
        <w:br/>
      </w:r>
      <w:r w:rsidRPr="00E25A5D">
        <w:rPr>
          <w:rFonts w:ascii="Times" w:hAnsi="Times" w:cs="Arial"/>
          <w:szCs w:val="24"/>
        </w:rPr>
        <w:t>GSE80655 (</w:t>
      </w:r>
      <w:hyperlink r:id="rId12" w:history="1">
        <w:r w:rsidRPr="00E25A5D">
          <w:rPr>
            <w:rStyle w:val="Hyperlink"/>
            <w:rFonts w:ascii="Times" w:hAnsi="Times" w:cs="Arial"/>
            <w:szCs w:val="24"/>
          </w:rPr>
          <w:t>https://www.ncbi.nlm.nih.gov/geo/query/acc.cgi?acc=GSE80655</w:t>
        </w:r>
      </w:hyperlink>
      <w:r w:rsidRPr="00E25A5D">
        <w:rPr>
          <w:rFonts w:ascii="Times" w:hAnsi="Times" w:cs="Arial"/>
          <w:color w:val="000000"/>
          <w:szCs w:val="24"/>
          <w:lang w:val="en-GB"/>
        </w:rPr>
        <w:t xml:space="preserve">), </w:t>
      </w:r>
      <w:r w:rsidRPr="00E25A5D">
        <w:rPr>
          <w:rFonts w:ascii="Times" w:hAnsi="Times" w:cs="Arial"/>
          <w:color w:val="000000"/>
          <w:szCs w:val="24"/>
          <w:lang w:val="en-GB"/>
        </w:rPr>
        <w:br/>
      </w:r>
      <w:r w:rsidRPr="00E25A5D">
        <w:rPr>
          <w:rFonts w:ascii="Times" w:hAnsi="Times" w:cs="Arial"/>
          <w:szCs w:val="24"/>
        </w:rPr>
        <w:t>GSE189821 (</w:t>
      </w:r>
      <w:hyperlink r:id="rId13" w:history="1">
        <w:r w:rsidRPr="00E25A5D">
          <w:rPr>
            <w:rStyle w:val="Hyperlink"/>
            <w:rFonts w:ascii="Times" w:hAnsi="Times" w:cs="Arial"/>
            <w:szCs w:val="24"/>
          </w:rPr>
          <w:t>https://www.ncbi.nlm.nih.gov/geo/query/acc.cgi?acc=GSE189821</w:t>
        </w:r>
      </w:hyperlink>
      <w:r w:rsidRPr="00E25A5D">
        <w:rPr>
          <w:rFonts w:ascii="Times" w:hAnsi="Times" w:cs="Arial"/>
          <w:color w:val="000000"/>
          <w:szCs w:val="24"/>
          <w:lang w:val="en-GB"/>
        </w:rPr>
        <w:t xml:space="preserve">), </w:t>
      </w:r>
      <w:r w:rsidRPr="00E25A5D">
        <w:rPr>
          <w:rFonts w:ascii="Times" w:hAnsi="Times" w:cs="Arial"/>
          <w:color w:val="000000"/>
          <w:szCs w:val="24"/>
          <w:lang w:val="en-GB"/>
        </w:rPr>
        <w:br/>
      </w:r>
      <w:r w:rsidRPr="00E25A5D">
        <w:rPr>
          <w:rFonts w:ascii="Times" w:hAnsi="Times" w:cs="Arial"/>
          <w:szCs w:val="24"/>
        </w:rPr>
        <w:t>GSE116813 (</w:t>
      </w:r>
      <w:hyperlink r:id="rId14" w:history="1">
        <w:r w:rsidRPr="00E25A5D">
          <w:rPr>
            <w:rStyle w:val="Hyperlink"/>
            <w:rFonts w:ascii="Times" w:hAnsi="Times" w:cs="Arial"/>
            <w:szCs w:val="24"/>
          </w:rPr>
          <w:t>https://www.ncbi.nlm.nih.gov/geo/query/acc.cgi?acc=GSE116813</w:t>
        </w:r>
      </w:hyperlink>
      <w:r w:rsidRPr="00E25A5D">
        <w:rPr>
          <w:rFonts w:ascii="Times" w:hAnsi="Times" w:cs="Arial"/>
          <w:color w:val="000000"/>
          <w:szCs w:val="24"/>
          <w:lang w:val="en-GB"/>
        </w:rPr>
        <w:t xml:space="preserve">), </w:t>
      </w:r>
      <w:r w:rsidRPr="00E25A5D">
        <w:rPr>
          <w:rFonts w:ascii="Times" w:hAnsi="Times" w:cs="Arial"/>
          <w:color w:val="000000"/>
          <w:szCs w:val="24"/>
          <w:lang w:val="en-GB"/>
        </w:rPr>
        <w:br/>
      </w:r>
      <w:r w:rsidRPr="00E25A5D">
        <w:rPr>
          <w:rFonts w:ascii="Times" w:hAnsi="Times" w:cs="Arial"/>
          <w:szCs w:val="24"/>
        </w:rPr>
        <w:t>GSE70689 (</w:t>
      </w:r>
      <w:hyperlink r:id="rId15" w:history="1">
        <w:r w:rsidRPr="00E25A5D">
          <w:rPr>
            <w:rStyle w:val="Hyperlink"/>
            <w:rFonts w:ascii="Times" w:hAnsi="Times" w:cs="Arial"/>
            <w:szCs w:val="24"/>
          </w:rPr>
          <w:t>https://www.ncbi.nlm.nih.gov/geo/query/acc.cgi?acc=GSE70689</w:t>
        </w:r>
      </w:hyperlink>
      <w:r w:rsidRPr="00E25A5D">
        <w:rPr>
          <w:rFonts w:ascii="Times" w:hAnsi="Times" w:cs="Arial"/>
          <w:color w:val="000000"/>
          <w:szCs w:val="24"/>
          <w:lang w:val="en-GB"/>
        </w:rPr>
        <w:t xml:space="preserve">), </w:t>
      </w:r>
      <w:r w:rsidRPr="00E25A5D">
        <w:rPr>
          <w:rFonts w:ascii="Times" w:hAnsi="Times" w:cs="Arial"/>
          <w:color w:val="000000"/>
          <w:szCs w:val="24"/>
          <w:lang w:val="en-GB"/>
        </w:rPr>
        <w:br/>
      </w:r>
      <w:r w:rsidRPr="00E25A5D">
        <w:rPr>
          <w:rFonts w:ascii="Times" w:hAnsi="Times" w:cs="Arial"/>
          <w:szCs w:val="24"/>
        </w:rPr>
        <w:t>GSE77578 (</w:t>
      </w:r>
      <w:hyperlink r:id="rId16" w:history="1">
        <w:r w:rsidRPr="00E25A5D">
          <w:rPr>
            <w:rStyle w:val="Hyperlink"/>
            <w:rFonts w:ascii="Times" w:hAnsi="Times" w:cs="Arial"/>
            <w:szCs w:val="24"/>
          </w:rPr>
          <w:t>https://www.ncbi.nlm.nih.gov/geo/query/acc.cgi?acc=GSE77578</w:t>
        </w:r>
      </w:hyperlink>
      <w:r w:rsidRPr="00E25A5D">
        <w:rPr>
          <w:rFonts w:ascii="Times" w:hAnsi="Times" w:cs="Arial"/>
          <w:szCs w:val="24"/>
        </w:rPr>
        <w:t xml:space="preserve">), </w:t>
      </w:r>
      <w:r w:rsidRPr="00E25A5D">
        <w:rPr>
          <w:rFonts w:ascii="Times" w:hAnsi="Times" w:cs="Arial"/>
          <w:szCs w:val="24"/>
        </w:rPr>
        <w:br/>
        <w:t>GSE190451 (</w:t>
      </w:r>
      <w:hyperlink r:id="rId17" w:history="1">
        <w:r w:rsidRPr="00E25A5D">
          <w:rPr>
            <w:rStyle w:val="Hyperlink"/>
            <w:rFonts w:ascii="Times" w:hAnsi="Times" w:cs="Arial"/>
            <w:szCs w:val="24"/>
          </w:rPr>
          <w:t>https://www.ncbi.nlm.nih.gov/geo/query/acc.cgi?acc=GSE190451</w:t>
        </w:r>
      </w:hyperlink>
      <w:r w:rsidRPr="00E25A5D">
        <w:rPr>
          <w:rFonts w:ascii="Times" w:hAnsi="Times" w:cs="Arial"/>
          <w:color w:val="000000"/>
          <w:szCs w:val="24"/>
          <w:lang w:val="en-GB"/>
        </w:rPr>
        <w:t>),</w:t>
      </w:r>
      <w:r w:rsidRPr="00E25A5D">
        <w:rPr>
          <w:rFonts w:ascii="Times" w:hAnsi="Times" w:cs="Arial"/>
          <w:color w:val="000000"/>
          <w:szCs w:val="24"/>
          <w:lang w:val="en-GB"/>
        </w:rPr>
        <w:br/>
      </w:r>
      <w:r w:rsidRPr="00E25A5D">
        <w:rPr>
          <w:szCs w:val="16"/>
        </w:rPr>
        <w:t>GSE74150 (</w:t>
      </w:r>
      <w:hyperlink r:id="rId18" w:history="1">
        <w:r w:rsidRPr="00E25A5D">
          <w:rPr>
            <w:rStyle w:val="Hyperlink"/>
            <w:szCs w:val="16"/>
          </w:rPr>
          <w:t>https://www.ncbi.nlm.nih.gov/geo/query/acc.cgi?acc=GSE74150</w:t>
        </w:r>
      </w:hyperlink>
      <w:r w:rsidRPr="00E25A5D">
        <w:rPr>
          <w:szCs w:val="16"/>
        </w:rPr>
        <w:t>).</w:t>
      </w:r>
    </w:p>
    <w:p w14:paraId="16D75E76" w14:textId="77777777" w:rsidR="00E25A5D" w:rsidRPr="00E25A5D" w:rsidRDefault="00E25A5D" w:rsidP="00E25A5D">
      <w:pPr>
        <w:rPr>
          <w:noProof/>
        </w:rPr>
      </w:pPr>
      <w:r w:rsidRPr="00E25A5D">
        <w:rPr>
          <w:rFonts w:ascii="Times" w:hAnsi="Times" w:cs="Arial"/>
          <w:color w:val="000000"/>
          <w:szCs w:val="24"/>
          <w:lang w:val="en-GB"/>
        </w:rPr>
        <w:t>The following protein structures have been used, freely available at the Protein Data Bank (PDB) (</w:t>
      </w:r>
      <w:hyperlink r:id="rId19" w:history="1">
        <w:r w:rsidRPr="00E25A5D">
          <w:rPr>
            <w:rStyle w:val="Hyperlink"/>
            <w:rFonts w:ascii="Times" w:hAnsi="Times" w:cs="Arial"/>
            <w:szCs w:val="24"/>
            <w:lang w:val="en-GB"/>
          </w:rPr>
          <w:t>https://www.rcsb.org/</w:t>
        </w:r>
      </w:hyperlink>
      <w:r w:rsidRPr="00E25A5D">
        <w:rPr>
          <w:rFonts w:ascii="Times" w:hAnsi="Times" w:cs="Arial"/>
          <w:color w:val="000000"/>
          <w:szCs w:val="24"/>
          <w:lang w:val="en-GB"/>
        </w:rPr>
        <w:t>) with the following accession codes:</w:t>
      </w:r>
      <w:r w:rsidRPr="00E25A5D">
        <w:rPr>
          <w:rFonts w:ascii="Times" w:hAnsi="Times" w:cs="Arial"/>
          <w:color w:val="000000"/>
          <w:szCs w:val="24"/>
          <w:lang w:val="en-GB"/>
        </w:rPr>
        <w:br/>
        <w:t xml:space="preserve">8GHV </w:t>
      </w:r>
      <w:hyperlink r:id="rId20" w:history="1">
        <w:r w:rsidRPr="00E25A5D">
          <w:rPr>
            <w:rStyle w:val="Hyperlink"/>
            <w:rFonts w:ascii="Times" w:hAnsi="Times" w:cs="Arial"/>
            <w:szCs w:val="24"/>
            <w:lang w:val="en-GB"/>
          </w:rPr>
          <w:t>https://www.rcsb.org/structure/8GHV</w:t>
        </w:r>
      </w:hyperlink>
      <w:r w:rsidRPr="00E25A5D">
        <w:rPr>
          <w:rStyle w:val="Hyperlink"/>
          <w:rFonts w:ascii="Times" w:hAnsi="Times" w:cs="Arial"/>
          <w:szCs w:val="24"/>
          <w:lang w:val="en-GB"/>
        </w:rPr>
        <w:br/>
        <w:t xml:space="preserve">7TD1 </w:t>
      </w:r>
      <w:hyperlink r:id="rId21" w:history="1">
        <w:r w:rsidRPr="00E25A5D">
          <w:rPr>
            <w:rStyle w:val="Hyperlink"/>
            <w:rFonts w:ascii="Times" w:hAnsi="Times" w:cs="Arial"/>
            <w:szCs w:val="24"/>
            <w:lang w:val="en-GB"/>
          </w:rPr>
          <w:t>https://www.rcsb.org/structure/7TD1</w:t>
        </w:r>
      </w:hyperlink>
      <w:r w:rsidRPr="00E25A5D">
        <w:rPr>
          <w:rStyle w:val="Hyperlink"/>
          <w:rFonts w:ascii="Times" w:hAnsi="Times" w:cs="Arial"/>
          <w:szCs w:val="24"/>
          <w:lang w:val="en-GB"/>
        </w:rPr>
        <w:br/>
        <w:t xml:space="preserve">8GFA </w:t>
      </w:r>
      <w:hyperlink r:id="rId22" w:history="1">
        <w:r w:rsidRPr="00E25A5D">
          <w:rPr>
            <w:rStyle w:val="Hyperlink"/>
            <w:rFonts w:ascii="Times" w:hAnsi="Times" w:cs="Arial"/>
            <w:szCs w:val="24"/>
            <w:lang w:val="en-GB"/>
          </w:rPr>
          <w:t>https://www.rcsb.org/structure/8GFA</w:t>
        </w:r>
      </w:hyperlink>
      <w:r w:rsidRPr="00E25A5D">
        <w:rPr>
          <w:rStyle w:val="Hyperlink"/>
          <w:rFonts w:ascii="Times" w:hAnsi="Times" w:cs="Arial"/>
          <w:szCs w:val="24"/>
          <w:lang w:val="en-GB"/>
        </w:rPr>
        <w:br/>
        <w:t>8T1D https://www.rcsb.org/structure/8T1D</w:t>
      </w:r>
      <w:r w:rsidRPr="00E25A5D">
        <w:rPr>
          <w:rStyle w:val="Hyperlink"/>
          <w:rFonts w:ascii="Times" w:hAnsi="Times" w:cs="Arial"/>
          <w:szCs w:val="24"/>
          <w:lang w:val="en-GB"/>
        </w:rPr>
        <w:br/>
      </w:r>
      <w:r w:rsidRPr="00E25A5D">
        <w:rPr>
          <w:noProof/>
        </w:rPr>
        <w:t xml:space="preserve">8SLY </w:t>
      </w:r>
      <w:hyperlink r:id="rId23" w:history="1">
        <w:r w:rsidRPr="00E25A5D">
          <w:rPr>
            <w:rStyle w:val="Hyperlink"/>
            <w:noProof/>
          </w:rPr>
          <w:t>https://www.rcsb.org/structure/8SLY</w:t>
        </w:r>
      </w:hyperlink>
    </w:p>
    <w:p w14:paraId="5F4F8D83" w14:textId="77777777" w:rsidR="00E25A5D" w:rsidRPr="00E25A5D" w:rsidRDefault="00E25A5D" w:rsidP="00E25A5D">
      <w:pPr>
        <w:rPr>
          <w:rFonts w:cs="Times New Roman"/>
          <w:b/>
        </w:rPr>
      </w:pPr>
      <w:r w:rsidRPr="00E25A5D">
        <w:rPr>
          <w:rFonts w:ascii="Times" w:hAnsi="Times" w:cs="Arial"/>
          <w:color w:val="000000"/>
          <w:szCs w:val="24"/>
          <w:lang w:val="en-GB"/>
        </w:rPr>
        <w:t>Homology models were created in Phyre</w:t>
      </w:r>
      <w:r w:rsidRPr="00E25A5D">
        <w:rPr>
          <w:rFonts w:ascii="Times" w:hAnsi="Times" w:cs="Arial"/>
          <w:color w:val="000000"/>
          <w:szCs w:val="24"/>
          <w:vertAlign w:val="superscript"/>
          <w:lang w:val="en-GB"/>
        </w:rPr>
        <w:t>2</w:t>
      </w:r>
      <w:r w:rsidRPr="00E25A5D">
        <w:rPr>
          <w:rFonts w:ascii="Times" w:hAnsi="Times" w:cs="Arial"/>
          <w:color w:val="000000"/>
          <w:szCs w:val="24"/>
          <w:lang w:val="en-GB"/>
        </w:rPr>
        <w:t xml:space="preserve"> </w:t>
      </w:r>
      <w:r w:rsidRPr="00E25A5D">
        <w:rPr>
          <w:rFonts w:ascii="Times" w:hAnsi="Times" w:cs="Arial"/>
          <w:color w:val="000000"/>
          <w:szCs w:val="24"/>
          <w:lang w:val="en-GB"/>
        </w:rPr>
        <w:fldChar w:fldCharType="begin"/>
      </w:r>
      <w:r w:rsidRPr="00E25A5D">
        <w:rPr>
          <w:rFonts w:ascii="Times" w:hAnsi="Times" w:cs="Arial"/>
          <w:color w:val="000000"/>
          <w:szCs w:val="24"/>
          <w:lang w:val="en-GB"/>
        </w:rPr>
        <w:instrText xml:space="preserve"> ADDIN ZOTERO_ITEM CSL_CITATION {"citationID":"ySz7D0SF","properties":{"formattedCitation":"(Kelley and Sternberg, 2009; Kelley et al., 2015)","plainCitation":"(Kelley and Sternberg, 2009; Kelley et al., 2015)","noteIndex":0},"citationItems":[{"id":6368,"uris":["http://zotero.org/users/4407378/items/VT47WRJX"],"itemData":{"id":6368,"type":"article-journal","abstract":"Determining the structure and function of a novel protein is a cornerstone of many aspects of modern biology. Over the past decades, a number of computational tools for structure prediction have been developed. It is critical that the biological community is aware of such tools and is able to interpret their results in an informed way. This protocol provides a guide to interpreting the output of structure prediction servers in general and one such tool in particular, the protein homology/analogy recognition engine (Phyre). New profile-profile matching algorithms have improved structure prediction considerably in recent years. Although the performance of Phyre is typical of many structure prediction systems using such algorithms, all these systems can reliably detect up to twice as many remote homologies as standard sequence-profile searching. Phyre is widely used by the biological community, with &gt;150 submissions per day, and provides a simple interface to results. Phyre takes 30 min to predict the structure of a 250-residue protein.","container-title":"Nature Protocols","DOI":"10.1038/nprot.2009.2","ISSN":"1750-2799","issue":"3","journalAbbreviation":"Nat Protoc","language":"eng","note":"PMID: 19247286","page":"363-371","source":"PubMed","title":"Protein structure prediction on the Web: a case study using the Phyre server","title-short":"Protein structure prediction on the Web","volume":"4","author":[{"family":"Kelley","given":"Lawrence A."},{"family":"Sternberg","given":"Michael J. E."}],"issued":{"date-parts":[["2009"]]}}},{"id":6366,"uris":["http://zotero.org/users/4407378/items/TC4IYBXE"],"itemData":{"id":6366,"type":"article-journal","abstract":"Phyre2 is a web-based tool for predicting and analyzing protein structure and function. Phyre2 uses advanced remote homology detection methods to build 3D models, predict ligand binding sites, and analyze amino acid variants in a protein sequence.","container-title":"Nature Protocols","DOI":"10.1038/nprot.2015.053","ISSN":"1750-2799","issue":"6","journalAbbreviation":"Nat Protoc","language":"en","license":"2015 Springer Nature Limited","note":"number: 6\npublisher: Nature Publishing Group","page":"845-858","source":"www.nature.com","title":"The Phyre2 web portal for protein modeling, prediction and analysis","volume":"10","author":[{"family":"Kelley","given":"Lawrence A."},{"family":"Mezulis","given":"Stefans"},{"family":"Yates","given":"Christopher M."},{"family":"Wass","given":"Mark N."},{"family":"Sternberg","given":"Michael J. E."}],"issued":{"date-parts":[["2015",6]]}}}],"schema":"https://github.com/citation-style-language/schema/raw/master/csl-citation.json"} </w:instrText>
      </w:r>
      <w:r w:rsidRPr="00E25A5D">
        <w:rPr>
          <w:rFonts w:ascii="Times" w:hAnsi="Times" w:cs="Arial"/>
          <w:color w:val="000000"/>
          <w:szCs w:val="24"/>
          <w:lang w:val="en-GB"/>
        </w:rPr>
        <w:fldChar w:fldCharType="separate"/>
      </w:r>
      <w:r w:rsidRPr="00E25A5D">
        <w:rPr>
          <w:rFonts w:ascii="Times" w:hAnsi="Times" w:cs="Times"/>
        </w:rPr>
        <w:t>(Kelley and Sternberg, 2009; Kelley et al., 2015)</w:t>
      </w:r>
      <w:r w:rsidRPr="00E25A5D">
        <w:rPr>
          <w:rFonts w:ascii="Times" w:hAnsi="Times" w:cs="Arial"/>
          <w:color w:val="000000"/>
          <w:szCs w:val="24"/>
          <w:lang w:val="en-GB"/>
        </w:rPr>
        <w:fldChar w:fldCharType="end"/>
      </w:r>
      <w:r w:rsidRPr="00E25A5D">
        <w:rPr>
          <w:rFonts w:ascii="Times" w:hAnsi="Times" w:cs="Arial"/>
          <w:color w:val="000000"/>
          <w:szCs w:val="24"/>
          <w:lang w:val="en-GB"/>
        </w:rPr>
        <w:t xml:space="preserve">, accessible at </w:t>
      </w:r>
      <w:hyperlink r:id="rId24" w:history="1">
        <w:r w:rsidRPr="00E25A5D">
          <w:rPr>
            <w:rStyle w:val="Hyperlink"/>
            <w:rFonts w:ascii="Times" w:hAnsi="Times" w:cs="Arial"/>
            <w:szCs w:val="24"/>
            <w:lang w:val="en-GB"/>
          </w:rPr>
          <w:t>http://www.sbg.bio.ic.ac.uk/~phyre2/html/page.cgi?id=index</w:t>
        </w:r>
      </w:hyperlink>
      <w:r w:rsidRPr="00E25A5D">
        <w:rPr>
          <w:rFonts w:ascii="Times" w:hAnsi="Times" w:cs="Arial"/>
          <w:color w:val="000000"/>
          <w:szCs w:val="24"/>
          <w:lang w:val="en-GB"/>
        </w:rPr>
        <w:t xml:space="preserve">. Docking of anandamide into </w:t>
      </w:r>
      <w:r w:rsidRPr="00E25A5D">
        <w:rPr>
          <w:rFonts w:ascii="Times" w:hAnsi="Times" w:cs="Arial"/>
          <w:i/>
          <w:color w:val="000000"/>
          <w:szCs w:val="24"/>
          <w:lang w:val="en-GB"/>
        </w:rPr>
        <w:t xml:space="preserve">Homo sapiens </w:t>
      </w:r>
      <w:r w:rsidRPr="00E25A5D">
        <w:rPr>
          <w:rFonts w:ascii="Times" w:hAnsi="Times" w:cs="Arial"/>
          <w:color w:val="000000"/>
          <w:szCs w:val="24"/>
          <w:lang w:val="en-GB"/>
        </w:rPr>
        <w:t xml:space="preserve">TRPV1 was performed with </w:t>
      </w:r>
      <w:proofErr w:type="spellStart"/>
      <w:r w:rsidRPr="00E25A5D">
        <w:rPr>
          <w:rFonts w:ascii="Times" w:hAnsi="Times" w:cs="Arial"/>
          <w:color w:val="000000"/>
          <w:szCs w:val="24"/>
          <w:lang w:val="en-GB"/>
        </w:rPr>
        <w:t>AutoDock</w:t>
      </w:r>
      <w:proofErr w:type="spellEnd"/>
      <w:r w:rsidRPr="00E25A5D">
        <w:rPr>
          <w:rFonts w:ascii="Times" w:hAnsi="Times" w:cs="Arial"/>
          <w:color w:val="000000"/>
          <w:szCs w:val="24"/>
          <w:lang w:val="en-GB"/>
        </w:rPr>
        <w:t xml:space="preserve"> Vina </w:t>
      </w:r>
      <w:r w:rsidRPr="00E25A5D">
        <w:rPr>
          <w:rFonts w:ascii="Times" w:hAnsi="Times" w:cs="Arial"/>
          <w:color w:val="000000"/>
          <w:szCs w:val="24"/>
          <w:lang w:val="en-GB"/>
        </w:rPr>
        <w:fldChar w:fldCharType="begin"/>
      </w:r>
      <w:r w:rsidRPr="00E25A5D">
        <w:rPr>
          <w:rFonts w:ascii="Times" w:hAnsi="Times" w:cs="Arial"/>
          <w:color w:val="000000"/>
          <w:szCs w:val="24"/>
          <w:lang w:val="en-GB"/>
        </w:rPr>
        <w:instrText xml:space="preserve"> ADDIN ZOTERO_ITEM CSL_CITATION {"citationID":"uKMkJjdB","properties":{"formattedCitation":"(Trott and Olson, 2010)","plainCitation":"(Trott and Olson, 2010)","noteIndex":0},"citationItems":[{"id":6627,"uris":["http://zotero.org/users/4407378/items/4R3ECTI6"],"itemData":{"id":6627,"type":"article-journal","abstract":"AutoDock Vina, a new program for molecular docking and virtual screening, is presented. AutoDock Vina achieves an approximately two orders of magnitude speed-up compared to the molecular docking software previously developed in our lab (AutoDock 4), while also significantly improving the accuracy of the binding mode predictions, judging by our tests on the training set used in AutoDock 4 development. Further speed-up is achieved from parallelism, by using multithreading on multi-core machines. AutoDock Vina automatically calculates the grid maps and clusters the results in a way transparent to the user.","container-title":"Journal of computational chemistry","DOI":"10.1002/jcc.21334","ISSN":"0192-8651","issue":"2","journalAbbreviation":"J Comput Chem","note":"PMID: 19499576\nPMCID: PMC3041641","page":"455-461","source":"PubMed Central","title":"AutoDock Vina: improving the speed and accuracy of docking with a new scoring function, efficient optimization and multithreading","title-short":"AutoDock Vina","volume":"31","author":[{"family":"Trott","given":"Oleg"},{"family":"Olson","given":"Arthur J."}],"issued":{"date-parts":[["2010",1,30]]}}}],"schema":"https://github.com/citation-style-language/schema/raw/master/csl-citation.json"} </w:instrText>
      </w:r>
      <w:r w:rsidRPr="00E25A5D">
        <w:rPr>
          <w:rFonts w:ascii="Times" w:hAnsi="Times" w:cs="Arial"/>
          <w:color w:val="000000"/>
          <w:szCs w:val="24"/>
          <w:lang w:val="en-GB"/>
        </w:rPr>
        <w:fldChar w:fldCharType="separate"/>
      </w:r>
      <w:r w:rsidRPr="00E25A5D">
        <w:rPr>
          <w:rFonts w:ascii="Times" w:hAnsi="Times" w:cs="Times"/>
        </w:rPr>
        <w:t>(Trott and Olson, 2010)</w:t>
      </w:r>
      <w:r w:rsidRPr="00E25A5D">
        <w:rPr>
          <w:rFonts w:ascii="Times" w:hAnsi="Times" w:cs="Arial"/>
          <w:color w:val="000000"/>
          <w:szCs w:val="24"/>
          <w:lang w:val="en-GB"/>
        </w:rPr>
        <w:fldChar w:fldCharType="end"/>
      </w:r>
      <w:r w:rsidRPr="00E25A5D">
        <w:rPr>
          <w:rFonts w:ascii="Times" w:hAnsi="Times" w:cs="Arial"/>
          <w:color w:val="000000"/>
          <w:szCs w:val="24"/>
          <w:lang w:val="en-GB"/>
        </w:rPr>
        <w:t xml:space="preserve">. All models were deposited in </w:t>
      </w:r>
      <w:proofErr w:type="spellStart"/>
      <w:r w:rsidRPr="00E25A5D">
        <w:rPr>
          <w:rFonts w:ascii="Times" w:hAnsi="Times" w:cs="Arial"/>
          <w:color w:val="000000"/>
          <w:szCs w:val="24"/>
          <w:lang w:val="en-GB"/>
        </w:rPr>
        <w:t>ModelArchive</w:t>
      </w:r>
      <w:proofErr w:type="spellEnd"/>
      <w:r w:rsidRPr="00E25A5D">
        <w:rPr>
          <w:rFonts w:ascii="Times" w:hAnsi="Times" w:cs="Arial"/>
          <w:color w:val="000000"/>
          <w:szCs w:val="24"/>
          <w:lang w:val="en-GB"/>
        </w:rPr>
        <w:t xml:space="preserve"> (</w:t>
      </w:r>
      <w:hyperlink r:id="rId25" w:history="1">
        <w:r w:rsidRPr="00E25A5D">
          <w:rPr>
            <w:rStyle w:val="Hyperlink"/>
            <w:rFonts w:ascii="Times" w:hAnsi="Times" w:cs="Arial"/>
            <w:szCs w:val="24"/>
            <w:lang w:val="en-GB"/>
          </w:rPr>
          <w:t>https://www.modelarchive.org</w:t>
        </w:r>
      </w:hyperlink>
      <w:r w:rsidRPr="00E25A5D">
        <w:rPr>
          <w:rFonts w:ascii="Times" w:hAnsi="Times" w:cs="Arial"/>
          <w:color w:val="000000"/>
          <w:szCs w:val="24"/>
          <w:lang w:val="en-GB"/>
        </w:rPr>
        <w:t xml:space="preserve">) and included: </w:t>
      </w:r>
      <w:r w:rsidRPr="00E25A5D">
        <w:rPr>
          <w:rFonts w:ascii="Times" w:hAnsi="Times" w:cs="Arial"/>
          <w:color w:val="000000"/>
          <w:szCs w:val="24"/>
          <w:lang w:val="en-GB"/>
        </w:rPr>
        <w:br/>
      </w:r>
      <w:r w:rsidRPr="00E25A5D">
        <w:rPr>
          <w:rFonts w:ascii="Times" w:hAnsi="Times" w:cs="Arial"/>
          <w:color w:val="0000FF"/>
          <w:szCs w:val="24"/>
          <w:lang w:val="en-GB"/>
        </w:rPr>
        <w:t>ma-</w:t>
      </w:r>
      <w:proofErr w:type="spellStart"/>
      <w:r w:rsidRPr="00E25A5D">
        <w:rPr>
          <w:rFonts w:ascii="Times" w:hAnsi="Times" w:cs="Arial"/>
          <w:color w:val="0000FF"/>
          <w:szCs w:val="24"/>
          <w:lang w:val="en-GB"/>
        </w:rPr>
        <w:t>yvfgy</w:t>
      </w:r>
      <w:proofErr w:type="spellEnd"/>
      <w:r w:rsidRPr="00E25A5D">
        <w:rPr>
          <w:rFonts w:ascii="Times" w:hAnsi="Times" w:cs="Arial"/>
          <w:color w:val="000000"/>
          <w:szCs w:val="24"/>
          <w:lang w:val="en-GB"/>
        </w:rPr>
        <w:t xml:space="preserve"> for </w:t>
      </w:r>
      <w:r w:rsidRPr="00E25A5D">
        <w:rPr>
          <w:rFonts w:ascii="Times" w:hAnsi="Times" w:cs="Arial"/>
          <w:i/>
          <w:color w:val="000000"/>
          <w:szCs w:val="24"/>
          <w:lang w:val="en-GB"/>
        </w:rPr>
        <w:t xml:space="preserve">Petromyzon marinus </w:t>
      </w:r>
      <w:r w:rsidRPr="00E25A5D">
        <w:rPr>
          <w:rFonts w:ascii="Times" w:hAnsi="Times" w:cs="Arial"/>
          <w:color w:val="000000"/>
          <w:szCs w:val="24"/>
          <w:lang w:val="en-GB"/>
        </w:rPr>
        <w:t>CB1R (</w:t>
      </w:r>
      <w:r w:rsidRPr="00E25A5D">
        <w:rPr>
          <w:rFonts w:ascii="Times" w:hAnsi="Times" w:cs="Arial"/>
          <w:color w:val="0000FF"/>
          <w:szCs w:val="24"/>
          <w:lang w:val="en-GB"/>
        </w:rPr>
        <w:t>DOI:10.5452/ma-</w:t>
      </w:r>
      <w:proofErr w:type="spellStart"/>
      <w:r w:rsidRPr="00E25A5D">
        <w:rPr>
          <w:rFonts w:ascii="Times" w:hAnsi="Times" w:cs="Arial"/>
          <w:color w:val="0000FF"/>
          <w:szCs w:val="24"/>
          <w:lang w:val="en-GB"/>
        </w:rPr>
        <w:t>yvfgy</w:t>
      </w:r>
      <w:proofErr w:type="spellEnd"/>
      <w:r w:rsidRPr="00E25A5D">
        <w:rPr>
          <w:rFonts w:ascii="Times" w:hAnsi="Times" w:cs="Arial"/>
          <w:color w:val="000000"/>
          <w:szCs w:val="24"/>
          <w:lang w:val="en-GB"/>
        </w:rPr>
        <w:t>),</w:t>
      </w:r>
      <w:r w:rsidRPr="00E25A5D">
        <w:rPr>
          <w:rFonts w:ascii="Times" w:hAnsi="Times" w:cs="Arial"/>
          <w:color w:val="000000"/>
          <w:szCs w:val="24"/>
          <w:lang w:val="en-GB"/>
        </w:rPr>
        <w:br/>
      </w:r>
      <w:r w:rsidRPr="00E25A5D">
        <w:rPr>
          <w:rFonts w:ascii="Times" w:hAnsi="Times" w:cs="Arial"/>
          <w:color w:val="0000FF"/>
          <w:szCs w:val="24"/>
          <w:lang w:val="en-GB"/>
        </w:rPr>
        <w:t>ma-mi5fb</w:t>
      </w:r>
      <w:r w:rsidRPr="00E25A5D">
        <w:rPr>
          <w:rFonts w:ascii="Times" w:hAnsi="Times" w:cs="Arial"/>
          <w:color w:val="000000"/>
          <w:szCs w:val="24"/>
          <w:lang w:val="en-GB"/>
        </w:rPr>
        <w:t xml:space="preserve"> for </w:t>
      </w:r>
      <w:proofErr w:type="spellStart"/>
      <w:r w:rsidRPr="00E25A5D">
        <w:rPr>
          <w:rFonts w:cs="Times New Roman"/>
          <w:i/>
        </w:rPr>
        <w:t>Branchiostoma</w:t>
      </w:r>
      <w:proofErr w:type="spellEnd"/>
      <w:r w:rsidRPr="00E25A5D">
        <w:rPr>
          <w:rFonts w:cs="Times New Roman"/>
          <w:i/>
        </w:rPr>
        <w:t xml:space="preserve"> </w:t>
      </w:r>
      <w:proofErr w:type="spellStart"/>
      <w:r w:rsidRPr="00E25A5D">
        <w:rPr>
          <w:rFonts w:cs="Times New Roman"/>
          <w:i/>
        </w:rPr>
        <w:t>floridae</w:t>
      </w:r>
      <w:proofErr w:type="spellEnd"/>
      <w:r w:rsidRPr="00E25A5D">
        <w:rPr>
          <w:rFonts w:cs="Times New Roman"/>
        </w:rPr>
        <w:t xml:space="preserve"> </w:t>
      </w:r>
      <w:r w:rsidRPr="00E25A5D">
        <w:rPr>
          <w:rFonts w:ascii="Times" w:hAnsi="Times" w:cs="Arial"/>
          <w:color w:val="000000"/>
          <w:szCs w:val="24"/>
          <w:lang w:val="en-GB"/>
        </w:rPr>
        <w:t>unclassified CBR (</w:t>
      </w:r>
      <w:r w:rsidRPr="00E25A5D">
        <w:rPr>
          <w:rFonts w:ascii="Times" w:hAnsi="Times" w:cs="Arial"/>
          <w:color w:val="0000FF"/>
          <w:szCs w:val="24"/>
          <w:lang w:val="en-GB"/>
        </w:rPr>
        <w:t>DOI:</w:t>
      </w:r>
      <w:r w:rsidRPr="00E25A5D">
        <w:rPr>
          <w:color w:val="0000FF"/>
        </w:rPr>
        <w:t xml:space="preserve"> </w:t>
      </w:r>
      <w:r w:rsidRPr="00E25A5D">
        <w:rPr>
          <w:rFonts w:ascii="Times" w:hAnsi="Times" w:cs="Arial"/>
          <w:color w:val="0000FF"/>
          <w:szCs w:val="24"/>
          <w:lang w:val="en-GB"/>
        </w:rPr>
        <w:t>10.5452/ma-mi5fb</w:t>
      </w:r>
      <w:r w:rsidRPr="00E25A5D">
        <w:rPr>
          <w:rFonts w:ascii="Times" w:hAnsi="Times" w:cs="Arial"/>
          <w:color w:val="000000"/>
          <w:szCs w:val="24"/>
          <w:lang w:val="en-GB"/>
        </w:rPr>
        <w:t>),</w:t>
      </w:r>
      <w:r w:rsidRPr="00E25A5D">
        <w:rPr>
          <w:rFonts w:ascii="Times" w:hAnsi="Times" w:cs="Arial"/>
          <w:color w:val="000000"/>
          <w:szCs w:val="24"/>
          <w:lang w:val="en-GB"/>
        </w:rPr>
        <w:br/>
      </w:r>
      <w:r w:rsidRPr="00E25A5D">
        <w:rPr>
          <w:rFonts w:ascii="Times" w:hAnsi="Times" w:cs="Arial"/>
          <w:color w:val="0000FF"/>
          <w:szCs w:val="24"/>
          <w:lang w:val="en-GB"/>
        </w:rPr>
        <w:t xml:space="preserve">ma-dol4y </w:t>
      </w:r>
      <w:r w:rsidRPr="00E25A5D">
        <w:rPr>
          <w:rFonts w:ascii="Times" w:hAnsi="Times" w:cs="Arial"/>
          <w:color w:val="000000"/>
          <w:szCs w:val="24"/>
          <w:lang w:val="en-GB"/>
        </w:rPr>
        <w:t xml:space="preserve">for anandamide docked on cryo-EM </w:t>
      </w:r>
      <w:r w:rsidRPr="00E25A5D">
        <w:rPr>
          <w:rFonts w:ascii="Times" w:hAnsi="Times" w:cs="Arial"/>
          <w:i/>
          <w:color w:val="000000"/>
          <w:szCs w:val="24"/>
          <w:lang w:val="en-GB"/>
        </w:rPr>
        <w:t xml:space="preserve">Homo sapiens </w:t>
      </w:r>
      <w:r w:rsidRPr="00E25A5D">
        <w:rPr>
          <w:rFonts w:ascii="Times" w:hAnsi="Times" w:cs="Arial"/>
          <w:color w:val="000000"/>
          <w:szCs w:val="24"/>
          <w:lang w:val="en-GB"/>
        </w:rPr>
        <w:t>TRPV1 (</w:t>
      </w:r>
      <w:r w:rsidRPr="00E25A5D">
        <w:rPr>
          <w:rFonts w:ascii="Times" w:hAnsi="Times" w:cs="Arial"/>
          <w:color w:val="0000FF"/>
          <w:szCs w:val="24"/>
          <w:lang w:val="en-GB"/>
        </w:rPr>
        <w:t>DOI:</w:t>
      </w:r>
      <w:r w:rsidRPr="00E25A5D">
        <w:rPr>
          <w:color w:val="0000FF"/>
        </w:rPr>
        <w:t xml:space="preserve"> </w:t>
      </w:r>
      <w:r w:rsidRPr="00E25A5D">
        <w:rPr>
          <w:rFonts w:ascii="Times" w:hAnsi="Times" w:cs="Arial"/>
          <w:color w:val="0000FF"/>
          <w:szCs w:val="24"/>
          <w:lang w:val="en-GB"/>
        </w:rPr>
        <w:t>10.5452/ma-dol4y</w:t>
      </w:r>
      <w:r w:rsidRPr="00E25A5D">
        <w:rPr>
          <w:rFonts w:ascii="Times" w:hAnsi="Times" w:cs="Arial"/>
          <w:color w:val="000000"/>
          <w:szCs w:val="24"/>
          <w:lang w:val="en-GB"/>
        </w:rPr>
        <w:t>).</w:t>
      </w:r>
    </w:p>
    <w:p w14:paraId="049798A9" w14:textId="77777777" w:rsidR="00E25A5D" w:rsidRPr="00E25A5D" w:rsidRDefault="00E25A5D" w:rsidP="00E25A5D"/>
    <w:p w14:paraId="3EFBB045" w14:textId="2D5AB78F" w:rsidR="007674C8" w:rsidRDefault="007674C8" w:rsidP="002A4C0D">
      <w:pPr>
        <w:rPr>
          <w:i/>
        </w:rPr>
      </w:pPr>
      <w:r w:rsidRPr="00E25A5D">
        <w:rPr>
          <w:i/>
          <w:sz w:val="20"/>
        </w:rPr>
        <w:fldChar w:fldCharType="end"/>
      </w:r>
    </w:p>
    <w:sectPr w:rsidR="007674C8" w:rsidSect="0093429D">
      <w:headerReference w:type="even" r:id="rId26"/>
      <w:footerReference w:type="even" r:id="rId27"/>
      <w:footerReference w:type="default" r:id="rId28"/>
      <w:headerReference w:type="first" r:id="rId29"/>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4921D" w14:textId="77777777" w:rsidR="008D128B" w:rsidRDefault="008D128B" w:rsidP="00117666">
      <w:pPr>
        <w:spacing w:after="0"/>
      </w:pPr>
      <w:r>
        <w:separator/>
      </w:r>
    </w:p>
  </w:endnote>
  <w:endnote w:type="continuationSeparator" w:id="0">
    <w:p w14:paraId="48D0C8C1" w14:textId="77777777" w:rsidR="008D128B" w:rsidRDefault="008D128B"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4AB28" w14:textId="77777777" w:rsidR="002648F3"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46B244EA" w:rsidR="002648F3"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7674C8">
                            <w:rPr>
                              <w:noProof/>
                              <w:color w:val="000000" w:themeColor="text1"/>
                              <w:szCs w:val="40"/>
                            </w:rPr>
                            <w:t>6</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" filled="f" stroked="f" strokeweight=".5pt">
              <v:textbox style="mso-fit-shape-to-text:t">
                <w:txbxContent>
                  <w:p w14:paraId="4D054D26" w14:textId="46B244EA"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7674C8">
                      <w:rPr>
                        <w:noProof/>
                        <w:color w:val="000000" w:themeColor="text1"/>
                        <w:szCs w:val="40"/>
                      </w:rPr>
                      <w:t>6</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2FF27" w14:textId="77777777" w:rsidR="002648F3"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66CA0A64" w:rsidR="002648F3"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7674C8">
                            <w:rPr>
                              <w:noProof/>
                              <w:color w:val="000000" w:themeColor="text1"/>
                              <w:szCs w:val="40"/>
                            </w:rPr>
                            <w:t>5</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14:paraId="085E15EB" w14:textId="66CA0A64"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7674C8">
                      <w:rPr>
                        <w:noProof/>
                        <w:color w:val="000000" w:themeColor="text1"/>
                        <w:szCs w:val="40"/>
                      </w:rPr>
                      <w:t>5</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54BD8" w14:textId="77777777" w:rsidR="008D128B" w:rsidRDefault="008D128B" w:rsidP="00117666">
      <w:pPr>
        <w:spacing w:after="0"/>
      </w:pPr>
      <w:r>
        <w:separator/>
      </w:r>
    </w:p>
  </w:footnote>
  <w:footnote w:type="continuationSeparator" w:id="0">
    <w:p w14:paraId="40CE13F2" w14:textId="77777777" w:rsidR="008D128B" w:rsidRDefault="008D128B"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1EDBA" w14:textId="77777777" w:rsidR="002648F3"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11A5B" w14:textId="77777777" w:rsidR="002648F3" w:rsidRDefault="0093429D" w:rsidP="0093429D">
    <w:r w:rsidRPr="005A1D84">
      <w:rPr>
        <w:b/>
        <w:noProof/>
        <w:color w:val="A6A6A6" w:themeColor="background1" w:themeShade="A6"/>
        <w:lang w:val="en-GB" w:eastAsia="en-GB"/>
      </w:rPr>
      <w:drawing>
        <wp:inline distT="0" distB="0" distL="0" distR="0" wp14:anchorId="7EAE9060" wp14:editId="09E5B960">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577783853">
    <w:abstractNumId w:val="0"/>
  </w:num>
  <w:num w:numId="2" w16cid:durableId="1090006039">
    <w:abstractNumId w:val="4"/>
  </w:num>
  <w:num w:numId="3" w16cid:durableId="340932176">
    <w:abstractNumId w:val="1"/>
  </w:num>
  <w:num w:numId="4" w16cid:durableId="1290471774">
    <w:abstractNumId w:val="5"/>
  </w:num>
  <w:num w:numId="5" w16cid:durableId="2598791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7305106">
    <w:abstractNumId w:val="3"/>
  </w:num>
  <w:num w:numId="7" w16cid:durableId="1444032349">
    <w:abstractNumId w:val="6"/>
  </w:num>
  <w:num w:numId="8" w16cid:durableId="298000682">
    <w:abstractNumId w:val="6"/>
  </w:num>
  <w:num w:numId="9" w16cid:durableId="131795048">
    <w:abstractNumId w:val="6"/>
  </w:num>
  <w:num w:numId="10" w16cid:durableId="596906532">
    <w:abstractNumId w:val="6"/>
  </w:num>
  <w:num w:numId="11" w16cid:durableId="1766068347">
    <w:abstractNumId w:val="6"/>
  </w:num>
  <w:num w:numId="12" w16cid:durableId="823476091">
    <w:abstractNumId w:val="6"/>
  </w:num>
  <w:num w:numId="13" w16cid:durableId="570699301">
    <w:abstractNumId w:val="3"/>
  </w:num>
  <w:num w:numId="14" w16cid:durableId="1948275114">
    <w:abstractNumId w:val="2"/>
  </w:num>
  <w:num w:numId="15" w16cid:durableId="608005428">
    <w:abstractNumId w:val="2"/>
  </w:num>
  <w:num w:numId="16" w16cid:durableId="1533150835">
    <w:abstractNumId w:val="2"/>
  </w:num>
  <w:num w:numId="17" w16cid:durableId="1371568696">
    <w:abstractNumId w:val="2"/>
  </w:num>
  <w:num w:numId="18" w16cid:durableId="328601430">
    <w:abstractNumId w:val="2"/>
  </w:num>
  <w:num w:numId="19" w16cid:durableId="1659920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D24"/>
    <w:rsid w:val="0001436A"/>
    <w:rsid w:val="00034304"/>
    <w:rsid w:val="00035434"/>
    <w:rsid w:val="00052A14"/>
    <w:rsid w:val="00077D53"/>
    <w:rsid w:val="000B0696"/>
    <w:rsid w:val="000B5E00"/>
    <w:rsid w:val="000D7677"/>
    <w:rsid w:val="00105FD9"/>
    <w:rsid w:val="00117666"/>
    <w:rsid w:val="001549D3"/>
    <w:rsid w:val="00160065"/>
    <w:rsid w:val="00177D84"/>
    <w:rsid w:val="002273CE"/>
    <w:rsid w:val="00252A6A"/>
    <w:rsid w:val="002648F3"/>
    <w:rsid w:val="0026676F"/>
    <w:rsid w:val="00267D18"/>
    <w:rsid w:val="002868E2"/>
    <w:rsid w:val="002869C3"/>
    <w:rsid w:val="002936E4"/>
    <w:rsid w:val="002A4C0D"/>
    <w:rsid w:val="002B4A57"/>
    <w:rsid w:val="002C73EE"/>
    <w:rsid w:val="002C74CA"/>
    <w:rsid w:val="002E2900"/>
    <w:rsid w:val="003305D1"/>
    <w:rsid w:val="00337AC6"/>
    <w:rsid w:val="0035429A"/>
    <w:rsid w:val="003544FB"/>
    <w:rsid w:val="00380CE8"/>
    <w:rsid w:val="00395815"/>
    <w:rsid w:val="00396E4A"/>
    <w:rsid w:val="003D2D47"/>
    <w:rsid w:val="003D2F2D"/>
    <w:rsid w:val="003E0B7D"/>
    <w:rsid w:val="00401590"/>
    <w:rsid w:val="00417288"/>
    <w:rsid w:val="00434A6A"/>
    <w:rsid w:val="00447801"/>
    <w:rsid w:val="00452E9C"/>
    <w:rsid w:val="0045427D"/>
    <w:rsid w:val="004735C8"/>
    <w:rsid w:val="00477450"/>
    <w:rsid w:val="004961FF"/>
    <w:rsid w:val="004D06B1"/>
    <w:rsid w:val="00517A89"/>
    <w:rsid w:val="0052160D"/>
    <w:rsid w:val="005250F2"/>
    <w:rsid w:val="00550BB7"/>
    <w:rsid w:val="00564732"/>
    <w:rsid w:val="00593EEA"/>
    <w:rsid w:val="00596917"/>
    <w:rsid w:val="005A5EEE"/>
    <w:rsid w:val="005E76E6"/>
    <w:rsid w:val="005F17B9"/>
    <w:rsid w:val="005F23F7"/>
    <w:rsid w:val="006024C8"/>
    <w:rsid w:val="00607AC3"/>
    <w:rsid w:val="006375C7"/>
    <w:rsid w:val="00654E8F"/>
    <w:rsid w:val="00660D05"/>
    <w:rsid w:val="006820B1"/>
    <w:rsid w:val="00692D31"/>
    <w:rsid w:val="00694EB2"/>
    <w:rsid w:val="006B7D14"/>
    <w:rsid w:val="00701727"/>
    <w:rsid w:val="0070566C"/>
    <w:rsid w:val="00711909"/>
    <w:rsid w:val="00714C50"/>
    <w:rsid w:val="00725A7D"/>
    <w:rsid w:val="007501BE"/>
    <w:rsid w:val="007674C8"/>
    <w:rsid w:val="007864BF"/>
    <w:rsid w:val="00790BB3"/>
    <w:rsid w:val="007A358D"/>
    <w:rsid w:val="007C206C"/>
    <w:rsid w:val="007F2D20"/>
    <w:rsid w:val="00803D24"/>
    <w:rsid w:val="0080611E"/>
    <w:rsid w:val="00817DD6"/>
    <w:rsid w:val="00857972"/>
    <w:rsid w:val="00885156"/>
    <w:rsid w:val="008A7711"/>
    <w:rsid w:val="008D128B"/>
    <w:rsid w:val="00905BD5"/>
    <w:rsid w:val="0091045F"/>
    <w:rsid w:val="009151AA"/>
    <w:rsid w:val="0093429D"/>
    <w:rsid w:val="00943573"/>
    <w:rsid w:val="009539F3"/>
    <w:rsid w:val="00970F7D"/>
    <w:rsid w:val="00972539"/>
    <w:rsid w:val="00994A3D"/>
    <w:rsid w:val="009C2B12"/>
    <w:rsid w:val="009C70F3"/>
    <w:rsid w:val="009E78D2"/>
    <w:rsid w:val="009F4FDD"/>
    <w:rsid w:val="009F7C5D"/>
    <w:rsid w:val="00A02F2A"/>
    <w:rsid w:val="00A174D9"/>
    <w:rsid w:val="00A569CD"/>
    <w:rsid w:val="00A72B6A"/>
    <w:rsid w:val="00A76918"/>
    <w:rsid w:val="00AB2B41"/>
    <w:rsid w:val="00AB2B80"/>
    <w:rsid w:val="00AB5EE2"/>
    <w:rsid w:val="00AB6715"/>
    <w:rsid w:val="00B1671E"/>
    <w:rsid w:val="00B25EB8"/>
    <w:rsid w:val="00B354E1"/>
    <w:rsid w:val="00B37F4D"/>
    <w:rsid w:val="00B57218"/>
    <w:rsid w:val="00B66A5F"/>
    <w:rsid w:val="00BC14F1"/>
    <w:rsid w:val="00C52A7B"/>
    <w:rsid w:val="00C558F9"/>
    <w:rsid w:val="00C56BAF"/>
    <w:rsid w:val="00C679AA"/>
    <w:rsid w:val="00C75972"/>
    <w:rsid w:val="00CC0A3A"/>
    <w:rsid w:val="00CD066B"/>
    <w:rsid w:val="00CE48E9"/>
    <w:rsid w:val="00CE4FEE"/>
    <w:rsid w:val="00CE7D47"/>
    <w:rsid w:val="00D21D4D"/>
    <w:rsid w:val="00D965E6"/>
    <w:rsid w:val="00DB59C3"/>
    <w:rsid w:val="00DC259A"/>
    <w:rsid w:val="00DE23E8"/>
    <w:rsid w:val="00E05193"/>
    <w:rsid w:val="00E25A5D"/>
    <w:rsid w:val="00E445C7"/>
    <w:rsid w:val="00E52377"/>
    <w:rsid w:val="00E64E17"/>
    <w:rsid w:val="00E65D8B"/>
    <w:rsid w:val="00E81229"/>
    <w:rsid w:val="00E845FB"/>
    <w:rsid w:val="00E866C9"/>
    <w:rsid w:val="00E93194"/>
    <w:rsid w:val="00EA3D3C"/>
    <w:rsid w:val="00F46900"/>
    <w:rsid w:val="00F61D89"/>
    <w:rsid w:val="00F80545"/>
    <w:rsid w:val="00FA062D"/>
    <w:rsid w:val="00FA0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3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Revision">
    <w:name w:val="Revision"/>
    <w:hidden/>
    <w:uiPriority w:val="99"/>
    <w:semiHidden/>
    <w:rsid w:val="00803D24"/>
    <w:pPr>
      <w:spacing w:after="0" w:line="240" w:lineRule="auto"/>
    </w:pPr>
    <w:rPr>
      <w:rFonts w:ascii="Times New Roman" w:hAnsi="Times New Roman"/>
      <w:sz w:val="24"/>
    </w:rPr>
  </w:style>
  <w:style w:type="paragraph" w:styleId="Bibliography">
    <w:name w:val="Bibliography"/>
    <w:basedOn w:val="Normal"/>
    <w:next w:val="Normal"/>
    <w:uiPriority w:val="37"/>
    <w:unhideWhenUsed/>
    <w:rsid w:val="007674C8"/>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62706">
      <w:bodyDiv w:val="1"/>
      <w:marLeft w:val="0"/>
      <w:marRight w:val="0"/>
      <w:marTop w:val="0"/>
      <w:marBottom w:val="0"/>
      <w:divBdr>
        <w:top w:val="none" w:sz="0" w:space="0" w:color="auto"/>
        <w:left w:val="none" w:sz="0" w:space="0" w:color="auto"/>
        <w:bottom w:val="none" w:sz="0" w:space="0" w:color="auto"/>
        <w:right w:val="none" w:sz="0" w:space="0" w:color="auto"/>
      </w:divBdr>
    </w:div>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434641666">
      <w:bodyDiv w:val="1"/>
      <w:marLeft w:val="0"/>
      <w:marRight w:val="0"/>
      <w:marTop w:val="0"/>
      <w:marBottom w:val="0"/>
      <w:divBdr>
        <w:top w:val="none" w:sz="0" w:space="0" w:color="auto"/>
        <w:left w:val="none" w:sz="0" w:space="0" w:color="auto"/>
        <w:bottom w:val="none" w:sz="0" w:space="0" w:color="auto"/>
        <w:right w:val="none" w:sz="0" w:space="0" w:color="auto"/>
      </w:divBdr>
    </w:div>
    <w:div w:id="707340089">
      <w:bodyDiv w:val="1"/>
      <w:marLeft w:val="0"/>
      <w:marRight w:val="0"/>
      <w:marTop w:val="0"/>
      <w:marBottom w:val="0"/>
      <w:divBdr>
        <w:top w:val="none" w:sz="0" w:space="0" w:color="auto"/>
        <w:left w:val="none" w:sz="0" w:space="0" w:color="auto"/>
        <w:bottom w:val="none" w:sz="0" w:space="0" w:color="auto"/>
        <w:right w:val="none" w:sz="0" w:space="0" w:color="auto"/>
      </w:divBdr>
    </w:div>
    <w:div w:id="722555886">
      <w:bodyDiv w:val="1"/>
      <w:marLeft w:val="0"/>
      <w:marRight w:val="0"/>
      <w:marTop w:val="0"/>
      <w:marBottom w:val="0"/>
      <w:divBdr>
        <w:top w:val="none" w:sz="0" w:space="0" w:color="auto"/>
        <w:left w:val="none" w:sz="0" w:space="0" w:color="auto"/>
        <w:bottom w:val="none" w:sz="0" w:space="0" w:color="auto"/>
        <w:right w:val="none" w:sz="0" w:space="0" w:color="auto"/>
      </w:divBdr>
    </w:div>
    <w:div w:id="119623013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 w:id="1637640550">
      <w:bodyDiv w:val="1"/>
      <w:marLeft w:val="0"/>
      <w:marRight w:val="0"/>
      <w:marTop w:val="0"/>
      <w:marBottom w:val="0"/>
      <w:divBdr>
        <w:top w:val="none" w:sz="0" w:space="0" w:color="auto"/>
        <w:left w:val="none" w:sz="0" w:space="0" w:color="auto"/>
        <w:bottom w:val="none" w:sz="0" w:space="0" w:color="auto"/>
        <w:right w:val="none" w:sz="0" w:space="0" w:color="auto"/>
      </w:divBdr>
    </w:div>
    <w:div w:id="184531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ncbi.nlm.nih.gov/geo/query/acc.cgi?acc=GSE189821" TargetMode="External"/><Relationship Id="rId18" Type="http://schemas.openxmlformats.org/officeDocument/2006/relationships/hyperlink" Target="https://www.ncbi.nlm.nih.gov/geo/query/acc.cgi?acc=GSE7415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rcsb.org/structure/7TD1" TargetMode="External"/><Relationship Id="rId7" Type="http://schemas.openxmlformats.org/officeDocument/2006/relationships/styles" Target="styles.xml"/><Relationship Id="rId12" Type="http://schemas.openxmlformats.org/officeDocument/2006/relationships/hyperlink" Target="https://www.ncbi.nlm.nih.gov/geo/query/acc.cgi?acc=GSE80655" TargetMode="External"/><Relationship Id="rId17" Type="http://schemas.openxmlformats.org/officeDocument/2006/relationships/hyperlink" Target="https://www.ncbi.nlm.nih.gov/geo/query/acc.cgi?acc=GSE190451" TargetMode="External"/><Relationship Id="rId25" Type="http://schemas.openxmlformats.org/officeDocument/2006/relationships/hyperlink" Target="https://www.modelarchive.org" TargetMode="External"/><Relationship Id="rId2" Type="http://schemas.openxmlformats.org/officeDocument/2006/relationships/customXml" Target="../customXml/item2.xml"/><Relationship Id="rId16" Type="http://schemas.openxmlformats.org/officeDocument/2006/relationships/hyperlink" Target="https://www.ncbi.nlm.nih.gov/geo/query/acc.cgi?acc=GSE77578" TargetMode="External"/><Relationship Id="rId20" Type="http://schemas.openxmlformats.org/officeDocument/2006/relationships/hyperlink" Target="https://www.rcsb.org/structure/8GHV"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sbg.bio.ic.ac.uk/~phyre2/html/page.cgi?id=index" TargetMode="External"/><Relationship Id="rId5" Type="http://schemas.openxmlformats.org/officeDocument/2006/relationships/customXml" Target="../customXml/item5.xml"/><Relationship Id="rId15" Type="http://schemas.openxmlformats.org/officeDocument/2006/relationships/hyperlink" Target="https://www.ncbi.nlm.nih.gov/geo/query/acc.cgi?acc=GSE70689" TargetMode="External"/><Relationship Id="rId23" Type="http://schemas.openxmlformats.org/officeDocument/2006/relationships/hyperlink" Target="https://www.rcsb.org/structure/8SLY"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rcsb.org/"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cbi.nlm.nih.gov/geo/query/acc.cgi?acc=GSE116813" TargetMode="External"/><Relationship Id="rId22" Type="http://schemas.openxmlformats.org/officeDocument/2006/relationships/hyperlink" Target="https://www.rcsb.org/structure/8GFA"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5.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2.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4.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5.xml><?xml version="1.0" encoding="utf-8"?>
<ds:datastoreItem xmlns:ds="http://schemas.openxmlformats.org/officeDocument/2006/customXml" ds:itemID="{C01CD696-4A7E-4548-A597-B25195431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149</TotalTime>
  <Pages>7</Pages>
  <Words>5440</Words>
  <Characters>31011</Characters>
  <Application>Microsoft Office Word</Application>
  <DocSecurity>0</DocSecurity>
  <Lines>258</Lines>
  <Paragraphs>72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Kyle Robinson</cp:lastModifiedBy>
  <cp:revision>60</cp:revision>
  <cp:lastPrinted>2023-12-20T11:26:00Z</cp:lastPrinted>
  <dcterms:created xsi:type="dcterms:W3CDTF">2022-11-17T16:58:00Z</dcterms:created>
  <dcterms:modified xsi:type="dcterms:W3CDTF">2024-01-25T13:52:00Z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ZOTERO_PREF_1">
    <vt:lpwstr>&lt;data data-version="3" zotero-version="6.0.30"&gt;&lt;session id="eIqr3OvC"/&gt;&lt;style id="http://www.zotero.org/styles/frontiers-in-computational-neuroscience" hasBibliography="1" bibliographyStyleHasBeenSet="1"/&gt;&lt;prefs&gt;&lt;pref name="fieldType" value="Field"/&gt;&lt;pref</vt:lpwstr>
  </property>
  <property fmtid="{D5CDD505-2E9C-101B-9397-08002B2CF9AE}" pid="11" name="ZOTERO_PREF_2">
    <vt:lpwstr> name="automaticJournalAbbreviations" value="true"/&gt;&lt;/prefs&gt;&lt;/data&gt;</vt:lpwstr>
  </property>
</Properties>
</file>