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2"/>
        <w:rPr>
          <w:b w:val="0"/>
        </w:rPr>
      </w:pPr>
      <w:r>
        <w:t>Supplementary Material</w:t>
      </w:r>
    </w:p>
    <w:p>
      <w:pPr>
        <w:pStyle w:val="2"/>
        <w:jc w:val="center"/>
        <w:rPr>
          <w:sz w:val="28"/>
          <w:szCs w:val="22"/>
        </w:rPr>
      </w:pPr>
      <w:r>
        <w:rPr>
          <w:sz w:val="28"/>
          <w:szCs w:val="22"/>
        </w:rPr>
        <w:t xml:space="preserve">Efficient propagation protocol and genetic </w:t>
      </w:r>
      <w:r>
        <w:rPr>
          <w:rFonts w:hint="eastAsia"/>
          <w:sz w:val="28"/>
          <w:szCs w:val="22"/>
        </w:rPr>
        <w:t>similarity</w:t>
      </w:r>
      <w:r>
        <w:rPr>
          <w:sz w:val="28"/>
          <w:szCs w:val="22"/>
        </w:rPr>
        <w:t xml:space="preserve"> assessment of medicinal cannabis based on photoautotrophic micropropagation</w:t>
      </w:r>
    </w:p>
    <w:p>
      <w:pPr>
        <w:spacing w:line="360" w:lineRule="auto"/>
        <w:jc w:val="center"/>
      </w:pPr>
      <w:r>
        <w:t>Juwen Liang</w:t>
      </w:r>
      <w:r>
        <w:rPr>
          <w:vertAlign w:val="superscript"/>
        </w:rPr>
        <w:t>1</w:t>
      </w:r>
      <w:r>
        <w:rPr>
          <w:rFonts w:hint="eastAsia"/>
          <w:vertAlign w:val="superscript"/>
        </w:rPr>
        <w:t>,</w:t>
      </w:r>
      <w:r>
        <w:rPr>
          <w:vertAlign w:val="superscript"/>
        </w:rPr>
        <w:t>3</w:t>
      </w:r>
      <w:r>
        <w:rPr>
          <w:rFonts w:eastAsia="Times New Roman" w:cs="Times New Roman"/>
          <w:vertAlign w:val="superscript"/>
        </w:rPr>
        <w:t>†</w:t>
      </w:r>
      <w:r>
        <w:t xml:space="preserve">, </w:t>
      </w:r>
      <w:r>
        <w:rPr>
          <w:rFonts w:hint="eastAsia"/>
        </w:rPr>
        <w:t>Xiuye Wei</w:t>
      </w:r>
      <w:r>
        <w:rPr>
          <w:vertAlign w:val="superscript"/>
        </w:rPr>
        <w:t>2</w:t>
      </w:r>
      <w:r>
        <w:rPr>
          <w:rFonts w:eastAsia="Times New Roman" w:cs="Times New Roman"/>
          <w:vertAlign w:val="superscript"/>
        </w:rPr>
        <w:t>†</w:t>
      </w:r>
      <w:r>
        <w:t>,</w:t>
      </w:r>
      <w:r>
        <w:rPr>
          <w:rFonts w:hint="eastAsia"/>
        </w:rPr>
        <w:t xml:space="preserve"> </w:t>
      </w:r>
      <w:r>
        <w:t>Jun Liu</w:t>
      </w:r>
      <w:r>
        <w:rPr>
          <w:vertAlign w:val="superscript"/>
        </w:rPr>
        <w:t>1,3</w:t>
      </w:r>
      <w:r>
        <w:t>, Q</w:t>
      </w:r>
      <w:r>
        <w:rPr>
          <w:rFonts w:hint="eastAsia"/>
        </w:rPr>
        <w:t xml:space="preserve">ing </w:t>
      </w:r>
      <w:r>
        <w:t>Z</w:t>
      </w:r>
      <w:r>
        <w:rPr>
          <w:rFonts w:hint="eastAsia"/>
        </w:rPr>
        <w:t>hou</w:t>
      </w:r>
      <w:r>
        <w:rPr>
          <w:vertAlign w:val="superscript"/>
        </w:rPr>
        <w:t>1</w:t>
      </w:r>
      <w:r>
        <w:rPr>
          <w:rFonts w:hint="eastAsia"/>
          <w:vertAlign w:val="superscript"/>
        </w:rPr>
        <w:t>,</w:t>
      </w:r>
      <w:r>
        <w:rPr>
          <w:vertAlign w:val="superscript"/>
        </w:rPr>
        <w:t>3</w:t>
      </w:r>
      <w:r>
        <w:t xml:space="preserve"> and Dongxian He</w:t>
      </w:r>
      <w:r>
        <w:rPr>
          <w:vertAlign w:val="superscript"/>
        </w:rPr>
        <w:t>1,3,4</w:t>
      </w:r>
      <w:r>
        <w:t>*</w:t>
      </w:r>
    </w:p>
    <w:p>
      <w:pPr>
        <w:spacing w:line="360" w:lineRule="auto"/>
        <w:jc w:val="center"/>
      </w:pPr>
    </w:p>
    <w:p>
      <w:pPr>
        <w:jc w:val="center"/>
        <w:rPr>
          <w:rFonts w:ascii="Times New Roman Bold" w:hAnsi="Times New Roman Bold" w:cs="Times New Roman Bold"/>
          <w:b/>
          <w:bCs/>
          <w:sz w:val="24"/>
          <w:szCs w:val="24"/>
        </w:rPr>
      </w:pPr>
      <w:r>
        <w:rPr>
          <w:rFonts w:ascii="Times New Roman Bold" w:hAnsi="Times New Roman Bold" w:cs="Times New Roman Bold"/>
          <w:b/>
          <w:bCs/>
          <w:sz w:val="24"/>
          <w:szCs w:val="24"/>
          <w:lang w:bidi="ar"/>
        </w:rPr>
        <w:t>Supplementary Table 1</w:t>
      </w:r>
      <w:r>
        <w:rPr>
          <w:rFonts w:hint="eastAsia" w:ascii="Times New Roman Bold" w:hAnsi="Times New Roman Bold" w:cs="Times New Roman Bold"/>
          <w:b/>
          <w:bCs/>
          <w:sz w:val="24"/>
          <w:szCs w:val="24"/>
          <w:lang w:eastAsia="zh-CN" w:bidi="ar"/>
        </w:rPr>
        <w:t>.</w:t>
      </w:r>
      <w:r>
        <w:rPr>
          <w:rFonts w:ascii="Times New Roman Bold" w:hAnsi="Times New Roman Bold" w:cs="Times New Roman Bold"/>
          <w:b/>
          <w:bCs/>
          <w:sz w:val="24"/>
          <w:szCs w:val="24"/>
          <w:lang w:bidi="ar"/>
        </w:rPr>
        <w:t xml:space="preserve"> ISSR primers for genetic 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bidi="ar"/>
        </w:rPr>
        <w:t>similarity</w:t>
      </w:r>
      <w:r>
        <w:rPr>
          <w:rFonts w:ascii="Times New Roman Bold" w:hAnsi="Times New Roman Bold" w:cs="Times New Roman Bold"/>
          <w:b/>
          <w:bCs/>
          <w:sz w:val="24"/>
          <w:szCs w:val="24"/>
          <w:lang w:bidi="ar"/>
        </w:rPr>
        <w:t xml:space="preserve"> analysis.</w:t>
      </w:r>
    </w:p>
    <w:tbl>
      <w:tblPr>
        <w:tblStyle w:val="21"/>
        <w:tblW w:w="9303" w:type="dxa"/>
        <w:jc w:val="center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3"/>
        <w:gridCol w:w="1035"/>
        <w:gridCol w:w="2968"/>
        <w:gridCol w:w="3250"/>
        <w:gridCol w:w="1107"/>
      </w:tblGrid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27" w:hRule="atLeast"/>
          <w:jc w:val="center"/>
        </w:trPr>
        <w:tc>
          <w:tcPr>
            <w:tcW w:w="943" w:type="dxa"/>
            <w:tcBorders>
              <w:bottom w:val="single" w:color="000000" w:sz="12" w:space="0"/>
              <w:tl2br w:val="nil"/>
              <w:tr2bl w:val="nil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</w:pPr>
            <w:r>
              <w:t>Primer</w:t>
            </w:r>
          </w:p>
        </w:tc>
        <w:tc>
          <w:tcPr>
            <w:tcW w:w="1035" w:type="dxa"/>
            <w:tcBorders>
              <w:bottom w:val="single" w:color="000000" w:sz="12" w:space="0"/>
              <w:tl2br w:val="nil"/>
              <w:tr2bl w:val="nil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</w:pPr>
            <w:r>
              <w:t>Repeat</w:t>
            </w:r>
          </w:p>
        </w:tc>
        <w:tc>
          <w:tcPr>
            <w:tcW w:w="2968" w:type="dxa"/>
            <w:tcBorders>
              <w:bottom w:val="single" w:color="000000" w:sz="12" w:space="0"/>
              <w:tl2br w:val="nil"/>
              <w:tr2bl w:val="nil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</w:pPr>
            <w:r>
              <w:t>Forward primer sequence (5'-3')</w:t>
            </w:r>
          </w:p>
        </w:tc>
        <w:tc>
          <w:tcPr>
            <w:tcW w:w="3250" w:type="dxa"/>
            <w:tcBorders>
              <w:bottom w:val="single" w:color="000000" w:sz="12" w:space="0"/>
              <w:tl2br w:val="nil"/>
              <w:tr2bl w:val="nil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</w:pPr>
            <w:r>
              <w:t>Reverse primer sequence</w:t>
            </w:r>
            <w:r>
              <w:rPr>
                <w:rFonts w:hint="eastAsia"/>
              </w:rPr>
              <w:t xml:space="preserve"> </w:t>
            </w:r>
            <w:r>
              <w:t>(5'-3')</w:t>
            </w:r>
          </w:p>
        </w:tc>
        <w:tc>
          <w:tcPr>
            <w:tcW w:w="1107" w:type="dxa"/>
            <w:tcBorders>
              <w:bottom w:val="single" w:color="000000" w:sz="12" w:space="0"/>
              <w:tl2br w:val="nil"/>
              <w:tr2bl w:val="nil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</w:pPr>
            <w:r>
              <w:t>References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4" w:hRule="atLeast"/>
          <w:jc w:val="center"/>
        </w:trPr>
        <w:tc>
          <w:tcPr>
            <w:tcW w:w="943" w:type="dxa"/>
            <w:tcBorders>
              <w:top w:val="single" w:color="000000" w:sz="12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</w:pPr>
            <w:r>
              <w:t>CAN01</w:t>
            </w:r>
          </w:p>
        </w:tc>
        <w:tc>
          <w:tcPr>
            <w:tcW w:w="1035" w:type="dxa"/>
            <w:tcBorders>
              <w:top w:val="single" w:color="000000" w:sz="12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</w:pPr>
            <w:r>
              <w:t>(AAG)7</w:t>
            </w:r>
          </w:p>
        </w:tc>
        <w:tc>
          <w:tcPr>
            <w:tcW w:w="2968" w:type="dxa"/>
            <w:tcBorders>
              <w:top w:val="single" w:color="000000" w:sz="12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</w:pPr>
            <w:r>
              <w:t>AGGAACACTTTGAAAGCGAG</w:t>
            </w:r>
          </w:p>
        </w:tc>
        <w:tc>
          <w:tcPr>
            <w:tcW w:w="3250" w:type="dxa"/>
            <w:tcBorders>
              <w:top w:val="single" w:color="000000" w:sz="12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</w:pPr>
            <w:r>
              <w:t>CGGTCATCTACCTTGAGCTT</w:t>
            </w:r>
          </w:p>
        </w:tc>
        <w:tc>
          <w:tcPr>
            <w:tcW w:w="1107" w:type="dxa"/>
            <w:vMerge w:val="restart"/>
            <w:tcBorders>
              <w:top w:val="single" w:color="000000" w:sz="12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</w:pPr>
            <w:r>
              <w:rPr>
                <w:color w:val="0000FF"/>
                <w:szCs w:val="18"/>
              </w:rPr>
              <w:t>Xin, 2015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57" w:hRule="atLeast"/>
          <w:jc w:val="center"/>
        </w:trPr>
        <w:tc>
          <w:tcPr>
            <w:tcW w:w="943" w:type="dxa"/>
            <w:tcBorders>
              <w:bottom w:val="dashSmallGap" w:color="auto" w:sz="4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</w:pPr>
            <w:r>
              <w:t>CAN02</w:t>
            </w:r>
          </w:p>
        </w:tc>
        <w:tc>
          <w:tcPr>
            <w:tcW w:w="1035" w:type="dxa"/>
            <w:tcBorders>
              <w:bottom w:val="dashSmallGap" w:color="auto" w:sz="4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</w:pPr>
            <w:r>
              <w:t>(AG)9</w:t>
            </w:r>
          </w:p>
        </w:tc>
        <w:tc>
          <w:tcPr>
            <w:tcW w:w="2968" w:type="dxa"/>
            <w:tcBorders>
              <w:bottom w:val="dashSmallGap" w:color="auto" w:sz="4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</w:pPr>
            <w:r>
              <w:t>GGACAACACAGAAATGAGCA</w:t>
            </w:r>
          </w:p>
        </w:tc>
        <w:tc>
          <w:tcPr>
            <w:tcW w:w="3250" w:type="dxa"/>
            <w:tcBorders>
              <w:bottom w:val="dashSmallGap" w:color="auto" w:sz="4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</w:pPr>
            <w:r>
              <w:t>CACTTTGCAGCCTATTTCCT</w:t>
            </w:r>
          </w:p>
        </w:tc>
        <w:tc>
          <w:tcPr>
            <w:tcW w:w="1107" w:type="dxa"/>
            <w:vMerge w:val="continue"/>
            <w:tcBorders>
              <w:bottom w:val="dashSmallGap" w:color="auto" w:sz="4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65" w:hRule="atLeast"/>
          <w:jc w:val="center"/>
        </w:trPr>
        <w:tc>
          <w:tcPr>
            <w:tcW w:w="943" w:type="dxa"/>
            <w:tcBorders>
              <w:top w:val="dashSmallGap" w:color="auto" w:sz="4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</w:pPr>
            <w:r>
              <w:t>CAN0</w:t>
            </w:r>
            <w:r>
              <w:rPr>
                <w:rFonts w:hint="eastAsia"/>
              </w:rPr>
              <w:t>3</w:t>
            </w:r>
          </w:p>
        </w:tc>
        <w:tc>
          <w:tcPr>
            <w:tcW w:w="1035" w:type="dxa"/>
            <w:tcBorders>
              <w:top w:val="dashSmallGap" w:color="auto" w:sz="4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</w:pPr>
            <w:r>
              <w:t>(CTA)9</w:t>
            </w:r>
          </w:p>
        </w:tc>
        <w:tc>
          <w:tcPr>
            <w:tcW w:w="2968" w:type="dxa"/>
            <w:tcBorders>
              <w:top w:val="dashSmallGap" w:color="auto" w:sz="4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</w:pPr>
            <w:r>
              <w:t>CAAATGCCACACCACCTTC</w:t>
            </w:r>
          </w:p>
        </w:tc>
        <w:tc>
          <w:tcPr>
            <w:tcW w:w="3250" w:type="dxa"/>
            <w:tcBorders>
              <w:top w:val="dashSmallGap" w:color="auto" w:sz="4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</w:pPr>
            <w:r>
              <w:t>GTAGGTAGCCAGGTATAGGTAG</w:t>
            </w:r>
          </w:p>
        </w:tc>
        <w:tc>
          <w:tcPr>
            <w:tcW w:w="1107" w:type="dxa"/>
            <w:vMerge w:val="restart"/>
            <w:tcBorders>
              <w:top w:val="dashSmallGap" w:color="auto" w:sz="4" w:space="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</w:pPr>
            <w:r>
              <w:rPr>
                <w:color w:val="0000FF"/>
                <w:szCs w:val="18"/>
              </w:rPr>
              <w:t>Adamek et al., 2023</w:t>
            </w:r>
          </w:p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57" w:hRule="atLeast"/>
          <w:jc w:val="center"/>
        </w:trPr>
        <w:tc>
          <w:tcPr>
            <w:tcW w:w="94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</w:pPr>
            <w:r>
              <w:t>CAN0</w:t>
            </w:r>
            <w:r>
              <w:rPr>
                <w:rFonts w:hint="eastAsia"/>
              </w:rPr>
              <w:t>4</w:t>
            </w:r>
          </w:p>
        </w:tc>
        <w:tc>
          <w:tcPr>
            <w:tcW w:w="103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</w:pPr>
            <w:r>
              <w:t>(TTG)9</w:t>
            </w:r>
          </w:p>
        </w:tc>
        <w:tc>
          <w:tcPr>
            <w:tcW w:w="2968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</w:pPr>
            <w:r>
              <w:t>TTGATGGTGGTGAAACGGC</w:t>
            </w:r>
          </w:p>
        </w:tc>
        <w:tc>
          <w:tcPr>
            <w:tcW w:w="3250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</w:pPr>
            <w:r>
              <w:t>CCCCAATCTCAATCTCAACCC</w:t>
            </w:r>
          </w:p>
        </w:tc>
        <w:tc>
          <w:tcPr>
            <w:tcW w:w="1107" w:type="dxa"/>
            <w:vMerge w:val="continue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/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57" w:hRule="atLeast"/>
          <w:jc w:val="center"/>
        </w:trPr>
        <w:tc>
          <w:tcPr>
            <w:tcW w:w="94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</w:pPr>
            <w:r>
              <w:t>CAN0</w:t>
            </w:r>
            <w:r>
              <w:rPr>
                <w:rFonts w:hint="eastAsia"/>
              </w:rPr>
              <w:t>5</w:t>
            </w:r>
          </w:p>
        </w:tc>
        <w:tc>
          <w:tcPr>
            <w:tcW w:w="103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</w:pPr>
            <w:r>
              <w:t>(GTT)7</w:t>
            </w:r>
          </w:p>
        </w:tc>
        <w:tc>
          <w:tcPr>
            <w:tcW w:w="2968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</w:pPr>
            <w:r>
              <w:t>GGTTGGGATGTTGTTGTTGTG</w:t>
            </w:r>
          </w:p>
        </w:tc>
        <w:tc>
          <w:tcPr>
            <w:tcW w:w="3250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</w:pPr>
            <w:r>
              <w:t>AGAAATCCAAGGTCCTGATGG</w:t>
            </w:r>
          </w:p>
        </w:tc>
        <w:tc>
          <w:tcPr>
            <w:tcW w:w="1107" w:type="dxa"/>
            <w:vMerge w:val="continue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/>
        </w:tc>
      </w:tr>
      <w:tr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4" w:hRule="atLeast"/>
          <w:jc w:val="center"/>
        </w:trPr>
        <w:tc>
          <w:tcPr>
            <w:tcW w:w="94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</w:pPr>
            <w:r>
              <w:t>CAN0</w:t>
            </w:r>
            <w:r>
              <w:rPr>
                <w:rFonts w:hint="eastAsia"/>
              </w:rPr>
              <w:t>6</w:t>
            </w:r>
          </w:p>
        </w:tc>
        <w:tc>
          <w:tcPr>
            <w:tcW w:w="103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</w:pPr>
            <w:r>
              <w:t>(ACG)7</w:t>
            </w:r>
          </w:p>
        </w:tc>
        <w:tc>
          <w:tcPr>
            <w:tcW w:w="2968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</w:pPr>
            <w:r>
              <w:t>TGGTTTCAGTGGTCCTCTC</w:t>
            </w:r>
          </w:p>
        </w:tc>
        <w:tc>
          <w:tcPr>
            <w:tcW w:w="3250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jc w:val="center"/>
            </w:pPr>
            <w:r>
              <w:t>ACGTGAGTGATGACACGAG</w:t>
            </w:r>
          </w:p>
        </w:tc>
        <w:tc>
          <w:tcPr>
            <w:tcW w:w="1107" w:type="dxa"/>
            <w:vMerge w:val="continue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/>
        </w:tc>
      </w:tr>
    </w:tbl>
    <w:p>
      <w:pPr>
        <w:keepNext/>
        <w:jc w:val="center"/>
        <w:rPr>
          <w:rFonts w:cs="Times New Roman"/>
          <w:szCs w:val="24"/>
        </w:rPr>
      </w:pPr>
    </w:p>
    <w:p>
      <w:pPr>
        <w:keepNext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drawing>
          <wp:inline distT="0" distB="0" distL="0" distR="0">
            <wp:extent cx="4115435" cy="2861310"/>
            <wp:effectExtent l="0" t="0" r="0" b="0"/>
            <wp:docPr id="2" name="图片 2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形用户界面, 文本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28803" cy="2870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rFonts w:cs="Times New Roman"/>
          <w:sz w:val="24"/>
          <w:szCs w:val="24"/>
          <w:lang w:bidi="ar"/>
        </w:rPr>
      </w:pPr>
      <w:r>
        <w:rPr>
          <w:rFonts w:ascii="Times New Roman Bold" w:hAnsi="Times New Roman Bold" w:cs="Times New Roman Bold"/>
          <w:b/>
          <w:bCs/>
          <w:sz w:val="24"/>
          <w:szCs w:val="24"/>
          <w:lang w:bidi="ar"/>
        </w:rPr>
        <w:t xml:space="preserve">Supplementary Figure 1. </w:t>
      </w:r>
      <w:r>
        <w:rPr>
          <w:rFonts w:hint="eastAsia" w:cs="Times New Roman"/>
          <w:b/>
          <w:bCs/>
          <w:sz w:val="24"/>
          <w:szCs w:val="24"/>
          <w:lang w:bidi="ar"/>
        </w:rPr>
        <w:t xml:space="preserve">Spectral </w:t>
      </w:r>
      <w:r>
        <w:rPr>
          <w:rFonts w:cs="Times New Roman"/>
          <w:b/>
          <w:bCs/>
          <w:sz w:val="24"/>
          <w:szCs w:val="24"/>
          <w:lang w:bidi="ar"/>
        </w:rPr>
        <w:t>d</w:t>
      </w:r>
      <w:r>
        <w:rPr>
          <w:rFonts w:hint="eastAsia" w:cs="Times New Roman"/>
          <w:b/>
          <w:bCs/>
          <w:sz w:val="24"/>
          <w:szCs w:val="24"/>
          <w:lang w:bidi="ar"/>
        </w:rPr>
        <w:t xml:space="preserve">istribution of </w:t>
      </w:r>
      <w:r>
        <w:rPr>
          <w:rFonts w:cs="Times New Roman"/>
          <w:b/>
          <w:bCs/>
          <w:sz w:val="24"/>
          <w:szCs w:val="24"/>
          <w:lang w:bidi="ar"/>
        </w:rPr>
        <w:t>w</w:t>
      </w:r>
      <w:r>
        <w:rPr>
          <w:rFonts w:hint="eastAsia" w:cs="Times New Roman"/>
          <w:b/>
          <w:bCs/>
          <w:sz w:val="24"/>
          <w:szCs w:val="24"/>
          <w:lang w:bidi="ar"/>
        </w:rPr>
        <w:t xml:space="preserve">hite LED </w:t>
      </w:r>
      <w:r>
        <w:rPr>
          <w:rFonts w:cs="Times New Roman"/>
          <w:b/>
          <w:bCs/>
          <w:sz w:val="24"/>
          <w:szCs w:val="24"/>
          <w:lang w:bidi="ar"/>
        </w:rPr>
        <w:t>l</w:t>
      </w:r>
      <w:r>
        <w:rPr>
          <w:rFonts w:hint="eastAsia" w:cs="Times New Roman"/>
          <w:b/>
          <w:bCs/>
          <w:sz w:val="24"/>
          <w:szCs w:val="24"/>
          <w:lang w:bidi="ar"/>
        </w:rPr>
        <w:t>amps</w:t>
      </w:r>
      <w:r>
        <w:rPr>
          <w:rFonts w:cs="Times New Roman"/>
          <w:b/>
          <w:bCs/>
          <w:sz w:val="24"/>
          <w:szCs w:val="24"/>
          <w:lang w:bidi="ar"/>
        </w:rPr>
        <w:t>.</w:t>
      </w:r>
      <w:r>
        <w:rPr>
          <w:rFonts w:cs="Times New Roman"/>
          <w:sz w:val="24"/>
          <w:szCs w:val="24"/>
          <w:lang w:bidi="ar"/>
        </w:rPr>
        <w:t xml:space="preserve"> The spectral distribution across the 300~800 nm wavelength range was quantified using a fiber optic spectrometer (AvaSpec-ULS2048, Avantes Inc., the Netherlands). The spectral composition was as follows: 0.1% ultraviolet light (300~399 nm), 16.4% blue light (400~499 nm), 45.5% green light (500~599 nm), 35.4% red light (600~699 nm), and 2.6% far-red light (700~800 nm).</w:t>
      </w:r>
    </w:p>
    <w:p>
      <w:pPr>
        <w:jc w:val="center"/>
        <w:rPr>
          <w:rFonts w:hint="default" w:cs="Times New Roman" w:eastAsiaTheme="minorEastAsia"/>
          <w:sz w:val="24"/>
          <w:szCs w:val="24"/>
          <w:lang w:val="en-US" w:eastAsia="zh-CN" w:bidi="ar"/>
        </w:rPr>
      </w:pPr>
      <w:r>
        <w:rPr>
          <w:rFonts w:ascii="Times New Roman Bold" w:hAnsi="Times New Roman Bold" w:cs="Times New Roman Bold"/>
          <w:b/>
          <w:bCs/>
          <w:sz w:val="24"/>
          <w:szCs w:val="24"/>
          <w:lang w:bidi="ar"/>
        </w:rPr>
        <w:t xml:space="preserve">Supplementary Table </w:t>
      </w:r>
      <w:r>
        <w:rPr>
          <w:rFonts w:hint="eastAsia" w:ascii="Times New Roman Bold" w:hAnsi="Times New Roman Bold" w:cs="Times New Roman Bold"/>
          <w:b/>
          <w:bCs/>
          <w:sz w:val="24"/>
          <w:szCs w:val="24"/>
          <w:lang w:val="en-US" w:eastAsia="zh-CN" w:bidi="ar"/>
        </w:rPr>
        <w:t>2</w:t>
      </w:r>
      <w:r>
        <w:rPr>
          <w:rFonts w:hint="eastAsia" w:ascii="Times New Roman Bold" w:hAnsi="Times New Roman Bold" w:cs="Times New Roman Bold"/>
          <w:b/>
          <w:bCs/>
          <w:sz w:val="24"/>
          <w:szCs w:val="24"/>
          <w:lang w:eastAsia="zh-CN" w:bidi="ar"/>
        </w:rPr>
        <w:t>.</w:t>
      </w:r>
      <w:r>
        <w:rPr>
          <w:rFonts w:ascii="Times New Roman Bold" w:hAnsi="Times New Roman Bold" w:cs="Times New Roman Bold"/>
          <w:b/>
          <w:bCs/>
          <w:sz w:val="24"/>
          <w:szCs w:val="24"/>
          <w:lang w:bidi="ar"/>
        </w:rPr>
        <w:t xml:space="preserve"> </w:t>
      </w:r>
      <w:r>
        <w:rPr>
          <w:rFonts w:hint="eastAsia" w:ascii="Times New Roman Bold" w:hAnsi="Times New Roman Bold" w:cs="Times New Roman Bold"/>
          <w:b/>
          <w:bCs/>
          <w:sz w:val="24"/>
          <w:szCs w:val="24"/>
          <w:lang w:val="en-US" w:eastAsia="zh-CN" w:bidi="ar"/>
        </w:rPr>
        <w:t>ANOVA results for effects of inoculation density and cultivar on plant performance over time in the PAM system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 w:eastAsia="zh-CN" w:bidi="ar"/>
        </w:rPr>
        <w:t>.</w:t>
      </w:r>
    </w:p>
    <w:tbl>
      <w:tblPr>
        <w:tblStyle w:val="20"/>
        <w:tblW w:w="9658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9"/>
        <w:gridCol w:w="1239"/>
        <w:gridCol w:w="551"/>
        <w:gridCol w:w="551"/>
        <w:gridCol w:w="551"/>
        <w:gridCol w:w="551"/>
        <w:gridCol w:w="551"/>
        <w:gridCol w:w="551"/>
        <w:gridCol w:w="551"/>
        <w:gridCol w:w="602"/>
        <w:gridCol w:w="725"/>
        <w:gridCol w:w="725"/>
        <w:gridCol w:w="561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32" w:hRule="exact"/>
          <w:jc w:val="center"/>
        </w:trPr>
        <w:tc>
          <w:tcPr>
            <w:tcW w:w="1949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Measurements</w:t>
            </w:r>
          </w:p>
        </w:tc>
        <w:tc>
          <w:tcPr>
            <w:tcW w:w="1239" w:type="dxa"/>
            <w:vMerge w:val="restart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</w:p>
        </w:tc>
        <w:tc>
          <w:tcPr>
            <w:tcW w:w="6470" w:type="dxa"/>
            <w:gridSpan w:val="11"/>
            <w:tcBorders>
              <w:bottom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Days after inoculation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32" w:hRule="exact"/>
          <w:jc w:val="center"/>
        </w:trPr>
        <w:tc>
          <w:tcPr>
            <w:tcW w:w="1949" w:type="dxa"/>
            <w:vMerge w:val="continue"/>
            <w:tcBorders>
              <w:bottom w:val="single" w:color="auto" w:sz="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</w:p>
        </w:tc>
        <w:tc>
          <w:tcPr>
            <w:tcW w:w="1239" w:type="dxa"/>
            <w:vMerge w:val="continue"/>
            <w:tcBorders>
              <w:bottom w:val="single" w:color="auto" w:sz="2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dashSmallGap" w:color="auto" w:sz="4" w:space="0"/>
              <w:bottom w:val="single" w:color="auto" w:sz="2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551" w:type="dxa"/>
            <w:tcBorders>
              <w:top w:val="dashSmallGap" w:color="auto" w:sz="4" w:space="0"/>
              <w:bottom w:val="single" w:color="auto" w:sz="2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35</w:t>
            </w:r>
          </w:p>
        </w:tc>
        <w:tc>
          <w:tcPr>
            <w:tcW w:w="551" w:type="dxa"/>
            <w:tcBorders>
              <w:top w:val="dashSmallGap" w:color="auto" w:sz="4" w:space="0"/>
              <w:bottom w:val="single" w:color="auto" w:sz="2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42</w:t>
            </w:r>
          </w:p>
        </w:tc>
        <w:tc>
          <w:tcPr>
            <w:tcW w:w="551" w:type="dxa"/>
            <w:tcBorders>
              <w:top w:val="dashSmallGap" w:color="auto" w:sz="4" w:space="0"/>
              <w:bottom w:val="single" w:color="auto" w:sz="2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49</w:t>
            </w:r>
          </w:p>
        </w:tc>
        <w:tc>
          <w:tcPr>
            <w:tcW w:w="551" w:type="dxa"/>
            <w:tcBorders>
              <w:top w:val="dashSmallGap" w:color="auto" w:sz="4" w:space="0"/>
              <w:bottom w:val="single" w:color="auto" w:sz="2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56</w:t>
            </w:r>
          </w:p>
        </w:tc>
        <w:tc>
          <w:tcPr>
            <w:tcW w:w="551" w:type="dxa"/>
            <w:tcBorders>
              <w:top w:val="dashSmallGap" w:color="auto" w:sz="4" w:space="0"/>
              <w:bottom w:val="single" w:color="auto" w:sz="2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63</w:t>
            </w:r>
          </w:p>
        </w:tc>
        <w:tc>
          <w:tcPr>
            <w:tcW w:w="551" w:type="dxa"/>
            <w:tcBorders>
              <w:top w:val="dashSmallGap" w:color="auto" w:sz="4" w:space="0"/>
              <w:bottom w:val="single" w:color="auto" w:sz="2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70</w:t>
            </w:r>
          </w:p>
        </w:tc>
        <w:tc>
          <w:tcPr>
            <w:tcW w:w="602" w:type="dxa"/>
            <w:tcBorders>
              <w:top w:val="dashSmallGap" w:color="auto" w:sz="4" w:space="0"/>
              <w:bottom w:val="single" w:color="auto" w:sz="2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77</w:t>
            </w:r>
          </w:p>
        </w:tc>
        <w:tc>
          <w:tcPr>
            <w:tcW w:w="725" w:type="dxa"/>
            <w:tcBorders>
              <w:top w:val="dashSmallGap" w:color="auto" w:sz="4" w:space="0"/>
              <w:bottom w:val="single" w:color="auto" w:sz="2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84</w:t>
            </w:r>
          </w:p>
        </w:tc>
        <w:tc>
          <w:tcPr>
            <w:tcW w:w="725" w:type="dxa"/>
            <w:tcBorders>
              <w:top w:val="dashSmallGap" w:color="auto" w:sz="4" w:space="0"/>
              <w:bottom w:val="single" w:color="auto" w:sz="2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91</w:t>
            </w:r>
          </w:p>
        </w:tc>
        <w:tc>
          <w:tcPr>
            <w:tcW w:w="561" w:type="dxa"/>
            <w:tcBorders>
              <w:top w:val="dashSmallGap" w:color="auto" w:sz="4" w:space="0"/>
              <w:bottom w:val="single" w:color="auto" w:sz="2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98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32" w:hRule="exact"/>
          <w:jc w:val="center"/>
        </w:trPr>
        <w:tc>
          <w:tcPr>
            <w:tcW w:w="1949" w:type="dxa"/>
            <w:vMerge w:val="restart"/>
            <w:tcBorders>
              <w:top w:val="single" w:color="auto" w:sz="2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Mother plant survival rate</w:t>
            </w:r>
          </w:p>
        </w:tc>
        <w:tc>
          <w:tcPr>
            <w:tcW w:w="1239" w:type="dxa"/>
            <w:tcBorders>
              <w:top w:val="single" w:color="auto" w:sz="2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I</w:t>
            </w:r>
          </w:p>
        </w:tc>
        <w:tc>
          <w:tcPr>
            <w:tcW w:w="551" w:type="dxa"/>
            <w:tcBorders>
              <w:top w:val="single" w:color="auto" w:sz="2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551" w:type="dxa"/>
            <w:tcBorders>
              <w:top w:val="single" w:color="auto" w:sz="2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551" w:type="dxa"/>
            <w:tcBorders>
              <w:top w:val="single" w:color="auto" w:sz="2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551" w:type="dxa"/>
            <w:tcBorders>
              <w:top w:val="single" w:color="auto" w:sz="2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**</w:t>
            </w:r>
          </w:p>
        </w:tc>
        <w:tc>
          <w:tcPr>
            <w:tcW w:w="551" w:type="dxa"/>
            <w:tcBorders>
              <w:top w:val="single" w:color="auto" w:sz="2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551" w:type="dxa"/>
            <w:tcBorders>
              <w:top w:val="single" w:color="auto" w:sz="2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551" w:type="dxa"/>
            <w:tcBorders>
              <w:top w:val="single" w:color="auto" w:sz="2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602" w:type="dxa"/>
            <w:tcBorders>
              <w:top w:val="single" w:color="auto" w:sz="2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725" w:type="dxa"/>
            <w:tcBorders>
              <w:top w:val="single" w:color="auto" w:sz="2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**</w:t>
            </w:r>
          </w:p>
        </w:tc>
        <w:tc>
          <w:tcPr>
            <w:tcW w:w="725" w:type="dxa"/>
            <w:tcBorders>
              <w:top w:val="single" w:color="auto" w:sz="2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**</w:t>
            </w:r>
          </w:p>
        </w:tc>
        <w:tc>
          <w:tcPr>
            <w:tcW w:w="561" w:type="dxa"/>
            <w:tcBorders>
              <w:top w:val="single" w:color="auto" w:sz="2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**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32" w:hRule="exact"/>
          <w:jc w:val="center"/>
        </w:trPr>
        <w:tc>
          <w:tcPr>
            <w:tcW w:w="1949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</w:p>
        </w:tc>
        <w:tc>
          <w:tcPr>
            <w:tcW w:w="123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C</w:t>
            </w:r>
          </w:p>
        </w:tc>
        <w:tc>
          <w:tcPr>
            <w:tcW w:w="55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55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55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55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**</w:t>
            </w:r>
          </w:p>
        </w:tc>
        <w:tc>
          <w:tcPr>
            <w:tcW w:w="55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55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55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60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56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32" w:hRule="exact"/>
          <w:jc w:val="center"/>
        </w:trPr>
        <w:tc>
          <w:tcPr>
            <w:tcW w:w="1949" w:type="dxa"/>
            <w:vMerge w:val="continue"/>
            <w:tcBorders>
              <w:bottom w:val="dashSmallGap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</w:p>
        </w:tc>
        <w:tc>
          <w:tcPr>
            <w:tcW w:w="1239" w:type="dxa"/>
            <w:tcBorders>
              <w:bottom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18"/>
                <w:szCs w:val="18"/>
                <w:lang w:bidi="ar"/>
              </w:rPr>
              <w:t xml:space="preserve">I × </w:t>
            </w:r>
            <w:r>
              <w:rPr>
                <w:rStyle w:val="54"/>
                <w:rFonts w:hint="default" w:ascii="Times New Roman Regular" w:hAnsi="Times New Roman Regular" w:cs="Times New Roman Regular"/>
                <w:sz w:val="18"/>
                <w:szCs w:val="18"/>
                <w:lang w:bidi="ar"/>
              </w:rPr>
              <w:t>C</w:t>
            </w:r>
          </w:p>
        </w:tc>
        <w:tc>
          <w:tcPr>
            <w:tcW w:w="551" w:type="dxa"/>
            <w:tcBorders>
              <w:bottom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551" w:type="dxa"/>
            <w:tcBorders>
              <w:bottom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551" w:type="dxa"/>
            <w:tcBorders>
              <w:bottom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551" w:type="dxa"/>
            <w:tcBorders>
              <w:bottom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**</w:t>
            </w:r>
          </w:p>
        </w:tc>
        <w:tc>
          <w:tcPr>
            <w:tcW w:w="551" w:type="dxa"/>
            <w:tcBorders>
              <w:bottom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551" w:type="dxa"/>
            <w:tcBorders>
              <w:bottom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551" w:type="dxa"/>
            <w:tcBorders>
              <w:bottom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602" w:type="dxa"/>
            <w:tcBorders>
              <w:bottom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725" w:type="dxa"/>
            <w:tcBorders>
              <w:bottom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725" w:type="dxa"/>
            <w:tcBorders>
              <w:bottom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561" w:type="dxa"/>
            <w:tcBorders>
              <w:bottom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**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32" w:hRule="exact"/>
          <w:jc w:val="center"/>
        </w:trPr>
        <w:tc>
          <w:tcPr>
            <w:tcW w:w="1949" w:type="dxa"/>
            <w:vMerge w:val="restart"/>
            <w:tcBorders>
              <w:top w:val="dashSmallGap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Shoot tip yield per vessel per harvest</w:t>
            </w:r>
          </w:p>
        </w:tc>
        <w:tc>
          <w:tcPr>
            <w:tcW w:w="1239" w:type="dxa"/>
            <w:tcBorders>
              <w:top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I</w:t>
            </w:r>
          </w:p>
        </w:tc>
        <w:tc>
          <w:tcPr>
            <w:tcW w:w="551" w:type="dxa"/>
            <w:tcBorders>
              <w:top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**</w:t>
            </w:r>
          </w:p>
        </w:tc>
        <w:tc>
          <w:tcPr>
            <w:tcW w:w="551" w:type="dxa"/>
            <w:tcBorders>
              <w:top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551" w:type="dxa"/>
            <w:tcBorders>
              <w:top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**</w:t>
            </w:r>
          </w:p>
        </w:tc>
        <w:tc>
          <w:tcPr>
            <w:tcW w:w="551" w:type="dxa"/>
            <w:tcBorders>
              <w:top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551" w:type="dxa"/>
            <w:tcBorders>
              <w:top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551" w:type="dxa"/>
            <w:tcBorders>
              <w:top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551" w:type="dxa"/>
            <w:tcBorders>
              <w:top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602" w:type="dxa"/>
            <w:tcBorders>
              <w:top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725" w:type="dxa"/>
            <w:tcBorders>
              <w:top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725" w:type="dxa"/>
            <w:tcBorders>
              <w:top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561" w:type="dxa"/>
            <w:tcBorders>
              <w:top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32" w:hRule="exact"/>
          <w:jc w:val="center"/>
        </w:trPr>
        <w:tc>
          <w:tcPr>
            <w:tcW w:w="1949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</w:p>
        </w:tc>
        <w:tc>
          <w:tcPr>
            <w:tcW w:w="123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C</w:t>
            </w:r>
          </w:p>
        </w:tc>
        <w:tc>
          <w:tcPr>
            <w:tcW w:w="55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55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55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55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55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55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55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60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56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32" w:hRule="exact"/>
          <w:jc w:val="center"/>
        </w:trPr>
        <w:tc>
          <w:tcPr>
            <w:tcW w:w="1949" w:type="dxa"/>
            <w:vMerge w:val="continue"/>
            <w:tcBorders>
              <w:bottom w:val="dashSmallGap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</w:p>
        </w:tc>
        <w:tc>
          <w:tcPr>
            <w:tcW w:w="1239" w:type="dxa"/>
            <w:tcBorders>
              <w:bottom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18"/>
                <w:szCs w:val="18"/>
                <w:lang w:bidi="ar"/>
              </w:rPr>
              <w:t xml:space="preserve">I × </w:t>
            </w:r>
            <w:r>
              <w:rPr>
                <w:rStyle w:val="54"/>
                <w:rFonts w:hint="default" w:ascii="Times New Roman Regular" w:hAnsi="Times New Roman Regular" w:cs="Times New Roman Regular"/>
                <w:sz w:val="18"/>
                <w:szCs w:val="18"/>
                <w:lang w:bidi="ar"/>
              </w:rPr>
              <w:t>C</w:t>
            </w:r>
          </w:p>
        </w:tc>
        <w:tc>
          <w:tcPr>
            <w:tcW w:w="551" w:type="dxa"/>
            <w:tcBorders>
              <w:bottom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551" w:type="dxa"/>
            <w:tcBorders>
              <w:bottom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551" w:type="dxa"/>
            <w:tcBorders>
              <w:bottom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551" w:type="dxa"/>
            <w:tcBorders>
              <w:bottom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551" w:type="dxa"/>
            <w:tcBorders>
              <w:bottom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551" w:type="dxa"/>
            <w:tcBorders>
              <w:bottom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551" w:type="dxa"/>
            <w:tcBorders>
              <w:bottom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602" w:type="dxa"/>
            <w:tcBorders>
              <w:bottom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725" w:type="dxa"/>
            <w:tcBorders>
              <w:bottom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725" w:type="dxa"/>
            <w:tcBorders>
              <w:bottom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561" w:type="dxa"/>
            <w:tcBorders>
              <w:bottom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32" w:hRule="exact"/>
          <w:jc w:val="center"/>
        </w:trPr>
        <w:tc>
          <w:tcPr>
            <w:tcW w:w="1949" w:type="dxa"/>
            <w:vMerge w:val="restart"/>
            <w:tcBorders>
              <w:top w:val="dashSmallGap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Cumulative yield per vessel</w:t>
            </w:r>
          </w:p>
        </w:tc>
        <w:tc>
          <w:tcPr>
            <w:tcW w:w="1239" w:type="dxa"/>
            <w:tcBorders>
              <w:top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I</w:t>
            </w:r>
          </w:p>
        </w:tc>
        <w:tc>
          <w:tcPr>
            <w:tcW w:w="551" w:type="dxa"/>
            <w:tcBorders>
              <w:top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**</w:t>
            </w:r>
          </w:p>
        </w:tc>
        <w:tc>
          <w:tcPr>
            <w:tcW w:w="551" w:type="dxa"/>
            <w:tcBorders>
              <w:top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**</w:t>
            </w:r>
          </w:p>
        </w:tc>
        <w:tc>
          <w:tcPr>
            <w:tcW w:w="551" w:type="dxa"/>
            <w:tcBorders>
              <w:top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**</w:t>
            </w:r>
          </w:p>
        </w:tc>
        <w:tc>
          <w:tcPr>
            <w:tcW w:w="551" w:type="dxa"/>
            <w:tcBorders>
              <w:top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**</w:t>
            </w:r>
          </w:p>
        </w:tc>
        <w:tc>
          <w:tcPr>
            <w:tcW w:w="551" w:type="dxa"/>
            <w:tcBorders>
              <w:top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**</w:t>
            </w:r>
          </w:p>
        </w:tc>
        <w:tc>
          <w:tcPr>
            <w:tcW w:w="551" w:type="dxa"/>
            <w:tcBorders>
              <w:top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**</w:t>
            </w:r>
          </w:p>
        </w:tc>
        <w:tc>
          <w:tcPr>
            <w:tcW w:w="551" w:type="dxa"/>
            <w:tcBorders>
              <w:top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**</w:t>
            </w:r>
          </w:p>
        </w:tc>
        <w:tc>
          <w:tcPr>
            <w:tcW w:w="602" w:type="dxa"/>
            <w:tcBorders>
              <w:top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**</w:t>
            </w:r>
          </w:p>
        </w:tc>
        <w:tc>
          <w:tcPr>
            <w:tcW w:w="725" w:type="dxa"/>
            <w:tcBorders>
              <w:top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**</w:t>
            </w:r>
          </w:p>
        </w:tc>
        <w:tc>
          <w:tcPr>
            <w:tcW w:w="725" w:type="dxa"/>
            <w:tcBorders>
              <w:top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**</w:t>
            </w:r>
          </w:p>
        </w:tc>
        <w:tc>
          <w:tcPr>
            <w:tcW w:w="561" w:type="dxa"/>
            <w:tcBorders>
              <w:top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**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32" w:hRule="exact"/>
          <w:jc w:val="center"/>
        </w:trPr>
        <w:tc>
          <w:tcPr>
            <w:tcW w:w="1949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</w:p>
        </w:tc>
        <w:tc>
          <w:tcPr>
            <w:tcW w:w="123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C</w:t>
            </w:r>
          </w:p>
        </w:tc>
        <w:tc>
          <w:tcPr>
            <w:tcW w:w="55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55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55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55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55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55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55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60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56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32" w:hRule="exact"/>
          <w:jc w:val="center"/>
        </w:trPr>
        <w:tc>
          <w:tcPr>
            <w:tcW w:w="1949" w:type="dxa"/>
            <w:vMerge w:val="continue"/>
            <w:tcBorders>
              <w:bottom w:val="dashSmallGap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</w:p>
        </w:tc>
        <w:tc>
          <w:tcPr>
            <w:tcW w:w="1239" w:type="dxa"/>
            <w:tcBorders>
              <w:bottom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18"/>
                <w:szCs w:val="18"/>
                <w:lang w:bidi="ar"/>
              </w:rPr>
              <w:t xml:space="preserve">I × </w:t>
            </w:r>
            <w:r>
              <w:rPr>
                <w:rStyle w:val="54"/>
                <w:rFonts w:hint="default" w:ascii="Times New Roman Regular" w:hAnsi="Times New Roman Regular" w:cs="Times New Roman Regular"/>
                <w:sz w:val="18"/>
                <w:szCs w:val="18"/>
                <w:lang w:bidi="ar"/>
              </w:rPr>
              <w:t>C</w:t>
            </w:r>
          </w:p>
        </w:tc>
        <w:tc>
          <w:tcPr>
            <w:tcW w:w="551" w:type="dxa"/>
            <w:tcBorders>
              <w:bottom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551" w:type="dxa"/>
            <w:tcBorders>
              <w:bottom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551" w:type="dxa"/>
            <w:tcBorders>
              <w:bottom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551" w:type="dxa"/>
            <w:tcBorders>
              <w:bottom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551" w:type="dxa"/>
            <w:tcBorders>
              <w:bottom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551" w:type="dxa"/>
            <w:tcBorders>
              <w:bottom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551" w:type="dxa"/>
            <w:tcBorders>
              <w:bottom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602" w:type="dxa"/>
            <w:tcBorders>
              <w:bottom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725" w:type="dxa"/>
            <w:tcBorders>
              <w:bottom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725" w:type="dxa"/>
            <w:tcBorders>
              <w:bottom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561" w:type="dxa"/>
            <w:tcBorders>
              <w:bottom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32" w:hRule="exact"/>
          <w:jc w:val="center"/>
        </w:trPr>
        <w:tc>
          <w:tcPr>
            <w:tcW w:w="1949" w:type="dxa"/>
            <w:vMerge w:val="restart"/>
            <w:tcBorders>
              <w:top w:val="dashSmallGap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Propagation coefficient</w:t>
            </w:r>
          </w:p>
        </w:tc>
        <w:tc>
          <w:tcPr>
            <w:tcW w:w="1239" w:type="dxa"/>
            <w:tcBorders>
              <w:top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I</w:t>
            </w:r>
          </w:p>
        </w:tc>
        <w:tc>
          <w:tcPr>
            <w:tcW w:w="551" w:type="dxa"/>
            <w:tcBorders>
              <w:top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551" w:type="dxa"/>
            <w:tcBorders>
              <w:top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**</w:t>
            </w:r>
          </w:p>
        </w:tc>
        <w:tc>
          <w:tcPr>
            <w:tcW w:w="551" w:type="dxa"/>
            <w:tcBorders>
              <w:top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**</w:t>
            </w:r>
          </w:p>
        </w:tc>
        <w:tc>
          <w:tcPr>
            <w:tcW w:w="551" w:type="dxa"/>
            <w:tcBorders>
              <w:top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**</w:t>
            </w:r>
          </w:p>
        </w:tc>
        <w:tc>
          <w:tcPr>
            <w:tcW w:w="551" w:type="dxa"/>
            <w:tcBorders>
              <w:top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**</w:t>
            </w:r>
          </w:p>
        </w:tc>
        <w:tc>
          <w:tcPr>
            <w:tcW w:w="551" w:type="dxa"/>
            <w:tcBorders>
              <w:top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**</w:t>
            </w:r>
          </w:p>
        </w:tc>
        <w:tc>
          <w:tcPr>
            <w:tcW w:w="551" w:type="dxa"/>
            <w:tcBorders>
              <w:top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**</w:t>
            </w:r>
          </w:p>
        </w:tc>
        <w:tc>
          <w:tcPr>
            <w:tcW w:w="602" w:type="dxa"/>
            <w:tcBorders>
              <w:top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**</w:t>
            </w:r>
          </w:p>
        </w:tc>
        <w:tc>
          <w:tcPr>
            <w:tcW w:w="725" w:type="dxa"/>
            <w:tcBorders>
              <w:top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**</w:t>
            </w:r>
          </w:p>
        </w:tc>
        <w:tc>
          <w:tcPr>
            <w:tcW w:w="725" w:type="dxa"/>
            <w:tcBorders>
              <w:top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**</w:t>
            </w:r>
          </w:p>
        </w:tc>
        <w:tc>
          <w:tcPr>
            <w:tcW w:w="561" w:type="dxa"/>
            <w:tcBorders>
              <w:top w:val="dashSmallGap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**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32" w:hRule="exact"/>
          <w:jc w:val="center"/>
        </w:trPr>
        <w:tc>
          <w:tcPr>
            <w:tcW w:w="1949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</w:p>
        </w:tc>
        <w:tc>
          <w:tcPr>
            <w:tcW w:w="123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C</w:t>
            </w:r>
          </w:p>
        </w:tc>
        <w:tc>
          <w:tcPr>
            <w:tcW w:w="55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55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55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55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55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55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55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60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56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1" w:hRule="exact"/>
          <w:jc w:val="center"/>
        </w:trPr>
        <w:tc>
          <w:tcPr>
            <w:tcW w:w="1949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</w:p>
        </w:tc>
        <w:tc>
          <w:tcPr>
            <w:tcW w:w="123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Times New Roman Regular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Times New Roman Regular" w:cs="Times New Roman Regular"/>
                <w:color w:val="000000"/>
                <w:kern w:val="0"/>
                <w:sz w:val="18"/>
                <w:szCs w:val="18"/>
                <w:lang w:bidi="ar"/>
              </w:rPr>
              <w:t xml:space="preserve">I × </w:t>
            </w:r>
            <w:r>
              <w:rPr>
                <w:rStyle w:val="54"/>
                <w:rFonts w:hint="default" w:ascii="Times New Roman Regular" w:hAnsi="Times New Roman Regular" w:cs="Times New Roman Regular"/>
                <w:sz w:val="18"/>
                <w:szCs w:val="18"/>
                <w:lang w:bidi="ar"/>
              </w:rPr>
              <w:t>C</w:t>
            </w:r>
          </w:p>
        </w:tc>
        <w:tc>
          <w:tcPr>
            <w:tcW w:w="55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55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55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55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55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*</w:t>
            </w:r>
          </w:p>
        </w:tc>
        <w:tc>
          <w:tcPr>
            <w:tcW w:w="55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55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60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  <w:tc>
          <w:tcPr>
            <w:tcW w:w="56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 w:val="18"/>
                <w:szCs w:val="18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18"/>
                <w:szCs w:val="18"/>
                <w:lang w:bidi="ar"/>
              </w:rPr>
              <w:t>NS</w:t>
            </w:r>
          </w:p>
        </w:tc>
      </w:tr>
    </w:tbl>
    <w:p>
      <w:pPr>
        <w:rPr>
          <w:rFonts w:cs="Times New Roman"/>
          <w:sz w:val="24"/>
          <w:szCs w:val="24"/>
          <w:lang w:bidi="ar"/>
        </w:rPr>
      </w:pPr>
      <w:r>
        <w:t>Abbreviations are defined as follows: I denotes mother plant inoculation density; C denotes cultivar; I×C represents their interaction effect. Statistical significance levels are marked with * for p &lt; 0.05 and ** for p &lt; 0.01</w:t>
      </w:r>
      <w:r>
        <w:rPr>
          <w:rFonts w:hint="default"/>
          <w:lang w:val="en-US"/>
        </w:rPr>
        <w:t xml:space="preserve"> (n = 12)</w:t>
      </w:r>
      <w:r>
        <w:t>; NS indicates no significant difference.</w:t>
      </w:r>
    </w:p>
    <w:p>
      <w:pPr>
        <w:jc w:val="center"/>
        <w:rPr>
          <w:rFonts w:cs="Times New Roman"/>
          <w:sz w:val="24"/>
          <w:szCs w:val="24"/>
          <w:lang w:bidi="ar"/>
        </w:rPr>
      </w:pPr>
      <w:r>
        <w:rPr>
          <w:rFonts w:cs="Times New Roman"/>
          <w:sz w:val="24"/>
          <w:szCs w:val="24"/>
          <w:lang w:bidi="ar"/>
        </w:rPr>
        <w:drawing>
          <wp:inline distT="0" distB="0" distL="0" distR="0">
            <wp:extent cx="2591435" cy="3731260"/>
            <wp:effectExtent l="0" t="0" r="24765" b="2540"/>
            <wp:docPr id="4" name="图片 4" descr="手机屏幕的截图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手机屏幕的截图&#10;&#10;低可信度描述已自动生成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91435" cy="373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jc w:val="both"/>
        <w:rPr>
          <w:rFonts w:cs="Times New Roman"/>
          <w:sz w:val="24"/>
          <w:szCs w:val="24"/>
          <w:lang w:bidi="ar"/>
        </w:rPr>
      </w:pPr>
      <w:r>
        <w:rPr>
          <w:rFonts w:cs="Times New Roman"/>
          <w:b/>
          <w:bCs/>
          <w:sz w:val="24"/>
          <w:szCs w:val="24"/>
          <w:lang w:bidi="ar"/>
        </w:rPr>
        <w:t>Supplementary Figure 2. Growth status of mother plants throughout the culture cycle.</w:t>
      </w:r>
      <w:r>
        <w:rPr>
          <w:rFonts w:cs="Times New Roman"/>
          <w:sz w:val="24"/>
          <w:szCs w:val="24"/>
          <w:lang w:bidi="ar"/>
        </w:rPr>
        <w:t xml:space="preserve"> Among them, MP1, MP2, and MP3 represent the number of mother plants inoculated per vessel, which are 1, 2, and 3 plants, respectively. Week 0, Week 2, ..., Week 11 indicate the number of weeks after the first harvest.</w:t>
      </w:r>
    </w:p>
    <w:p>
      <w:pPr>
        <w:jc w:val="both"/>
        <w:rPr>
          <w:rFonts w:cs="Times New Roman"/>
          <w:sz w:val="24"/>
          <w:szCs w:val="24"/>
          <w:lang w:bidi="ar"/>
        </w:rPr>
      </w:pPr>
      <w:r>
        <w:rPr>
          <w:rFonts w:cs="Times New Roman"/>
          <w:sz w:val="24"/>
          <w:szCs w:val="24"/>
          <w:lang w:bidi="ar"/>
        </w:rPr>
        <w:drawing>
          <wp:inline distT="0" distB="0" distL="0" distR="0">
            <wp:extent cx="6208395" cy="2566670"/>
            <wp:effectExtent l="0" t="0" r="1905" b="0"/>
            <wp:docPr id="6" name="图片 6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表&#10;&#10;描述已自动生成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256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bCs/>
          <w:sz w:val="24"/>
          <w:szCs w:val="24"/>
          <w:lang w:bidi="ar"/>
        </w:rPr>
        <w:t>Supplementary Figure 3.</w:t>
      </w:r>
      <w:r>
        <w:rPr>
          <w:rFonts w:cs="Times New Roman"/>
          <w:b/>
          <w:bCs/>
          <w:sz w:val="24"/>
          <w:szCs w:val="24"/>
        </w:rPr>
        <w:t xml:space="preserve"> Changes in the survival rate of mother plants under different inoculation densities.</w:t>
      </w:r>
      <w:r>
        <w:rPr>
          <w:rFonts w:cs="Times New Roman"/>
          <w:sz w:val="24"/>
          <w:szCs w:val="24"/>
          <w:lang w:eastAsia="zh-CN"/>
        </w:rPr>
        <w:t xml:space="preserve"> </w:t>
      </w:r>
      <w:r>
        <w:rPr>
          <w:rFonts w:cs="Times New Roman"/>
          <w:sz w:val="24"/>
          <w:szCs w:val="24"/>
        </w:rPr>
        <w:t>(A, B)</w:t>
      </w:r>
      <w:r>
        <w:t xml:space="preserve"> </w:t>
      </w:r>
      <w:r>
        <w:rPr>
          <w:rFonts w:cs="Times New Roman"/>
          <w:sz w:val="24"/>
          <w:szCs w:val="24"/>
        </w:rPr>
        <w:t xml:space="preserve">Results for the ‘Charlotte’ and ‘Auto Charlotte’ cultivars, respectively. Among them, MP1, MP2, and MP3 represent the number of mother plants inoculated per container, which are 1, 2, and 3 plants, respectively. </w:t>
      </w:r>
      <w:r>
        <w:rPr>
          <w:rFonts w:eastAsia="Times New Roman Regular" w:cs="Times New Roman"/>
          <w:kern w:val="2"/>
          <w:sz w:val="24"/>
          <w:szCs w:val="24"/>
          <w:lang w:eastAsia="zh-CN" w:bidi="ar"/>
        </w:rPr>
        <w:t>Different letters indicate significant differences (</w:t>
      </w:r>
      <w:r>
        <w:rPr>
          <w:rFonts w:eastAsia="STSong" w:cs="Times New Roman"/>
          <w:i/>
          <w:iCs/>
          <w:kern w:val="2"/>
          <w:sz w:val="24"/>
          <w:szCs w:val="24"/>
          <w:lang w:eastAsia="zh-CN" w:bidi="ar"/>
        </w:rPr>
        <w:t xml:space="preserve">P </w:t>
      </w:r>
      <w:r>
        <w:rPr>
          <w:rFonts w:eastAsia="Times New Roman Regular" w:cs="Times New Roman"/>
          <w:kern w:val="2"/>
          <w:sz w:val="24"/>
          <w:szCs w:val="24"/>
          <w:lang w:eastAsia="zh-CN" w:bidi="ar"/>
        </w:rPr>
        <w:t>&lt; 0.05</w:t>
      </w:r>
      <w:r>
        <w:rPr>
          <w:rFonts w:hint="eastAsia" w:eastAsia="Times New Roman Regular" w:cs="Times New Roman"/>
          <w:kern w:val="2"/>
          <w:sz w:val="24"/>
          <w:szCs w:val="24"/>
          <w:lang w:eastAsia="zh-CN" w:bidi="ar"/>
        </w:rPr>
        <w:t>, n = 12</w:t>
      </w:r>
      <w:r>
        <w:rPr>
          <w:rFonts w:eastAsia="Times New Roman Regular" w:cs="Times New Roman"/>
          <w:kern w:val="2"/>
          <w:sz w:val="24"/>
          <w:szCs w:val="24"/>
          <w:lang w:eastAsia="zh-CN" w:bidi="ar"/>
        </w:rPr>
        <w:t>)</w:t>
      </w:r>
      <w:r>
        <w:rPr>
          <w:rFonts w:hint="eastAsia" w:ascii="宋体" w:hAnsi="宋体" w:eastAsia="宋体" w:cs="宋体"/>
          <w:kern w:val="2"/>
          <w:sz w:val="24"/>
          <w:szCs w:val="24"/>
          <w:lang w:eastAsia="zh-CN" w:bidi="ar"/>
        </w:rPr>
        <w:t>.</w:t>
      </w:r>
      <w:r>
        <w:rPr>
          <w:rFonts w:eastAsia="Times New Roman Regular" w:cs="Times New Roman"/>
          <w:kern w:val="2"/>
          <w:sz w:val="24"/>
          <w:szCs w:val="24"/>
          <w:lang w:eastAsia="zh-CN" w:bidi="ar"/>
        </w:rPr>
        <w:t xml:space="preserve"> NS denotes no significant difference.</w:t>
      </w:r>
    </w:p>
    <w:p>
      <w:pPr>
        <w:jc w:val="center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drawing>
          <wp:inline distT="0" distB="0" distL="0" distR="0">
            <wp:extent cx="5600700" cy="3975100"/>
            <wp:effectExtent l="0" t="0" r="0" b="0"/>
            <wp:docPr id="11" name="图片 11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图表&#10;&#10;描述已自动生成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397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bCs/>
          <w:sz w:val="24"/>
          <w:szCs w:val="24"/>
          <w:lang w:bidi="ar"/>
        </w:rPr>
        <w:t xml:space="preserve">Supplementary Figure 4. </w:t>
      </w:r>
      <w:r>
        <w:rPr>
          <w:rFonts w:cs="Times New Roman"/>
          <w:b/>
          <w:bCs/>
          <w:sz w:val="24"/>
          <w:szCs w:val="24"/>
        </w:rPr>
        <w:t xml:space="preserve">Biomass of plantlets from different batches. </w:t>
      </w:r>
      <w:r>
        <w:rPr>
          <w:rFonts w:cs="Times New Roman"/>
          <w:sz w:val="24"/>
          <w:szCs w:val="24"/>
          <w:lang w:eastAsia="zh-CN"/>
        </w:rPr>
        <w:t>(</w:t>
      </w:r>
      <w:r>
        <w:rPr>
          <w:rFonts w:cs="Times New Roman"/>
          <w:sz w:val="24"/>
          <w:szCs w:val="24"/>
        </w:rPr>
        <w:t xml:space="preserve">A, C) The fresh weight and dry weight of roots, stems, leaves, and whole plants of ‘Charlotte’ plantlets across batches; (B, D) The corresponding indicators of ‘Auto Charlotte’ plantlets. </w:t>
      </w:r>
      <w:r>
        <w:rPr>
          <w:rFonts w:eastAsia="Times New Roman Regular" w:cs="Times New Roman"/>
          <w:kern w:val="2"/>
          <w:sz w:val="24"/>
          <w:szCs w:val="24"/>
          <w:lang w:eastAsia="zh-CN" w:bidi="ar"/>
        </w:rPr>
        <w:t>Different letters indicate significant differences (</w:t>
      </w:r>
      <w:r>
        <w:rPr>
          <w:rFonts w:eastAsia="STSong" w:cs="Times New Roman"/>
          <w:i/>
          <w:iCs/>
          <w:kern w:val="2"/>
          <w:sz w:val="24"/>
          <w:szCs w:val="24"/>
          <w:lang w:eastAsia="zh-CN" w:bidi="ar"/>
        </w:rPr>
        <w:t xml:space="preserve">P </w:t>
      </w:r>
      <w:r>
        <w:rPr>
          <w:rFonts w:eastAsia="Times New Roman Regular" w:cs="Times New Roman"/>
          <w:kern w:val="2"/>
          <w:sz w:val="24"/>
          <w:szCs w:val="24"/>
          <w:lang w:eastAsia="zh-CN" w:bidi="ar"/>
        </w:rPr>
        <w:t>&lt; 0.05</w:t>
      </w:r>
      <w:r>
        <w:rPr>
          <w:rFonts w:hint="eastAsia" w:eastAsia="Times New Roman Regular" w:cs="Times New Roman"/>
          <w:kern w:val="2"/>
          <w:sz w:val="24"/>
          <w:szCs w:val="24"/>
          <w:lang w:eastAsia="zh-CN" w:bidi="ar"/>
        </w:rPr>
        <w:t xml:space="preserve">, n = </w:t>
      </w:r>
      <w:r>
        <w:rPr>
          <w:rFonts w:hint="default" w:eastAsia="Times New Roman Regular" w:cs="Times New Roman"/>
          <w:kern w:val="2"/>
          <w:sz w:val="24"/>
          <w:szCs w:val="24"/>
          <w:lang w:val="en-US" w:eastAsia="zh-CN" w:bidi="ar"/>
        </w:rPr>
        <w:t>4</w:t>
      </w:r>
      <w:r>
        <w:rPr>
          <w:rFonts w:eastAsia="Times New Roman Regular" w:cs="Times New Roman"/>
          <w:kern w:val="2"/>
          <w:sz w:val="24"/>
          <w:szCs w:val="24"/>
          <w:lang w:eastAsia="zh-CN" w:bidi="ar"/>
        </w:rPr>
        <w:t>)</w:t>
      </w:r>
      <w:r>
        <w:rPr>
          <w:rFonts w:eastAsia="宋体" w:cs="Times New Roman"/>
          <w:kern w:val="2"/>
          <w:sz w:val="24"/>
          <w:szCs w:val="24"/>
          <w:lang w:eastAsia="zh-CN" w:bidi="ar"/>
        </w:rPr>
        <w:t xml:space="preserve">. </w:t>
      </w:r>
      <w:r>
        <w:rPr>
          <w:rFonts w:eastAsia="Times New Roman Regular" w:cs="Times New Roman"/>
          <w:kern w:val="2"/>
          <w:sz w:val="24"/>
          <w:szCs w:val="24"/>
          <w:lang w:eastAsia="zh-CN" w:bidi="ar"/>
        </w:rPr>
        <w:t>NS denotes no significant difference.</w:t>
      </w:r>
    </w:p>
    <w:p>
      <w:pPr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drawing>
          <wp:inline distT="0" distB="0" distL="0" distR="0">
            <wp:extent cx="6208395" cy="6656070"/>
            <wp:effectExtent l="0" t="0" r="1905" b="0"/>
            <wp:docPr id="12" name="图片 12" descr="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表格&#10;&#10;描述已自动生成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665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bCs/>
          <w:sz w:val="24"/>
          <w:szCs w:val="24"/>
          <w:lang w:bidi="ar"/>
        </w:rPr>
        <w:t xml:space="preserve">Supplementary Figure 5. </w:t>
      </w:r>
      <w:r>
        <w:rPr>
          <w:rFonts w:cs="Times New Roman"/>
          <w:b/>
          <w:bCs/>
          <w:sz w:val="24"/>
          <w:szCs w:val="24"/>
        </w:rPr>
        <w:t xml:space="preserve">The 0/1 matrix diagrams of amplification products from mother plants and plantlet samples using different primers. </w:t>
      </w:r>
      <w:r>
        <w:rPr>
          <w:rFonts w:cs="Times New Roman"/>
          <w:sz w:val="24"/>
          <w:szCs w:val="24"/>
          <w:lang w:eastAsia="zh-CN"/>
        </w:rPr>
        <w:t>(</w:t>
      </w:r>
      <w:r>
        <w:rPr>
          <w:rFonts w:cs="Times New Roman"/>
          <w:sz w:val="24"/>
          <w:szCs w:val="24"/>
        </w:rPr>
        <w:t>A, B) The results for ‘Charlotte’ and ‘Auto Charlotte’ cultivars, respectively. Among them, CAN01, CAN02, CAN03, CAN04, CAN05, and CAN06 represent the primer names.</w:t>
      </w:r>
    </w:p>
    <w:sectPr>
      <w:headerReference r:id="rId5" w:type="first"/>
      <w:footerReference r:id="rId6" w:type="default"/>
      <w:headerReference r:id="rId4" w:type="even"/>
      <w:footerReference r:id="rId7" w:type="even"/>
      <w:pgSz w:w="12240" w:h="15840"/>
      <w:pgMar w:top="1138" w:right="1181" w:bottom="1138" w:left="1282" w:header="720" w:footer="720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Tahoma">
    <w:panose1 w:val="020B0804030504040204"/>
    <w:charset w:val="00"/>
    <w:family w:val="swiss"/>
    <w:pitch w:val="default"/>
    <w:sig w:usb0="E1002AFF" w:usb1="C000605B" w:usb2="00000029" w:usb3="00000000" w:csb0="200101FF" w:csb1="2028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STSong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b/>
        <w:szCs w:val="24"/>
      </w:rPr>
    </w:pPr>
    <w:r>
      <w:rPr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3</w: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56" o:spid="_x0000_s1026" o:spt="202" type="#_x0000_t202" style="position:absolute;left:0pt;margin-left:434.15pt;margin-top:732.5pt;height:31.15pt;width:118.8pt;mso-position-horizontal-relative:page;mso-position-vertical-relative:page;z-index:251659264;mso-width-relative:page;mso-height-relative:page;" filled="f" stroked="f" coordsize="21600,21600" o:gfxdata="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FgAAAGRycy9QSwECFAAUAAAACACHTuJATFdEItIAAAAEAQAADwAAAAAAAAABACAAAAA4&#10;AAAAZHJzL2Rvd25yZXYueG1sUEsBAhQAFAAAAAgAh07iQEQHADgzAgAAdQQAAA4AAAAAAAAAAQAg&#10;AAAANwEAAGRycy9lMm9Eb2MueG1sUEsFBgAAAAAGAAYAWQEAANwFAAAAAA==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>
                    <w:pPr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3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color w:val="C00000"/>
        <w:szCs w:val="24"/>
      </w:rPr>
    </w:pPr>
    <w:r>
      <w:rPr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2</w: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434.15pt;margin-top:732.5pt;height:31.15pt;width:118.8pt;mso-position-horizontal-relative:page;mso-position-vertical-relative:page;z-index:251660288;mso-width-relative:page;mso-height-relative:page;" filled="f" stroked="f" coordsize="21600,21600" o:gfxdata="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BYAAABkcnMvUEsBAhQAFAAAAAgAh07iQExXRCLSAAAABAEAAA8AAAAAAAAAAQAgAAAAOAAA&#10;AGRycy9kb3ducmV2LnhtbFBLAQIUABQAAAAIAIdO4kBbEdXxMQIAAHMEAAAOAAAAAAAAAAEAIAAA&#10;ADcBAABkcnMvZTJvRG9jLnhtbFBLBQYAAAAABgAGAFkBAADaBQAAAAA=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>
                    <w:pPr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2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cs="Times New Roman"/>
      </w:rPr>
    </w:pPr>
    <w:r>
      <w:rPr>
        <w:rFonts w:cs="Times New Roman"/>
      </w:rPr>
      <w:ptab w:relativeTo="margin" w:alignment="center" w:leader="none"/>
    </w:r>
    <w:r>
      <w:rPr>
        <w:rFonts w:cs="Times New Roman"/>
      </w:rPr>
      <w:ptab w:relativeTo="margin" w:alignment="right" w:leader="none"/>
    </w:r>
    <w:r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b/>
        <w:color w:val="A6A6A6" w:themeColor="background1" w:themeShade="A6"/>
        <w:lang w:val="en-GB" w:eastAsia="en-GB"/>
      </w:rPr>
      <w:drawing>
        <wp:inline distT="0" distB="0" distL="0" distR="0">
          <wp:extent cx="1382395" cy="496570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C0601A"/>
    <w:multiLevelType w:val="multilevel"/>
    <w:tmpl w:val="1EC0601A"/>
    <w:lvl w:ilvl="0" w:tentative="0">
      <w:start w:val="1"/>
      <w:numFmt w:val="decimal"/>
      <w:pStyle w:val="2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 w:tentative="0">
      <w:start w:val="1"/>
      <w:numFmt w:val="decimal"/>
      <w:pStyle w:val="4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 w:tentative="0">
      <w:start w:val="1"/>
      <w:numFmt w:val="decimal"/>
      <w:pStyle w:val="5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 w:tentative="0">
      <w:start w:val="1"/>
      <w:numFmt w:val="decimal"/>
      <w:pStyle w:val="6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 w:tentative="0">
      <w:start w:val="1"/>
      <w:numFmt w:val="decimal"/>
      <w:pStyle w:val="7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 w:tentative="0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 w:tentative="0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abstractNum w:abstractNumId="1">
    <w:nsid w:val="225305B5"/>
    <w:multiLevelType w:val="multilevel"/>
    <w:tmpl w:val="225305B5"/>
    <w:lvl w:ilvl="0" w:tentative="0">
      <w:start w:val="1"/>
      <w:numFmt w:val="bullet"/>
      <w:pStyle w:val="3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attachedTemplate r:id="rId1"/>
  <w:documentProtection w:enforcement="0"/>
  <w:defaultTabStop w:val="720"/>
  <w:evenAndOddHeaders w:val="1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D24"/>
    <w:rsid w:val="0001436A"/>
    <w:rsid w:val="00034304"/>
    <w:rsid w:val="00035434"/>
    <w:rsid w:val="00052A14"/>
    <w:rsid w:val="00077D53"/>
    <w:rsid w:val="00105FD9"/>
    <w:rsid w:val="00117666"/>
    <w:rsid w:val="001549D3"/>
    <w:rsid w:val="00160065"/>
    <w:rsid w:val="00177D84"/>
    <w:rsid w:val="00225AEB"/>
    <w:rsid w:val="00267D18"/>
    <w:rsid w:val="002868E2"/>
    <w:rsid w:val="002869C3"/>
    <w:rsid w:val="002936E4"/>
    <w:rsid w:val="002B4A57"/>
    <w:rsid w:val="002C74CA"/>
    <w:rsid w:val="003544FB"/>
    <w:rsid w:val="003601D6"/>
    <w:rsid w:val="003D2D47"/>
    <w:rsid w:val="003D2F2D"/>
    <w:rsid w:val="00401590"/>
    <w:rsid w:val="00447801"/>
    <w:rsid w:val="00450E69"/>
    <w:rsid w:val="00452514"/>
    <w:rsid w:val="00452E9C"/>
    <w:rsid w:val="004735C8"/>
    <w:rsid w:val="004961FF"/>
    <w:rsid w:val="00517A89"/>
    <w:rsid w:val="005250F2"/>
    <w:rsid w:val="00593EEA"/>
    <w:rsid w:val="005A5EEE"/>
    <w:rsid w:val="006375C7"/>
    <w:rsid w:val="00654E8F"/>
    <w:rsid w:val="00660D05"/>
    <w:rsid w:val="006816D4"/>
    <w:rsid w:val="006820B1"/>
    <w:rsid w:val="006B7D14"/>
    <w:rsid w:val="00701727"/>
    <w:rsid w:val="0070566C"/>
    <w:rsid w:val="00714C50"/>
    <w:rsid w:val="00725A7D"/>
    <w:rsid w:val="007501BE"/>
    <w:rsid w:val="00790BB3"/>
    <w:rsid w:val="007C206C"/>
    <w:rsid w:val="00803D24"/>
    <w:rsid w:val="00817DD6"/>
    <w:rsid w:val="00885156"/>
    <w:rsid w:val="009151AA"/>
    <w:rsid w:val="0093429D"/>
    <w:rsid w:val="00943573"/>
    <w:rsid w:val="00950D10"/>
    <w:rsid w:val="00970F7D"/>
    <w:rsid w:val="00994A3D"/>
    <w:rsid w:val="009C2B12"/>
    <w:rsid w:val="009C70F3"/>
    <w:rsid w:val="00A174D9"/>
    <w:rsid w:val="00A569CD"/>
    <w:rsid w:val="00AB5EE2"/>
    <w:rsid w:val="00AB6715"/>
    <w:rsid w:val="00AF20B9"/>
    <w:rsid w:val="00B1671E"/>
    <w:rsid w:val="00B25EB8"/>
    <w:rsid w:val="00B354E1"/>
    <w:rsid w:val="00B37F4D"/>
    <w:rsid w:val="00C40433"/>
    <w:rsid w:val="00C52A7B"/>
    <w:rsid w:val="00C56BAF"/>
    <w:rsid w:val="00C6464A"/>
    <w:rsid w:val="00C679AA"/>
    <w:rsid w:val="00C75972"/>
    <w:rsid w:val="00CC0A3A"/>
    <w:rsid w:val="00CD066B"/>
    <w:rsid w:val="00CE4FEE"/>
    <w:rsid w:val="00DB547B"/>
    <w:rsid w:val="00DB59C3"/>
    <w:rsid w:val="00DC259A"/>
    <w:rsid w:val="00DE23E8"/>
    <w:rsid w:val="00E4716B"/>
    <w:rsid w:val="00E52377"/>
    <w:rsid w:val="00E64E17"/>
    <w:rsid w:val="00E866C9"/>
    <w:rsid w:val="00EA3D3C"/>
    <w:rsid w:val="00F45B00"/>
    <w:rsid w:val="00F46900"/>
    <w:rsid w:val="00F61D89"/>
    <w:rsid w:val="00FC7AC8"/>
    <w:rsid w:val="1FBFDAFD"/>
    <w:rsid w:val="4CD8A521"/>
    <w:rsid w:val="6FFF2D3A"/>
    <w:rsid w:val="7AFF02DE"/>
    <w:rsid w:val="7FF71FCA"/>
    <w:rsid w:val="9F8BB5D8"/>
    <w:rsid w:val="DAD9FEAC"/>
    <w:rsid w:val="F5FF8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2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nhideWhenUsed="0" w:uiPriority="2" w:semiHidden="0" w:name="heading 4"/>
    <w:lsdException w:qFormat="1" w:unhideWhenUsed="0" w:uiPriority="2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iPriority="99" w:name="annotation reference"/>
    <w:lsdException w:qFormat="1"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120"/>
    </w:pPr>
    <w:rPr>
      <w:rFonts w:ascii="Times New Roman" w:hAnsi="Times New Roman" w:eastAsiaTheme="minorEastAsia" w:cstheme="minorBidi"/>
      <w:szCs w:val="22"/>
      <w:lang w:val="en-US" w:eastAsia="en-US" w:bidi="ar-SA"/>
    </w:rPr>
  </w:style>
  <w:style w:type="paragraph" w:styleId="2">
    <w:name w:val="heading 1"/>
    <w:basedOn w:val="3"/>
    <w:next w:val="1"/>
    <w:link w:val="31"/>
    <w:qFormat/>
    <w:uiPriority w:val="2"/>
    <w:pPr>
      <w:numPr>
        <w:ilvl w:val="0"/>
        <w:numId w:val="1"/>
      </w:numPr>
      <w:spacing w:before="240"/>
      <w:contextualSpacing w:val="0"/>
      <w:outlineLvl w:val="0"/>
    </w:pPr>
    <w:rPr>
      <w:b/>
    </w:rPr>
  </w:style>
  <w:style w:type="paragraph" w:styleId="4">
    <w:name w:val="heading 2"/>
    <w:basedOn w:val="2"/>
    <w:next w:val="1"/>
    <w:link w:val="32"/>
    <w:qFormat/>
    <w:uiPriority w:val="2"/>
    <w:pPr>
      <w:numPr>
        <w:ilvl w:val="1"/>
      </w:numPr>
      <w:spacing w:after="200"/>
      <w:outlineLvl w:val="1"/>
    </w:pPr>
  </w:style>
  <w:style w:type="paragraph" w:styleId="5">
    <w:name w:val="heading 3"/>
    <w:basedOn w:val="1"/>
    <w:next w:val="1"/>
    <w:link w:val="45"/>
    <w:qFormat/>
    <w:uiPriority w:val="2"/>
    <w:pPr>
      <w:keepNext/>
      <w:keepLines/>
      <w:numPr>
        <w:ilvl w:val="2"/>
        <w:numId w:val="1"/>
      </w:numPr>
      <w:spacing w:before="40"/>
      <w:outlineLvl w:val="2"/>
    </w:pPr>
    <w:rPr>
      <w:rFonts w:eastAsiaTheme="majorEastAsia" w:cstheme="majorBidi"/>
      <w:b/>
      <w:szCs w:val="24"/>
    </w:rPr>
  </w:style>
  <w:style w:type="paragraph" w:styleId="6">
    <w:name w:val="heading 4"/>
    <w:basedOn w:val="5"/>
    <w:next w:val="1"/>
    <w:link w:val="46"/>
    <w:qFormat/>
    <w:uiPriority w:val="2"/>
    <w:pPr>
      <w:numPr>
        <w:ilvl w:val="3"/>
      </w:numPr>
      <w:outlineLvl w:val="3"/>
    </w:pPr>
    <w:rPr>
      <w:iCs/>
    </w:rPr>
  </w:style>
  <w:style w:type="paragraph" w:styleId="7">
    <w:name w:val="heading 5"/>
    <w:basedOn w:val="6"/>
    <w:next w:val="1"/>
    <w:link w:val="47"/>
    <w:qFormat/>
    <w:uiPriority w:val="2"/>
    <w:pPr>
      <w:numPr>
        <w:ilvl w:val="4"/>
      </w:numPr>
      <w:outlineLvl w:val="4"/>
    </w:p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Paragraph"/>
    <w:basedOn w:val="1"/>
    <w:qFormat/>
    <w:uiPriority w:val="3"/>
    <w:pPr>
      <w:numPr>
        <w:ilvl w:val="0"/>
        <w:numId w:val="2"/>
      </w:numPr>
      <w:contextualSpacing/>
    </w:pPr>
    <w:rPr>
      <w:rFonts w:eastAsia="Cambria" w:cs="Times New Roman"/>
      <w:szCs w:val="24"/>
    </w:rPr>
  </w:style>
  <w:style w:type="paragraph" w:styleId="8">
    <w:name w:val="caption"/>
    <w:basedOn w:val="1"/>
    <w:next w:val="9"/>
    <w:unhideWhenUsed/>
    <w:qFormat/>
    <w:uiPriority w:val="35"/>
    <w:pPr>
      <w:keepNext/>
    </w:pPr>
    <w:rPr>
      <w:rFonts w:cs="Times New Roman"/>
      <w:b/>
      <w:bCs/>
      <w:szCs w:val="24"/>
    </w:rPr>
  </w:style>
  <w:style w:type="paragraph" w:styleId="9">
    <w:name w:val="No Spacing"/>
    <w:unhideWhenUsed/>
    <w:qFormat/>
    <w:uiPriority w:val="99"/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paragraph" w:styleId="10">
    <w:name w:val="annotation text"/>
    <w:basedOn w:val="1"/>
    <w:link w:val="37"/>
    <w:semiHidden/>
    <w:unhideWhenUsed/>
    <w:qFormat/>
    <w:uiPriority w:val="99"/>
    <w:rPr>
      <w:szCs w:val="20"/>
    </w:rPr>
  </w:style>
  <w:style w:type="paragraph" w:styleId="11">
    <w:name w:val="endnote text"/>
    <w:basedOn w:val="1"/>
    <w:link w:val="39"/>
    <w:semiHidden/>
    <w:unhideWhenUsed/>
    <w:qFormat/>
    <w:uiPriority w:val="99"/>
    <w:pPr>
      <w:spacing w:after="0"/>
    </w:pPr>
    <w:rPr>
      <w:szCs w:val="20"/>
    </w:rPr>
  </w:style>
  <w:style w:type="paragraph" w:styleId="12">
    <w:name w:val="Balloon Text"/>
    <w:basedOn w:val="1"/>
    <w:link w:val="35"/>
    <w:semiHidden/>
    <w:unhideWhenUsed/>
    <w:qFormat/>
    <w:uiPriority w:val="99"/>
    <w:pPr>
      <w:spacing w:after="0"/>
    </w:pPr>
    <w:rPr>
      <w:rFonts w:ascii="Tahoma" w:hAnsi="Tahoma" w:cs="Tahoma"/>
      <w:sz w:val="16"/>
      <w:szCs w:val="16"/>
    </w:rPr>
  </w:style>
  <w:style w:type="paragraph" w:styleId="13">
    <w:name w:val="footer"/>
    <w:basedOn w:val="1"/>
    <w:link w:val="40"/>
    <w:unhideWhenUsed/>
    <w:qFormat/>
    <w:uiPriority w:val="99"/>
    <w:pPr>
      <w:tabs>
        <w:tab w:val="center" w:pos="4844"/>
        <w:tab w:val="right" w:pos="9689"/>
      </w:tabs>
      <w:spacing w:after="0"/>
    </w:pPr>
  </w:style>
  <w:style w:type="paragraph" w:styleId="14">
    <w:name w:val="header"/>
    <w:basedOn w:val="1"/>
    <w:link w:val="42"/>
    <w:unhideWhenUsed/>
    <w:qFormat/>
    <w:uiPriority w:val="99"/>
    <w:pPr>
      <w:tabs>
        <w:tab w:val="center" w:pos="4844"/>
        <w:tab w:val="right" w:pos="9689"/>
      </w:tabs>
    </w:pPr>
    <w:rPr>
      <w:b/>
    </w:rPr>
  </w:style>
  <w:style w:type="paragraph" w:styleId="15">
    <w:name w:val="Subtitle"/>
    <w:basedOn w:val="1"/>
    <w:next w:val="1"/>
    <w:link w:val="33"/>
    <w:unhideWhenUsed/>
    <w:qFormat/>
    <w:uiPriority w:val="99"/>
    <w:pPr>
      <w:spacing w:before="240"/>
    </w:pPr>
    <w:rPr>
      <w:rFonts w:cs="Times New Roman"/>
      <w:b/>
      <w:szCs w:val="24"/>
    </w:rPr>
  </w:style>
  <w:style w:type="paragraph" w:styleId="16">
    <w:name w:val="footnote text"/>
    <w:basedOn w:val="1"/>
    <w:link w:val="41"/>
    <w:semiHidden/>
    <w:unhideWhenUsed/>
    <w:qFormat/>
    <w:uiPriority w:val="99"/>
    <w:pPr>
      <w:spacing w:after="0"/>
    </w:pPr>
    <w:rPr>
      <w:szCs w:val="20"/>
    </w:rPr>
  </w:style>
  <w:style w:type="paragraph" w:styleId="17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18">
    <w:name w:val="Title"/>
    <w:basedOn w:val="1"/>
    <w:next w:val="1"/>
    <w:link w:val="51"/>
    <w:qFormat/>
    <w:uiPriority w:val="0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paragraph" w:styleId="19">
    <w:name w:val="annotation subject"/>
    <w:basedOn w:val="10"/>
    <w:next w:val="10"/>
    <w:link w:val="38"/>
    <w:semiHidden/>
    <w:unhideWhenUsed/>
    <w:qFormat/>
    <w:uiPriority w:val="99"/>
    <w:rPr>
      <w:b/>
      <w:bCs/>
    </w:rPr>
  </w:style>
  <w:style w:type="table" w:styleId="21">
    <w:name w:val="Table Grid"/>
    <w:basedOn w:val="20"/>
    <w:qFormat/>
    <w:uiPriority w:val="0"/>
    <w:rPr>
      <w:rFonts w:asciiTheme="majorHAnsi" w:hAnsiTheme="majorHAns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22"/>
    <w:rPr>
      <w:rFonts w:ascii="Times New Roman" w:hAnsi="Times New Roman"/>
      <w:b/>
      <w:bCs/>
    </w:rPr>
  </w:style>
  <w:style w:type="character" w:styleId="24">
    <w:name w:val="endnote reference"/>
    <w:basedOn w:val="22"/>
    <w:semiHidden/>
    <w:unhideWhenUsed/>
    <w:qFormat/>
    <w:uiPriority w:val="99"/>
    <w:rPr>
      <w:vertAlign w:val="superscript"/>
    </w:rPr>
  </w:style>
  <w:style w:type="character" w:styleId="25">
    <w:name w:val="FollowedHyperlink"/>
    <w:basedOn w:val="22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26">
    <w:name w:val="Emphasis"/>
    <w:basedOn w:val="22"/>
    <w:qFormat/>
    <w:uiPriority w:val="20"/>
    <w:rPr>
      <w:rFonts w:ascii="Times New Roman" w:hAnsi="Times New Roman"/>
      <w:i/>
      <w:iCs/>
    </w:rPr>
  </w:style>
  <w:style w:type="character" w:styleId="27">
    <w:name w:val="line number"/>
    <w:basedOn w:val="22"/>
    <w:semiHidden/>
    <w:unhideWhenUsed/>
    <w:qFormat/>
    <w:uiPriority w:val="99"/>
  </w:style>
  <w:style w:type="character" w:styleId="28">
    <w:name w:val="Hyperlink"/>
    <w:basedOn w:val="22"/>
    <w:unhideWhenUsed/>
    <w:qFormat/>
    <w:uiPriority w:val="99"/>
    <w:rPr>
      <w:color w:val="0000FF"/>
      <w:u w:val="single"/>
    </w:rPr>
  </w:style>
  <w:style w:type="character" w:styleId="29">
    <w:name w:val="annotation reference"/>
    <w:basedOn w:val="22"/>
    <w:semiHidden/>
    <w:unhideWhenUsed/>
    <w:qFormat/>
    <w:uiPriority w:val="99"/>
    <w:rPr>
      <w:sz w:val="16"/>
      <w:szCs w:val="16"/>
    </w:rPr>
  </w:style>
  <w:style w:type="character" w:styleId="30">
    <w:name w:val="footnote reference"/>
    <w:basedOn w:val="22"/>
    <w:semiHidden/>
    <w:unhideWhenUsed/>
    <w:qFormat/>
    <w:uiPriority w:val="99"/>
    <w:rPr>
      <w:vertAlign w:val="superscript"/>
    </w:rPr>
  </w:style>
  <w:style w:type="character" w:customStyle="1" w:styleId="31">
    <w:name w:val="标题 1 字符"/>
    <w:basedOn w:val="22"/>
    <w:link w:val="2"/>
    <w:qFormat/>
    <w:uiPriority w:val="2"/>
    <w:rPr>
      <w:rFonts w:ascii="Times New Roman" w:hAnsi="Times New Roman" w:eastAsia="Cambria" w:cs="Times New Roman"/>
      <w:b/>
      <w:sz w:val="24"/>
      <w:szCs w:val="24"/>
    </w:rPr>
  </w:style>
  <w:style w:type="character" w:customStyle="1" w:styleId="32">
    <w:name w:val="标题 2 字符"/>
    <w:basedOn w:val="22"/>
    <w:link w:val="4"/>
    <w:qFormat/>
    <w:uiPriority w:val="2"/>
    <w:rPr>
      <w:rFonts w:ascii="Times New Roman" w:hAnsi="Times New Roman" w:eastAsia="Cambria" w:cs="Times New Roman"/>
      <w:b/>
      <w:sz w:val="24"/>
      <w:szCs w:val="24"/>
    </w:rPr>
  </w:style>
  <w:style w:type="character" w:customStyle="1" w:styleId="33">
    <w:name w:val="副标题 字符"/>
    <w:basedOn w:val="22"/>
    <w:link w:val="15"/>
    <w:qFormat/>
    <w:uiPriority w:val="99"/>
    <w:rPr>
      <w:rFonts w:ascii="Times New Roman" w:hAnsi="Times New Roman" w:cs="Times New Roman"/>
      <w:b/>
      <w:sz w:val="24"/>
      <w:szCs w:val="24"/>
    </w:rPr>
  </w:style>
  <w:style w:type="paragraph" w:customStyle="1" w:styleId="34">
    <w:name w:val="Author List"/>
    <w:basedOn w:val="15"/>
    <w:next w:val="1"/>
    <w:qFormat/>
    <w:uiPriority w:val="1"/>
  </w:style>
  <w:style w:type="character" w:customStyle="1" w:styleId="35">
    <w:name w:val="批注框文本 字符"/>
    <w:basedOn w:val="22"/>
    <w:link w:val="12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36">
    <w:name w:val="书籍标题1"/>
    <w:basedOn w:val="22"/>
    <w:qFormat/>
    <w:uiPriority w:val="33"/>
    <w:rPr>
      <w:rFonts w:ascii="Times New Roman" w:hAnsi="Times New Roman"/>
      <w:b/>
      <w:bCs/>
      <w:i/>
      <w:iCs/>
      <w:spacing w:val="5"/>
    </w:rPr>
  </w:style>
  <w:style w:type="character" w:customStyle="1" w:styleId="37">
    <w:name w:val="批注文字 字符"/>
    <w:basedOn w:val="22"/>
    <w:link w:val="10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38">
    <w:name w:val="批注主题 字符"/>
    <w:basedOn w:val="37"/>
    <w:link w:val="19"/>
    <w:semiHidden/>
    <w:qFormat/>
    <w:uiPriority w:val="99"/>
    <w:rPr>
      <w:rFonts w:ascii="Times New Roman" w:hAnsi="Times New Roman"/>
      <w:b/>
      <w:bCs/>
      <w:sz w:val="20"/>
      <w:szCs w:val="20"/>
    </w:rPr>
  </w:style>
  <w:style w:type="character" w:customStyle="1" w:styleId="39">
    <w:name w:val="尾注文本 字符"/>
    <w:basedOn w:val="22"/>
    <w:link w:val="11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40">
    <w:name w:val="页脚 字符"/>
    <w:basedOn w:val="22"/>
    <w:link w:val="13"/>
    <w:qFormat/>
    <w:uiPriority w:val="99"/>
    <w:rPr>
      <w:rFonts w:ascii="Times New Roman" w:hAnsi="Times New Roman"/>
      <w:sz w:val="24"/>
    </w:rPr>
  </w:style>
  <w:style w:type="character" w:customStyle="1" w:styleId="41">
    <w:name w:val="脚注文本 字符"/>
    <w:basedOn w:val="22"/>
    <w:link w:val="16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42">
    <w:name w:val="页眉 字符"/>
    <w:basedOn w:val="22"/>
    <w:link w:val="14"/>
    <w:qFormat/>
    <w:uiPriority w:val="99"/>
    <w:rPr>
      <w:rFonts w:ascii="Times New Roman" w:hAnsi="Times New Roman"/>
      <w:b/>
      <w:sz w:val="24"/>
    </w:rPr>
  </w:style>
  <w:style w:type="character" w:customStyle="1" w:styleId="43">
    <w:name w:val="明显强调1"/>
    <w:basedOn w:val="22"/>
    <w:unhideWhenUsed/>
    <w:qFormat/>
    <w:uiPriority w:val="21"/>
    <w:rPr>
      <w:rFonts w:ascii="Times New Roman" w:hAnsi="Times New Roman"/>
      <w:i/>
      <w:iCs/>
      <w:color w:val="auto"/>
    </w:rPr>
  </w:style>
  <w:style w:type="character" w:customStyle="1" w:styleId="44">
    <w:name w:val="明显参考1"/>
    <w:basedOn w:val="22"/>
    <w:qFormat/>
    <w:uiPriority w:val="32"/>
    <w:rPr>
      <w:b/>
      <w:bCs/>
      <w:smallCaps/>
      <w:color w:val="auto"/>
      <w:spacing w:val="5"/>
    </w:rPr>
  </w:style>
  <w:style w:type="character" w:customStyle="1" w:styleId="45">
    <w:name w:val="标题 3 字符"/>
    <w:basedOn w:val="22"/>
    <w:link w:val="5"/>
    <w:qFormat/>
    <w:uiPriority w:val="2"/>
    <w:rPr>
      <w:rFonts w:ascii="Times New Roman" w:hAnsi="Times New Roman" w:eastAsiaTheme="majorEastAsia" w:cstheme="majorBidi"/>
      <w:b/>
      <w:sz w:val="24"/>
      <w:szCs w:val="24"/>
    </w:rPr>
  </w:style>
  <w:style w:type="character" w:customStyle="1" w:styleId="46">
    <w:name w:val="标题 4 字符"/>
    <w:basedOn w:val="22"/>
    <w:link w:val="6"/>
    <w:qFormat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character" w:customStyle="1" w:styleId="47">
    <w:name w:val="标题 5 字符"/>
    <w:basedOn w:val="22"/>
    <w:link w:val="7"/>
    <w:qFormat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paragraph" w:styleId="48">
    <w:name w:val="Quote"/>
    <w:basedOn w:val="1"/>
    <w:next w:val="1"/>
    <w:link w:val="49"/>
    <w:qFormat/>
    <w:uiPriority w:val="2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9">
    <w:name w:val="引用 字符"/>
    <w:basedOn w:val="22"/>
    <w:link w:val="48"/>
    <w:qFormat/>
    <w:uiPriority w:val="29"/>
    <w:rPr>
      <w:rFonts w:ascii="Times New Roman" w:hAnsi="Times New Roman"/>
      <w:i/>
      <w:iCs/>
      <w:color w:val="404040" w:themeColor="text1" w:themeTint="BF"/>
      <w:sz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0">
    <w:name w:val="不明显强调1"/>
    <w:basedOn w:val="22"/>
    <w:qFormat/>
    <w:uiPriority w:val="19"/>
    <w:rPr>
      <w:rFonts w:ascii="Times New Roman" w:hAnsi="Times New Roman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1">
    <w:name w:val="标题 字符"/>
    <w:basedOn w:val="22"/>
    <w:link w:val="18"/>
    <w:qFormat/>
    <w:uiPriority w:val="0"/>
    <w:rPr>
      <w:rFonts w:ascii="Times New Roman" w:hAnsi="Times New Roman" w:cs="Times New Roman"/>
      <w:b/>
      <w:sz w:val="32"/>
      <w:szCs w:val="32"/>
    </w:rPr>
  </w:style>
  <w:style w:type="paragraph" w:customStyle="1" w:styleId="52">
    <w:name w:val="Supplementary Material"/>
    <w:basedOn w:val="18"/>
    <w:next w:val="18"/>
    <w:qFormat/>
    <w:uiPriority w:val="0"/>
    <w:pPr>
      <w:spacing w:after="120"/>
    </w:pPr>
    <w:rPr>
      <w:i/>
    </w:rPr>
  </w:style>
  <w:style w:type="paragraph" w:customStyle="1" w:styleId="53">
    <w:name w:val="修订1"/>
    <w:hidden/>
    <w:semiHidden/>
    <w:qFormat/>
    <w:uiPriority w:val="99"/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character" w:customStyle="1" w:styleId="54">
    <w:name w:val="font01"/>
    <w:basedOn w:val="2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Users/juvenile/Library/Containers/com.kingsoft.wpsoffice.mac/Data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C:\Users\hannah.eccles\OneDrive%20-%20Frontiers%20Media%20SA\Documents\Latex%20work\Sep%202022_link%20updates\Supplementary_Material.dotx</Template>
  <Pages>4</Pages>
  <Words>388</Words>
  <Characters>2214</Characters>
  <Lines>18</Lines>
  <Paragraphs>5</Paragraphs>
  <TotalTime>0</TotalTime>
  <ScaleCrop>false</ScaleCrop>
  <LinksUpToDate>false</LinksUpToDate>
  <CharactersWithSpaces>2597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2022-11-19T08:58:00Z</dcterms:created>
  <dc:creator>Frontiers</dc:creator>
  <cp:lastModifiedBy>Juwen Liang</cp:lastModifiedBy>
  <cp:lastPrinted>2013-10-05T04:51:00Z</cp:lastPrinted>
  <dcterms:modified xsi:type="dcterms:W3CDTF">2026-06-03T13:56:44Z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  <property fmtid="{D5CDD505-2E9C-101B-9397-08002B2CF9AE}" pid="10" name="KSOProductBuildVer">
    <vt:lpwstr>2052-6.5.2.8766</vt:lpwstr>
  </property>
  <property fmtid="{D5CDD505-2E9C-101B-9397-08002B2CF9AE}" pid="11" name="ICV">
    <vt:lpwstr>8545E4BDA76900DAE089CE69D08B1C64_42</vt:lpwstr>
  </property>
</Properties>
</file>