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2C12F" w14:textId="77777777" w:rsidR="00BB6A1D" w:rsidRDefault="00051C46">
      <w:pPr>
        <w:spacing w:line="480" w:lineRule="auto"/>
        <w:rPr>
          <w:rFonts w:ascii="Cambria" w:eastAsia="Cambria" w:hAnsi="Cambria" w:cs="Cambria"/>
          <w:b/>
        </w:rPr>
      </w:pPr>
      <w:r>
        <w:rPr>
          <w:rFonts w:ascii="Cambria" w:eastAsia="Cambria" w:hAnsi="Cambria" w:cs="Cambria"/>
          <w:b/>
        </w:rPr>
        <w:t>SUPPLEMENTAL INFORMATION 3</w:t>
      </w:r>
    </w:p>
    <w:p w14:paraId="2D39EEF5" w14:textId="77777777" w:rsidR="00BB6A1D" w:rsidRDefault="00051C46">
      <w:pPr>
        <w:spacing w:line="480" w:lineRule="auto"/>
        <w:rPr>
          <w:rFonts w:ascii="Cambria" w:eastAsia="Cambria" w:hAnsi="Cambria" w:cs="Cambria"/>
        </w:rPr>
      </w:pPr>
      <w:r>
        <w:rPr>
          <w:rFonts w:ascii="Cambria" w:eastAsia="Cambria" w:hAnsi="Cambria" w:cs="Cambria"/>
          <w:b/>
          <w:i/>
        </w:rPr>
        <w:t>Effect of image resizing on human performance</w:t>
      </w:r>
      <w:r>
        <w:rPr>
          <w:rFonts w:ascii="Cambria" w:eastAsia="Cambria" w:hAnsi="Cambria" w:cs="Cambria"/>
          <w:b/>
        </w:rPr>
        <w:t xml:space="preserve"> </w:t>
      </w:r>
    </w:p>
    <w:p w14:paraId="22910067" w14:textId="77777777" w:rsidR="00BB6A1D" w:rsidRDefault="00051C46">
      <w:pPr>
        <w:spacing w:line="480" w:lineRule="auto"/>
        <w:rPr>
          <w:rFonts w:ascii="Cambria" w:eastAsia="Cambria" w:hAnsi="Cambria" w:cs="Cambria"/>
        </w:rPr>
      </w:pPr>
      <w:r>
        <w:rPr>
          <w:rFonts w:ascii="Cambria" w:eastAsia="Cambria" w:hAnsi="Cambria" w:cs="Cambria"/>
        </w:rPr>
        <w:t xml:space="preserve">During the image pre-processing, all images were resized from their original resolution to 224x224 pixel RGB images (see “Cropping” section). To determine whether this resizing could constrain </w:t>
      </w:r>
      <w:proofErr w:type="spellStart"/>
      <w:r>
        <w:rPr>
          <w:rFonts w:ascii="Cambria" w:eastAsia="Cambria" w:hAnsi="Cambria" w:cs="Cambria"/>
        </w:rPr>
        <w:t>TickIDNet’s</w:t>
      </w:r>
      <w:proofErr w:type="spellEnd"/>
      <w:r>
        <w:rPr>
          <w:rFonts w:ascii="Cambria" w:eastAsia="Cambria" w:hAnsi="Cambria" w:cs="Cambria"/>
        </w:rPr>
        <w:t xml:space="preserve"> performance we sought to quantify its impact on human performance. We asked two experts at the MCEVBD to independently score two separate, randomly sampled datasets containing 250 user-generated images each.</w:t>
      </w:r>
    </w:p>
    <w:p w14:paraId="2FC92944" w14:textId="77777777" w:rsidR="00BB6A1D" w:rsidRDefault="00BB6A1D">
      <w:pPr>
        <w:spacing w:line="480" w:lineRule="auto"/>
        <w:rPr>
          <w:rFonts w:ascii="Cambria" w:eastAsia="Cambria" w:hAnsi="Cambria" w:cs="Cambria"/>
        </w:rPr>
      </w:pPr>
    </w:p>
    <w:p w14:paraId="5340D1DF" w14:textId="77777777" w:rsidR="00BB6A1D" w:rsidRDefault="00051C46">
      <w:pPr>
        <w:numPr>
          <w:ilvl w:val="0"/>
          <w:numId w:val="1"/>
        </w:numPr>
        <w:spacing w:line="480" w:lineRule="auto"/>
        <w:rPr>
          <w:rFonts w:ascii="Cambria" w:eastAsia="Cambria" w:hAnsi="Cambria" w:cs="Cambria"/>
        </w:rPr>
      </w:pPr>
      <w:r>
        <w:rPr>
          <w:rFonts w:ascii="Cambria" w:eastAsia="Cambria" w:hAnsi="Cambria" w:cs="Cambria"/>
        </w:rPr>
        <w:t>Original resolution images (no information lost)</w:t>
      </w:r>
    </w:p>
    <w:p w14:paraId="78C02C61" w14:textId="77777777" w:rsidR="00BB6A1D" w:rsidRDefault="00051C46">
      <w:pPr>
        <w:numPr>
          <w:ilvl w:val="0"/>
          <w:numId w:val="1"/>
        </w:numPr>
        <w:spacing w:line="480" w:lineRule="auto"/>
        <w:rPr>
          <w:rFonts w:ascii="Cambria" w:eastAsia="Cambria" w:hAnsi="Cambria" w:cs="Cambria"/>
        </w:rPr>
      </w:pPr>
      <w:r>
        <w:rPr>
          <w:rFonts w:ascii="Cambria" w:eastAsia="Cambria" w:hAnsi="Cambria" w:cs="Cambria"/>
        </w:rPr>
        <w:t>Resized 224x224x3 center-cropped images (information lost)</w:t>
      </w:r>
    </w:p>
    <w:p w14:paraId="7F73734E" w14:textId="77777777" w:rsidR="00BB6A1D" w:rsidRDefault="00BB6A1D">
      <w:pPr>
        <w:spacing w:line="480" w:lineRule="auto"/>
        <w:rPr>
          <w:rFonts w:ascii="Cambria" w:eastAsia="Cambria" w:hAnsi="Cambria" w:cs="Cambria"/>
        </w:rPr>
      </w:pPr>
    </w:p>
    <w:p w14:paraId="0B1B7119" w14:textId="77777777" w:rsidR="00BB6A1D" w:rsidRDefault="00051C46">
      <w:pPr>
        <w:spacing w:line="480" w:lineRule="auto"/>
        <w:rPr>
          <w:rFonts w:ascii="Cambria" w:eastAsia="Cambria" w:hAnsi="Cambria" w:cs="Cambria"/>
        </w:rPr>
      </w:pPr>
      <w:r>
        <w:rPr>
          <w:rFonts w:ascii="Cambria" w:eastAsia="Cambria" w:hAnsi="Cambria" w:cs="Cambria"/>
        </w:rPr>
        <w:t xml:space="preserve">For each dataset, we compared the inter-rater reliability between the two experts using Kohen’s Kappa (κ) measure of agreement (Table 3) that ranges from 0 (agreement equivalent to chance) to 1 (perfect agreement) </w:t>
      </w:r>
      <w:hyperlink r:id="rId8">
        <w:r>
          <w:rPr>
            <w:rFonts w:ascii="Cambria" w:eastAsia="Cambria" w:hAnsi="Cambria" w:cs="Cambria"/>
          </w:rPr>
          <w:t>(40)</w:t>
        </w:r>
      </w:hyperlink>
      <w:r>
        <w:rPr>
          <w:rFonts w:ascii="Cambria" w:eastAsia="Cambria" w:hAnsi="Cambria" w:cs="Cambria"/>
        </w:rPr>
        <w:t>. We hypothesized that there will be less agreement on the downscaled dataset (1) than on the original resolution dataset (2) because the downscaled images are likely more difficult to identify correctly. Notably, we did not compare accuracy because the truth labels were generated by these same experts and the physical specimens were not received for identification under a microscope.</w:t>
      </w:r>
    </w:p>
    <w:p w14:paraId="36CE8601" w14:textId="77777777" w:rsidR="00BB6A1D" w:rsidRDefault="00BB6A1D">
      <w:pPr>
        <w:spacing w:line="480" w:lineRule="auto"/>
        <w:rPr>
          <w:rFonts w:ascii="Cambria" w:eastAsia="Cambria" w:hAnsi="Cambria" w:cs="Cambria"/>
        </w:rPr>
      </w:pPr>
    </w:p>
    <w:p w14:paraId="2BF79780" w14:textId="77777777" w:rsidR="00BB6A1D" w:rsidRDefault="00051C46">
      <w:pPr>
        <w:spacing w:line="479" w:lineRule="auto"/>
        <w:rPr>
          <w:rFonts w:ascii="Cambria" w:eastAsia="Cambria" w:hAnsi="Cambria" w:cs="Cambria"/>
        </w:rPr>
      </w:pPr>
      <w:r>
        <w:rPr>
          <w:rFonts w:ascii="Cambria" w:eastAsia="Cambria" w:hAnsi="Cambria" w:cs="Cambria"/>
          <w:b/>
        </w:rPr>
        <w:t>S3 Table: An interpretation of the Kappa statistic from Viera and Garett (40).</w:t>
      </w:r>
    </w:p>
    <w:tbl>
      <w:tblPr>
        <w:tblStyle w:val="a"/>
        <w:tblW w:w="4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3075"/>
      </w:tblGrid>
      <w:tr w:rsidR="00BB6A1D" w14:paraId="4FA5552D" w14:textId="77777777">
        <w:tc>
          <w:tcPr>
            <w:tcW w:w="1740" w:type="dxa"/>
            <w:shd w:val="clear" w:color="auto" w:fill="auto"/>
            <w:tcMar>
              <w:top w:w="100" w:type="dxa"/>
              <w:left w:w="100" w:type="dxa"/>
              <w:bottom w:w="100" w:type="dxa"/>
              <w:right w:w="100" w:type="dxa"/>
            </w:tcMar>
          </w:tcPr>
          <w:p w14:paraId="547BD9BF" w14:textId="77777777" w:rsidR="00BB6A1D" w:rsidRDefault="00051C46">
            <w:pPr>
              <w:widowControl w:val="0"/>
              <w:spacing w:line="240" w:lineRule="auto"/>
              <w:rPr>
                <w:rFonts w:ascii="Cambria" w:eastAsia="Cambria" w:hAnsi="Cambria" w:cs="Cambria"/>
                <w:b/>
              </w:rPr>
            </w:pPr>
            <w:r>
              <w:rPr>
                <w:rFonts w:ascii="Cambria" w:eastAsia="Cambria" w:hAnsi="Cambria" w:cs="Cambria"/>
                <w:b/>
              </w:rPr>
              <w:t>Kappa</w:t>
            </w:r>
          </w:p>
        </w:tc>
        <w:tc>
          <w:tcPr>
            <w:tcW w:w="3075" w:type="dxa"/>
            <w:shd w:val="clear" w:color="auto" w:fill="auto"/>
            <w:tcMar>
              <w:top w:w="100" w:type="dxa"/>
              <w:left w:w="100" w:type="dxa"/>
              <w:bottom w:w="100" w:type="dxa"/>
              <w:right w:w="100" w:type="dxa"/>
            </w:tcMar>
          </w:tcPr>
          <w:p w14:paraId="2E5D62D5" w14:textId="77777777" w:rsidR="00BB6A1D" w:rsidRDefault="00051C46">
            <w:pPr>
              <w:widowControl w:val="0"/>
              <w:spacing w:line="240" w:lineRule="auto"/>
              <w:rPr>
                <w:rFonts w:ascii="Cambria" w:eastAsia="Cambria" w:hAnsi="Cambria" w:cs="Cambria"/>
                <w:b/>
              </w:rPr>
            </w:pPr>
            <w:r>
              <w:rPr>
                <w:rFonts w:ascii="Cambria" w:eastAsia="Cambria" w:hAnsi="Cambria" w:cs="Cambria"/>
                <w:b/>
              </w:rPr>
              <w:t>Agreement</w:t>
            </w:r>
          </w:p>
        </w:tc>
      </w:tr>
      <w:tr w:rsidR="00BB6A1D" w14:paraId="7801DC85" w14:textId="77777777">
        <w:tc>
          <w:tcPr>
            <w:tcW w:w="1740" w:type="dxa"/>
            <w:shd w:val="clear" w:color="auto" w:fill="auto"/>
            <w:tcMar>
              <w:top w:w="100" w:type="dxa"/>
              <w:left w:w="100" w:type="dxa"/>
              <w:bottom w:w="100" w:type="dxa"/>
              <w:right w:w="100" w:type="dxa"/>
            </w:tcMar>
          </w:tcPr>
          <w:p w14:paraId="14C18A59" w14:textId="77777777" w:rsidR="00BB6A1D" w:rsidRDefault="00051C46">
            <w:pPr>
              <w:widowControl w:val="0"/>
              <w:spacing w:line="240" w:lineRule="auto"/>
              <w:rPr>
                <w:rFonts w:ascii="Cambria" w:eastAsia="Cambria" w:hAnsi="Cambria" w:cs="Cambria"/>
              </w:rPr>
            </w:pPr>
            <w:r>
              <w:rPr>
                <w:rFonts w:ascii="Cambria" w:eastAsia="Cambria" w:hAnsi="Cambria" w:cs="Cambria"/>
              </w:rPr>
              <w:t>&lt; 0</w:t>
            </w:r>
          </w:p>
        </w:tc>
        <w:tc>
          <w:tcPr>
            <w:tcW w:w="3075" w:type="dxa"/>
            <w:shd w:val="clear" w:color="auto" w:fill="auto"/>
            <w:tcMar>
              <w:top w:w="100" w:type="dxa"/>
              <w:left w:w="100" w:type="dxa"/>
              <w:bottom w:w="100" w:type="dxa"/>
              <w:right w:w="100" w:type="dxa"/>
            </w:tcMar>
          </w:tcPr>
          <w:p w14:paraId="5FE53A7E" w14:textId="77777777" w:rsidR="00BB6A1D" w:rsidRDefault="00051C46">
            <w:pPr>
              <w:widowControl w:val="0"/>
              <w:spacing w:line="240" w:lineRule="auto"/>
              <w:rPr>
                <w:rFonts w:ascii="Cambria" w:eastAsia="Cambria" w:hAnsi="Cambria" w:cs="Cambria"/>
              </w:rPr>
            </w:pPr>
            <w:r>
              <w:rPr>
                <w:rFonts w:ascii="Cambria" w:eastAsia="Cambria" w:hAnsi="Cambria" w:cs="Cambria"/>
              </w:rPr>
              <w:t>Less than chance agreement</w:t>
            </w:r>
          </w:p>
        </w:tc>
      </w:tr>
      <w:tr w:rsidR="00BB6A1D" w14:paraId="7B951FF6" w14:textId="77777777">
        <w:tc>
          <w:tcPr>
            <w:tcW w:w="1740" w:type="dxa"/>
            <w:shd w:val="clear" w:color="auto" w:fill="auto"/>
            <w:tcMar>
              <w:top w:w="100" w:type="dxa"/>
              <w:left w:w="100" w:type="dxa"/>
              <w:bottom w:w="100" w:type="dxa"/>
              <w:right w:w="100" w:type="dxa"/>
            </w:tcMar>
          </w:tcPr>
          <w:p w14:paraId="7A75D7F8" w14:textId="77777777" w:rsidR="00BB6A1D" w:rsidRDefault="00051C46">
            <w:pPr>
              <w:widowControl w:val="0"/>
              <w:spacing w:line="240" w:lineRule="auto"/>
              <w:rPr>
                <w:rFonts w:ascii="Cambria" w:eastAsia="Cambria" w:hAnsi="Cambria" w:cs="Cambria"/>
              </w:rPr>
            </w:pPr>
            <w:r>
              <w:rPr>
                <w:rFonts w:ascii="Cambria" w:eastAsia="Cambria" w:hAnsi="Cambria" w:cs="Cambria"/>
              </w:rPr>
              <w:t>0.01–0.20</w:t>
            </w:r>
          </w:p>
        </w:tc>
        <w:tc>
          <w:tcPr>
            <w:tcW w:w="3075" w:type="dxa"/>
            <w:shd w:val="clear" w:color="auto" w:fill="auto"/>
            <w:tcMar>
              <w:top w:w="100" w:type="dxa"/>
              <w:left w:w="100" w:type="dxa"/>
              <w:bottom w:w="100" w:type="dxa"/>
              <w:right w:w="100" w:type="dxa"/>
            </w:tcMar>
          </w:tcPr>
          <w:p w14:paraId="15EB3677" w14:textId="77777777" w:rsidR="00BB6A1D" w:rsidRDefault="00051C46">
            <w:pPr>
              <w:widowControl w:val="0"/>
              <w:spacing w:line="240" w:lineRule="auto"/>
              <w:rPr>
                <w:rFonts w:ascii="Cambria" w:eastAsia="Cambria" w:hAnsi="Cambria" w:cs="Cambria"/>
              </w:rPr>
            </w:pPr>
            <w:r>
              <w:rPr>
                <w:rFonts w:ascii="Cambria" w:eastAsia="Cambria" w:hAnsi="Cambria" w:cs="Cambria"/>
              </w:rPr>
              <w:t>Slight agreement</w:t>
            </w:r>
          </w:p>
        </w:tc>
      </w:tr>
      <w:tr w:rsidR="00BB6A1D" w14:paraId="00AF32E4" w14:textId="77777777">
        <w:tc>
          <w:tcPr>
            <w:tcW w:w="1740" w:type="dxa"/>
            <w:shd w:val="clear" w:color="auto" w:fill="auto"/>
            <w:tcMar>
              <w:top w:w="100" w:type="dxa"/>
              <w:left w:w="100" w:type="dxa"/>
              <w:bottom w:w="100" w:type="dxa"/>
              <w:right w:w="100" w:type="dxa"/>
            </w:tcMar>
          </w:tcPr>
          <w:p w14:paraId="22F80B11" w14:textId="77777777" w:rsidR="00BB6A1D" w:rsidRDefault="00051C46">
            <w:pPr>
              <w:widowControl w:val="0"/>
              <w:spacing w:line="240" w:lineRule="auto"/>
              <w:rPr>
                <w:rFonts w:ascii="Cambria" w:eastAsia="Cambria" w:hAnsi="Cambria" w:cs="Cambria"/>
              </w:rPr>
            </w:pPr>
            <w:r>
              <w:rPr>
                <w:rFonts w:ascii="Cambria" w:eastAsia="Cambria" w:hAnsi="Cambria" w:cs="Cambria"/>
              </w:rPr>
              <w:t>0.21–0.40</w:t>
            </w:r>
          </w:p>
        </w:tc>
        <w:tc>
          <w:tcPr>
            <w:tcW w:w="3075" w:type="dxa"/>
            <w:shd w:val="clear" w:color="auto" w:fill="auto"/>
            <w:tcMar>
              <w:top w:w="100" w:type="dxa"/>
              <w:left w:w="100" w:type="dxa"/>
              <w:bottom w:w="100" w:type="dxa"/>
              <w:right w:w="100" w:type="dxa"/>
            </w:tcMar>
          </w:tcPr>
          <w:p w14:paraId="20CD57D4" w14:textId="77777777" w:rsidR="00BB6A1D" w:rsidRDefault="00051C46">
            <w:pPr>
              <w:widowControl w:val="0"/>
              <w:spacing w:line="240" w:lineRule="auto"/>
              <w:rPr>
                <w:rFonts w:ascii="Cambria" w:eastAsia="Cambria" w:hAnsi="Cambria" w:cs="Cambria"/>
              </w:rPr>
            </w:pPr>
            <w:r>
              <w:rPr>
                <w:rFonts w:ascii="Cambria" w:eastAsia="Cambria" w:hAnsi="Cambria" w:cs="Cambria"/>
              </w:rPr>
              <w:t>Fair agreement</w:t>
            </w:r>
          </w:p>
        </w:tc>
      </w:tr>
      <w:tr w:rsidR="00BB6A1D" w14:paraId="7F945D7B" w14:textId="77777777">
        <w:tc>
          <w:tcPr>
            <w:tcW w:w="1740" w:type="dxa"/>
            <w:shd w:val="clear" w:color="auto" w:fill="auto"/>
            <w:tcMar>
              <w:top w:w="100" w:type="dxa"/>
              <w:left w:w="100" w:type="dxa"/>
              <w:bottom w:w="100" w:type="dxa"/>
              <w:right w:w="100" w:type="dxa"/>
            </w:tcMar>
          </w:tcPr>
          <w:p w14:paraId="5C400442" w14:textId="77777777" w:rsidR="00BB6A1D" w:rsidRDefault="00051C46">
            <w:pPr>
              <w:widowControl w:val="0"/>
              <w:spacing w:line="240" w:lineRule="auto"/>
              <w:rPr>
                <w:rFonts w:ascii="Cambria" w:eastAsia="Cambria" w:hAnsi="Cambria" w:cs="Cambria"/>
              </w:rPr>
            </w:pPr>
            <w:r>
              <w:rPr>
                <w:rFonts w:ascii="Cambria" w:eastAsia="Cambria" w:hAnsi="Cambria" w:cs="Cambria"/>
              </w:rPr>
              <w:t>0.41–0.60</w:t>
            </w:r>
          </w:p>
        </w:tc>
        <w:tc>
          <w:tcPr>
            <w:tcW w:w="3075" w:type="dxa"/>
            <w:shd w:val="clear" w:color="auto" w:fill="auto"/>
            <w:tcMar>
              <w:top w:w="100" w:type="dxa"/>
              <w:left w:w="100" w:type="dxa"/>
              <w:bottom w:w="100" w:type="dxa"/>
              <w:right w:w="100" w:type="dxa"/>
            </w:tcMar>
          </w:tcPr>
          <w:p w14:paraId="1EF030FF" w14:textId="77777777" w:rsidR="00BB6A1D" w:rsidRDefault="00051C46">
            <w:pPr>
              <w:widowControl w:val="0"/>
              <w:spacing w:line="240" w:lineRule="auto"/>
              <w:rPr>
                <w:rFonts w:ascii="Cambria" w:eastAsia="Cambria" w:hAnsi="Cambria" w:cs="Cambria"/>
              </w:rPr>
            </w:pPr>
            <w:r>
              <w:rPr>
                <w:rFonts w:ascii="Cambria" w:eastAsia="Cambria" w:hAnsi="Cambria" w:cs="Cambria"/>
              </w:rPr>
              <w:t xml:space="preserve">Moderate agreement </w:t>
            </w:r>
          </w:p>
        </w:tc>
      </w:tr>
      <w:tr w:rsidR="00BB6A1D" w14:paraId="70CD9F3C" w14:textId="77777777">
        <w:tc>
          <w:tcPr>
            <w:tcW w:w="1740" w:type="dxa"/>
            <w:shd w:val="clear" w:color="auto" w:fill="auto"/>
            <w:tcMar>
              <w:top w:w="100" w:type="dxa"/>
              <w:left w:w="100" w:type="dxa"/>
              <w:bottom w:w="100" w:type="dxa"/>
              <w:right w:w="100" w:type="dxa"/>
            </w:tcMar>
          </w:tcPr>
          <w:p w14:paraId="79D33662" w14:textId="77777777" w:rsidR="00BB6A1D" w:rsidRDefault="00051C46">
            <w:pPr>
              <w:widowControl w:val="0"/>
              <w:spacing w:line="240" w:lineRule="auto"/>
              <w:rPr>
                <w:rFonts w:ascii="Cambria" w:eastAsia="Cambria" w:hAnsi="Cambria" w:cs="Cambria"/>
              </w:rPr>
            </w:pPr>
            <w:r>
              <w:rPr>
                <w:rFonts w:ascii="Cambria" w:eastAsia="Cambria" w:hAnsi="Cambria" w:cs="Cambria"/>
              </w:rPr>
              <w:lastRenderedPageBreak/>
              <w:t>0.61–0.80</w:t>
            </w:r>
          </w:p>
        </w:tc>
        <w:tc>
          <w:tcPr>
            <w:tcW w:w="3075" w:type="dxa"/>
            <w:shd w:val="clear" w:color="auto" w:fill="auto"/>
            <w:tcMar>
              <w:top w:w="100" w:type="dxa"/>
              <w:left w:w="100" w:type="dxa"/>
              <w:bottom w:w="100" w:type="dxa"/>
              <w:right w:w="100" w:type="dxa"/>
            </w:tcMar>
          </w:tcPr>
          <w:p w14:paraId="36DA53CD" w14:textId="77777777" w:rsidR="00BB6A1D" w:rsidRDefault="00051C46">
            <w:pPr>
              <w:widowControl w:val="0"/>
              <w:spacing w:line="240" w:lineRule="auto"/>
              <w:rPr>
                <w:rFonts w:ascii="Cambria" w:eastAsia="Cambria" w:hAnsi="Cambria" w:cs="Cambria"/>
              </w:rPr>
            </w:pPr>
            <w:r>
              <w:rPr>
                <w:rFonts w:ascii="Cambria" w:eastAsia="Cambria" w:hAnsi="Cambria" w:cs="Cambria"/>
              </w:rPr>
              <w:t>Substantial agreement</w:t>
            </w:r>
          </w:p>
        </w:tc>
      </w:tr>
      <w:tr w:rsidR="00BB6A1D" w14:paraId="44311357" w14:textId="77777777">
        <w:tc>
          <w:tcPr>
            <w:tcW w:w="1740" w:type="dxa"/>
            <w:shd w:val="clear" w:color="auto" w:fill="auto"/>
            <w:tcMar>
              <w:top w:w="100" w:type="dxa"/>
              <w:left w:w="100" w:type="dxa"/>
              <w:bottom w:w="100" w:type="dxa"/>
              <w:right w:w="100" w:type="dxa"/>
            </w:tcMar>
          </w:tcPr>
          <w:p w14:paraId="1B62B0BE" w14:textId="77777777" w:rsidR="00BB6A1D" w:rsidRDefault="00051C46">
            <w:pPr>
              <w:widowControl w:val="0"/>
              <w:spacing w:line="240" w:lineRule="auto"/>
              <w:rPr>
                <w:rFonts w:ascii="Cambria" w:eastAsia="Cambria" w:hAnsi="Cambria" w:cs="Cambria"/>
              </w:rPr>
            </w:pPr>
            <w:r>
              <w:rPr>
                <w:rFonts w:ascii="Cambria" w:eastAsia="Cambria" w:hAnsi="Cambria" w:cs="Cambria"/>
              </w:rPr>
              <w:t>0.81-0.99</w:t>
            </w:r>
          </w:p>
        </w:tc>
        <w:tc>
          <w:tcPr>
            <w:tcW w:w="3075" w:type="dxa"/>
            <w:shd w:val="clear" w:color="auto" w:fill="auto"/>
            <w:tcMar>
              <w:top w:w="100" w:type="dxa"/>
              <w:left w:w="100" w:type="dxa"/>
              <w:bottom w:w="100" w:type="dxa"/>
              <w:right w:w="100" w:type="dxa"/>
            </w:tcMar>
          </w:tcPr>
          <w:p w14:paraId="34232AE3" w14:textId="77777777" w:rsidR="00BB6A1D" w:rsidRDefault="00051C46">
            <w:pPr>
              <w:widowControl w:val="0"/>
              <w:spacing w:line="240" w:lineRule="auto"/>
              <w:rPr>
                <w:rFonts w:ascii="Cambria" w:eastAsia="Cambria" w:hAnsi="Cambria" w:cs="Cambria"/>
              </w:rPr>
            </w:pPr>
            <w:r>
              <w:rPr>
                <w:rFonts w:ascii="Cambria" w:eastAsia="Cambria" w:hAnsi="Cambria" w:cs="Cambria"/>
              </w:rPr>
              <w:t>Almost perfect agreement</w:t>
            </w:r>
          </w:p>
        </w:tc>
      </w:tr>
    </w:tbl>
    <w:p w14:paraId="29BFD862" w14:textId="77777777" w:rsidR="00BB6A1D" w:rsidRDefault="00BB6A1D">
      <w:pPr>
        <w:spacing w:line="480" w:lineRule="auto"/>
        <w:rPr>
          <w:rFonts w:ascii="Cambria" w:eastAsia="Cambria" w:hAnsi="Cambria" w:cs="Cambria"/>
        </w:rPr>
      </w:pPr>
    </w:p>
    <w:p w14:paraId="3FDCF108" w14:textId="77777777" w:rsidR="00BB6A1D" w:rsidRDefault="00BB6A1D">
      <w:pPr>
        <w:spacing w:line="480" w:lineRule="auto"/>
        <w:rPr>
          <w:rFonts w:ascii="Cambria" w:eastAsia="Cambria" w:hAnsi="Cambria" w:cs="Cambria"/>
        </w:rPr>
      </w:pPr>
    </w:p>
    <w:p w14:paraId="1A179A0C" w14:textId="422EE387" w:rsidR="00BB6A1D" w:rsidRDefault="00051C46">
      <w:pPr>
        <w:spacing w:line="480" w:lineRule="auto"/>
        <w:rPr>
          <w:rFonts w:ascii="Cambria" w:eastAsia="Cambria" w:hAnsi="Cambria" w:cs="Cambria"/>
        </w:rPr>
      </w:pPr>
      <w:r>
        <w:rPr>
          <w:rFonts w:ascii="Cambria" w:eastAsia="Cambria" w:hAnsi="Cambria" w:cs="Cambria"/>
        </w:rPr>
        <w:t xml:space="preserve">The agreement between the two experts on the original resolution dataset (1) was κ = 0.9432 and the agreement on the resized image set (2) was κ = 0.8501. While S1 Table notes that both of these scores represent a near-perfect inter-rater agreement </w:t>
      </w:r>
      <w:hyperlink r:id="rId9">
        <w:r>
          <w:rPr>
            <w:rFonts w:ascii="Cambria" w:eastAsia="Cambria" w:hAnsi="Cambria" w:cs="Cambria"/>
          </w:rPr>
          <w:t>(40)</w:t>
        </w:r>
      </w:hyperlink>
      <w:r>
        <w:rPr>
          <w:rFonts w:ascii="Cambria" w:eastAsia="Cambria" w:hAnsi="Cambria" w:cs="Cambria"/>
        </w:rPr>
        <w:t>, the agreement on the resized images (2) was notably lower. This suggests that even human experts like the</w:t>
      </w:r>
      <w:bookmarkStart w:id="0" w:name="_GoBack"/>
      <w:bookmarkEnd w:id="0"/>
      <w:r>
        <w:rPr>
          <w:rFonts w:ascii="Cambria" w:eastAsia="Cambria" w:hAnsi="Cambria" w:cs="Cambria"/>
        </w:rPr>
        <w:t xml:space="preserve"> </w:t>
      </w:r>
      <w:proofErr w:type="spellStart"/>
      <w:r>
        <w:rPr>
          <w:rFonts w:ascii="Cambria" w:eastAsia="Cambria" w:hAnsi="Cambria" w:cs="Cambria"/>
        </w:rPr>
        <w:t>TickSpotters</w:t>
      </w:r>
      <w:proofErr w:type="spellEnd"/>
      <w:r>
        <w:rPr>
          <w:rFonts w:ascii="Cambria" w:eastAsia="Cambria" w:hAnsi="Cambria" w:cs="Cambria"/>
        </w:rPr>
        <w:t xml:space="preserve"> in </w:t>
      </w:r>
      <w:proofErr w:type="spellStart"/>
      <w:r>
        <w:rPr>
          <w:rFonts w:ascii="Cambria" w:eastAsia="Cambria" w:hAnsi="Cambria" w:cs="Cambria"/>
        </w:rPr>
        <w:t>Kopsco</w:t>
      </w:r>
      <w:proofErr w:type="spellEnd"/>
      <w:r>
        <w:rPr>
          <w:rFonts w:ascii="Cambria" w:eastAsia="Cambria" w:hAnsi="Cambria" w:cs="Cambria"/>
        </w:rPr>
        <w:t xml:space="preserve"> et al. </w:t>
      </w:r>
      <w:hyperlink r:id="rId10">
        <w:r>
          <w:rPr>
            <w:rFonts w:ascii="Cambria" w:eastAsia="Cambria" w:hAnsi="Cambria" w:cs="Cambria"/>
          </w:rPr>
          <w:t>(18)</w:t>
        </w:r>
      </w:hyperlink>
      <w:r>
        <w:rPr>
          <w:rFonts w:ascii="Cambria" w:eastAsia="Cambria" w:hAnsi="Cambria" w:cs="Cambria"/>
        </w:rPr>
        <w:t xml:space="preserve"> would likely perform slightly worse on the resized 224x224 images (seen by the network) relative to the original-resolution images.  </w:t>
      </w:r>
      <w:proofErr w:type="spellStart"/>
      <w:r>
        <w:rPr>
          <w:rFonts w:ascii="Cambria" w:eastAsia="Cambria" w:hAnsi="Cambria" w:cs="Cambria"/>
        </w:rPr>
        <w:t>TickIDNet</w:t>
      </w:r>
      <w:proofErr w:type="spellEnd"/>
      <w:r>
        <w:rPr>
          <w:rFonts w:ascii="Cambria" w:eastAsia="Cambria" w:hAnsi="Cambria" w:cs="Cambria"/>
        </w:rPr>
        <w:t xml:space="preserve">, just like trained experts, is constrained by image quality. </w:t>
      </w:r>
    </w:p>
    <w:p w14:paraId="167D858B" w14:textId="77777777" w:rsidR="00BB6A1D" w:rsidRDefault="00BB6A1D"/>
    <w:sectPr w:rsidR="00BB6A1D">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44FDB"/>
    <w:multiLevelType w:val="multilevel"/>
    <w:tmpl w:val="B44C7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A1D"/>
    <w:rsid w:val="00051C46"/>
    <w:rsid w:val="00BB6A1D"/>
    <w:rsid w:val="00EB29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80A1C"/>
  <w15:docId w15:val="{5ACC4812-9F05-4D29-8D8F-AD93239A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zotero.org/google-docs/?Vt6g3q"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zotero.org/google-docs/?Dvktcm" TargetMode="External"/><Relationship Id="rId4" Type="http://schemas.openxmlformats.org/officeDocument/2006/relationships/numbering" Target="numbering.xml"/><Relationship Id="rId9" Type="http://schemas.openxmlformats.org/officeDocument/2006/relationships/hyperlink" Target="https://www.zotero.org/google-docs/?ofIof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F3578603287442B70542E8DF15D134" ma:contentTypeVersion="12" ma:contentTypeDescription="Een nieuw document maken." ma:contentTypeScope="" ma:versionID="811435922a20a22899eed4aa86e291c9">
  <xsd:schema xmlns:xsd="http://www.w3.org/2001/XMLSchema" xmlns:xs="http://www.w3.org/2001/XMLSchema" xmlns:p="http://schemas.microsoft.com/office/2006/metadata/properties" xmlns:ns3="e56058f8-6571-4a89-af4e-882c7658e3c8" xmlns:ns4="c9f4930b-fbf0-4239-9994-4ebef46cccbb" targetNamespace="http://schemas.microsoft.com/office/2006/metadata/properties" ma:root="true" ma:fieldsID="c9a5fbbf3b0389bbeab38c6577f77eda" ns3:_="" ns4:_="">
    <xsd:import namespace="e56058f8-6571-4a89-af4e-882c7658e3c8"/>
    <xsd:import namespace="c9f4930b-fbf0-4239-9994-4ebef46cccb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058f8-6571-4a89-af4e-882c7658e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f4930b-fbf0-4239-9994-4ebef46cccb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ADF10C-6178-41E9-BBEC-8F875A6D9689}">
  <ds:schemaRefs>
    <ds:schemaRef ds:uri="http://schemas.microsoft.com/sharepoint/v3/contenttype/forms"/>
  </ds:schemaRefs>
</ds:datastoreItem>
</file>

<file path=customXml/itemProps2.xml><?xml version="1.0" encoding="utf-8"?>
<ds:datastoreItem xmlns:ds="http://schemas.openxmlformats.org/officeDocument/2006/customXml" ds:itemID="{013AC070-9EAC-47E7-B526-18CC76877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6058f8-6571-4a89-af4e-882c7658e3c8"/>
    <ds:schemaRef ds:uri="c9f4930b-fbf0-4239-9994-4ebef46cc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9CBBEC-E895-4AF5-9B10-C661BD28D7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350</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Bron, Bieneke</cp:lastModifiedBy>
  <cp:revision>4</cp:revision>
  <dcterms:created xsi:type="dcterms:W3CDTF">2021-05-22T06:28:00Z</dcterms:created>
  <dcterms:modified xsi:type="dcterms:W3CDTF">2021-05-22T06:33:00Z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0x0101003CF3578603287442B70542E8DF15D134</vt:lpwstr>
  </property>
</Properties>
</file>