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92B1F" w14:textId="4493F5D7" w:rsidR="00BF3750" w:rsidRPr="008804FC" w:rsidRDefault="00D65B4A" w:rsidP="006F099D">
      <w:pPr>
        <w:spacing w:after="120" w:line="240" w:lineRule="auto"/>
        <w:jc w:val="both"/>
        <w:rPr>
          <w:rFonts w:ascii="Arial" w:hAnsi="Arial" w:cs="Arial"/>
          <w:b/>
          <w:sz w:val="20"/>
          <w:szCs w:val="20"/>
        </w:rPr>
      </w:pPr>
      <w:r w:rsidRPr="008804FC">
        <w:rPr>
          <w:rFonts w:ascii="Arial" w:hAnsi="Arial" w:cs="Arial"/>
          <w:b/>
          <w:sz w:val="20"/>
          <w:szCs w:val="20"/>
        </w:rPr>
        <w:t>Materials</w:t>
      </w:r>
      <w:r w:rsidR="008B7610" w:rsidRPr="008804FC">
        <w:rPr>
          <w:rFonts w:ascii="Arial" w:hAnsi="Arial" w:cs="Arial"/>
          <w:b/>
          <w:sz w:val="20"/>
          <w:szCs w:val="20"/>
        </w:rPr>
        <w:t xml:space="preserve"> table</w:t>
      </w:r>
    </w:p>
    <w:tbl>
      <w:tblPr>
        <w:tblStyle w:val="TableGrid"/>
        <w:tblW w:w="95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937"/>
        <w:gridCol w:w="2520"/>
        <w:gridCol w:w="3119"/>
      </w:tblGrid>
      <w:tr w:rsidR="00C66DB7" w:rsidRPr="008804FC" w14:paraId="6DF20E4E" w14:textId="77777777" w:rsidTr="00A9588B">
        <w:trPr>
          <w:cantSplit/>
          <w:trHeight w:hRule="exact" w:val="288"/>
        </w:trPr>
        <w:tc>
          <w:tcPr>
            <w:tcW w:w="3937" w:type="dxa"/>
            <w:tcBorders>
              <w:top w:val="single" w:sz="18" w:space="0" w:color="auto"/>
              <w:left w:val="single" w:sz="18" w:space="0" w:color="auto"/>
              <w:bottom w:val="single" w:sz="18" w:space="0" w:color="auto"/>
            </w:tcBorders>
            <w:shd w:val="clear" w:color="auto" w:fill="DBE5F1" w:themeFill="accent1" w:themeFillTint="33"/>
            <w:vAlign w:val="center"/>
          </w:tcPr>
          <w:p w14:paraId="2DB5EBE4" w14:textId="77777777" w:rsidR="00C66DB7" w:rsidRPr="008804FC" w:rsidRDefault="00C66DB7" w:rsidP="00AD16C5">
            <w:pPr>
              <w:rPr>
                <w:rFonts w:ascii="Arial" w:hAnsi="Arial" w:cs="Arial"/>
                <w:b/>
                <w:bCs/>
              </w:rPr>
            </w:pPr>
            <w:r w:rsidRPr="008804FC">
              <w:rPr>
                <w:rFonts w:ascii="Arial" w:hAnsi="Arial" w:cs="Arial"/>
                <w:b/>
                <w:bCs/>
              </w:rPr>
              <w:t>REAGENT or RESOURCE</w:t>
            </w:r>
          </w:p>
        </w:tc>
        <w:tc>
          <w:tcPr>
            <w:tcW w:w="2520" w:type="dxa"/>
            <w:tcBorders>
              <w:top w:val="single" w:sz="18" w:space="0" w:color="auto"/>
              <w:bottom w:val="single" w:sz="18" w:space="0" w:color="auto"/>
            </w:tcBorders>
            <w:shd w:val="clear" w:color="auto" w:fill="DBE5F1" w:themeFill="accent1" w:themeFillTint="33"/>
            <w:vAlign w:val="center"/>
          </w:tcPr>
          <w:p w14:paraId="3727617F" w14:textId="77777777" w:rsidR="00C66DB7" w:rsidRPr="008804FC" w:rsidRDefault="00C66DB7" w:rsidP="00AD16C5">
            <w:pPr>
              <w:rPr>
                <w:rFonts w:ascii="Arial" w:hAnsi="Arial" w:cs="Arial"/>
                <w:b/>
                <w:bCs/>
              </w:rPr>
            </w:pPr>
            <w:r w:rsidRPr="008804FC">
              <w:rPr>
                <w:rFonts w:ascii="Arial" w:hAnsi="Arial" w:cs="Arial"/>
                <w:b/>
                <w:bCs/>
              </w:rPr>
              <w:t>SOURCE</w:t>
            </w:r>
          </w:p>
        </w:tc>
        <w:tc>
          <w:tcPr>
            <w:tcW w:w="3119" w:type="dxa"/>
            <w:tcBorders>
              <w:top w:val="single" w:sz="18" w:space="0" w:color="auto"/>
              <w:bottom w:val="single" w:sz="18" w:space="0" w:color="auto"/>
              <w:right w:val="single" w:sz="18" w:space="0" w:color="auto"/>
            </w:tcBorders>
            <w:shd w:val="clear" w:color="auto" w:fill="DBE5F1" w:themeFill="accent1" w:themeFillTint="33"/>
            <w:vAlign w:val="center"/>
          </w:tcPr>
          <w:p w14:paraId="7CD40C8A" w14:textId="77777777" w:rsidR="00C66DB7" w:rsidRPr="008804FC" w:rsidRDefault="00C66DB7" w:rsidP="00AD16C5">
            <w:pPr>
              <w:rPr>
                <w:rFonts w:ascii="Arial" w:hAnsi="Arial" w:cs="Arial"/>
                <w:b/>
                <w:bCs/>
              </w:rPr>
            </w:pPr>
            <w:r w:rsidRPr="008804FC">
              <w:rPr>
                <w:rFonts w:ascii="Arial" w:hAnsi="Arial" w:cs="Arial"/>
                <w:b/>
                <w:bCs/>
              </w:rPr>
              <w:t>IDENTIFIER</w:t>
            </w:r>
          </w:p>
        </w:tc>
      </w:tr>
      <w:tr w:rsidR="00243D1C" w:rsidRPr="008804FC" w14:paraId="0F594B02" w14:textId="77777777" w:rsidTr="00523683">
        <w:trPr>
          <w:cantSplit/>
          <w:trHeight w:val="259"/>
        </w:trPr>
        <w:tc>
          <w:tcPr>
            <w:tcW w:w="9576" w:type="dxa"/>
            <w:gridSpan w:val="3"/>
            <w:tcBorders>
              <w:top w:val="single" w:sz="12" w:space="0" w:color="000000"/>
              <w:left w:val="single" w:sz="18" w:space="0" w:color="auto"/>
              <w:right w:val="single" w:sz="18" w:space="0" w:color="auto"/>
            </w:tcBorders>
            <w:shd w:val="clear" w:color="auto" w:fill="DBE5F1" w:themeFill="accent1" w:themeFillTint="33"/>
          </w:tcPr>
          <w:p w14:paraId="5A266E10" w14:textId="08D9F8D3" w:rsidR="00243D1C" w:rsidRPr="008804FC" w:rsidRDefault="00243D1C" w:rsidP="00243D1C">
            <w:pPr>
              <w:jc w:val="center"/>
              <w:rPr>
                <w:rFonts w:ascii="Arial" w:hAnsi="Arial" w:cs="Arial"/>
                <w:u w:val="single"/>
              </w:rPr>
            </w:pPr>
            <w:r w:rsidRPr="008804FC">
              <w:rPr>
                <w:rFonts w:ascii="Arial" w:hAnsi="Arial" w:cs="Arial"/>
                <w:u w:val="single"/>
              </w:rPr>
              <w:t>Organism/</w:t>
            </w:r>
            <w:r w:rsidR="006D5DDE" w:rsidRPr="008804FC">
              <w:rPr>
                <w:rFonts w:ascii="Arial" w:hAnsi="Arial" w:cs="Arial"/>
                <w:u w:val="single"/>
              </w:rPr>
              <w:t>S</w:t>
            </w:r>
            <w:r w:rsidRPr="008804FC">
              <w:rPr>
                <w:rFonts w:ascii="Arial" w:hAnsi="Arial" w:cs="Arial"/>
                <w:u w:val="single"/>
              </w:rPr>
              <w:t>train</w:t>
            </w:r>
          </w:p>
        </w:tc>
      </w:tr>
      <w:tr w:rsidR="00243D1C" w:rsidRPr="008804FC" w14:paraId="1E34D0F2" w14:textId="77777777" w:rsidTr="00A9588B">
        <w:trPr>
          <w:cantSplit/>
          <w:trHeight w:val="475"/>
        </w:trPr>
        <w:tc>
          <w:tcPr>
            <w:tcW w:w="3937" w:type="dxa"/>
            <w:tcBorders>
              <w:top w:val="single" w:sz="12" w:space="0" w:color="000000"/>
              <w:left w:val="single" w:sz="18" w:space="0" w:color="auto"/>
              <w:bottom w:val="single" w:sz="18" w:space="0" w:color="auto"/>
            </w:tcBorders>
            <w:shd w:val="clear" w:color="auto" w:fill="auto"/>
            <w:vAlign w:val="center"/>
          </w:tcPr>
          <w:p w14:paraId="6F9F547B" w14:textId="3D44E51D" w:rsidR="00243D1C" w:rsidRPr="008804FC" w:rsidRDefault="00243D1C" w:rsidP="00D65B4A">
            <w:pPr>
              <w:rPr>
                <w:rFonts w:ascii="Arial" w:hAnsi="Arial" w:cs="Arial"/>
                <w:sz w:val="18"/>
                <w:szCs w:val="18"/>
              </w:rPr>
            </w:pPr>
            <w:r w:rsidRPr="008804FC">
              <w:rPr>
                <w:rFonts w:ascii="Arial" w:hAnsi="Arial" w:cs="Arial"/>
                <w:sz w:val="18"/>
                <w:szCs w:val="18"/>
              </w:rPr>
              <w:t>Mouse: C57BL/6J</w:t>
            </w:r>
          </w:p>
        </w:tc>
        <w:tc>
          <w:tcPr>
            <w:tcW w:w="2520" w:type="dxa"/>
            <w:tcBorders>
              <w:top w:val="single" w:sz="12" w:space="0" w:color="000000"/>
              <w:bottom w:val="single" w:sz="18" w:space="0" w:color="auto"/>
            </w:tcBorders>
            <w:shd w:val="clear" w:color="auto" w:fill="auto"/>
            <w:vAlign w:val="center"/>
          </w:tcPr>
          <w:p w14:paraId="4E78DAD5" w14:textId="50CC36EB" w:rsidR="00243D1C" w:rsidRPr="008804FC" w:rsidRDefault="00243D1C" w:rsidP="00D65B4A">
            <w:pPr>
              <w:rPr>
                <w:rFonts w:ascii="Arial" w:hAnsi="Arial" w:cs="Arial"/>
                <w:sz w:val="18"/>
                <w:szCs w:val="18"/>
              </w:rPr>
            </w:pPr>
            <w:r w:rsidRPr="008804FC">
              <w:rPr>
                <w:rFonts w:ascii="Arial" w:hAnsi="Arial" w:cs="Arial"/>
                <w:sz w:val="18"/>
                <w:szCs w:val="18"/>
              </w:rPr>
              <w:t>Jackson Labs (Waltham,</w:t>
            </w:r>
            <w:r w:rsidR="00D65B4A" w:rsidRPr="008804FC">
              <w:rPr>
                <w:rFonts w:ascii="Arial" w:hAnsi="Arial" w:cs="Arial"/>
                <w:sz w:val="18"/>
                <w:szCs w:val="18"/>
              </w:rPr>
              <w:t> </w:t>
            </w:r>
            <w:r w:rsidR="00521F64" w:rsidRPr="008804FC">
              <w:rPr>
                <w:rFonts w:ascii="Arial" w:hAnsi="Arial" w:cs="Arial"/>
                <w:sz w:val="18"/>
                <w:szCs w:val="18"/>
              </w:rPr>
              <w:t>MA</w:t>
            </w:r>
            <w:r w:rsidRPr="008804FC">
              <w:rPr>
                <w:rFonts w:ascii="Arial" w:hAnsi="Arial" w:cs="Arial"/>
                <w:sz w:val="18"/>
                <w:szCs w:val="18"/>
              </w:rPr>
              <w:t>, USA)</w:t>
            </w:r>
          </w:p>
        </w:tc>
        <w:tc>
          <w:tcPr>
            <w:tcW w:w="3119" w:type="dxa"/>
            <w:tcBorders>
              <w:top w:val="single" w:sz="12" w:space="0" w:color="000000"/>
              <w:right w:val="single" w:sz="18" w:space="0" w:color="auto"/>
            </w:tcBorders>
            <w:shd w:val="clear" w:color="auto" w:fill="auto"/>
            <w:vAlign w:val="center"/>
          </w:tcPr>
          <w:p w14:paraId="51C1021B" w14:textId="77777777" w:rsidR="00243D1C" w:rsidRPr="008804FC" w:rsidRDefault="00243D1C" w:rsidP="00D65B4A">
            <w:pPr>
              <w:rPr>
                <w:rFonts w:ascii="Arial" w:hAnsi="Arial" w:cs="Arial"/>
                <w:sz w:val="18"/>
                <w:szCs w:val="18"/>
              </w:rPr>
            </w:pPr>
            <w:r w:rsidRPr="008804FC">
              <w:rPr>
                <w:rFonts w:ascii="Arial" w:hAnsi="Arial" w:cs="Arial"/>
                <w:sz w:val="18"/>
                <w:szCs w:val="18"/>
              </w:rPr>
              <w:t>Strain #:000664</w:t>
            </w:r>
          </w:p>
          <w:p w14:paraId="0D7009CE" w14:textId="747AA544" w:rsidR="00243D1C" w:rsidRPr="008804FC" w:rsidRDefault="00243D1C" w:rsidP="00D65B4A">
            <w:pPr>
              <w:rPr>
                <w:rFonts w:ascii="Arial" w:hAnsi="Arial" w:cs="Arial"/>
                <w:sz w:val="18"/>
                <w:szCs w:val="18"/>
              </w:rPr>
            </w:pPr>
            <w:r w:rsidRPr="008804FC">
              <w:rPr>
                <w:rFonts w:ascii="Arial" w:hAnsi="Arial" w:cs="Arial"/>
                <w:sz w:val="18"/>
                <w:szCs w:val="18"/>
              </w:rPr>
              <w:t>RRID: IMSR_JAX:000664</w:t>
            </w:r>
          </w:p>
        </w:tc>
      </w:tr>
      <w:tr w:rsidR="00523683" w:rsidRPr="008804FC" w14:paraId="69E92718" w14:textId="77777777" w:rsidTr="00523683">
        <w:trPr>
          <w:cantSplit/>
          <w:trHeight w:val="259"/>
        </w:trPr>
        <w:tc>
          <w:tcPr>
            <w:tcW w:w="9576" w:type="dxa"/>
            <w:gridSpan w:val="3"/>
            <w:tcBorders>
              <w:top w:val="single" w:sz="18" w:space="0" w:color="auto"/>
              <w:left w:val="single" w:sz="18" w:space="0" w:color="auto"/>
              <w:right w:val="single" w:sz="18" w:space="0" w:color="auto"/>
            </w:tcBorders>
            <w:shd w:val="clear" w:color="auto" w:fill="DBE5F1" w:themeFill="accent1" w:themeFillTint="33"/>
            <w:vAlign w:val="center"/>
          </w:tcPr>
          <w:p w14:paraId="4A3B8EFC" w14:textId="6304C8B5" w:rsidR="00523683" w:rsidRPr="008804FC" w:rsidRDefault="00523683" w:rsidP="00523683">
            <w:pPr>
              <w:jc w:val="center"/>
              <w:rPr>
                <w:rFonts w:ascii="Arial" w:hAnsi="Arial" w:cs="Arial"/>
                <w:sz w:val="20"/>
                <w:szCs w:val="20"/>
              </w:rPr>
            </w:pPr>
            <w:r w:rsidRPr="008804FC">
              <w:rPr>
                <w:rFonts w:ascii="Arial" w:hAnsi="Arial" w:cs="Arial"/>
                <w:u w:val="single"/>
              </w:rPr>
              <w:t>Testing</w:t>
            </w:r>
            <w:r w:rsidRPr="008804FC">
              <w:rPr>
                <w:rFonts w:ascii="Arial" w:hAnsi="Arial" w:cs="Arial"/>
                <w:sz w:val="20"/>
                <w:szCs w:val="20"/>
                <w:u w:val="single"/>
              </w:rPr>
              <w:t xml:space="preserve"> </w:t>
            </w:r>
            <w:r w:rsidRPr="008804FC">
              <w:rPr>
                <w:rFonts w:ascii="Arial" w:hAnsi="Arial" w:cs="Arial"/>
                <w:u w:val="single"/>
              </w:rPr>
              <w:t>Compounds</w:t>
            </w:r>
          </w:p>
        </w:tc>
      </w:tr>
      <w:tr w:rsidR="00523683" w:rsidRPr="008804FC" w14:paraId="7C3D6B3F" w14:textId="77777777" w:rsidTr="00A9588B">
        <w:trPr>
          <w:cantSplit/>
          <w:trHeight w:val="446"/>
        </w:trPr>
        <w:tc>
          <w:tcPr>
            <w:tcW w:w="3937" w:type="dxa"/>
            <w:tcBorders>
              <w:left w:val="single" w:sz="18" w:space="0" w:color="auto"/>
            </w:tcBorders>
            <w:shd w:val="clear" w:color="auto" w:fill="auto"/>
            <w:vAlign w:val="center"/>
          </w:tcPr>
          <w:p w14:paraId="556BCD6E" w14:textId="4F396712" w:rsidR="00523683" w:rsidRPr="008804FC" w:rsidRDefault="00523683" w:rsidP="00D65B4A">
            <w:pPr>
              <w:tabs>
                <w:tab w:val="left" w:pos="1525"/>
              </w:tabs>
              <w:rPr>
                <w:rFonts w:ascii="Arial" w:hAnsi="Arial" w:cs="Arial"/>
                <w:sz w:val="18"/>
                <w:szCs w:val="18"/>
              </w:rPr>
            </w:pPr>
            <w:r w:rsidRPr="008804FC">
              <w:rPr>
                <w:rFonts w:ascii="Arial" w:hAnsi="Arial" w:cs="Arial"/>
                <w:sz w:val="18"/>
                <w:szCs w:val="18"/>
              </w:rPr>
              <w:t>2-Arachidonylglycerol</w:t>
            </w:r>
          </w:p>
        </w:tc>
        <w:tc>
          <w:tcPr>
            <w:tcW w:w="2520" w:type="dxa"/>
            <w:shd w:val="clear" w:color="auto" w:fill="auto"/>
            <w:vAlign w:val="center"/>
          </w:tcPr>
          <w:p w14:paraId="23B4C908" w14:textId="1CFD7404" w:rsidR="00523683" w:rsidRPr="008804FC" w:rsidRDefault="00523683" w:rsidP="00D65B4A">
            <w:pPr>
              <w:rPr>
                <w:rFonts w:ascii="Arial" w:hAnsi="Arial" w:cs="Arial"/>
                <w:sz w:val="18"/>
                <w:szCs w:val="18"/>
              </w:rPr>
            </w:pPr>
            <w:r w:rsidRPr="008804FC">
              <w:rPr>
                <w:rFonts w:ascii="Arial" w:hAnsi="Arial" w:cs="Arial"/>
                <w:sz w:val="18"/>
                <w:szCs w:val="18"/>
              </w:rPr>
              <w:t>Tocris Bioscience (Bristol,</w:t>
            </w:r>
            <w:r w:rsidR="00D65B4A" w:rsidRPr="008804FC">
              <w:rPr>
                <w:rFonts w:ascii="Arial" w:hAnsi="Arial" w:cs="Arial"/>
                <w:sz w:val="18"/>
                <w:szCs w:val="18"/>
              </w:rPr>
              <w:t> </w:t>
            </w:r>
            <w:r w:rsidR="00F30920" w:rsidRPr="008804FC">
              <w:rPr>
                <w:rFonts w:ascii="Arial" w:hAnsi="Arial" w:cs="Arial"/>
                <w:sz w:val="18"/>
                <w:szCs w:val="18"/>
              </w:rPr>
              <w:t>GBR</w:t>
            </w:r>
            <w:r w:rsidRPr="008804FC">
              <w:rPr>
                <w:rFonts w:ascii="Arial" w:hAnsi="Arial" w:cs="Arial"/>
                <w:sz w:val="18"/>
                <w:szCs w:val="18"/>
              </w:rPr>
              <w:t>)</w:t>
            </w:r>
          </w:p>
        </w:tc>
        <w:tc>
          <w:tcPr>
            <w:tcW w:w="3119" w:type="dxa"/>
            <w:tcBorders>
              <w:right w:val="single" w:sz="18" w:space="0" w:color="auto"/>
            </w:tcBorders>
            <w:shd w:val="clear" w:color="auto" w:fill="auto"/>
            <w:vAlign w:val="center"/>
          </w:tcPr>
          <w:p w14:paraId="69910A1A" w14:textId="3A810E85" w:rsidR="00523683" w:rsidRPr="008804FC" w:rsidRDefault="001860F9" w:rsidP="00D65B4A">
            <w:pPr>
              <w:rPr>
                <w:rFonts w:ascii="Arial" w:hAnsi="Arial" w:cs="Arial"/>
                <w:sz w:val="18"/>
                <w:szCs w:val="18"/>
              </w:rPr>
            </w:pPr>
            <w:r w:rsidRPr="008804FC">
              <w:rPr>
                <w:rFonts w:ascii="Arial" w:hAnsi="Arial" w:cs="Arial"/>
                <w:sz w:val="18"/>
                <w:szCs w:val="18"/>
              </w:rPr>
              <w:t>Cat.#</w:t>
            </w:r>
            <w:r w:rsidR="00523683" w:rsidRPr="008804FC">
              <w:rPr>
                <w:rFonts w:ascii="Arial" w:hAnsi="Arial" w:cs="Arial"/>
                <w:sz w:val="18"/>
                <w:szCs w:val="18"/>
              </w:rPr>
              <w:t xml:space="preserve"> 1298</w:t>
            </w:r>
          </w:p>
        </w:tc>
      </w:tr>
      <w:tr w:rsidR="00523683" w:rsidRPr="008804FC" w14:paraId="460B686A" w14:textId="77777777" w:rsidTr="00A9588B">
        <w:trPr>
          <w:cantSplit/>
          <w:trHeight w:val="446"/>
        </w:trPr>
        <w:tc>
          <w:tcPr>
            <w:tcW w:w="3937" w:type="dxa"/>
            <w:tcBorders>
              <w:left w:val="single" w:sz="18" w:space="0" w:color="auto"/>
            </w:tcBorders>
            <w:shd w:val="clear" w:color="auto" w:fill="auto"/>
            <w:vAlign w:val="center"/>
          </w:tcPr>
          <w:p w14:paraId="5B484DFD" w14:textId="29BE23DA" w:rsidR="00523683" w:rsidRPr="008804FC" w:rsidRDefault="00523683" w:rsidP="00D65B4A">
            <w:pPr>
              <w:tabs>
                <w:tab w:val="left" w:pos="1525"/>
              </w:tabs>
              <w:rPr>
                <w:rFonts w:ascii="Arial" w:hAnsi="Arial" w:cs="Arial"/>
                <w:sz w:val="18"/>
                <w:szCs w:val="18"/>
              </w:rPr>
            </w:pPr>
            <w:r w:rsidRPr="008804FC">
              <w:rPr>
                <w:rFonts w:ascii="Arial" w:hAnsi="Arial" w:cs="Arial"/>
                <w:sz w:val="18"/>
                <w:szCs w:val="18"/>
              </w:rPr>
              <w:t>Retigabine Dihydrochloride</w:t>
            </w:r>
          </w:p>
        </w:tc>
        <w:tc>
          <w:tcPr>
            <w:tcW w:w="2520" w:type="dxa"/>
            <w:shd w:val="clear" w:color="auto" w:fill="auto"/>
            <w:vAlign w:val="center"/>
          </w:tcPr>
          <w:p w14:paraId="7FE4D7B8" w14:textId="5697E4A1" w:rsidR="00523683" w:rsidRPr="008804FC" w:rsidRDefault="00523683" w:rsidP="00D65B4A">
            <w:pPr>
              <w:rPr>
                <w:rFonts w:ascii="Arial" w:hAnsi="Arial" w:cs="Arial"/>
                <w:sz w:val="18"/>
                <w:szCs w:val="18"/>
              </w:rPr>
            </w:pPr>
            <w:r w:rsidRPr="008804FC">
              <w:rPr>
                <w:rFonts w:ascii="Arial" w:hAnsi="Arial" w:cs="Arial"/>
                <w:sz w:val="18"/>
                <w:szCs w:val="18"/>
              </w:rPr>
              <w:t>Axon MedChem (Reston,</w:t>
            </w:r>
            <w:r w:rsidR="00D65B4A" w:rsidRPr="008804FC">
              <w:rPr>
                <w:rFonts w:ascii="Arial" w:hAnsi="Arial" w:cs="Arial"/>
                <w:sz w:val="18"/>
                <w:szCs w:val="18"/>
              </w:rPr>
              <w:t> </w:t>
            </w:r>
            <w:r w:rsidR="00521F64" w:rsidRPr="008804FC">
              <w:rPr>
                <w:rFonts w:ascii="Arial" w:hAnsi="Arial" w:cs="Arial"/>
                <w:sz w:val="18"/>
                <w:szCs w:val="18"/>
              </w:rPr>
              <w:t>VA</w:t>
            </w:r>
            <w:r w:rsidRPr="008804FC">
              <w:rPr>
                <w:rFonts w:ascii="Arial" w:hAnsi="Arial" w:cs="Arial"/>
                <w:sz w:val="18"/>
                <w:szCs w:val="18"/>
              </w:rPr>
              <w:t>, USA)</w:t>
            </w:r>
          </w:p>
        </w:tc>
        <w:tc>
          <w:tcPr>
            <w:tcW w:w="3119" w:type="dxa"/>
            <w:tcBorders>
              <w:right w:val="single" w:sz="18" w:space="0" w:color="auto"/>
            </w:tcBorders>
            <w:shd w:val="clear" w:color="auto" w:fill="auto"/>
            <w:vAlign w:val="center"/>
          </w:tcPr>
          <w:p w14:paraId="0934B4DE" w14:textId="78C91F11" w:rsidR="00523683" w:rsidRPr="008804FC" w:rsidRDefault="001860F9" w:rsidP="00D65B4A">
            <w:pPr>
              <w:rPr>
                <w:rFonts w:ascii="Arial" w:hAnsi="Arial" w:cs="Arial"/>
                <w:sz w:val="18"/>
                <w:szCs w:val="18"/>
              </w:rPr>
            </w:pPr>
            <w:r w:rsidRPr="008804FC">
              <w:rPr>
                <w:rFonts w:ascii="Arial" w:hAnsi="Arial" w:cs="Arial"/>
                <w:sz w:val="18"/>
                <w:szCs w:val="18"/>
              </w:rPr>
              <w:t>Cat.#</w:t>
            </w:r>
            <w:r w:rsidR="00523683" w:rsidRPr="008804FC">
              <w:rPr>
                <w:rFonts w:ascii="Arial" w:hAnsi="Arial" w:cs="Arial"/>
                <w:sz w:val="18"/>
                <w:szCs w:val="18"/>
              </w:rPr>
              <w:t xml:space="preserve"> 2252</w:t>
            </w:r>
          </w:p>
        </w:tc>
      </w:tr>
      <w:tr w:rsidR="00523683" w:rsidRPr="008804FC" w14:paraId="4E860953" w14:textId="77777777" w:rsidTr="00A9588B">
        <w:trPr>
          <w:cantSplit/>
          <w:trHeight w:val="504"/>
        </w:trPr>
        <w:tc>
          <w:tcPr>
            <w:tcW w:w="3937" w:type="dxa"/>
            <w:tcBorders>
              <w:left w:val="single" w:sz="18" w:space="0" w:color="auto"/>
              <w:bottom w:val="single" w:sz="18" w:space="0" w:color="auto"/>
            </w:tcBorders>
            <w:shd w:val="clear" w:color="auto" w:fill="auto"/>
            <w:vAlign w:val="center"/>
          </w:tcPr>
          <w:p w14:paraId="20068055" w14:textId="059F2A06" w:rsidR="00523683" w:rsidRPr="008804FC" w:rsidRDefault="00523683" w:rsidP="00D65B4A">
            <w:pPr>
              <w:tabs>
                <w:tab w:val="left" w:pos="1525"/>
              </w:tabs>
              <w:rPr>
                <w:rFonts w:ascii="Arial" w:hAnsi="Arial" w:cs="Arial"/>
                <w:sz w:val="18"/>
                <w:szCs w:val="18"/>
              </w:rPr>
            </w:pPr>
            <w:r w:rsidRPr="008804FC">
              <w:rPr>
                <w:rFonts w:ascii="Arial" w:hAnsi="Arial" w:cs="Arial"/>
                <w:sz w:val="18"/>
                <w:szCs w:val="18"/>
              </w:rPr>
              <w:t>CS640 CaMKI Inhibitor</w:t>
            </w:r>
          </w:p>
        </w:tc>
        <w:tc>
          <w:tcPr>
            <w:tcW w:w="2520" w:type="dxa"/>
            <w:tcBorders>
              <w:bottom w:val="single" w:sz="18" w:space="0" w:color="auto"/>
            </w:tcBorders>
            <w:shd w:val="clear" w:color="auto" w:fill="auto"/>
            <w:vAlign w:val="center"/>
          </w:tcPr>
          <w:p w14:paraId="34761140" w14:textId="514CF85C" w:rsidR="00523683" w:rsidRPr="008804FC" w:rsidRDefault="00523683" w:rsidP="00D65B4A">
            <w:pPr>
              <w:rPr>
                <w:rFonts w:ascii="Arial" w:hAnsi="Arial" w:cs="Arial"/>
                <w:sz w:val="18"/>
                <w:szCs w:val="18"/>
              </w:rPr>
            </w:pPr>
            <w:r w:rsidRPr="008804FC">
              <w:rPr>
                <w:rFonts w:ascii="Arial" w:hAnsi="Arial" w:cs="Arial"/>
                <w:sz w:val="18"/>
                <w:szCs w:val="18"/>
              </w:rPr>
              <w:t xml:space="preserve">MedChemExpress (Monmouth Junction, </w:t>
            </w:r>
            <w:r w:rsidR="00521F64" w:rsidRPr="008804FC">
              <w:rPr>
                <w:rFonts w:ascii="Arial" w:hAnsi="Arial" w:cs="Arial"/>
                <w:sz w:val="18"/>
                <w:szCs w:val="18"/>
              </w:rPr>
              <w:t>NJ</w:t>
            </w:r>
            <w:r w:rsidRPr="008804FC">
              <w:rPr>
                <w:rFonts w:ascii="Arial" w:hAnsi="Arial" w:cs="Arial"/>
                <w:sz w:val="18"/>
                <w:szCs w:val="18"/>
              </w:rPr>
              <w:t>, USA)</w:t>
            </w:r>
          </w:p>
        </w:tc>
        <w:tc>
          <w:tcPr>
            <w:tcW w:w="3119" w:type="dxa"/>
            <w:tcBorders>
              <w:bottom w:val="single" w:sz="18" w:space="0" w:color="auto"/>
              <w:right w:val="single" w:sz="18" w:space="0" w:color="auto"/>
            </w:tcBorders>
            <w:shd w:val="clear" w:color="auto" w:fill="auto"/>
            <w:vAlign w:val="center"/>
          </w:tcPr>
          <w:p w14:paraId="30808BF5" w14:textId="30F3D262" w:rsidR="00523683" w:rsidRPr="008804FC" w:rsidRDefault="001860F9" w:rsidP="00D65B4A">
            <w:pPr>
              <w:rPr>
                <w:rFonts w:ascii="Arial" w:hAnsi="Arial" w:cs="Arial"/>
                <w:sz w:val="18"/>
                <w:szCs w:val="18"/>
              </w:rPr>
            </w:pPr>
            <w:r w:rsidRPr="008804FC">
              <w:rPr>
                <w:rFonts w:ascii="Arial" w:hAnsi="Arial" w:cs="Arial"/>
                <w:sz w:val="18"/>
                <w:szCs w:val="18"/>
              </w:rPr>
              <w:t>Cat.#</w:t>
            </w:r>
            <w:r w:rsidR="00523683" w:rsidRPr="008804FC">
              <w:rPr>
                <w:rFonts w:ascii="Arial" w:hAnsi="Arial" w:cs="Arial"/>
                <w:sz w:val="18"/>
                <w:szCs w:val="18"/>
              </w:rPr>
              <w:t xml:space="preserve"> HY-148907</w:t>
            </w:r>
          </w:p>
        </w:tc>
      </w:tr>
      <w:tr w:rsidR="00523683" w:rsidRPr="008804FC" w14:paraId="6057636B" w14:textId="77777777" w:rsidTr="00F35870">
        <w:trPr>
          <w:cantSplit/>
          <w:trHeight w:val="259"/>
        </w:trPr>
        <w:tc>
          <w:tcPr>
            <w:tcW w:w="9576" w:type="dxa"/>
            <w:gridSpan w:val="3"/>
            <w:tcBorders>
              <w:top w:val="single" w:sz="18" w:space="0" w:color="auto"/>
              <w:left w:val="single" w:sz="18" w:space="0" w:color="auto"/>
              <w:right w:val="single" w:sz="18" w:space="0" w:color="auto"/>
            </w:tcBorders>
            <w:shd w:val="clear" w:color="auto" w:fill="DBE5F1" w:themeFill="accent1" w:themeFillTint="33"/>
            <w:vAlign w:val="center"/>
          </w:tcPr>
          <w:p w14:paraId="73B420B3" w14:textId="443DB468" w:rsidR="00523683" w:rsidRPr="008804FC" w:rsidRDefault="00523683" w:rsidP="00523683">
            <w:pPr>
              <w:jc w:val="center"/>
              <w:rPr>
                <w:rFonts w:ascii="Arial" w:hAnsi="Arial" w:cs="Arial"/>
                <w:sz w:val="20"/>
                <w:szCs w:val="20"/>
              </w:rPr>
            </w:pPr>
            <w:r w:rsidRPr="008804FC">
              <w:rPr>
                <w:rFonts w:ascii="Arial" w:hAnsi="Arial" w:cs="Arial"/>
                <w:u w:val="single"/>
              </w:rPr>
              <w:t>IHC</w:t>
            </w:r>
          </w:p>
        </w:tc>
      </w:tr>
      <w:tr w:rsidR="00523683" w:rsidRPr="008804FC" w14:paraId="0996A282" w14:textId="77777777" w:rsidTr="00D65B4A">
        <w:trPr>
          <w:cantSplit/>
          <w:trHeight w:val="259"/>
        </w:trPr>
        <w:tc>
          <w:tcPr>
            <w:tcW w:w="9576" w:type="dxa"/>
            <w:gridSpan w:val="3"/>
            <w:tcBorders>
              <w:left w:val="single" w:sz="18" w:space="0" w:color="auto"/>
              <w:right w:val="single" w:sz="18" w:space="0" w:color="auto"/>
            </w:tcBorders>
            <w:shd w:val="clear" w:color="auto" w:fill="DBE5F1" w:themeFill="accent1" w:themeFillTint="33"/>
            <w:vAlign w:val="center"/>
          </w:tcPr>
          <w:p w14:paraId="7AC24323" w14:textId="5F57FC42" w:rsidR="00523683" w:rsidRPr="008804FC" w:rsidRDefault="00523683" w:rsidP="00D65B4A">
            <w:pPr>
              <w:rPr>
                <w:rFonts w:ascii="Arial" w:hAnsi="Arial" w:cs="Arial"/>
                <w:sz w:val="20"/>
                <w:szCs w:val="20"/>
              </w:rPr>
            </w:pPr>
            <w:r w:rsidRPr="008804FC">
              <w:rPr>
                <w:rFonts w:ascii="Arial" w:hAnsi="Arial" w:cs="Arial"/>
                <w:i/>
                <w:iCs/>
                <w:sz w:val="20"/>
                <w:szCs w:val="20"/>
              </w:rPr>
              <w:t>Antibodies and Counterstains</w:t>
            </w:r>
          </w:p>
        </w:tc>
      </w:tr>
      <w:tr w:rsidR="00523683" w:rsidRPr="008804FC" w14:paraId="2255A67E" w14:textId="77777777" w:rsidTr="00A9588B">
        <w:trPr>
          <w:cantSplit/>
          <w:trHeight w:val="446"/>
        </w:trPr>
        <w:tc>
          <w:tcPr>
            <w:tcW w:w="3937" w:type="dxa"/>
            <w:tcBorders>
              <w:left w:val="single" w:sz="18" w:space="0" w:color="auto"/>
            </w:tcBorders>
            <w:shd w:val="clear" w:color="auto" w:fill="auto"/>
            <w:vAlign w:val="center"/>
          </w:tcPr>
          <w:p w14:paraId="72E51463" w14:textId="7A53B31C" w:rsidR="00523683" w:rsidRPr="008804FC" w:rsidRDefault="00523683" w:rsidP="00D65B4A">
            <w:pPr>
              <w:tabs>
                <w:tab w:val="left" w:pos="1525"/>
              </w:tabs>
              <w:rPr>
                <w:rFonts w:ascii="Arial" w:hAnsi="Arial" w:cs="Arial"/>
                <w:sz w:val="18"/>
                <w:szCs w:val="18"/>
              </w:rPr>
            </w:pPr>
            <w:r w:rsidRPr="008804FC">
              <w:rPr>
                <w:rFonts w:ascii="Arial" w:hAnsi="Arial" w:cs="Arial"/>
                <w:sz w:val="18"/>
                <w:szCs w:val="18"/>
              </w:rPr>
              <w:t>Rabbit Polyclonal Anti-KCNQ2</w:t>
            </w:r>
          </w:p>
        </w:tc>
        <w:tc>
          <w:tcPr>
            <w:tcW w:w="2520" w:type="dxa"/>
            <w:shd w:val="clear" w:color="auto" w:fill="auto"/>
            <w:vAlign w:val="center"/>
          </w:tcPr>
          <w:p w14:paraId="594C1EE3" w14:textId="0AE96B89" w:rsidR="00523683" w:rsidRPr="008804FC" w:rsidRDefault="00523683" w:rsidP="00D65B4A">
            <w:pPr>
              <w:rPr>
                <w:rFonts w:ascii="Arial" w:hAnsi="Arial" w:cs="Arial"/>
                <w:sz w:val="18"/>
                <w:szCs w:val="18"/>
              </w:rPr>
            </w:pPr>
            <w:r w:rsidRPr="008804FC">
              <w:rPr>
                <w:rFonts w:ascii="Arial" w:hAnsi="Arial" w:cs="Arial"/>
                <w:sz w:val="18"/>
                <w:szCs w:val="18"/>
              </w:rPr>
              <w:t>Alomone (Jerusalem, I</w:t>
            </w:r>
            <w:r w:rsidR="00F30920" w:rsidRPr="008804FC">
              <w:rPr>
                <w:rFonts w:ascii="Arial" w:hAnsi="Arial" w:cs="Arial"/>
                <w:sz w:val="18"/>
                <w:szCs w:val="18"/>
              </w:rPr>
              <w:t>SR</w:t>
            </w:r>
            <w:r w:rsidRPr="008804FC">
              <w:rPr>
                <w:rFonts w:ascii="Arial" w:hAnsi="Arial" w:cs="Arial"/>
                <w:sz w:val="18"/>
                <w:szCs w:val="18"/>
              </w:rPr>
              <w:t>)</w:t>
            </w:r>
          </w:p>
        </w:tc>
        <w:tc>
          <w:tcPr>
            <w:tcW w:w="3119" w:type="dxa"/>
            <w:tcBorders>
              <w:right w:val="single" w:sz="18" w:space="0" w:color="auto"/>
            </w:tcBorders>
            <w:shd w:val="clear" w:color="auto" w:fill="auto"/>
            <w:vAlign w:val="center"/>
          </w:tcPr>
          <w:p w14:paraId="5849CD4B" w14:textId="28E8D37E" w:rsidR="00523683" w:rsidRPr="008804FC" w:rsidRDefault="001860F9" w:rsidP="00D65B4A">
            <w:pPr>
              <w:rPr>
                <w:rFonts w:ascii="Arial" w:hAnsi="Arial" w:cs="Arial"/>
                <w:sz w:val="18"/>
                <w:szCs w:val="18"/>
              </w:rPr>
            </w:pPr>
            <w:r w:rsidRPr="008804FC">
              <w:rPr>
                <w:rFonts w:ascii="Arial" w:hAnsi="Arial" w:cs="Arial"/>
                <w:sz w:val="18"/>
                <w:szCs w:val="18"/>
              </w:rPr>
              <w:t>Cat.#</w:t>
            </w:r>
            <w:r w:rsidR="00523683" w:rsidRPr="008804FC">
              <w:rPr>
                <w:rFonts w:ascii="Arial" w:hAnsi="Arial" w:cs="Arial"/>
                <w:sz w:val="18"/>
                <w:szCs w:val="18"/>
              </w:rPr>
              <w:t xml:space="preserve"> APC-050</w:t>
            </w:r>
          </w:p>
        </w:tc>
      </w:tr>
      <w:tr w:rsidR="00523683" w:rsidRPr="008804FC" w14:paraId="70C355FC" w14:textId="77777777" w:rsidTr="00A9588B">
        <w:trPr>
          <w:cantSplit/>
          <w:trHeight w:val="446"/>
        </w:trPr>
        <w:tc>
          <w:tcPr>
            <w:tcW w:w="3937" w:type="dxa"/>
            <w:tcBorders>
              <w:left w:val="single" w:sz="18" w:space="0" w:color="auto"/>
            </w:tcBorders>
            <w:shd w:val="clear" w:color="auto" w:fill="auto"/>
            <w:vAlign w:val="center"/>
          </w:tcPr>
          <w:p w14:paraId="4AE0E6FF" w14:textId="5DA1B650" w:rsidR="00523683" w:rsidRPr="008804FC" w:rsidRDefault="00523683" w:rsidP="00D65B4A">
            <w:pPr>
              <w:tabs>
                <w:tab w:val="left" w:pos="1525"/>
              </w:tabs>
              <w:rPr>
                <w:rFonts w:ascii="Arial" w:hAnsi="Arial" w:cs="Arial"/>
                <w:sz w:val="18"/>
                <w:szCs w:val="18"/>
              </w:rPr>
            </w:pPr>
            <w:r w:rsidRPr="008804FC">
              <w:rPr>
                <w:rFonts w:ascii="Arial" w:hAnsi="Arial" w:cs="Arial"/>
                <w:sz w:val="18"/>
                <w:szCs w:val="18"/>
              </w:rPr>
              <w:t>Rabbit Polyclonal Anti-KCNQ3</w:t>
            </w:r>
          </w:p>
        </w:tc>
        <w:tc>
          <w:tcPr>
            <w:tcW w:w="2520" w:type="dxa"/>
            <w:shd w:val="clear" w:color="auto" w:fill="auto"/>
            <w:vAlign w:val="center"/>
          </w:tcPr>
          <w:p w14:paraId="310A9975" w14:textId="0D49C17A" w:rsidR="00523683" w:rsidRPr="008804FC" w:rsidRDefault="00523683" w:rsidP="00D65B4A">
            <w:pPr>
              <w:rPr>
                <w:rFonts w:ascii="Arial" w:hAnsi="Arial" w:cs="Arial"/>
                <w:sz w:val="18"/>
                <w:szCs w:val="18"/>
              </w:rPr>
            </w:pPr>
            <w:r w:rsidRPr="008804FC">
              <w:rPr>
                <w:rFonts w:ascii="Arial" w:hAnsi="Arial" w:cs="Arial"/>
                <w:sz w:val="18"/>
                <w:szCs w:val="18"/>
              </w:rPr>
              <w:t>Alomone (Jerusalem, I</w:t>
            </w:r>
            <w:r w:rsidR="00F30920" w:rsidRPr="008804FC">
              <w:rPr>
                <w:rFonts w:ascii="Arial" w:hAnsi="Arial" w:cs="Arial"/>
                <w:sz w:val="18"/>
                <w:szCs w:val="18"/>
              </w:rPr>
              <w:t>SR</w:t>
            </w:r>
            <w:r w:rsidRPr="008804FC">
              <w:rPr>
                <w:rFonts w:ascii="Arial" w:hAnsi="Arial" w:cs="Arial"/>
                <w:sz w:val="18"/>
                <w:szCs w:val="18"/>
              </w:rPr>
              <w:t>)</w:t>
            </w:r>
          </w:p>
        </w:tc>
        <w:tc>
          <w:tcPr>
            <w:tcW w:w="3119" w:type="dxa"/>
            <w:tcBorders>
              <w:right w:val="single" w:sz="18" w:space="0" w:color="auto"/>
            </w:tcBorders>
            <w:shd w:val="clear" w:color="auto" w:fill="auto"/>
            <w:vAlign w:val="center"/>
          </w:tcPr>
          <w:p w14:paraId="7EADE8A7" w14:textId="19A6225C" w:rsidR="00523683" w:rsidRPr="008804FC" w:rsidRDefault="001860F9" w:rsidP="00D65B4A">
            <w:pPr>
              <w:rPr>
                <w:rFonts w:ascii="Arial" w:hAnsi="Arial" w:cs="Arial"/>
                <w:sz w:val="18"/>
                <w:szCs w:val="18"/>
              </w:rPr>
            </w:pPr>
            <w:r w:rsidRPr="008804FC">
              <w:rPr>
                <w:rFonts w:ascii="Arial" w:hAnsi="Arial" w:cs="Arial"/>
                <w:sz w:val="18"/>
                <w:szCs w:val="18"/>
              </w:rPr>
              <w:t>Cat.#</w:t>
            </w:r>
            <w:r w:rsidR="00523683" w:rsidRPr="008804FC">
              <w:rPr>
                <w:rFonts w:ascii="Arial" w:hAnsi="Arial" w:cs="Arial"/>
                <w:sz w:val="18"/>
                <w:szCs w:val="18"/>
              </w:rPr>
              <w:t xml:space="preserve"> APC-051</w:t>
            </w:r>
          </w:p>
        </w:tc>
      </w:tr>
      <w:tr w:rsidR="00523683" w:rsidRPr="008804FC" w14:paraId="6272621B" w14:textId="77777777" w:rsidTr="00A9588B">
        <w:trPr>
          <w:cantSplit/>
          <w:trHeight w:val="446"/>
        </w:trPr>
        <w:tc>
          <w:tcPr>
            <w:tcW w:w="3937" w:type="dxa"/>
            <w:tcBorders>
              <w:left w:val="single" w:sz="18" w:space="0" w:color="auto"/>
            </w:tcBorders>
            <w:shd w:val="clear" w:color="auto" w:fill="auto"/>
            <w:vAlign w:val="center"/>
          </w:tcPr>
          <w:p w14:paraId="10C6A68D" w14:textId="37205DAE" w:rsidR="00523683" w:rsidRPr="008804FC" w:rsidRDefault="00523683" w:rsidP="00D65B4A">
            <w:pPr>
              <w:tabs>
                <w:tab w:val="left" w:pos="1525"/>
              </w:tabs>
              <w:rPr>
                <w:rFonts w:ascii="Arial" w:hAnsi="Arial" w:cs="Arial"/>
                <w:sz w:val="18"/>
                <w:szCs w:val="18"/>
              </w:rPr>
            </w:pPr>
            <w:r w:rsidRPr="008804FC">
              <w:rPr>
                <w:rFonts w:ascii="Arial" w:hAnsi="Arial" w:cs="Arial"/>
                <w:sz w:val="18"/>
                <w:szCs w:val="18"/>
              </w:rPr>
              <w:t>Rabbit Polyclonal Anti-KCNQ4</w:t>
            </w:r>
          </w:p>
        </w:tc>
        <w:tc>
          <w:tcPr>
            <w:tcW w:w="2520" w:type="dxa"/>
            <w:shd w:val="clear" w:color="auto" w:fill="auto"/>
            <w:vAlign w:val="center"/>
          </w:tcPr>
          <w:p w14:paraId="2FF02865" w14:textId="10D882B8" w:rsidR="00523683" w:rsidRPr="008804FC" w:rsidRDefault="00523683" w:rsidP="00D65B4A">
            <w:pPr>
              <w:rPr>
                <w:rFonts w:ascii="Arial" w:hAnsi="Arial" w:cs="Arial"/>
                <w:sz w:val="18"/>
                <w:szCs w:val="18"/>
              </w:rPr>
            </w:pPr>
            <w:r w:rsidRPr="008804FC">
              <w:rPr>
                <w:rFonts w:ascii="Arial" w:hAnsi="Arial" w:cs="Arial"/>
                <w:sz w:val="18"/>
                <w:szCs w:val="18"/>
              </w:rPr>
              <w:t>Alomone (Jerusalem, I</w:t>
            </w:r>
            <w:r w:rsidR="00F30920" w:rsidRPr="008804FC">
              <w:rPr>
                <w:rFonts w:ascii="Arial" w:hAnsi="Arial" w:cs="Arial"/>
                <w:sz w:val="18"/>
                <w:szCs w:val="18"/>
              </w:rPr>
              <w:t>SR</w:t>
            </w:r>
            <w:r w:rsidRPr="008804FC">
              <w:rPr>
                <w:rFonts w:ascii="Arial" w:hAnsi="Arial" w:cs="Arial"/>
                <w:sz w:val="18"/>
                <w:szCs w:val="18"/>
              </w:rPr>
              <w:t>)</w:t>
            </w:r>
          </w:p>
        </w:tc>
        <w:tc>
          <w:tcPr>
            <w:tcW w:w="3119" w:type="dxa"/>
            <w:tcBorders>
              <w:right w:val="single" w:sz="18" w:space="0" w:color="auto"/>
            </w:tcBorders>
            <w:shd w:val="clear" w:color="auto" w:fill="auto"/>
            <w:vAlign w:val="center"/>
          </w:tcPr>
          <w:p w14:paraId="2B4A74DF" w14:textId="0AACE823" w:rsidR="00523683" w:rsidRPr="008804FC" w:rsidRDefault="001860F9" w:rsidP="00D65B4A">
            <w:pPr>
              <w:rPr>
                <w:rFonts w:ascii="Arial" w:hAnsi="Arial" w:cs="Arial"/>
                <w:sz w:val="18"/>
                <w:szCs w:val="18"/>
              </w:rPr>
            </w:pPr>
            <w:r w:rsidRPr="008804FC">
              <w:rPr>
                <w:rFonts w:ascii="Arial" w:hAnsi="Arial" w:cs="Arial"/>
                <w:sz w:val="18"/>
                <w:szCs w:val="18"/>
              </w:rPr>
              <w:t>Cat.#</w:t>
            </w:r>
            <w:r w:rsidR="00523683" w:rsidRPr="008804FC">
              <w:rPr>
                <w:rFonts w:ascii="Arial" w:hAnsi="Arial" w:cs="Arial"/>
                <w:sz w:val="18"/>
                <w:szCs w:val="18"/>
              </w:rPr>
              <w:t xml:space="preserve"> APC-164</w:t>
            </w:r>
          </w:p>
        </w:tc>
      </w:tr>
      <w:tr w:rsidR="00523683" w:rsidRPr="008804FC" w14:paraId="2B9FE777" w14:textId="77777777" w:rsidTr="00A9588B">
        <w:trPr>
          <w:cantSplit/>
          <w:trHeight w:val="446"/>
        </w:trPr>
        <w:tc>
          <w:tcPr>
            <w:tcW w:w="3937" w:type="dxa"/>
            <w:tcBorders>
              <w:left w:val="single" w:sz="18" w:space="0" w:color="auto"/>
            </w:tcBorders>
            <w:shd w:val="clear" w:color="auto" w:fill="auto"/>
            <w:vAlign w:val="center"/>
          </w:tcPr>
          <w:p w14:paraId="592A9081" w14:textId="527B8F49" w:rsidR="00523683" w:rsidRPr="008804FC" w:rsidRDefault="00523683" w:rsidP="00D65B4A">
            <w:pPr>
              <w:tabs>
                <w:tab w:val="left" w:pos="1525"/>
              </w:tabs>
              <w:rPr>
                <w:rFonts w:ascii="Arial" w:hAnsi="Arial" w:cs="Arial"/>
                <w:sz w:val="18"/>
                <w:szCs w:val="18"/>
              </w:rPr>
            </w:pPr>
            <w:r w:rsidRPr="008804FC">
              <w:rPr>
                <w:rFonts w:ascii="Arial" w:hAnsi="Arial" w:cs="Arial"/>
                <w:sz w:val="18"/>
                <w:szCs w:val="18"/>
              </w:rPr>
              <w:t>Rabbit Polyclonal Anti-KCNQ5</w:t>
            </w:r>
          </w:p>
        </w:tc>
        <w:tc>
          <w:tcPr>
            <w:tcW w:w="2520" w:type="dxa"/>
            <w:shd w:val="clear" w:color="auto" w:fill="auto"/>
            <w:vAlign w:val="center"/>
          </w:tcPr>
          <w:p w14:paraId="50F697E1" w14:textId="64553460" w:rsidR="00523683" w:rsidRPr="008804FC" w:rsidRDefault="00523683" w:rsidP="00D65B4A">
            <w:pPr>
              <w:rPr>
                <w:rFonts w:ascii="Arial" w:hAnsi="Arial" w:cs="Arial"/>
                <w:sz w:val="18"/>
                <w:szCs w:val="18"/>
              </w:rPr>
            </w:pPr>
            <w:r w:rsidRPr="008804FC">
              <w:rPr>
                <w:rFonts w:ascii="Arial" w:hAnsi="Arial" w:cs="Arial"/>
                <w:sz w:val="18"/>
                <w:szCs w:val="18"/>
              </w:rPr>
              <w:t>Alomone (Jerusalem, I</w:t>
            </w:r>
            <w:r w:rsidR="00F30920" w:rsidRPr="008804FC">
              <w:rPr>
                <w:rFonts w:ascii="Arial" w:hAnsi="Arial" w:cs="Arial"/>
                <w:sz w:val="18"/>
                <w:szCs w:val="18"/>
              </w:rPr>
              <w:t>SR</w:t>
            </w:r>
            <w:r w:rsidRPr="008804FC">
              <w:rPr>
                <w:rFonts w:ascii="Arial" w:hAnsi="Arial" w:cs="Arial"/>
                <w:sz w:val="18"/>
                <w:szCs w:val="18"/>
              </w:rPr>
              <w:t>)</w:t>
            </w:r>
          </w:p>
        </w:tc>
        <w:tc>
          <w:tcPr>
            <w:tcW w:w="3119" w:type="dxa"/>
            <w:tcBorders>
              <w:right w:val="single" w:sz="18" w:space="0" w:color="auto"/>
            </w:tcBorders>
            <w:shd w:val="clear" w:color="auto" w:fill="auto"/>
            <w:vAlign w:val="center"/>
          </w:tcPr>
          <w:p w14:paraId="1F2D659C" w14:textId="3A10ECAC" w:rsidR="00523683" w:rsidRPr="008804FC" w:rsidRDefault="001860F9" w:rsidP="00D65B4A">
            <w:pPr>
              <w:rPr>
                <w:rFonts w:ascii="Arial" w:hAnsi="Arial" w:cs="Arial"/>
                <w:sz w:val="18"/>
                <w:szCs w:val="18"/>
              </w:rPr>
            </w:pPr>
            <w:r w:rsidRPr="008804FC">
              <w:rPr>
                <w:rFonts w:ascii="Arial" w:hAnsi="Arial" w:cs="Arial"/>
                <w:sz w:val="18"/>
                <w:szCs w:val="18"/>
              </w:rPr>
              <w:t>Cat.#</w:t>
            </w:r>
            <w:r w:rsidR="00523683" w:rsidRPr="008804FC">
              <w:rPr>
                <w:rFonts w:ascii="Arial" w:hAnsi="Arial" w:cs="Arial"/>
                <w:sz w:val="18"/>
                <w:szCs w:val="18"/>
              </w:rPr>
              <w:t xml:space="preserve"> APC-155</w:t>
            </w:r>
          </w:p>
        </w:tc>
      </w:tr>
      <w:tr w:rsidR="00523683" w:rsidRPr="008804FC" w14:paraId="2997DBB9" w14:textId="77777777" w:rsidTr="00A9588B">
        <w:trPr>
          <w:cantSplit/>
          <w:trHeight w:val="446"/>
        </w:trPr>
        <w:tc>
          <w:tcPr>
            <w:tcW w:w="3937" w:type="dxa"/>
            <w:tcBorders>
              <w:left w:val="single" w:sz="18" w:space="0" w:color="auto"/>
            </w:tcBorders>
            <w:shd w:val="clear" w:color="auto" w:fill="auto"/>
            <w:vAlign w:val="center"/>
          </w:tcPr>
          <w:p w14:paraId="307F993F" w14:textId="6951E60A" w:rsidR="00523683" w:rsidRPr="008804FC" w:rsidRDefault="00523683" w:rsidP="00D65B4A">
            <w:pPr>
              <w:tabs>
                <w:tab w:val="left" w:pos="1525"/>
              </w:tabs>
              <w:rPr>
                <w:rFonts w:ascii="Arial" w:hAnsi="Arial" w:cs="Arial"/>
                <w:sz w:val="18"/>
                <w:szCs w:val="18"/>
              </w:rPr>
            </w:pPr>
            <w:r w:rsidRPr="008804FC">
              <w:rPr>
                <w:rFonts w:ascii="Arial" w:hAnsi="Arial" w:cs="Arial"/>
                <w:sz w:val="18"/>
                <w:szCs w:val="18"/>
              </w:rPr>
              <w:t>Guinea Pig Polyclonal Anti-Tyrosine Hydroxylase</w:t>
            </w:r>
          </w:p>
        </w:tc>
        <w:tc>
          <w:tcPr>
            <w:tcW w:w="2520" w:type="dxa"/>
            <w:shd w:val="clear" w:color="auto" w:fill="auto"/>
            <w:vAlign w:val="center"/>
          </w:tcPr>
          <w:p w14:paraId="2A26D7A3" w14:textId="30BAA06E" w:rsidR="00523683" w:rsidRPr="008804FC" w:rsidRDefault="00523683" w:rsidP="00D65B4A">
            <w:pPr>
              <w:rPr>
                <w:rFonts w:ascii="Arial" w:hAnsi="Arial" w:cs="Arial"/>
                <w:sz w:val="18"/>
                <w:szCs w:val="18"/>
              </w:rPr>
            </w:pPr>
            <w:r w:rsidRPr="008804FC">
              <w:rPr>
                <w:rFonts w:ascii="Arial" w:hAnsi="Arial" w:cs="Arial"/>
                <w:sz w:val="18"/>
                <w:szCs w:val="18"/>
              </w:rPr>
              <w:t xml:space="preserve">Synaptic Systems (Göttingen, </w:t>
            </w:r>
            <w:r w:rsidR="00F30920" w:rsidRPr="008804FC">
              <w:rPr>
                <w:rFonts w:ascii="Arial" w:hAnsi="Arial" w:cs="Arial"/>
                <w:sz w:val="18"/>
                <w:szCs w:val="18"/>
              </w:rPr>
              <w:t>DEU</w:t>
            </w:r>
            <w:r w:rsidRPr="008804FC">
              <w:rPr>
                <w:rFonts w:ascii="Arial" w:hAnsi="Arial" w:cs="Arial"/>
                <w:sz w:val="18"/>
                <w:szCs w:val="18"/>
              </w:rPr>
              <w:t>)</w:t>
            </w:r>
          </w:p>
        </w:tc>
        <w:tc>
          <w:tcPr>
            <w:tcW w:w="3119" w:type="dxa"/>
            <w:tcBorders>
              <w:right w:val="single" w:sz="18" w:space="0" w:color="auto"/>
            </w:tcBorders>
            <w:shd w:val="clear" w:color="auto" w:fill="auto"/>
            <w:vAlign w:val="center"/>
          </w:tcPr>
          <w:p w14:paraId="2F2B4236" w14:textId="5EFBFB96" w:rsidR="00523683" w:rsidRPr="008804FC" w:rsidRDefault="001860F9" w:rsidP="00D65B4A">
            <w:pPr>
              <w:rPr>
                <w:rFonts w:ascii="Arial" w:hAnsi="Arial" w:cs="Arial"/>
                <w:sz w:val="18"/>
                <w:szCs w:val="18"/>
              </w:rPr>
            </w:pPr>
            <w:r w:rsidRPr="008804FC">
              <w:rPr>
                <w:rFonts w:ascii="Arial" w:hAnsi="Arial" w:cs="Arial"/>
                <w:sz w:val="18"/>
                <w:szCs w:val="18"/>
              </w:rPr>
              <w:t>Cat.#</w:t>
            </w:r>
            <w:r w:rsidR="00523683" w:rsidRPr="008804FC">
              <w:rPr>
                <w:rFonts w:ascii="Arial" w:hAnsi="Arial" w:cs="Arial"/>
                <w:sz w:val="18"/>
                <w:szCs w:val="18"/>
              </w:rPr>
              <w:t xml:space="preserve"> 213-104</w:t>
            </w:r>
          </w:p>
        </w:tc>
      </w:tr>
      <w:tr w:rsidR="00DF3ED3" w:rsidRPr="008804FC" w14:paraId="1C43AB0F" w14:textId="77777777" w:rsidTr="00A9588B">
        <w:trPr>
          <w:cantSplit/>
          <w:trHeight w:val="446"/>
        </w:trPr>
        <w:tc>
          <w:tcPr>
            <w:tcW w:w="3937" w:type="dxa"/>
            <w:tcBorders>
              <w:left w:val="single" w:sz="18" w:space="0" w:color="auto"/>
            </w:tcBorders>
            <w:shd w:val="clear" w:color="auto" w:fill="auto"/>
            <w:vAlign w:val="center"/>
          </w:tcPr>
          <w:p w14:paraId="59C09E94" w14:textId="2DAE13D0" w:rsidR="00DF3ED3" w:rsidRPr="008804FC" w:rsidRDefault="00DF3ED3" w:rsidP="00D65B4A">
            <w:pPr>
              <w:tabs>
                <w:tab w:val="left" w:pos="1525"/>
              </w:tabs>
              <w:rPr>
                <w:rFonts w:ascii="Arial" w:hAnsi="Arial" w:cs="Arial"/>
                <w:sz w:val="18"/>
                <w:szCs w:val="18"/>
              </w:rPr>
            </w:pPr>
            <w:r w:rsidRPr="008804FC">
              <w:rPr>
                <w:rFonts w:ascii="Arial" w:hAnsi="Arial" w:cs="Arial"/>
                <w:sz w:val="18"/>
                <w:szCs w:val="18"/>
              </w:rPr>
              <w:t>Rabbit Monoclonal Anti-CaMKI</w:t>
            </w:r>
          </w:p>
        </w:tc>
        <w:tc>
          <w:tcPr>
            <w:tcW w:w="2520" w:type="dxa"/>
            <w:shd w:val="clear" w:color="auto" w:fill="auto"/>
            <w:vAlign w:val="center"/>
          </w:tcPr>
          <w:p w14:paraId="4D908B6D" w14:textId="681BC400" w:rsidR="00DF3ED3" w:rsidRPr="008804FC" w:rsidRDefault="009B0F24" w:rsidP="00D65B4A">
            <w:pPr>
              <w:rPr>
                <w:rFonts w:ascii="Arial" w:hAnsi="Arial" w:cs="Arial"/>
                <w:sz w:val="18"/>
                <w:szCs w:val="18"/>
              </w:rPr>
            </w:pPr>
            <w:r w:rsidRPr="008804FC">
              <w:rPr>
                <w:rFonts w:ascii="Arial" w:hAnsi="Arial" w:cs="Arial"/>
                <w:sz w:val="18"/>
                <w:szCs w:val="18"/>
              </w:rPr>
              <w:t xml:space="preserve">AbCam (Cambridge, </w:t>
            </w:r>
            <w:r w:rsidR="00F30920" w:rsidRPr="008804FC">
              <w:rPr>
                <w:rFonts w:ascii="Arial" w:hAnsi="Arial" w:cs="Arial"/>
                <w:sz w:val="18"/>
                <w:szCs w:val="18"/>
              </w:rPr>
              <w:t>GBR</w:t>
            </w:r>
            <w:r w:rsidRPr="008804FC">
              <w:rPr>
                <w:rFonts w:ascii="Arial" w:hAnsi="Arial" w:cs="Arial"/>
                <w:sz w:val="18"/>
                <w:szCs w:val="18"/>
              </w:rPr>
              <w:t>)</w:t>
            </w:r>
          </w:p>
        </w:tc>
        <w:tc>
          <w:tcPr>
            <w:tcW w:w="3119" w:type="dxa"/>
            <w:tcBorders>
              <w:right w:val="single" w:sz="18" w:space="0" w:color="auto"/>
            </w:tcBorders>
            <w:shd w:val="clear" w:color="auto" w:fill="auto"/>
            <w:vAlign w:val="center"/>
          </w:tcPr>
          <w:p w14:paraId="3D41B182" w14:textId="1B650DD0" w:rsidR="00DF3ED3" w:rsidRPr="008804FC" w:rsidRDefault="001860F9" w:rsidP="00D65B4A">
            <w:pPr>
              <w:rPr>
                <w:rFonts w:ascii="Arial" w:hAnsi="Arial" w:cs="Arial"/>
                <w:sz w:val="18"/>
                <w:szCs w:val="18"/>
              </w:rPr>
            </w:pPr>
            <w:r w:rsidRPr="008804FC">
              <w:rPr>
                <w:rFonts w:ascii="Arial" w:hAnsi="Arial" w:cs="Arial"/>
                <w:sz w:val="18"/>
                <w:szCs w:val="18"/>
              </w:rPr>
              <w:t>Cat.#</w:t>
            </w:r>
            <w:r w:rsidR="009B0F24" w:rsidRPr="008804FC">
              <w:rPr>
                <w:rFonts w:ascii="Arial" w:hAnsi="Arial" w:cs="Arial"/>
                <w:sz w:val="18"/>
                <w:szCs w:val="18"/>
              </w:rPr>
              <w:t xml:space="preserve"> ab68234</w:t>
            </w:r>
          </w:p>
        </w:tc>
      </w:tr>
      <w:tr w:rsidR="00523683" w:rsidRPr="008804FC" w14:paraId="6646F0BA" w14:textId="77777777" w:rsidTr="00A9588B">
        <w:trPr>
          <w:cantSplit/>
          <w:trHeight w:val="446"/>
        </w:trPr>
        <w:tc>
          <w:tcPr>
            <w:tcW w:w="3937" w:type="dxa"/>
            <w:tcBorders>
              <w:left w:val="single" w:sz="18" w:space="0" w:color="auto"/>
            </w:tcBorders>
            <w:shd w:val="clear" w:color="auto" w:fill="auto"/>
            <w:vAlign w:val="center"/>
          </w:tcPr>
          <w:p w14:paraId="41D51456" w14:textId="54A0B272" w:rsidR="00523683" w:rsidRPr="008804FC" w:rsidRDefault="00523683" w:rsidP="00D65B4A">
            <w:pPr>
              <w:tabs>
                <w:tab w:val="left" w:pos="1525"/>
              </w:tabs>
              <w:rPr>
                <w:rFonts w:ascii="Arial" w:hAnsi="Arial" w:cs="Arial"/>
                <w:sz w:val="18"/>
                <w:szCs w:val="18"/>
              </w:rPr>
            </w:pPr>
            <w:r w:rsidRPr="008804FC">
              <w:rPr>
                <w:rFonts w:ascii="Arial" w:hAnsi="Arial" w:cs="Arial"/>
                <w:sz w:val="18"/>
                <w:szCs w:val="18"/>
              </w:rPr>
              <w:t>Alexa Fluor 488 AffiniPure F(ab’)</w:t>
            </w:r>
            <w:r w:rsidRPr="008804FC">
              <w:rPr>
                <w:rFonts w:ascii="Arial" w:hAnsi="Arial" w:cs="Arial"/>
                <w:sz w:val="18"/>
                <w:szCs w:val="18"/>
                <w:vertAlign w:val="subscript"/>
              </w:rPr>
              <w:t>2</w:t>
            </w:r>
            <w:r w:rsidRPr="008804FC">
              <w:rPr>
                <w:rFonts w:ascii="Arial" w:hAnsi="Arial" w:cs="Arial"/>
                <w:sz w:val="18"/>
                <w:szCs w:val="18"/>
              </w:rPr>
              <w:t xml:space="preserve"> Fragment Donkey Anti-Rabbit IgG (H+L)</w:t>
            </w:r>
          </w:p>
        </w:tc>
        <w:tc>
          <w:tcPr>
            <w:tcW w:w="2520" w:type="dxa"/>
            <w:shd w:val="clear" w:color="auto" w:fill="auto"/>
            <w:vAlign w:val="center"/>
          </w:tcPr>
          <w:p w14:paraId="2679EFB3" w14:textId="2321EAC0" w:rsidR="00523683" w:rsidRPr="008804FC" w:rsidRDefault="00523683" w:rsidP="00D65B4A">
            <w:pPr>
              <w:rPr>
                <w:rFonts w:ascii="Arial" w:hAnsi="Arial" w:cs="Arial"/>
                <w:sz w:val="18"/>
                <w:szCs w:val="18"/>
              </w:rPr>
            </w:pPr>
            <w:r w:rsidRPr="008804FC">
              <w:rPr>
                <w:rFonts w:ascii="Arial" w:hAnsi="Arial" w:cs="Arial"/>
                <w:sz w:val="18"/>
                <w:szCs w:val="18"/>
              </w:rPr>
              <w:t xml:space="preserve">Jackson ImmunoResearch (West Grove, </w:t>
            </w:r>
            <w:r w:rsidR="00521F64" w:rsidRPr="008804FC">
              <w:rPr>
                <w:rFonts w:ascii="Arial" w:hAnsi="Arial" w:cs="Arial"/>
                <w:sz w:val="18"/>
                <w:szCs w:val="18"/>
              </w:rPr>
              <w:t>PA</w:t>
            </w:r>
            <w:r w:rsidRPr="008804FC">
              <w:rPr>
                <w:rFonts w:ascii="Arial" w:hAnsi="Arial" w:cs="Arial"/>
                <w:sz w:val="18"/>
                <w:szCs w:val="18"/>
              </w:rPr>
              <w:t>, USA)</w:t>
            </w:r>
          </w:p>
        </w:tc>
        <w:tc>
          <w:tcPr>
            <w:tcW w:w="3119" w:type="dxa"/>
            <w:tcBorders>
              <w:right w:val="single" w:sz="18" w:space="0" w:color="auto"/>
            </w:tcBorders>
            <w:shd w:val="clear" w:color="auto" w:fill="auto"/>
            <w:vAlign w:val="center"/>
          </w:tcPr>
          <w:p w14:paraId="2EED724E" w14:textId="50FF3BA7" w:rsidR="00523683" w:rsidRPr="008804FC" w:rsidRDefault="001860F9" w:rsidP="00D65B4A">
            <w:pPr>
              <w:rPr>
                <w:rFonts w:ascii="Arial" w:hAnsi="Arial" w:cs="Arial"/>
                <w:sz w:val="18"/>
                <w:szCs w:val="18"/>
              </w:rPr>
            </w:pPr>
            <w:r w:rsidRPr="008804FC">
              <w:rPr>
                <w:rFonts w:ascii="Arial" w:hAnsi="Arial" w:cs="Arial"/>
                <w:sz w:val="18"/>
                <w:szCs w:val="18"/>
              </w:rPr>
              <w:t>Cat.#</w:t>
            </w:r>
            <w:r w:rsidR="00523683" w:rsidRPr="008804FC">
              <w:rPr>
                <w:rFonts w:ascii="Arial" w:hAnsi="Arial" w:cs="Arial"/>
                <w:sz w:val="18"/>
                <w:szCs w:val="18"/>
              </w:rPr>
              <w:t xml:space="preserve"> 711-546-152</w:t>
            </w:r>
          </w:p>
        </w:tc>
      </w:tr>
      <w:tr w:rsidR="00523683" w:rsidRPr="008804FC" w14:paraId="4FB90F76" w14:textId="77777777" w:rsidTr="00A9588B">
        <w:trPr>
          <w:cantSplit/>
          <w:trHeight w:val="446"/>
        </w:trPr>
        <w:tc>
          <w:tcPr>
            <w:tcW w:w="3937" w:type="dxa"/>
            <w:tcBorders>
              <w:left w:val="single" w:sz="18" w:space="0" w:color="auto"/>
            </w:tcBorders>
            <w:shd w:val="clear" w:color="auto" w:fill="auto"/>
            <w:vAlign w:val="center"/>
          </w:tcPr>
          <w:p w14:paraId="4A8DF9F8" w14:textId="3CC255B0" w:rsidR="00523683" w:rsidRPr="008804FC" w:rsidRDefault="00523683" w:rsidP="00D65B4A">
            <w:pPr>
              <w:tabs>
                <w:tab w:val="left" w:pos="1525"/>
              </w:tabs>
              <w:rPr>
                <w:rFonts w:ascii="Arial" w:hAnsi="Arial" w:cs="Arial"/>
                <w:sz w:val="18"/>
                <w:szCs w:val="18"/>
              </w:rPr>
            </w:pPr>
            <w:r w:rsidRPr="008804FC">
              <w:rPr>
                <w:rFonts w:ascii="Arial" w:hAnsi="Arial" w:cs="Arial"/>
                <w:sz w:val="18"/>
                <w:szCs w:val="18"/>
              </w:rPr>
              <w:t>Cy3 AffiniPure Donkey Anti-Guinea Pig IgG (H+L)</w:t>
            </w:r>
          </w:p>
        </w:tc>
        <w:tc>
          <w:tcPr>
            <w:tcW w:w="2520" w:type="dxa"/>
            <w:shd w:val="clear" w:color="auto" w:fill="auto"/>
            <w:vAlign w:val="center"/>
          </w:tcPr>
          <w:p w14:paraId="43BB763C" w14:textId="4BB21179" w:rsidR="00523683" w:rsidRPr="008804FC" w:rsidRDefault="00523683" w:rsidP="00D65B4A">
            <w:pPr>
              <w:rPr>
                <w:rFonts w:ascii="Arial" w:hAnsi="Arial" w:cs="Arial"/>
                <w:sz w:val="18"/>
                <w:szCs w:val="18"/>
              </w:rPr>
            </w:pPr>
            <w:r w:rsidRPr="008804FC">
              <w:rPr>
                <w:rFonts w:ascii="Arial" w:hAnsi="Arial" w:cs="Arial"/>
                <w:sz w:val="18"/>
                <w:szCs w:val="18"/>
              </w:rPr>
              <w:t xml:space="preserve">Jackson ImmunoResearch (West Grove, </w:t>
            </w:r>
            <w:r w:rsidR="00521F64" w:rsidRPr="008804FC">
              <w:rPr>
                <w:rFonts w:ascii="Arial" w:hAnsi="Arial" w:cs="Arial"/>
                <w:sz w:val="18"/>
                <w:szCs w:val="18"/>
              </w:rPr>
              <w:t>PA</w:t>
            </w:r>
            <w:r w:rsidRPr="008804FC">
              <w:rPr>
                <w:rFonts w:ascii="Arial" w:hAnsi="Arial" w:cs="Arial"/>
                <w:sz w:val="18"/>
                <w:szCs w:val="18"/>
              </w:rPr>
              <w:t>, USA)</w:t>
            </w:r>
          </w:p>
        </w:tc>
        <w:tc>
          <w:tcPr>
            <w:tcW w:w="3119" w:type="dxa"/>
            <w:tcBorders>
              <w:right w:val="single" w:sz="18" w:space="0" w:color="auto"/>
            </w:tcBorders>
            <w:shd w:val="clear" w:color="auto" w:fill="auto"/>
            <w:vAlign w:val="center"/>
          </w:tcPr>
          <w:p w14:paraId="09B3BF28" w14:textId="237B9B60" w:rsidR="00523683" w:rsidRPr="008804FC" w:rsidRDefault="001860F9" w:rsidP="00D65B4A">
            <w:pPr>
              <w:rPr>
                <w:rFonts w:ascii="Arial" w:hAnsi="Arial" w:cs="Arial"/>
                <w:sz w:val="18"/>
                <w:szCs w:val="18"/>
              </w:rPr>
            </w:pPr>
            <w:r w:rsidRPr="008804FC">
              <w:rPr>
                <w:rFonts w:ascii="Arial" w:hAnsi="Arial" w:cs="Arial"/>
                <w:sz w:val="18"/>
                <w:szCs w:val="18"/>
              </w:rPr>
              <w:t>Cat.#</w:t>
            </w:r>
            <w:r w:rsidR="00523683" w:rsidRPr="008804FC">
              <w:rPr>
                <w:rFonts w:ascii="Arial" w:hAnsi="Arial" w:cs="Arial"/>
                <w:sz w:val="18"/>
                <w:szCs w:val="18"/>
              </w:rPr>
              <w:t xml:space="preserve"> 706-165-148</w:t>
            </w:r>
          </w:p>
        </w:tc>
      </w:tr>
      <w:tr w:rsidR="00523683" w:rsidRPr="008804FC" w14:paraId="14A40207" w14:textId="77777777" w:rsidTr="00A9588B">
        <w:trPr>
          <w:cantSplit/>
          <w:trHeight w:val="446"/>
        </w:trPr>
        <w:tc>
          <w:tcPr>
            <w:tcW w:w="3937" w:type="dxa"/>
            <w:tcBorders>
              <w:left w:val="single" w:sz="18" w:space="0" w:color="auto"/>
            </w:tcBorders>
            <w:shd w:val="clear" w:color="auto" w:fill="auto"/>
            <w:vAlign w:val="center"/>
          </w:tcPr>
          <w:p w14:paraId="099308F9" w14:textId="4D8ECC56" w:rsidR="00523683" w:rsidRPr="008804FC" w:rsidRDefault="00726AA1" w:rsidP="00D65B4A">
            <w:pPr>
              <w:tabs>
                <w:tab w:val="left" w:pos="1525"/>
              </w:tabs>
              <w:rPr>
                <w:rFonts w:ascii="Arial" w:hAnsi="Arial" w:cs="Arial"/>
                <w:sz w:val="18"/>
                <w:szCs w:val="18"/>
              </w:rPr>
            </w:pPr>
            <w:r w:rsidRPr="008804FC">
              <w:rPr>
                <w:rFonts w:ascii="Arial" w:hAnsi="Arial" w:cs="Arial"/>
                <w:sz w:val="18"/>
                <w:szCs w:val="18"/>
              </w:rPr>
              <w:t>DAPI (4',6-Diamidino-2-Phenylindole)</w:t>
            </w:r>
          </w:p>
        </w:tc>
        <w:tc>
          <w:tcPr>
            <w:tcW w:w="2520" w:type="dxa"/>
            <w:shd w:val="clear" w:color="auto" w:fill="auto"/>
            <w:vAlign w:val="center"/>
          </w:tcPr>
          <w:p w14:paraId="68CBE988" w14:textId="122C35AC" w:rsidR="00523683" w:rsidRPr="008804FC" w:rsidRDefault="00AE3611" w:rsidP="00D65B4A">
            <w:pPr>
              <w:rPr>
                <w:rFonts w:ascii="Arial" w:hAnsi="Arial" w:cs="Arial"/>
                <w:sz w:val="18"/>
                <w:szCs w:val="18"/>
              </w:rPr>
            </w:pPr>
            <w:r w:rsidRPr="008804FC">
              <w:rPr>
                <w:rFonts w:ascii="Arial" w:hAnsi="Arial" w:cs="Arial"/>
                <w:sz w:val="18"/>
                <w:szCs w:val="18"/>
              </w:rPr>
              <w:t>ThermoFisher (Waltham,</w:t>
            </w:r>
            <w:r w:rsidR="00D65B4A" w:rsidRPr="008804FC">
              <w:rPr>
                <w:rFonts w:ascii="Arial" w:hAnsi="Arial" w:cs="Arial"/>
                <w:sz w:val="18"/>
                <w:szCs w:val="18"/>
              </w:rPr>
              <w:t> </w:t>
            </w:r>
            <w:r w:rsidR="00521F64" w:rsidRPr="008804FC">
              <w:rPr>
                <w:rFonts w:ascii="Arial" w:hAnsi="Arial" w:cs="Arial"/>
                <w:sz w:val="18"/>
                <w:szCs w:val="18"/>
              </w:rPr>
              <w:t>MA</w:t>
            </w:r>
            <w:r w:rsidRPr="008804FC">
              <w:rPr>
                <w:rFonts w:ascii="Arial" w:hAnsi="Arial" w:cs="Arial"/>
                <w:sz w:val="18"/>
                <w:szCs w:val="18"/>
              </w:rPr>
              <w:t>, USA)</w:t>
            </w:r>
          </w:p>
        </w:tc>
        <w:tc>
          <w:tcPr>
            <w:tcW w:w="3119" w:type="dxa"/>
            <w:tcBorders>
              <w:right w:val="single" w:sz="18" w:space="0" w:color="auto"/>
            </w:tcBorders>
            <w:shd w:val="clear" w:color="auto" w:fill="auto"/>
            <w:vAlign w:val="center"/>
          </w:tcPr>
          <w:p w14:paraId="71CB05A2" w14:textId="3D01503D" w:rsidR="00523683" w:rsidRPr="008804FC" w:rsidRDefault="001860F9" w:rsidP="00D65B4A">
            <w:pPr>
              <w:rPr>
                <w:rFonts w:ascii="Arial" w:hAnsi="Arial" w:cs="Arial"/>
                <w:sz w:val="18"/>
                <w:szCs w:val="18"/>
              </w:rPr>
            </w:pPr>
            <w:r w:rsidRPr="008804FC">
              <w:rPr>
                <w:rFonts w:ascii="Arial" w:hAnsi="Arial" w:cs="Arial"/>
                <w:sz w:val="18"/>
                <w:szCs w:val="18"/>
              </w:rPr>
              <w:t>Cat.#</w:t>
            </w:r>
            <w:r w:rsidR="00D65B4A" w:rsidRPr="008804FC">
              <w:rPr>
                <w:rFonts w:ascii="Arial" w:hAnsi="Arial" w:cs="Arial"/>
                <w:sz w:val="18"/>
                <w:szCs w:val="18"/>
              </w:rPr>
              <w:t xml:space="preserve"> </w:t>
            </w:r>
            <w:r w:rsidR="00AE3611" w:rsidRPr="008804FC">
              <w:rPr>
                <w:rFonts w:ascii="Arial" w:hAnsi="Arial" w:cs="Arial"/>
                <w:sz w:val="18"/>
                <w:szCs w:val="18"/>
              </w:rPr>
              <w:t>D21490</w:t>
            </w:r>
          </w:p>
        </w:tc>
      </w:tr>
      <w:tr w:rsidR="00523683" w:rsidRPr="008804FC" w14:paraId="3F4E8DD9" w14:textId="77777777" w:rsidTr="00523683">
        <w:trPr>
          <w:cantSplit/>
          <w:trHeight w:val="259"/>
        </w:trPr>
        <w:tc>
          <w:tcPr>
            <w:tcW w:w="9576" w:type="dxa"/>
            <w:gridSpan w:val="3"/>
            <w:tcBorders>
              <w:left w:val="single" w:sz="18" w:space="0" w:color="auto"/>
              <w:right w:val="single" w:sz="18" w:space="0" w:color="auto"/>
            </w:tcBorders>
            <w:shd w:val="clear" w:color="auto" w:fill="DBE5F1" w:themeFill="accent1" w:themeFillTint="33"/>
            <w:vAlign w:val="center"/>
          </w:tcPr>
          <w:p w14:paraId="1058F227" w14:textId="20F5D466" w:rsidR="00523683" w:rsidRPr="008804FC" w:rsidRDefault="00523683" w:rsidP="00523683">
            <w:pPr>
              <w:rPr>
                <w:rFonts w:ascii="Arial" w:hAnsi="Arial" w:cs="Arial"/>
                <w:sz w:val="20"/>
                <w:szCs w:val="20"/>
              </w:rPr>
            </w:pPr>
            <w:r w:rsidRPr="008804FC">
              <w:rPr>
                <w:rFonts w:ascii="Arial" w:hAnsi="Arial" w:cs="Arial"/>
                <w:i/>
                <w:iCs/>
                <w:sz w:val="20"/>
                <w:szCs w:val="20"/>
              </w:rPr>
              <w:t>Chemicals/Reagents</w:t>
            </w:r>
          </w:p>
        </w:tc>
      </w:tr>
      <w:tr w:rsidR="009B0F24" w:rsidRPr="008804FC" w14:paraId="67E6BA1A" w14:textId="77777777" w:rsidTr="00A9588B">
        <w:trPr>
          <w:cantSplit/>
          <w:trHeight w:val="446"/>
        </w:trPr>
        <w:tc>
          <w:tcPr>
            <w:tcW w:w="3937" w:type="dxa"/>
            <w:tcBorders>
              <w:left w:val="single" w:sz="18" w:space="0" w:color="auto"/>
            </w:tcBorders>
            <w:shd w:val="clear" w:color="auto" w:fill="auto"/>
            <w:vAlign w:val="center"/>
          </w:tcPr>
          <w:p w14:paraId="586354D7" w14:textId="716A47FB" w:rsidR="009B0F24" w:rsidRPr="008804FC" w:rsidRDefault="009B0F24" w:rsidP="00D65B4A">
            <w:pPr>
              <w:tabs>
                <w:tab w:val="left" w:pos="1525"/>
              </w:tabs>
              <w:rPr>
                <w:rFonts w:ascii="Arial" w:hAnsi="Arial" w:cs="Arial"/>
                <w:sz w:val="18"/>
                <w:szCs w:val="18"/>
              </w:rPr>
            </w:pPr>
            <w:proofErr w:type="gramStart"/>
            <w:r w:rsidRPr="008804FC">
              <w:rPr>
                <w:rFonts w:ascii="Arial" w:eastAsia="Times New Roman" w:hAnsi="Arial" w:cs="Arial"/>
                <w:sz w:val="18"/>
                <w:szCs w:val="18"/>
                <w:shd w:val="clear" w:color="auto" w:fill="FFFFFF"/>
              </w:rPr>
              <w:t>Prolong</w:t>
            </w:r>
            <w:proofErr w:type="gramEnd"/>
            <w:r w:rsidRPr="008804FC">
              <w:rPr>
                <w:rFonts w:ascii="Arial" w:eastAsia="Times New Roman" w:hAnsi="Arial" w:cs="Arial"/>
                <w:sz w:val="18"/>
                <w:szCs w:val="18"/>
                <w:shd w:val="clear" w:color="auto" w:fill="FFFFFF"/>
              </w:rPr>
              <w:t xml:space="preserve"> Glass Antifade mountant</w:t>
            </w:r>
          </w:p>
        </w:tc>
        <w:tc>
          <w:tcPr>
            <w:tcW w:w="2520" w:type="dxa"/>
            <w:shd w:val="clear" w:color="auto" w:fill="auto"/>
            <w:vAlign w:val="center"/>
          </w:tcPr>
          <w:p w14:paraId="75BAABD2" w14:textId="1FF58CAE" w:rsidR="009B0F24" w:rsidRPr="008804FC" w:rsidRDefault="009B0F24" w:rsidP="00D65B4A">
            <w:pPr>
              <w:rPr>
                <w:rFonts w:ascii="Arial" w:hAnsi="Arial" w:cs="Arial"/>
                <w:sz w:val="18"/>
                <w:szCs w:val="18"/>
              </w:rPr>
            </w:pPr>
            <w:r w:rsidRPr="008804FC">
              <w:rPr>
                <w:rFonts w:ascii="Arial" w:eastAsia="Times New Roman" w:hAnsi="Arial" w:cs="Arial"/>
                <w:sz w:val="18"/>
                <w:szCs w:val="18"/>
                <w:shd w:val="clear" w:color="auto" w:fill="FFFFFF"/>
              </w:rPr>
              <w:t xml:space="preserve">ThermoFisher </w:t>
            </w:r>
            <w:r w:rsidRPr="008804FC">
              <w:rPr>
                <w:rFonts w:ascii="Arial" w:hAnsi="Arial" w:cs="Arial"/>
                <w:sz w:val="18"/>
                <w:szCs w:val="18"/>
              </w:rPr>
              <w:t>(Waltham,</w:t>
            </w:r>
            <w:r w:rsidR="00D65B4A" w:rsidRPr="008804FC">
              <w:rPr>
                <w:rFonts w:ascii="Arial" w:hAnsi="Arial" w:cs="Arial"/>
                <w:sz w:val="18"/>
                <w:szCs w:val="18"/>
              </w:rPr>
              <w:t> </w:t>
            </w:r>
            <w:r w:rsidRPr="008804FC">
              <w:rPr>
                <w:rFonts w:ascii="Arial" w:hAnsi="Arial" w:cs="Arial"/>
                <w:sz w:val="18"/>
                <w:szCs w:val="18"/>
              </w:rPr>
              <w:t>MA, USA)</w:t>
            </w:r>
          </w:p>
        </w:tc>
        <w:tc>
          <w:tcPr>
            <w:tcW w:w="3119" w:type="dxa"/>
            <w:tcBorders>
              <w:right w:val="single" w:sz="18" w:space="0" w:color="auto"/>
            </w:tcBorders>
            <w:shd w:val="clear" w:color="auto" w:fill="auto"/>
            <w:vAlign w:val="center"/>
          </w:tcPr>
          <w:p w14:paraId="155E90D3" w14:textId="40802E15" w:rsidR="009B0F24" w:rsidRPr="008804FC" w:rsidRDefault="001860F9" w:rsidP="00D65B4A">
            <w:pPr>
              <w:rPr>
                <w:rFonts w:ascii="Arial" w:hAnsi="Arial" w:cs="Arial"/>
                <w:sz w:val="18"/>
                <w:szCs w:val="18"/>
              </w:rPr>
            </w:pPr>
            <w:r w:rsidRPr="008804FC">
              <w:rPr>
                <w:rFonts w:ascii="Arial" w:eastAsia="Times New Roman" w:hAnsi="Arial" w:cs="Arial"/>
                <w:sz w:val="18"/>
                <w:szCs w:val="18"/>
                <w:shd w:val="clear" w:color="auto" w:fill="FFFFFF"/>
              </w:rPr>
              <w:t>Cat.#</w:t>
            </w:r>
            <w:r w:rsidR="009B0F24" w:rsidRPr="008804FC">
              <w:rPr>
                <w:rFonts w:ascii="Arial" w:eastAsia="Times New Roman" w:hAnsi="Arial" w:cs="Arial"/>
                <w:sz w:val="18"/>
                <w:szCs w:val="18"/>
                <w:shd w:val="clear" w:color="auto" w:fill="FFFFFF"/>
              </w:rPr>
              <w:t xml:space="preserve"> P36980</w:t>
            </w:r>
          </w:p>
        </w:tc>
      </w:tr>
      <w:tr w:rsidR="00523683" w:rsidRPr="008804FC" w14:paraId="24AC4E71" w14:textId="77777777" w:rsidTr="00F35870">
        <w:trPr>
          <w:cantSplit/>
          <w:trHeight w:val="259"/>
        </w:trPr>
        <w:tc>
          <w:tcPr>
            <w:tcW w:w="9576" w:type="dxa"/>
            <w:gridSpan w:val="3"/>
            <w:tcBorders>
              <w:left w:val="single" w:sz="18" w:space="0" w:color="auto"/>
              <w:right w:val="single" w:sz="18" w:space="0" w:color="auto"/>
            </w:tcBorders>
            <w:shd w:val="clear" w:color="auto" w:fill="DBE5F1" w:themeFill="accent1" w:themeFillTint="33"/>
            <w:vAlign w:val="center"/>
          </w:tcPr>
          <w:p w14:paraId="61BCD7B6" w14:textId="34FEC65A" w:rsidR="00523683" w:rsidRPr="008804FC" w:rsidRDefault="00523683" w:rsidP="00523683">
            <w:pPr>
              <w:rPr>
                <w:rFonts w:ascii="Arial" w:hAnsi="Arial" w:cs="Arial"/>
                <w:sz w:val="20"/>
                <w:szCs w:val="20"/>
              </w:rPr>
            </w:pPr>
            <w:r w:rsidRPr="008804FC">
              <w:rPr>
                <w:rFonts w:ascii="Arial" w:hAnsi="Arial" w:cs="Arial"/>
                <w:i/>
                <w:iCs/>
                <w:sz w:val="20"/>
                <w:szCs w:val="20"/>
              </w:rPr>
              <w:t>Equipment</w:t>
            </w:r>
          </w:p>
        </w:tc>
      </w:tr>
      <w:tr w:rsidR="00523683" w:rsidRPr="008804FC" w14:paraId="6923CB28" w14:textId="77777777" w:rsidTr="00A9588B">
        <w:trPr>
          <w:cantSplit/>
          <w:trHeight w:val="446"/>
        </w:trPr>
        <w:tc>
          <w:tcPr>
            <w:tcW w:w="3937" w:type="dxa"/>
            <w:tcBorders>
              <w:left w:val="single" w:sz="18" w:space="0" w:color="auto"/>
            </w:tcBorders>
            <w:shd w:val="clear" w:color="auto" w:fill="auto"/>
            <w:vAlign w:val="center"/>
          </w:tcPr>
          <w:p w14:paraId="0149F90E" w14:textId="35D81965" w:rsidR="00523683" w:rsidRPr="008804FC" w:rsidRDefault="00523683" w:rsidP="00D65B4A">
            <w:pPr>
              <w:tabs>
                <w:tab w:val="left" w:pos="1525"/>
              </w:tabs>
              <w:rPr>
                <w:rFonts w:ascii="Arial" w:hAnsi="Arial" w:cs="Arial"/>
                <w:sz w:val="18"/>
                <w:szCs w:val="18"/>
              </w:rPr>
            </w:pPr>
            <w:r w:rsidRPr="008804FC">
              <w:rPr>
                <w:rFonts w:ascii="Arial" w:hAnsi="Arial" w:cs="Arial"/>
                <w:sz w:val="18"/>
                <w:szCs w:val="18"/>
              </w:rPr>
              <w:t>SM2010R Microtome</w:t>
            </w:r>
          </w:p>
        </w:tc>
        <w:tc>
          <w:tcPr>
            <w:tcW w:w="2520" w:type="dxa"/>
            <w:shd w:val="clear" w:color="auto" w:fill="auto"/>
            <w:vAlign w:val="center"/>
          </w:tcPr>
          <w:p w14:paraId="0DE443D0" w14:textId="02A96026" w:rsidR="00523683" w:rsidRPr="008804FC" w:rsidRDefault="00523683" w:rsidP="00D65B4A">
            <w:pPr>
              <w:rPr>
                <w:rFonts w:ascii="Arial" w:hAnsi="Arial" w:cs="Arial"/>
                <w:sz w:val="18"/>
                <w:szCs w:val="18"/>
              </w:rPr>
            </w:pPr>
            <w:r w:rsidRPr="008804FC">
              <w:rPr>
                <w:rFonts w:ascii="Arial" w:hAnsi="Arial" w:cs="Arial"/>
                <w:sz w:val="18"/>
                <w:szCs w:val="18"/>
              </w:rPr>
              <w:t>Leica</w:t>
            </w:r>
            <w:r w:rsidR="00F30920" w:rsidRPr="008804FC">
              <w:rPr>
                <w:rFonts w:ascii="Arial" w:hAnsi="Arial" w:cs="Arial"/>
                <w:sz w:val="18"/>
                <w:szCs w:val="18"/>
              </w:rPr>
              <w:t xml:space="preserve"> (Wetzlar, DEU)</w:t>
            </w:r>
          </w:p>
        </w:tc>
        <w:tc>
          <w:tcPr>
            <w:tcW w:w="3119" w:type="dxa"/>
            <w:tcBorders>
              <w:right w:val="single" w:sz="18" w:space="0" w:color="auto"/>
            </w:tcBorders>
            <w:shd w:val="clear" w:color="auto" w:fill="auto"/>
            <w:vAlign w:val="center"/>
          </w:tcPr>
          <w:p w14:paraId="090A3F1C" w14:textId="1081865D" w:rsidR="00523683" w:rsidRPr="008804FC" w:rsidRDefault="00523683" w:rsidP="00D65B4A">
            <w:pPr>
              <w:rPr>
                <w:rFonts w:ascii="Arial" w:hAnsi="Arial" w:cs="Arial"/>
                <w:sz w:val="18"/>
                <w:szCs w:val="18"/>
              </w:rPr>
            </w:pPr>
            <w:r w:rsidRPr="008804FC">
              <w:rPr>
                <w:rFonts w:ascii="Arial" w:hAnsi="Arial" w:cs="Arial"/>
                <w:sz w:val="18"/>
                <w:szCs w:val="18"/>
              </w:rPr>
              <w:t>N/A</w:t>
            </w:r>
          </w:p>
        </w:tc>
      </w:tr>
      <w:tr w:rsidR="00523683" w:rsidRPr="008804FC" w14:paraId="7AEEE222" w14:textId="77777777" w:rsidTr="00A9588B">
        <w:trPr>
          <w:cantSplit/>
          <w:trHeight w:val="446"/>
        </w:trPr>
        <w:tc>
          <w:tcPr>
            <w:tcW w:w="3937" w:type="dxa"/>
            <w:tcBorders>
              <w:left w:val="single" w:sz="18" w:space="0" w:color="auto"/>
            </w:tcBorders>
            <w:shd w:val="clear" w:color="auto" w:fill="auto"/>
            <w:vAlign w:val="center"/>
          </w:tcPr>
          <w:p w14:paraId="1D35A5A6" w14:textId="540C4905" w:rsidR="00523683" w:rsidRPr="008804FC" w:rsidRDefault="00523683" w:rsidP="00D65B4A">
            <w:pPr>
              <w:tabs>
                <w:tab w:val="left" w:pos="1525"/>
              </w:tabs>
              <w:rPr>
                <w:rFonts w:ascii="Arial" w:hAnsi="Arial" w:cs="Arial"/>
                <w:sz w:val="18"/>
                <w:szCs w:val="18"/>
              </w:rPr>
            </w:pPr>
            <w:r w:rsidRPr="008804FC">
              <w:rPr>
                <w:rFonts w:ascii="Arial" w:hAnsi="Arial" w:cs="Arial"/>
                <w:sz w:val="18"/>
                <w:szCs w:val="18"/>
              </w:rPr>
              <w:t>Olympus FluoView FV1200 System</w:t>
            </w:r>
          </w:p>
        </w:tc>
        <w:tc>
          <w:tcPr>
            <w:tcW w:w="2520" w:type="dxa"/>
            <w:shd w:val="clear" w:color="auto" w:fill="auto"/>
            <w:vAlign w:val="center"/>
          </w:tcPr>
          <w:p w14:paraId="2E208083" w14:textId="7BB5D68D" w:rsidR="00523683" w:rsidRPr="008804FC" w:rsidRDefault="00523683" w:rsidP="00D65B4A">
            <w:pPr>
              <w:rPr>
                <w:rFonts w:ascii="Arial" w:hAnsi="Arial" w:cs="Arial"/>
                <w:sz w:val="18"/>
                <w:szCs w:val="18"/>
              </w:rPr>
            </w:pPr>
            <w:r w:rsidRPr="008804FC">
              <w:rPr>
                <w:rFonts w:ascii="Arial" w:hAnsi="Arial" w:cs="Arial"/>
                <w:sz w:val="18"/>
                <w:szCs w:val="18"/>
              </w:rPr>
              <w:t>Olympus</w:t>
            </w:r>
            <w:r w:rsidR="00F30920" w:rsidRPr="008804FC">
              <w:rPr>
                <w:rFonts w:ascii="Arial" w:hAnsi="Arial" w:cs="Arial"/>
                <w:sz w:val="18"/>
                <w:szCs w:val="18"/>
              </w:rPr>
              <w:t xml:space="preserve"> (Tokyo, JPN)</w:t>
            </w:r>
          </w:p>
        </w:tc>
        <w:tc>
          <w:tcPr>
            <w:tcW w:w="3119" w:type="dxa"/>
            <w:tcBorders>
              <w:right w:val="single" w:sz="18" w:space="0" w:color="auto"/>
            </w:tcBorders>
            <w:shd w:val="clear" w:color="auto" w:fill="auto"/>
            <w:vAlign w:val="center"/>
          </w:tcPr>
          <w:p w14:paraId="2FEEE5B3" w14:textId="793A5181" w:rsidR="00523683" w:rsidRPr="008804FC" w:rsidRDefault="00523683" w:rsidP="00D65B4A">
            <w:pPr>
              <w:rPr>
                <w:rFonts w:ascii="Arial" w:hAnsi="Arial" w:cs="Arial"/>
                <w:sz w:val="18"/>
                <w:szCs w:val="18"/>
              </w:rPr>
            </w:pPr>
            <w:r w:rsidRPr="008804FC">
              <w:rPr>
                <w:rFonts w:ascii="Arial" w:hAnsi="Arial" w:cs="Arial"/>
                <w:sz w:val="18"/>
                <w:szCs w:val="18"/>
              </w:rPr>
              <w:t>N/A</w:t>
            </w:r>
          </w:p>
        </w:tc>
      </w:tr>
      <w:tr w:rsidR="00523683" w:rsidRPr="008804FC" w14:paraId="7B7220DC" w14:textId="77777777" w:rsidTr="00371EF5">
        <w:trPr>
          <w:cantSplit/>
          <w:trHeight w:val="259"/>
        </w:trPr>
        <w:tc>
          <w:tcPr>
            <w:tcW w:w="9576" w:type="dxa"/>
            <w:gridSpan w:val="3"/>
            <w:tcBorders>
              <w:left w:val="single" w:sz="18" w:space="0" w:color="auto"/>
              <w:bottom w:val="single" w:sz="2" w:space="0" w:color="000000"/>
              <w:right w:val="single" w:sz="18" w:space="0" w:color="auto"/>
            </w:tcBorders>
            <w:shd w:val="clear" w:color="auto" w:fill="DBE5F1" w:themeFill="accent1" w:themeFillTint="33"/>
            <w:vAlign w:val="center"/>
          </w:tcPr>
          <w:p w14:paraId="5C27BC5D" w14:textId="50E4C8CE" w:rsidR="00523683" w:rsidRPr="008804FC" w:rsidRDefault="00523683" w:rsidP="00523683">
            <w:pPr>
              <w:rPr>
                <w:rFonts w:ascii="Arial" w:hAnsi="Arial" w:cs="Arial"/>
                <w:sz w:val="20"/>
                <w:szCs w:val="20"/>
              </w:rPr>
            </w:pPr>
            <w:r w:rsidRPr="008804FC">
              <w:rPr>
                <w:rFonts w:ascii="Arial" w:hAnsi="Arial" w:cs="Arial"/>
                <w:i/>
                <w:iCs/>
                <w:sz w:val="20"/>
                <w:szCs w:val="20"/>
              </w:rPr>
              <w:t>Software</w:t>
            </w:r>
          </w:p>
        </w:tc>
      </w:tr>
      <w:tr w:rsidR="00371EF5" w:rsidRPr="008804FC" w14:paraId="293E8409" w14:textId="77777777" w:rsidTr="00371EF5">
        <w:trPr>
          <w:cantSplit/>
          <w:trHeight w:val="446"/>
        </w:trPr>
        <w:tc>
          <w:tcPr>
            <w:tcW w:w="3937" w:type="dxa"/>
            <w:tcBorders>
              <w:left w:val="single" w:sz="18" w:space="0" w:color="auto"/>
              <w:bottom w:val="single" w:sz="4" w:space="0" w:color="000000"/>
            </w:tcBorders>
            <w:shd w:val="clear" w:color="auto" w:fill="auto"/>
            <w:vAlign w:val="center"/>
          </w:tcPr>
          <w:p w14:paraId="78400D20" w14:textId="135BC482" w:rsidR="00371EF5" w:rsidRPr="008804FC" w:rsidRDefault="00371EF5" w:rsidP="00D65B4A">
            <w:pPr>
              <w:tabs>
                <w:tab w:val="left" w:pos="1525"/>
              </w:tabs>
              <w:rPr>
                <w:rFonts w:ascii="Arial" w:hAnsi="Arial" w:cs="Arial"/>
                <w:sz w:val="18"/>
                <w:szCs w:val="18"/>
              </w:rPr>
            </w:pPr>
            <w:r w:rsidRPr="008804FC">
              <w:rPr>
                <w:rFonts w:ascii="Arial" w:hAnsi="Arial" w:cs="Arial"/>
                <w:sz w:val="18"/>
                <w:szCs w:val="18"/>
              </w:rPr>
              <w:t xml:space="preserve">Olympus FluoView FV10-ASW </w:t>
            </w:r>
          </w:p>
        </w:tc>
        <w:tc>
          <w:tcPr>
            <w:tcW w:w="2520" w:type="dxa"/>
            <w:tcBorders>
              <w:bottom w:val="single" w:sz="4" w:space="0" w:color="000000"/>
            </w:tcBorders>
            <w:shd w:val="clear" w:color="auto" w:fill="auto"/>
            <w:vAlign w:val="center"/>
          </w:tcPr>
          <w:p w14:paraId="4C448B32" w14:textId="668B208B" w:rsidR="00371EF5" w:rsidRPr="008804FC" w:rsidRDefault="00371EF5" w:rsidP="00D65B4A">
            <w:pPr>
              <w:rPr>
                <w:rFonts w:ascii="Arial" w:hAnsi="Arial" w:cs="Arial"/>
                <w:sz w:val="18"/>
                <w:szCs w:val="18"/>
              </w:rPr>
            </w:pPr>
            <w:r w:rsidRPr="008804FC">
              <w:rPr>
                <w:rFonts w:ascii="Arial" w:hAnsi="Arial" w:cs="Arial"/>
                <w:sz w:val="18"/>
                <w:szCs w:val="18"/>
              </w:rPr>
              <w:t>Olympus (Tokyo, JPN)</w:t>
            </w:r>
          </w:p>
        </w:tc>
        <w:tc>
          <w:tcPr>
            <w:tcW w:w="3119" w:type="dxa"/>
            <w:tcBorders>
              <w:bottom w:val="single" w:sz="4" w:space="0" w:color="000000"/>
              <w:right w:val="single" w:sz="18" w:space="0" w:color="auto"/>
            </w:tcBorders>
            <w:shd w:val="clear" w:color="auto" w:fill="auto"/>
            <w:vAlign w:val="center"/>
          </w:tcPr>
          <w:p w14:paraId="7C9CDFB1" w14:textId="77777777" w:rsidR="00371EF5" w:rsidRPr="008804FC" w:rsidRDefault="00371EF5" w:rsidP="00D65B4A">
            <w:pPr>
              <w:rPr>
                <w:rFonts w:ascii="Arial" w:hAnsi="Arial" w:cs="Arial"/>
                <w:sz w:val="18"/>
                <w:szCs w:val="18"/>
              </w:rPr>
            </w:pPr>
          </w:p>
        </w:tc>
      </w:tr>
      <w:tr w:rsidR="00523683" w:rsidRPr="008804FC" w14:paraId="0D649C03" w14:textId="77777777" w:rsidTr="00371EF5">
        <w:trPr>
          <w:cantSplit/>
          <w:trHeight w:val="446"/>
        </w:trPr>
        <w:tc>
          <w:tcPr>
            <w:tcW w:w="3937" w:type="dxa"/>
            <w:tcBorders>
              <w:top w:val="single" w:sz="4" w:space="0" w:color="000000"/>
              <w:left w:val="single" w:sz="18" w:space="0" w:color="auto"/>
              <w:bottom w:val="single" w:sz="18" w:space="0" w:color="auto"/>
            </w:tcBorders>
            <w:shd w:val="clear" w:color="auto" w:fill="auto"/>
            <w:vAlign w:val="center"/>
          </w:tcPr>
          <w:p w14:paraId="138DEB65" w14:textId="0A20DF0F" w:rsidR="00523683" w:rsidRPr="008804FC" w:rsidRDefault="00523683" w:rsidP="00D65B4A">
            <w:pPr>
              <w:tabs>
                <w:tab w:val="left" w:pos="1525"/>
              </w:tabs>
              <w:rPr>
                <w:rFonts w:ascii="Arial" w:hAnsi="Arial" w:cs="Arial"/>
                <w:sz w:val="18"/>
                <w:szCs w:val="18"/>
              </w:rPr>
            </w:pPr>
            <w:r w:rsidRPr="008804FC">
              <w:rPr>
                <w:rFonts w:ascii="Arial" w:hAnsi="Arial" w:cs="Arial"/>
                <w:sz w:val="18"/>
                <w:szCs w:val="18"/>
              </w:rPr>
              <w:t>FIJI/ImageJ</w:t>
            </w:r>
            <w:r w:rsidR="007C6873" w:rsidRPr="008804FC">
              <w:rPr>
                <w:rFonts w:ascii="Arial" w:hAnsi="Arial" w:cs="Arial"/>
                <w:sz w:val="18"/>
                <w:szCs w:val="18"/>
              </w:rPr>
              <w:t xml:space="preserve"> (version 1.54p)</w:t>
            </w:r>
          </w:p>
        </w:tc>
        <w:tc>
          <w:tcPr>
            <w:tcW w:w="2520" w:type="dxa"/>
            <w:tcBorders>
              <w:top w:val="single" w:sz="4" w:space="0" w:color="000000"/>
              <w:bottom w:val="single" w:sz="18" w:space="0" w:color="auto"/>
            </w:tcBorders>
            <w:shd w:val="clear" w:color="auto" w:fill="auto"/>
            <w:vAlign w:val="center"/>
          </w:tcPr>
          <w:p w14:paraId="468C4E45" w14:textId="290E4011" w:rsidR="00523683" w:rsidRPr="008804FC" w:rsidRDefault="00523683" w:rsidP="00D65B4A">
            <w:pPr>
              <w:rPr>
                <w:rFonts w:ascii="Arial" w:hAnsi="Arial" w:cs="Arial"/>
                <w:sz w:val="18"/>
                <w:szCs w:val="18"/>
              </w:rPr>
            </w:pPr>
            <w:r w:rsidRPr="008804FC">
              <w:rPr>
                <w:rFonts w:ascii="Arial" w:hAnsi="Arial" w:cs="Arial"/>
                <w:sz w:val="18"/>
                <w:szCs w:val="18"/>
              </w:rPr>
              <w:t xml:space="preserve">Schindelin et al. </w:t>
            </w:r>
            <w:r w:rsidR="00A9588B" w:rsidRPr="008804FC">
              <w:rPr>
                <w:rFonts w:ascii="Arial" w:hAnsi="Arial" w:cs="Arial"/>
                <w:sz w:val="18"/>
                <w:szCs w:val="18"/>
              </w:rPr>
              <w:fldChar w:fldCharType="begin"/>
            </w:r>
            <w:r w:rsidR="00882E99">
              <w:rPr>
                <w:rFonts w:ascii="Arial" w:hAnsi="Arial" w:cs="Arial"/>
                <w:sz w:val="18"/>
                <w:szCs w:val="18"/>
              </w:rPr>
              <w:instrText xml:space="preserve"> ADDIN ZOTERO_ITEM CSL_CITATION {"citationID":"MaexFY0T","properties":{"unsorted":false,"formattedCitation":"[1]","plainCitation":"[1]","noteIndex":0},"citationItems":[{"id":8434,"uris":["http://zotero.org/users/14649661/items/PKNEPG8M"],"itemData":{"id":8434,"type":"article-journal","abstract":"Fiji is a distribution of the popular open-source software ImageJ focused on biological-image analysis. Fiji uses modern software engineering practices to combine powerful software libraries with a broad range of scripting languages to enable rapid prototyping of image-processing algorithms. Fiji facilitates the transformation of new algorithms into ImageJ plugins that can be shared with end users through an integrated update system. We propose Fiji as a platform for productive collaboration between computer science and biology research communities.","container-title":"Nature Methods","DOI":"10.1038/nmeth.2019","ISSN":"1548-7105","issue":"7","journalAbbreviation":"Nat Methods","language":"eng","note":"PMID: 22743772\nPMCID: PMC3855844","page":"676-682","source":"PubMed","title":"Fiji: an open-source platform for biological-image analysis","title-short":"Fiji","volume":"9","author":[{"family":"Schindelin","given":"Johannes"},{"family":"Arganda-Carreras","given":"Ignacio"},{"family":"Frise","given":"Erwin"},{"family":"Kaynig","given":"Verena"},{"family":"Longair","given":"Mark"},{"family":"Pietzsch","given":"Tobias"},{"family":"Preibisch","given":"Stephan"},{"family":"Rueden","given":"Curtis"},{"family":"Saalfeld","given":"Stephan"},{"family":"Schmid","given":"Benjamin"},{"family":"Tinevez","given":"Jean-Yves"},{"family":"White","given":"Daniel James"},{"family":"Hartenstein","given":"Volker"},{"family":"Eliceiri","given":"Kevin"},{"family":"Tomancak","given":"Pavel"},{"family":"Cardona","given":"Albert"}],"issued":{"date-parts":[["2012",6,28]]},"citation-key":"schindelinFijiOpensourcePlatform2012"},"locator":null,"label":null,"suppress-author":null,"prefix":null,"suffix":null}],"schema":"https://github.com/citation-style-language/schema/raw/master/csl-citation.json"} </w:instrText>
            </w:r>
            <w:r w:rsidR="00A9588B" w:rsidRPr="008804FC">
              <w:rPr>
                <w:rFonts w:ascii="Arial" w:hAnsi="Arial" w:cs="Arial"/>
                <w:sz w:val="18"/>
                <w:szCs w:val="18"/>
              </w:rPr>
              <w:fldChar w:fldCharType="separate"/>
            </w:r>
            <w:r w:rsidR="00882E99" w:rsidRPr="00882E99">
              <w:rPr>
                <w:rFonts w:ascii="Calibri" w:hAnsi="Calibri" w:cs="Calibri"/>
                <w:sz w:val="18"/>
              </w:rPr>
              <w:t>[1]</w:t>
            </w:r>
            <w:r w:rsidR="00A9588B" w:rsidRPr="008804FC">
              <w:rPr>
                <w:rFonts w:ascii="Arial" w:hAnsi="Arial" w:cs="Arial"/>
                <w:sz w:val="18"/>
                <w:szCs w:val="18"/>
              </w:rPr>
              <w:fldChar w:fldCharType="end"/>
            </w:r>
          </w:p>
        </w:tc>
        <w:tc>
          <w:tcPr>
            <w:tcW w:w="3119" w:type="dxa"/>
            <w:tcBorders>
              <w:top w:val="single" w:sz="4" w:space="0" w:color="000000"/>
              <w:bottom w:val="single" w:sz="18" w:space="0" w:color="auto"/>
              <w:right w:val="single" w:sz="18" w:space="0" w:color="auto"/>
            </w:tcBorders>
            <w:shd w:val="clear" w:color="auto" w:fill="auto"/>
            <w:vAlign w:val="center"/>
          </w:tcPr>
          <w:p w14:paraId="0FA378F9" w14:textId="5A0BB0E9" w:rsidR="00523683" w:rsidRPr="008804FC" w:rsidRDefault="00523683" w:rsidP="00D65B4A">
            <w:pPr>
              <w:rPr>
                <w:rFonts w:ascii="Arial" w:hAnsi="Arial" w:cs="Arial"/>
                <w:sz w:val="18"/>
                <w:szCs w:val="18"/>
              </w:rPr>
            </w:pPr>
            <w:hyperlink r:id="rId11" w:history="1">
              <w:r w:rsidRPr="008804FC">
                <w:rPr>
                  <w:rStyle w:val="Hyperlink"/>
                  <w:rFonts w:ascii="Arial" w:hAnsi="Arial" w:cs="Arial"/>
                  <w:sz w:val="18"/>
                  <w:szCs w:val="18"/>
                </w:rPr>
                <w:t>https://imagej.net/software/fiji/</w:t>
              </w:r>
            </w:hyperlink>
          </w:p>
        </w:tc>
      </w:tr>
      <w:tr w:rsidR="00523683" w:rsidRPr="008804FC" w14:paraId="7EFBEC8A" w14:textId="77777777" w:rsidTr="00523683">
        <w:trPr>
          <w:cantSplit/>
          <w:trHeight w:val="259"/>
        </w:trPr>
        <w:tc>
          <w:tcPr>
            <w:tcW w:w="9576" w:type="dxa"/>
            <w:gridSpan w:val="3"/>
            <w:tcBorders>
              <w:top w:val="single" w:sz="18" w:space="0" w:color="auto"/>
              <w:left w:val="single" w:sz="18" w:space="0" w:color="auto"/>
              <w:right w:val="single" w:sz="18" w:space="0" w:color="auto"/>
            </w:tcBorders>
            <w:shd w:val="clear" w:color="auto" w:fill="DBE5F1" w:themeFill="accent1" w:themeFillTint="33"/>
            <w:vAlign w:val="center"/>
          </w:tcPr>
          <w:p w14:paraId="0156EE2D" w14:textId="510EB8B5" w:rsidR="00523683" w:rsidRPr="008804FC" w:rsidRDefault="00523683" w:rsidP="00523683">
            <w:pPr>
              <w:jc w:val="center"/>
              <w:rPr>
                <w:rFonts w:ascii="Arial" w:hAnsi="Arial" w:cs="Arial"/>
                <w:u w:val="single"/>
              </w:rPr>
            </w:pPr>
            <w:r w:rsidRPr="008804FC">
              <w:rPr>
                <w:rFonts w:ascii="Arial" w:hAnsi="Arial" w:cs="Arial"/>
                <w:u w:val="single"/>
              </w:rPr>
              <w:t>Lipidomics</w:t>
            </w:r>
          </w:p>
        </w:tc>
      </w:tr>
      <w:tr w:rsidR="00523683" w:rsidRPr="008804FC" w14:paraId="4BCAC4EE" w14:textId="77777777" w:rsidTr="00523683">
        <w:trPr>
          <w:cantSplit/>
          <w:trHeight w:val="259"/>
        </w:trPr>
        <w:tc>
          <w:tcPr>
            <w:tcW w:w="9576" w:type="dxa"/>
            <w:gridSpan w:val="3"/>
            <w:tcBorders>
              <w:left w:val="single" w:sz="18" w:space="0" w:color="auto"/>
              <w:right w:val="single" w:sz="18" w:space="0" w:color="auto"/>
            </w:tcBorders>
            <w:shd w:val="clear" w:color="auto" w:fill="DBE5F1" w:themeFill="accent1" w:themeFillTint="33"/>
            <w:vAlign w:val="center"/>
          </w:tcPr>
          <w:p w14:paraId="3A362F8B" w14:textId="21B41EBB" w:rsidR="00523683" w:rsidRPr="008804FC" w:rsidRDefault="00523683" w:rsidP="00523683">
            <w:pPr>
              <w:rPr>
                <w:rFonts w:ascii="Arial" w:hAnsi="Arial" w:cs="Arial"/>
                <w:sz w:val="20"/>
                <w:szCs w:val="20"/>
              </w:rPr>
            </w:pPr>
            <w:r w:rsidRPr="008804FC">
              <w:rPr>
                <w:rFonts w:ascii="Arial" w:hAnsi="Arial" w:cs="Arial"/>
                <w:i/>
                <w:iCs/>
                <w:sz w:val="20"/>
                <w:szCs w:val="20"/>
              </w:rPr>
              <w:t>Chemicals/Reagents</w:t>
            </w:r>
          </w:p>
        </w:tc>
      </w:tr>
      <w:tr w:rsidR="00523683" w:rsidRPr="008804FC" w14:paraId="388E219F" w14:textId="77777777" w:rsidTr="00A9588B">
        <w:trPr>
          <w:cantSplit/>
          <w:trHeight w:val="446"/>
        </w:trPr>
        <w:tc>
          <w:tcPr>
            <w:tcW w:w="3937" w:type="dxa"/>
            <w:tcBorders>
              <w:left w:val="single" w:sz="18" w:space="0" w:color="auto"/>
            </w:tcBorders>
            <w:shd w:val="clear" w:color="auto" w:fill="auto"/>
            <w:vAlign w:val="center"/>
          </w:tcPr>
          <w:p w14:paraId="3CF1CBB5" w14:textId="27524C11" w:rsidR="00523683" w:rsidRPr="008804FC" w:rsidRDefault="00523683" w:rsidP="00D65B4A">
            <w:pPr>
              <w:rPr>
                <w:rFonts w:ascii="Arial" w:hAnsi="Arial" w:cs="Arial"/>
                <w:sz w:val="18"/>
                <w:szCs w:val="18"/>
              </w:rPr>
            </w:pPr>
            <w:r w:rsidRPr="008804FC">
              <w:rPr>
                <w:rFonts w:ascii="Arial" w:hAnsi="Arial" w:cs="Arial"/>
                <w:sz w:val="18"/>
                <w:szCs w:val="18"/>
              </w:rPr>
              <w:t>d5-2-AG</w:t>
            </w:r>
          </w:p>
        </w:tc>
        <w:tc>
          <w:tcPr>
            <w:tcW w:w="2520" w:type="dxa"/>
            <w:shd w:val="clear" w:color="auto" w:fill="auto"/>
            <w:vAlign w:val="center"/>
          </w:tcPr>
          <w:p w14:paraId="2320B227" w14:textId="118DE029" w:rsidR="00523683" w:rsidRPr="008804FC" w:rsidRDefault="00523683" w:rsidP="00D65B4A">
            <w:pPr>
              <w:rPr>
                <w:rFonts w:ascii="Arial" w:hAnsi="Arial" w:cs="Arial"/>
                <w:sz w:val="18"/>
                <w:szCs w:val="18"/>
              </w:rPr>
            </w:pPr>
            <w:r w:rsidRPr="008804FC">
              <w:rPr>
                <w:rFonts w:ascii="Arial" w:hAnsi="Arial" w:cs="Arial"/>
                <w:sz w:val="18"/>
                <w:szCs w:val="18"/>
              </w:rPr>
              <w:t>Cayman Chemical</w:t>
            </w:r>
            <w:r w:rsidR="00F30920" w:rsidRPr="008804FC">
              <w:rPr>
                <w:rFonts w:ascii="Arial" w:hAnsi="Arial" w:cs="Arial"/>
                <w:sz w:val="18"/>
                <w:szCs w:val="18"/>
              </w:rPr>
              <w:t xml:space="preserve"> (Ann</w:t>
            </w:r>
            <w:r w:rsidR="00D65B4A" w:rsidRPr="008804FC">
              <w:rPr>
                <w:rFonts w:ascii="Arial" w:hAnsi="Arial" w:cs="Arial"/>
                <w:sz w:val="18"/>
                <w:szCs w:val="18"/>
              </w:rPr>
              <w:t> </w:t>
            </w:r>
            <w:r w:rsidR="00F30920" w:rsidRPr="008804FC">
              <w:rPr>
                <w:rFonts w:ascii="Arial" w:hAnsi="Arial" w:cs="Arial"/>
                <w:sz w:val="18"/>
                <w:szCs w:val="18"/>
              </w:rPr>
              <w:t>Arbor, MI, USA)</w:t>
            </w:r>
          </w:p>
        </w:tc>
        <w:tc>
          <w:tcPr>
            <w:tcW w:w="3119" w:type="dxa"/>
            <w:tcBorders>
              <w:right w:val="single" w:sz="18" w:space="0" w:color="auto"/>
            </w:tcBorders>
            <w:shd w:val="clear" w:color="auto" w:fill="auto"/>
            <w:vAlign w:val="center"/>
          </w:tcPr>
          <w:p w14:paraId="385F3C03" w14:textId="67C7553F" w:rsidR="00523683" w:rsidRPr="008804FC" w:rsidRDefault="001860F9" w:rsidP="00D65B4A">
            <w:pPr>
              <w:rPr>
                <w:rFonts w:ascii="Arial" w:hAnsi="Arial" w:cs="Arial"/>
                <w:sz w:val="18"/>
                <w:szCs w:val="18"/>
              </w:rPr>
            </w:pPr>
            <w:r w:rsidRPr="008804FC">
              <w:rPr>
                <w:rFonts w:ascii="Arial" w:hAnsi="Arial" w:cs="Arial"/>
                <w:sz w:val="18"/>
                <w:szCs w:val="18"/>
              </w:rPr>
              <w:t>Cat.#</w:t>
            </w:r>
            <w:r w:rsidR="00523683" w:rsidRPr="008804FC">
              <w:rPr>
                <w:rFonts w:ascii="Arial" w:hAnsi="Arial" w:cs="Arial"/>
                <w:sz w:val="18"/>
                <w:szCs w:val="18"/>
              </w:rPr>
              <w:t xml:space="preserve"> 362162</w:t>
            </w:r>
          </w:p>
        </w:tc>
      </w:tr>
      <w:tr w:rsidR="00523683" w:rsidRPr="008804FC" w14:paraId="6F640602" w14:textId="77777777" w:rsidTr="00A9588B">
        <w:trPr>
          <w:cantSplit/>
          <w:trHeight w:val="446"/>
        </w:trPr>
        <w:tc>
          <w:tcPr>
            <w:tcW w:w="3937" w:type="dxa"/>
            <w:tcBorders>
              <w:left w:val="single" w:sz="18" w:space="0" w:color="auto"/>
            </w:tcBorders>
            <w:shd w:val="clear" w:color="auto" w:fill="auto"/>
            <w:vAlign w:val="center"/>
          </w:tcPr>
          <w:p w14:paraId="5E0001CE" w14:textId="0F66D984" w:rsidR="00523683" w:rsidRPr="008804FC" w:rsidRDefault="00523683" w:rsidP="00D65B4A">
            <w:pPr>
              <w:rPr>
                <w:rFonts w:ascii="Arial" w:hAnsi="Arial" w:cs="Arial"/>
                <w:sz w:val="18"/>
                <w:szCs w:val="18"/>
              </w:rPr>
            </w:pPr>
            <w:r w:rsidRPr="008804FC">
              <w:rPr>
                <w:rFonts w:ascii="Arial" w:hAnsi="Arial" w:cs="Arial"/>
                <w:sz w:val="18"/>
                <w:szCs w:val="18"/>
              </w:rPr>
              <w:t>d4-AEA</w:t>
            </w:r>
          </w:p>
        </w:tc>
        <w:tc>
          <w:tcPr>
            <w:tcW w:w="2520" w:type="dxa"/>
            <w:shd w:val="clear" w:color="auto" w:fill="auto"/>
            <w:vAlign w:val="center"/>
          </w:tcPr>
          <w:p w14:paraId="4152227D" w14:textId="632D2D2A" w:rsidR="00523683" w:rsidRPr="008804FC" w:rsidRDefault="00523683" w:rsidP="00D65B4A">
            <w:pPr>
              <w:rPr>
                <w:rFonts w:ascii="Arial" w:hAnsi="Arial" w:cs="Arial"/>
                <w:sz w:val="18"/>
                <w:szCs w:val="18"/>
              </w:rPr>
            </w:pPr>
            <w:r w:rsidRPr="008804FC">
              <w:rPr>
                <w:rFonts w:ascii="Arial" w:hAnsi="Arial" w:cs="Arial"/>
                <w:sz w:val="18"/>
                <w:szCs w:val="18"/>
              </w:rPr>
              <w:t>Cayman Chemical</w:t>
            </w:r>
            <w:r w:rsidR="00F30920" w:rsidRPr="008804FC">
              <w:rPr>
                <w:rFonts w:ascii="Arial" w:hAnsi="Arial" w:cs="Arial"/>
                <w:sz w:val="18"/>
                <w:szCs w:val="18"/>
              </w:rPr>
              <w:t xml:space="preserve"> (Ann</w:t>
            </w:r>
            <w:r w:rsidR="00D65B4A" w:rsidRPr="008804FC">
              <w:rPr>
                <w:rFonts w:ascii="Arial" w:hAnsi="Arial" w:cs="Arial"/>
                <w:sz w:val="18"/>
                <w:szCs w:val="18"/>
              </w:rPr>
              <w:t> </w:t>
            </w:r>
            <w:r w:rsidR="00F30920" w:rsidRPr="008804FC">
              <w:rPr>
                <w:rFonts w:ascii="Arial" w:hAnsi="Arial" w:cs="Arial"/>
                <w:sz w:val="18"/>
                <w:szCs w:val="18"/>
              </w:rPr>
              <w:t>Arbor, MI, USA)</w:t>
            </w:r>
          </w:p>
        </w:tc>
        <w:tc>
          <w:tcPr>
            <w:tcW w:w="3119" w:type="dxa"/>
            <w:tcBorders>
              <w:right w:val="single" w:sz="18" w:space="0" w:color="auto"/>
            </w:tcBorders>
            <w:shd w:val="clear" w:color="auto" w:fill="auto"/>
            <w:vAlign w:val="center"/>
          </w:tcPr>
          <w:p w14:paraId="0701E969" w14:textId="56099BFE" w:rsidR="00523683" w:rsidRPr="008804FC" w:rsidRDefault="001860F9" w:rsidP="00D65B4A">
            <w:pPr>
              <w:rPr>
                <w:rFonts w:ascii="Arial" w:hAnsi="Arial" w:cs="Arial"/>
                <w:sz w:val="18"/>
                <w:szCs w:val="18"/>
              </w:rPr>
            </w:pPr>
            <w:r w:rsidRPr="008804FC">
              <w:rPr>
                <w:rFonts w:ascii="Arial" w:hAnsi="Arial" w:cs="Arial"/>
                <w:sz w:val="18"/>
                <w:szCs w:val="18"/>
              </w:rPr>
              <w:t>Cat.#</w:t>
            </w:r>
            <w:r w:rsidR="00523683" w:rsidRPr="008804FC">
              <w:rPr>
                <w:rFonts w:ascii="Arial" w:hAnsi="Arial" w:cs="Arial"/>
                <w:sz w:val="18"/>
                <w:szCs w:val="18"/>
              </w:rPr>
              <w:t xml:space="preserve"> 10011178</w:t>
            </w:r>
          </w:p>
        </w:tc>
      </w:tr>
      <w:tr w:rsidR="00523683" w:rsidRPr="008804FC" w14:paraId="027A5A51" w14:textId="77777777" w:rsidTr="00523683">
        <w:trPr>
          <w:cantSplit/>
          <w:trHeight w:val="259"/>
        </w:trPr>
        <w:tc>
          <w:tcPr>
            <w:tcW w:w="9576" w:type="dxa"/>
            <w:gridSpan w:val="3"/>
            <w:tcBorders>
              <w:left w:val="single" w:sz="18" w:space="0" w:color="auto"/>
              <w:right w:val="single" w:sz="18" w:space="0" w:color="auto"/>
            </w:tcBorders>
            <w:shd w:val="clear" w:color="auto" w:fill="DBE5F1" w:themeFill="accent1" w:themeFillTint="33"/>
            <w:vAlign w:val="center"/>
          </w:tcPr>
          <w:p w14:paraId="232CA31D" w14:textId="1808A05D" w:rsidR="00523683" w:rsidRPr="008804FC" w:rsidRDefault="00523683" w:rsidP="00523683">
            <w:pPr>
              <w:rPr>
                <w:rFonts w:ascii="Arial" w:hAnsi="Arial" w:cs="Arial"/>
                <w:sz w:val="20"/>
                <w:szCs w:val="20"/>
              </w:rPr>
            </w:pPr>
            <w:r w:rsidRPr="008804FC">
              <w:rPr>
                <w:rFonts w:ascii="Arial" w:hAnsi="Arial" w:cs="Arial"/>
                <w:i/>
                <w:iCs/>
                <w:sz w:val="20"/>
                <w:szCs w:val="20"/>
              </w:rPr>
              <w:t>Equipment</w:t>
            </w:r>
          </w:p>
        </w:tc>
      </w:tr>
      <w:tr w:rsidR="00523683" w:rsidRPr="008804FC" w14:paraId="11D35534" w14:textId="77777777" w:rsidTr="00A9588B">
        <w:trPr>
          <w:cantSplit/>
          <w:trHeight w:val="446"/>
        </w:trPr>
        <w:tc>
          <w:tcPr>
            <w:tcW w:w="3937" w:type="dxa"/>
            <w:tcBorders>
              <w:left w:val="single" w:sz="18" w:space="0" w:color="auto"/>
            </w:tcBorders>
            <w:shd w:val="clear" w:color="auto" w:fill="auto"/>
            <w:vAlign w:val="center"/>
          </w:tcPr>
          <w:p w14:paraId="2AE7938B" w14:textId="745153CC" w:rsidR="00523683" w:rsidRPr="008804FC" w:rsidRDefault="00523683" w:rsidP="00D65B4A">
            <w:pPr>
              <w:rPr>
                <w:rFonts w:ascii="Arial" w:hAnsi="Arial" w:cs="Arial"/>
                <w:sz w:val="18"/>
                <w:szCs w:val="18"/>
              </w:rPr>
            </w:pPr>
            <w:r w:rsidRPr="008804FC">
              <w:rPr>
                <w:rFonts w:ascii="Arial" w:hAnsi="Arial" w:cs="Arial"/>
                <w:sz w:val="18"/>
                <w:szCs w:val="18"/>
              </w:rPr>
              <w:lastRenderedPageBreak/>
              <w:t>6495C Triple Quadrupole Mass Spectrometer</w:t>
            </w:r>
          </w:p>
        </w:tc>
        <w:tc>
          <w:tcPr>
            <w:tcW w:w="2520" w:type="dxa"/>
            <w:shd w:val="clear" w:color="auto" w:fill="auto"/>
            <w:vAlign w:val="center"/>
          </w:tcPr>
          <w:p w14:paraId="1114053B" w14:textId="13ACA45B" w:rsidR="00523683" w:rsidRPr="008804FC" w:rsidRDefault="00523683" w:rsidP="00D65B4A">
            <w:pPr>
              <w:rPr>
                <w:rFonts w:ascii="Arial" w:hAnsi="Arial" w:cs="Arial"/>
                <w:sz w:val="18"/>
                <w:szCs w:val="18"/>
              </w:rPr>
            </w:pPr>
            <w:r w:rsidRPr="008804FC">
              <w:rPr>
                <w:rFonts w:ascii="Arial" w:hAnsi="Arial" w:cs="Arial"/>
                <w:sz w:val="18"/>
                <w:szCs w:val="18"/>
              </w:rPr>
              <w:t>Agilent</w:t>
            </w:r>
            <w:r w:rsidR="00521F64" w:rsidRPr="008804FC">
              <w:rPr>
                <w:rFonts w:ascii="Arial" w:hAnsi="Arial" w:cs="Arial"/>
                <w:sz w:val="18"/>
                <w:szCs w:val="18"/>
              </w:rPr>
              <w:t xml:space="preserve"> (Palo</w:t>
            </w:r>
            <w:r w:rsidR="00D65B4A" w:rsidRPr="008804FC">
              <w:rPr>
                <w:rFonts w:ascii="Arial" w:hAnsi="Arial" w:cs="Arial"/>
                <w:sz w:val="18"/>
                <w:szCs w:val="18"/>
              </w:rPr>
              <w:t> </w:t>
            </w:r>
            <w:r w:rsidR="00521F64" w:rsidRPr="008804FC">
              <w:rPr>
                <w:rFonts w:ascii="Arial" w:hAnsi="Arial" w:cs="Arial"/>
                <w:sz w:val="18"/>
                <w:szCs w:val="18"/>
              </w:rPr>
              <w:t>Alto,</w:t>
            </w:r>
            <w:r w:rsidR="00D65B4A" w:rsidRPr="008804FC">
              <w:rPr>
                <w:rFonts w:ascii="Arial" w:hAnsi="Arial" w:cs="Arial"/>
                <w:sz w:val="18"/>
                <w:szCs w:val="18"/>
              </w:rPr>
              <w:t> </w:t>
            </w:r>
            <w:r w:rsidR="00521F64" w:rsidRPr="008804FC">
              <w:rPr>
                <w:rFonts w:ascii="Arial" w:hAnsi="Arial" w:cs="Arial"/>
                <w:sz w:val="18"/>
                <w:szCs w:val="18"/>
              </w:rPr>
              <w:t>CA,</w:t>
            </w:r>
            <w:r w:rsidR="00D65B4A" w:rsidRPr="008804FC">
              <w:rPr>
                <w:rFonts w:ascii="Arial" w:hAnsi="Arial" w:cs="Arial"/>
                <w:sz w:val="18"/>
                <w:szCs w:val="18"/>
              </w:rPr>
              <w:t> </w:t>
            </w:r>
            <w:r w:rsidR="00521F64" w:rsidRPr="008804FC">
              <w:rPr>
                <w:rFonts w:ascii="Arial" w:hAnsi="Arial" w:cs="Arial"/>
                <w:sz w:val="18"/>
                <w:szCs w:val="18"/>
              </w:rPr>
              <w:t>USA)</w:t>
            </w:r>
          </w:p>
        </w:tc>
        <w:tc>
          <w:tcPr>
            <w:tcW w:w="3119" w:type="dxa"/>
            <w:tcBorders>
              <w:right w:val="single" w:sz="18" w:space="0" w:color="auto"/>
            </w:tcBorders>
            <w:shd w:val="clear" w:color="auto" w:fill="auto"/>
            <w:vAlign w:val="center"/>
          </w:tcPr>
          <w:p w14:paraId="481968B9" w14:textId="3CDC8242" w:rsidR="00523683" w:rsidRPr="008804FC" w:rsidRDefault="00523683" w:rsidP="00D65B4A">
            <w:pPr>
              <w:rPr>
                <w:rFonts w:ascii="Arial" w:hAnsi="Arial" w:cs="Arial"/>
                <w:sz w:val="18"/>
                <w:szCs w:val="18"/>
              </w:rPr>
            </w:pPr>
            <w:r w:rsidRPr="008804FC">
              <w:rPr>
                <w:rFonts w:ascii="Arial" w:hAnsi="Arial" w:cs="Arial"/>
                <w:sz w:val="18"/>
                <w:szCs w:val="18"/>
              </w:rPr>
              <w:t>N/A</w:t>
            </w:r>
          </w:p>
        </w:tc>
      </w:tr>
      <w:tr w:rsidR="00523683" w:rsidRPr="008804FC" w14:paraId="3A04B8A9" w14:textId="77777777" w:rsidTr="00A9588B">
        <w:trPr>
          <w:cantSplit/>
          <w:trHeight w:val="446"/>
        </w:trPr>
        <w:tc>
          <w:tcPr>
            <w:tcW w:w="3937" w:type="dxa"/>
            <w:tcBorders>
              <w:left w:val="single" w:sz="18" w:space="0" w:color="auto"/>
              <w:bottom w:val="single" w:sz="6" w:space="0" w:color="auto"/>
            </w:tcBorders>
            <w:shd w:val="clear" w:color="auto" w:fill="auto"/>
            <w:vAlign w:val="center"/>
          </w:tcPr>
          <w:p w14:paraId="7378771E" w14:textId="727DF351" w:rsidR="00523683" w:rsidRPr="008804FC" w:rsidRDefault="00523683" w:rsidP="00D65B4A">
            <w:pPr>
              <w:rPr>
                <w:rFonts w:ascii="Arial" w:hAnsi="Arial" w:cs="Arial"/>
                <w:sz w:val="18"/>
                <w:szCs w:val="18"/>
              </w:rPr>
            </w:pPr>
            <w:r w:rsidRPr="008804FC">
              <w:rPr>
                <w:rFonts w:ascii="Arial" w:hAnsi="Arial" w:cs="Arial"/>
                <w:sz w:val="18"/>
                <w:szCs w:val="18"/>
              </w:rPr>
              <w:t>1290 Infinity II UPLC System</w:t>
            </w:r>
          </w:p>
        </w:tc>
        <w:tc>
          <w:tcPr>
            <w:tcW w:w="2520" w:type="dxa"/>
            <w:tcBorders>
              <w:bottom w:val="single" w:sz="6" w:space="0" w:color="auto"/>
            </w:tcBorders>
            <w:shd w:val="clear" w:color="auto" w:fill="auto"/>
            <w:vAlign w:val="center"/>
          </w:tcPr>
          <w:p w14:paraId="6F7EA1D2" w14:textId="20F3F112" w:rsidR="00523683" w:rsidRPr="008804FC" w:rsidRDefault="00523683" w:rsidP="00D65B4A">
            <w:pPr>
              <w:rPr>
                <w:rFonts w:ascii="Arial" w:hAnsi="Arial" w:cs="Arial"/>
                <w:sz w:val="18"/>
                <w:szCs w:val="18"/>
              </w:rPr>
            </w:pPr>
            <w:r w:rsidRPr="008804FC">
              <w:rPr>
                <w:rFonts w:ascii="Arial" w:hAnsi="Arial" w:cs="Arial"/>
                <w:sz w:val="18"/>
                <w:szCs w:val="18"/>
              </w:rPr>
              <w:t>Agilent</w:t>
            </w:r>
            <w:r w:rsidR="00521F64" w:rsidRPr="008804FC">
              <w:rPr>
                <w:rFonts w:ascii="Arial" w:hAnsi="Arial" w:cs="Arial"/>
                <w:sz w:val="18"/>
                <w:szCs w:val="18"/>
              </w:rPr>
              <w:t xml:space="preserve"> (Palo</w:t>
            </w:r>
            <w:r w:rsidR="00D65B4A" w:rsidRPr="008804FC">
              <w:rPr>
                <w:rFonts w:ascii="Arial" w:hAnsi="Arial" w:cs="Arial"/>
                <w:sz w:val="18"/>
                <w:szCs w:val="18"/>
              </w:rPr>
              <w:t> </w:t>
            </w:r>
            <w:r w:rsidR="00521F64" w:rsidRPr="008804FC">
              <w:rPr>
                <w:rFonts w:ascii="Arial" w:hAnsi="Arial" w:cs="Arial"/>
                <w:sz w:val="18"/>
                <w:szCs w:val="18"/>
              </w:rPr>
              <w:t>Alto,</w:t>
            </w:r>
            <w:r w:rsidR="00D65B4A" w:rsidRPr="008804FC">
              <w:rPr>
                <w:rFonts w:ascii="Arial" w:hAnsi="Arial" w:cs="Arial"/>
                <w:sz w:val="18"/>
                <w:szCs w:val="18"/>
              </w:rPr>
              <w:t> </w:t>
            </w:r>
            <w:r w:rsidR="00521F64" w:rsidRPr="008804FC">
              <w:rPr>
                <w:rFonts w:ascii="Arial" w:hAnsi="Arial" w:cs="Arial"/>
                <w:sz w:val="18"/>
                <w:szCs w:val="18"/>
              </w:rPr>
              <w:t>CA,</w:t>
            </w:r>
            <w:r w:rsidR="00D65B4A" w:rsidRPr="008804FC">
              <w:rPr>
                <w:rFonts w:ascii="Arial" w:hAnsi="Arial" w:cs="Arial"/>
                <w:sz w:val="18"/>
                <w:szCs w:val="18"/>
              </w:rPr>
              <w:t> </w:t>
            </w:r>
            <w:r w:rsidR="00521F64" w:rsidRPr="008804FC">
              <w:rPr>
                <w:rFonts w:ascii="Arial" w:hAnsi="Arial" w:cs="Arial"/>
                <w:sz w:val="18"/>
                <w:szCs w:val="18"/>
              </w:rPr>
              <w:t>USA)</w:t>
            </w:r>
          </w:p>
        </w:tc>
        <w:tc>
          <w:tcPr>
            <w:tcW w:w="3119" w:type="dxa"/>
            <w:tcBorders>
              <w:bottom w:val="single" w:sz="6" w:space="0" w:color="auto"/>
              <w:right w:val="single" w:sz="18" w:space="0" w:color="auto"/>
            </w:tcBorders>
            <w:shd w:val="clear" w:color="auto" w:fill="auto"/>
            <w:vAlign w:val="center"/>
          </w:tcPr>
          <w:p w14:paraId="6812F317" w14:textId="5C1F9BAE" w:rsidR="00523683" w:rsidRPr="008804FC" w:rsidRDefault="00523683" w:rsidP="00D65B4A">
            <w:pPr>
              <w:rPr>
                <w:rFonts w:ascii="Arial" w:hAnsi="Arial" w:cs="Arial"/>
                <w:sz w:val="18"/>
                <w:szCs w:val="18"/>
              </w:rPr>
            </w:pPr>
            <w:r w:rsidRPr="008804FC">
              <w:rPr>
                <w:rFonts w:ascii="Arial" w:hAnsi="Arial" w:cs="Arial"/>
                <w:sz w:val="18"/>
                <w:szCs w:val="18"/>
              </w:rPr>
              <w:t>N/A</w:t>
            </w:r>
          </w:p>
        </w:tc>
      </w:tr>
      <w:tr w:rsidR="00AE3611" w:rsidRPr="008804FC" w14:paraId="666C46D2" w14:textId="77777777" w:rsidTr="00A9588B">
        <w:trPr>
          <w:cantSplit/>
          <w:trHeight w:val="446"/>
        </w:trPr>
        <w:tc>
          <w:tcPr>
            <w:tcW w:w="3937" w:type="dxa"/>
            <w:tcBorders>
              <w:top w:val="single" w:sz="6" w:space="0" w:color="auto"/>
              <w:left w:val="single" w:sz="18" w:space="0" w:color="auto"/>
              <w:bottom w:val="single" w:sz="18" w:space="0" w:color="auto"/>
            </w:tcBorders>
            <w:shd w:val="clear" w:color="auto" w:fill="auto"/>
            <w:vAlign w:val="center"/>
          </w:tcPr>
          <w:p w14:paraId="51BA6DF7" w14:textId="48D7D467" w:rsidR="00AE3611" w:rsidRPr="008804FC" w:rsidRDefault="00AE3611" w:rsidP="00D65B4A">
            <w:pPr>
              <w:rPr>
                <w:rFonts w:ascii="Arial" w:hAnsi="Arial" w:cs="Arial"/>
                <w:sz w:val="18"/>
                <w:szCs w:val="18"/>
              </w:rPr>
            </w:pPr>
            <w:r w:rsidRPr="008804FC">
              <w:rPr>
                <w:rFonts w:ascii="Arial" w:eastAsia="Times New Roman" w:hAnsi="Arial" w:cs="Arial"/>
                <w:sz w:val="18"/>
                <w:szCs w:val="18"/>
                <w:shd w:val="clear" w:color="auto" w:fill="FFFFFF"/>
              </w:rPr>
              <w:t xml:space="preserve">Acquity UPLC BEH C-18 1.7 µm 2.1 × 100 mm column </w:t>
            </w:r>
          </w:p>
        </w:tc>
        <w:tc>
          <w:tcPr>
            <w:tcW w:w="2520" w:type="dxa"/>
            <w:tcBorders>
              <w:top w:val="single" w:sz="6" w:space="0" w:color="auto"/>
              <w:bottom w:val="single" w:sz="18" w:space="0" w:color="auto"/>
            </w:tcBorders>
            <w:shd w:val="clear" w:color="auto" w:fill="auto"/>
            <w:vAlign w:val="center"/>
          </w:tcPr>
          <w:p w14:paraId="781980AF" w14:textId="522456E6" w:rsidR="00AE3611" w:rsidRPr="008804FC" w:rsidRDefault="00AE3611" w:rsidP="00D65B4A">
            <w:pPr>
              <w:rPr>
                <w:rFonts w:ascii="Arial" w:hAnsi="Arial" w:cs="Arial"/>
                <w:sz w:val="18"/>
                <w:szCs w:val="18"/>
              </w:rPr>
            </w:pPr>
            <w:r w:rsidRPr="008804FC">
              <w:rPr>
                <w:rFonts w:ascii="Arial" w:eastAsia="Times New Roman" w:hAnsi="Arial" w:cs="Arial"/>
                <w:sz w:val="18"/>
                <w:szCs w:val="18"/>
                <w:shd w:val="clear" w:color="auto" w:fill="FFFFFF"/>
              </w:rPr>
              <w:t xml:space="preserve">Waters </w:t>
            </w:r>
            <w:r w:rsidR="00521F64" w:rsidRPr="008804FC">
              <w:rPr>
                <w:rFonts w:ascii="Arial" w:eastAsia="Times New Roman" w:hAnsi="Arial" w:cs="Arial"/>
                <w:sz w:val="18"/>
                <w:szCs w:val="18"/>
                <w:shd w:val="clear" w:color="auto" w:fill="FFFFFF"/>
              </w:rPr>
              <w:t>(</w:t>
            </w:r>
            <w:r w:rsidRPr="008804FC">
              <w:rPr>
                <w:rFonts w:ascii="Arial" w:eastAsia="Times New Roman" w:hAnsi="Arial" w:cs="Arial"/>
                <w:sz w:val="18"/>
                <w:szCs w:val="18"/>
                <w:shd w:val="clear" w:color="auto" w:fill="FFFFFF"/>
              </w:rPr>
              <w:t>Milford, MA</w:t>
            </w:r>
            <w:r w:rsidR="00521F64" w:rsidRPr="008804FC">
              <w:rPr>
                <w:rFonts w:ascii="Arial" w:eastAsia="Times New Roman" w:hAnsi="Arial" w:cs="Arial"/>
                <w:sz w:val="18"/>
                <w:szCs w:val="18"/>
                <w:shd w:val="clear" w:color="auto" w:fill="FFFFFF"/>
              </w:rPr>
              <w:t>, USA</w:t>
            </w:r>
            <w:r w:rsidRPr="008804FC">
              <w:rPr>
                <w:rFonts w:ascii="Arial" w:eastAsia="Times New Roman" w:hAnsi="Arial" w:cs="Arial"/>
                <w:sz w:val="18"/>
                <w:szCs w:val="18"/>
                <w:shd w:val="clear" w:color="auto" w:fill="FFFFFF"/>
              </w:rPr>
              <w:t>)</w:t>
            </w:r>
          </w:p>
        </w:tc>
        <w:tc>
          <w:tcPr>
            <w:tcW w:w="3119" w:type="dxa"/>
            <w:tcBorders>
              <w:top w:val="single" w:sz="6" w:space="0" w:color="auto"/>
              <w:bottom w:val="single" w:sz="18" w:space="0" w:color="auto"/>
              <w:right w:val="single" w:sz="18" w:space="0" w:color="auto"/>
            </w:tcBorders>
            <w:shd w:val="clear" w:color="auto" w:fill="auto"/>
            <w:vAlign w:val="center"/>
          </w:tcPr>
          <w:p w14:paraId="056A9F41" w14:textId="537775A9" w:rsidR="00AE3611" w:rsidRPr="008804FC" w:rsidRDefault="00521F64" w:rsidP="00D65B4A">
            <w:pPr>
              <w:rPr>
                <w:rFonts w:ascii="Arial" w:hAnsi="Arial" w:cs="Arial"/>
                <w:sz w:val="18"/>
                <w:szCs w:val="18"/>
              </w:rPr>
            </w:pPr>
            <w:r w:rsidRPr="008804FC">
              <w:rPr>
                <w:rFonts w:ascii="Arial" w:hAnsi="Arial" w:cs="Arial"/>
                <w:sz w:val="18"/>
                <w:szCs w:val="18"/>
              </w:rPr>
              <w:t>SKU: 186002353</w:t>
            </w:r>
          </w:p>
        </w:tc>
      </w:tr>
      <w:tr w:rsidR="00523683" w:rsidRPr="008804FC" w14:paraId="532A388A" w14:textId="77777777" w:rsidTr="00523683">
        <w:trPr>
          <w:cantSplit/>
          <w:trHeight w:val="259"/>
        </w:trPr>
        <w:tc>
          <w:tcPr>
            <w:tcW w:w="9576" w:type="dxa"/>
            <w:gridSpan w:val="3"/>
            <w:tcBorders>
              <w:top w:val="single" w:sz="18" w:space="0" w:color="auto"/>
              <w:left w:val="single" w:sz="18" w:space="0" w:color="auto"/>
              <w:bottom w:val="single" w:sz="6" w:space="0" w:color="auto"/>
              <w:right w:val="single" w:sz="18" w:space="0" w:color="auto"/>
            </w:tcBorders>
            <w:shd w:val="clear" w:color="auto" w:fill="DBE5F1" w:themeFill="accent1" w:themeFillTint="33"/>
          </w:tcPr>
          <w:p w14:paraId="67F8E9B2" w14:textId="127E0642" w:rsidR="00523683" w:rsidRPr="008804FC" w:rsidRDefault="00523683" w:rsidP="00523683">
            <w:pPr>
              <w:jc w:val="center"/>
              <w:rPr>
                <w:rFonts w:ascii="Arial" w:hAnsi="Arial" w:cs="Arial"/>
                <w:u w:val="single"/>
              </w:rPr>
            </w:pPr>
            <w:r w:rsidRPr="008804FC">
              <w:rPr>
                <w:rFonts w:ascii="Arial" w:hAnsi="Arial" w:cs="Arial"/>
                <w:u w:val="single"/>
              </w:rPr>
              <w:t>Proteomics</w:t>
            </w:r>
          </w:p>
        </w:tc>
      </w:tr>
      <w:tr w:rsidR="00523683" w:rsidRPr="008804FC" w14:paraId="47351C38" w14:textId="77777777" w:rsidTr="00523683">
        <w:trPr>
          <w:cantSplit/>
          <w:trHeight w:val="259"/>
        </w:trPr>
        <w:tc>
          <w:tcPr>
            <w:tcW w:w="9576" w:type="dxa"/>
            <w:gridSpan w:val="3"/>
            <w:tcBorders>
              <w:top w:val="single" w:sz="6" w:space="0" w:color="auto"/>
              <w:left w:val="single" w:sz="18" w:space="0" w:color="auto"/>
              <w:right w:val="single" w:sz="18" w:space="0" w:color="auto"/>
            </w:tcBorders>
            <w:shd w:val="clear" w:color="auto" w:fill="DBE5F1" w:themeFill="accent1" w:themeFillTint="33"/>
            <w:vAlign w:val="center"/>
          </w:tcPr>
          <w:p w14:paraId="0D2E6068" w14:textId="3148F697" w:rsidR="00523683" w:rsidRPr="008804FC" w:rsidRDefault="00523683" w:rsidP="00523683">
            <w:pPr>
              <w:rPr>
                <w:rFonts w:ascii="Arial" w:hAnsi="Arial" w:cs="Arial"/>
                <w:sz w:val="20"/>
                <w:szCs w:val="20"/>
              </w:rPr>
            </w:pPr>
            <w:r w:rsidRPr="008804FC">
              <w:rPr>
                <w:rFonts w:ascii="Arial" w:hAnsi="Arial" w:cs="Arial"/>
                <w:i/>
                <w:iCs/>
                <w:sz w:val="20"/>
                <w:szCs w:val="20"/>
              </w:rPr>
              <w:t>Chemicals/Reagents</w:t>
            </w:r>
          </w:p>
        </w:tc>
      </w:tr>
      <w:tr w:rsidR="00523683" w:rsidRPr="008804FC" w14:paraId="66E895EC" w14:textId="77777777" w:rsidTr="00A9588B">
        <w:trPr>
          <w:cantSplit/>
          <w:trHeight w:val="446"/>
        </w:trPr>
        <w:tc>
          <w:tcPr>
            <w:tcW w:w="3937" w:type="dxa"/>
            <w:tcBorders>
              <w:left w:val="single" w:sz="18" w:space="0" w:color="auto"/>
            </w:tcBorders>
            <w:shd w:val="clear" w:color="auto" w:fill="auto"/>
            <w:vAlign w:val="center"/>
          </w:tcPr>
          <w:p w14:paraId="56F03927" w14:textId="17ED88BF" w:rsidR="00523683" w:rsidRPr="008804FC" w:rsidRDefault="00523683" w:rsidP="00D65B4A">
            <w:pPr>
              <w:rPr>
                <w:rFonts w:ascii="Arial" w:hAnsi="Arial" w:cs="Arial"/>
                <w:sz w:val="18"/>
                <w:szCs w:val="18"/>
              </w:rPr>
            </w:pPr>
            <w:r w:rsidRPr="008804FC">
              <w:rPr>
                <w:rFonts w:ascii="Arial" w:hAnsi="Arial" w:cs="Arial"/>
                <w:sz w:val="18"/>
                <w:szCs w:val="18"/>
              </w:rPr>
              <w:t>Digitonin</w:t>
            </w:r>
          </w:p>
        </w:tc>
        <w:tc>
          <w:tcPr>
            <w:tcW w:w="2520" w:type="dxa"/>
            <w:shd w:val="clear" w:color="auto" w:fill="auto"/>
            <w:vAlign w:val="center"/>
          </w:tcPr>
          <w:p w14:paraId="58CD7B3D" w14:textId="00A0793C" w:rsidR="00523683" w:rsidRPr="008804FC" w:rsidRDefault="00523683" w:rsidP="00D65B4A">
            <w:pPr>
              <w:rPr>
                <w:rFonts w:ascii="Arial" w:hAnsi="Arial" w:cs="Arial"/>
                <w:sz w:val="18"/>
                <w:szCs w:val="18"/>
              </w:rPr>
            </w:pPr>
            <w:r w:rsidRPr="008804FC">
              <w:rPr>
                <w:rFonts w:ascii="Arial" w:hAnsi="Arial" w:cs="Arial"/>
                <w:sz w:val="18"/>
                <w:szCs w:val="18"/>
              </w:rPr>
              <w:t>Sigma Aldrich</w:t>
            </w:r>
            <w:r w:rsidR="00F30920" w:rsidRPr="008804FC">
              <w:rPr>
                <w:rFonts w:ascii="Arial" w:hAnsi="Arial" w:cs="Arial"/>
                <w:sz w:val="18"/>
                <w:szCs w:val="18"/>
              </w:rPr>
              <w:t xml:space="preserve"> (Burlington,</w:t>
            </w:r>
            <w:r w:rsidR="00D65B4A" w:rsidRPr="008804FC">
              <w:rPr>
                <w:rFonts w:ascii="Arial" w:hAnsi="Arial" w:cs="Arial"/>
                <w:sz w:val="18"/>
                <w:szCs w:val="18"/>
              </w:rPr>
              <w:t> </w:t>
            </w:r>
            <w:r w:rsidR="00F30920" w:rsidRPr="008804FC">
              <w:rPr>
                <w:rFonts w:ascii="Arial" w:hAnsi="Arial" w:cs="Arial"/>
                <w:sz w:val="18"/>
                <w:szCs w:val="18"/>
              </w:rPr>
              <w:t>MA, USA)</w:t>
            </w:r>
          </w:p>
        </w:tc>
        <w:tc>
          <w:tcPr>
            <w:tcW w:w="3119" w:type="dxa"/>
            <w:tcBorders>
              <w:right w:val="single" w:sz="18" w:space="0" w:color="auto"/>
            </w:tcBorders>
            <w:shd w:val="clear" w:color="auto" w:fill="auto"/>
            <w:vAlign w:val="center"/>
          </w:tcPr>
          <w:p w14:paraId="5DFDA67B" w14:textId="58A9F826" w:rsidR="00523683" w:rsidRPr="008804FC" w:rsidRDefault="001860F9" w:rsidP="00D65B4A">
            <w:pPr>
              <w:rPr>
                <w:rFonts w:ascii="Arial" w:eastAsia="Times New Roman" w:hAnsi="Arial" w:cs="Arial"/>
                <w:color w:val="333333"/>
                <w:sz w:val="18"/>
                <w:szCs w:val="18"/>
                <w:shd w:val="clear" w:color="auto" w:fill="FFFFFF"/>
              </w:rPr>
            </w:pPr>
            <w:r w:rsidRPr="008804FC">
              <w:rPr>
                <w:rFonts w:ascii="Arial" w:hAnsi="Arial" w:cs="Arial"/>
                <w:sz w:val="18"/>
                <w:szCs w:val="18"/>
              </w:rPr>
              <w:t>Cat.#</w:t>
            </w:r>
            <w:r w:rsidR="00523683" w:rsidRPr="008804FC">
              <w:rPr>
                <w:rFonts w:ascii="Arial" w:hAnsi="Arial" w:cs="Arial"/>
                <w:sz w:val="18"/>
                <w:szCs w:val="18"/>
              </w:rPr>
              <w:t xml:space="preserve"> D141</w:t>
            </w:r>
          </w:p>
        </w:tc>
      </w:tr>
      <w:tr w:rsidR="00523683" w:rsidRPr="008804FC" w14:paraId="27806125" w14:textId="77777777" w:rsidTr="00A9588B">
        <w:trPr>
          <w:cantSplit/>
          <w:trHeight w:val="446"/>
        </w:trPr>
        <w:tc>
          <w:tcPr>
            <w:tcW w:w="3937" w:type="dxa"/>
            <w:tcBorders>
              <w:left w:val="single" w:sz="18" w:space="0" w:color="auto"/>
            </w:tcBorders>
            <w:shd w:val="clear" w:color="auto" w:fill="auto"/>
            <w:vAlign w:val="center"/>
          </w:tcPr>
          <w:p w14:paraId="03CC6564" w14:textId="612AB938" w:rsidR="00523683" w:rsidRPr="008804FC" w:rsidRDefault="00523683" w:rsidP="00D65B4A">
            <w:pPr>
              <w:rPr>
                <w:rFonts w:ascii="Arial" w:hAnsi="Arial" w:cs="Arial"/>
                <w:sz w:val="18"/>
                <w:szCs w:val="18"/>
              </w:rPr>
            </w:pPr>
            <w:r w:rsidRPr="008804FC">
              <w:rPr>
                <w:rFonts w:ascii="Arial" w:hAnsi="Arial" w:cs="Arial"/>
                <w:sz w:val="18"/>
                <w:szCs w:val="18"/>
              </w:rPr>
              <w:t>Protease Inhibitor Cocktail</w:t>
            </w:r>
          </w:p>
        </w:tc>
        <w:tc>
          <w:tcPr>
            <w:tcW w:w="2520" w:type="dxa"/>
            <w:shd w:val="clear" w:color="auto" w:fill="auto"/>
            <w:vAlign w:val="center"/>
          </w:tcPr>
          <w:p w14:paraId="535A5AF5" w14:textId="66F1CFDA" w:rsidR="00523683" w:rsidRPr="008804FC" w:rsidRDefault="00523683" w:rsidP="00D65B4A">
            <w:pPr>
              <w:rPr>
                <w:rFonts w:ascii="Arial" w:hAnsi="Arial" w:cs="Arial"/>
                <w:sz w:val="18"/>
                <w:szCs w:val="18"/>
              </w:rPr>
            </w:pPr>
            <w:r w:rsidRPr="008804FC">
              <w:rPr>
                <w:rFonts w:ascii="Arial" w:hAnsi="Arial" w:cs="Arial"/>
                <w:sz w:val="18"/>
                <w:szCs w:val="18"/>
              </w:rPr>
              <w:t>Sigma Aldrich</w:t>
            </w:r>
            <w:r w:rsidR="00F30920" w:rsidRPr="008804FC">
              <w:rPr>
                <w:rFonts w:ascii="Arial" w:hAnsi="Arial" w:cs="Arial"/>
                <w:sz w:val="18"/>
                <w:szCs w:val="18"/>
              </w:rPr>
              <w:t xml:space="preserve"> (Burlington,</w:t>
            </w:r>
            <w:r w:rsidR="00D65B4A" w:rsidRPr="008804FC">
              <w:rPr>
                <w:rFonts w:ascii="Arial" w:hAnsi="Arial" w:cs="Arial"/>
                <w:sz w:val="18"/>
                <w:szCs w:val="18"/>
              </w:rPr>
              <w:t> </w:t>
            </w:r>
            <w:r w:rsidR="00F30920" w:rsidRPr="008804FC">
              <w:rPr>
                <w:rFonts w:ascii="Arial" w:hAnsi="Arial" w:cs="Arial"/>
                <w:sz w:val="18"/>
                <w:szCs w:val="18"/>
              </w:rPr>
              <w:t>MA, USA)</w:t>
            </w:r>
          </w:p>
        </w:tc>
        <w:tc>
          <w:tcPr>
            <w:tcW w:w="3119" w:type="dxa"/>
            <w:tcBorders>
              <w:right w:val="single" w:sz="18" w:space="0" w:color="auto"/>
            </w:tcBorders>
            <w:shd w:val="clear" w:color="auto" w:fill="auto"/>
            <w:vAlign w:val="center"/>
          </w:tcPr>
          <w:p w14:paraId="4C605A98" w14:textId="56349E67" w:rsidR="00523683" w:rsidRPr="008804FC" w:rsidRDefault="001860F9" w:rsidP="00D65B4A">
            <w:pPr>
              <w:rPr>
                <w:rFonts w:ascii="Arial" w:eastAsia="Times New Roman" w:hAnsi="Arial" w:cs="Arial"/>
                <w:color w:val="333333"/>
                <w:sz w:val="18"/>
                <w:szCs w:val="18"/>
                <w:shd w:val="clear" w:color="auto" w:fill="FFFFFF"/>
              </w:rPr>
            </w:pPr>
            <w:r w:rsidRPr="008804FC">
              <w:rPr>
                <w:rFonts w:ascii="Arial" w:hAnsi="Arial" w:cs="Arial"/>
                <w:sz w:val="18"/>
                <w:szCs w:val="18"/>
              </w:rPr>
              <w:t>Cat.#</w:t>
            </w:r>
            <w:r w:rsidR="00523683" w:rsidRPr="008804FC">
              <w:rPr>
                <w:rFonts w:ascii="Arial" w:hAnsi="Arial" w:cs="Arial"/>
                <w:sz w:val="18"/>
                <w:szCs w:val="18"/>
              </w:rPr>
              <w:t xml:space="preserve"> P8340</w:t>
            </w:r>
          </w:p>
        </w:tc>
      </w:tr>
      <w:tr w:rsidR="00523683" w:rsidRPr="008804FC" w14:paraId="31016752" w14:textId="77777777" w:rsidTr="00A9588B">
        <w:trPr>
          <w:cantSplit/>
          <w:trHeight w:val="446"/>
        </w:trPr>
        <w:tc>
          <w:tcPr>
            <w:tcW w:w="3937" w:type="dxa"/>
            <w:tcBorders>
              <w:left w:val="single" w:sz="18" w:space="0" w:color="auto"/>
            </w:tcBorders>
            <w:shd w:val="clear" w:color="auto" w:fill="auto"/>
            <w:vAlign w:val="center"/>
          </w:tcPr>
          <w:p w14:paraId="031B9FD0" w14:textId="300F9E32" w:rsidR="00523683" w:rsidRPr="008804FC" w:rsidRDefault="00523683" w:rsidP="00D65B4A">
            <w:pPr>
              <w:rPr>
                <w:rFonts w:ascii="Arial" w:hAnsi="Arial" w:cs="Arial"/>
                <w:sz w:val="18"/>
                <w:szCs w:val="18"/>
              </w:rPr>
            </w:pPr>
            <w:r w:rsidRPr="008804FC">
              <w:rPr>
                <w:rFonts w:ascii="Arial" w:hAnsi="Arial" w:cs="Arial"/>
                <w:sz w:val="18"/>
                <w:szCs w:val="18"/>
              </w:rPr>
              <w:t>100X Phosphatase inhibitor</w:t>
            </w:r>
          </w:p>
        </w:tc>
        <w:tc>
          <w:tcPr>
            <w:tcW w:w="2520" w:type="dxa"/>
            <w:shd w:val="clear" w:color="auto" w:fill="auto"/>
            <w:vAlign w:val="center"/>
          </w:tcPr>
          <w:p w14:paraId="55CE9A18" w14:textId="7263488D" w:rsidR="00523683" w:rsidRPr="008804FC" w:rsidRDefault="00523683" w:rsidP="00D65B4A">
            <w:pPr>
              <w:rPr>
                <w:rFonts w:ascii="Arial" w:hAnsi="Arial" w:cs="Arial"/>
                <w:sz w:val="18"/>
                <w:szCs w:val="18"/>
              </w:rPr>
            </w:pPr>
            <w:r w:rsidRPr="008804FC">
              <w:rPr>
                <w:rFonts w:ascii="Arial" w:hAnsi="Arial" w:cs="Arial"/>
                <w:sz w:val="18"/>
                <w:szCs w:val="18"/>
              </w:rPr>
              <w:t>Selleckchem</w:t>
            </w:r>
            <w:r w:rsidR="00F30920" w:rsidRPr="008804FC">
              <w:rPr>
                <w:rFonts w:ascii="Arial" w:hAnsi="Arial" w:cs="Arial"/>
                <w:sz w:val="18"/>
                <w:szCs w:val="18"/>
              </w:rPr>
              <w:t xml:space="preserve"> (Houston,</w:t>
            </w:r>
            <w:r w:rsidR="00D65B4A" w:rsidRPr="008804FC">
              <w:rPr>
                <w:rFonts w:ascii="Arial" w:hAnsi="Arial" w:cs="Arial"/>
                <w:sz w:val="18"/>
                <w:szCs w:val="18"/>
              </w:rPr>
              <w:t> </w:t>
            </w:r>
            <w:r w:rsidR="00F30920" w:rsidRPr="008804FC">
              <w:rPr>
                <w:rFonts w:ascii="Arial" w:hAnsi="Arial" w:cs="Arial"/>
                <w:sz w:val="18"/>
                <w:szCs w:val="18"/>
              </w:rPr>
              <w:t>TX,</w:t>
            </w:r>
            <w:r w:rsidR="00D65B4A" w:rsidRPr="008804FC">
              <w:rPr>
                <w:rFonts w:ascii="Arial" w:hAnsi="Arial" w:cs="Arial"/>
                <w:sz w:val="18"/>
                <w:szCs w:val="18"/>
              </w:rPr>
              <w:t> </w:t>
            </w:r>
            <w:r w:rsidR="00F30920" w:rsidRPr="008804FC">
              <w:rPr>
                <w:rFonts w:ascii="Arial" w:hAnsi="Arial" w:cs="Arial"/>
                <w:sz w:val="18"/>
                <w:szCs w:val="18"/>
              </w:rPr>
              <w:t>USA)</w:t>
            </w:r>
          </w:p>
        </w:tc>
        <w:tc>
          <w:tcPr>
            <w:tcW w:w="3119" w:type="dxa"/>
            <w:tcBorders>
              <w:right w:val="single" w:sz="18" w:space="0" w:color="auto"/>
            </w:tcBorders>
            <w:shd w:val="clear" w:color="auto" w:fill="auto"/>
            <w:vAlign w:val="center"/>
          </w:tcPr>
          <w:p w14:paraId="71FA7903" w14:textId="10A50E9A" w:rsidR="00523683" w:rsidRPr="008804FC" w:rsidRDefault="001860F9" w:rsidP="00D65B4A">
            <w:pPr>
              <w:rPr>
                <w:rFonts w:ascii="Arial" w:eastAsia="Times New Roman" w:hAnsi="Arial" w:cs="Arial"/>
                <w:color w:val="333333"/>
                <w:sz w:val="18"/>
                <w:szCs w:val="18"/>
                <w:shd w:val="clear" w:color="auto" w:fill="FFFFFF"/>
              </w:rPr>
            </w:pPr>
            <w:r w:rsidRPr="008804FC">
              <w:rPr>
                <w:rFonts w:ascii="Arial" w:hAnsi="Arial" w:cs="Arial"/>
                <w:sz w:val="18"/>
                <w:szCs w:val="18"/>
              </w:rPr>
              <w:t>Cat.#</w:t>
            </w:r>
            <w:r w:rsidR="00523683" w:rsidRPr="008804FC">
              <w:rPr>
                <w:rFonts w:ascii="Arial" w:hAnsi="Arial" w:cs="Arial"/>
                <w:sz w:val="18"/>
                <w:szCs w:val="18"/>
              </w:rPr>
              <w:t xml:space="preserve"> B15001</w:t>
            </w:r>
          </w:p>
        </w:tc>
      </w:tr>
      <w:tr w:rsidR="00523683" w:rsidRPr="008804FC" w14:paraId="2F42887A" w14:textId="77777777" w:rsidTr="00523683">
        <w:trPr>
          <w:cantSplit/>
          <w:trHeight w:val="259"/>
        </w:trPr>
        <w:tc>
          <w:tcPr>
            <w:tcW w:w="9576" w:type="dxa"/>
            <w:gridSpan w:val="3"/>
            <w:tcBorders>
              <w:left w:val="single" w:sz="18" w:space="0" w:color="auto"/>
              <w:right w:val="single" w:sz="18" w:space="0" w:color="auto"/>
            </w:tcBorders>
            <w:shd w:val="clear" w:color="auto" w:fill="DBE5F1" w:themeFill="accent1" w:themeFillTint="33"/>
            <w:vAlign w:val="center"/>
          </w:tcPr>
          <w:p w14:paraId="3EFA9C14" w14:textId="08C9CC87" w:rsidR="00523683" w:rsidRPr="008804FC" w:rsidRDefault="00523683" w:rsidP="00523683">
            <w:pPr>
              <w:rPr>
                <w:rFonts w:ascii="Arial" w:eastAsia="Times New Roman" w:hAnsi="Arial" w:cs="Arial"/>
                <w:i/>
                <w:iCs/>
                <w:color w:val="333333"/>
                <w:sz w:val="20"/>
                <w:szCs w:val="20"/>
                <w:shd w:val="clear" w:color="auto" w:fill="FFFFFF"/>
              </w:rPr>
            </w:pPr>
            <w:r w:rsidRPr="008804FC">
              <w:rPr>
                <w:rFonts w:ascii="Arial" w:hAnsi="Arial" w:cs="Arial"/>
                <w:i/>
                <w:iCs/>
                <w:sz w:val="20"/>
                <w:szCs w:val="20"/>
              </w:rPr>
              <w:t>Kits</w:t>
            </w:r>
          </w:p>
        </w:tc>
      </w:tr>
      <w:tr w:rsidR="00523683" w:rsidRPr="008804FC" w14:paraId="6BB01F58" w14:textId="77777777" w:rsidTr="00A9588B">
        <w:trPr>
          <w:cantSplit/>
          <w:trHeight w:val="446"/>
        </w:trPr>
        <w:tc>
          <w:tcPr>
            <w:tcW w:w="3937" w:type="dxa"/>
            <w:tcBorders>
              <w:left w:val="single" w:sz="18" w:space="0" w:color="auto"/>
            </w:tcBorders>
            <w:shd w:val="clear" w:color="auto" w:fill="auto"/>
            <w:vAlign w:val="center"/>
          </w:tcPr>
          <w:p w14:paraId="074B755E" w14:textId="263988D3" w:rsidR="00523683" w:rsidRPr="008804FC" w:rsidRDefault="00523683" w:rsidP="00D65B4A">
            <w:pPr>
              <w:rPr>
                <w:rFonts w:ascii="Arial" w:hAnsi="Arial" w:cs="Arial"/>
                <w:sz w:val="18"/>
                <w:szCs w:val="18"/>
              </w:rPr>
            </w:pPr>
            <w:r w:rsidRPr="008804FC">
              <w:rPr>
                <w:rFonts w:ascii="Arial" w:hAnsi="Arial" w:cs="Arial"/>
                <w:sz w:val="18"/>
                <w:szCs w:val="18"/>
              </w:rPr>
              <w:t>Pierce BCA Protein Assay Kit</w:t>
            </w:r>
          </w:p>
        </w:tc>
        <w:tc>
          <w:tcPr>
            <w:tcW w:w="2520" w:type="dxa"/>
            <w:shd w:val="clear" w:color="auto" w:fill="auto"/>
            <w:vAlign w:val="center"/>
          </w:tcPr>
          <w:p w14:paraId="74E25EB4" w14:textId="01497D6F" w:rsidR="00523683" w:rsidRPr="008804FC" w:rsidRDefault="00523683" w:rsidP="00D65B4A">
            <w:pPr>
              <w:rPr>
                <w:rFonts w:ascii="Arial" w:hAnsi="Arial" w:cs="Arial"/>
                <w:sz w:val="18"/>
                <w:szCs w:val="18"/>
              </w:rPr>
            </w:pPr>
            <w:r w:rsidRPr="008804FC">
              <w:rPr>
                <w:rFonts w:ascii="Arial" w:hAnsi="Arial" w:cs="Arial"/>
                <w:sz w:val="18"/>
                <w:szCs w:val="18"/>
              </w:rPr>
              <w:t>ThermoFisher (Waltham,</w:t>
            </w:r>
            <w:r w:rsidR="00D65B4A" w:rsidRPr="008804FC">
              <w:rPr>
                <w:rFonts w:ascii="Arial" w:hAnsi="Arial" w:cs="Arial"/>
                <w:sz w:val="18"/>
                <w:szCs w:val="18"/>
              </w:rPr>
              <w:t> </w:t>
            </w:r>
            <w:r w:rsidR="00521F64" w:rsidRPr="008804FC">
              <w:rPr>
                <w:rFonts w:ascii="Arial" w:hAnsi="Arial" w:cs="Arial"/>
                <w:sz w:val="18"/>
                <w:szCs w:val="18"/>
              </w:rPr>
              <w:t>MA</w:t>
            </w:r>
            <w:r w:rsidRPr="008804FC">
              <w:rPr>
                <w:rFonts w:ascii="Arial" w:hAnsi="Arial" w:cs="Arial"/>
                <w:sz w:val="18"/>
                <w:szCs w:val="18"/>
              </w:rPr>
              <w:t>, USA)</w:t>
            </w:r>
          </w:p>
        </w:tc>
        <w:tc>
          <w:tcPr>
            <w:tcW w:w="3119" w:type="dxa"/>
            <w:tcBorders>
              <w:right w:val="single" w:sz="18" w:space="0" w:color="auto"/>
            </w:tcBorders>
            <w:shd w:val="clear" w:color="auto" w:fill="auto"/>
            <w:vAlign w:val="center"/>
          </w:tcPr>
          <w:p w14:paraId="2B580B24" w14:textId="252CCE90" w:rsidR="00523683" w:rsidRPr="008804FC" w:rsidRDefault="001860F9" w:rsidP="00D65B4A">
            <w:pPr>
              <w:rPr>
                <w:rFonts w:ascii="Arial" w:hAnsi="Arial" w:cs="Arial"/>
                <w:sz w:val="18"/>
                <w:szCs w:val="18"/>
              </w:rPr>
            </w:pPr>
            <w:r w:rsidRPr="008804FC">
              <w:rPr>
                <w:rFonts w:ascii="Arial" w:hAnsi="Arial" w:cs="Arial"/>
                <w:sz w:val="18"/>
                <w:szCs w:val="18"/>
              </w:rPr>
              <w:t>Cat.#</w:t>
            </w:r>
            <w:r w:rsidR="00523683" w:rsidRPr="008804FC">
              <w:rPr>
                <w:rFonts w:ascii="Arial" w:hAnsi="Arial" w:cs="Arial"/>
                <w:sz w:val="18"/>
                <w:szCs w:val="18"/>
              </w:rPr>
              <w:t xml:space="preserve"> 23225</w:t>
            </w:r>
          </w:p>
        </w:tc>
      </w:tr>
      <w:tr w:rsidR="00396A16" w:rsidRPr="008804FC" w14:paraId="5CF178FE" w14:textId="77777777" w:rsidTr="00A9588B">
        <w:trPr>
          <w:cantSplit/>
          <w:trHeight w:val="446"/>
        </w:trPr>
        <w:tc>
          <w:tcPr>
            <w:tcW w:w="3937" w:type="dxa"/>
            <w:tcBorders>
              <w:left w:val="single" w:sz="18" w:space="0" w:color="auto"/>
            </w:tcBorders>
            <w:shd w:val="clear" w:color="auto" w:fill="auto"/>
            <w:vAlign w:val="center"/>
          </w:tcPr>
          <w:p w14:paraId="33B15BCE" w14:textId="1EF0ABCE" w:rsidR="00396A16" w:rsidRPr="008804FC" w:rsidRDefault="00396A16" w:rsidP="00D65B4A">
            <w:pPr>
              <w:rPr>
                <w:rFonts w:ascii="Arial" w:hAnsi="Arial" w:cs="Arial"/>
                <w:sz w:val="18"/>
                <w:szCs w:val="18"/>
              </w:rPr>
            </w:pPr>
            <w:r w:rsidRPr="008804FC">
              <w:rPr>
                <w:rFonts w:ascii="Arial" w:hAnsi="Arial" w:cs="Arial"/>
                <w:spacing w:val="1"/>
                <w:sz w:val="18"/>
                <w:szCs w:val="18"/>
              </w:rPr>
              <w:t>High Select Phosphopeptide Enrichment Kits &amp; Reagents</w:t>
            </w:r>
          </w:p>
        </w:tc>
        <w:tc>
          <w:tcPr>
            <w:tcW w:w="2520" w:type="dxa"/>
            <w:shd w:val="clear" w:color="auto" w:fill="auto"/>
            <w:vAlign w:val="center"/>
          </w:tcPr>
          <w:p w14:paraId="361BB2EC" w14:textId="3389EBD7" w:rsidR="00396A16" w:rsidRPr="008804FC" w:rsidRDefault="00396A16" w:rsidP="00D65B4A">
            <w:pPr>
              <w:rPr>
                <w:rFonts w:ascii="Arial" w:hAnsi="Arial" w:cs="Arial"/>
                <w:sz w:val="18"/>
                <w:szCs w:val="18"/>
              </w:rPr>
            </w:pPr>
            <w:r w:rsidRPr="008804FC">
              <w:rPr>
                <w:rFonts w:ascii="Arial" w:hAnsi="Arial" w:cs="Arial"/>
                <w:sz w:val="18"/>
                <w:szCs w:val="18"/>
              </w:rPr>
              <w:t>Thermo Scientific (Waltham,</w:t>
            </w:r>
            <w:r w:rsidR="00A9588B" w:rsidRPr="008804FC">
              <w:rPr>
                <w:rFonts w:ascii="Arial" w:hAnsi="Arial" w:cs="Arial"/>
                <w:sz w:val="18"/>
                <w:szCs w:val="18"/>
              </w:rPr>
              <w:t> </w:t>
            </w:r>
            <w:r w:rsidRPr="008804FC">
              <w:rPr>
                <w:rFonts w:ascii="Arial" w:hAnsi="Arial" w:cs="Arial"/>
                <w:sz w:val="18"/>
                <w:szCs w:val="18"/>
              </w:rPr>
              <w:t>MA,</w:t>
            </w:r>
            <w:r w:rsidR="00A9588B" w:rsidRPr="008804FC">
              <w:rPr>
                <w:rFonts w:ascii="Arial" w:hAnsi="Arial" w:cs="Arial"/>
                <w:sz w:val="18"/>
                <w:szCs w:val="18"/>
              </w:rPr>
              <w:t> </w:t>
            </w:r>
            <w:r w:rsidRPr="008804FC">
              <w:rPr>
                <w:rFonts w:ascii="Arial" w:hAnsi="Arial" w:cs="Arial"/>
                <w:sz w:val="18"/>
                <w:szCs w:val="18"/>
              </w:rPr>
              <w:t>USA)</w:t>
            </w:r>
          </w:p>
        </w:tc>
        <w:tc>
          <w:tcPr>
            <w:tcW w:w="3119" w:type="dxa"/>
            <w:tcBorders>
              <w:right w:val="single" w:sz="18" w:space="0" w:color="auto"/>
            </w:tcBorders>
            <w:shd w:val="clear" w:color="auto" w:fill="auto"/>
            <w:vAlign w:val="center"/>
          </w:tcPr>
          <w:p w14:paraId="5FABCD57" w14:textId="03D32D71" w:rsidR="00396A16" w:rsidRPr="008804FC" w:rsidRDefault="00396A16" w:rsidP="00D65B4A">
            <w:pPr>
              <w:rPr>
                <w:rFonts w:ascii="Arial" w:hAnsi="Arial" w:cs="Arial"/>
                <w:sz w:val="18"/>
                <w:szCs w:val="18"/>
              </w:rPr>
            </w:pPr>
            <w:r w:rsidRPr="008804FC">
              <w:rPr>
                <w:rFonts w:ascii="Arial" w:hAnsi="Arial" w:cs="Arial"/>
                <w:sz w:val="18"/>
                <w:szCs w:val="18"/>
              </w:rPr>
              <w:t>Cat. #: A32992 &amp; A32993</w:t>
            </w:r>
          </w:p>
        </w:tc>
      </w:tr>
      <w:tr w:rsidR="00396A16" w:rsidRPr="008804FC" w14:paraId="269B2C55" w14:textId="77777777" w:rsidTr="00A9588B">
        <w:trPr>
          <w:cantSplit/>
          <w:trHeight w:val="446"/>
        </w:trPr>
        <w:tc>
          <w:tcPr>
            <w:tcW w:w="3937" w:type="dxa"/>
            <w:tcBorders>
              <w:left w:val="single" w:sz="18" w:space="0" w:color="auto"/>
            </w:tcBorders>
            <w:shd w:val="clear" w:color="auto" w:fill="auto"/>
            <w:vAlign w:val="center"/>
          </w:tcPr>
          <w:p w14:paraId="72332D5A" w14:textId="5782E98B" w:rsidR="00396A16" w:rsidRPr="008804FC" w:rsidRDefault="00396A16" w:rsidP="00D65B4A">
            <w:pPr>
              <w:rPr>
                <w:rFonts w:ascii="Arial" w:hAnsi="Arial" w:cs="Arial"/>
                <w:sz w:val="18"/>
                <w:szCs w:val="18"/>
              </w:rPr>
            </w:pPr>
            <w:r w:rsidRPr="008804FC">
              <w:rPr>
                <w:rFonts w:ascii="Arial" w:hAnsi="Arial" w:cs="Arial"/>
                <w:spacing w:val="1"/>
                <w:sz w:val="18"/>
                <w:szCs w:val="18"/>
              </w:rPr>
              <w:t>Pierce Quantitative Peptide Assays &amp; Standards</w:t>
            </w:r>
          </w:p>
        </w:tc>
        <w:tc>
          <w:tcPr>
            <w:tcW w:w="2520" w:type="dxa"/>
            <w:shd w:val="clear" w:color="auto" w:fill="auto"/>
            <w:vAlign w:val="center"/>
          </w:tcPr>
          <w:p w14:paraId="305FD5E6" w14:textId="4677CCC6" w:rsidR="00396A16" w:rsidRPr="008804FC" w:rsidRDefault="00396A16" w:rsidP="00D65B4A">
            <w:pPr>
              <w:rPr>
                <w:rFonts w:ascii="Arial" w:hAnsi="Arial" w:cs="Arial"/>
                <w:sz w:val="18"/>
                <w:szCs w:val="18"/>
              </w:rPr>
            </w:pPr>
            <w:r w:rsidRPr="008804FC">
              <w:rPr>
                <w:rFonts w:ascii="Arial" w:hAnsi="Arial" w:cs="Arial"/>
                <w:sz w:val="18"/>
                <w:szCs w:val="18"/>
              </w:rPr>
              <w:t>Thermo Scientific (Waltham,</w:t>
            </w:r>
            <w:r w:rsidR="00A9588B" w:rsidRPr="008804FC">
              <w:rPr>
                <w:rFonts w:ascii="Arial" w:hAnsi="Arial" w:cs="Arial"/>
                <w:sz w:val="18"/>
                <w:szCs w:val="18"/>
              </w:rPr>
              <w:t> </w:t>
            </w:r>
            <w:r w:rsidRPr="008804FC">
              <w:rPr>
                <w:rFonts w:ascii="Arial" w:hAnsi="Arial" w:cs="Arial"/>
                <w:sz w:val="18"/>
                <w:szCs w:val="18"/>
              </w:rPr>
              <w:t>MA, USA)</w:t>
            </w:r>
          </w:p>
        </w:tc>
        <w:tc>
          <w:tcPr>
            <w:tcW w:w="3119" w:type="dxa"/>
            <w:tcBorders>
              <w:right w:val="single" w:sz="18" w:space="0" w:color="auto"/>
            </w:tcBorders>
            <w:shd w:val="clear" w:color="auto" w:fill="auto"/>
            <w:vAlign w:val="center"/>
          </w:tcPr>
          <w:p w14:paraId="679DAA4D" w14:textId="2A146F1D" w:rsidR="00396A16" w:rsidRPr="008804FC" w:rsidRDefault="00396A16" w:rsidP="00D65B4A">
            <w:pPr>
              <w:rPr>
                <w:rFonts w:ascii="Arial" w:hAnsi="Arial" w:cs="Arial"/>
                <w:sz w:val="18"/>
                <w:szCs w:val="18"/>
              </w:rPr>
            </w:pPr>
            <w:r w:rsidRPr="008804FC">
              <w:rPr>
                <w:rFonts w:ascii="Arial" w:hAnsi="Arial" w:cs="Arial"/>
                <w:sz w:val="18"/>
                <w:szCs w:val="18"/>
              </w:rPr>
              <w:t>Cat. #: 23275</w:t>
            </w:r>
          </w:p>
        </w:tc>
      </w:tr>
      <w:tr w:rsidR="00396A16" w:rsidRPr="008804FC" w14:paraId="7B35FDC8" w14:textId="77777777" w:rsidTr="00523683">
        <w:trPr>
          <w:cantSplit/>
          <w:trHeight w:val="259"/>
        </w:trPr>
        <w:tc>
          <w:tcPr>
            <w:tcW w:w="9576" w:type="dxa"/>
            <w:gridSpan w:val="3"/>
            <w:tcBorders>
              <w:left w:val="single" w:sz="18" w:space="0" w:color="auto"/>
              <w:right w:val="single" w:sz="18" w:space="0" w:color="auto"/>
            </w:tcBorders>
            <w:shd w:val="clear" w:color="auto" w:fill="DBE5F1" w:themeFill="accent1" w:themeFillTint="33"/>
            <w:vAlign w:val="center"/>
          </w:tcPr>
          <w:p w14:paraId="6C14F633" w14:textId="05900D08" w:rsidR="00396A16" w:rsidRPr="008804FC" w:rsidRDefault="00396A16" w:rsidP="00396A16">
            <w:pPr>
              <w:rPr>
                <w:rFonts w:ascii="Arial" w:hAnsi="Arial" w:cs="Arial"/>
                <w:i/>
                <w:iCs/>
                <w:sz w:val="20"/>
                <w:szCs w:val="20"/>
              </w:rPr>
            </w:pPr>
            <w:r w:rsidRPr="008804FC">
              <w:rPr>
                <w:rFonts w:ascii="Arial" w:hAnsi="Arial" w:cs="Arial"/>
                <w:i/>
                <w:iCs/>
                <w:sz w:val="20"/>
                <w:szCs w:val="20"/>
              </w:rPr>
              <w:t>Equipment</w:t>
            </w:r>
          </w:p>
        </w:tc>
      </w:tr>
      <w:tr w:rsidR="00396A16" w:rsidRPr="008804FC" w14:paraId="6B80FA1A" w14:textId="77777777" w:rsidTr="00A9588B">
        <w:trPr>
          <w:cantSplit/>
          <w:trHeight w:val="446"/>
        </w:trPr>
        <w:tc>
          <w:tcPr>
            <w:tcW w:w="3937" w:type="dxa"/>
            <w:tcBorders>
              <w:left w:val="single" w:sz="18" w:space="0" w:color="auto"/>
            </w:tcBorders>
            <w:shd w:val="clear" w:color="auto" w:fill="auto"/>
            <w:vAlign w:val="center"/>
          </w:tcPr>
          <w:p w14:paraId="6155DA37" w14:textId="43CBF419" w:rsidR="00396A16" w:rsidRPr="008804FC" w:rsidRDefault="00396A16" w:rsidP="00D65B4A">
            <w:pPr>
              <w:rPr>
                <w:rFonts w:ascii="Arial" w:hAnsi="Arial" w:cs="Arial"/>
                <w:sz w:val="18"/>
                <w:szCs w:val="18"/>
              </w:rPr>
            </w:pPr>
            <w:r w:rsidRPr="008804FC">
              <w:rPr>
                <w:rFonts w:ascii="Arial" w:hAnsi="Arial" w:cs="Arial"/>
                <w:sz w:val="18"/>
                <w:szCs w:val="18"/>
              </w:rPr>
              <w:t>Orbitrap Fusion Lumos Tribrid Mass Spectrometer</w:t>
            </w:r>
          </w:p>
        </w:tc>
        <w:tc>
          <w:tcPr>
            <w:tcW w:w="2520" w:type="dxa"/>
            <w:shd w:val="clear" w:color="auto" w:fill="auto"/>
            <w:vAlign w:val="center"/>
          </w:tcPr>
          <w:p w14:paraId="35A153DC" w14:textId="405C92E4" w:rsidR="00396A16" w:rsidRPr="008804FC" w:rsidRDefault="00396A16" w:rsidP="00D65B4A">
            <w:pPr>
              <w:rPr>
                <w:rFonts w:ascii="Arial" w:hAnsi="Arial" w:cs="Arial"/>
                <w:sz w:val="18"/>
                <w:szCs w:val="18"/>
              </w:rPr>
            </w:pPr>
            <w:r w:rsidRPr="008804FC">
              <w:rPr>
                <w:rFonts w:ascii="Arial" w:hAnsi="Arial" w:cs="Arial"/>
                <w:sz w:val="18"/>
                <w:szCs w:val="18"/>
              </w:rPr>
              <w:t>Thermo Scientific (Waltham,</w:t>
            </w:r>
            <w:r w:rsidR="00A9588B" w:rsidRPr="008804FC">
              <w:rPr>
                <w:rFonts w:ascii="Arial" w:hAnsi="Arial" w:cs="Arial"/>
                <w:sz w:val="18"/>
                <w:szCs w:val="18"/>
              </w:rPr>
              <w:t> </w:t>
            </w:r>
            <w:r w:rsidRPr="008804FC">
              <w:rPr>
                <w:rFonts w:ascii="Arial" w:hAnsi="Arial" w:cs="Arial"/>
                <w:sz w:val="18"/>
                <w:szCs w:val="18"/>
              </w:rPr>
              <w:t>MA, USA)</w:t>
            </w:r>
          </w:p>
        </w:tc>
        <w:tc>
          <w:tcPr>
            <w:tcW w:w="3119" w:type="dxa"/>
            <w:tcBorders>
              <w:right w:val="single" w:sz="18" w:space="0" w:color="auto"/>
            </w:tcBorders>
            <w:shd w:val="clear" w:color="auto" w:fill="auto"/>
            <w:vAlign w:val="center"/>
          </w:tcPr>
          <w:p w14:paraId="091AFDA3" w14:textId="0857A76A" w:rsidR="00396A16" w:rsidRPr="008804FC" w:rsidRDefault="001860F9" w:rsidP="00D65B4A">
            <w:pPr>
              <w:rPr>
                <w:rFonts w:ascii="Arial" w:hAnsi="Arial" w:cs="Arial"/>
                <w:sz w:val="18"/>
                <w:szCs w:val="18"/>
              </w:rPr>
            </w:pPr>
            <w:r w:rsidRPr="008804FC">
              <w:rPr>
                <w:rFonts w:ascii="Arial" w:hAnsi="Arial" w:cs="Arial"/>
                <w:sz w:val="18"/>
                <w:szCs w:val="18"/>
              </w:rPr>
              <w:t>Cat.#</w:t>
            </w:r>
            <w:r w:rsidR="00396A16" w:rsidRPr="008804FC">
              <w:rPr>
                <w:rFonts w:ascii="Arial" w:hAnsi="Arial" w:cs="Arial"/>
                <w:sz w:val="18"/>
                <w:szCs w:val="18"/>
              </w:rPr>
              <w:t xml:space="preserve"> IQLAAEGAAPFADBMBHQ</w:t>
            </w:r>
          </w:p>
        </w:tc>
      </w:tr>
      <w:tr w:rsidR="00396A16" w:rsidRPr="008804FC" w14:paraId="7011463B" w14:textId="77777777" w:rsidTr="00A9588B">
        <w:trPr>
          <w:cantSplit/>
          <w:trHeight w:val="446"/>
        </w:trPr>
        <w:tc>
          <w:tcPr>
            <w:tcW w:w="3937" w:type="dxa"/>
            <w:tcBorders>
              <w:left w:val="single" w:sz="18" w:space="0" w:color="auto"/>
            </w:tcBorders>
            <w:shd w:val="clear" w:color="auto" w:fill="auto"/>
            <w:vAlign w:val="center"/>
          </w:tcPr>
          <w:p w14:paraId="4E07B7DF" w14:textId="0D5A0DDE" w:rsidR="00396A16" w:rsidRPr="008804FC" w:rsidRDefault="00396A16" w:rsidP="00D65B4A">
            <w:pPr>
              <w:rPr>
                <w:rFonts w:ascii="Arial" w:hAnsi="Arial" w:cs="Arial"/>
                <w:sz w:val="18"/>
                <w:szCs w:val="18"/>
              </w:rPr>
            </w:pPr>
            <w:r w:rsidRPr="008804FC">
              <w:rPr>
                <w:rFonts w:ascii="Arial" w:hAnsi="Arial" w:cs="Arial"/>
                <w:sz w:val="18"/>
                <w:szCs w:val="18"/>
              </w:rPr>
              <w:t>EASY-Spray Source</w:t>
            </w:r>
          </w:p>
        </w:tc>
        <w:tc>
          <w:tcPr>
            <w:tcW w:w="2520" w:type="dxa"/>
            <w:shd w:val="clear" w:color="auto" w:fill="auto"/>
            <w:vAlign w:val="center"/>
          </w:tcPr>
          <w:p w14:paraId="1925CCBE" w14:textId="4120EC43" w:rsidR="00396A16" w:rsidRPr="008804FC" w:rsidRDefault="00396A16" w:rsidP="00D65B4A">
            <w:pPr>
              <w:rPr>
                <w:rFonts w:ascii="Arial" w:hAnsi="Arial" w:cs="Arial"/>
                <w:sz w:val="18"/>
                <w:szCs w:val="18"/>
              </w:rPr>
            </w:pPr>
            <w:r w:rsidRPr="008804FC">
              <w:rPr>
                <w:rFonts w:ascii="Arial" w:hAnsi="Arial" w:cs="Arial"/>
                <w:sz w:val="18"/>
                <w:szCs w:val="18"/>
              </w:rPr>
              <w:t>Thermo Scientific (Waltham,</w:t>
            </w:r>
            <w:r w:rsidR="00A9588B" w:rsidRPr="008804FC">
              <w:rPr>
                <w:rFonts w:ascii="Arial" w:hAnsi="Arial" w:cs="Arial"/>
                <w:sz w:val="18"/>
                <w:szCs w:val="18"/>
              </w:rPr>
              <w:t> </w:t>
            </w:r>
            <w:r w:rsidRPr="008804FC">
              <w:rPr>
                <w:rFonts w:ascii="Arial" w:hAnsi="Arial" w:cs="Arial"/>
                <w:sz w:val="18"/>
                <w:szCs w:val="18"/>
              </w:rPr>
              <w:t>MA, USA)</w:t>
            </w:r>
          </w:p>
        </w:tc>
        <w:tc>
          <w:tcPr>
            <w:tcW w:w="3119" w:type="dxa"/>
            <w:tcBorders>
              <w:right w:val="single" w:sz="18" w:space="0" w:color="auto"/>
            </w:tcBorders>
            <w:shd w:val="clear" w:color="auto" w:fill="auto"/>
            <w:vAlign w:val="center"/>
          </w:tcPr>
          <w:p w14:paraId="5A2C499F" w14:textId="781B67B5" w:rsidR="00396A16" w:rsidRPr="008804FC" w:rsidRDefault="00396A16" w:rsidP="00D65B4A">
            <w:pPr>
              <w:rPr>
                <w:rFonts w:ascii="Arial" w:hAnsi="Arial" w:cs="Arial"/>
                <w:sz w:val="18"/>
                <w:szCs w:val="18"/>
              </w:rPr>
            </w:pPr>
            <w:r w:rsidRPr="008804FC">
              <w:rPr>
                <w:rFonts w:ascii="Arial" w:hAnsi="Arial" w:cs="Arial"/>
                <w:sz w:val="18"/>
                <w:szCs w:val="18"/>
              </w:rPr>
              <w:t>Cat. #: ES081</w:t>
            </w:r>
          </w:p>
        </w:tc>
      </w:tr>
      <w:tr w:rsidR="00396A16" w:rsidRPr="008804FC" w14:paraId="6296FF19" w14:textId="77777777" w:rsidTr="00A9588B">
        <w:trPr>
          <w:cantSplit/>
          <w:trHeight w:val="446"/>
        </w:trPr>
        <w:tc>
          <w:tcPr>
            <w:tcW w:w="3937" w:type="dxa"/>
            <w:tcBorders>
              <w:left w:val="single" w:sz="18" w:space="0" w:color="auto"/>
            </w:tcBorders>
            <w:shd w:val="clear" w:color="auto" w:fill="auto"/>
            <w:vAlign w:val="center"/>
          </w:tcPr>
          <w:p w14:paraId="61C02DBB" w14:textId="4E6684D0" w:rsidR="00396A16" w:rsidRPr="008804FC" w:rsidRDefault="00396A16" w:rsidP="00D65B4A">
            <w:pPr>
              <w:rPr>
                <w:rFonts w:ascii="Arial" w:hAnsi="Arial" w:cs="Arial"/>
                <w:sz w:val="18"/>
                <w:szCs w:val="18"/>
              </w:rPr>
            </w:pPr>
            <w:r w:rsidRPr="008804FC">
              <w:rPr>
                <w:rFonts w:ascii="Arial" w:hAnsi="Arial" w:cs="Arial"/>
                <w:sz w:val="18"/>
                <w:szCs w:val="18"/>
              </w:rPr>
              <w:t>UltiMate 3000 RSLCnano System</w:t>
            </w:r>
          </w:p>
        </w:tc>
        <w:tc>
          <w:tcPr>
            <w:tcW w:w="2520" w:type="dxa"/>
            <w:shd w:val="clear" w:color="auto" w:fill="auto"/>
            <w:vAlign w:val="center"/>
          </w:tcPr>
          <w:p w14:paraId="24A75925" w14:textId="5EEFC3C2" w:rsidR="00396A16" w:rsidRPr="008804FC" w:rsidRDefault="00396A16" w:rsidP="00D65B4A">
            <w:pPr>
              <w:rPr>
                <w:rFonts w:ascii="Arial" w:hAnsi="Arial" w:cs="Arial"/>
                <w:sz w:val="18"/>
                <w:szCs w:val="18"/>
              </w:rPr>
            </w:pPr>
            <w:r w:rsidRPr="008804FC">
              <w:rPr>
                <w:rFonts w:ascii="Arial" w:hAnsi="Arial" w:cs="Arial"/>
                <w:sz w:val="18"/>
                <w:szCs w:val="18"/>
              </w:rPr>
              <w:t>Thermo Scientific (Waltham,</w:t>
            </w:r>
            <w:r w:rsidR="00A9588B" w:rsidRPr="008804FC">
              <w:rPr>
                <w:rFonts w:ascii="Arial" w:hAnsi="Arial" w:cs="Arial"/>
                <w:sz w:val="18"/>
                <w:szCs w:val="18"/>
              </w:rPr>
              <w:t> </w:t>
            </w:r>
            <w:r w:rsidRPr="008804FC">
              <w:rPr>
                <w:rFonts w:ascii="Arial" w:hAnsi="Arial" w:cs="Arial"/>
                <w:sz w:val="18"/>
                <w:szCs w:val="18"/>
              </w:rPr>
              <w:t>MA, USA)</w:t>
            </w:r>
          </w:p>
        </w:tc>
        <w:tc>
          <w:tcPr>
            <w:tcW w:w="3119" w:type="dxa"/>
            <w:tcBorders>
              <w:right w:val="single" w:sz="18" w:space="0" w:color="auto"/>
            </w:tcBorders>
            <w:shd w:val="clear" w:color="auto" w:fill="auto"/>
            <w:vAlign w:val="center"/>
          </w:tcPr>
          <w:p w14:paraId="43139DBC" w14:textId="3C2E7D13" w:rsidR="00396A16" w:rsidRPr="008804FC" w:rsidRDefault="00396A16" w:rsidP="00D65B4A">
            <w:pPr>
              <w:rPr>
                <w:rFonts w:ascii="Arial" w:hAnsi="Arial" w:cs="Arial"/>
                <w:sz w:val="18"/>
                <w:szCs w:val="18"/>
              </w:rPr>
            </w:pPr>
            <w:r w:rsidRPr="008804FC">
              <w:rPr>
                <w:rFonts w:ascii="Arial" w:hAnsi="Arial" w:cs="Arial"/>
                <w:sz w:val="18"/>
                <w:szCs w:val="18"/>
              </w:rPr>
              <w:t>Cat. #: ULTIM3000RSLCNANO</w:t>
            </w:r>
          </w:p>
        </w:tc>
      </w:tr>
      <w:tr w:rsidR="00396A16" w:rsidRPr="008804FC" w14:paraId="182AB64F" w14:textId="77777777" w:rsidTr="00A9588B">
        <w:trPr>
          <w:cantSplit/>
          <w:trHeight w:val="446"/>
        </w:trPr>
        <w:tc>
          <w:tcPr>
            <w:tcW w:w="3937" w:type="dxa"/>
            <w:tcBorders>
              <w:left w:val="single" w:sz="18" w:space="0" w:color="auto"/>
            </w:tcBorders>
            <w:shd w:val="clear" w:color="auto" w:fill="auto"/>
            <w:vAlign w:val="center"/>
          </w:tcPr>
          <w:p w14:paraId="55C55F10" w14:textId="5E8113A6" w:rsidR="00396A16" w:rsidRPr="008804FC" w:rsidRDefault="00396A16" w:rsidP="00D65B4A">
            <w:pPr>
              <w:rPr>
                <w:rFonts w:ascii="Arial" w:hAnsi="Arial" w:cs="Arial"/>
                <w:sz w:val="18"/>
                <w:szCs w:val="18"/>
              </w:rPr>
            </w:pPr>
            <w:r w:rsidRPr="008804FC">
              <w:rPr>
                <w:rFonts w:ascii="Arial" w:hAnsi="Arial" w:cs="Arial"/>
                <w:sz w:val="18"/>
                <w:szCs w:val="18"/>
              </w:rPr>
              <w:t>EASY Spray C18 LC Column</w:t>
            </w:r>
          </w:p>
        </w:tc>
        <w:tc>
          <w:tcPr>
            <w:tcW w:w="2520" w:type="dxa"/>
            <w:shd w:val="clear" w:color="auto" w:fill="auto"/>
            <w:vAlign w:val="center"/>
          </w:tcPr>
          <w:p w14:paraId="0FDCC1C1" w14:textId="3F8F69B3" w:rsidR="00396A16" w:rsidRPr="008804FC" w:rsidRDefault="00396A16" w:rsidP="00D65B4A">
            <w:pPr>
              <w:rPr>
                <w:rFonts w:ascii="Arial" w:hAnsi="Arial" w:cs="Arial"/>
                <w:sz w:val="18"/>
                <w:szCs w:val="18"/>
              </w:rPr>
            </w:pPr>
            <w:r w:rsidRPr="008804FC">
              <w:rPr>
                <w:rFonts w:ascii="Arial" w:hAnsi="Arial" w:cs="Arial"/>
                <w:sz w:val="18"/>
                <w:szCs w:val="18"/>
              </w:rPr>
              <w:t>Thermo Scientific (Waltham,</w:t>
            </w:r>
            <w:r w:rsidR="00A9588B" w:rsidRPr="008804FC">
              <w:rPr>
                <w:rFonts w:ascii="Arial" w:hAnsi="Arial" w:cs="Arial"/>
                <w:sz w:val="18"/>
                <w:szCs w:val="18"/>
              </w:rPr>
              <w:t> </w:t>
            </w:r>
            <w:r w:rsidRPr="008804FC">
              <w:rPr>
                <w:rFonts w:ascii="Arial" w:hAnsi="Arial" w:cs="Arial"/>
                <w:sz w:val="18"/>
                <w:szCs w:val="18"/>
              </w:rPr>
              <w:t>MA, USA)</w:t>
            </w:r>
          </w:p>
        </w:tc>
        <w:tc>
          <w:tcPr>
            <w:tcW w:w="3119" w:type="dxa"/>
            <w:tcBorders>
              <w:right w:val="single" w:sz="18" w:space="0" w:color="auto"/>
            </w:tcBorders>
            <w:shd w:val="clear" w:color="auto" w:fill="auto"/>
            <w:vAlign w:val="center"/>
          </w:tcPr>
          <w:p w14:paraId="2301D3E5" w14:textId="3DBBEEDD" w:rsidR="00396A16" w:rsidRPr="008804FC" w:rsidRDefault="00396A16" w:rsidP="00D65B4A">
            <w:pPr>
              <w:rPr>
                <w:rFonts w:ascii="Arial" w:hAnsi="Arial" w:cs="Arial"/>
                <w:sz w:val="18"/>
                <w:szCs w:val="18"/>
              </w:rPr>
            </w:pPr>
            <w:r w:rsidRPr="008804FC">
              <w:rPr>
                <w:rFonts w:ascii="Arial" w:hAnsi="Arial" w:cs="Arial"/>
                <w:sz w:val="18"/>
                <w:szCs w:val="18"/>
              </w:rPr>
              <w:t>Cat. #: ES906</w:t>
            </w:r>
          </w:p>
        </w:tc>
      </w:tr>
      <w:tr w:rsidR="00396A16" w:rsidRPr="008804FC" w14:paraId="5569E601" w14:textId="77777777" w:rsidTr="00A9588B">
        <w:trPr>
          <w:cantSplit/>
          <w:trHeight w:val="446"/>
        </w:trPr>
        <w:tc>
          <w:tcPr>
            <w:tcW w:w="3937" w:type="dxa"/>
            <w:tcBorders>
              <w:left w:val="single" w:sz="18" w:space="0" w:color="auto"/>
              <w:bottom w:val="single" w:sz="6" w:space="0" w:color="auto"/>
            </w:tcBorders>
            <w:shd w:val="clear" w:color="auto" w:fill="auto"/>
            <w:vAlign w:val="center"/>
          </w:tcPr>
          <w:p w14:paraId="18BE6D94" w14:textId="27C23CEF" w:rsidR="00396A16" w:rsidRPr="008804FC" w:rsidRDefault="00396A16" w:rsidP="00D65B4A">
            <w:pPr>
              <w:rPr>
                <w:rFonts w:ascii="Arial" w:hAnsi="Arial" w:cs="Arial"/>
                <w:sz w:val="18"/>
                <w:szCs w:val="18"/>
              </w:rPr>
            </w:pPr>
            <w:r w:rsidRPr="008804FC">
              <w:rPr>
                <w:rFonts w:ascii="Arial" w:eastAsia="Times New Roman" w:hAnsi="Arial" w:cs="Arial"/>
                <w:color w:val="000000"/>
                <w:sz w:val="18"/>
                <w:szCs w:val="18"/>
              </w:rPr>
              <w:t>Solid Phase C18 ZipTip</w:t>
            </w:r>
          </w:p>
        </w:tc>
        <w:tc>
          <w:tcPr>
            <w:tcW w:w="2520" w:type="dxa"/>
            <w:tcBorders>
              <w:bottom w:val="single" w:sz="6" w:space="0" w:color="auto"/>
            </w:tcBorders>
            <w:shd w:val="clear" w:color="auto" w:fill="auto"/>
            <w:vAlign w:val="center"/>
          </w:tcPr>
          <w:p w14:paraId="5C7E75D2" w14:textId="5802DDE9" w:rsidR="00396A16" w:rsidRPr="008804FC" w:rsidRDefault="00396A16" w:rsidP="00D65B4A">
            <w:pPr>
              <w:rPr>
                <w:rFonts w:ascii="Arial" w:hAnsi="Arial" w:cs="Arial"/>
                <w:sz w:val="18"/>
                <w:szCs w:val="18"/>
              </w:rPr>
            </w:pPr>
            <w:r w:rsidRPr="008804FC">
              <w:rPr>
                <w:rFonts w:ascii="Arial" w:hAnsi="Arial" w:cs="Arial"/>
                <w:sz w:val="18"/>
                <w:szCs w:val="18"/>
              </w:rPr>
              <w:t>MilliporeSigma (Billerica,</w:t>
            </w:r>
            <w:r w:rsidR="00D65B4A" w:rsidRPr="008804FC">
              <w:rPr>
                <w:rFonts w:ascii="Arial" w:hAnsi="Arial" w:cs="Arial"/>
                <w:sz w:val="18"/>
                <w:szCs w:val="18"/>
              </w:rPr>
              <w:t> </w:t>
            </w:r>
            <w:r w:rsidRPr="008804FC">
              <w:rPr>
                <w:rFonts w:ascii="Arial" w:hAnsi="Arial" w:cs="Arial"/>
                <w:sz w:val="18"/>
                <w:szCs w:val="18"/>
              </w:rPr>
              <w:t>MA, USA)</w:t>
            </w:r>
          </w:p>
        </w:tc>
        <w:tc>
          <w:tcPr>
            <w:tcW w:w="3119" w:type="dxa"/>
            <w:tcBorders>
              <w:bottom w:val="single" w:sz="6" w:space="0" w:color="auto"/>
              <w:right w:val="single" w:sz="18" w:space="0" w:color="auto"/>
            </w:tcBorders>
            <w:shd w:val="clear" w:color="auto" w:fill="auto"/>
            <w:vAlign w:val="center"/>
          </w:tcPr>
          <w:p w14:paraId="7A7AD5D2" w14:textId="77777777" w:rsidR="00396A16" w:rsidRPr="008804FC" w:rsidRDefault="00396A16" w:rsidP="00D65B4A">
            <w:pPr>
              <w:rPr>
                <w:rFonts w:ascii="Arial" w:hAnsi="Arial" w:cs="Arial"/>
                <w:sz w:val="18"/>
                <w:szCs w:val="18"/>
              </w:rPr>
            </w:pPr>
          </w:p>
        </w:tc>
      </w:tr>
      <w:tr w:rsidR="00396A16" w:rsidRPr="008804FC" w14:paraId="382A134D" w14:textId="77777777" w:rsidTr="00726AA1">
        <w:trPr>
          <w:cantSplit/>
          <w:trHeight w:val="259"/>
        </w:trPr>
        <w:tc>
          <w:tcPr>
            <w:tcW w:w="9576" w:type="dxa"/>
            <w:gridSpan w:val="3"/>
            <w:tcBorders>
              <w:top w:val="single" w:sz="6" w:space="0" w:color="auto"/>
              <w:left w:val="single" w:sz="18" w:space="0" w:color="auto"/>
              <w:bottom w:val="single" w:sz="6" w:space="0" w:color="auto"/>
              <w:right w:val="single" w:sz="18" w:space="0" w:color="auto"/>
            </w:tcBorders>
            <w:shd w:val="clear" w:color="auto" w:fill="DBE5F1" w:themeFill="accent1" w:themeFillTint="33"/>
            <w:vAlign w:val="center"/>
          </w:tcPr>
          <w:p w14:paraId="0793477C" w14:textId="5472AE3B" w:rsidR="00396A16" w:rsidRPr="008804FC" w:rsidRDefault="00396A16" w:rsidP="00396A16">
            <w:pPr>
              <w:rPr>
                <w:rFonts w:ascii="Arial" w:hAnsi="Arial" w:cs="Arial"/>
                <w:i/>
                <w:iCs/>
                <w:sz w:val="20"/>
                <w:szCs w:val="20"/>
              </w:rPr>
            </w:pPr>
            <w:r w:rsidRPr="008804FC">
              <w:rPr>
                <w:rFonts w:ascii="Arial" w:hAnsi="Arial" w:cs="Arial"/>
                <w:i/>
                <w:iCs/>
                <w:sz w:val="20"/>
                <w:szCs w:val="20"/>
              </w:rPr>
              <w:t>Software</w:t>
            </w:r>
          </w:p>
        </w:tc>
      </w:tr>
      <w:tr w:rsidR="00396A16" w:rsidRPr="008804FC" w14:paraId="17BC0C07" w14:textId="77777777" w:rsidTr="00A9588B">
        <w:trPr>
          <w:cantSplit/>
          <w:trHeight w:val="446"/>
        </w:trPr>
        <w:tc>
          <w:tcPr>
            <w:tcW w:w="3937" w:type="dxa"/>
            <w:tcBorders>
              <w:top w:val="single" w:sz="6" w:space="0" w:color="auto"/>
              <w:left w:val="single" w:sz="18" w:space="0" w:color="auto"/>
            </w:tcBorders>
            <w:shd w:val="clear" w:color="auto" w:fill="auto"/>
            <w:vAlign w:val="center"/>
          </w:tcPr>
          <w:p w14:paraId="555934A0" w14:textId="2E012B74" w:rsidR="00396A16" w:rsidRPr="008804FC" w:rsidRDefault="00396A16" w:rsidP="00D65B4A">
            <w:pPr>
              <w:rPr>
                <w:rFonts w:ascii="Arial" w:hAnsi="Arial" w:cs="Arial"/>
                <w:sz w:val="18"/>
                <w:szCs w:val="18"/>
              </w:rPr>
            </w:pPr>
            <w:r w:rsidRPr="008804FC">
              <w:rPr>
                <w:rFonts w:ascii="Arial" w:hAnsi="Arial" w:cs="Arial"/>
                <w:sz w:val="18"/>
                <w:szCs w:val="18"/>
              </w:rPr>
              <w:t>Progenesis QI for proteomics (version 2.4)</w:t>
            </w:r>
          </w:p>
        </w:tc>
        <w:tc>
          <w:tcPr>
            <w:tcW w:w="2520" w:type="dxa"/>
            <w:tcBorders>
              <w:top w:val="single" w:sz="6" w:space="0" w:color="auto"/>
            </w:tcBorders>
            <w:shd w:val="clear" w:color="auto" w:fill="auto"/>
            <w:vAlign w:val="center"/>
          </w:tcPr>
          <w:p w14:paraId="5A44B304" w14:textId="6DBF866D" w:rsidR="00396A16" w:rsidRPr="008804FC" w:rsidRDefault="00396A16" w:rsidP="00D65B4A">
            <w:pPr>
              <w:rPr>
                <w:rFonts w:ascii="Arial" w:hAnsi="Arial" w:cs="Arial"/>
                <w:sz w:val="18"/>
                <w:szCs w:val="18"/>
              </w:rPr>
            </w:pPr>
            <w:r w:rsidRPr="008804FC">
              <w:rPr>
                <w:rFonts w:ascii="Arial" w:hAnsi="Arial" w:cs="Arial"/>
                <w:sz w:val="18"/>
                <w:szCs w:val="18"/>
              </w:rPr>
              <w:t>Nonlinear Dynamics Ltd. (Newcastle Upon Tyne, UK)</w:t>
            </w:r>
          </w:p>
        </w:tc>
        <w:tc>
          <w:tcPr>
            <w:tcW w:w="3119" w:type="dxa"/>
            <w:tcBorders>
              <w:top w:val="single" w:sz="6" w:space="0" w:color="auto"/>
              <w:right w:val="single" w:sz="18" w:space="0" w:color="auto"/>
            </w:tcBorders>
            <w:shd w:val="clear" w:color="auto" w:fill="auto"/>
            <w:vAlign w:val="center"/>
          </w:tcPr>
          <w:p w14:paraId="189498F1" w14:textId="19D2F3CA" w:rsidR="00396A16" w:rsidRPr="008804FC" w:rsidRDefault="00396A16" w:rsidP="00D65B4A">
            <w:pPr>
              <w:rPr>
                <w:rFonts w:ascii="Arial" w:hAnsi="Arial" w:cs="Arial"/>
                <w:sz w:val="18"/>
                <w:szCs w:val="18"/>
              </w:rPr>
            </w:pPr>
            <w:hyperlink r:id="rId12" w:history="1">
              <w:r w:rsidRPr="008804FC">
                <w:rPr>
                  <w:rStyle w:val="Hyperlink"/>
                  <w:rFonts w:ascii="Arial" w:hAnsi="Arial" w:cs="Arial"/>
                  <w:sz w:val="18"/>
                  <w:szCs w:val="18"/>
                </w:rPr>
                <w:t>https://www.nonlinear.com/progenesis/qi-for-proteomics/</w:t>
              </w:r>
            </w:hyperlink>
          </w:p>
        </w:tc>
      </w:tr>
      <w:tr w:rsidR="00396A16" w:rsidRPr="008804FC" w14:paraId="7DFB252B" w14:textId="77777777" w:rsidTr="00A9588B">
        <w:trPr>
          <w:cantSplit/>
          <w:trHeight w:val="446"/>
        </w:trPr>
        <w:tc>
          <w:tcPr>
            <w:tcW w:w="3937" w:type="dxa"/>
            <w:tcBorders>
              <w:left w:val="single" w:sz="18" w:space="0" w:color="auto"/>
            </w:tcBorders>
            <w:shd w:val="clear" w:color="auto" w:fill="auto"/>
            <w:vAlign w:val="center"/>
          </w:tcPr>
          <w:p w14:paraId="24261E0B" w14:textId="53E8221B" w:rsidR="00396A16" w:rsidRPr="008804FC" w:rsidRDefault="00396A16" w:rsidP="00D65B4A">
            <w:pPr>
              <w:rPr>
                <w:rFonts w:ascii="Arial" w:hAnsi="Arial" w:cs="Arial"/>
                <w:sz w:val="18"/>
                <w:szCs w:val="18"/>
              </w:rPr>
            </w:pPr>
            <w:r w:rsidRPr="008804FC">
              <w:rPr>
                <w:rFonts w:ascii="Arial" w:hAnsi="Arial" w:cs="Arial"/>
                <w:sz w:val="18"/>
                <w:szCs w:val="18"/>
              </w:rPr>
              <w:t>Mascot (version 2.6)</w:t>
            </w:r>
          </w:p>
        </w:tc>
        <w:tc>
          <w:tcPr>
            <w:tcW w:w="2520" w:type="dxa"/>
            <w:shd w:val="clear" w:color="auto" w:fill="auto"/>
            <w:vAlign w:val="center"/>
          </w:tcPr>
          <w:p w14:paraId="655B59FF" w14:textId="58E172EB" w:rsidR="00396A16" w:rsidRPr="008804FC" w:rsidRDefault="00396A16" w:rsidP="00D65B4A">
            <w:pPr>
              <w:rPr>
                <w:rFonts w:ascii="Arial" w:hAnsi="Arial" w:cs="Arial"/>
                <w:sz w:val="18"/>
                <w:szCs w:val="18"/>
              </w:rPr>
            </w:pPr>
            <w:r w:rsidRPr="008804FC">
              <w:rPr>
                <w:rFonts w:ascii="Arial" w:hAnsi="Arial" w:cs="Arial"/>
                <w:sz w:val="18"/>
                <w:szCs w:val="18"/>
              </w:rPr>
              <w:t>Matrix Science (London,</w:t>
            </w:r>
            <w:r w:rsidR="00D65B4A" w:rsidRPr="008804FC">
              <w:rPr>
                <w:rFonts w:ascii="Arial" w:hAnsi="Arial" w:cs="Arial"/>
                <w:sz w:val="18"/>
                <w:szCs w:val="18"/>
              </w:rPr>
              <w:t> </w:t>
            </w:r>
            <w:r w:rsidRPr="008804FC">
              <w:rPr>
                <w:rFonts w:ascii="Arial" w:hAnsi="Arial" w:cs="Arial"/>
                <w:sz w:val="18"/>
                <w:szCs w:val="18"/>
              </w:rPr>
              <w:t>UK)</w:t>
            </w:r>
          </w:p>
        </w:tc>
        <w:tc>
          <w:tcPr>
            <w:tcW w:w="3119" w:type="dxa"/>
            <w:tcBorders>
              <w:right w:val="single" w:sz="18" w:space="0" w:color="auto"/>
            </w:tcBorders>
            <w:shd w:val="clear" w:color="auto" w:fill="auto"/>
            <w:vAlign w:val="center"/>
          </w:tcPr>
          <w:p w14:paraId="7C9868D8" w14:textId="414BC9A3" w:rsidR="00396A16" w:rsidRPr="008804FC" w:rsidRDefault="00396A16" w:rsidP="00D65B4A">
            <w:pPr>
              <w:rPr>
                <w:rFonts w:ascii="Arial" w:hAnsi="Arial" w:cs="Arial"/>
                <w:sz w:val="18"/>
                <w:szCs w:val="18"/>
              </w:rPr>
            </w:pPr>
            <w:hyperlink r:id="rId13" w:history="1">
              <w:r w:rsidRPr="008804FC">
                <w:rPr>
                  <w:rStyle w:val="Hyperlink"/>
                  <w:rFonts w:ascii="Arial" w:hAnsi="Arial" w:cs="Arial"/>
                  <w:sz w:val="18"/>
                  <w:szCs w:val="18"/>
                </w:rPr>
                <w:t>https://www.matrixscience.com/</w:t>
              </w:r>
            </w:hyperlink>
          </w:p>
        </w:tc>
      </w:tr>
      <w:tr w:rsidR="00396A16" w:rsidRPr="008804FC" w14:paraId="3F6FFBD5" w14:textId="77777777" w:rsidTr="00A9588B">
        <w:trPr>
          <w:cantSplit/>
          <w:trHeight w:val="446"/>
        </w:trPr>
        <w:tc>
          <w:tcPr>
            <w:tcW w:w="3937" w:type="dxa"/>
            <w:tcBorders>
              <w:left w:val="single" w:sz="18" w:space="0" w:color="auto"/>
              <w:bottom w:val="single" w:sz="2" w:space="0" w:color="000000"/>
            </w:tcBorders>
            <w:shd w:val="clear" w:color="auto" w:fill="auto"/>
            <w:vAlign w:val="center"/>
          </w:tcPr>
          <w:p w14:paraId="26CDE8D2" w14:textId="36579000" w:rsidR="00396A16" w:rsidRPr="008804FC" w:rsidRDefault="00396A16" w:rsidP="00D65B4A">
            <w:pPr>
              <w:rPr>
                <w:rFonts w:ascii="Arial" w:hAnsi="Arial" w:cs="Arial"/>
                <w:sz w:val="18"/>
                <w:szCs w:val="18"/>
              </w:rPr>
            </w:pPr>
            <w:r w:rsidRPr="008804FC">
              <w:rPr>
                <w:rFonts w:ascii="Arial" w:hAnsi="Arial" w:cs="Arial"/>
                <w:sz w:val="18"/>
                <w:szCs w:val="18"/>
              </w:rPr>
              <w:t>Perseus</w:t>
            </w:r>
          </w:p>
        </w:tc>
        <w:tc>
          <w:tcPr>
            <w:tcW w:w="2520" w:type="dxa"/>
            <w:tcBorders>
              <w:bottom w:val="single" w:sz="2" w:space="0" w:color="000000"/>
            </w:tcBorders>
            <w:shd w:val="clear" w:color="auto" w:fill="auto"/>
            <w:vAlign w:val="center"/>
          </w:tcPr>
          <w:p w14:paraId="0641B3A0" w14:textId="5C07A2A9" w:rsidR="00396A16" w:rsidRPr="008804FC" w:rsidRDefault="00396A16" w:rsidP="00D65B4A">
            <w:pPr>
              <w:rPr>
                <w:rFonts w:ascii="Arial" w:hAnsi="Arial" w:cs="Arial"/>
                <w:sz w:val="18"/>
                <w:szCs w:val="18"/>
              </w:rPr>
            </w:pPr>
            <w:r w:rsidRPr="008804FC">
              <w:rPr>
                <w:rFonts w:ascii="Arial" w:hAnsi="Arial" w:cs="Arial"/>
                <w:sz w:val="18"/>
                <w:szCs w:val="18"/>
              </w:rPr>
              <w:t>Tyanova et al.</w:t>
            </w:r>
            <w:r w:rsidR="00A9588B" w:rsidRPr="008804FC">
              <w:rPr>
                <w:rFonts w:ascii="Arial" w:hAnsi="Arial" w:cs="Arial"/>
                <w:sz w:val="18"/>
                <w:szCs w:val="18"/>
              </w:rPr>
              <w:t xml:space="preserve"> </w:t>
            </w:r>
            <w:r w:rsidR="00A9588B" w:rsidRPr="008804FC">
              <w:rPr>
                <w:rFonts w:ascii="Arial" w:hAnsi="Arial" w:cs="Arial"/>
                <w:sz w:val="18"/>
                <w:szCs w:val="18"/>
              </w:rPr>
              <w:fldChar w:fldCharType="begin"/>
            </w:r>
            <w:r w:rsidR="00882E99">
              <w:rPr>
                <w:rFonts w:ascii="Arial" w:hAnsi="Arial" w:cs="Arial"/>
                <w:sz w:val="18"/>
                <w:szCs w:val="18"/>
              </w:rPr>
              <w:instrText xml:space="preserve"> ADDIN ZOTERO_ITEM CSL_CITATION {"citationID":"mW16UboA","properties":{"unsorted":false,"formattedCitation":"[2]","plainCitation":"[2]","noteIndex":0},"citationItems":[{"id":6602,"uris":["http://zotero.org/users/14649661/items/J6TQLNHC"],"itemData":{"id":6602,"type":"article-journal","abstract":"A main bottleneck in proteomics is the downstream biological analysis of highly multivariate quantitative protein abundance data generated using mass-spectrometry-based analysis. We developed the Perseus software platform (http://www.perseus-framework.org) to support biological and biomedical researchers in interpreting protein quantification, interaction and post-translational modification data. Perseus contains a comprehensive portfolio of statistical tools for high-dimensional omics data analysis covering normalization, pattern recognition, time-series analysis, cross-omics comparisons and multiple-hypothesis testing. A machine learning module supports the classification and validation of patient groups for diagnosis and prognosis, and it also detects predictive protein signatures. Central to Perseus is a user-friendly, interactive workflow environment that provides complete documentation of computational methods used in a publication. All activities in Perseus are realized as plugins, and users can extend the software by programming their own, which can be shared through a plugin store. We anticipate that Perseus's arsenal of algorithms and its intuitive usability will empower interdisciplinary analysis of complex large data sets.","container-title":"Nature Methods","DOI":"10.1038/nmeth.3901","ISSN":"1548-7105","issue":"9","journalAbbreviation":"Nat Methods","language":"eng","note":"PMID: 27348712","page":"731-740","source":"PubMed","title":"The Perseus computational platform for comprehensive analysis of (prote)omics data","volume":"13","author":[{"family":"Tyanova","given":"Stefka"},{"family":"Temu","given":"Tikira"},{"family":"Sinitcyn","given":"Pavel"},{"family":"Carlson","given":"Arthur"},{"family":"Hein","given":"Marco Y."},{"family":"Geiger","given":"Tamar"},{"family":"Mann","given":"Matthias"},{"family":"Cox","given":"Jürgen"}],"issued":{"date-parts":[["2016",9]]},"citation-key":"tyanovaPerseusComputationalPlatform2016"},"locator":null,"label":null,"suppress-author":null,"prefix":null,"suffix":null}],"schema":"https://github.com/citation-style-language/schema/raw/master/csl-citation.json"} </w:instrText>
            </w:r>
            <w:r w:rsidR="00A9588B" w:rsidRPr="008804FC">
              <w:rPr>
                <w:rFonts w:ascii="Arial" w:hAnsi="Arial" w:cs="Arial"/>
                <w:sz w:val="18"/>
                <w:szCs w:val="18"/>
              </w:rPr>
              <w:fldChar w:fldCharType="separate"/>
            </w:r>
            <w:r w:rsidR="00882E99" w:rsidRPr="00882E99">
              <w:rPr>
                <w:rFonts w:ascii="Calibri" w:hAnsi="Calibri" w:cs="Calibri"/>
                <w:sz w:val="18"/>
              </w:rPr>
              <w:t>[2]</w:t>
            </w:r>
            <w:r w:rsidR="00A9588B" w:rsidRPr="008804FC">
              <w:rPr>
                <w:rFonts w:ascii="Arial" w:hAnsi="Arial" w:cs="Arial"/>
                <w:sz w:val="18"/>
                <w:szCs w:val="18"/>
              </w:rPr>
              <w:fldChar w:fldCharType="end"/>
            </w:r>
          </w:p>
          <w:p w14:paraId="4469800E" w14:textId="105D9082" w:rsidR="00396A16" w:rsidRPr="008804FC" w:rsidRDefault="00A9588B" w:rsidP="00D65B4A">
            <w:pPr>
              <w:rPr>
                <w:rFonts w:ascii="Arial" w:hAnsi="Arial" w:cs="Arial"/>
                <w:sz w:val="18"/>
                <w:szCs w:val="18"/>
              </w:rPr>
            </w:pPr>
            <w:r w:rsidRPr="008804FC">
              <w:rPr>
                <w:rFonts w:ascii="Arial" w:hAnsi="Arial" w:cs="Arial"/>
                <w:sz w:val="18"/>
                <w:szCs w:val="18"/>
              </w:rPr>
              <w:t xml:space="preserve">Tyanova &amp; Cox </w:t>
            </w:r>
            <w:r w:rsidRPr="008804FC">
              <w:rPr>
                <w:rFonts w:ascii="Arial" w:hAnsi="Arial" w:cs="Arial"/>
                <w:sz w:val="18"/>
                <w:szCs w:val="18"/>
              </w:rPr>
              <w:fldChar w:fldCharType="begin"/>
            </w:r>
            <w:r w:rsidR="00882E99">
              <w:rPr>
                <w:rFonts w:ascii="Arial" w:hAnsi="Arial" w:cs="Arial"/>
                <w:sz w:val="18"/>
                <w:szCs w:val="18"/>
              </w:rPr>
              <w:instrText xml:space="preserve"> ADDIN ZOTERO_ITEM CSL_CITATION {"citationID":"r95XEddA","properties":{"unsorted":false,"formattedCitation":"[3]","plainCitation":"[3]","noteIndex":0},"citationItems":[{"id":6604,"uris":["http://zotero.org/users/14649661/items/AQQJV8V7"],"itemData":{"id":6604,"type":"article-journal","abstract":"Mass spectrometry-based proteomics is a continuously growing field marked by technological and methodological improvements. Cancer proteomics is aimed at pursuing goals such as accurate diagnosis, patient stratification, and biomarker discovery, relying on the richness of information of quantitative proteome profiles. Translating these high-dimensional data into biological findings of clinical importance necessitates the use of robust and powerful computational tools and methods. In this chapter, we provide a detailed description of standard analysis steps for a clinical proteomics dataset performed in Perseus, a software for functional analysis of large-scale quantitative omics data.","container-title":"Methods in Molecular Biology (Clifton, N.J.)","DOI":"10.1007/978-1-4939-7493-1_7","ISSN":"1940-6029","journalAbbreviation":"Methods Mol Biol","language":"eng","note":"PMID: 29344888","page":"133-148","source":"PubMed","title":"Perseus: A Bioinformatics Platform for Integrative Analysis of Proteomics Data in Cancer Research","title-short":"Perseus","volume":"1711","author":[{"family":"Tyanova","given":"Stefka"},{"family":"Cox","given":"Juergen"}],"issued":{"date-parts":[["2018"]]},"citation-key":"tyanovaPerseusBioinformaticsPlatform2018"},"locator":null,"label":null,"suppress-author":null,"prefix":null,"suffix":null}],"schema":"https://github.com/citation-style-language/schema/raw/master/csl-citation.json"} </w:instrText>
            </w:r>
            <w:r w:rsidRPr="008804FC">
              <w:rPr>
                <w:rFonts w:ascii="Arial" w:hAnsi="Arial" w:cs="Arial"/>
                <w:sz w:val="18"/>
                <w:szCs w:val="18"/>
              </w:rPr>
              <w:fldChar w:fldCharType="separate"/>
            </w:r>
            <w:r w:rsidR="00882E99" w:rsidRPr="00882E99">
              <w:rPr>
                <w:rFonts w:ascii="Calibri" w:hAnsi="Calibri" w:cs="Calibri"/>
                <w:sz w:val="18"/>
              </w:rPr>
              <w:t>[3]</w:t>
            </w:r>
            <w:r w:rsidRPr="008804FC">
              <w:rPr>
                <w:rFonts w:ascii="Arial" w:hAnsi="Arial" w:cs="Arial"/>
                <w:sz w:val="18"/>
                <w:szCs w:val="18"/>
              </w:rPr>
              <w:fldChar w:fldCharType="end"/>
            </w:r>
          </w:p>
        </w:tc>
        <w:tc>
          <w:tcPr>
            <w:tcW w:w="3119" w:type="dxa"/>
            <w:tcBorders>
              <w:bottom w:val="single" w:sz="2" w:space="0" w:color="000000"/>
              <w:right w:val="single" w:sz="18" w:space="0" w:color="auto"/>
            </w:tcBorders>
            <w:shd w:val="clear" w:color="auto" w:fill="auto"/>
            <w:vAlign w:val="center"/>
          </w:tcPr>
          <w:p w14:paraId="1E6262AB" w14:textId="0E9A6C48" w:rsidR="00396A16" w:rsidRPr="008804FC" w:rsidRDefault="00396A16" w:rsidP="00D65B4A">
            <w:pPr>
              <w:rPr>
                <w:rFonts w:ascii="Arial" w:hAnsi="Arial" w:cs="Arial"/>
                <w:sz w:val="18"/>
                <w:szCs w:val="18"/>
              </w:rPr>
            </w:pPr>
            <w:hyperlink r:id="rId14" w:history="1">
              <w:r w:rsidRPr="008804FC">
                <w:rPr>
                  <w:rStyle w:val="Hyperlink"/>
                  <w:rFonts w:ascii="Arial" w:hAnsi="Arial" w:cs="Arial"/>
                  <w:sz w:val="18"/>
                  <w:szCs w:val="18"/>
                </w:rPr>
                <w:t>https://maxquant.net/perseus/</w:t>
              </w:r>
            </w:hyperlink>
          </w:p>
        </w:tc>
      </w:tr>
      <w:tr w:rsidR="00396A16" w:rsidRPr="008804FC" w14:paraId="305888DF" w14:textId="77777777" w:rsidTr="00A9588B">
        <w:trPr>
          <w:cantSplit/>
          <w:trHeight w:val="446"/>
        </w:trPr>
        <w:tc>
          <w:tcPr>
            <w:tcW w:w="3937" w:type="dxa"/>
            <w:tcBorders>
              <w:left w:val="single" w:sz="18" w:space="0" w:color="auto"/>
              <w:bottom w:val="single" w:sz="2" w:space="0" w:color="000000"/>
            </w:tcBorders>
            <w:shd w:val="clear" w:color="auto" w:fill="auto"/>
            <w:vAlign w:val="center"/>
          </w:tcPr>
          <w:p w14:paraId="0CBA5630" w14:textId="0723E3AD" w:rsidR="00396A16" w:rsidRPr="008804FC" w:rsidRDefault="00396A16" w:rsidP="00D65B4A">
            <w:pPr>
              <w:rPr>
                <w:rFonts w:ascii="Arial" w:hAnsi="Arial" w:cs="Arial"/>
                <w:sz w:val="18"/>
                <w:szCs w:val="18"/>
              </w:rPr>
            </w:pPr>
            <w:r w:rsidRPr="008804FC">
              <w:rPr>
                <w:rFonts w:ascii="Arial" w:hAnsi="Arial" w:cs="Arial"/>
                <w:sz w:val="18"/>
                <w:szCs w:val="18"/>
              </w:rPr>
              <w:t>DAVID</w:t>
            </w:r>
          </w:p>
        </w:tc>
        <w:tc>
          <w:tcPr>
            <w:tcW w:w="2520" w:type="dxa"/>
            <w:tcBorders>
              <w:bottom w:val="single" w:sz="2" w:space="0" w:color="000000"/>
            </w:tcBorders>
            <w:shd w:val="clear" w:color="auto" w:fill="auto"/>
            <w:vAlign w:val="center"/>
          </w:tcPr>
          <w:p w14:paraId="7A0B9A6C" w14:textId="1B4325E8" w:rsidR="00396A16" w:rsidRPr="008804FC" w:rsidRDefault="00396A16" w:rsidP="00D65B4A">
            <w:pPr>
              <w:rPr>
                <w:rFonts w:ascii="Arial" w:hAnsi="Arial" w:cs="Arial"/>
                <w:sz w:val="18"/>
                <w:szCs w:val="18"/>
              </w:rPr>
            </w:pPr>
            <w:r w:rsidRPr="008804FC">
              <w:rPr>
                <w:rFonts w:ascii="Arial" w:hAnsi="Arial" w:cs="Arial"/>
                <w:sz w:val="18"/>
                <w:szCs w:val="18"/>
              </w:rPr>
              <w:t xml:space="preserve">Sherman et al. </w:t>
            </w:r>
            <w:r w:rsidR="00A9588B" w:rsidRPr="008804FC">
              <w:rPr>
                <w:rFonts w:ascii="Arial" w:hAnsi="Arial" w:cs="Arial"/>
                <w:sz w:val="18"/>
                <w:szCs w:val="18"/>
              </w:rPr>
              <w:fldChar w:fldCharType="begin"/>
            </w:r>
            <w:r w:rsidR="00882E99">
              <w:rPr>
                <w:rFonts w:ascii="Arial" w:hAnsi="Arial" w:cs="Arial"/>
                <w:sz w:val="18"/>
                <w:szCs w:val="18"/>
              </w:rPr>
              <w:instrText xml:space="preserve"> ADDIN ZOTERO_ITEM CSL_CITATION {"citationID":"PID3AjS1","properties":{"unsorted":false,"formattedCitation":"[4]","plainCitation":"[4]","noteIndex":0},"citationItems":[{"id":8436,"uris":["http://zotero.org/users/14649661/items/FZBA2PP4"],"itemData":{"id":8436,"type":"article-journal","abstract":"DAVID is a popular bioinformatics resource system including a web server and web service for functional annotation and enrichment analyses of gene lists. It consists of a comprehensive knowledgebase and a set of functional analysis tools. Here, we report all updates made in 2021. The DAVID Gene system was rebuilt to gain coverage of more organisms, which increased the taxonomy coverage from 17 399 to 55 464. All existing annotation types have been updated, if available, based on the new DAVID Gene system. Compared with the last version, the number of gene-term records for most annotation types within the updated Knowledgebase have significantly increased. Moreover, we have incorporated new annotations in the Knowledgebase including small molecule-gene interactions from PubChem, drug-gene interactions from DrugBank, tissue expression information from the Human Protein Atlas, disease information from DisGeNET, and pathways from WikiPathways and PathBank. Eight of ten subgroups split from Uniprot Keyword annotation were assigned to specific types. Finally, we added a species parameter for uploading a list of gene symbols to minimize the ambiguity between species, which increases the efficiency of the list upload and eliminates confusion for users. These current updates have significantly expanded the Knowledgebase and enhanced the discovery power of DAVID.","container-title":"Nucleic Acids Research","DOI":"10.1093/nar/gkac194","ISSN":"1362-4962","issue":"W1","journalAbbreviation":"Nucleic Acids Res","language":"eng","note":"PMID: 35325185\nPMCID: PMC9252805","page":"W216-W221","source":"PubMed","title":"DAVID: a web server for functional enrichment analysis and functional annotation of gene lists (2021 update)","title-short":"DAVID","volume":"50","author":[{"family":"Sherman","given":"Brad T."},{"family":"Hao","given":"Ming"},{"family":"Qiu","given":"Ju"},{"family":"Jiao","given":"Xiaoli"},{"family":"Baseler","given":"Michael W."},{"family":"Lane","given":"H. Clifford"},{"family":"Imamichi","given":"Tomozumi"},{"family":"Chang","given":"Weizhong"}],"issued":{"date-parts":[["2022",7,5]]},"citation-key":"shermanDAVIDWebServer2022"},"locator":null,"label":null,"suppress-author":null,"prefix":null,"suffix":null}],"schema":"https://github.com/citation-style-language/schema/raw/master/csl-citation.json"} </w:instrText>
            </w:r>
            <w:r w:rsidR="00A9588B" w:rsidRPr="008804FC">
              <w:rPr>
                <w:rFonts w:ascii="Arial" w:hAnsi="Arial" w:cs="Arial"/>
                <w:sz w:val="18"/>
                <w:szCs w:val="18"/>
              </w:rPr>
              <w:fldChar w:fldCharType="separate"/>
            </w:r>
            <w:r w:rsidR="00882E99" w:rsidRPr="00882E99">
              <w:rPr>
                <w:rFonts w:ascii="Calibri" w:hAnsi="Calibri" w:cs="Calibri"/>
                <w:sz w:val="18"/>
              </w:rPr>
              <w:t>[4]</w:t>
            </w:r>
            <w:r w:rsidR="00A9588B" w:rsidRPr="008804FC">
              <w:rPr>
                <w:rFonts w:ascii="Arial" w:hAnsi="Arial" w:cs="Arial"/>
                <w:sz w:val="18"/>
                <w:szCs w:val="18"/>
              </w:rPr>
              <w:fldChar w:fldCharType="end"/>
            </w:r>
          </w:p>
          <w:p w14:paraId="63892994" w14:textId="279C818C" w:rsidR="00396A16" w:rsidRPr="008804FC" w:rsidRDefault="00396A16" w:rsidP="00D65B4A">
            <w:pPr>
              <w:rPr>
                <w:rFonts w:ascii="Arial" w:hAnsi="Arial" w:cs="Arial"/>
                <w:sz w:val="18"/>
                <w:szCs w:val="18"/>
              </w:rPr>
            </w:pPr>
            <w:r w:rsidRPr="008804FC">
              <w:rPr>
                <w:rFonts w:ascii="Arial" w:hAnsi="Arial" w:cs="Arial"/>
                <w:sz w:val="18"/>
                <w:szCs w:val="18"/>
              </w:rPr>
              <w:t xml:space="preserve">Huang et al. </w:t>
            </w:r>
            <w:r w:rsidR="00A9588B" w:rsidRPr="008804FC">
              <w:rPr>
                <w:rFonts w:ascii="Arial" w:hAnsi="Arial" w:cs="Arial"/>
                <w:sz w:val="18"/>
                <w:szCs w:val="18"/>
              </w:rPr>
              <w:fldChar w:fldCharType="begin"/>
            </w:r>
            <w:r w:rsidR="00882E99">
              <w:rPr>
                <w:rFonts w:ascii="Arial" w:hAnsi="Arial" w:cs="Arial"/>
                <w:sz w:val="18"/>
                <w:szCs w:val="18"/>
              </w:rPr>
              <w:instrText xml:space="preserve"> ADDIN ZOTERO_ITEM CSL_CITATION {"citationID":"J9sERJMh","properties":{"unsorted":false,"formattedCitation":"[5]","plainCitation":"[5]","noteIndex":0},"citationItems":[{"id":6607,"uris":["http://zotero.org/users/14649661/items/K5J5EFWZ"],"itemData":{"id":6607,"type":"article-journal","abstract":"DAVID bioinformatics resources consists of an integrated biological knowledgebase and analytic tools aimed at systematically extracting biological meaning from large gene/protein lists. This protocol explains how to use DAVID, a high-throughput and integrated data-mining environment, to analyze gene lists derived from high-throughput genomic experiments. The procedure first requires uploading a gene list containing any number of common gene identifiers followed by analysis using one or more text and pathway-mining tools such as gene functional classification, functional annotation chart or clustering and functional annotation table. By following this protocol, investigators are able to gain an in-depth understanding of the biological themes in lists of genes that are enriched in genome-scale studies.","container-title":"Nature Protocols","DOI":"10.1038/nprot.2008.211","ISSN":"1750-2799","issue":"1","journalAbbreviation":"Nat Protoc","language":"eng","note":"PMID: 19131956","page":"44-57","source":"PubMed","title":"Systematic and integrative analysis of large gene lists using DAVID bioinformatics resources","volume":"4","author":[{"family":"Huang","given":"Da Wei"},{"family":"Sherman","given":"Brad T."},{"family":"Lempicki","given":"Richard A."}],"issued":{"date-parts":[["2009"]]},"citation-key":"huangSystematicIntegrativeAnalysis2009"},"locator":null,"label":null,"suppress-author":null,"prefix":null,"suffix":null}],"schema":"https://github.com/citation-style-language/schema/raw/master/csl-citation.json"} </w:instrText>
            </w:r>
            <w:r w:rsidR="00A9588B" w:rsidRPr="008804FC">
              <w:rPr>
                <w:rFonts w:ascii="Arial" w:hAnsi="Arial" w:cs="Arial"/>
                <w:sz w:val="18"/>
                <w:szCs w:val="18"/>
              </w:rPr>
              <w:fldChar w:fldCharType="separate"/>
            </w:r>
            <w:r w:rsidR="00882E99" w:rsidRPr="00882E99">
              <w:rPr>
                <w:rFonts w:ascii="Calibri" w:hAnsi="Calibri" w:cs="Calibri"/>
                <w:sz w:val="18"/>
              </w:rPr>
              <w:t>[5]</w:t>
            </w:r>
            <w:r w:rsidR="00A9588B" w:rsidRPr="008804FC">
              <w:rPr>
                <w:rFonts w:ascii="Arial" w:hAnsi="Arial" w:cs="Arial"/>
                <w:sz w:val="18"/>
                <w:szCs w:val="18"/>
              </w:rPr>
              <w:fldChar w:fldCharType="end"/>
            </w:r>
          </w:p>
        </w:tc>
        <w:tc>
          <w:tcPr>
            <w:tcW w:w="3119" w:type="dxa"/>
            <w:tcBorders>
              <w:bottom w:val="single" w:sz="2" w:space="0" w:color="000000"/>
              <w:right w:val="single" w:sz="18" w:space="0" w:color="auto"/>
            </w:tcBorders>
            <w:shd w:val="clear" w:color="auto" w:fill="auto"/>
            <w:vAlign w:val="center"/>
          </w:tcPr>
          <w:p w14:paraId="200D112C" w14:textId="402567B7" w:rsidR="00396A16" w:rsidRPr="008804FC" w:rsidRDefault="00396A16" w:rsidP="00D65B4A">
            <w:pPr>
              <w:rPr>
                <w:rFonts w:ascii="Arial" w:hAnsi="Arial" w:cs="Arial"/>
                <w:sz w:val="18"/>
                <w:szCs w:val="18"/>
              </w:rPr>
            </w:pPr>
            <w:hyperlink r:id="rId15" w:history="1">
              <w:r w:rsidRPr="008804FC">
                <w:rPr>
                  <w:rStyle w:val="Hyperlink"/>
                  <w:rFonts w:ascii="Arial" w:hAnsi="Arial" w:cs="Arial"/>
                  <w:sz w:val="18"/>
                  <w:szCs w:val="18"/>
                </w:rPr>
                <w:t>https://davidbioinformatics.nih.gov/</w:t>
              </w:r>
            </w:hyperlink>
          </w:p>
        </w:tc>
      </w:tr>
      <w:tr w:rsidR="00396A16" w:rsidRPr="008804FC" w14:paraId="75C7673E" w14:textId="77777777" w:rsidTr="00A9588B">
        <w:trPr>
          <w:cantSplit/>
          <w:trHeight w:val="446"/>
        </w:trPr>
        <w:tc>
          <w:tcPr>
            <w:tcW w:w="3937" w:type="dxa"/>
            <w:tcBorders>
              <w:left w:val="single" w:sz="18" w:space="0" w:color="auto"/>
              <w:bottom w:val="single" w:sz="2" w:space="0" w:color="000000"/>
            </w:tcBorders>
            <w:shd w:val="clear" w:color="auto" w:fill="auto"/>
            <w:vAlign w:val="center"/>
          </w:tcPr>
          <w:p w14:paraId="365E5ED8" w14:textId="6BC7A275" w:rsidR="00396A16" w:rsidRPr="008804FC" w:rsidRDefault="00396A16" w:rsidP="00D65B4A">
            <w:pPr>
              <w:rPr>
                <w:rFonts w:ascii="Arial" w:hAnsi="Arial" w:cs="Arial"/>
                <w:sz w:val="18"/>
                <w:szCs w:val="18"/>
              </w:rPr>
            </w:pPr>
            <w:r w:rsidRPr="008804FC">
              <w:rPr>
                <w:rFonts w:ascii="Arial" w:hAnsi="Arial" w:cs="Arial"/>
                <w:sz w:val="18"/>
                <w:szCs w:val="18"/>
              </w:rPr>
              <w:t>SynGO</w:t>
            </w:r>
          </w:p>
        </w:tc>
        <w:tc>
          <w:tcPr>
            <w:tcW w:w="2520" w:type="dxa"/>
            <w:tcBorders>
              <w:bottom w:val="single" w:sz="2" w:space="0" w:color="000000"/>
            </w:tcBorders>
            <w:shd w:val="clear" w:color="auto" w:fill="auto"/>
            <w:vAlign w:val="center"/>
          </w:tcPr>
          <w:p w14:paraId="5D695EC2" w14:textId="7504003A" w:rsidR="00396A16" w:rsidRPr="008804FC" w:rsidRDefault="00396A16" w:rsidP="00A9588B">
            <w:pPr>
              <w:rPr>
                <w:rFonts w:ascii="Arial" w:hAnsi="Arial" w:cs="Arial"/>
                <w:sz w:val="18"/>
                <w:szCs w:val="18"/>
              </w:rPr>
            </w:pPr>
            <w:r w:rsidRPr="008804FC">
              <w:rPr>
                <w:rFonts w:ascii="Arial" w:hAnsi="Arial" w:cs="Arial"/>
                <w:sz w:val="18"/>
                <w:szCs w:val="18"/>
              </w:rPr>
              <w:t>Koopmans et al.</w:t>
            </w:r>
            <w:r w:rsidR="00A9588B" w:rsidRPr="008804FC">
              <w:rPr>
                <w:rFonts w:ascii="Arial" w:hAnsi="Arial" w:cs="Arial"/>
                <w:sz w:val="18"/>
                <w:szCs w:val="18"/>
              </w:rPr>
              <w:t xml:space="preserve"> </w:t>
            </w:r>
            <w:r w:rsidR="00A9588B" w:rsidRPr="008804FC">
              <w:rPr>
                <w:rFonts w:ascii="Arial" w:hAnsi="Arial" w:cs="Arial"/>
                <w:sz w:val="18"/>
                <w:szCs w:val="18"/>
              </w:rPr>
              <w:fldChar w:fldCharType="begin"/>
            </w:r>
            <w:r w:rsidR="00882E99">
              <w:rPr>
                <w:rFonts w:ascii="Arial" w:hAnsi="Arial" w:cs="Arial"/>
                <w:sz w:val="18"/>
                <w:szCs w:val="18"/>
              </w:rPr>
              <w:instrText xml:space="preserve"> ADDIN ZOTERO_ITEM CSL_CITATION {"citationID":"vy2JM4mz","properties":{"unsorted":false,"formattedCitation":"[6]","plainCitation":"[6]","noteIndex":0},"citationItems":[{"id":6609,"uris":["http://zotero.org/users/14649661/items/DW684K8B"],"itemData":{"id":6609,"type":"article-journal","abstract":"Synapses are fundamental information-processing units of the brain, and synaptic dysregulation is central to many brain disorders (\"synaptopathies\"). However, systematic annotation of synaptic genes and ontology of synaptic processes are currently lacking. We established SynGO, an interactive knowledge base that accumulates available research about synapse biology using Gene Ontology (GO) annotations to novel ontology terms: 87 synaptic locations and 179 synaptic processes. SynGO annotations are exclusively based on published, expert-curated evidence. Using 2,922 annotations for 1,112 genes, we show that synaptic genes are exceptionally well conserved and less tolerant to mutations than other genes. Many SynGO terms are significantly overrepresented among gene variations associated with intelligence, educational attainment, ADHD, autism, and bipolar disorder and among de novo variants associated with neurodevelopmental disorders, including schizophrenia. SynGO is a public, universal reference for synapse research and an online analysis platform for interpretation of large-scale -omics data (https://syngoportal.org and http://geneontology.org).","container-title":"Neuron","DOI":"10.1016/j.neuron.2019.05.002","ISSN":"1097-4199","issue":"2","journalAbbreviation":"Neuron","language":"eng","note":"PMID: 31171447\nPMCID: PMC6764089","page":"217-234.e4","source":"PubMed","title":"SynGO: An Evidence-Based, Expert-Curated Knowledge Base for the Synapse","title-short":"SynGO","volume":"103","author":[{"family":"Koopmans","given":"Frank"},{"family":"Nierop","given":"Pim","non-dropping-particle":"van"},{"family":"Andres-Alonso","given":"Maria"},{"family":"Byrnes","given":"Andrea"},{"family":"Cijsouw","given":"Tony"},{"family":"Coba","given":"Marcelo P."},{"family":"Cornelisse","given":"L. Niels"},{"family":"Farrell","given":"Ryan J."},{"family":"Goldschmidt","given":"Hana L."},{"family":"Howrigan","given":"Daniel P."},{"family":"Hussain","given":"Natasha K."},{"family":"Imig","given":"Cordelia"},{"family":"Jong","given":"Arthur P. H.","non-dropping-particle":"de"},{"family":"Jung","given":"Hwajin"},{"family":"Kohansalnodehi","given":"Mahdokht"},{"family":"Kramarz","given":"Barbara"},{"family":"Lipstein","given":"Noa"},{"family":"Lovering","given":"Ruth C."},{"family":"MacGillavry","given":"Harold"},{"family":"Mariano","given":"Vittoria"},{"family":"Mi","given":"Huaiyu"},{"family":"Ninov","given":"Momchil"},{"family":"Osumi-Sutherland","given":"David"},{"family":"Pielot","given":"Rainer"},{"family":"Smalla","given":"Karl-Heinz"},{"family":"Tang","given":"Haiming"},{"family":"Tashman","given":"Katherine"},{"family":"Toonen","given":"Ruud F. G."},{"family":"Verpelli","given":"Chiara"},{"family":"Reig-Viader","given":"Rita"},{"family":"Watanabe","given":"Kyoko"},{"family":"Weering","given":"Jan","non-dropping-particle":"van"},{"family":"Achsel","given":"Tilmann"},{"family":"Ashrafi","given":"Ghazaleh"},{"family":"Asi","given":"Nimra"},{"family":"Brown","given":"Tyler C."},{"family":"De Camilli","given":"Pietro"},{"family":"Feuermann","given":"Marc"},{"family":"Foulger","given":"Rebecca E."},{"family":"Gaudet","given":"Pascale"},{"family":"Joglekar","given":"Anoushka"},{"family":"Kanellopoulos","given":"Alexandros"},{"family":"Malenka","given":"Robert"},{"family":"Nicoll","given":"Roger A."},{"family":"Pulido","given":"Camila"},{"family":"Juan-Sanz","given":"Jaime","non-dropping-particle":"de"},{"family":"Sheng","given":"Morgan"},{"family":"Südhof","given":"Thomas C."},{"family":"Tilgner","given":"Hagen U."},{"family":"Bagni","given":"Claudia"},{"family":"Bayés","given":"Àlex"},{"family":"Biederer","given":"Thomas"},{"family":"Brose","given":"Nils"},{"family":"Chua","given":"John Jia En"},{"family":"Dieterich","given":"Daniela C."},{"family":"Gundelfinger","given":"Eckart D."},{"family":"Hoogenraad","given":"Casper"},{"family":"Huganir","given":"Richard L."},{"family":"Jahn","given":"Reinhard"},{"family":"Kaeser","given":"Pascal S."},{"family":"Kim","given":"Eunjoon"},{"family":"Kreutz","given":"Michael R."},{"family":"McPherson","given":"Peter S."},{"family":"Neale","given":"Ben M."},{"family":"O'Connor","given":"Vincent"},{"family":"Posthuma","given":"Danielle"},{"family":"Ryan","given":"Timothy A."},{"family":"Sala","given":"Carlo"},{"family":"Feng","given":"Guoping"},{"family":"Hyman","given":"Steven E."},{"family":"Thomas","given":"Paul D."},{"family":"Smit","given":"August B."},{"family":"Verhage","given":"Matthijs"}],"issued":{"date-parts":[["2019",7,17]]},"citation-key":"koopmansSynGOEvidenceBasedExpertCurated2019"},"locator":null,"label":null,"suppress-author":null,"prefix":null,"suffix":null}],"schema":"https://github.com/citation-style-language/schema/raw/master/csl-citation.json"} </w:instrText>
            </w:r>
            <w:r w:rsidR="00A9588B" w:rsidRPr="008804FC">
              <w:rPr>
                <w:rFonts w:ascii="Arial" w:hAnsi="Arial" w:cs="Arial"/>
                <w:sz w:val="18"/>
                <w:szCs w:val="18"/>
              </w:rPr>
              <w:fldChar w:fldCharType="separate"/>
            </w:r>
            <w:r w:rsidR="00882E99" w:rsidRPr="00882E99">
              <w:rPr>
                <w:rFonts w:ascii="Calibri" w:hAnsi="Calibri" w:cs="Calibri"/>
                <w:sz w:val="18"/>
              </w:rPr>
              <w:t>[6]</w:t>
            </w:r>
            <w:r w:rsidR="00A9588B" w:rsidRPr="008804FC">
              <w:rPr>
                <w:rFonts w:ascii="Arial" w:hAnsi="Arial" w:cs="Arial"/>
                <w:sz w:val="18"/>
                <w:szCs w:val="18"/>
              </w:rPr>
              <w:fldChar w:fldCharType="end"/>
            </w:r>
          </w:p>
        </w:tc>
        <w:tc>
          <w:tcPr>
            <w:tcW w:w="3119" w:type="dxa"/>
            <w:tcBorders>
              <w:bottom w:val="single" w:sz="2" w:space="0" w:color="000000"/>
              <w:right w:val="single" w:sz="18" w:space="0" w:color="auto"/>
            </w:tcBorders>
            <w:shd w:val="clear" w:color="auto" w:fill="auto"/>
            <w:vAlign w:val="center"/>
          </w:tcPr>
          <w:p w14:paraId="2E650D99" w14:textId="572C9951" w:rsidR="00396A16" w:rsidRPr="008804FC" w:rsidRDefault="00396A16" w:rsidP="00D65B4A">
            <w:pPr>
              <w:rPr>
                <w:rFonts w:ascii="Arial" w:hAnsi="Arial" w:cs="Arial"/>
                <w:sz w:val="18"/>
                <w:szCs w:val="18"/>
              </w:rPr>
            </w:pPr>
            <w:hyperlink r:id="rId16" w:history="1">
              <w:r w:rsidRPr="008804FC">
                <w:rPr>
                  <w:rStyle w:val="Hyperlink"/>
                  <w:rFonts w:ascii="Arial" w:hAnsi="Arial" w:cs="Arial"/>
                  <w:sz w:val="18"/>
                  <w:szCs w:val="18"/>
                </w:rPr>
                <w:t>https://syngoportal.org/</w:t>
              </w:r>
            </w:hyperlink>
          </w:p>
        </w:tc>
      </w:tr>
      <w:tr w:rsidR="00396A16" w:rsidRPr="008804FC" w14:paraId="19D4A28B" w14:textId="77777777" w:rsidTr="00A9588B">
        <w:trPr>
          <w:cantSplit/>
          <w:trHeight w:val="446"/>
        </w:trPr>
        <w:tc>
          <w:tcPr>
            <w:tcW w:w="3937" w:type="dxa"/>
            <w:tcBorders>
              <w:left w:val="single" w:sz="18" w:space="0" w:color="auto"/>
              <w:bottom w:val="single" w:sz="2" w:space="0" w:color="000000"/>
            </w:tcBorders>
            <w:shd w:val="clear" w:color="auto" w:fill="auto"/>
            <w:vAlign w:val="center"/>
          </w:tcPr>
          <w:p w14:paraId="7DD0AC5B" w14:textId="73EC8A08" w:rsidR="00396A16" w:rsidRPr="008804FC" w:rsidRDefault="00DB4BD7" w:rsidP="00D65B4A">
            <w:pPr>
              <w:rPr>
                <w:rFonts w:ascii="Arial" w:hAnsi="Arial" w:cs="Arial"/>
                <w:sz w:val="18"/>
                <w:szCs w:val="18"/>
              </w:rPr>
            </w:pPr>
            <w:r>
              <w:rPr>
                <w:rFonts w:ascii="Arial" w:hAnsi="Arial" w:cs="Arial"/>
                <w:sz w:val="18"/>
                <w:szCs w:val="18"/>
              </w:rPr>
              <w:t>i</w:t>
            </w:r>
            <w:r w:rsidR="00882E99">
              <w:rPr>
                <w:rFonts w:ascii="Arial" w:hAnsi="Arial" w:cs="Arial"/>
                <w:sz w:val="18"/>
                <w:szCs w:val="18"/>
              </w:rPr>
              <w:t>ce</w:t>
            </w:r>
            <w:r w:rsidR="00396A16" w:rsidRPr="008804FC">
              <w:rPr>
                <w:rFonts w:ascii="Arial" w:hAnsi="Arial" w:cs="Arial"/>
                <w:sz w:val="18"/>
                <w:szCs w:val="18"/>
              </w:rPr>
              <w:t>Logo</w:t>
            </w:r>
          </w:p>
        </w:tc>
        <w:tc>
          <w:tcPr>
            <w:tcW w:w="2520" w:type="dxa"/>
            <w:tcBorders>
              <w:bottom w:val="single" w:sz="2" w:space="0" w:color="000000"/>
            </w:tcBorders>
            <w:shd w:val="clear" w:color="auto" w:fill="auto"/>
            <w:vAlign w:val="center"/>
          </w:tcPr>
          <w:p w14:paraId="4971228F" w14:textId="4D96F3F3" w:rsidR="00396A16" w:rsidRPr="008804FC" w:rsidRDefault="00882E99" w:rsidP="00D65B4A">
            <w:pPr>
              <w:rPr>
                <w:rFonts w:ascii="Arial" w:hAnsi="Arial" w:cs="Arial"/>
                <w:sz w:val="18"/>
                <w:szCs w:val="18"/>
              </w:rPr>
            </w:pPr>
            <w:r>
              <w:rPr>
                <w:rFonts w:ascii="Arial" w:hAnsi="Arial" w:cs="Arial"/>
                <w:sz w:val="18"/>
                <w:szCs w:val="18"/>
              </w:rPr>
              <w:t>Colaert</w:t>
            </w:r>
            <w:r w:rsidR="00396A16" w:rsidRPr="008804FC">
              <w:rPr>
                <w:rFonts w:ascii="Arial" w:hAnsi="Arial" w:cs="Arial"/>
                <w:sz w:val="18"/>
                <w:szCs w:val="18"/>
              </w:rPr>
              <w:t xml:space="preserve"> et al.</w:t>
            </w:r>
            <w:r w:rsidR="00A9588B" w:rsidRPr="008804FC">
              <w:rPr>
                <w:rFonts w:ascii="Arial" w:hAnsi="Arial" w:cs="Arial"/>
                <w:sz w:val="18"/>
                <w:szCs w:val="18"/>
              </w:rPr>
              <w:t xml:space="preserve"> </w:t>
            </w:r>
            <w:r w:rsidR="00A9588B" w:rsidRPr="008804FC">
              <w:rPr>
                <w:rFonts w:ascii="Arial" w:hAnsi="Arial" w:cs="Arial"/>
                <w:sz w:val="18"/>
                <w:szCs w:val="18"/>
              </w:rPr>
              <w:fldChar w:fldCharType="begin"/>
            </w:r>
            <w:r>
              <w:rPr>
                <w:rFonts w:ascii="Arial" w:hAnsi="Arial" w:cs="Arial"/>
                <w:sz w:val="18"/>
                <w:szCs w:val="18"/>
              </w:rPr>
              <w:instrText xml:space="preserve"> ADDIN ZOTERO_ITEM CSL_CITATION {"citationID":"UkszgMsK","properties":{"unsorted":false,"formattedCitation":"[7]","plainCitation":"[7]","noteIndex":0},"citationItems":[{"id":8650,"uris":["http://zotero.org/users/14649661/items/SHZT3VGM"],"itemData":{"id":8650,"type":"article-journal","container-title":"Nature Methods","DOI":"10.1038/nmeth1109-786","ISSN":"1548-7105","issue":"11","journalAbbreviation":"Nat Methods","language":"eng","note":"PMID: 19876014","page":"786-787","source":"PubMed","title":"Improved visualization of protein consensus sequences by iceLogo","volume":"6","author":[{"family":"Colaert","given":"Niklaas"},{"family":"Helsens","given":"Kenny"},{"family":"Martens","given":"Lennart"},{"family":"Vandekerckhove","given":"Joël"},{"family":"Gevaert","given":"Kris"}],"issued":{"date-parts":[["2009",11]]},"citation-key":"colaertImprovedVisualizationProtein2009"},"locator":null,"label":null,"suppress-author":null,"prefix":null,"suffix":null}],"schema":"https://github.com/citation-style-language/schema/raw/master/csl-citation.json"} </w:instrText>
            </w:r>
            <w:r w:rsidR="00A9588B" w:rsidRPr="008804FC">
              <w:rPr>
                <w:rFonts w:ascii="Arial" w:hAnsi="Arial" w:cs="Arial"/>
                <w:sz w:val="18"/>
                <w:szCs w:val="18"/>
              </w:rPr>
              <w:fldChar w:fldCharType="separate"/>
            </w:r>
            <w:r w:rsidRPr="00882E99">
              <w:rPr>
                <w:rFonts w:ascii="Calibri" w:hAnsi="Calibri" w:cs="Calibri"/>
                <w:sz w:val="18"/>
              </w:rPr>
              <w:t>[7]</w:t>
            </w:r>
            <w:r w:rsidR="00A9588B" w:rsidRPr="008804FC">
              <w:rPr>
                <w:rFonts w:ascii="Arial" w:hAnsi="Arial" w:cs="Arial"/>
                <w:sz w:val="18"/>
                <w:szCs w:val="18"/>
              </w:rPr>
              <w:fldChar w:fldCharType="end"/>
            </w:r>
          </w:p>
        </w:tc>
        <w:tc>
          <w:tcPr>
            <w:tcW w:w="3119" w:type="dxa"/>
            <w:tcBorders>
              <w:bottom w:val="single" w:sz="2" w:space="0" w:color="000000"/>
              <w:right w:val="single" w:sz="18" w:space="0" w:color="auto"/>
            </w:tcBorders>
            <w:shd w:val="clear" w:color="auto" w:fill="auto"/>
            <w:vAlign w:val="center"/>
          </w:tcPr>
          <w:p w14:paraId="14479966" w14:textId="4BD9D913" w:rsidR="00396A16" w:rsidRPr="008804FC" w:rsidRDefault="00396A16" w:rsidP="00D65B4A">
            <w:pPr>
              <w:rPr>
                <w:rFonts w:ascii="Arial" w:hAnsi="Arial" w:cs="Arial"/>
                <w:sz w:val="18"/>
                <w:szCs w:val="18"/>
              </w:rPr>
            </w:pPr>
            <w:hyperlink r:id="rId17" w:history="1">
              <w:r w:rsidRPr="008804FC">
                <w:rPr>
                  <w:rStyle w:val="Hyperlink"/>
                  <w:rFonts w:ascii="Arial" w:hAnsi="Arial" w:cs="Arial"/>
                  <w:sz w:val="18"/>
                  <w:szCs w:val="18"/>
                </w:rPr>
                <w:t>http://plogo.uconn.edu/</w:t>
              </w:r>
            </w:hyperlink>
          </w:p>
        </w:tc>
      </w:tr>
      <w:tr w:rsidR="00396A16" w:rsidRPr="008804FC" w14:paraId="433133D8" w14:textId="77777777" w:rsidTr="00A9588B">
        <w:trPr>
          <w:cantSplit/>
          <w:trHeight w:val="446"/>
        </w:trPr>
        <w:tc>
          <w:tcPr>
            <w:tcW w:w="3937" w:type="dxa"/>
            <w:tcBorders>
              <w:left w:val="single" w:sz="18" w:space="0" w:color="auto"/>
              <w:bottom w:val="single" w:sz="2" w:space="0" w:color="000000"/>
            </w:tcBorders>
            <w:shd w:val="clear" w:color="auto" w:fill="auto"/>
            <w:vAlign w:val="center"/>
          </w:tcPr>
          <w:p w14:paraId="4998C3E3" w14:textId="36D6BB6F" w:rsidR="00396A16" w:rsidRPr="008804FC" w:rsidRDefault="00396A16" w:rsidP="00D65B4A">
            <w:pPr>
              <w:rPr>
                <w:rFonts w:ascii="Arial" w:hAnsi="Arial" w:cs="Arial"/>
                <w:sz w:val="18"/>
                <w:szCs w:val="18"/>
              </w:rPr>
            </w:pPr>
            <w:r w:rsidRPr="008804FC">
              <w:rPr>
                <w:rFonts w:ascii="Arial" w:hAnsi="Arial" w:cs="Arial"/>
                <w:sz w:val="18"/>
                <w:szCs w:val="18"/>
              </w:rPr>
              <w:t>Xcalibur (version 2.1.0)</w:t>
            </w:r>
          </w:p>
        </w:tc>
        <w:tc>
          <w:tcPr>
            <w:tcW w:w="2520" w:type="dxa"/>
            <w:tcBorders>
              <w:bottom w:val="single" w:sz="2" w:space="0" w:color="000000"/>
            </w:tcBorders>
            <w:shd w:val="clear" w:color="auto" w:fill="auto"/>
            <w:vAlign w:val="center"/>
          </w:tcPr>
          <w:p w14:paraId="049FA9D8" w14:textId="19E687ED" w:rsidR="00396A16" w:rsidRPr="008804FC" w:rsidRDefault="00396A16" w:rsidP="00D65B4A">
            <w:pPr>
              <w:rPr>
                <w:rFonts w:ascii="Arial" w:hAnsi="Arial" w:cs="Arial"/>
                <w:sz w:val="18"/>
                <w:szCs w:val="18"/>
              </w:rPr>
            </w:pPr>
            <w:r w:rsidRPr="008804FC">
              <w:rPr>
                <w:rFonts w:ascii="Arial" w:hAnsi="Arial" w:cs="Arial"/>
                <w:sz w:val="18"/>
                <w:szCs w:val="18"/>
              </w:rPr>
              <w:t>Thermo Scientific (Waltham,</w:t>
            </w:r>
            <w:r w:rsidR="00A9588B" w:rsidRPr="008804FC">
              <w:rPr>
                <w:rFonts w:ascii="Arial" w:hAnsi="Arial" w:cs="Arial"/>
                <w:sz w:val="18"/>
                <w:szCs w:val="18"/>
              </w:rPr>
              <w:t> </w:t>
            </w:r>
            <w:r w:rsidRPr="008804FC">
              <w:rPr>
                <w:rFonts w:ascii="Arial" w:hAnsi="Arial" w:cs="Arial"/>
                <w:sz w:val="18"/>
                <w:szCs w:val="18"/>
              </w:rPr>
              <w:t>MA, USA)</w:t>
            </w:r>
          </w:p>
        </w:tc>
        <w:tc>
          <w:tcPr>
            <w:tcW w:w="3119" w:type="dxa"/>
            <w:tcBorders>
              <w:bottom w:val="single" w:sz="2" w:space="0" w:color="000000"/>
              <w:right w:val="single" w:sz="18" w:space="0" w:color="auto"/>
            </w:tcBorders>
            <w:shd w:val="clear" w:color="auto" w:fill="auto"/>
            <w:vAlign w:val="center"/>
          </w:tcPr>
          <w:p w14:paraId="7C4376CB" w14:textId="68759471" w:rsidR="00396A16" w:rsidRPr="008804FC" w:rsidRDefault="00396A16" w:rsidP="00D65B4A">
            <w:pPr>
              <w:rPr>
                <w:rFonts w:ascii="Arial" w:hAnsi="Arial" w:cs="Arial"/>
                <w:sz w:val="18"/>
                <w:szCs w:val="18"/>
              </w:rPr>
            </w:pPr>
            <w:r w:rsidRPr="008804FC">
              <w:rPr>
                <w:rFonts w:ascii="Arial" w:hAnsi="Arial" w:cs="Arial"/>
                <w:sz w:val="18"/>
                <w:szCs w:val="18"/>
              </w:rPr>
              <w:t>Cat. #: OPTON-30967</w:t>
            </w:r>
          </w:p>
        </w:tc>
      </w:tr>
      <w:tr w:rsidR="00396A16" w:rsidRPr="008804FC" w14:paraId="70194B35" w14:textId="77777777" w:rsidTr="00A9588B">
        <w:trPr>
          <w:cantSplit/>
          <w:trHeight w:val="446"/>
        </w:trPr>
        <w:tc>
          <w:tcPr>
            <w:tcW w:w="3937" w:type="dxa"/>
            <w:tcBorders>
              <w:left w:val="single" w:sz="18" w:space="0" w:color="auto"/>
              <w:bottom w:val="single" w:sz="2" w:space="0" w:color="000000"/>
            </w:tcBorders>
            <w:shd w:val="clear" w:color="auto" w:fill="auto"/>
            <w:vAlign w:val="center"/>
          </w:tcPr>
          <w:p w14:paraId="51D54189" w14:textId="52BE5E2C" w:rsidR="00396A16" w:rsidRPr="008804FC" w:rsidRDefault="00396A16" w:rsidP="00D65B4A">
            <w:pPr>
              <w:rPr>
                <w:rFonts w:ascii="Arial" w:hAnsi="Arial" w:cs="Arial"/>
                <w:sz w:val="18"/>
                <w:szCs w:val="18"/>
              </w:rPr>
            </w:pPr>
            <w:r w:rsidRPr="008804FC">
              <w:rPr>
                <w:rFonts w:ascii="Arial" w:hAnsi="Arial" w:cs="Arial"/>
                <w:sz w:val="18"/>
                <w:szCs w:val="18"/>
              </w:rPr>
              <w:t>Scaffold (</w:t>
            </w:r>
            <w:r w:rsidRPr="008804FC">
              <w:rPr>
                <w:rFonts w:ascii="Arial" w:eastAsia="Times New Roman" w:hAnsi="Arial" w:cs="Arial"/>
                <w:color w:val="000000"/>
                <w:sz w:val="18"/>
                <w:szCs w:val="18"/>
              </w:rPr>
              <w:t>version Scaffold_4.8.7)</w:t>
            </w:r>
          </w:p>
        </w:tc>
        <w:tc>
          <w:tcPr>
            <w:tcW w:w="2520" w:type="dxa"/>
            <w:tcBorders>
              <w:bottom w:val="single" w:sz="2" w:space="0" w:color="000000"/>
            </w:tcBorders>
            <w:shd w:val="clear" w:color="auto" w:fill="auto"/>
            <w:vAlign w:val="center"/>
          </w:tcPr>
          <w:p w14:paraId="7D400B0B" w14:textId="60FBFC1D" w:rsidR="00396A16" w:rsidRPr="008804FC" w:rsidRDefault="00396A16" w:rsidP="00D65B4A">
            <w:pPr>
              <w:rPr>
                <w:rFonts w:ascii="Arial" w:hAnsi="Arial" w:cs="Arial"/>
                <w:sz w:val="18"/>
                <w:szCs w:val="18"/>
              </w:rPr>
            </w:pPr>
            <w:r w:rsidRPr="008804FC">
              <w:rPr>
                <w:rFonts w:ascii="Arial" w:eastAsia="Times New Roman" w:hAnsi="Arial" w:cs="Arial"/>
                <w:color w:val="000000"/>
                <w:sz w:val="18"/>
                <w:szCs w:val="18"/>
              </w:rPr>
              <w:t>Proteome Software (Portland, OR, USA)</w:t>
            </w:r>
          </w:p>
        </w:tc>
        <w:tc>
          <w:tcPr>
            <w:tcW w:w="3119" w:type="dxa"/>
            <w:tcBorders>
              <w:bottom w:val="single" w:sz="2" w:space="0" w:color="000000"/>
              <w:right w:val="single" w:sz="18" w:space="0" w:color="auto"/>
            </w:tcBorders>
            <w:shd w:val="clear" w:color="auto" w:fill="auto"/>
            <w:vAlign w:val="center"/>
          </w:tcPr>
          <w:p w14:paraId="1CF4A2E1" w14:textId="2C18FA9B" w:rsidR="00396A16" w:rsidRPr="008804FC" w:rsidRDefault="00396A16" w:rsidP="00D65B4A">
            <w:pPr>
              <w:rPr>
                <w:rFonts w:ascii="Arial" w:hAnsi="Arial" w:cs="Arial"/>
                <w:sz w:val="18"/>
                <w:szCs w:val="18"/>
              </w:rPr>
            </w:pPr>
            <w:hyperlink r:id="rId18" w:history="1">
              <w:r w:rsidRPr="008804FC">
                <w:rPr>
                  <w:rStyle w:val="Hyperlink"/>
                  <w:rFonts w:ascii="Arial" w:hAnsi="Arial" w:cs="Arial"/>
                  <w:sz w:val="18"/>
                  <w:szCs w:val="18"/>
                </w:rPr>
                <w:t>https://www.proteomesoftware.com/</w:t>
              </w:r>
            </w:hyperlink>
          </w:p>
        </w:tc>
      </w:tr>
      <w:tr w:rsidR="00396A16" w:rsidRPr="008804FC" w14:paraId="482CC499" w14:textId="77777777" w:rsidTr="00A9588B">
        <w:trPr>
          <w:cantSplit/>
          <w:trHeight w:val="446"/>
        </w:trPr>
        <w:tc>
          <w:tcPr>
            <w:tcW w:w="3937" w:type="dxa"/>
            <w:tcBorders>
              <w:left w:val="single" w:sz="18" w:space="0" w:color="auto"/>
              <w:bottom w:val="single" w:sz="18" w:space="0" w:color="auto"/>
            </w:tcBorders>
            <w:shd w:val="clear" w:color="auto" w:fill="auto"/>
            <w:vAlign w:val="center"/>
          </w:tcPr>
          <w:p w14:paraId="0939CE05" w14:textId="1BD0F4D8" w:rsidR="00396A16" w:rsidRPr="008804FC" w:rsidRDefault="00396A16" w:rsidP="00D65B4A">
            <w:pPr>
              <w:rPr>
                <w:rFonts w:ascii="Arial" w:hAnsi="Arial" w:cs="Arial"/>
                <w:sz w:val="18"/>
                <w:szCs w:val="18"/>
              </w:rPr>
            </w:pPr>
            <w:r w:rsidRPr="008804FC">
              <w:rPr>
                <w:rFonts w:ascii="Arial" w:hAnsi="Arial" w:cs="Arial"/>
                <w:sz w:val="18"/>
                <w:szCs w:val="18"/>
              </w:rPr>
              <w:t>GraphPad Prism (version 10.4.2)</w:t>
            </w:r>
          </w:p>
        </w:tc>
        <w:tc>
          <w:tcPr>
            <w:tcW w:w="2520" w:type="dxa"/>
            <w:tcBorders>
              <w:bottom w:val="single" w:sz="18" w:space="0" w:color="auto"/>
            </w:tcBorders>
            <w:shd w:val="clear" w:color="auto" w:fill="auto"/>
            <w:vAlign w:val="center"/>
          </w:tcPr>
          <w:p w14:paraId="09A13DC2" w14:textId="6547E9E4" w:rsidR="00396A16" w:rsidRPr="008804FC" w:rsidRDefault="00396A16" w:rsidP="00D65B4A">
            <w:pPr>
              <w:rPr>
                <w:rFonts w:ascii="Arial" w:hAnsi="Arial" w:cs="Arial"/>
                <w:sz w:val="18"/>
                <w:szCs w:val="18"/>
              </w:rPr>
            </w:pPr>
            <w:r w:rsidRPr="008804FC">
              <w:rPr>
                <w:rFonts w:ascii="Arial" w:hAnsi="Arial" w:cs="Arial"/>
                <w:sz w:val="18"/>
                <w:szCs w:val="18"/>
              </w:rPr>
              <w:t>GraphPad Software (San</w:t>
            </w:r>
            <w:r w:rsidR="00A9588B" w:rsidRPr="008804FC">
              <w:rPr>
                <w:rFonts w:ascii="Arial" w:hAnsi="Arial" w:cs="Arial"/>
                <w:sz w:val="18"/>
                <w:szCs w:val="18"/>
              </w:rPr>
              <w:t> </w:t>
            </w:r>
            <w:r w:rsidRPr="008804FC">
              <w:rPr>
                <w:rFonts w:ascii="Arial" w:hAnsi="Arial" w:cs="Arial"/>
                <w:sz w:val="18"/>
                <w:szCs w:val="18"/>
              </w:rPr>
              <w:t>Diego, California, USA)</w:t>
            </w:r>
          </w:p>
        </w:tc>
        <w:tc>
          <w:tcPr>
            <w:tcW w:w="3119" w:type="dxa"/>
            <w:tcBorders>
              <w:bottom w:val="single" w:sz="18" w:space="0" w:color="auto"/>
              <w:right w:val="single" w:sz="18" w:space="0" w:color="auto"/>
            </w:tcBorders>
            <w:shd w:val="clear" w:color="auto" w:fill="auto"/>
            <w:vAlign w:val="center"/>
          </w:tcPr>
          <w:p w14:paraId="09CAE7D6" w14:textId="1A717478" w:rsidR="00396A16" w:rsidRPr="008804FC" w:rsidRDefault="00396A16" w:rsidP="00D65B4A">
            <w:pPr>
              <w:rPr>
                <w:rFonts w:ascii="Arial" w:hAnsi="Arial" w:cs="Arial"/>
                <w:sz w:val="18"/>
                <w:szCs w:val="18"/>
              </w:rPr>
            </w:pPr>
            <w:hyperlink r:id="rId19" w:history="1">
              <w:r w:rsidRPr="008804FC">
                <w:rPr>
                  <w:rStyle w:val="Hyperlink"/>
                  <w:rFonts w:ascii="Arial" w:hAnsi="Arial" w:cs="Arial"/>
                  <w:sz w:val="18"/>
                  <w:szCs w:val="18"/>
                </w:rPr>
                <w:t>https://www.graphpad.com/</w:t>
              </w:r>
            </w:hyperlink>
          </w:p>
        </w:tc>
      </w:tr>
    </w:tbl>
    <w:p w14:paraId="7F553325" w14:textId="77777777" w:rsidR="00055924" w:rsidRPr="008804FC" w:rsidRDefault="00055924" w:rsidP="00055924">
      <w:pPr>
        <w:rPr>
          <w:rFonts w:ascii="Arial" w:eastAsia="Times New Roman" w:hAnsi="Arial" w:cs="Arial"/>
          <w:b/>
          <w:bCs/>
          <w:u w:val="single"/>
        </w:rPr>
      </w:pPr>
    </w:p>
    <w:p w14:paraId="00B2A8F9" w14:textId="5C033471" w:rsidR="00A84636" w:rsidRPr="008804FC" w:rsidRDefault="00055924" w:rsidP="008804FC">
      <w:pPr>
        <w:spacing w:line="240" w:lineRule="auto"/>
        <w:jc w:val="both"/>
        <w:rPr>
          <w:rFonts w:ascii="Arial" w:eastAsia="Times New Roman" w:hAnsi="Arial" w:cs="Arial"/>
          <w:b/>
          <w:bCs/>
          <w:u w:val="single"/>
        </w:rPr>
      </w:pPr>
      <w:r w:rsidRPr="008804FC">
        <w:rPr>
          <w:rFonts w:ascii="Arial" w:eastAsia="Times New Roman" w:hAnsi="Arial" w:cs="Arial"/>
          <w:b/>
          <w:bCs/>
          <w:u w:val="single"/>
        </w:rPr>
        <w:br w:type="page"/>
      </w:r>
      <w:r w:rsidR="006F71D7" w:rsidRPr="008804FC">
        <w:rPr>
          <w:rFonts w:ascii="Arial" w:eastAsia="Times New Roman" w:hAnsi="Arial" w:cs="Arial"/>
          <w:b/>
          <w:bCs/>
          <w:u w:val="single"/>
        </w:rPr>
        <w:lastRenderedPageBreak/>
        <w:t xml:space="preserve">Supplemental </w:t>
      </w:r>
      <w:r w:rsidR="00A84636" w:rsidRPr="008804FC">
        <w:rPr>
          <w:rFonts w:ascii="Arial" w:eastAsia="Times New Roman" w:hAnsi="Arial" w:cs="Arial"/>
          <w:b/>
          <w:bCs/>
          <w:u w:val="single"/>
        </w:rPr>
        <w:t>Methods</w:t>
      </w:r>
    </w:p>
    <w:p w14:paraId="6108FF6B" w14:textId="77777777" w:rsidR="00A84636" w:rsidRPr="008804FC" w:rsidRDefault="00A84636" w:rsidP="008804FC">
      <w:pPr>
        <w:spacing w:line="240" w:lineRule="auto"/>
        <w:jc w:val="both"/>
        <w:rPr>
          <w:rFonts w:ascii="Arial" w:eastAsia="Times New Roman" w:hAnsi="Arial" w:cs="Arial"/>
          <w:b/>
          <w:bCs/>
        </w:rPr>
      </w:pPr>
      <w:r w:rsidRPr="008804FC">
        <w:rPr>
          <w:rFonts w:ascii="Arial" w:eastAsia="Times New Roman" w:hAnsi="Arial" w:cs="Arial"/>
          <w:b/>
          <w:bCs/>
        </w:rPr>
        <w:t>Animals</w:t>
      </w:r>
    </w:p>
    <w:p w14:paraId="56205640" w14:textId="09340C3D" w:rsidR="00A84636" w:rsidRPr="008804FC" w:rsidRDefault="00F26B92" w:rsidP="008804FC">
      <w:pPr>
        <w:spacing w:line="240" w:lineRule="auto"/>
        <w:jc w:val="both"/>
        <w:rPr>
          <w:rFonts w:ascii="Arial" w:eastAsia="Times New Roman" w:hAnsi="Arial" w:cs="Arial"/>
        </w:rPr>
      </w:pPr>
      <w:r w:rsidRPr="008804FC">
        <w:rPr>
          <w:rFonts w:ascii="Arial" w:eastAsia="Times New Roman" w:hAnsi="Arial" w:cs="Arial"/>
        </w:rPr>
        <w:t>A total of 154 mice (138 males and 16 females, Jackson Labs, C57BL/6J), aged 7-8 weeks, were kept in a climate-controlled room under a 12-hour light-dark cycle. They were housed in standard cages with three to five mice per cage and had ad libitum access to food and water. All procedures were approved by the University of Arizona Animal Care Use Committee and complied with NIH guidelines for laboratory animal care.</w:t>
      </w:r>
    </w:p>
    <w:p w14:paraId="3199A99F" w14:textId="77777777" w:rsidR="00A84636" w:rsidRPr="008804FC" w:rsidRDefault="00A84636" w:rsidP="008804FC">
      <w:pPr>
        <w:spacing w:line="240" w:lineRule="auto"/>
        <w:jc w:val="both"/>
        <w:rPr>
          <w:rFonts w:ascii="Arial" w:eastAsia="Times New Roman" w:hAnsi="Arial" w:cs="Arial"/>
          <w:b/>
          <w:bCs/>
        </w:rPr>
      </w:pPr>
      <w:r w:rsidRPr="008804FC">
        <w:rPr>
          <w:rFonts w:ascii="Arial" w:eastAsia="Times New Roman" w:hAnsi="Arial" w:cs="Arial"/>
          <w:b/>
          <w:bCs/>
        </w:rPr>
        <w:t>Partial Sciatic Nerve Ligation (pSNL)</w:t>
      </w:r>
    </w:p>
    <w:p w14:paraId="60D7CEEA" w14:textId="047DC32D" w:rsidR="00A84636" w:rsidRPr="008804FC" w:rsidRDefault="00A84636" w:rsidP="008804FC">
      <w:pPr>
        <w:spacing w:line="240" w:lineRule="auto"/>
        <w:jc w:val="both"/>
        <w:rPr>
          <w:rFonts w:ascii="Arial" w:eastAsia="Times New Roman" w:hAnsi="Arial" w:cs="Arial"/>
        </w:rPr>
      </w:pPr>
      <w:r w:rsidRPr="008804FC">
        <w:rPr>
          <w:rFonts w:ascii="Arial" w:eastAsia="Times New Roman" w:hAnsi="Arial" w:cs="Arial"/>
        </w:rPr>
        <w:t xml:space="preserve">Using published procedures </w:t>
      </w:r>
      <w:r w:rsidR="006F71D7" w:rsidRPr="008804FC">
        <w:rPr>
          <w:rFonts w:ascii="Arial" w:eastAsia="Times New Roman" w:hAnsi="Arial" w:cs="Arial"/>
        </w:rPr>
        <w:fldChar w:fldCharType="begin"/>
      </w:r>
      <w:r w:rsidR="00882E99">
        <w:rPr>
          <w:rFonts w:ascii="Arial" w:eastAsia="Times New Roman" w:hAnsi="Arial" w:cs="Arial"/>
        </w:rPr>
        <w:instrText xml:space="preserve"> ADDIN ZOTERO_ITEM CSL_CITATION {"citationID":"aFsXBLsJ","properties":{"unsorted":false,"formattedCitation":"[8]","plainCitation":"[8]","noteIndex":0},"citationItems":[{"id":6578,"uris":["http://zotero.org/users/14649661/items/IN5WUCJT"],"itemData":{"id":6578,"type":"article-journal","abstract":"Management of chronic pain remains challenging to this day, and current treatments are associated with adverse effects, including tolerance and addiction. Chronic neuropathic pain results from lesions or diseases in the somatosensory system. To investigate potential therapies with reduced side effects, animal pain models are the gold standard in preclinical studies. Therefore, well-characterized and well-described models are crucial for the development and validation of innovative therapies. Partial ligation of the sciatic nerve (pSNL) is a procedure that induces chronic neuropathic pain in mice, characterized by mechanical and thermal hypersensitivity, ongoing pain, and changes in limb temperature, making this model a great fit to study neuropathic pain preclinically. pSNL is an advantageous model to study neuropathic pain as it reproduces many symptoms observed in humans with neuropathic pain. Furthermore, the surgical procedure is relatively fast and straightforward to perform. Unilateral pSNL of one limb allows for comparison between the ipsilateral and contralateral paws, as well as evaluation of central sensitization. To induce chronic neuropathic hypersensitivity, a 9-0 non-absorbable nylon thread is used to ligate the dorsal third of the sciatic nerve. This article describes the surgical procedure and characterizes the development of chronic neuropathic pain through multiple commonly used behavioral tests. As a plethora of innovative therapies are now being investigated to treat chronic pain, this article provides crucial concepts for standardization and an accurate description of surgeries required to induce neuropathic pain.","container-title":"Journal of Visualized Experiments: JoVE","DOI":"10.3791/64555","ISSN":"1940-087X","issue":"188","journalAbbreviation":"J Vis Exp","language":"eng","note":"PMID: 36282702","source":"PubMed","title":"Partial Sciatic Nerve Ligation: A Mouse Model of Chronic Neuropathic Pain to Study the Antinociceptive Effect of Novel Therapies","title-short":"Partial Sciatic Nerve Ligation","author":[{"family":"Korah","given":"Hannah E."},{"family":"Cheng","given":"Kevin"},{"family":"Washington","given":"Stephanie M."},{"family":"Flowers","given":"Matthew E."},{"family":"Stratton","given":"Harrison J."},{"family":"Patwardhan","given":"Amol"},{"family":"Ibrahim","given":"Mohab M."},{"family":"Martin","given":"Laurent F."}],"issued":{"date-parts":[["2022",10,6]]},"citation-key":"korahPartialSciaticNerve2022"},"locator":null,"label":null,"suppress-author":null,"prefix":null,"suffix":null}],"schema":"https://github.com/citation-style-language/schema/raw/master/csl-citation.json"} </w:instrText>
      </w:r>
      <w:r w:rsidR="006F71D7" w:rsidRPr="008804FC">
        <w:rPr>
          <w:rFonts w:ascii="Arial" w:eastAsia="Times New Roman" w:hAnsi="Arial" w:cs="Arial"/>
        </w:rPr>
        <w:fldChar w:fldCharType="separate"/>
      </w:r>
      <w:r w:rsidR="00882E99" w:rsidRPr="00882E99">
        <w:rPr>
          <w:rFonts w:ascii="Calibri" w:hAnsi="Calibri" w:cs="Calibri"/>
        </w:rPr>
        <w:t>[8]</w:t>
      </w:r>
      <w:r w:rsidR="006F71D7" w:rsidRPr="008804FC">
        <w:rPr>
          <w:rFonts w:ascii="Arial" w:eastAsia="Times New Roman" w:hAnsi="Arial" w:cs="Arial"/>
        </w:rPr>
        <w:fldChar w:fldCharType="end"/>
      </w:r>
      <w:r w:rsidRPr="008804FC">
        <w:rPr>
          <w:rFonts w:ascii="Arial" w:eastAsia="Times New Roman" w:hAnsi="Arial" w:cs="Arial"/>
        </w:rPr>
        <w:t>, all 1</w:t>
      </w:r>
      <w:r w:rsidR="00F26B92" w:rsidRPr="008804FC">
        <w:rPr>
          <w:rFonts w:ascii="Arial" w:eastAsia="Times New Roman" w:hAnsi="Arial" w:cs="Arial"/>
        </w:rPr>
        <w:t>54</w:t>
      </w:r>
      <w:r w:rsidRPr="008804FC">
        <w:rPr>
          <w:rFonts w:ascii="Arial" w:eastAsia="Times New Roman" w:hAnsi="Arial" w:cs="Arial"/>
        </w:rPr>
        <w:t xml:space="preserve"> mice underwent surgery. For pSNL (n=</w:t>
      </w:r>
      <w:r w:rsidR="00F26B92" w:rsidRPr="008804FC">
        <w:rPr>
          <w:rFonts w:ascii="Arial" w:eastAsia="Times New Roman" w:hAnsi="Arial" w:cs="Arial"/>
        </w:rPr>
        <w:t>80</w:t>
      </w:r>
      <w:r w:rsidRPr="008804FC">
        <w:rPr>
          <w:rFonts w:ascii="Arial" w:eastAsia="Times New Roman" w:hAnsi="Arial" w:cs="Arial"/>
        </w:rPr>
        <w:t>), mice were anesthetized</w:t>
      </w:r>
      <w:r w:rsidR="00F26B92" w:rsidRPr="008804FC">
        <w:rPr>
          <w:rFonts w:ascii="Arial" w:eastAsia="Times New Roman" w:hAnsi="Arial" w:cs="Arial"/>
        </w:rPr>
        <w:t xml:space="preserve"> with isoflurane then prepared for surgery</w:t>
      </w:r>
      <w:r w:rsidRPr="008804FC">
        <w:rPr>
          <w:rFonts w:ascii="Arial" w:eastAsia="Times New Roman" w:hAnsi="Arial" w:cs="Arial"/>
        </w:rPr>
        <w:t>. The sciatic nerve was exposed via a 2</w:t>
      </w:r>
      <w:r w:rsidR="000F4427" w:rsidRPr="008804FC">
        <w:rPr>
          <w:rFonts w:ascii="Arial" w:eastAsia="Times New Roman" w:hAnsi="Arial" w:cs="Arial"/>
        </w:rPr>
        <w:t> </w:t>
      </w:r>
      <w:r w:rsidRPr="008804FC">
        <w:rPr>
          <w:rFonts w:ascii="Arial" w:eastAsia="Times New Roman" w:hAnsi="Arial" w:cs="Arial"/>
        </w:rPr>
        <w:t>mm cut made at the lateral aspect of the thigh</w:t>
      </w:r>
      <w:r w:rsidR="00F26B92" w:rsidRPr="008804FC">
        <w:rPr>
          <w:rFonts w:ascii="Arial" w:eastAsia="Times New Roman" w:hAnsi="Arial" w:cs="Arial"/>
        </w:rPr>
        <w:t xml:space="preserve"> followed by the separation of the muscle using extra-fine sharp tipped forceps</w:t>
      </w:r>
      <w:r w:rsidRPr="008804FC">
        <w:rPr>
          <w:rFonts w:ascii="Arial" w:eastAsia="Times New Roman" w:hAnsi="Arial" w:cs="Arial"/>
        </w:rPr>
        <w:t xml:space="preserve">. A surgical knot was tied around 1/3 of the width of the sciatic nerve using a 9-0 nylon suture. The muscle was then sutured using absorbable polyglycolic 5-0 suture </w:t>
      </w:r>
      <w:r w:rsidR="00F26B92" w:rsidRPr="008804FC">
        <w:rPr>
          <w:rFonts w:ascii="Arial" w:eastAsia="Times New Roman" w:hAnsi="Arial" w:cs="Arial"/>
        </w:rPr>
        <w:t>then t</w:t>
      </w:r>
      <w:r w:rsidRPr="008804FC">
        <w:rPr>
          <w:rFonts w:ascii="Arial" w:eastAsia="Times New Roman" w:hAnsi="Arial" w:cs="Arial"/>
        </w:rPr>
        <w:t>he skin using a non-absorbable polypropylene 6-0 suture. Sham surgeries (n=</w:t>
      </w:r>
      <w:r w:rsidR="00F26B92" w:rsidRPr="008804FC">
        <w:rPr>
          <w:rFonts w:ascii="Arial" w:eastAsia="Times New Roman" w:hAnsi="Arial" w:cs="Arial"/>
        </w:rPr>
        <w:t>74</w:t>
      </w:r>
      <w:r w:rsidRPr="008804FC">
        <w:rPr>
          <w:rFonts w:ascii="Arial" w:eastAsia="Times New Roman" w:hAnsi="Arial" w:cs="Arial"/>
        </w:rPr>
        <w:t xml:space="preserve">) underwent a similar </w:t>
      </w:r>
      <w:r w:rsidR="00F26B92" w:rsidRPr="008804FC">
        <w:rPr>
          <w:rFonts w:ascii="Arial" w:eastAsia="Times New Roman" w:hAnsi="Arial" w:cs="Arial"/>
        </w:rPr>
        <w:t>procedure;</w:t>
      </w:r>
      <w:r w:rsidRPr="008804FC">
        <w:rPr>
          <w:rFonts w:ascii="Arial" w:eastAsia="Times New Roman" w:hAnsi="Arial" w:cs="Arial"/>
        </w:rPr>
        <w:t xml:space="preserve"> however, the nerve was not manipulated.</w:t>
      </w:r>
      <w:r w:rsidR="00F26B92" w:rsidRPr="008804FC">
        <w:rPr>
          <w:rFonts w:ascii="Arial" w:eastAsia="Times New Roman" w:hAnsi="Arial" w:cs="Arial"/>
        </w:rPr>
        <w:t xml:space="preserve"> Mice were administered gentamicin at a dose of 8 mg/kg (IP). The days following surgery mice were </w:t>
      </w:r>
      <w:r w:rsidR="000F4427" w:rsidRPr="008804FC">
        <w:rPr>
          <w:rFonts w:ascii="Arial" w:eastAsia="Times New Roman" w:hAnsi="Arial" w:cs="Arial"/>
        </w:rPr>
        <w:t>monitored</w:t>
      </w:r>
      <w:r w:rsidR="00F26B92" w:rsidRPr="008804FC">
        <w:rPr>
          <w:rFonts w:ascii="Arial" w:eastAsia="Times New Roman" w:hAnsi="Arial" w:cs="Arial"/>
        </w:rPr>
        <w:t xml:space="preserve"> for </w:t>
      </w:r>
      <w:r w:rsidR="000F4427" w:rsidRPr="008804FC">
        <w:rPr>
          <w:rFonts w:ascii="Arial" w:eastAsia="Times New Roman" w:hAnsi="Arial" w:cs="Arial"/>
        </w:rPr>
        <w:t>normal</w:t>
      </w:r>
      <w:r w:rsidR="00F26B92" w:rsidRPr="008804FC">
        <w:rPr>
          <w:rFonts w:ascii="Arial" w:eastAsia="Times New Roman" w:hAnsi="Arial" w:cs="Arial"/>
        </w:rPr>
        <w:t xml:space="preserve"> limb use. </w:t>
      </w:r>
      <w:r w:rsidR="00E41DE7" w:rsidRPr="008804FC">
        <w:rPr>
          <w:rFonts w:ascii="Arial" w:eastAsia="Times New Roman" w:hAnsi="Arial" w:cs="Arial"/>
        </w:rPr>
        <w:t>3</w:t>
      </w:r>
      <w:r w:rsidR="00F26B92" w:rsidRPr="008804FC">
        <w:rPr>
          <w:rFonts w:ascii="Arial" w:eastAsia="Times New Roman" w:hAnsi="Arial" w:cs="Arial"/>
        </w:rPr>
        <w:t xml:space="preserve"> mice were withdrawn from the study due to surgical complications.</w:t>
      </w:r>
    </w:p>
    <w:p w14:paraId="5229C03F" w14:textId="77777777" w:rsidR="00A84636" w:rsidRPr="008804FC" w:rsidRDefault="00A84636" w:rsidP="008804FC">
      <w:pPr>
        <w:spacing w:line="240" w:lineRule="auto"/>
        <w:jc w:val="both"/>
        <w:rPr>
          <w:rFonts w:ascii="Arial" w:eastAsia="Times New Roman" w:hAnsi="Arial" w:cs="Arial"/>
        </w:rPr>
      </w:pPr>
      <w:r w:rsidRPr="008804FC">
        <w:rPr>
          <w:rFonts w:ascii="Arial" w:eastAsia="Times New Roman" w:hAnsi="Arial" w:cs="Arial"/>
          <w:b/>
          <w:bCs/>
        </w:rPr>
        <w:t>Mechanical Withdrawal Threshold</w:t>
      </w:r>
    </w:p>
    <w:p w14:paraId="58B0DD20" w14:textId="7DFBDE21" w:rsidR="00A84636" w:rsidRPr="008804FC" w:rsidRDefault="00A84636" w:rsidP="008804FC">
      <w:pPr>
        <w:spacing w:line="240" w:lineRule="auto"/>
        <w:jc w:val="both"/>
        <w:rPr>
          <w:rFonts w:ascii="Arial" w:eastAsia="Times New Roman" w:hAnsi="Arial" w:cs="Arial"/>
          <w:shd w:val="clear" w:color="auto" w:fill="FFFFFF"/>
        </w:rPr>
      </w:pPr>
      <w:r w:rsidRPr="008804FC">
        <w:rPr>
          <w:rFonts w:ascii="Arial" w:eastAsia="Times New Roman" w:hAnsi="Arial" w:cs="Arial"/>
          <w:shd w:val="clear" w:color="auto" w:fill="FFFFFF"/>
        </w:rPr>
        <w:t xml:space="preserve">We assessed tactile allodynia at baseline and </w:t>
      </w:r>
      <w:r w:rsidR="00F26B92" w:rsidRPr="008804FC">
        <w:rPr>
          <w:rFonts w:ascii="Arial" w:eastAsia="Times New Roman" w:hAnsi="Arial" w:cs="Arial"/>
          <w:shd w:val="clear" w:color="auto" w:fill="FFFFFF"/>
        </w:rPr>
        <w:t>at 1 week</w:t>
      </w:r>
      <w:r w:rsidRPr="008804FC">
        <w:rPr>
          <w:rFonts w:ascii="Arial" w:eastAsia="Times New Roman" w:hAnsi="Arial" w:cs="Arial"/>
          <w:shd w:val="clear" w:color="auto" w:fill="FFFFFF"/>
        </w:rPr>
        <w:t xml:space="preserve"> and </w:t>
      </w:r>
      <w:r w:rsidR="00F26B92" w:rsidRPr="008804FC">
        <w:rPr>
          <w:rFonts w:ascii="Arial" w:eastAsia="Times New Roman" w:hAnsi="Arial" w:cs="Arial"/>
          <w:shd w:val="clear" w:color="auto" w:fill="FFFFFF"/>
        </w:rPr>
        <w:t>4 weeks</w:t>
      </w:r>
      <w:r w:rsidRPr="008804FC">
        <w:rPr>
          <w:rFonts w:ascii="Arial" w:eastAsia="Times New Roman" w:hAnsi="Arial" w:cs="Arial"/>
          <w:shd w:val="clear" w:color="auto" w:fill="FFFFFF"/>
        </w:rPr>
        <w:t xml:space="preserve"> post-surgery by measuring the paw withdrawal threshold in response to probing with a series of calibrated von Frey filaments, which serve as innocuous stimuli. Prior to testing, mice were acclimated in suspended wire-mesh cages for 60 minutes. von Frey filaments were</w:t>
      </w:r>
      <w:r w:rsidR="00F26B92" w:rsidRPr="008804FC">
        <w:rPr>
          <w:rFonts w:ascii="Arial" w:eastAsia="Times New Roman" w:hAnsi="Arial" w:cs="Arial"/>
          <w:shd w:val="clear" w:color="auto" w:fill="FFFFFF"/>
        </w:rPr>
        <w:t xml:space="preserve"> then</w:t>
      </w:r>
      <w:r w:rsidRPr="008804FC">
        <w:rPr>
          <w:rFonts w:ascii="Arial" w:eastAsia="Times New Roman" w:hAnsi="Arial" w:cs="Arial"/>
          <w:shd w:val="clear" w:color="auto" w:fill="FFFFFF"/>
        </w:rPr>
        <w:t xml:space="preserve"> applied perpendicularly to the plantar surface of the paw for 2 seconds. A positive response was characterized by a sharp withdrawal of the paw during the initial application of the filaments (2.44, 2.83, 3.22, 3.61, 4.08, 4.31, 4.56). The paw withdrawal thresholds were determined using the non-parametric method described by Dixon (1980)</w:t>
      </w:r>
      <w:r w:rsidR="001860F9" w:rsidRPr="008804FC">
        <w:rPr>
          <w:rFonts w:ascii="Arial" w:eastAsia="Times New Roman" w:hAnsi="Arial" w:cs="Arial"/>
          <w:shd w:val="clear" w:color="auto" w:fill="FFFFFF"/>
        </w:rPr>
        <w:t xml:space="preserve"> </w:t>
      </w:r>
      <w:r w:rsidR="001860F9" w:rsidRPr="008804FC">
        <w:rPr>
          <w:rFonts w:ascii="Arial" w:eastAsia="Times New Roman" w:hAnsi="Arial" w:cs="Arial"/>
          <w:shd w:val="clear" w:color="auto" w:fill="FFFFFF"/>
        </w:rPr>
        <w:fldChar w:fldCharType="begin"/>
      </w:r>
      <w:r w:rsidR="00882E99">
        <w:rPr>
          <w:rFonts w:ascii="Arial" w:eastAsia="Times New Roman" w:hAnsi="Arial" w:cs="Arial"/>
          <w:shd w:val="clear" w:color="auto" w:fill="FFFFFF"/>
        </w:rPr>
        <w:instrText xml:space="preserve"> ADDIN ZOTERO_ITEM CSL_CITATION {"citationID":"6gi4tkc5","properties":{"unsorted":false,"formattedCitation":"[9]","plainCitation":"[9]","noteIndex":0},"citationItems":[{"id":8443,"uris":["http://zotero.org/users/14649661/items/BMYLLNFG"],"itemData":{"id":8443,"type":"article-journal","container-title":"Annual Review of Pharmacology and Toxicology","DOI":"10.1146/annurev.pa.20.040180.002301","ISSN":"0362-1642","journalAbbreviation":"Annu Rev Pharmacol Toxicol","language":"eng","note":"PMID: 7387124","page":"441-462","source":"PubMed","title":"Efficient analysis of experimental observations","volume":"20","author":[{"family":"Dixon","given":"W. J."}],"issued":{"date-parts":[["1980"]]},"citation-key":"dixonEfficientAnalysisExperimental1980"},"locator":null,"label":null,"suppress-author":null,"prefix":null,"suffix":null}],"schema":"https://github.com/citation-style-language/schema/raw/master/csl-citation.json"} </w:instrText>
      </w:r>
      <w:r w:rsidR="001860F9" w:rsidRPr="008804FC">
        <w:rPr>
          <w:rFonts w:ascii="Arial" w:eastAsia="Times New Roman" w:hAnsi="Arial" w:cs="Arial"/>
          <w:shd w:val="clear" w:color="auto" w:fill="FFFFFF"/>
        </w:rPr>
        <w:fldChar w:fldCharType="separate"/>
      </w:r>
      <w:r w:rsidR="00882E99" w:rsidRPr="00882E99">
        <w:rPr>
          <w:rFonts w:ascii="Calibri" w:hAnsi="Calibri" w:cs="Calibri"/>
        </w:rPr>
        <w:t>[9]</w:t>
      </w:r>
      <w:r w:rsidR="001860F9" w:rsidRPr="008804FC">
        <w:rPr>
          <w:rFonts w:ascii="Arial" w:eastAsia="Times New Roman" w:hAnsi="Arial" w:cs="Arial"/>
          <w:shd w:val="clear" w:color="auto" w:fill="FFFFFF"/>
        </w:rPr>
        <w:fldChar w:fldCharType="end"/>
      </w:r>
      <w:r w:rsidRPr="008804FC">
        <w:rPr>
          <w:rFonts w:ascii="Arial" w:eastAsia="Times New Roman" w:hAnsi="Arial" w:cs="Arial"/>
          <w:shd w:val="clear" w:color="auto" w:fill="FFFFFF"/>
        </w:rPr>
        <w:t xml:space="preserve">, in which the stimulus intensity was incrementally increased until a positive response was observed, after which it was decreased until a negative response occurred. This protocol was repeated until three behavioral changes were noted using the “up and down” method </w:t>
      </w:r>
      <w:r w:rsidR="000F4427" w:rsidRPr="008804FC">
        <w:rPr>
          <w:rFonts w:ascii="Arial" w:eastAsia="Times New Roman" w:hAnsi="Arial" w:cs="Arial"/>
          <w:shd w:val="clear" w:color="auto" w:fill="FFFFFF"/>
        </w:rPr>
        <w:fldChar w:fldCharType="begin"/>
      </w:r>
      <w:r w:rsidR="00882E99">
        <w:rPr>
          <w:rFonts w:ascii="Arial" w:eastAsia="Times New Roman" w:hAnsi="Arial" w:cs="Arial"/>
          <w:shd w:val="clear" w:color="auto" w:fill="FFFFFF"/>
        </w:rPr>
        <w:instrText xml:space="preserve"> ADDIN ZOTERO_ITEM CSL_CITATION {"citationID":"EHXBrmBy","properties":{"unsorted":false,"formattedCitation":"[10, 11]","plainCitation":"[10, 11]","noteIndex":0},"citationItems":[{"id":8439,"uris":["http://zotero.org/users/14649661/items/B76VH3UR"],"itemData":{"id":8439,"type":"article-journal","abstract":"We applied and validated a quantitative allodynia assessment technique, using a recently developed rat surgical neuropathy model wherein nocifensive behaviors are evoked by light touch to the paw. Employing von Frey hairs from 0.41 to 15.1 g, we first characterized the percent response at each stimulus intensity. A smooth log-linear relationship was observed, with a median 50% threshold at 1.97 g (95% confidence limits, 1.12-3.57 g). Subsequently, we applied a paradigm using stimulus oscillation around the response threshold, which allowed more rapid, efficient measurements. Median 50% threshold by this up-down method was 2.4 g (1.81-2.76). Correlation coefficient between the two methods was 0.91. In neuropathic rats, good intra- and inter-observer reproducibility was found for the up-down paradigm; some variability was seen in normal rats, attributable to extensive testing. Thresholds in a sizable group of neuropathic rats showed insignificant variability over 20 days. After 50 days, 61% still met strict neuropathy criteria, using survival analysis. Threshold measurement using the up-down paradigm, in combination with the neuropathic pain model, represents a powerful tool for analyzing the effects of manipulations of the neuropathic pain state.","container-title":"Journal of Neuroscience Methods","DOI":"10.1016/0165-0270(94)90144-9","ISSN":"0165-0270","issue":"1","journalAbbreviation":"J Neurosci Methods","language":"eng","note":"PMID: 7990513","page":"55-63","source":"PubMed","title":"Quantitative assessment of tactile allodynia in the rat paw","volume":"53","author":[{"family":"Chaplan","given":"S. R."},{"family":"Bach","given":"F. W."},{"family":"Pogrel","given":"J. W."},{"family":"Chung","given":"J. M."},{"family":"Yaksh","given":"T. L."}],"issued":{"date-parts":[["1994",7]]},"citation-key":"chaplanQuantitativeAssessmentTactile1994"},"locator":null,"label":null,"suppress-author":null,"prefix":null,"suffix":null},{"id":8441,"uris":["http://zotero.org/users/14649661/items/YG95P7T9"],"itemData":{"id":8441,"type":"article-journal","abstract":"Peripheral nerve lesions can result in exaggerated pain responses to low intensity mechanical stimuli (tactile allodynia). In the present work, the pharmacology of voltage-dependent calcium channels (VDCCs) involved in the transmission of neuropathic pain was characterized by examining the effects of antagonists specific to the N-, L- and P-type VDCCs, as well as an antagonist at a non-L-, non-N-type site. Drugs were administered via chronic lumbar intrathecal, i.v. or regional nerve block catheters implanted in rats with tactile allodynia induced by tight ligation of the left fifth and sixth lumbar spinal nerves. Intrathecally delivered N-type VDCC (omega-conopeptides SNX239, SNX159 and SNX111) produced dose-dependent blockade of tactile allodynia. Intrathecal L-type (diltiazem, verapamil and nimodipine), non-N-, non-L-type (omega-conopeptide SNX230) and P-type (omega-agatoxin IVA) VDCC antagonists had no effect on pain behavior at the highest doses examined. No VDCC antagonist suppressed paw withdrawal when administered i.v. SNX239, although effective when administered intrathecally, was without effect when applied regionally to the injured portion of the nerve. These results emphasize the importance of N-type, but not L- or P- type, VDCCs in the spinal cord on systems mediating persistent tactile allodynia after nerve injury.","container-title":"The Journal of Pharmacology and Experimental Therapeutics","ISSN":"0022-3565","issue":"3","journalAbbreviation":"J Pharmacol Exp Ther","language":"eng","note":"PMID: 8014856","page":"1117-1123","source":"PubMed","title":"Role of voltage-dependent calcium channel subtypes in experimental tactile allodynia","volume":"269","author":[{"family":"Chaplan","given":"S. R."},{"family":"Pogrel","given":"J. W."},{"family":"Yaksh","given":"T. L."}],"issued":{"date-parts":[["1994",6]]},"citation-key":"chaplanRoleVoltagedependentCalcium1994"},"locator":null,"label":null,"suppress-author":null,"prefix":null,"suffix":null}],"schema":"https://github.com/citation-style-language/schema/raw/master/csl-citation.json"} </w:instrText>
      </w:r>
      <w:r w:rsidR="000F4427" w:rsidRPr="008804FC">
        <w:rPr>
          <w:rFonts w:ascii="Arial" w:eastAsia="Times New Roman" w:hAnsi="Arial" w:cs="Arial"/>
          <w:shd w:val="clear" w:color="auto" w:fill="FFFFFF"/>
        </w:rPr>
        <w:fldChar w:fldCharType="separate"/>
      </w:r>
      <w:r w:rsidR="00882E99" w:rsidRPr="00882E99">
        <w:rPr>
          <w:rFonts w:ascii="Calibri" w:hAnsi="Calibri" w:cs="Calibri"/>
        </w:rPr>
        <w:t>[10, 11]</w:t>
      </w:r>
      <w:r w:rsidR="000F4427" w:rsidRPr="008804FC">
        <w:rPr>
          <w:rFonts w:ascii="Arial" w:eastAsia="Times New Roman" w:hAnsi="Arial" w:cs="Arial"/>
          <w:shd w:val="clear" w:color="auto" w:fill="FFFFFF"/>
        </w:rPr>
        <w:fldChar w:fldCharType="end"/>
      </w:r>
      <w:r w:rsidRPr="008804FC">
        <w:rPr>
          <w:rFonts w:ascii="Arial" w:eastAsia="Times New Roman" w:hAnsi="Arial" w:cs="Arial"/>
          <w:shd w:val="clear" w:color="auto" w:fill="FFFFFF"/>
        </w:rPr>
        <w:t xml:space="preserve">. </w:t>
      </w:r>
      <w:r w:rsidRPr="008804FC">
        <w:rPr>
          <w:rFonts w:ascii="Arial" w:eastAsia="Times New Roman" w:hAnsi="Arial" w:cs="Arial"/>
        </w:rPr>
        <w:t>The 50% paw withdrawal threshold was determined as 10[Xf+kδ])/10,000, where Xf = the value of the last von Frey filament employed, k = Dixon value for the positive/negative pattern, and δ = the logarithmic difference between stimuli.</w:t>
      </w:r>
      <w:r w:rsidR="00BD66EC" w:rsidRPr="008804FC">
        <w:rPr>
          <w:rFonts w:ascii="Arial" w:eastAsia="Times New Roman" w:hAnsi="Arial" w:cs="Arial"/>
        </w:rPr>
        <w:t xml:space="preserve"> To rapidly calculate 50% paw withdrawal thresholds, we used </w:t>
      </w:r>
      <w:hyperlink r:id="rId20" w:history="1">
        <w:r w:rsidR="00BD66EC" w:rsidRPr="008804FC">
          <w:rPr>
            <w:rStyle w:val="Hyperlink"/>
            <w:rFonts w:ascii="Arial" w:eastAsia="Times New Roman" w:hAnsi="Arial" w:cs="Arial"/>
          </w:rPr>
          <w:t>https://bioapps.shinyapps.io/von_frey_app/</w:t>
        </w:r>
      </w:hyperlink>
      <w:r w:rsidR="00BD66EC" w:rsidRPr="008804FC">
        <w:rPr>
          <w:rFonts w:ascii="Arial" w:eastAsia="Times New Roman" w:hAnsi="Arial" w:cs="Arial"/>
        </w:rPr>
        <w:t xml:space="preserve">. </w:t>
      </w:r>
      <w:r w:rsidRPr="008804FC">
        <w:rPr>
          <w:rFonts w:ascii="Arial" w:eastAsia="Times New Roman" w:hAnsi="Arial" w:cs="Arial"/>
          <w:shd w:val="clear" w:color="auto" w:fill="FFFFFF"/>
        </w:rPr>
        <w:t>Tactile allodynia was defined as a</w:t>
      </w:r>
      <w:r w:rsidR="00EC3EFB" w:rsidRPr="008804FC">
        <w:rPr>
          <w:rFonts w:ascii="Arial" w:eastAsia="Times New Roman" w:hAnsi="Arial" w:cs="Arial"/>
          <w:shd w:val="clear" w:color="auto" w:fill="FFFFFF"/>
        </w:rPr>
        <w:t xml:space="preserve"> significant reduction</w:t>
      </w:r>
      <w:r w:rsidRPr="008804FC">
        <w:rPr>
          <w:rFonts w:ascii="Arial" w:eastAsia="Times New Roman" w:hAnsi="Arial" w:cs="Arial"/>
          <w:shd w:val="clear" w:color="auto" w:fill="FFFFFF"/>
        </w:rPr>
        <w:t xml:space="preserve"> in the paw withdrawal threshold compared to the pre-treatment baseline.</w:t>
      </w:r>
    </w:p>
    <w:p w14:paraId="5A4BD2B4" w14:textId="77777777" w:rsidR="004C4D9D" w:rsidRPr="008804FC" w:rsidRDefault="004C4D9D" w:rsidP="008804FC">
      <w:pPr>
        <w:spacing w:after="120" w:line="240" w:lineRule="auto"/>
        <w:jc w:val="both"/>
        <w:rPr>
          <w:rFonts w:ascii="Arial" w:eastAsia="Times New Roman" w:hAnsi="Arial" w:cs="Arial"/>
        </w:rPr>
      </w:pPr>
      <w:r w:rsidRPr="008804FC">
        <w:rPr>
          <w:rFonts w:ascii="Arial" w:eastAsia="Times New Roman" w:hAnsi="Arial" w:cs="Arial"/>
          <w:b/>
          <w:bCs/>
        </w:rPr>
        <w:t>Forced Swim Test</w:t>
      </w:r>
      <w:r w:rsidRPr="008804FC">
        <w:rPr>
          <w:rFonts w:ascii="Arial" w:eastAsia="Times New Roman" w:hAnsi="Arial" w:cs="Arial"/>
        </w:rPr>
        <w:t xml:space="preserve"> </w:t>
      </w:r>
    </w:p>
    <w:p w14:paraId="46B2F41D" w14:textId="3667F9F3" w:rsidR="004C4D9D" w:rsidRPr="008804FC" w:rsidRDefault="004C4D9D" w:rsidP="008804FC">
      <w:pPr>
        <w:spacing w:after="120" w:line="240" w:lineRule="auto"/>
        <w:jc w:val="both"/>
        <w:rPr>
          <w:rFonts w:ascii="Arial" w:eastAsia="Times New Roman" w:hAnsi="Arial" w:cs="Arial"/>
        </w:rPr>
      </w:pPr>
      <w:r w:rsidRPr="008804FC">
        <w:rPr>
          <w:rFonts w:ascii="Arial" w:eastAsia="Times New Roman" w:hAnsi="Arial" w:cs="Arial"/>
        </w:rPr>
        <w:t xml:space="preserve">Despair-like behavior was assessed 28 to 35 days post-surgery by measuring immobility time in a water-filled cylindrical container (25⁰C) for up to </w:t>
      </w:r>
      <w:r w:rsidR="00CC3527" w:rsidRPr="008804FC">
        <w:rPr>
          <w:rFonts w:ascii="Arial" w:eastAsia="Times New Roman" w:hAnsi="Arial" w:cs="Arial"/>
        </w:rPr>
        <w:t>5</w:t>
      </w:r>
      <w:r w:rsidRPr="008804FC">
        <w:rPr>
          <w:rFonts w:ascii="Arial" w:eastAsia="Times New Roman" w:hAnsi="Arial" w:cs="Arial"/>
        </w:rPr>
        <w:t xml:space="preserve"> minutes. </w:t>
      </w:r>
      <w:r w:rsidR="00CC3527" w:rsidRPr="008804FC">
        <w:rPr>
          <w:rFonts w:ascii="Arial" w:eastAsia="Times New Roman" w:hAnsi="Arial" w:cs="Arial"/>
        </w:rPr>
        <w:t>Total immobility time throughout the duration of the test was used to evaluate despair-like behavior.</w:t>
      </w:r>
      <w:r w:rsidRPr="008804FC">
        <w:rPr>
          <w:rFonts w:ascii="Arial" w:eastAsia="Times New Roman" w:hAnsi="Arial" w:cs="Arial"/>
        </w:rPr>
        <w:t xml:space="preserve"> One cohort received 2-AG (10 mg/kg, IP) shortly after preparation (1:1:8 DMSO:Tween 80:saline solution), 32 days post-surgery, and RTG (10 mg/kg, IP), prepared in 0.9% saline, 35 days post-surgery, administered 15 minutes before the FST. Another cohort received two doses of 2-AG (10 mg/kg, IP) 31 days post-surgery, both 15 and 60 minutes before the FST.</w:t>
      </w:r>
    </w:p>
    <w:p w14:paraId="14200638" w14:textId="49E7E7D4" w:rsidR="00A84636" w:rsidRPr="008804FC" w:rsidRDefault="00A84636" w:rsidP="008804FC">
      <w:pPr>
        <w:spacing w:line="240" w:lineRule="auto"/>
        <w:jc w:val="both"/>
        <w:rPr>
          <w:rFonts w:ascii="Arial" w:eastAsia="Times New Roman" w:hAnsi="Arial" w:cs="Arial"/>
        </w:rPr>
      </w:pPr>
      <w:r w:rsidRPr="008804FC">
        <w:rPr>
          <w:rFonts w:ascii="Arial" w:eastAsia="Times New Roman" w:hAnsi="Arial" w:cs="Arial"/>
          <w:b/>
          <w:bCs/>
        </w:rPr>
        <w:t>Immunohistochemistry</w:t>
      </w:r>
    </w:p>
    <w:p w14:paraId="00EEC2A7" w14:textId="1F446DD3" w:rsidR="00A84636" w:rsidRPr="008804FC" w:rsidRDefault="00A84636" w:rsidP="008804FC">
      <w:pPr>
        <w:spacing w:line="240" w:lineRule="auto"/>
        <w:jc w:val="both"/>
        <w:rPr>
          <w:rFonts w:ascii="Arial" w:eastAsia="Times New Roman" w:hAnsi="Arial" w:cs="Arial"/>
          <w:shd w:val="clear" w:color="auto" w:fill="FFFFFF"/>
        </w:rPr>
      </w:pPr>
      <w:r w:rsidRPr="008804FC">
        <w:rPr>
          <w:rFonts w:ascii="Arial" w:eastAsia="Times New Roman" w:hAnsi="Arial" w:cs="Arial"/>
          <w:shd w:val="clear" w:color="auto" w:fill="FFFFFF"/>
        </w:rPr>
        <w:lastRenderedPageBreak/>
        <w:t xml:space="preserve">Mice were anesthetized using isoflurane, followed by cardiac perfusion with cold 0.1 M phosphate-buffered saline (PBS) and subsequently with cold 4% paraformaldehyde (PFA) in PBS solution. The brains were extracted and post-fixed in PFA for 24 hours, after which they were transferred to a 30% sucrose </w:t>
      </w:r>
      <w:r w:rsidR="003F2639" w:rsidRPr="008804FC">
        <w:rPr>
          <w:rFonts w:ascii="Arial" w:eastAsia="Times New Roman" w:hAnsi="Arial" w:cs="Arial"/>
          <w:shd w:val="clear" w:color="auto" w:fill="FFFFFF"/>
        </w:rPr>
        <w:t>in</w:t>
      </w:r>
      <w:r w:rsidRPr="008804FC">
        <w:rPr>
          <w:rFonts w:ascii="Arial" w:eastAsia="Times New Roman" w:hAnsi="Arial" w:cs="Arial"/>
          <w:shd w:val="clear" w:color="auto" w:fill="FFFFFF"/>
        </w:rPr>
        <w:t xml:space="preserve"> 0.1 M PBS</w:t>
      </w:r>
      <w:r w:rsidR="003F2639" w:rsidRPr="008804FC">
        <w:rPr>
          <w:rFonts w:ascii="Arial" w:eastAsia="Times New Roman" w:hAnsi="Arial" w:cs="Arial"/>
          <w:shd w:val="clear" w:color="auto" w:fill="FFFFFF"/>
        </w:rPr>
        <w:t xml:space="preserve"> solution</w:t>
      </w:r>
      <w:r w:rsidRPr="008804FC">
        <w:rPr>
          <w:rFonts w:ascii="Arial" w:eastAsia="Times New Roman" w:hAnsi="Arial" w:cs="Arial"/>
          <w:shd w:val="clear" w:color="auto" w:fill="FFFFFF"/>
        </w:rPr>
        <w:t xml:space="preserve"> for an additional 48 hours. The midbrain was sectioned into coronal slices of 25 µm thickness using a</w:t>
      </w:r>
      <w:r w:rsidR="003F2639" w:rsidRPr="008804FC">
        <w:rPr>
          <w:rFonts w:ascii="Arial" w:eastAsia="Times New Roman" w:hAnsi="Arial" w:cs="Arial"/>
          <w:shd w:val="clear" w:color="auto" w:fill="FFFFFF"/>
        </w:rPr>
        <w:t xml:space="preserve"> SM2010R Leica</w:t>
      </w:r>
      <w:r w:rsidRPr="008804FC">
        <w:rPr>
          <w:rFonts w:ascii="Arial" w:eastAsia="Times New Roman" w:hAnsi="Arial" w:cs="Arial"/>
          <w:shd w:val="clear" w:color="auto" w:fill="FFFFFF"/>
        </w:rPr>
        <w:t xml:space="preserve"> microtome. Based on established criteria, the ventral tegmental area (VTA) was identified in the free-floating sections as the region medial to the compact part of the substantia nigra, while excluding the medial lemniscus (Franklin &amp; Paxinos, 3rd Edition, 2007). Selected tissue slices underwent a washing procedure in 4% PFA for 20 minutes, followed by three sequential rinses in 0.1 M PBS and antigen retrieval conducted at 90°C for 60 minutes in 10 mM sodium citrate buffer containing 0.05% Tween-20 at pH 6.0. This was succeeded by two washes with PBS containing Triton X-100 (PBS-TX100) and one wash with PBS alone. The tissue was then incubated in a blocking solution composed of 3% bovine serum albumin (BSA), 0.3% Triton X-100, 0.3% Tween-20, 0.1% sodium azide (NaN</w:t>
      </w:r>
      <w:r w:rsidRPr="008804FC">
        <w:rPr>
          <w:rFonts w:ascii="Cambria Math" w:eastAsia="Times New Roman" w:hAnsi="Cambria Math" w:cs="Cambria Math"/>
          <w:shd w:val="clear" w:color="auto" w:fill="FFFFFF"/>
        </w:rPr>
        <w:t>₃</w:t>
      </w:r>
      <w:r w:rsidRPr="008804FC">
        <w:rPr>
          <w:rFonts w:ascii="Arial" w:eastAsia="Times New Roman" w:hAnsi="Arial" w:cs="Arial"/>
          <w:shd w:val="clear" w:color="auto" w:fill="FFFFFF"/>
        </w:rPr>
        <w:t>), and 3% normal donkey serum (NDS) in 0.1 M PBS. Subsequently,</w:t>
      </w:r>
      <w:r w:rsidR="00DF3ED3" w:rsidRPr="008804FC">
        <w:rPr>
          <w:rFonts w:ascii="Arial" w:eastAsia="Times New Roman" w:hAnsi="Arial" w:cs="Arial"/>
          <w:shd w:val="clear" w:color="auto" w:fill="FFFFFF"/>
        </w:rPr>
        <w:t xml:space="preserve"> VTA samples were placed in primary antibody solutions overnight with gentle oscillations at 4°C, including anti-KCNQ2 (1:800, Rabbit, Alomone), anti-KCNQ3 (1:800, Rabbit, Alomone), anti-KCNQ4 (1:400, Rabbit, Alomone), anti-KCNQ5 (1:200, Rabbit, Alomone), anti-CaMKIα (1:500</w:t>
      </w:r>
      <w:r w:rsidR="009B0F24" w:rsidRPr="008804FC">
        <w:rPr>
          <w:rFonts w:ascii="Arial" w:eastAsia="Times New Roman" w:hAnsi="Arial" w:cs="Arial"/>
          <w:shd w:val="clear" w:color="auto" w:fill="FFFFFF"/>
        </w:rPr>
        <w:t>, AbCam</w:t>
      </w:r>
      <w:r w:rsidR="00DF3ED3" w:rsidRPr="008804FC">
        <w:rPr>
          <w:rFonts w:ascii="Arial" w:eastAsia="Times New Roman" w:hAnsi="Arial" w:cs="Arial"/>
          <w:shd w:val="clear" w:color="auto" w:fill="FFFFFF"/>
        </w:rPr>
        <w:t xml:space="preserve">), and anti-tyrosine hydroxylase (TH) (1:800, Guinea Pig, Synaptic Systems). </w:t>
      </w:r>
      <w:r w:rsidRPr="008804FC">
        <w:rPr>
          <w:rFonts w:ascii="Arial" w:eastAsia="Times New Roman" w:hAnsi="Arial" w:cs="Arial"/>
          <w:shd w:val="clear" w:color="auto" w:fill="FFFFFF"/>
        </w:rPr>
        <w:t xml:space="preserve">After the primary antibody incubation, the samples </w:t>
      </w:r>
      <w:r w:rsidR="009B0F24" w:rsidRPr="008804FC">
        <w:rPr>
          <w:rFonts w:ascii="Arial" w:eastAsia="Times New Roman" w:hAnsi="Arial" w:cs="Arial"/>
          <w:shd w:val="clear" w:color="auto" w:fill="FFFFFF"/>
        </w:rPr>
        <w:t xml:space="preserve">underwent </w:t>
      </w:r>
      <w:r w:rsidRPr="008804FC">
        <w:rPr>
          <w:rFonts w:ascii="Arial" w:eastAsia="Times New Roman" w:hAnsi="Arial" w:cs="Arial"/>
          <w:shd w:val="clear" w:color="auto" w:fill="FFFFFF"/>
        </w:rPr>
        <w:t>PBS-TX100</w:t>
      </w:r>
      <w:r w:rsidR="009B0F24" w:rsidRPr="008804FC">
        <w:rPr>
          <w:rFonts w:ascii="Arial" w:eastAsia="Times New Roman" w:hAnsi="Arial" w:cs="Arial"/>
          <w:shd w:val="clear" w:color="auto" w:fill="FFFFFF"/>
        </w:rPr>
        <w:t xml:space="preserve"> washes</w:t>
      </w:r>
      <w:r w:rsidRPr="008804FC">
        <w:rPr>
          <w:rFonts w:ascii="Arial" w:eastAsia="Times New Roman" w:hAnsi="Arial" w:cs="Arial"/>
          <w:shd w:val="clear" w:color="auto" w:fill="FFFFFF"/>
        </w:rPr>
        <w:t xml:space="preserve"> then</w:t>
      </w:r>
      <w:r w:rsidR="009B0F24" w:rsidRPr="008804FC">
        <w:rPr>
          <w:rFonts w:ascii="Arial" w:eastAsia="Times New Roman" w:hAnsi="Arial" w:cs="Arial"/>
          <w:shd w:val="clear" w:color="auto" w:fill="FFFFFF"/>
        </w:rPr>
        <w:t xml:space="preserve"> were</w:t>
      </w:r>
      <w:r w:rsidRPr="008804FC">
        <w:rPr>
          <w:rFonts w:ascii="Arial" w:eastAsia="Times New Roman" w:hAnsi="Arial" w:cs="Arial"/>
          <w:shd w:val="clear" w:color="auto" w:fill="FFFFFF"/>
        </w:rPr>
        <w:t xml:space="preserve"> incubated with secondary antibodies (anti-Guinea Pig Cy3, 1:600, Jackson ImmunoResearch; anti-Rabbit AF488, 1:400, Jackson ImmunoResearch) for one hour at room temperature. Counterstaining was performed using DAPI (ThermoFisher). Finally, the tissue sections were mounted onto glass slides using Prolong Glass</w:t>
      </w:r>
      <w:r w:rsidR="009B0F24" w:rsidRPr="008804FC">
        <w:rPr>
          <w:rFonts w:ascii="Arial" w:eastAsia="Times New Roman" w:hAnsi="Arial" w:cs="Arial"/>
          <w:shd w:val="clear" w:color="auto" w:fill="FFFFFF"/>
        </w:rPr>
        <w:t xml:space="preserve"> Antifade mountant</w:t>
      </w:r>
      <w:r w:rsidRPr="008804FC">
        <w:rPr>
          <w:rFonts w:ascii="Arial" w:eastAsia="Times New Roman" w:hAnsi="Arial" w:cs="Arial"/>
          <w:shd w:val="clear" w:color="auto" w:fill="FFFFFF"/>
        </w:rPr>
        <w:t xml:space="preserve"> (</w:t>
      </w:r>
      <w:r w:rsidR="009B0F24" w:rsidRPr="008804FC">
        <w:rPr>
          <w:rFonts w:ascii="Arial" w:eastAsia="Times New Roman" w:hAnsi="Arial" w:cs="Arial"/>
          <w:shd w:val="clear" w:color="auto" w:fill="FFFFFF"/>
        </w:rPr>
        <w:t>ThermoFisher</w:t>
      </w:r>
      <w:r w:rsidRPr="008804FC">
        <w:rPr>
          <w:rFonts w:ascii="Arial" w:eastAsia="Times New Roman" w:hAnsi="Arial" w:cs="Arial"/>
          <w:shd w:val="clear" w:color="auto" w:fill="FFFFFF"/>
        </w:rPr>
        <w:t>). The mounted samples were covered and allowed to harden overnight prior to confocal imaging.</w:t>
      </w:r>
    </w:p>
    <w:p w14:paraId="62AE2C33" w14:textId="77777777" w:rsidR="00A84636" w:rsidRPr="008804FC" w:rsidRDefault="00A84636" w:rsidP="008804FC">
      <w:pPr>
        <w:spacing w:line="240" w:lineRule="auto"/>
        <w:jc w:val="both"/>
        <w:rPr>
          <w:rFonts w:ascii="Arial" w:eastAsia="Times New Roman" w:hAnsi="Arial" w:cs="Arial"/>
        </w:rPr>
      </w:pPr>
      <w:r w:rsidRPr="008804FC">
        <w:rPr>
          <w:rFonts w:ascii="Arial" w:eastAsia="Times New Roman" w:hAnsi="Arial" w:cs="Arial"/>
          <w:b/>
          <w:bCs/>
        </w:rPr>
        <w:t>Imaging and Analysis</w:t>
      </w:r>
    </w:p>
    <w:p w14:paraId="648E01FA" w14:textId="34A1EC8F" w:rsidR="00A84636" w:rsidRPr="008804FC" w:rsidRDefault="00A84636" w:rsidP="008804FC">
      <w:pPr>
        <w:spacing w:line="240" w:lineRule="auto"/>
        <w:jc w:val="both"/>
        <w:rPr>
          <w:rFonts w:ascii="Arial" w:eastAsia="Times New Roman" w:hAnsi="Arial" w:cs="Arial"/>
          <w:shd w:val="clear" w:color="auto" w:fill="FFFFFF"/>
        </w:rPr>
      </w:pPr>
      <w:r w:rsidRPr="008804FC">
        <w:rPr>
          <w:rFonts w:ascii="Arial" w:eastAsia="Times New Roman" w:hAnsi="Arial" w:cs="Arial"/>
          <w:shd w:val="clear" w:color="auto" w:fill="FFFFFF"/>
        </w:rPr>
        <w:t>Photomicrographs were acquired using</w:t>
      </w:r>
      <w:r w:rsidR="00433E73" w:rsidRPr="008804FC">
        <w:rPr>
          <w:rFonts w:ascii="Arial" w:eastAsia="Times New Roman" w:hAnsi="Arial" w:cs="Arial"/>
          <w:shd w:val="clear" w:color="auto" w:fill="FFFFFF"/>
        </w:rPr>
        <w:t xml:space="preserve"> Olympus FV10-ASW </w:t>
      </w:r>
      <w:r w:rsidR="00097649" w:rsidRPr="008804FC">
        <w:rPr>
          <w:rFonts w:ascii="Arial" w:eastAsia="Times New Roman" w:hAnsi="Arial" w:cs="Arial"/>
          <w:shd w:val="clear" w:color="auto" w:fill="FFFFFF"/>
        </w:rPr>
        <w:t>software</w:t>
      </w:r>
      <w:r w:rsidR="00433E73" w:rsidRPr="008804FC">
        <w:rPr>
          <w:rFonts w:ascii="Arial" w:eastAsia="Times New Roman" w:hAnsi="Arial" w:cs="Arial"/>
          <w:shd w:val="clear" w:color="auto" w:fill="FFFFFF"/>
        </w:rPr>
        <w:t xml:space="preserve"> (v4.02)</w:t>
      </w:r>
      <w:r w:rsidR="00097649" w:rsidRPr="008804FC">
        <w:rPr>
          <w:rFonts w:ascii="Arial" w:eastAsia="Times New Roman" w:hAnsi="Arial" w:cs="Arial"/>
          <w:shd w:val="clear" w:color="auto" w:fill="FFFFFF"/>
        </w:rPr>
        <w:t xml:space="preserve"> on an</w:t>
      </w:r>
      <w:r w:rsidRPr="008804FC">
        <w:rPr>
          <w:rFonts w:ascii="Arial" w:eastAsia="Times New Roman" w:hAnsi="Arial" w:cs="Arial"/>
          <w:shd w:val="clear" w:color="auto" w:fill="FFFFFF"/>
        </w:rPr>
        <w:t xml:space="preserve"> Olympus Fluoview FV1200 confocal microscope set at 20×</w:t>
      </w:r>
      <w:r w:rsidR="00EB418E" w:rsidRPr="008804FC">
        <w:rPr>
          <w:rFonts w:ascii="Arial" w:eastAsia="Times New Roman" w:hAnsi="Arial" w:cs="Arial"/>
          <w:shd w:val="clear" w:color="auto" w:fill="FFFFFF"/>
        </w:rPr>
        <w:t xml:space="preserve"> </w:t>
      </w:r>
      <w:r w:rsidR="00433E73" w:rsidRPr="008804FC">
        <w:rPr>
          <w:rFonts w:ascii="Arial" w:eastAsia="Times New Roman" w:hAnsi="Arial" w:cs="Arial"/>
          <w:shd w:val="clear" w:color="auto" w:fill="FFFFFF"/>
        </w:rPr>
        <w:t xml:space="preserve">magnification </w:t>
      </w:r>
      <w:r w:rsidR="00EB418E" w:rsidRPr="008804FC">
        <w:rPr>
          <w:rFonts w:ascii="Arial" w:eastAsia="Times New Roman" w:hAnsi="Arial" w:cs="Arial"/>
          <w:shd w:val="clear" w:color="auto" w:fill="FFFFFF"/>
        </w:rPr>
        <w:t>(NA</w:t>
      </w:r>
      <w:r w:rsidR="00433E73" w:rsidRPr="008804FC">
        <w:rPr>
          <w:rFonts w:ascii="Arial" w:eastAsia="Times New Roman" w:hAnsi="Arial" w:cs="Arial"/>
          <w:shd w:val="clear" w:color="auto" w:fill="FFFFFF"/>
        </w:rPr>
        <w:t xml:space="preserve"> 0.8)</w:t>
      </w:r>
      <w:r w:rsidR="00EB418E" w:rsidRPr="008804FC">
        <w:rPr>
          <w:rFonts w:ascii="Arial" w:eastAsia="Times New Roman" w:hAnsi="Arial" w:cs="Arial"/>
          <w:shd w:val="clear" w:color="auto" w:fill="FFFFFF"/>
        </w:rPr>
        <w:t xml:space="preserve"> </w:t>
      </w:r>
      <w:r w:rsidR="00433E73" w:rsidRPr="008804FC">
        <w:rPr>
          <w:rFonts w:ascii="Arial" w:eastAsia="Times New Roman" w:hAnsi="Arial" w:cs="Arial"/>
          <w:shd w:val="clear" w:color="auto" w:fill="FFFFFF"/>
        </w:rPr>
        <w:t>and</w:t>
      </w:r>
      <w:r w:rsidR="00EB418E" w:rsidRPr="008804FC">
        <w:rPr>
          <w:rFonts w:ascii="Arial" w:eastAsia="Times New Roman" w:hAnsi="Arial" w:cs="Arial"/>
          <w:shd w:val="clear" w:color="auto" w:fill="FFFFFF"/>
        </w:rPr>
        <w:t xml:space="preserve"> 1024</w:t>
      </w:r>
      <w:r w:rsidR="00433E73" w:rsidRPr="008804FC">
        <w:rPr>
          <w:rFonts w:ascii="Arial" w:eastAsia="Times New Roman" w:hAnsi="Arial" w:cs="Arial"/>
          <w:shd w:val="clear" w:color="auto" w:fill="FFFFFF"/>
        </w:rPr>
        <w:t xml:space="preserve"> </w:t>
      </w:r>
      <w:r w:rsidR="00EB418E" w:rsidRPr="008804FC">
        <w:rPr>
          <w:rFonts w:ascii="Arial" w:eastAsia="Times New Roman" w:hAnsi="Arial" w:cs="Arial"/>
          <w:shd w:val="clear" w:color="auto" w:fill="FFFFFF"/>
        </w:rPr>
        <w:t>x</w:t>
      </w:r>
      <w:r w:rsidR="00433E73" w:rsidRPr="008804FC">
        <w:rPr>
          <w:rFonts w:ascii="Arial" w:eastAsia="Times New Roman" w:hAnsi="Arial" w:cs="Arial"/>
          <w:shd w:val="clear" w:color="auto" w:fill="FFFFFF"/>
        </w:rPr>
        <w:t xml:space="preserve"> </w:t>
      </w:r>
      <w:r w:rsidR="00EB418E" w:rsidRPr="008804FC">
        <w:rPr>
          <w:rFonts w:ascii="Arial" w:eastAsia="Times New Roman" w:hAnsi="Arial" w:cs="Arial"/>
          <w:shd w:val="clear" w:color="auto" w:fill="FFFFFF"/>
        </w:rPr>
        <w:t>1024</w:t>
      </w:r>
      <w:r w:rsidR="00433E73" w:rsidRPr="008804FC">
        <w:rPr>
          <w:rFonts w:ascii="Arial" w:eastAsia="Times New Roman" w:hAnsi="Arial" w:cs="Arial"/>
          <w:shd w:val="clear" w:color="auto" w:fill="FFFFFF"/>
        </w:rPr>
        <w:t xml:space="preserve"> pixel resolution</w:t>
      </w:r>
      <w:r w:rsidRPr="008804FC">
        <w:rPr>
          <w:rFonts w:ascii="Arial" w:eastAsia="Times New Roman" w:hAnsi="Arial" w:cs="Arial"/>
          <w:shd w:val="clear" w:color="auto" w:fill="FFFFFF"/>
        </w:rPr>
        <w:t>. Throughout the imaging process, software and equipment settings</w:t>
      </w:r>
      <w:r w:rsidR="005620D3" w:rsidRPr="008804FC">
        <w:rPr>
          <w:rFonts w:ascii="Arial" w:eastAsia="Times New Roman" w:hAnsi="Arial" w:cs="Arial"/>
          <w:shd w:val="clear" w:color="auto" w:fill="FFFFFF"/>
        </w:rPr>
        <w:t xml:space="preserve"> were held constant for each antibody</w:t>
      </w:r>
      <w:r w:rsidRPr="008804FC">
        <w:rPr>
          <w:rFonts w:ascii="Arial" w:eastAsia="Times New Roman" w:hAnsi="Arial" w:cs="Arial"/>
          <w:shd w:val="clear" w:color="auto" w:fill="FFFFFF"/>
        </w:rPr>
        <w:t xml:space="preserve"> to ensure </w:t>
      </w:r>
      <w:r w:rsidR="005620D3" w:rsidRPr="008804FC">
        <w:rPr>
          <w:rFonts w:ascii="Arial" w:eastAsia="Times New Roman" w:hAnsi="Arial" w:cs="Arial"/>
          <w:shd w:val="clear" w:color="auto" w:fill="FFFFFF"/>
        </w:rPr>
        <w:t>uniformity within each  staining session</w:t>
      </w:r>
      <w:r w:rsidRPr="008804FC">
        <w:rPr>
          <w:rFonts w:ascii="Arial" w:eastAsia="Times New Roman" w:hAnsi="Arial" w:cs="Arial"/>
          <w:shd w:val="clear" w:color="auto" w:fill="FFFFFF"/>
        </w:rPr>
        <w:t>. The ventral tegmental area (VTA) was delineated using coronal section schematic overlays sourced from the mouse brain atlas (Franklin &amp; Paxinos, 3rd Edition, 2007). Subsequent image analyses were performed utilizing the FIJI/ImageJ software platform</w:t>
      </w:r>
      <w:r w:rsidR="005620D3" w:rsidRPr="008804FC">
        <w:rPr>
          <w:rFonts w:ascii="Arial" w:eastAsia="Times New Roman" w:hAnsi="Arial" w:cs="Arial"/>
          <w:shd w:val="clear" w:color="auto" w:fill="FFFFFF"/>
        </w:rPr>
        <w:t xml:space="preserve"> to determine the number of positive</w:t>
      </w:r>
      <w:r w:rsidRPr="008804FC">
        <w:rPr>
          <w:rFonts w:ascii="Arial" w:eastAsia="Times New Roman" w:hAnsi="Arial" w:cs="Arial"/>
          <w:shd w:val="clear" w:color="auto" w:fill="FFFFFF"/>
        </w:rPr>
        <w:t>.</w:t>
      </w:r>
      <w:r w:rsidR="00D147FC" w:rsidRPr="008804FC">
        <w:rPr>
          <w:rFonts w:ascii="Arial" w:eastAsia="Times New Roman" w:hAnsi="Arial" w:cs="Arial"/>
          <w:shd w:val="clear" w:color="auto" w:fill="FFFFFF"/>
        </w:rPr>
        <w:t xml:space="preserve"> </w:t>
      </w:r>
      <w:r w:rsidR="00D66D5A" w:rsidRPr="008804FC">
        <w:rPr>
          <w:rFonts w:ascii="Arial" w:eastAsia="Times New Roman" w:hAnsi="Arial" w:cs="Arial"/>
          <w:shd w:val="clear" w:color="auto" w:fill="FFFFFF"/>
        </w:rPr>
        <w:t>A FIJI macro was created to q</w:t>
      </w:r>
      <w:r w:rsidR="00D147FC" w:rsidRPr="008804FC">
        <w:rPr>
          <w:rFonts w:ascii="Arial" w:eastAsia="Times New Roman" w:hAnsi="Arial" w:cs="Arial"/>
          <w:shd w:val="clear" w:color="auto" w:fill="FFFFFF"/>
        </w:rPr>
        <w:t>uantif</w:t>
      </w:r>
      <w:r w:rsidR="00D66D5A" w:rsidRPr="008804FC">
        <w:rPr>
          <w:rFonts w:ascii="Arial" w:eastAsia="Times New Roman" w:hAnsi="Arial" w:cs="Arial"/>
          <w:shd w:val="clear" w:color="auto" w:fill="FFFFFF"/>
        </w:rPr>
        <w:t>y VTA</w:t>
      </w:r>
      <w:r w:rsidR="00D147FC" w:rsidRPr="008804FC">
        <w:rPr>
          <w:rFonts w:ascii="Arial" w:eastAsia="Times New Roman" w:hAnsi="Arial" w:cs="Arial"/>
          <w:shd w:val="clear" w:color="auto" w:fill="FFFFFF"/>
        </w:rPr>
        <w:t xml:space="preserve"> cell counts </w:t>
      </w:r>
      <w:r w:rsidR="00D66D5A" w:rsidRPr="008804FC">
        <w:rPr>
          <w:rFonts w:ascii="Arial" w:eastAsia="Times New Roman" w:hAnsi="Arial" w:cs="Arial"/>
          <w:shd w:val="clear" w:color="auto" w:fill="FFFFFF"/>
        </w:rPr>
        <w:t xml:space="preserve">for each protein. The macro </w:t>
      </w:r>
      <w:r w:rsidR="006F6517" w:rsidRPr="008804FC">
        <w:rPr>
          <w:rFonts w:ascii="Arial" w:eastAsia="Times New Roman" w:hAnsi="Arial" w:cs="Arial"/>
          <w:shd w:val="clear" w:color="auto" w:fill="FFFFFF"/>
        </w:rPr>
        <w:t>included</w:t>
      </w:r>
      <w:r w:rsidR="00D66D5A" w:rsidRPr="008804FC">
        <w:rPr>
          <w:rFonts w:ascii="Arial" w:eastAsia="Times New Roman" w:hAnsi="Arial" w:cs="Arial"/>
          <w:shd w:val="clear" w:color="auto" w:fill="FFFFFF"/>
        </w:rPr>
        <w:t xml:space="preserve"> </w:t>
      </w:r>
      <w:r w:rsidR="00D147FC" w:rsidRPr="008804FC">
        <w:rPr>
          <w:rFonts w:ascii="Arial" w:eastAsia="Times New Roman" w:hAnsi="Arial" w:cs="Arial"/>
          <w:shd w:val="clear" w:color="auto" w:fill="FFFFFF"/>
        </w:rPr>
        <w:t>linear</w:t>
      </w:r>
      <w:r w:rsidR="00D66D5A" w:rsidRPr="008804FC">
        <w:rPr>
          <w:rFonts w:ascii="Arial" w:eastAsia="Times New Roman" w:hAnsi="Arial" w:cs="Arial"/>
          <w:shd w:val="clear" w:color="auto" w:fill="FFFFFF"/>
        </w:rPr>
        <w:t xml:space="preserve"> (Gaussian blur)</w:t>
      </w:r>
      <w:r w:rsidR="00D147FC" w:rsidRPr="008804FC">
        <w:rPr>
          <w:rFonts w:ascii="Arial" w:eastAsia="Times New Roman" w:hAnsi="Arial" w:cs="Arial"/>
          <w:shd w:val="clear" w:color="auto" w:fill="FFFFFF"/>
        </w:rPr>
        <w:t xml:space="preserve"> and nonlinear </w:t>
      </w:r>
      <w:r w:rsidR="00D66D5A" w:rsidRPr="008804FC">
        <w:rPr>
          <w:rFonts w:ascii="Arial" w:eastAsia="Times New Roman" w:hAnsi="Arial" w:cs="Arial"/>
          <w:shd w:val="clear" w:color="auto" w:fill="FFFFFF"/>
        </w:rPr>
        <w:t>(gamma correction, auto-threshold,</w:t>
      </w:r>
      <w:r w:rsidR="00EB418E" w:rsidRPr="008804FC">
        <w:rPr>
          <w:rFonts w:ascii="Arial" w:eastAsia="Times New Roman" w:hAnsi="Arial" w:cs="Arial"/>
          <w:shd w:val="clear" w:color="auto" w:fill="FFFFFF"/>
        </w:rPr>
        <w:t xml:space="preserve"> </w:t>
      </w:r>
      <w:r w:rsidR="00D66D5A" w:rsidRPr="008804FC">
        <w:rPr>
          <w:rFonts w:ascii="Arial" w:eastAsia="Times New Roman" w:hAnsi="Arial" w:cs="Arial"/>
          <w:shd w:val="clear" w:color="auto" w:fill="FFFFFF"/>
        </w:rPr>
        <w:t>rolling-ball background subtraction</w:t>
      </w:r>
      <w:r w:rsidR="00EB418E" w:rsidRPr="008804FC">
        <w:rPr>
          <w:rFonts w:ascii="Arial" w:eastAsia="Times New Roman" w:hAnsi="Arial" w:cs="Arial"/>
          <w:shd w:val="clear" w:color="auto" w:fill="FFFFFF"/>
        </w:rPr>
        <w:t>, and max intensity z-projection</w:t>
      </w:r>
      <w:r w:rsidR="00D66D5A" w:rsidRPr="008804FC">
        <w:rPr>
          <w:rFonts w:ascii="Arial" w:eastAsia="Times New Roman" w:hAnsi="Arial" w:cs="Arial"/>
          <w:shd w:val="clear" w:color="auto" w:fill="FFFFFF"/>
        </w:rPr>
        <w:t>) adjustments to whole images to improve cell count accuracy and consistency.</w:t>
      </w:r>
      <w:r w:rsidRPr="008804FC">
        <w:rPr>
          <w:rFonts w:ascii="Arial" w:eastAsia="Times New Roman" w:hAnsi="Arial" w:cs="Arial"/>
          <w:shd w:val="clear" w:color="auto" w:fill="FFFFFF"/>
        </w:rPr>
        <w:t xml:space="preserve"> For each mouse specimen, quantifiable values for TH+, Kv7+, TH+/Kv7+</w:t>
      </w:r>
      <w:r w:rsidR="005620D3" w:rsidRPr="008804FC">
        <w:rPr>
          <w:rFonts w:ascii="Arial" w:eastAsia="Times New Roman" w:hAnsi="Arial" w:cs="Arial"/>
          <w:shd w:val="clear" w:color="auto" w:fill="FFFFFF"/>
        </w:rPr>
        <w:t>, CaMKIα+, and TH+/CaMKIα+</w:t>
      </w:r>
      <w:r w:rsidRPr="008804FC">
        <w:rPr>
          <w:rFonts w:ascii="Arial" w:eastAsia="Times New Roman" w:hAnsi="Arial" w:cs="Arial"/>
          <w:shd w:val="clear" w:color="auto" w:fill="FFFFFF"/>
        </w:rPr>
        <w:t xml:space="preserve"> were derived from 2-3 slices of the VTA that were contralateral to the surgical site. </w:t>
      </w:r>
    </w:p>
    <w:p w14:paraId="36EEBF0B" w14:textId="77777777" w:rsidR="00A84636" w:rsidRPr="008804FC" w:rsidRDefault="00A84636" w:rsidP="008804FC">
      <w:pPr>
        <w:spacing w:line="240" w:lineRule="auto"/>
        <w:jc w:val="both"/>
        <w:rPr>
          <w:rFonts w:ascii="Arial" w:eastAsia="Times New Roman" w:hAnsi="Arial" w:cs="Arial"/>
          <w:b/>
          <w:bCs/>
          <w:shd w:val="clear" w:color="auto" w:fill="FFFFFF"/>
        </w:rPr>
      </w:pPr>
      <w:r w:rsidRPr="008804FC">
        <w:rPr>
          <w:rFonts w:ascii="Arial" w:eastAsia="Times New Roman" w:hAnsi="Arial" w:cs="Arial"/>
          <w:b/>
          <w:bCs/>
          <w:shd w:val="clear" w:color="auto" w:fill="FFFFFF"/>
        </w:rPr>
        <w:t xml:space="preserve">Quantification of 2-AG and AEA by LC-MS </w:t>
      </w:r>
    </w:p>
    <w:p w14:paraId="7B57A232" w14:textId="1E722B3F" w:rsidR="00A84636" w:rsidRPr="008804FC" w:rsidRDefault="00A84636" w:rsidP="008804FC">
      <w:pPr>
        <w:spacing w:line="240" w:lineRule="auto"/>
        <w:jc w:val="both"/>
        <w:rPr>
          <w:rFonts w:ascii="Arial" w:eastAsia="Times New Roman" w:hAnsi="Arial" w:cs="Arial"/>
          <w:shd w:val="clear" w:color="auto" w:fill="FFFFFF"/>
        </w:rPr>
      </w:pPr>
      <w:r w:rsidRPr="008804FC">
        <w:rPr>
          <w:rFonts w:ascii="Arial" w:eastAsia="Times New Roman" w:hAnsi="Arial" w:cs="Arial"/>
          <w:shd w:val="clear" w:color="auto" w:fill="FFFFFF"/>
        </w:rPr>
        <w:t xml:space="preserve">Following methodologies established in prior research </w:t>
      </w:r>
      <w:r w:rsidR="006F71D7" w:rsidRPr="008804FC">
        <w:rPr>
          <w:rFonts w:ascii="Arial" w:eastAsia="Times New Roman" w:hAnsi="Arial" w:cs="Arial"/>
          <w:shd w:val="clear" w:color="auto" w:fill="FFFFFF"/>
        </w:rPr>
        <w:fldChar w:fldCharType="begin"/>
      </w:r>
      <w:r w:rsidR="00882E99">
        <w:rPr>
          <w:rFonts w:ascii="Arial" w:eastAsia="Times New Roman" w:hAnsi="Arial" w:cs="Arial"/>
          <w:shd w:val="clear" w:color="auto" w:fill="FFFFFF"/>
        </w:rPr>
        <w:instrText xml:space="preserve"> ADDIN ZOTERO_ITEM CSL_CITATION {"citationID":"d3vPt3zJ","properties":{"unsorted":false,"formattedCitation":"[12]","plainCitation":"[12]","noteIndex":0},"citationItems":[{"id":6584,"uris":["http://zotero.org/users/14649661/items/AMJQLHE3"],"itemData":{"id":6584,"type":"article-journal","abstract":"INTRODUCTION: The high prevalence and severe symptoms of migraines in humans emphasizes the need to identify underlying mechanisms that can be targeted for therapeutic benefit. Clinical Endocannabinoid Deficiency (CED) posits that reduced endocannabinoid tone may contribute to migraine development and other neuropathic pain conditions. While strategies that increase levels of the endocannabinoid n-arachidonoylethanolamide have been tested, few studies have investigated targeting the levels of the more abundant endocannabinoid, 2-arachidonoylgycerol, as an effective migraine intervention.\nMETHODS: Cortical spreading depression was induced in female Sprague Dawley rats via KCl (potassium chloride) administration, followed by measures of endocannabinoid levels, enzyme activity, and neuroinflammatory markers. Efficacy of inhibiting 2-arachidonoylglycerol hydrolysis to mitigate periorbital allodynia was then tested using reversal and prevention paradigms.\nRESULTS: We discovered reduced 2-arachidonoylglycerol levels in the periaqueductal grey associated with increased hydrolysis following headache induction. Pharmacological inhibition of the 2-arachidonoylglycerol hydrolyzing enzymes, α/β-hydrolase domain-containing 6 and monoacylglycerol lipase reversed and prevented induced periorbital allodynia in a cannabinoid receptor-dependent manner.\nDISCUSSION: Our study unravels a mechanistic link between 2-arachidonoylglycerol hydrolysis activity in the periaqueductal grey in a preclinical, rat model of migraine. Thus, 2-arachidonoylglycerol hydrolysis inhibitors represent a potential new therapeutic avenue for the treatment of headache.","container-title":"Frontiers in Pain Research (Lausanne, Switzerland)","DOI":"10.3389/fpain.2023.1171188","ISSN":"2673-561X","journalAbbreviation":"Front Pain Res (Lausanne)","language":"eng","note":"PMID: 37287623\nPMCID: PMC10242073","page":"1171188","source":"PubMed","title":"ABHD6 and MAGL control 2-AG levels in the PAG and allodynia in a CSD-induced periorbital model of headache","volume":"4","author":[{"family":"Liktor-Busa","given":"Erika"},{"family":"Levine","given":"Aidan A."},{"family":"Palomino","given":"Seph M."},{"family":"Singh","given":"Simar"},{"family":"Wahl","given":"Jared"},{"family":"Vanderah","given":"Todd W."},{"family":"Stella","given":"Nephi"},{"family":"Largent-Milnes","given":"Tally M."}],"issued":{"date-parts":[["2023"]]},"citation-key":"liktor-busaABHD6MAGLControl2023"},"locator":null,"label":null,"suppress-author":null,"prefix":null,"suffix":null}],"schema":"https://github.com/citation-style-language/schema/raw/master/csl-citation.json"} </w:instrText>
      </w:r>
      <w:r w:rsidR="006F71D7" w:rsidRPr="008804FC">
        <w:rPr>
          <w:rFonts w:ascii="Arial" w:eastAsia="Times New Roman" w:hAnsi="Arial" w:cs="Arial"/>
          <w:shd w:val="clear" w:color="auto" w:fill="FFFFFF"/>
        </w:rPr>
        <w:fldChar w:fldCharType="separate"/>
      </w:r>
      <w:r w:rsidR="00882E99" w:rsidRPr="00882E99">
        <w:rPr>
          <w:rFonts w:ascii="Calibri" w:hAnsi="Calibri" w:cs="Calibri"/>
        </w:rPr>
        <w:t>[12]</w:t>
      </w:r>
      <w:r w:rsidR="006F71D7" w:rsidRPr="008804FC">
        <w:rPr>
          <w:rFonts w:ascii="Arial" w:eastAsia="Times New Roman" w:hAnsi="Arial" w:cs="Arial"/>
          <w:shd w:val="clear" w:color="auto" w:fill="FFFFFF"/>
        </w:rPr>
        <w:fldChar w:fldCharType="end"/>
      </w:r>
      <w:r w:rsidRPr="008804FC">
        <w:rPr>
          <w:rFonts w:ascii="Arial" w:eastAsia="Times New Roman" w:hAnsi="Arial" w:cs="Arial"/>
          <w:shd w:val="clear" w:color="auto" w:fill="FFFFFF"/>
        </w:rPr>
        <w:t xml:space="preserve">, tissue samples (n = </w:t>
      </w:r>
      <w:r w:rsidR="005620D3" w:rsidRPr="008804FC">
        <w:rPr>
          <w:rFonts w:ascii="Arial" w:eastAsia="Times New Roman" w:hAnsi="Arial" w:cs="Arial"/>
          <w:shd w:val="clear" w:color="auto" w:fill="FFFFFF"/>
        </w:rPr>
        <w:t>4-5 bilateral punches per sample</w:t>
      </w:r>
      <w:r w:rsidRPr="008804FC">
        <w:rPr>
          <w:rFonts w:ascii="Arial" w:eastAsia="Times New Roman" w:hAnsi="Arial" w:cs="Arial"/>
          <w:shd w:val="clear" w:color="auto" w:fill="FFFFFF"/>
        </w:rPr>
        <w:t xml:space="preserve">) were subjected to organic solvent extraction to purify for LC-MS analysis, following the protocol detailed by Wilkerson et al. </w:t>
      </w:r>
      <w:r w:rsidR="006F71D7" w:rsidRPr="008804FC">
        <w:rPr>
          <w:rFonts w:ascii="Arial" w:eastAsia="Times New Roman" w:hAnsi="Arial" w:cs="Arial"/>
          <w:shd w:val="clear" w:color="auto" w:fill="FFFFFF"/>
        </w:rPr>
        <w:fldChar w:fldCharType="begin"/>
      </w:r>
      <w:r w:rsidR="00882E99">
        <w:rPr>
          <w:rFonts w:ascii="Arial" w:eastAsia="Times New Roman" w:hAnsi="Arial" w:cs="Arial"/>
          <w:shd w:val="clear" w:color="auto" w:fill="FFFFFF"/>
        </w:rPr>
        <w:instrText xml:space="preserve"> ADDIN ZOTERO_ITEM CSL_CITATION {"citationID":"BE1Oa7JH","properties":{"unsorted":false,"formattedCitation":"[13]","plainCitation":"[13]","noteIndex":0},"citationItems":[{"id":6587,"uris":["http://zotero.org/users/14649661/items/E2MRC7W8"],"itemData":{"id":6587,"type":"article-journal","abstract":"Serious clinical liabilities associated with the prescription of opiates for pain control include constipation, respiratory depression, pruritus, tolerance, abuse, and addiction. A recognized strategy to circumvent these side effects is to combine opioids with other antinociceptive agents. The combination of opiates with the primary active constituent of cannabis (Δ(9)-tetrahydrocannabinol) produces enhanced antinociceptive actions, suggesting that cannabinoid receptor agonists can be opioid sparing. Here, we tested whether elevating the endogenous cannabinoid 2-arachidonoylglycerol through the inhibition of its primary hydrolytic enzyme monoacylglycerol lipase (MAGL), will produce opioid-sparing effects in the mouse chronic constriction injury (CCI) of the sciatic nerve model of neuropathic pain. The dose-response relationships of i.p. administration of morphine and the selective MAGL inhibitor 2,5-dioxopyrrolidin-1-yl 4-(bis(4-chlorophenyl)methyl)piperazine-1-carboxylate (MJN110) were tested alone and in combination at equieffective doses for reversal of CCI-induced mechanical allodynia and thermal hyperalgesia. The respective ED50 doses (95% confidence interval) of morphine and MJN110 were 2.4 (1.9-3.0) mg/kg and 0.43 (0.23-0.79) mg/kg. Isobolographic analysis of these drugs in combination revealed synergistic antiallodynic effects. Acute antinociceptive effects of the combination of morphine and MJN110 required μ-opioid, CB1, and CB2 receptors. This combination did not reduce gastric motility or produce subjective cannabimimetic effects in the drug discrimination assay. Importantly, combinations of MJN110 and morphine given repeatedly (i.e., twice a day for 6 days) continued to produce antiallodynic effects with no evidence of tolerance. Taken together, these findings suggest that MAGL inhibition produces opiate-sparing events with diminished tolerance, constipation, and cannabimimetic side effects.","container-title":"The Journal of Pharmacology and Experimental Therapeutics","DOI":"10.1124/jpet.115.229971","ISSN":"1521-0103","issue":"1","journalAbbreviation":"J Pharmacol Exp Ther","language":"eng","note":"PMID: 26791602\nPMCID: PMC4809319","page":"145-156","source":"PubMed","title":"The Selective Monoacylglycerol Lipase Inhibitor MJN110 Produces Opioid-Sparing Effects in a Mouse Neuropathic Pain Model","volume":"357","author":[{"family":"Wilkerson","given":"Jenny L."},{"family":"Niphakis","given":"Micah J."},{"family":"Grim","given":"Travis W."},{"family":"Mustafa","given":"Mohammed A."},{"family":"Abdullah","given":"Rehab A."},{"family":"Poklis","given":"Justin L."},{"family":"Dewey","given":"William L."},{"family":"Akbarali","given":"Hamid"},{"family":"Banks","given":"Matthew L."},{"family":"Wise","given":"Laura E."},{"family":"Cravatt","given":"Benjamin F."},{"family":"Lichtman","given":"Aron H."}],"issued":{"date-parts":[["2016",4]]},"citation-key":"wilkersonSelectiveMonoacylglycerolLipase2016"},"locator":null,"label":null,"suppress-author":null,"prefix":null,"suffix":null}],"schema":"https://github.com/citation-style-language/schema/raw/master/csl-citation.json"} </w:instrText>
      </w:r>
      <w:r w:rsidR="006F71D7" w:rsidRPr="008804FC">
        <w:rPr>
          <w:rFonts w:ascii="Arial" w:eastAsia="Times New Roman" w:hAnsi="Arial" w:cs="Arial"/>
          <w:shd w:val="clear" w:color="auto" w:fill="FFFFFF"/>
        </w:rPr>
        <w:fldChar w:fldCharType="separate"/>
      </w:r>
      <w:r w:rsidR="00882E99" w:rsidRPr="00882E99">
        <w:rPr>
          <w:rFonts w:ascii="Calibri" w:hAnsi="Calibri" w:cs="Calibri"/>
        </w:rPr>
        <w:t>[13]</w:t>
      </w:r>
      <w:r w:rsidR="006F71D7" w:rsidRPr="008804FC">
        <w:rPr>
          <w:rFonts w:ascii="Arial" w:eastAsia="Times New Roman" w:hAnsi="Arial" w:cs="Arial"/>
          <w:shd w:val="clear" w:color="auto" w:fill="FFFFFF"/>
        </w:rPr>
        <w:fldChar w:fldCharType="end"/>
      </w:r>
      <w:r w:rsidRPr="008804FC">
        <w:rPr>
          <w:rFonts w:ascii="Arial" w:eastAsia="Times New Roman" w:hAnsi="Arial" w:cs="Arial"/>
          <w:shd w:val="clear" w:color="auto" w:fill="FFFFFF"/>
        </w:rPr>
        <w:t>. On the day of processing, tissues were weighed and homogenized using a Dounce homogenizer with 1 ml of chloroform/methanol (2:1</w:t>
      </w:r>
      <w:r w:rsidR="001860F9" w:rsidRPr="008804FC">
        <w:rPr>
          <w:rFonts w:ascii="Arial" w:eastAsia="Times New Roman" w:hAnsi="Arial" w:cs="Arial"/>
          <w:shd w:val="clear" w:color="auto" w:fill="FFFFFF"/>
        </w:rPr>
        <w:t> </w:t>
      </w:r>
      <w:r w:rsidRPr="008804FC">
        <w:rPr>
          <w:rFonts w:ascii="Arial" w:eastAsia="Times New Roman" w:hAnsi="Arial" w:cs="Arial"/>
          <w:shd w:val="clear" w:color="auto" w:fill="FFFFFF"/>
        </w:rPr>
        <w:t>v/v), supplemented with phenylmethylsulfonyl fluoride (PMSF, 1 mM) to inhibit degradation by endogenous enzymes. The homogenates were subsequently mixed with 0.3 ml of NaCl (0.7%</w:t>
      </w:r>
      <w:r w:rsidR="001860F9" w:rsidRPr="008804FC">
        <w:rPr>
          <w:rFonts w:ascii="Arial" w:eastAsia="Times New Roman" w:hAnsi="Arial" w:cs="Arial"/>
          <w:shd w:val="clear" w:color="auto" w:fill="FFFFFF"/>
        </w:rPr>
        <w:t> </w:t>
      </w:r>
      <w:r w:rsidRPr="008804FC">
        <w:rPr>
          <w:rFonts w:ascii="Arial" w:eastAsia="Times New Roman" w:hAnsi="Arial" w:cs="Arial"/>
          <w:shd w:val="clear" w:color="auto" w:fill="FFFFFF"/>
        </w:rPr>
        <w:t xml:space="preserve">w/v), vortexed, and centrifuged at 3,200 × g for 10 minutes at 4°C. The aqueous phase, along with debris, was collected and subjected to two additional extractions with 0.8 ml of </w:t>
      </w:r>
      <w:r w:rsidRPr="008804FC">
        <w:rPr>
          <w:rFonts w:ascii="Arial" w:eastAsia="Times New Roman" w:hAnsi="Arial" w:cs="Arial"/>
          <w:shd w:val="clear" w:color="auto" w:fill="FFFFFF"/>
        </w:rPr>
        <w:lastRenderedPageBreak/>
        <w:t xml:space="preserve">chloroform. The organic phases were combined, and an internal standard was introduced to each sample. Mixed internal standards were prepared through serial dilution of d4-AEA and d5-2-AG in acetonitrile to facilitate concentration calculations and to account for run variability according to Wilkerson et al. </w:t>
      </w:r>
      <w:r w:rsidR="006F71D7" w:rsidRPr="008804FC">
        <w:rPr>
          <w:rFonts w:ascii="Arial" w:eastAsia="Times New Roman" w:hAnsi="Arial" w:cs="Arial"/>
          <w:shd w:val="clear" w:color="auto" w:fill="FFFFFF"/>
        </w:rPr>
        <w:fldChar w:fldCharType="begin"/>
      </w:r>
      <w:r w:rsidR="00882E99">
        <w:rPr>
          <w:rFonts w:ascii="Arial" w:eastAsia="Times New Roman" w:hAnsi="Arial" w:cs="Arial"/>
          <w:shd w:val="clear" w:color="auto" w:fill="FFFFFF"/>
        </w:rPr>
        <w:instrText xml:space="preserve"> ADDIN ZOTERO_ITEM CSL_CITATION {"citationID":"TfQEwzP7","properties":{"unsorted":false,"formattedCitation":"[13]","plainCitation":"[13]","noteIndex":0},"citationItems":[{"id":6587,"uris":["http://zotero.org/users/14649661/items/E2MRC7W8"],"itemData":{"id":6587,"type":"article-journal","abstract":"Serious clinical liabilities associated with the prescription of opiates for pain control include constipation, respiratory depression, pruritus, tolerance, abuse, and addiction. A recognized strategy to circumvent these side effects is to combine opioids with other antinociceptive agents. The combination of opiates with the primary active constituent of cannabis (Δ(9)-tetrahydrocannabinol) produces enhanced antinociceptive actions, suggesting that cannabinoid receptor agonists can be opioid sparing. Here, we tested whether elevating the endogenous cannabinoid 2-arachidonoylglycerol through the inhibition of its primary hydrolytic enzyme monoacylglycerol lipase (MAGL), will produce opioid-sparing effects in the mouse chronic constriction injury (CCI) of the sciatic nerve model of neuropathic pain. The dose-response relationships of i.p. administration of morphine and the selective MAGL inhibitor 2,5-dioxopyrrolidin-1-yl 4-(bis(4-chlorophenyl)methyl)piperazine-1-carboxylate (MJN110) were tested alone and in combination at equieffective doses for reversal of CCI-induced mechanical allodynia and thermal hyperalgesia. The respective ED50 doses (95% confidence interval) of morphine and MJN110 were 2.4 (1.9-3.0) mg/kg and 0.43 (0.23-0.79) mg/kg. Isobolographic analysis of these drugs in combination revealed synergistic antiallodynic effects. Acute antinociceptive effects of the combination of morphine and MJN110 required μ-opioid, CB1, and CB2 receptors. This combination did not reduce gastric motility or produce subjective cannabimimetic effects in the drug discrimination assay. Importantly, combinations of MJN110 and morphine given repeatedly (i.e., twice a day for 6 days) continued to produce antiallodynic effects with no evidence of tolerance. Taken together, these findings suggest that MAGL inhibition produces opiate-sparing events with diminished tolerance, constipation, and cannabimimetic side effects.","container-title":"The Journal of Pharmacology and Experimental Therapeutics","DOI":"10.1124/jpet.115.229971","ISSN":"1521-0103","issue":"1","journalAbbreviation":"J Pharmacol Exp Ther","language":"eng","note":"PMID: 26791602\nPMCID: PMC4809319","page":"145-156","source":"PubMed","title":"The Selective Monoacylglycerol Lipase Inhibitor MJN110 Produces Opioid-Sparing Effects in a Mouse Neuropathic Pain Model","volume":"357","author":[{"family":"Wilkerson","given":"Jenny L."},{"family":"Niphakis","given":"Micah J."},{"family":"Grim","given":"Travis W."},{"family":"Mustafa","given":"Mohammed A."},{"family":"Abdullah","given":"Rehab A."},{"family":"Poklis","given":"Justin L."},{"family":"Dewey","given":"William L."},{"family":"Akbarali","given":"Hamid"},{"family":"Banks","given":"Matthew L."},{"family":"Wise","given":"Laura E."},{"family":"Cravatt","given":"Benjamin F."},{"family":"Lichtman","given":"Aron H."}],"issued":{"date-parts":[["2016",4]]},"citation-key":"wilkersonSelectiveMonoacylglycerolLipase2016"},"locator":null,"label":null,"suppress-author":null,"prefix":null,"suffix":null}],"schema":"https://github.com/citation-style-language/schema/raw/master/csl-citation.json"} </w:instrText>
      </w:r>
      <w:r w:rsidR="006F71D7" w:rsidRPr="008804FC">
        <w:rPr>
          <w:rFonts w:ascii="Arial" w:eastAsia="Times New Roman" w:hAnsi="Arial" w:cs="Arial"/>
          <w:shd w:val="clear" w:color="auto" w:fill="FFFFFF"/>
        </w:rPr>
        <w:fldChar w:fldCharType="separate"/>
      </w:r>
      <w:r w:rsidR="00882E99" w:rsidRPr="00882E99">
        <w:rPr>
          <w:rFonts w:ascii="Calibri" w:hAnsi="Calibri" w:cs="Calibri"/>
        </w:rPr>
        <w:t>[13]</w:t>
      </w:r>
      <w:r w:rsidR="006F71D7" w:rsidRPr="008804FC">
        <w:rPr>
          <w:rFonts w:ascii="Arial" w:eastAsia="Times New Roman" w:hAnsi="Arial" w:cs="Arial"/>
          <w:shd w:val="clear" w:color="auto" w:fill="FFFFFF"/>
        </w:rPr>
        <w:fldChar w:fldCharType="end"/>
      </w:r>
      <w:r w:rsidRPr="008804FC">
        <w:rPr>
          <w:rFonts w:ascii="Arial" w:eastAsia="Times New Roman" w:hAnsi="Arial" w:cs="Arial"/>
          <w:shd w:val="clear" w:color="auto" w:fill="FFFFFF"/>
        </w:rPr>
        <w:t xml:space="preserve">.The organic solvents were evaporated using nitrogen gas, following which glycerol in methanol (6 µl, 30%) was added prior to evaporation. The dried samples were reconstituted with 0.2 ml of chloroform and combined with 1 ml of ice-cold acetone. The mixtures were then centrifuged at 1,800 × g for 5 minutes at 4°C, after which the organic layer of each sample was collected and subjected to further nitrogen evaporation. </w:t>
      </w:r>
    </w:p>
    <w:p w14:paraId="647250A9" w14:textId="2479B29C" w:rsidR="00A84636" w:rsidRPr="008804FC" w:rsidRDefault="00A84636" w:rsidP="008804FC">
      <w:pPr>
        <w:spacing w:line="240" w:lineRule="auto"/>
        <w:jc w:val="both"/>
        <w:rPr>
          <w:rFonts w:ascii="Arial" w:eastAsia="Times New Roman" w:hAnsi="Arial" w:cs="Arial"/>
          <w:shd w:val="clear" w:color="auto" w:fill="FFFFFF"/>
        </w:rPr>
      </w:pPr>
      <w:r w:rsidRPr="008804FC">
        <w:rPr>
          <w:rFonts w:ascii="Arial" w:eastAsia="Times New Roman" w:hAnsi="Arial" w:cs="Arial"/>
          <w:shd w:val="clear" w:color="auto" w:fill="FFFFFF"/>
        </w:rPr>
        <w:t xml:space="preserve">Analysis of 2-AG and AEA was conducted using an Agilent 6495C triple </w:t>
      </w:r>
      <w:proofErr w:type="gramStart"/>
      <w:r w:rsidRPr="008804FC">
        <w:rPr>
          <w:rFonts w:ascii="Arial" w:eastAsia="Times New Roman" w:hAnsi="Arial" w:cs="Arial"/>
          <w:shd w:val="clear" w:color="auto" w:fill="FFFFFF"/>
        </w:rPr>
        <w:t>quadrupole</w:t>
      </w:r>
      <w:proofErr w:type="gramEnd"/>
      <w:r w:rsidRPr="008804FC">
        <w:rPr>
          <w:rFonts w:ascii="Arial" w:eastAsia="Times New Roman" w:hAnsi="Arial" w:cs="Arial"/>
          <w:shd w:val="clear" w:color="auto" w:fill="FFFFFF"/>
        </w:rPr>
        <w:t xml:space="preserve"> mass spectrometer coupled with a 1,290 Infinity II UPLC system (Agilent, Palo Alto, CA). The </w:t>
      </w:r>
      <w:r w:rsidR="00515E8A" w:rsidRPr="008804FC">
        <w:rPr>
          <w:rFonts w:ascii="Arial" w:eastAsia="Times New Roman" w:hAnsi="Arial" w:cs="Arial"/>
          <w:shd w:val="clear" w:color="auto" w:fill="FFFFFF"/>
        </w:rPr>
        <w:t>system</w:t>
      </w:r>
      <w:r w:rsidRPr="008804FC">
        <w:rPr>
          <w:rFonts w:ascii="Arial" w:eastAsia="Times New Roman" w:hAnsi="Arial" w:cs="Arial"/>
          <w:shd w:val="clear" w:color="auto" w:fill="FFFFFF"/>
        </w:rPr>
        <w:t xml:space="preserve"> was </w:t>
      </w:r>
      <w:r w:rsidR="00515E8A" w:rsidRPr="008804FC">
        <w:rPr>
          <w:rFonts w:ascii="Arial" w:eastAsia="Times New Roman" w:hAnsi="Arial" w:cs="Arial"/>
          <w:shd w:val="clear" w:color="auto" w:fill="FFFFFF"/>
        </w:rPr>
        <w:t>used</w:t>
      </w:r>
      <w:r w:rsidRPr="008804FC">
        <w:rPr>
          <w:rFonts w:ascii="Arial" w:eastAsia="Times New Roman" w:hAnsi="Arial" w:cs="Arial"/>
          <w:shd w:val="clear" w:color="auto" w:fill="FFFFFF"/>
        </w:rPr>
        <w:t xml:space="preserve"> in the electrospray positive mode with a gas temperature of 150°C, a flow rate of 5</w:t>
      </w:r>
      <w:r w:rsidR="00EB418E" w:rsidRPr="008804FC">
        <w:rPr>
          <w:rFonts w:ascii="Arial" w:eastAsia="Times New Roman" w:hAnsi="Arial" w:cs="Arial"/>
          <w:shd w:val="clear" w:color="auto" w:fill="FFFFFF"/>
        </w:rPr>
        <w:t> </w:t>
      </w:r>
      <w:r w:rsidRPr="008804FC">
        <w:rPr>
          <w:rFonts w:ascii="Arial" w:eastAsia="Times New Roman" w:hAnsi="Arial" w:cs="Arial"/>
          <w:shd w:val="clear" w:color="auto" w:fill="FFFFFF"/>
        </w:rPr>
        <w:t>L/min, a nebulizer pressure of 15 psi, a capillary voltage of 4,500 V, sheath gas set to 400°C at a flow rate of 12 L/min, and a nozzle voltage of 300 V. Monitored transitions included 348.3 → 287.3 and 62, 352.3 → 287.4 and 65.9, 379.3 → 287.2 and 269.2, and 384.3 → 287.2 and 296.1 for AEA, 2-AG, d4-AEA, and d5-2-AG, respectively. The first fragment was utilized for quantification, while the second served for confirmation. The initial 3 minutes of analysis were diverted to waste. Chromatographic separation was accomplished using an isocratic system comprising 21% 1 mM ammonium fluoride and 79% methanol on an Acquity UPLC BEH C-18 1.7</w:t>
      </w:r>
      <w:r w:rsidR="001860F9" w:rsidRPr="008804FC">
        <w:rPr>
          <w:rFonts w:ascii="Arial" w:eastAsia="Times New Roman" w:hAnsi="Arial" w:cs="Arial"/>
          <w:shd w:val="clear" w:color="auto" w:fill="FFFFFF"/>
        </w:rPr>
        <w:t> </w:t>
      </w:r>
      <w:r w:rsidRPr="008804FC">
        <w:rPr>
          <w:rFonts w:ascii="Arial" w:eastAsia="Times New Roman" w:hAnsi="Arial" w:cs="Arial"/>
          <w:shd w:val="clear" w:color="auto" w:fill="FFFFFF"/>
        </w:rPr>
        <w:t>µm 2.1 × 100 mm column (Waters, Milford, MA) maintained at 60°C. Following each injection, the column was washed with 90% methanol for one minute and re-equilibrated for 5 minutes prior to the next injection. Samples were stored at 4°C. Calibration solutions were prepared from serial dilutions of AEA and 2-AG stock solutions in 80% C</w:t>
      </w:r>
      <w:r w:rsidRPr="008804FC">
        <w:rPr>
          <w:rFonts w:ascii="Cambria Math" w:eastAsia="Times New Roman" w:hAnsi="Cambria Math" w:cs="Cambria Math"/>
          <w:shd w:val="clear" w:color="auto" w:fill="FFFFFF"/>
        </w:rPr>
        <w:t>₂</w:t>
      </w:r>
      <w:r w:rsidRPr="008804FC">
        <w:rPr>
          <w:rFonts w:ascii="Arial" w:eastAsia="Times New Roman" w:hAnsi="Arial" w:cs="Arial"/>
          <w:shd w:val="clear" w:color="auto" w:fill="FFFFFF"/>
        </w:rPr>
        <w:t>H</w:t>
      </w:r>
      <w:r w:rsidRPr="008804FC">
        <w:rPr>
          <w:rFonts w:ascii="Cambria Math" w:eastAsia="Times New Roman" w:hAnsi="Cambria Math" w:cs="Cambria Math"/>
          <w:shd w:val="clear" w:color="auto" w:fill="FFFFFF"/>
        </w:rPr>
        <w:t>₃</w:t>
      </w:r>
      <w:r w:rsidRPr="008804FC">
        <w:rPr>
          <w:rFonts w:ascii="Arial" w:eastAsia="Times New Roman" w:hAnsi="Arial" w:cs="Arial"/>
          <w:shd w:val="clear" w:color="auto" w:fill="FFFFFF"/>
        </w:rPr>
        <w:t>N. Calibration curves for each analysis were generated by adding 10 µl of internal standard solution to 20 µl of standard solution. To the dried samples, 200 µl of a solvent mixture containing 80:20 C</w:t>
      </w:r>
      <w:r w:rsidRPr="008804FC">
        <w:rPr>
          <w:rFonts w:ascii="Cambria Math" w:eastAsia="Times New Roman" w:hAnsi="Cambria Math" w:cs="Cambria Math"/>
          <w:shd w:val="clear" w:color="auto" w:fill="FFFFFF"/>
        </w:rPr>
        <w:t>₂</w:t>
      </w:r>
      <w:r w:rsidRPr="008804FC">
        <w:rPr>
          <w:rFonts w:ascii="Arial" w:eastAsia="Times New Roman" w:hAnsi="Arial" w:cs="Arial"/>
          <w:shd w:val="clear" w:color="auto" w:fill="FFFFFF"/>
        </w:rPr>
        <w:t>H</w:t>
      </w:r>
      <w:r w:rsidRPr="008804FC">
        <w:rPr>
          <w:rFonts w:ascii="Cambria Math" w:eastAsia="Times New Roman" w:hAnsi="Cambria Math" w:cs="Cambria Math"/>
          <w:shd w:val="clear" w:color="auto" w:fill="FFFFFF"/>
        </w:rPr>
        <w:t>₃</w:t>
      </w:r>
      <w:r w:rsidRPr="008804FC">
        <w:rPr>
          <w:rFonts w:ascii="Arial" w:eastAsia="Times New Roman" w:hAnsi="Arial" w:cs="Arial"/>
          <w:shd w:val="clear" w:color="auto" w:fill="FFFFFF"/>
        </w:rPr>
        <w:t>N:H</w:t>
      </w:r>
      <w:r w:rsidRPr="008804FC">
        <w:rPr>
          <w:rFonts w:ascii="Cambria Math" w:eastAsia="Times New Roman" w:hAnsi="Cambria Math" w:cs="Cambria Math"/>
          <w:shd w:val="clear" w:color="auto" w:fill="FFFFFF"/>
        </w:rPr>
        <w:t>₂</w:t>
      </w:r>
      <w:r w:rsidRPr="008804FC">
        <w:rPr>
          <w:rFonts w:ascii="Arial" w:eastAsia="Times New Roman" w:hAnsi="Arial" w:cs="Arial"/>
          <w:shd w:val="clear" w:color="auto" w:fill="FFFFFF"/>
        </w:rPr>
        <w:t xml:space="preserve">O was added, followed by vortexing and sonication. Samples underwent centrifugation at 15,800 × g for 5 minutes at 4°C, whereupon the supernatant was transferred to autosampler vials, and 5 µl was injected for analysis. </w:t>
      </w:r>
    </w:p>
    <w:p w14:paraId="02AB1E40" w14:textId="77777777" w:rsidR="008804FC" w:rsidRPr="008804FC" w:rsidRDefault="008804FC" w:rsidP="008804FC">
      <w:pPr>
        <w:spacing w:line="240" w:lineRule="auto"/>
        <w:jc w:val="both"/>
        <w:rPr>
          <w:rFonts w:ascii="Arial" w:eastAsia="Times New Roman" w:hAnsi="Arial" w:cs="Arial"/>
          <w:b/>
          <w:bCs/>
          <w:color w:val="000000"/>
        </w:rPr>
      </w:pPr>
      <w:r w:rsidRPr="008804FC">
        <w:rPr>
          <w:rFonts w:ascii="Arial" w:eastAsia="Times New Roman" w:hAnsi="Arial" w:cs="Arial"/>
          <w:b/>
          <w:bCs/>
          <w:color w:val="000000"/>
        </w:rPr>
        <w:t>In-gel digestion</w:t>
      </w:r>
    </w:p>
    <w:p w14:paraId="79B41FCA" w14:textId="304AEF6B" w:rsidR="008804FC" w:rsidRPr="008804FC" w:rsidRDefault="008804FC" w:rsidP="008804FC">
      <w:pPr>
        <w:spacing w:line="240" w:lineRule="auto"/>
        <w:jc w:val="both"/>
        <w:rPr>
          <w:rFonts w:ascii="Arial" w:hAnsi="Arial" w:cs="Arial"/>
          <w:spacing w:val="1"/>
        </w:rPr>
      </w:pPr>
      <w:r w:rsidRPr="008804FC">
        <w:rPr>
          <w:rFonts w:ascii="Arial" w:hAnsi="Arial" w:cs="Arial"/>
          <w:spacing w:val="1"/>
        </w:rPr>
        <w:t xml:space="preserve">Using previously published procedures </w:t>
      </w:r>
      <w:r w:rsidRPr="008804FC">
        <w:rPr>
          <w:rFonts w:ascii="Arial" w:hAnsi="Arial" w:cs="Arial"/>
          <w:spacing w:val="1"/>
        </w:rPr>
        <w:fldChar w:fldCharType="begin"/>
      </w:r>
      <w:r w:rsidR="00882E99">
        <w:rPr>
          <w:rFonts w:ascii="Arial" w:hAnsi="Arial" w:cs="Arial"/>
          <w:spacing w:val="1"/>
        </w:rPr>
        <w:instrText xml:space="preserve"> ADDIN ZOTERO_ITEM CSL_CITATION {"citationID":"lD96FPos","properties":{"unsorted":false,"formattedCitation":"[14\\uc0\\u8211{}16]","plainCitation":"[14–16]","noteIndex":0},"citationItems":[{"id":6590,"uris":["http://zotero.org/users/14649661/items/LLM84MQD"],"itemData":{"id":6590,"type":"article-journal","abstract":"CLASP2 is a microtubule-associated protein that undergoes insulin-stimulated phosphorylation and co-localization with reorganized actin and GLUT4 at the plasma membrane. To gain insight to the role of CLASP2 in this system, we developed and successfully executed a streamlined interactome approach and built a CLASP2 protein network in 3T3-L1 adipocytes. Using two different commercially available antibodies for CLASP2 and an antibody for epitope-tagged, overexpressed CLASP2, we performed multiple affinity purification coupled with mass spectrometry (AP-MS) experiments in combination with label-free quantitative proteomics and analyzed the data with the bioinformatics tool Significance Analysis of Interactome (SAINT). We discovered that CLASP2 coimmunoprecipitates (co-IPs) the novel protein SOGA1, the microtubule-associated protein kinase MARK2, and the microtubule/actin-regulating protein G2L1. The GTPase-activating proteins AGAP1 and AGAP3 were also enriched in the CLASP2 interactome, although subsequent AGAP3 and CLIP2 interactome analysis suggests a preference of AGAP3 for CLIP2. Follow-up MARK2 interactome analysis confirmed reciprocal co-IP of CLASP2 and revealed MARK2 can co-IP SOGA1, glycogen synthase, and glycogenin. Investigating the SOGA1 interactome confirmed SOGA1 can reciprocal co-IP both CLASP2 and MARK2 as well as glycogen synthase and glycogenin. SOGA1 was confirmed to colocalize with CLASP2 and with tubulin, which identifies SOGA1 as a new microtubule-associated protein. These results introduce the metabolic function of these proposed novel protein networks and their relationship with microtubules as new fields of cytoskeleton-associated protein biology.","container-title":"Molecular &amp; cellular proteomics: MCP","DOI":"10.1074/mcp.RA117.000011","ISSN":"1535-9484","issue":"10","journalAbbreviation":"Mol Cell Proteomics","language":"eng","note":"PMID: 28550165\nPMCID: PMC5629260","page":"1718-1735","source":"PubMed","title":"Characterization of the CLASP2 Protein Interaction Network Identifies SOGA1 as a Microtubule-Associated Protein","volume":"16","author":[{"family":"Kruse","given":"Rikke"},{"family":"Krantz","given":"James"},{"family":"Barker","given":"Natalie"},{"family":"Coletta","given":"Richard L."},{"family":"Rafikov","given":"Ruslan"},{"family":"Luo","given":"Moulun"},{"family":"Højlund","given":"Kurt"},{"family":"Mandarino","given":"Lawrence J."},{"family":"Langlais","given":"Paul R."}],"issued":{"date-parts":[["2017",10]]},"citation-key":"kruseCharacterizationCLASP2Protein2017"},"locator":null,"label":null,"suppress-author":null,"prefix":null,"suffix":null},{"id":6592,"uris":["http://zotero.org/users/14649661/items/RW3QC8AX"],"itemData":{"id":6592,"type":"article-journal","abstract":"Insulin-stimulated glucose uptake is known to involve microtubules, although the function of microtubules and the microtubule-regulating proteins involved in insulin action are poorly understood. CLASP2, a plus-end tracking microtubule-associated protein (+TIP) that controls microtubule dynamics, was recently implicated as the first +TIP associated with insulin-regulated glucose uptake. Here, using protein-specific targeted quantitative phosphoproteomics within 3T3-L1 adipocytes, we discovered that insulin regulates phosphorylation of the CLASP2 network members G2L1, MARK2, CLIP2, AGAP3, and CKAP5 as well as EB1, revealing the existence of a previously unknown microtubule-associated protein system that responds to insulin. To further investigate, G2L1 interactome studies within 3T3-L1 adipocytes revealed that G2L1 coimmunoprecipitates CLASP2 and CLIP2 as well as the master integrators of +TIP assembly, the end binding (EB) proteins. Live-cell total internal reflection fluorescence microscopy in adipocytes revealed G2L1 and CLASP2 colocalize on microtubule plus-ends. We found that although insulin increases the number of CLASP2-containing plus-ends, insulin treatment simultaneously decreases CLASP2-containing plus-end velocity. In addition, we discovered that insulin stimulates redistribution of CLASP2 and G2L1 from exclusive plus-end tracking to \"trailing\" behind the growing tip of the microtubule. Insulin treatment increases α-tubulin Lysine 40 acetylation, a mechanism that was observed to be regulated by a counterbalance between GSK3 and mTOR, and led to microtubule stabilization. Our studies introduce insulin-stimulated microtubule stabilization and plus-end trailing of +TIPs as new modes of insulin action and reveal the likelihood that a network of microtubule-associated proteins synergize to coordinate insulin-regulated microtubule dynamics.","container-title":"Molecular &amp; cellular proteomics: MCP","DOI":"10.1074/mcp.RA119.001450","ISSN":"1535-9484","issue":"7","journalAbbreviation":"Mol Cell Proteomics","language":"eng","note":"PMID: 31018989\nPMCID: PMC6601206","page":"1363-1381","source":"PubMed","title":"Insulin Induces Microtubule Stabilization and Regulates the Microtubule Plus-end Tracking Protein Network in Adipocytes","volume":"18","author":[{"family":"Parker","given":"Sara S."},{"family":"Krantz","given":"James"},{"family":"Kwak","given":"Eun-A."},{"family":"Barker","given":"Natalie K."},{"family":"Deer","given":"Chris G."},{"family":"Lee","given":"Nam Y."},{"family":"Mouneimne","given":"Ghassan"},{"family":"Langlais","given":"Paul R."}],"issued":{"date-parts":[["2019",7]]},"citation-key":"parkerInsulinInducesMicrotubule2019"},"locator":null,"label":null,"suppress-author":null,"prefix":null,"suffix":null},{"id":7840,"uris":["http://zotero.org/users/14649661/items/WPLK3GGR"],"itemData":{"id":7840,"type":"article-journal","abstract":"Chronic pain remains a disabling disease with limited therapeutic options. Pyramidal neurons in the prefrontal cortex (PFC) express excitatory Gq-coupled 5-HT2A receptors (5-HT2AR) and their effector system, the inhibitory Kv7 ion channel. While recent publications show these cells innervate brainstem regions important for regulating pain, the cellular mechanisms underlying the transition to chronic pain are not well understood. The present study examined whether local blockade of 5-HT2AR or enhanced Kv7 ion channel activity in the PFC would attenuate mechanical allodynia associated with spared nerve injury (SNI) in rats. Following SNI, we show that inhibition of PFC 5-HT2ARs with M100907 or opening of PFC Kv7 channels with retigabine reduced mechanical allodynia. Parallel proteomic and RNAScope experiments evaluated 5-HT2AR/Kv7 channel protein and mRNA. Our results support the role of 5-HT2ARs and Kv7 channels in the PFC in the maintenance of chronic pain.","container-title":"Neuroscience Letters","DOI":"10.1016/j.neulet.2022.136864","ISSN":"1872-7972","journalAbbreviation":"Neurosci Lett","language":"eng","note":"PMID: 36063980\nPMCID: PMC10088904","page":"136864","source":"PubMed","title":"Targeting 5-HT2A receptors and Kv7 channels in PFC to attenuate chronic neuropathic pain in rats using a spared nerve injury model","volume":"789","author":[{"family":"Vizcarra","given":"Velia S."},{"family":"Barber","given":"Kara R."},{"family":"Franca-Solomon","given":"Gabriela"},{"family":"Majuta","given":"Lisa"},{"family":"Smith","given":"Angela"},{"family":"Langlais","given":"Paul R."},{"family":"Largent-Milnes","given":"Tally M."},{"family":"Vanderah","given":"Todd W."},{"family":"Riegel","given":"Arthur C."}],"issued":{"date-parts":[["2022",10,15]]},"citation-key":"vizcarraTargeting5HT2AReceptors2022"},"locator":null,"label":null,"suppress-author":null,"prefix":null,"suffix":null}],"schema":"https://github.com/citation-style-language/schema/raw/master/csl-citation.json"} </w:instrText>
      </w:r>
      <w:r w:rsidRPr="008804FC">
        <w:rPr>
          <w:rFonts w:ascii="Arial" w:hAnsi="Arial" w:cs="Arial"/>
          <w:spacing w:val="1"/>
        </w:rPr>
        <w:fldChar w:fldCharType="separate"/>
      </w:r>
      <w:r w:rsidR="00882E99" w:rsidRPr="00882E99">
        <w:rPr>
          <w:rFonts w:ascii="Calibri" w:hAnsi="Calibri" w:cs="Calibri"/>
        </w:rPr>
        <w:t>[14–16]</w:t>
      </w:r>
      <w:r w:rsidRPr="008804FC">
        <w:rPr>
          <w:rFonts w:ascii="Arial" w:hAnsi="Arial" w:cs="Arial"/>
          <w:spacing w:val="1"/>
        </w:rPr>
        <w:fldChar w:fldCharType="end"/>
      </w:r>
      <w:r w:rsidRPr="008804FC">
        <w:rPr>
          <w:rFonts w:ascii="Arial" w:hAnsi="Arial" w:cs="Arial"/>
          <w:spacing w:val="1"/>
        </w:rPr>
        <w:t>, pooled VTA samples (2-3 bilateral punches/sample) from 1 and 4 weeks post-surgery were collected on ice, snap froze on dry ice, and stored at -80</w:t>
      </w:r>
      <w:r w:rsidRPr="008804FC">
        <w:rPr>
          <w:rFonts w:ascii="Arial" w:eastAsia="Times New Roman" w:hAnsi="Arial" w:cs="Arial"/>
        </w:rPr>
        <w:t>⁰C</w:t>
      </w:r>
      <w:r w:rsidRPr="008804FC">
        <w:rPr>
          <w:rFonts w:ascii="Arial" w:hAnsi="Arial" w:cs="Arial"/>
          <w:spacing w:val="1"/>
        </w:rPr>
        <w:t>. Radioimmunoprecipitation assay buffer (RIPA; 20 mM Tris HCL, 150 mM NaCl, 2 mM EDTA, 0.1% SDS, 1% TritonX-100, 0.25% Deoxycholate, 1 mM Na Orthovanadate, 1 mM phenylmethylsulfonyl fluoride) with 1x protease inhibitor (SigmaAldrich), 1x phosphatase inhibitor (Selleckchem), and 1% Digitonin (SigmaAldrich) was added to pooled samples (2-3 bilateral punches/sample) and iced for 15 min. Samples were homogenized by ultrasonication and centrifuged 4</w:t>
      </w:r>
      <w:r w:rsidRPr="008804FC">
        <w:rPr>
          <w:rFonts w:ascii="Arial" w:eastAsia="Times New Roman" w:hAnsi="Arial" w:cs="Arial"/>
        </w:rPr>
        <w:t>⁰C</w:t>
      </w:r>
      <w:r w:rsidRPr="008804FC">
        <w:rPr>
          <w:rFonts w:ascii="Arial" w:hAnsi="Arial" w:cs="Arial"/>
          <w:spacing w:val="1"/>
        </w:rPr>
        <w:t xml:space="preserve"> at 15000g for 10 minutes. Protein concentration in the supernatant was determined using the Pierce BCA protein assay kit (ThermoFisher). </w:t>
      </w:r>
    </w:p>
    <w:p w14:paraId="0E347E7A" w14:textId="2AF7EEDD" w:rsidR="008804FC" w:rsidRPr="008804FC" w:rsidRDefault="008804FC" w:rsidP="008804FC">
      <w:pPr>
        <w:spacing w:line="240" w:lineRule="auto"/>
        <w:jc w:val="both"/>
        <w:rPr>
          <w:rFonts w:ascii="Arial" w:eastAsia="Times New Roman" w:hAnsi="Arial" w:cs="Arial"/>
          <w:color w:val="000000"/>
        </w:rPr>
      </w:pPr>
      <w:r w:rsidRPr="008804FC">
        <w:rPr>
          <w:rFonts w:ascii="Arial" w:eastAsia="Times New Roman" w:hAnsi="Arial" w:cs="Arial"/>
          <w:color w:val="000000"/>
        </w:rPr>
        <w:t xml:space="preserve">For the proteome wide experiments, 50 μg of </w:t>
      </w:r>
      <w:r w:rsidRPr="008804FC">
        <w:rPr>
          <w:rFonts w:ascii="Arial" w:eastAsia="Times New Roman" w:hAnsi="Arial" w:cs="Arial"/>
        </w:rPr>
        <w:t xml:space="preserve">mouse VTA lysate </w:t>
      </w:r>
      <w:r w:rsidRPr="008804FC">
        <w:rPr>
          <w:rFonts w:ascii="Arial" w:eastAsia="Times New Roman" w:hAnsi="Arial" w:cs="Arial"/>
          <w:color w:val="000000"/>
        </w:rPr>
        <w:t>was separated by SDS-PAGE, and each lane was cut into seven slices. The gel slices were subjected to trypsin digestion and the resulting peptides were purified by C</w:t>
      </w:r>
      <w:r w:rsidRPr="008804FC">
        <w:rPr>
          <w:rFonts w:ascii="Arial" w:eastAsia="Times New Roman" w:hAnsi="Arial" w:cs="Arial"/>
          <w:color w:val="000000"/>
          <w:vertAlign w:val="superscript"/>
        </w:rPr>
        <w:t>18</w:t>
      </w:r>
      <w:r w:rsidRPr="008804FC">
        <w:rPr>
          <w:rFonts w:ascii="Arial" w:eastAsia="Times New Roman" w:hAnsi="Arial" w:cs="Arial"/>
          <w:color w:val="000000"/>
        </w:rPr>
        <w:t xml:space="preserve">-based desalting exactly as previously described </w:t>
      </w:r>
      <w:r w:rsidRPr="008804FC">
        <w:rPr>
          <w:rFonts w:ascii="Arial" w:eastAsia="Times New Roman" w:hAnsi="Arial" w:cs="Arial"/>
          <w:color w:val="FF0000"/>
        </w:rPr>
        <w:fldChar w:fldCharType="begin"/>
      </w:r>
      <w:r w:rsidR="00882E99">
        <w:rPr>
          <w:rFonts w:ascii="Arial" w:eastAsia="Times New Roman" w:hAnsi="Arial" w:cs="Arial"/>
          <w:color w:val="FF0000"/>
        </w:rPr>
        <w:instrText xml:space="preserve"> ADDIN ZOTERO_ITEM CSL_CITATION {"citationID":"Upnb0Zyg","properties":{"unsorted":false,"formattedCitation":"[14, 15]","plainCitation":"[14, 15]","noteIndex":0},"citationItems":[{"id":6590,"uris":["http://zotero.org/users/14649661/items/LLM84MQD"],"itemData":{"id":6590,"type":"article-journal","abstract":"CLASP2 is a microtubule-associated protein that undergoes insulin-stimulated phosphorylation and co-localization with reorganized actin and GLUT4 at the plasma membrane. To gain insight to the role of CLASP2 in this system, we developed and successfully executed a streamlined interactome approach and built a CLASP2 protein network in 3T3-L1 adipocytes. Using two different commercially available antibodies for CLASP2 and an antibody for epitope-tagged, overexpressed CLASP2, we performed multiple affinity purification coupled with mass spectrometry (AP-MS) experiments in combination with label-free quantitative proteomics and analyzed the data with the bioinformatics tool Significance Analysis of Interactome (SAINT). We discovered that CLASP2 coimmunoprecipitates (co-IPs) the novel protein SOGA1, the microtubule-associated protein kinase MARK2, and the microtubule/actin-regulating protein G2L1. The GTPase-activating proteins AGAP1 and AGAP3 were also enriched in the CLASP2 interactome, although subsequent AGAP3 and CLIP2 interactome analysis suggests a preference of AGAP3 for CLIP2. Follow-up MARK2 interactome analysis confirmed reciprocal co-IP of CLASP2 and revealed MARK2 can co-IP SOGA1, glycogen synthase, and glycogenin. Investigating the SOGA1 interactome confirmed SOGA1 can reciprocal co-IP both CLASP2 and MARK2 as well as glycogen synthase and glycogenin. SOGA1 was confirmed to colocalize with CLASP2 and with tubulin, which identifies SOGA1 as a new microtubule-associated protein. These results introduce the metabolic function of these proposed novel protein networks and their relationship with microtubules as new fields of cytoskeleton-associated protein biology.","container-title":"Molecular &amp; cellular proteomics: MCP","DOI":"10.1074/mcp.RA117.000011","ISSN":"1535-9484","issue":"10","journalAbbreviation":"Mol Cell Proteomics","language":"eng","note":"PMID: 28550165\nPMCID: PMC5629260","page":"1718-1735","source":"PubMed","title":"Characterization of the CLASP2 Protein Interaction Network Identifies SOGA1 as a Microtubule-Associated Protein","volume":"16","author":[{"family":"Kruse","given":"Rikke"},{"family":"Krantz","given":"James"},{"family":"Barker","given":"Natalie"},{"family":"Coletta","given":"Richard L."},{"family":"Rafikov","given":"Ruslan"},{"family":"Luo","given":"Moulun"},{"family":"Højlund","given":"Kurt"},{"family":"Mandarino","given":"Lawrence J."},{"family":"Langlais","given":"Paul R."}],"issued":{"date-parts":[["2017",10]]},"citation-key":"kruseCharacterizationCLASP2Protein2017"},"locator":null,"label":null,"suppress-author":null,"prefix":null,"suffix":null},{"id":6592,"uris":["http://zotero.org/users/14649661/items/RW3QC8AX"],"itemData":{"id":6592,"type":"article-journal","abstract":"Insulin-stimulated glucose uptake is known to involve microtubules, although the function of microtubules and the microtubule-regulating proteins involved in insulin action are poorly understood. CLASP2, a plus-end tracking microtubule-associated protein (+TIP) that controls microtubule dynamics, was recently implicated as the first +TIP associated with insulin-regulated glucose uptake. Here, using protein-specific targeted quantitative phosphoproteomics within 3T3-L1 adipocytes, we discovered that insulin regulates phosphorylation of the CLASP2 network members G2L1, MARK2, CLIP2, AGAP3, and CKAP5 as well as EB1, revealing the existence of a previously unknown microtubule-associated protein system that responds to insulin. To further investigate, G2L1 interactome studies within 3T3-L1 adipocytes revealed that G2L1 coimmunoprecipitates CLASP2 and CLIP2 as well as the master integrators of +TIP assembly, the end binding (EB) proteins. Live-cell total internal reflection fluorescence microscopy in adipocytes revealed G2L1 and CLASP2 colocalize on microtubule plus-ends. We found that although insulin increases the number of CLASP2-containing plus-ends, insulin treatment simultaneously decreases CLASP2-containing plus-end velocity. In addition, we discovered that insulin stimulates redistribution of CLASP2 and G2L1 from exclusive plus-end tracking to \"trailing\" behind the growing tip of the microtubule. Insulin treatment increases α-tubulin Lysine 40 acetylation, a mechanism that was observed to be regulated by a counterbalance between GSK3 and mTOR, and led to microtubule stabilization. Our studies introduce insulin-stimulated microtubule stabilization and plus-end trailing of +TIPs as new modes of insulin action and reveal the likelihood that a network of microtubule-associated proteins synergize to coordinate insulin-regulated microtubule dynamics.","container-title":"Molecular &amp; cellular proteomics: MCP","DOI":"10.1074/mcp.RA119.001450","ISSN":"1535-9484","issue":"7","journalAbbreviation":"Mol Cell Proteomics","language":"eng","note":"PMID: 31018989\nPMCID: PMC6601206","page":"1363-1381","source":"PubMed","title":"Insulin Induces Microtubule Stabilization and Regulates the Microtubule Plus-end Tracking Protein Network in Adipocytes","volume":"18","author":[{"family":"Parker","given":"Sara S."},{"family":"Krantz","given":"James"},{"family":"Kwak","given":"Eun-A."},{"family":"Barker","given":"Natalie K."},{"family":"Deer","given":"Chris G."},{"family":"Lee","given":"Nam Y."},{"family":"Mouneimne","given":"Ghassan"},{"family":"Langlais","given":"Paul R."}],"issued":{"date-parts":[["2019",7]]},"citation-key":"parkerInsulinInducesMicrotubule2019"},"locator":null,"label":null,"suppress-author":null,"prefix":null,"suffix":null}],"schema":"https://github.com/citation-style-language/schema/raw/master/csl-citation.json"} </w:instrText>
      </w:r>
      <w:r w:rsidRPr="008804FC">
        <w:rPr>
          <w:rFonts w:ascii="Arial" w:eastAsia="Times New Roman" w:hAnsi="Arial" w:cs="Arial"/>
          <w:color w:val="FF0000"/>
        </w:rPr>
        <w:fldChar w:fldCharType="separate"/>
      </w:r>
      <w:r w:rsidR="00882E99" w:rsidRPr="00882E99">
        <w:rPr>
          <w:rFonts w:ascii="Calibri" w:hAnsi="Calibri" w:cs="Calibri"/>
        </w:rPr>
        <w:t>[14, 15]</w:t>
      </w:r>
      <w:r w:rsidRPr="008804FC">
        <w:rPr>
          <w:rFonts w:ascii="Arial" w:eastAsia="Times New Roman" w:hAnsi="Arial" w:cs="Arial"/>
          <w:color w:val="FF0000"/>
        </w:rPr>
        <w:fldChar w:fldCharType="end"/>
      </w:r>
      <w:r w:rsidRPr="008804FC">
        <w:rPr>
          <w:rFonts w:ascii="Arial" w:eastAsia="Times New Roman" w:hAnsi="Arial" w:cs="Arial"/>
          <w:color w:val="000000"/>
        </w:rPr>
        <w:t>. In brief, the SDS-PAGE gel slices were placed in a 0.6 mL LoBind polypropylene tube (Eppendorf), destained twice with 375 μL of 50% acetonitrile (ACN) in 40 mM NH</w:t>
      </w:r>
      <w:r w:rsidRPr="008804FC">
        <w:rPr>
          <w:rFonts w:ascii="Arial" w:eastAsia="Times New Roman" w:hAnsi="Arial" w:cs="Arial"/>
          <w:color w:val="000000"/>
          <w:vertAlign w:val="subscript"/>
        </w:rPr>
        <w:t>4</w:t>
      </w:r>
      <w:r w:rsidRPr="008804FC">
        <w:rPr>
          <w:rFonts w:ascii="Arial" w:eastAsia="Times New Roman" w:hAnsi="Arial" w:cs="Arial"/>
          <w:color w:val="000000"/>
        </w:rPr>
        <w:t>HCO</w:t>
      </w:r>
      <w:r w:rsidRPr="008804FC">
        <w:rPr>
          <w:rFonts w:ascii="Arial" w:eastAsia="Times New Roman" w:hAnsi="Arial" w:cs="Arial"/>
          <w:color w:val="000000"/>
          <w:vertAlign w:val="subscript"/>
        </w:rPr>
        <w:t>3</w:t>
      </w:r>
      <w:r w:rsidRPr="008804FC">
        <w:rPr>
          <w:rFonts w:ascii="Arial" w:eastAsia="Times New Roman" w:hAnsi="Arial" w:cs="Arial"/>
          <w:color w:val="000000"/>
        </w:rPr>
        <w:t xml:space="preserve"> and dehydrated with 100% acetonitrile (ACN) for 15 min. After removal of the ACN by aspiration, the gel pieces were dried in a vacuum centrifuge at 60°C for 30 minutes. Trypsin (250 ng; Sigma-Aldrich) in 20 μL of 40 mM NH</w:t>
      </w:r>
      <w:r w:rsidRPr="008804FC">
        <w:rPr>
          <w:rFonts w:ascii="Arial" w:eastAsia="Times New Roman" w:hAnsi="Arial" w:cs="Arial"/>
          <w:color w:val="000000"/>
          <w:vertAlign w:val="subscript"/>
        </w:rPr>
        <w:t>4</w:t>
      </w:r>
      <w:r w:rsidRPr="008804FC">
        <w:rPr>
          <w:rFonts w:ascii="Arial" w:eastAsia="Times New Roman" w:hAnsi="Arial" w:cs="Arial"/>
          <w:color w:val="000000"/>
        </w:rPr>
        <w:t>HCO</w:t>
      </w:r>
      <w:r w:rsidRPr="008804FC">
        <w:rPr>
          <w:rFonts w:ascii="Arial" w:eastAsia="Times New Roman" w:hAnsi="Arial" w:cs="Arial"/>
          <w:color w:val="000000"/>
          <w:vertAlign w:val="subscript"/>
        </w:rPr>
        <w:t>3</w:t>
      </w:r>
      <w:r w:rsidRPr="008804FC">
        <w:rPr>
          <w:rFonts w:ascii="Arial" w:eastAsia="Times New Roman" w:hAnsi="Arial" w:cs="Arial"/>
          <w:color w:val="000000"/>
        </w:rPr>
        <w:t xml:space="preserve"> was added, and the samples were maintained at 4°C for 15 minutes prior to the addition of 50-100 μL of 40 mM NH</w:t>
      </w:r>
      <w:r w:rsidRPr="008804FC">
        <w:rPr>
          <w:rFonts w:ascii="Arial" w:eastAsia="Times New Roman" w:hAnsi="Arial" w:cs="Arial"/>
          <w:color w:val="000000"/>
          <w:vertAlign w:val="subscript"/>
        </w:rPr>
        <w:t>4</w:t>
      </w:r>
      <w:r w:rsidRPr="008804FC">
        <w:rPr>
          <w:rFonts w:ascii="Arial" w:eastAsia="Times New Roman" w:hAnsi="Arial" w:cs="Arial"/>
          <w:color w:val="000000"/>
        </w:rPr>
        <w:t>HCO</w:t>
      </w:r>
      <w:r w:rsidRPr="008804FC">
        <w:rPr>
          <w:rFonts w:ascii="Arial" w:eastAsia="Times New Roman" w:hAnsi="Arial" w:cs="Arial"/>
          <w:color w:val="000000"/>
          <w:vertAlign w:val="subscript"/>
        </w:rPr>
        <w:t>3</w:t>
      </w:r>
      <w:r w:rsidRPr="008804FC">
        <w:rPr>
          <w:rFonts w:ascii="Arial" w:eastAsia="Times New Roman" w:hAnsi="Arial" w:cs="Arial"/>
          <w:color w:val="000000"/>
        </w:rPr>
        <w:t xml:space="preserve">. The digestion was allowed to proceed at 37°C overnight and was terminated by addition of 10 mL of 5% formic acid (FA). After </w:t>
      </w:r>
      <w:r w:rsidRPr="008804FC">
        <w:rPr>
          <w:rFonts w:ascii="Arial" w:eastAsia="Times New Roman" w:hAnsi="Arial" w:cs="Arial"/>
          <w:color w:val="000000"/>
        </w:rPr>
        <w:lastRenderedPageBreak/>
        <w:t xml:space="preserve">further incubation at 37°C for 30 minutes and centrifugation for 1 minute, each supernatant was transferred to a clean LoBind polypropylene tube. The extraction procedure was repeated using 40 mL of 0.5% FA, and the two extracts were combined and dried down to </w:t>
      </w:r>
      <w:r w:rsidRPr="008804FC">
        <w:rPr>
          <w:rFonts w:ascii="Cambria Math" w:eastAsia="Times New Roman" w:hAnsi="Cambria Math" w:cs="Cambria Math"/>
          <w:color w:val="000000"/>
        </w:rPr>
        <w:t>∼</w:t>
      </w:r>
      <w:r w:rsidRPr="008804FC">
        <w:rPr>
          <w:rFonts w:ascii="Arial" w:eastAsia="Times New Roman" w:hAnsi="Arial" w:cs="Arial"/>
          <w:color w:val="000000"/>
        </w:rPr>
        <w:t>5-10 mL followed by the addition of 10 mL of 0.05% heptafluorobutyric acid/5% FA (vol/vol) and incubation at room temperature for 15 minutes. The resulting peptide mixtures were loaded on a solid phase C18 ZipTip (MilliporeSigma, Billerica, MA) and washed with 35 mL 0.005% heptafluorobutyric acid/5% FA (vol/vol) followed by elution first with 4 mL of 50% ACN/1% FA (vol/vol) and then a more stringent elution with 4 mL of 80% ACN/1% FA (vol/vol). The eluates were combined and dried completely by vacuum centrifugation and 6 mL of 0.1% FA (vol/vol) was added followed by sonication for 2 minutes. 2.5 mL of the final sample was then analyzed by mass spectrometry.</w:t>
      </w:r>
    </w:p>
    <w:p w14:paraId="0EE4BCB4" w14:textId="77777777" w:rsidR="008804FC" w:rsidRPr="008804FC" w:rsidRDefault="008804FC" w:rsidP="008804FC">
      <w:pPr>
        <w:spacing w:line="240" w:lineRule="auto"/>
        <w:jc w:val="both"/>
        <w:rPr>
          <w:rFonts w:ascii="Arial" w:eastAsia="Times New Roman" w:hAnsi="Arial" w:cs="Arial"/>
          <w:b/>
          <w:bCs/>
          <w:color w:val="000000"/>
        </w:rPr>
      </w:pPr>
      <w:r w:rsidRPr="008804FC">
        <w:rPr>
          <w:rFonts w:ascii="Arial" w:eastAsia="Times New Roman" w:hAnsi="Arial" w:cs="Arial"/>
          <w:b/>
          <w:bCs/>
          <w:color w:val="000000"/>
        </w:rPr>
        <w:t>Mass spectrometry</w:t>
      </w:r>
    </w:p>
    <w:p w14:paraId="78280993" w14:textId="6737AE62" w:rsidR="008804FC" w:rsidRPr="008804FC" w:rsidRDefault="008804FC" w:rsidP="008804FC">
      <w:pPr>
        <w:spacing w:line="240" w:lineRule="auto"/>
        <w:jc w:val="both"/>
        <w:rPr>
          <w:rFonts w:ascii="Arial" w:eastAsia="Times New Roman" w:hAnsi="Arial" w:cs="Arial"/>
          <w:color w:val="000000"/>
        </w:rPr>
      </w:pPr>
      <w:r w:rsidRPr="008804FC">
        <w:rPr>
          <w:rFonts w:ascii="Arial" w:eastAsia="Times New Roman" w:hAnsi="Arial" w:cs="Arial"/>
          <w:color w:val="000000"/>
        </w:rPr>
        <w:t xml:space="preserve">HPLC-ESI-MS/MS was performed in positive ion mode on a Thermo Scientific Orbitrap Fusion Lumos tribrid mass spectrometer fitted with an EASY-Spray Source (Thermo Scientific) as previously described </w:t>
      </w:r>
      <w:r w:rsidRPr="008804FC">
        <w:rPr>
          <w:rFonts w:ascii="Arial" w:eastAsia="Times New Roman" w:hAnsi="Arial" w:cs="Arial"/>
          <w:color w:val="FF0000"/>
        </w:rPr>
        <w:fldChar w:fldCharType="begin"/>
      </w:r>
      <w:r w:rsidR="00882E99">
        <w:rPr>
          <w:rFonts w:ascii="Arial" w:eastAsia="Times New Roman" w:hAnsi="Arial" w:cs="Arial"/>
          <w:color w:val="FF0000"/>
        </w:rPr>
        <w:instrText xml:space="preserve"> ADDIN ZOTERO_ITEM CSL_CITATION {"citationID":"I6TFEqpM","properties":{"unsorted":false,"formattedCitation":"[15]","plainCitation":"[15]","noteIndex":0},"citationItems":[{"id":6592,"uris":["http://zotero.org/users/14649661/items/RW3QC8AX"],"itemData":{"id":6592,"type":"article-journal","abstract":"Insulin-stimulated glucose uptake is known to involve microtubules, although the function of microtubules and the microtubule-regulating proteins involved in insulin action are poorly understood. CLASP2, a plus-end tracking microtubule-associated protein (+TIP) that controls microtubule dynamics, was recently implicated as the first +TIP associated with insulin-regulated glucose uptake. Here, using protein-specific targeted quantitative phosphoproteomics within 3T3-L1 adipocytes, we discovered that insulin regulates phosphorylation of the CLASP2 network members G2L1, MARK2, CLIP2, AGAP3, and CKAP5 as well as EB1, revealing the existence of a previously unknown microtubule-associated protein system that responds to insulin. To further investigate, G2L1 interactome studies within 3T3-L1 adipocytes revealed that G2L1 coimmunoprecipitates CLASP2 and CLIP2 as well as the master integrators of +TIP assembly, the end binding (EB) proteins. Live-cell total internal reflection fluorescence microscopy in adipocytes revealed G2L1 and CLASP2 colocalize on microtubule plus-ends. We found that although insulin increases the number of CLASP2-containing plus-ends, insulin treatment simultaneously decreases CLASP2-containing plus-end velocity. In addition, we discovered that insulin stimulates redistribution of CLASP2 and G2L1 from exclusive plus-end tracking to \"trailing\" behind the growing tip of the microtubule. Insulin treatment increases α-tubulin Lysine 40 acetylation, a mechanism that was observed to be regulated by a counterbalance between GSK3 and mTOR, and led to microtubule stabilization. Our studies introduce insulin-stimulated microtubule stabilization and plus-end trailing of +TIPs as new modes of insulin action and reveal the likelihood that a network of microtubule-associated proteins synergize to coordinate insulin-regulated microtubule dynamics.","container-title":"Molecular &amp; cellular proteomics: MCP","DOI":"10.1074/mcp.RA119.001450","ISSN":"1535-9484","issue":"7","journalAbbreviation":"Mol Cell Proteomics","language":"eng","note":"PMID: 31018989\nPMCID: PMC6601206","page":"1363-1381","source":"PubMed","title":"Insulin Induces Microtubule Stabilization and Regulates the Microtubule Plus-end Tracking Protein Network in Adipocytes","volume":"18","author":[{"family":"Parker","given":"Sara S."},{"family":"Krantz","given":"James"},{"family":"Kwak","given":"Eun-A."},{"family":"Barker","given":"Natalie K."},{"family":"Deer","given":"Chris G."},{"family":"Lee","given":"Nam Y."},{"family":"Mouneimne","given":"Ghassan"},{"family":"Langlais","given":"Paul R."}],"issued":{"date-parts":[["2019",7]]},"citation-key":"parkerInsulinInducesMicrotubule2019"},"locator":null,"label":null,"suppress-author":null,"prefix":null,"suffix":null}],"schema":"https://github.com/citation-style-language/schema/raw/master/csl-citation.json"} </w:instrText>
      </w:r>
      <w:r w:rsidRPr="008804FC">
        <w:rPr>
          <w:rFonts w:ascii="Arial" w:eastAsia="Times New Roman" w:hAnsi="Arial" w:cs="Arial"/>
          <w:color w:val="FF0000"/>
        </w:rPr>
        <w:fldChar w:fldCharType="separate"/>
      </w:r>
      <w:r w:rsidR="00882E99" w:rsidRPr="00882E99">
        <w:rPr>
          <w:rFonts w:ascii="Calibri" w:hAnsi="Calibri" w:cs="Calibri"/>
        </w:rPr>
        <w:t>[15]</w:t>
      </w:r>
      <w:r w:rsidRPr="008804FC">
        <w:rPr>
          <w:rFonts w:ascii="Arial" w:eastAsia="Times New Roman" w:hAnsi="Arial" w:cs="Arial"/>
          <w:color w:val="FF0000"/>
        </w:rPr>
        <w:fldChar w:fldCharType="end"/>
      </w:r>
      <w:r w:rsidRPr="008804FC">
        <w:rPr>
          <w:rFonts w:ascii="Arial" w:eastAsia="Times New Roman" w:hAnsi="Arial" w:cs="Arial"/>
          <w:color w:val="000000"/>
        </w:rPr>
        <w:t>. In brief, NanoLC was performed using a Thermo Scientific UltiMate 3000 RSLCnano System with an EASY Spray C18 LC column (Thermo Scientific, 50 cm x 75 mm inner diameter, packed with PepMap RSLC C18 material, 2 mm, cat. # ES803); loading phase for 15 minutes; mobile phase, linear gradient of 1–47% ACN in 0.1% FA for 106 minutes, followed by a step to 95% ACN in 0.1% FA over 5 minutes, hold 10 minutes, and then a step to 1% ACN in 0.1% FA over 1 minute and a final hold for 19 minutes (total run 156 minutes); Buffer A = 100% H</w:t>
      </w:r>
      <w:r w:rsidRPr="008804FC">
        <w:rPr>
          <w:rFonts w:ascii="Arial" w:eastAsia="Times New Roman" w:hAnsi="Arial" w:cs="Arial"/>
          <w:color w:val="000000"/>
          <w:vertAlign w:val="subscript"/>
        </w:rPr>
        <w:t>2</w:t>
      </w:r>
      <w:r w:rsidRPr="008804FC">
        <w:rPr>
          <w:rFonts w:ascii="Arial" w:eastAsia="Times New Roman" w:hAnsi="Arial" w:cs="Arial"/>
          <w:color w:val="000000"/>
        </w:rPr>
        <w:t xml:space="preserve">O in 0.1% FA; Buffer B = 80% ACN in 0.1% FA; flow rate, 300 nL/min. All solvents were liquid chromatography mass spectrometry grade. Spectra were acquired using Xcalibur, version 2.1.0 (Thermo Scientific). </w:t>
      </w:r>
      <w:r w:rsidRPr="008804FC">
        <w:rPr>
          <w:rFonts w:ascii="Arial" w:hAnsi="Arial" w:cs="Arial"/>
        </w:rPr>
        <w:t>A “TopSpeed” data-dependent MS/MS analysis was performed (acquisition of a full scan spectrum followed by collision-induced dissociation mass spectra of the Top N most intense precursor ions within the 3 second cycle time). Dynamic exclusion was enabled with a repeat count of 1, a repeat duration of 30 seconds, an exclusion list size of 500, and an exclusion duration of 40 seconds.</w:t>
      </w:r>
      <w:r w:rsidRPr="008804FC">
        <w:rPr>
          <w:rFonts w:ascii="Arial" w:eastAsia="Times New Roman" w:hAnsi="Arial" w:cs="Arial"/>
          <w:color w:val="000000"/>
        </w:rPr>
        <w:t xml:space="preserve"> </w:t>
      </w:r>
    </w:p>
    <w:p w14:paraId="71251964" w14:textId="77777777" w:rsidR="008804FC" w:rsidRPr="008804FC" w:rsidRDefault="008804FC" w:rsidP="008804FC">
      <w:pPr>
        <w:spacing w:line="240" w:lineRule="auto"/>
        <w:jc w:val="both"/>
        <w:rPr>
          <w:rFonts w:ascii="Arial" w:eastAsia="Times New Roman" w:hAnsi="Arial" w:cs="Arial"/>
          <w:b/>
          <w:bCs/>
        </w:rPr>
      </w:pPr>
      <w:r w:rsidRPr="008804FC">
        <w:rPr>
          <w:rFonts w:ascii="Arial" w:eastAsia="Times New Roman" w:hAnsi="Arial" w:cs="Arial"/>
          <w:b/>
          <w:bCs/>
        </w:rPr>
        <w:t xml:space="preserve">Label-free Quantitative Proteomics </w:t>
      </w:r>
    </w:p>
    <w:p w14:paraId="374BFC54" w14:textId="269F8DEB" w:rsidR="008804FC" w:rsidRPr="00882E99" w:rsidRDefault="008804FC" w:rsidP="008804FC">
      <w:pPr>
        <w:shd w:val="clear" w:color="auto" w:fill="FFFFFF"/>
        <w:spacing w:line="240" w:lineRule="auto"/>
        <w:jc w:val="both"/>
        <w:rPr>
          <w:rFonts w:ascii="Calibri" w:hAnsi="Calibri" w:cs="Calibri"/>
        </w:rPr>
      </w:pPr>
      <w:r w:rsidRPr="008804FC">
        <w:rPr>
          <w:rFonts w:ascii="Arial" w:eastAsia="Times New Roman" w:hAnsi="Arial" w:cs="Arial"/>
        </w:rPr>
        <w:t xml:space="preserve">Progenesis QI for proteomics software (version 2.4, Nonlinear Dynamics Ltd., Newcastle upon Tyne, UK) was used to perform ion-intensity based label-free quantification similar to as previously described </w:t>
      </w:r>
      <w:r w:rsidRPr="008804FC">
        <w:rPr>
          <w:rFonts w:ascii="Arial" w:eastAsia="Times New Roman" w:hAnsi="Arial" w:cs="Arial"/>
          <w:color w:val="FF0000"/>
        </w:rPr>
        <w:fldChar w:fldCharType="begin"/>
      </w:r>
      <w:r w:rsidR="00882E99">
        <w:rPr>
          <w:rFonts w:ascii="Arial" w:eastAsia="Times New Roman" w:hAnsi="Arial" w:cs="Arial"/>
          <w:color w:val="FF0000"/>
        </w:rPr>
        <w:instrText xml:space="preserve"> ADDIN ZOTERO_ITEM CSL_CITATION {"citationID":"u1c7zNju","properties":{"unsorted":false,"formattedCitation":"[15]","plainCitation":"[15]","noteIndex":0},"citationItems":[{"id":6592,"uris":["http://zotero.org/users/14649661/items/RW3QC8AX"],"itemData":{"id":6592,"type":"article-journal","abstract":"Insulin-stimulated glucose uptake is known to involve microtubules, although the function of microtubules and the microtubule-regulating proteins involved in insulin action are poorly understood. CLASP2, a plus-end tracking microtubule-associated protein (+TIP) that controls microtubule dynamics, was recently implicated as the first +TIP associated with insulin-regulated glucose uptake. Here, using protein-specific targeted quantitative phosphoproteomics within 3T3-L1 adipocytes, we discovered that insulin regulates phosphorylation of the CLASP2 network members G2L1, MARK2, CLIP2, AGAP3, and CKAP5 as well as EB1, revealing the existence of a previously unknown microtubule-associated protein system that responds to insulin. To further investigate, G2L1 interactome studies within 3T3-L1 adipocytes revealed that G2L1 coimmunoprecipitates CLASP2 and CLIP2 as well as the master integrators of +TIP assembly, the end binding (EB) proteins. Live-cell total internal reflection fluorescence microscopy in adipocytes revealed G2L1 and CLASP2 colocalize on microtubule plus-ends. We found that although insulin increases the number of CLASP2-containing plus-ends, insulin treatment simultaneously decreases CLASP2-containing plus-end velocity. In addition, we discovered that insulin stimulates redistribution of CLASP2 and G2L1 from exclusive plus-end tracking to \"trailing\" behind the growing tip of the microtubule. Insulin treatment increases α-tubulin Lysine 40 acetylation, a mechanism that was observed to be regulated by a counterbalance between GSK3 and mTOR, and led to microtubule stabilization. Our studies introduce insulin-stimulated microtubule stabilization and plus-end trailing of +TIPs as new modes of insulin action and reveal the likelihood that a network of microtubule-associated proteins synergize to coordinate insulin-regulated microtubule dynamics.","container-title":"Molecular &amp; cellular proteomics: MCP","DOI":"10.1074/mcp.RA119.001450","ISSN":"1535-9484","issue":"7","journalAbbreviation":"Mol Cell Proteomics","language":"eng","note":"PMID: 31018989\nPMCID: PMC6601206","page":"1363-1381","source":"PubMed","title":"Insulin Induces Microtubule Stabilization and Regulates the Microtubule Plus-end Tracking Protein Network in Adipocytes","volume":"18","author":[{"family":"Parker","given":"Sara S."},{"family":"Krantz","given":"James"},{"family":"Kwak","given":"Eun-A."},{"family":"Barker","given":"Natalie K."},{"family":"Deer","given":"Chris G."},{"family":"Lee","given":"Nam Y."},{"family":"Mouneimne","given":"Ghassan"},{"family":"Langlais","given":"Paul R."}],"issued":{"date-parts":[["2019",7]]},"citation-key":"parkerInsulinInducesMicrotubule2019"},"locator":null,"label":null,"suppress-author":null,"prefix":null,"suffix":null}],"schema":"https://github.com/citation-style-language/schema/raw/master/csl-citation.json"} </w:instrText>
      </w:r>
      <w:r w:rsidRPr="008804FC">
        <w:rPr>
          <w:rFonts w:ascii="Arial" w:eastAsia="Times New Roman" w:hAnsi="Arial" w:cs="Arial"/>
          <w:color w:val="FF0000"/>
        </w:rPr>
        <w:fldChar w:fldCharType="separate"/>
      </w:r>
      <w:r w:rsidR="00882E99" w:rsidRPr="00882E99">
        <w:rPr>
          <w:rFonts w:ascii="Calibri" w:hAnsi="Calibri" w:cs="Calibri"/>
        </w:rPr>
        <w:t>[15]</w:t>
      </w:r>
      <w:r w:rsidRPr="008804FC">
        <w:rPr>
          <w:rFonts w:ascii="Arial" w:eastAsia="Times New Roman" w:hAnsi="Arial" w:cs="Arial"/>
          <w:color w:val="FF0000"/>
        </w:rPr>
        <w:fldChar w:fldCharType="end"/>
      </w:r>
      <w:r w:rsidRPr="008804FC">
        <w:rPr>
          <w:rFonts w:ascii="Arial" w:eastAsia="Times New Roman" w:hAnsi="Arial" w:cs="Arial"/>
        </w:rPr>
        <w:t>. In brief, in an automated format, .raw files were imported and converted into two-dimensional maps (y-axis = time, x-axis =m/z) followed by selection of a reference run for alignment purposes. An aggregate data set containing all peak information from all samples was created from the aligned runs, which was then further narrowed down by selecting only +2, +3, and +4 charged ions for further analysis. A peak list of fragment ion spectra was exported in Mascot generic file (.mgf) format and searched against the</w:t>
      </w:r>
      <w:r w:rsidRPr="008804FC">
        <w:rPr>
          <w:rFonts w:ascii="Arial" w:eastAsia="Times New Roman" w:hAnsi="Arial" w:cs="Arial"/>
          <w:color w:val="000000"/>
        </w:rPr>
        <w:t xml:space="preserve"> </w:t>
      </w:r>
      <w:r w:rsidRPr="008804FC">
        <w:rPr>
          <w:rFonts w:ascii="Arial" w:eastAsia="Times New Roman" w:hAnsi="Arial" w:cs="Arial"/>
          <w:i/>
          <w:iCs/>
          <w:color w:val="000000"/>
        </w:rPr>
        <w:t>Mus musculus</w:t>
      </w:r>
      <w:r w:rsidRPr="008804FC">
        <w:rPr>
          <w:rFonts w:ascii="Arial" w:eastAsia="Times New Roman" w:hAnsi="Arial" w:cs="Arial"/>
          <w:color w:val="000000"/>
        </w:rPr>
        <w:t xml:space="preserve"> SwissProt database (17079 entries) </w:t>
      </w:r>
      <w:r w:rsidRPr="008804FC">
        <w:rPr>
          <w:rFonts w:ascii="Arial" w:eastAsia="Times New Roman" w:hAnsi="Arial" w:cs="Arial"/>
        </w:rPr>
        <w:t xml:space="preserve">using Mascot (Matrix Science, London, UK; version 2.6). The search variables that were used were: 10 ppm mass tolerance for precursor ion masses and 0.5 Da for product ion masses; digestion with trypsin; a maximum of two missed tryptic cleavages; variable modifications of oxidation of methionine and phosphorylation of serine, threonine, and tyrosine; </w:t>
      </w:r>
      <w:r w:rsidRPr="008804FC">
        <w:rPr>
          <w:rFonts w:ascii="Arial" w:eastAsia="Times New Roman" w:hAnsi="Arial" w:cs="Arial"/>
          <w:vertAlign w:val="superscript"/>
        </w:rPr>
        <w:t>13</w:t>
      </w:r>
      <w:r w:rsidRPr="008804FC">
        <w:rPr>
          <w:rFonts w:ascii="Arial" w:eastAsia="Times New Roman" w:hAnsi="Arial" w:cs="Arial"/>
        </w:rPr>
        <w:t xml:space="preserve">C=1. The resulting Mascot .xml file was then imported into Progenesis, allowing for peptide/protein assignment, while peptides with a Mascot Ion Score of &lt;25 were not considered for further analysis. Precursor ion-abundance values for peptide ions were normalized to all proteins. </w:t>
      </w:r>
      <w:r w:rsidRPr="008804FC">
        <w:rPr>
          <w:rFonts w:ascii="Arial" w:eastAsia="Times New Roman" w:hAnsi="Arial" w:cs="Arial"/>
          <w:spacing w:val="1"/>
        </w:rPr>
        <w:t xml:space="preserve">Unbiased hierarchical clustering analysis (heat map) and principal component analysis (PCA) were conducted using </w:t>
      </w:r>
      <w:r w:rsidRPr="008804FC">
        <w:rPr>
          <w:rFonts w:ascii="Arial" w:eastAsia="Times New Roman" w:hAnsi="Arial" w:cs="Arial"/>
        </w:rPr>
        <w:t xml:space="preserve">Perseus </w:t>
      </w:r>
      <w:r w:rsidRPr="008804FC">
        <w:rPr>
          <w:rFonts w:ascii="Arial" w:eastAsia="Times New Roman" w:hAnsi="Arial" w:cs="Arial"/>
        </w:rPr>
        <w:fldChar w:fldCharType="begin"/>
      </w:r>
      <w:r w:rsidR="00882E99">
        <w:rPr>
          <w:rFonts w:ascii="Arial" w:eastAsia="Times New Roman" w:hAnsi="Arial" w:cs="Arial"/>
        </w:rPr>
        <w:instrText xml:space="preserve"> ADDIN ZOTERO_ITEM CSL_CITATION {"citationID":"Yuao3oea","properties":{"unsorted":false,"formattedCitation":"[2, 3]","plainCitation":"[2, 3]","noteIndex":0},"citationItems":[{"id":6602,"uris":["http://zotero.org/users/14649661/items/J6TQLNHC"],"itemData":{"id":6602,"type":"article-journal","abstract":"A main bottleneck in proteomics is the downstream biological analysis of highly multivariate quantitative protein abundance data generated using mass-spectrometry-based analysis. We developed the Perseus software platform (http://www.perseus-framework.org) to support biological and biomedical researchers in interpreting protein quantification, interaction and post-translational modification data. Perseus contains a comprehensive portfolio of statistical tools for high-dimensional omics data analysis covering normalization, pattern recognition, time-series analysis, cross-omics comparisons and multiple-hypothesis testing. A machine learning module supports the classification and validation of patient groups for diagnosis and prognosis, and it also detects predictive protein signatures. Central to Perseus is a user-friendly, interactive workflow environment that provides complete documentation of computational methods used in a publication. All activities in Perseus are realized as plugins, and users can extend the software by programming their own, which can be shared through a plugin store. We anticipate that Perseus's arsenal of algorithms and its intuitive usability will empower interdisciplinary analysis of complex large data sets.","container-title":"Nature Methods","DOI":"10.1038/nmeth.3901","ISSN":"1548-7105","issue":"9","journalAbbreviation":"Nat Methods","language":"eng","note":"PMID: 27348712","page":"731-740","source":"PubMed","title":"The Perseus computational platform for comprehensive analysis of (prote)omics data","volume":"13","author":[{"family":"Tyanova","given":"Stefka"},{"family":"Temu","given":"Tikira"},{"family":"Sinitcyn","given":"Pavel"},{"family":"Carlson","given":"Arthur"},{"family":"Hein","given":"Marco Y."},{"family":"Geiger","given":"Tamar"},{"family":"Mann","given":"Matthias"},{"family":"Cox","given":"Jürgen"}],"issued":{"date-parts":[["2016",9]]},"citation-key":"tyanovaPerseusComputationalPlatform2016"},"locator":null,"label":null,"suppress-author":null,"prefix":null,"suffix":null},{"id":6604,"uris":["http://zotero.org/users/14649661/items/AQQJV8V7"],"itemData":{"id":6604,"type":"article-journal","abstract":"Mass spectrometry-based proteomics is a continuously growing field marked by technological and methodological improvements. Cancer proteomics is aimed at pursuing goals such as accurate diagnosis, patient stratification, and biomarker discovery, relying on the richness of information of quantitative proteome profiles. Translating these high-dimensional data into biological findings of clinical importance necessitates the use of robust and powerful computational tools and methods. In this chapter, we provide a detailed description of standard analysis steps for a clinical proteomics dataset performed in Perseus, a software for functional analysis of large-scale quantitative omics data.","container-title":"Methods in Molecular Biology (Clifton, N.J.)","DOI":"10.1007/978-1-4939-7493-1_7","ISSN":"1940-6029","journalAbbreviation":"Methods Mol Biol","language":"eng","note":"PMID: 29344888","page":"133-148","source":"PubMed","title":"Perseus: A Bioinformatics Platform for Integrative Analysis of Proteomics Data in Cancer Research","title-short":"Perseus","volume":"1711","author":[{"family":"Tyanova","given":"Stefka"},{"family":"Cox","given":"Juergen"}],"issued":{"date-parts":[["2018"]]},"citation-key":"tyanovaPerseusBioinformaticsPlatform2018"},"locator":null,"label":null,"suppress-author":null,"prefix":null,"suffix":null}],"schema":"https://github.com/citation-style-language/schema/raw/master/csl-citation.json"} </w:instrText>
      </w:r>
      <w:r w:rsidRPr="008804FC">
        <w:rPr>
          <w:rFonts w:ascii="Arial" w:eastAsia="Times New Roman" w:hAnsi="Arial" w:cs="Arial"/>
        </w:rPr>
        <w:fldChar w:fldCharType="separate"/>
      </w:r>
      <w:r w:rsidR="00882E99" w:rsidRPr="00882E99">
        <w:rPr>
          <w:rFonts w:ascii="Calibri" w:hAnsi="Calibri" w:cs="Calibri"/>
        </w:rPr>
        <w:t>[2, 3]</w:t>
      </w:r>
      <w:r w:rsidRPr="008804FC">
        <w:rPr>
          <w:rFonts w:ascii="Arial" w:eastAsia="Times New Roman" w:hAnsi="Arial" w:cs="Arial"/>
        </w:rPr>
        <w:fldChar w:fldCharType="end"/>
      </w:r>
      <w:r w:rsidRPr="008804FC">
        <w:rPr>
          <w:rFonts w:ascii="Arial" w:eastAsia="Times New Roman" w:hAnsi="Arial" w:cs="Arial"/>
          <w:spacing w:val="1"/>
        </w:rPr>
        <w:t xml:space="preserve">. Gene ontology (GO) and Reactome pathway enrichment analyses were completed with the DAVID tool </w:t>
      </w:r>
      <w:r w:rsidRPr="008804FC">
        <w:rPr>
          <w:rFonts w:ascii="Arial" w:eastAsia="Times New Roman" w:hAnsi="Arial" w:cs="Arial"/>
        </w:rPr>
        <w:fldChar w:fldCharType="begin"/>
      </w:r>
      <w:r w:rsidR="00882E99">
        <w:rPr>
          <w:rFonts w:ascii="Arial" w:eastAsia="Times New Roman" w:hAnsi="Arial" w:cs="Arial"/>
        </w:rPr>
        <w:instrText xml:space="preserve"> ADDIN ZOTERO_ITEM CSL_CITATION {"citationID":"ip7EhpRC","properties":{"unsorted":false,"formattedCitation":"[5]","plainCitation":"[5]","noteIndex":0},"citationItems":[{"id":6607,"uris":["http://zotero.org/users/14649661/items/K5J5EFWZ"],"itemData":{"id":6607,"type":"article-journal","abstract":"DAVID bioinformatics resources consists of an integrated biological knowledgebase and analytic tools aimed at systematically extracting biological meaning from large gene/protein lists. This protocol explains how to use DAVID, a high-throughput and integrated data-mining environment, to analyze gene lists derived from high-throughput genomic experiments. The procedure first requires uploading a gene list containing any number of common gene identifiers followed by analysis using one or more text and pathway-mining tools such as gene functional classification, functional annotation chart or clustering and functional annotation table. By following this protocol, investigators are able to gain an in-depth understanding of the biological themes in lists of genes that are enriched in genome-scale studies.","container-title":"Nature Protocols","DOI":"10.1038/nprot.2008.211","ISSN":"1750-2799","issue":"1","journalAbbreviation":"Nat Protoc","language":"eng","note":"PMID: 19131956","page":"44-57","source":"PubMed","title":"Systematic and integrative analysis of large gene lists using DAVID bioinformatics resources","volume":"4","author":[{"family":"Huang","given":"Da Wei"},{"family":"Sherman","given":"Brad T."},{"family":"Lempicki","given":"Richard A."}],"issued":{"date-parts":[["2009"]]},"citation-key":"huangSystematicIntegrativeAnalysis2009"},"locator":null,"label":null,"suppress-author":null,"prefix":null,"suffix":null}],"schema":"https://github.com/citation-style-language/schema/raw/master/csl-citation.json"} </w:instrText>
      </w:r>
      <w:r w:rsidRPr="008804FC">
        <w:rPr>
          <w:rFonts w:ascii="Arial" w:eastAsia="Times New Roman" w:hAnsi="Arial" w:cs="Arial"/>
        </w:rPr>
        <w:fldChar w:fldCharType="separate"/>
      </w:r>
      <w:r w:rsidR="00882E99" w:rsidRPr="00882E99">
        <w:rPr>
          <w:rFonts w:ascii="Calibri" w:hAnsi="Calibri" w:cs="Calibri"/>
        </w:rPr>
        <w:t>[5]</w:t>
      </w:r>
      <w:r w:rsidRPr="008804FC">
        <w:rPr>
          <w:rFonts w:ascii="Arial" w:eastAsia="Times New Roman" w:hAnsi="Arial" w:cs="Arial"/>
        </w:rPr>
        <w:fldChar w:fldCharType="end"/>
      </w:r>
      <w:r w:rsidRPr="008804FC">
        <w:rPr>
          <w:rFonts w:ascii="Arial" w:eastAsia="Times New Roman" w:hAnsi="Arial" w:cs="Arial"/>
          <w:spacing w:val="1"/>
        </w:rPr>
        <w:t xml:space="preserve">. For synapse-specific cellular component GO analysis, SynGO was utilized. Phosphorylation sequence enrichment analysis was performed </w:t>
      </w:r>
      <w:r w:rsidRPr="008804FC">
        <w:rPr>
          <w:rFonts w:ascii="Arial" w:eastAsia="Times New Roman" w:hAnsi="Arial" w:cs="Arial"/>
          <w:spacing w:val="1"/>
        </w:rPr>
        <w:lastRenderedPageBreak/>
        <w:t xml:space="preserve">using the </w:t>
      </w:r>
      <w:r w:rsidR="00DB4BD7">
        <w:rPr>
          <w:rFonts w:ascii="Arial" w:eastAsia="Times New Roman" w:hAnsi="Arial" w:cs="Arial"/>
          <w:spacing w:val="1"/>
        </w:rPr>
        <w:t>i</w:t>
      </w:r>
      <w:r w:rsidR="00882E99">
        <w:rPr>
          <w:rFonts w:ascii="Arial" w:eastAsia="Times New Roman" w:hAnsi="Arial" w:cs="Arial"/>
          <w:spacing w:val="1"/>
        </w:rPr>
        <w:t>ceLogo</w:t>
      </w:r>
      <w:r w:rsidRPr="008804FC">
        <w:rPr>
          <w:rFonts w:ascii="Arial" w:eastAsia="Times New Roman" w:hAnsi="Arial" w:cs="Arial"/>
          <w:spacing w:val="1"/>
        </w:rPr>
        <w:t xml:space="preserve"> generation tool</w:t>
      </w:r>
      <w:r w:rsidR="00882E99">
        <w:rPr>
          <w:rFonts w:ascii="Arial" w:eastAsia="Times New Roman" w:hAnsi="Arial" w:cs="Arial"/>
          <w:spacing w:val="1"/>
        </w:rPr>
        <w:t xml:space="preserve"> </w:t>
      </w:r>
      <w:r w:rsidRPr="008804FC">
        <w:rPr>
          <w:rFonts w:ascii="Arial" w:eastAsia="Times New Roman" w:hAnsi="Arial" w:cs="Arial"/>
        </w:rPr>
        <w:fldChar w:fldCharType="begin"/>
      </w:r>
      <w:r w:rsidR="00882E99">
        <w:rPr>
          <w:rFonts w:ascii="Arial" w:eastAsia="Times New Roman" w:hAnsi="Arial" w:cs="Arial"/>
        </w:rPr>
        <w:instrText xml:space="preserve"> ADDIN ZOTERO_ITEM CSL_CITATION {"citationID":"XOpRkds8","properties":{"unsorted":false,"formattedCitation":"[7]","plainCitation":"[7]","noteIndex":0},"citationItems":[{"id":8650,"uris":["http://zotero.org/users/14649661/items/SHZT3VGM"],"itemData":{"id":8650,"type":"article-journal","container-title":"Nature Methods","DOI":"10.1038/nmeth1109-786","ISSN":"1548-7105","issue":"11","journalAbbreviation":"Nat Methods","language":"eng","note":"PMID: 19876014","page":"786-787","source":"PubMed","title":"Improved visualization of protein consensus sequences by iceLogo","volume":"6","author":[{"family":"Colaert","given":"Niklaas"},{"family":"Helsens","given":"Kenny"},{"family":"Martens","given":"Lennart"},{"family":"Vandekerckhove","given":"Joël"},{"family":"Gevaert","given":"Kris"}],"issued":{"date-parts":[["2009",11]]},"citation-key":"colaertImprovedVisualizationProtein2009"},"locator":null,"label":null,"suppress-author":null,"prefix":null,"suffix":null}],"schema":"https://github.com/citation-style-language/schema/raw/master/csl-citation.json"} </w:instrText>
      </w:r>
      <w:r w:rsidRPr="008804FC">
        <w:rPr>
          <w:rFonts w:ascii="Arial" w:eastAsia="Times New Roman" w:hAnsi="Arial" w:cs="Arial"/>
        </w:rPr>
        <w:fldChar w:fldCharType="separate"/>
      </w:r>
      <w:r w:rsidR="00882E99" w:rsidRPr="00882E99">
        <w:rPr>
          <w:rFonts w:ascii="Calibri" w:hAnsi="Calibri" w:cs="Calibri"/>
        </w:rPr>
        <w:t>[7]</w:t>
      </w:r>
      <w:r w:rsidRPr="008804FC">
        <w:rPr>
          <w:rFonts w:ascii="Arial" w:eastAsia="Times New Roman" w:hAnsi="Arial" w:cs="Arial"/>
        </w:rPr>
        <w:fldChar w:fldCharType="end"/>
      </w:r>
      <w:r w:rsidR="00882E99">
        <w:rPr>
          <w:rFonts w:ascii="Arial" w:eastAsia="Times New Roman" w:hAnsi="Arial" w:cs="Arial"/>
          <w:spacing w:val="1"/>
        </w:rPr>
        <w:t>.</w:t>
      </w:r>
      <w:r w:rsidRPr="008804FC">
        <w:rPr>
          <w:rFonts w:ascii="Arial" w:eastAsia="Times New Roman" w:hAnsi="Arial" w:cs="Arial"/>
          <w:spacing w:val="1"/>
        </w:rPr>
        <w:t xml:space="preserve"> Volcano plots and scatter plots were created in GraphPad Prism.</w:t>
      </w:r>
    </w:p>
    <w:p w14:paraId="791BE4AD" w14:textId="77777777" w:rsidR="008804FC" w:rsidRPr="008804FC" w:rsidRDefault="008804FC" w:rsidP="008804FC">
      <w:pPr>
        <w:spacing w:line="240" w:lineRule="auto"/>
        <w:jc w:val="both"/>
        <w:rPr>
          <w:rFonts w:ascii="Arial" w:eastAsia="Times New Roman" w:hAnsi="Arial" w:cs="Arial"/>
          <w:b/>
          <w:bCs/>
          <w:color w:val="000000"/>
        </w:rPr>
      </w:pPr>
      <w:r w:rsidRPr="008804FC">
        <w:rPr>
          <w:rFonts w:ascii="Arial" w:eastAsia="Times New Roman" w:hAnsi="Arial" w:cs="Arial"/>
          <w:b/>
          <w:bCs/>
          <w:color w:val="000000"/>
        </w:rPr>
        <w:t>Phosphoproteomics</w:t>
      </w:r>
    </w:p>
    <w:p w14:paraId="3E20A999" w14:textId="43A9D798" w:rsidR="008804FC" w:rsidRPr="008804FC" w:rsidRDefault="008804FC" w:rsidP="008804FC">
      <w:pPr>
        <w:spacing w:line="240" w:lineRule="auto"/>
        <w:jc w:val="both"/>
        <w:rPr>
          <w:rFonts w:ascii="Arial" w:eastAsia="Times New Roman" w:hAnsi="Arial" w:cs="Arial"/>
          <w:shd w:val="clear" w:color="auto" w:fill="FFFFFF"/>
        </w:rPr>
      </w:pPr>
      <w:r w:rsidRPr="008804FC">
        <w:rPr>
          <w:rFonts w:ascii="Arial" w:hAnsi="Arial" w:cs="Arial"/>
          <w:spacing w:val="1"/>
        </w:rPr>
        <w:t xml:space="preserve">To evaluate differences in protein phosphorylation abundance with pSNL and CS640 treatment, mice were anesthetized and administered a 5 μL intracerebroventricular injection of CS640 (2 μg/μL) or vehicle (1:1:8 DMSO:Tween 80:saline solution). The researchers who administered the drug and vehicle were blinded to group assignments. Bilateral VTAs were then collected 30 minutes later. 0.2-0.4 mg of VTA protein lysate per sample underwent in-solution tryptic digestion and phosphopeptide enrichment using metal oxide affinity chromatography per the manufacturer’s protocol (Thermo Scientific) similar to as previously described </w:t>
      </w:r>
      <w:r w:rsidRPr="008804FC">
        <w:rPr>
          <w:rFonts w:ascii="Arial" w:hAnsi="Arial" w:cs="Arial"/>
          <w:color w:val="EE0000"/>
          <w:spacing w:val="1"/>
        </w:rPr>
        <w:fldChar w:fldCharType="begin"/>
      </w:r>
      <w:r w:rsidR="00882E99">
        <w:rPr>
          <w:rFonts w:ascii="Arial" w:hAnsi="Arial" w:cs="Arial"/>
          <w:color w:val="EE0000"/>
          <w:spacing w:val="1"/>
        </w:rPr>
        <w:instrText xml:space="preserve"> ADDIN ZOTERO_ITEM CSL_CITATION {"citationID":"GtUpb6sD","properties":{"unsorted":false,"formattedCitation":"[17, 18]","plainCitation":"[17, 18]","noteIndex":0},"citationItems":[{"id":6596,"uris":["http://zotero.org/users/14649661/items/XIYZZSN8"],"itemData":{"id":6596,"type":"article-journal","abstract":"The opioid receptors are important regulators of pain, reward, and addiction. Limited evidence suggests the mu and delta opioid receptors form a heterodimer (MDOR), which may act as a negative feedback brake on opioid-induced analgesia. However, evidence for the MDOR in vivo is indirect and limited, and there are few selective tools available. We recently published the first MDOR-selective antagonist, D24M, allowing us to test the role of the MDOR in mice. We thus cotreated CD-1 mice with D24M and opioids in tail flick, paw incision, and chemotherapy-induced peripheral neuropathy pain models. D24M treatment enhanced oxymorphone antinociception in all models by 54.7% to 628%. This enhancement could not be replicated with the mu and delta selective antagonists CTAP, naltrindole, and naloxonazine, and D24M had a mild transient effect in the rotarod test, suggesting this increase is selective to the MDOR. However, D24M had no effect on morphine or buprenorphine, suggesting that only specific opioids interact with the MDOR. To find a mechanism, we performed phosphoproteomic analysis on brainstems of mice. We found that the kinases Src and CaMKII were repressed by oxymorphone, which was restored by D24M. We were able to confirm the role of Src and CaMKII in D24M-enhanced antinociception using small molecule inhibitors (KN93 and Src-I1). Together, these results provide direct in vivo evidence that the MDOR acts as an opioid negative feedback brake, which occurs through the repression of Src and CaMKII signal transduction. These results further suggest that MDOR antagonism could be a means to improve clinical opioid therapy.","container-title":"Pain","DOI":"10.1097/j.pain.0000000000002320","ISSN":"1872-6623","issue":"1","journalAbbreviation":"Pain","language":"eng","note":"PMID: 34252907\nPMCID: PMC8688156","page":"146-158","source":"PubMed","title":"Antagonism of the mu-delta opioid receptor heterodimer enhances opioid antinociception by activating Src and calcium/calmodulin-dependent protein kinase II signaling","volume":"163","author":[{"family":"Keresztes","given":"Attila"},{"family":"Olson","given":"Keith"},{"family":"Nguyen","given":"Paul"},{"family":"Lopez-Pier","given":"Marissa A."},{"family":"Hecksel","given":"Ryan"},{"family":"Barker","given":"Natalie K."},{"family":"Liu","given":"Zekun"},{"family":"Hruby","given":"Victor"},{"family":"Konhilas","given":"John"},{"family":"Langlais","given":"Paul R."},{"family":"Streicher","given":"John M."}],"issued":{"date-parts":[["2022",1,1]]},"citation-key":"keresztesAntagonismMudeltaOpioid2022"},"locator":null,"label":null,"suppress-author":null,"prefix":null,"suffix":null},{"id":6599,"uris":["http://zotero.org/users/14649661/items/LSGRW62E"],"itemData":{"id":6599,"type":"article-journal","abstract":"Mounting evidence supports the role of the endocannabinoid system in neurophysiology, including blood-brain barrier (BBB) function. Recent work has demonstrated that activation of endocannabinoid receptors can mitigate insults to the BBB during neurological disorders like traumatic brain injury, cortical spreading depression, and stroke. As alterations to the BBB are associated with worsening clinical outcomes in these conditions, studies herein sought to examine the impact of endocannabinoid depletion on BBB integrity. Barrier integrity was investigated in vitro via bEnd.3 cell monolayers to assess endocannabinoid synthesis, barrier function, calcium influx, junctional protein expression, and proteome-wide changes. Inhibition of 2-AG synthesis using DAGLα inhibition and siRNA inhibition of DAGLα led to loss of barrier integrity via altered expression of VE-cadherin, which could be partially rescued by exogenous application of 2-AG. Moreover, the deleterious effects of DAGLα inhibition on BBB integrity showed both calcium and PKC (protein kinase C)-dependency. These data indicate that disruption of 2-AG homeostasis in brain endothelial cells, in the absence of insult, is sufficient to disrupt BBB integrity thus supporting the role of the endocannabinoid system in neurovascular disorders.","container-title":"International Journal of Molecular Sciences","DOI":"10.3390/ijms25010531","ISSN":"1422-0067","issue":"1","journalAbbreviation":"Int J Mol Sci","language":"eng","note":"PMID: 38203706\nPMCID: PMC10778805","page":"531","source":"PubMed","title":"Depletion of Endothelial-Derived 2-AG Reduces Blood-Endothelial Barrier Integrity via Alteration of VE-Cadherin and the Phospho-Proteome","volume":"25","author":[{"family":"Levine","given":"Aidan A."},{"family":"Liktor-Busa","given":"Erika"},{"family":"Balasubramanian","given":"Shreya"},{"family":"Palomino","given":"Seph M."},{"family":"Burtman","given":"Anya M."},{"family":"Couture","given":"Sarah A."},{"family":"Lipinski","given":"Austin A."},{"family":"Langlais","given":"Paul R."},{"family":"Largent-Milnes","given":"Tally M."}],"issued":{"date-parts":[["2023",12,30]]},"citation-key":"levineDepletionEndothelialDerived2AG2023"},"locator":null,"label":null,"suppress-author":null,"prefix":null,"suffix":null}],"schema":"https://github.com/citation-style-language/schema/raw/master/csl-citation.json"} </w:instrText>
      </w:r>
      <w:r w:rsidRPr="008804FC">
        <w:rPr>
          <w:rFonts w:ascii="Arial" w:hAnsi="Arial" w:cs="Arial"/>
          <w:color w:val="EE0000"/>
          <w:spacing w:val="1"/>
        </w:rPr>
        <w:fldChar w:fldCharType="separate"/>
      </w:r>
      <w:r w:rsidR="00882E99" w:rsidRPr="00882E99">
        <w:rPr>
          <w:rFonts w:ascii="Calibri" w:hAnsi="Calibri" w:cs="Calibri"/>
        </w:rPr>
        <w:t>[17, 18]</w:t>
      </w:r>
      <w:r w:rsidRPr="008804FC">
        <w:rPr>
          <w:rFonts w:ascii="Arial" w:hAnsi="Arial" w:cs="Arial"/>
          <w:color w:val="EE0000"/>
          <w:spacing w:val="1"/>
        </w:rPr>
        <w:fldChar w:fldCharType="end"/>
      </w:r>
      <w:r w:rsidRPr="008804FC">
        <w:rPr>
          <w:rFonts w:ascii="Arial" w:hAnsi="Arial" w:cs="Arial"/>
          <w:spacing w:val="1"/>
        </w:rPr>
        <w:t xml:space="preserve">. The dried peptides were resuspended in 20 μL of 0.1% FA (v/v) and the peptide concentration was determined with the Pierce Quantitative Colorimetric Peptide Assay Kit per the manufacturer’s protocol </w:t>
      </w:r>
      <w:r w:rsidRPr="008804FC">
        <w:rPr>
          <w:rFonts w:ascii="Arial" w:hAnsi="Arial" w:cs="Arial"/>
        </w:rPr>
        <w:t>(Thermo Scientific)</w:t>
      </w:r>
      <w:r w:rsidRPr="008804FC">
        <w:rPr>
          <w:rFonts w:ascii="Arial" w:hAnsi="Arial" w:cs="Arial"/>
          <w:spacing w:val="1"/>
        </w:rPr>
        <w:t xml:space="preserve">. 350 ng of the final sample was then analyzed by mass spectrometry. </w:t>
      </w:r>
    </w:p>
    <w:p w14:paraId="5BF9D5C9" w14:textId="77777777" w:rsidR="00515E8A" w:rsidRPr="008804FC" w:rsidRDefault="00515E8A" w:rsidP="008804FC">
      <w:pPr>
        <w:spacing w:line="240" w:lineRule="auto"/>
        <w:jc w:val="both"/>
        <w:rPr>
          <w:rFonts w:ascii="Arial" w:eastAsia="Times New Roman" w:hAnsi="Arial" w:cs="Arial"/>
          <w:b/>
          <w:bCs/>
        </w:rPr>
      </w:pPr>
      <w:r w:rsidRPr="008804FC">
        <w:rPr>
          <w:rFonts w:ascii="Arial" w:eastAsia="Times New Roman" w:hAnsi="Arial" w:cs="Arial"/>
          <w:b/>
          <w:bCs/>
        </w:rPr>
        <w:t xml:space="preserve">Statistical Analysis </w:t>
      </w:r>
    </w:p>
    <w:p w14:paraId="1A8B7390" w14:textId="5CD7BCA9" w:rsidR="00396A16" w:rsidRPr="008804FC" w:rsidRDefault="00515E8A" w:rsidP="008804FC">
      <w:pPr>
        <w:spacing w:after="0" w:line="240" w:lineRule="auto"/>
        <w:jc w:val="both"/>
        <w:rPr>
          <w:rFonts w:ascii="Arial" w:eastAsia="Times New Roman" w:hAnsi="Arial" w:cs="Arial"/>
          <w:spacing w:val="1"/>
          <w:shd w:val="clear" w:color="auto" w:fill="FFFFFF"/>
        </w:rPr>
      </w:pPr>
      <w:bookmarkStart w:id="0" w:name="_Hlk200474751"/>
      <w:r w:rsidRPr="008804FC">
        <w:rPr>
          <w:rFonts w:ascii="Arial" w:eastAsia="Times New Roman" w:hAnsi="Arial" w:cs="Arial"/>
          <w:spacing w:val="1"/>
          <w:shd w:val="clear" w:color="auto" w:fill="FFFFFF"/>
        </w:rPr>
        <w:t>Statistical analyses were conducted using GraphPad Prism 10.4.2, employing two-</w:t>
      </w:r>
      <w:r w:rsidR="008804FC">
        <w:rPr>
          <w:rFonts w:ascii="Arial" w:eastAsia="Times New Roman" w:hAnsi="Arial" w:cs="Arial"/>
          <w:spacing w:val="1"/>
          <w:shd w:val="clear" w:color="auto" w:fill="FFFFFF"/>
        </w:rPr>
        <w:t xml:space="preserve"> and three-</w:t>
      </w:r>
      <w:r w:rsidRPr="008804FC">
        <w:rPr>
          <w:rFonts w:ascii="Arial" w:eastAsia="Times New Roman" w:hAnsi="Arial" w:cs="Arial"/>
          <w:spacing w:val="1"/>
          <w:shd w:val="clear" w:color="auto" w:fill="FFFFFF"/>
        </w:rPr>
        <w:t>way ANOVA</w:t>
      </w:r>
      <w:r w:rsidR="008804FC">
        <w:rPr>
          <w:rFonts w:ascii="Arial" w:eastAsia="Times New Roman" w:hAnsi="Arial" w:cs="Arial"/>
          <w:spacing w:val="1"/>
          <w:shd w:val="clear" w:color="auto" w:fill="FFFFFF"/>
        </w:rPr>
        <w:t>s</w:t>
      </w:r>
      <w:r w:rsidR="000C4282">
        <w:rPr>
          <w:rFonts w:ascii="Arial" w:eastAsia="Times New Roman" w:hAnsi="Arial" w:cs="Arial"/>
          <w:spacing w:val="1"/>
          <w:shd w:val="clear" w:color="auto" w:fill="FFFFFF"/>
        </w:rPr>
        <w:t xml:space="preserve"> (mixed-effects (ME) where appropriate),</w:t>
      </w:r>
      <w:r w:rsidRPr="008804FC">
        <w:rPr>
          <w:rFonts w:ascii="Arial" w:eastAsia="Times New Roman" w:hAnsi="Arial" w:cs="Arial"/>
          <w:spacing w:val="1"/>
          <w:shd w:val="clear" w:color="auto" w:fill="FFFFFF"/>
        </w:rPr>
        <w:t xml:space="preserve"> with Tukey's or Fisher's LSD post hoc tests for group comparisons and unpaired t-tests where appropriate.</w:t>
      </w:r>
      <w:r w:rsidR="006B4592">
        <w:rPr>
          <w:rFonts w:ascii="Arial" w:eastAsia="Times New Roman" w:hAnsi="Arial" w:cs="Arial"/>
          <w:spacing w:val="1"/>
          <w:shd w:val="clear" w:color="auto" w:fill="FFFFFF"/>
        </w:rPr>
        <w:t xml:space="preserve"> </w:t>
      </w:r>
      <w:r w:rsidR="006B4592" w:rsidRPr="006B4592">
        <w:rPr>
          <w:rFonts w:ascii="Arial" w:eastAsia="Times New Roman" w:hAnsi="Arial" w:cs="Arial"/>
          <w:spacing w:val="1"/>
          <w:shd w:val="clear" w:color="auto" w:fill="FFFFFF"/>
        </w:rPr>
        <w:t xml:space="preserve">All GraphPad Prism statistics are presented in </w:t>
      </w:r>
      <w:r w:rsidR="006B4592" w:rsidRPr="006B4592">
        <w:rPr>
          <w:rFonts w:ascii="Arial" w:eastAsia="Times New Roman" w:hAnsi="Arial" w:cs="Arial"/>
          <w:b/>
          <w:bCs/>
          <w:spacing w:val="1"/>
          <w:shd w:val="clear" w:color="auto" w:fill="FFFFFF"/>
        </w:rPr>
        <w:t>Supplementary Table 1</w:t>
      </w:r>
      <w:r w:rsidR="006B4592" w:rsidRPr="006B4592">
        <w:rPr>
          <w:rFonts w:ascii="Arial" w:eastAsia="Times New Roman" w:hAnsi="Arial" w:cs="Arial"/>
          <w:spacing w:val="1"/>
          <w:shd w:val="clear" w:color="auto" w:fill="FFFFFF"/>
        </w:rPr>
        <w:t>.</w:t>
      </w:r>
    </w:p>
    <w:bookmarkEnd w:id="0"/>
    <w:p w14:paraId="4B41C1AC" w14:textId="7319B2F0" w:rsidR="005B5263" w:rsidRDefault="00396A16" w:rsidP="00882E99">
      <w:pPr>
        <w:spacing w:after="0"/>
        <w:jc w:val="both"/>
        <w:rPr>
          <w:rFonts w:ascii="Arial" w:eastAsia="Times New Roman" w:hAnsi="Arial" w:cs="Arial"/>
          <w:b/>
          <w:bCs/>
          <w:spacing w:val="1"/>
          <w:shd w:val="clear" w:color="auto" w:fill="FFFFFF"/>
        </w:rPr>
      </w:pPr>
      <w:r w:rsidRPr="008804FC">
        <w:rPr>
          <w:rFonts w:ascii="Arial" w:eastAsia="Times New Roman" w:hAnsi="Arial" w:cs="Arial"/>
          <w:spacing w:val="1"/>
          <w:shd w:val="clear" w:color="auto" w:fill="FFFFFF"/>
        </w:rPr>
        <w:br w:type="page"/>
      </w:r>
      <w:r w:rsidRPr="008804FC">
        <w:rPr>
          <w:rFonts w:ascii="Arial" w:eastAsia="Times New Roman" w:hAnsi="Arial" w:cs="Arial"/>
          <w:b/>
          <w:bCs/>
          <w:spacing w:val="1"/>
          <w:shd w:val="clear" w:color="auto" w:fill="FFFFFF"/>
        </w:rPr>
        <w:lastRenderedPageBreak/>
        <w:t>References</w:t>
      </w:r>
    </w:p>
    <w:p w14:paraId="0302EDD6" w14:textId="77777777" w:rsidR="00882E99" w:rsidRPr="00882E99" w:rsidRDefault="00882E99" w:rsidP="00882E99">
      <w:pPr>
        <w:pStyle w:val="Bibliography"/>
      </w:pPr>
      <w:r>
        <w:rPr>
          <w:rFonts w:ascii="Arial" w:eastAsia="Times New Roman" w:hAnsi="Arial" w:cs="Arial"/>
          <w:b/>
          <w:bCs/>
          <w:spacing w:val="1"/>
          <w:shd w:val="clear" w:color="auto" w:fill="FFFFFF"/>
        </w:rPr>
        <w:fldChar w:fldCharType="begin"/>
      </w:r>
      <w:r>
        <w:rPr>
          <w:rFonts w:ascii="Arial" w:eastAsia="Times New Roman" w:hAnsi="Arial" w:cs="Arial"/>
          <w:b/>
          <w:bCs/>
          <w:spacing w:val="1"/>
          <w:shd w:val="clear" w:color="auto" w:fill="FFFFFF"/>
        </w:rPr>
        <w:instrText xml:space="preserve"> ADDIN ZOTERO_BIBL {"uncited":[],"omitted":[],"custom":[]} CSL_BIBLIOGRAPHY </w:instrText>
      </w:r>
      <w:r>
        <w:rPr>
          <w:rFonts w:ascii="Arial" w:eastAsia="Times New Roman" w:hAnsi="Arial" w:cs="Arial"/>
          <w:b/>
          <w:bCs/>
          <w:spacing w:val="1"/>
          <w:shd w:val="clear" w:color="auto" w:fill="FFFFFF"/>
        </w:rPr>
        <w:fldChar w:fldCharType="separate"/>
      </w:r>
      <w:r w:rsidRPr="00882E99">
        <w:t xml:space="preserve">1. </w:t>
      </w:r>
      <w:r w:rsidRPr="00882E99">
        <w:tab/>
        <w:t>Schindelin J, Arganda-Carreras I, Frise E, Kaynig V, Longair M, Pietzsch T, et al. Fiji: an open-source platform for biological-image analysis. Nat Methods. 2012;9:676–682.</w:t>
      </w:r>
    </w:p>
    <w:p w14:paraId="226AE39D" w14:textId="77777777" w:rsidR="00882E99" w:rsidRPr="00882E99" w:rsidRDefault="00882E99" w:rsidP="00882E99">
      <w:pPr>
        <w:pStyle w:val="Bibliography"/>
      </w:pPr>
      <w:r w:rsidRPr="00882E99">
        <w:t xml:space="preserve">2. </w:t>
      </w:r>
      <w:r w:rsidRPr="00882E99">
        <w:tab/>
        <w:t>Tyanova S, Temu T, Sinitcyn P, Carlson A, Hein MY, Geiger T, et al. The Perseus computational platform for comprehensive analysis of (prote)omics data. Nat Methods. 2016;13:731–740.</w:t>
      </w:r>
    </w:p>
    <w:p w14:paraId="79AAD2B4" w14:textId="77777777" w:rsidR="00882E99" w:rsidRPr="00882E99" w:rsidRDefault="00882E99" w:rsidP="00882E99">
      <w:pPr>
        <w:pStyle w:val="Bibliography"/>
      </w:pPr>
      <w:r w:rsidRPr="00882E99">
        <w:t xml:space="preserve">3. </w:t>
      </w:r>
      <w:r w:rsidRPr="00882E99">
        <w:tab/>
        <w:t>Tyanova S, Cox J. Perseus: A Bioinformatics Platform for Integrative Analysis of Proteomics Data in Cancer Research. Methods Mol Biol. 2018;1711:133–148.</w:t>
      </w:r>
    </w:p>
    <w:p w14:paraId="29623DFA" w14:textId="77777777" w:rsidR="00882E99" w:rsidRPr="00882E99" w:rsidRDefault="00882E99" w:rsidP="00882E99">
      <w:pPr>
        <w:pStyle w:val="Bibliography"/>
      </w:pPr>
      <w:r w:rsidRPr="00882E99">
        <w:t xml:space="preserve">4. </w:t>
      </w:r>
      <w:r w:rsidRPr="00882E99">
        <w:tab/>
        <w:t>Sherman BT, Hao M, Qiu J, Jiao X, Baseler MW, Lane HC, et al. DAVID: a web server for functional enrichment analysis and functional annotation of gene lists (2021 update). Nucleic Acids Res. 2022;50:W216–W221.</w:t>
      </w:r>
    </w:p>
    <w:p w14:paraId="38F05997" w14:textId="77777777" w:rsidR="00882E99" w:rsidRPr="00882E99" w:rsidRDefault="00882E99" w:rsidP="00882E99">
      <w:pPr>
        <w:pStyle w:val="Bibliography"/>
      </w:pPr>
      <w:r w:rsidRPr="00882E99">
        <w:t xml:space="preserve">5. </w:t>
      </w:r>
      <w:r w:rsidRPr="00882E99">
        <w:tab/>
        <w:t>Huang DW, Sherman BT, Lempicki RA. Systematic and integrative analysis of large gene lists using DAVID bioinformatics resources. Nat Protoc. 2009;4:44–57.</w:t>
      </w:r>
    </w:p>
    <w:p w14:paraId="77A9D16A" w14:textId="77777777" w:rsidR="00882E99" w:rsidRPr="00882E99" w:rsidRDefault="00882E99" w:rsidP="00882E99">
      <w:pPr>
        <w:pStyle w:val="Bibliography"/>
      </w:pPr>
      <w:r w:rsidRPr="00882E99">
        <w:t xml:space="preserve">6. </w:t>
      </w:r>
      <w:r w:rsidRPr="00882E99">
        <w:tab/>
        <w:t>Koopmans F, van Nierop P, Andres-Alonso M, Byrnes A, Cijsouw T, Coba MP, et al. SynGO: An Evidence-Based, Expert-Curated Knowledge Base for the Synapse. Neuron. 2019;103:217-234.e4.</w:t>
      </w:r>
    </w:p>
    <w:p w14:paraId="48D3CE5C" w14:textId="77777777" w:rsidR="00882E99" w:rsidRPr="00882E99" w:rsidRDefault="00882E99" w:rsidP="00882E99">
      <w:pPr>
        <w:pStyle w:val="Bibliography"/>
      </w:pPr>
      <w:r w:rsidRPr="00882E99">
        <w:t xml:space="preserve">7. </w:t>
      </w:r>
      <w:r w:rsidRPr="00882E99">
        <w:tab/>
        <w:t>Colaert N, Helsens K, Martens L, Vandekerckhove J, Gevaert K. Improved visualization of protein consensus sequences by iceLogo. Nat Methods. 2009;6:786–787.</w:t>
      </w:r>
    </w:p>
    <w:p w14:paraId="00A08D32" w14:textId="77777777" w:rsidR="00882E99" w:rsidRPr="00882E99" w:rsidRDefault="00882E99" w:rsidP="00882E99">
      <w:pPr>
        <w:pStyle w:val="Bibliography"/>
      </w:pPr>
      <w:r w:rsidRPr="00882E99">
        <w:t xml:space="preserve">8. </w:t>
      </w:r>
      <w:r w:rsidRPr="00882E99">
        <w:tab/>
        <w:t>Korah HE, Cheng K, Washington SM, Flowers ME, Stratton HJ, Patwardhan A, et al. Partial Sciatic Nerve Ligation: A Mouse Model of Chronic Neuropathic Pain to Study the Antinociceptive Effect of Novel Therapies. J Vis Exp. 2022. 6 October 2022. https://doi.org/10.3791/64555.</w:t>
      </w:r>
    </w:p>
    <w:p w14:paraId="2A556E9D" w14:textId="77777777" w:rsidR="00882E99" w:rsidRPr="00882E99" w:rsidRDefault="00882E99" w:rsidP="00882E99">
      <w:pPr>
        <w:pStyle w:val="Bibliography"/>
      </w:pPr>
      <w:r w:rsidRPr="00882E99">
        <w:t xml:space="preserve">9. </w:t>
      </w:r>
      <w:r w:rsidRPr="00882E99">
        <w:tab/>
        <w:t>Dixon WJ. Efficient analysis of experimental observations. Annu Rev Pharmacol Toxicol. 1980;20:441–462.</w:t>
      </w:r>
    </w:p>
    <w:p w14:paraId="2A814066" w14:textId="77777777" w:rsidR="00882E99" w:rsidRPr="00882E99" w:rsidRDefault="00882E99" w:rsidP="00882E99">
      <w:pPr>
        <w:pStyle w:val="Bibliography"/>
      </w:pPr>
      <w:r w:rsidRPr="00882E99">
        <w:t xml:space="preserve">10. </w:t>
      </w:r>
      <w:r w:rsidRPr="00882E99">
        <w:tab/>
        <w:t>Chaplan SR, Bach FW, Pogrel JW, Chung JM, Yaksh TL. Quantitative assessment of tactile allodynia in the rat paw. J Neurosci Methods. 1994;53:55–63.</w:t>
      </w:r>
    </w:p>
    <w:p w14:paraId="3B905359" w14:textId="77777777" w:rsidR="00882E99" w:rsidRPr="00882E99" w:rsidRDefault="00882E99" w:rsidP="00882E99">
      <w:pPr>
        <w:pStyle w:val="Bibliography"/>
      </w:pPr>
      <w:r w:rsidRPr="00882E99">
        <w:t xml:space="preserve">11. </w:t>
      </w:r>
      <w:r w:rsidRPr="00882E99">
        <w:tab/>
        <w:t>Chaplan SR, Pogrel JW, Yaksh TL. Role of voltage-dependent calcium channel subtypes in experimental tactile allodynia. J Pharmacol Exp Ther. 1994;269:1117–1123.</w:t>
      </w:r>
    </w:p>
    <w:p w14:paraId="2ADA47B3" w14:textId="77777777" w:rsidR="00882E99" w:rsidRPr="00882E99" w:rsidRDefault="00882E99" w:rsidP="00882E99">
      <w:pPr>
        <w:pStyle w:val="Bibliography"/>
      </w:pPr>
      <w:r w:rsidRPr="00882E99">
        <w:t xml:space="preserve">12. </w:t>
      </w:r>
      <w:r w:rsidRPr="00882E99">
        <w:tab/>
        <w:t>Liktor-Busa E, Levine AA, Palomino SM, Singh S, Wahl J, Vanderah TW, et al. ABHD6 and MAGL control 2-AG levels in the PAG and allodynia in a CSD-induced periorbital model of headache. Front Pain Res (Lausanne). 2023;4:1171188.</w:t>
      </w:r>
    </w:p>
    <w:p w14:paraId="12FD6F67" w14:textId="77777777" w:rsidR="00882E99" w:rsidRPr="00882E99" w:rsidRDefault="00882E99" w:rsidP="00882E99">
      <w:pPr>
        <w:pStyle w:val="Bibliography"/>
      </w:pPr>
      <w:r w:rsidRPr="00882E99">
        <w:t xml:space="preserve">13. </w:t>
      </w:r>
      <w:r w:rsidRPr="00882E99">
        <w:tab/>
        <w:t>Wilkerson JL, Niphakis MJ, Grim TW, Mustafa MA, Abdullah RA, Poklis JL, et al. The Selective Monoacylglycerol Lipase Inhibitor MJN110 Produces Opioid-Sparing Effects in a Mouse Neuropathic Pain Model. J Pharmacol Exp Ther. 2016;357:145–156.</w:t>
      </w:r>
    </w:p>
    <w:p w14:paraId="1FA77FF0" w14:textId="77777777" w:rsidR="00882E99" w:rsidRPr="00882E99" w:rsidRDefault="00882E99" w:rsidP="00882E99">
      <w:pPr>
        <w:pStyle w:val="Bibliography"/>
      </w:pPr>
      <w:r w:rsidRPr="00882E99">
        <w:t xml:space="preserve">14. </w:t>
      </w:r>
      <w:r w:rsidRPr="00882E99">
        <w:tab/>
        <w:t>Kruse R, Krantz J, Barker N, Coletta RL, Rafikov R, Luo M, et al. Characterization of the CLASP2 Protein Interaction Network Identifies SOGA1 as a Microtubule-Associated Protein. Mol Cell Proteomics. 2017;16:1718–1735.</w:t>
      </w:r>
    </w:p>
    <w:p w14:paraId="77E3D288" w14:textId="77777777" w:rsidR="00882E99" w:rsidRPr="00882E99" w:rsidRDefault="00882E99" w:rsidP="00882E99">
      <w:pPr>
        <w:pStyle w:val="Bibliography"/>
      </w:pPr>
      <w:r w:rsidRPr="00882E99">
        <w:t xml:space="preserve">15. </w:t>
      </w:r>
      <w:r w:rsidRPr="00882E99">
        <w:tab/>
        <w:t>Parker SS, Krantz J, Kwak E-A, Barker NK, Deer CG, Lee NY, et al. Insulin Induces Microtubule Stabilization and Regulates the Microtubule Plus-end Tracking Protein Network in Adipocytes. Mol Cell Proteomics. 2019;18:1363–1381.</w:t>
      </w:r>
    </w:p>
    <w:p w14:paraId="7A109C05" w14:textId="77777777" w:rsidR="00882E99" w:rsidRPr="00882E99" w:rsidRDefault="00882E99" w:rsidP="00882E99">
      <w:pPr>
        <w:pStyle w:val="Bibliography"/>
      </w:pPr>
      <w:r w:rsidRPr="00882E99">
        <w:t xml:space="preserve">16. </w:t>
      </w:r>
      <w:r w:rsidRPr="00882E99">
        <w:tab/>
        <w:t>Vizcarra VS, Barber KR, Franca-Solomon G, Majuta L, Smith A, Langlais PR, et al. Targeting 5-HT2A receptors and Kv7 channels in PFC to attenuate chronic neuropathic pain in rats using a spared nerve injury model. Neurosci Lett. 2022;789:136864.</w:t>
      </w:r>
    </w:p>
    <w:p w14:paraId="6A3E6C51" w14:textId="77777777" w:rsidR="00882E99" w:rsidRPr="00882E99" w:rsidRDefault="00882E99" w:rsidP="00882E99">
      <w:pPr>
        <w:pStyle w:val="Bibliography"/>
      </w:pPr>
      <w:r w:rsidRPr="00882E99">
        <w:t xml:space="preserve">17. </w:t>
      </w:r>
      <w:r w:rsidRPr="00882E99">
        <w:tab/>
        <w:t>Keresztes A, Olson K, Nguyen P, Lopez-Pier MA, Hecksel R, Barker NK, et al. Antagonism of the mu-delta opioid receptor heterodimer enhances opioid antinociception by activating Src and calcium/calmodulin-dependent protein kinase II signaling. Pain. 2022;163:146–158.</w:t>
      </w:r>
    </w:p>
    <w:p w14:paraId="77CE4D0B" w14:textId="77777777" w:rsidR="00882E99" w:rsidRPr="00882E99" w:rsidRDefault="00882E99" w:rsidP="00882E99">
      <w:pPr>
        <w:pStyle w:val="Bibliography"/>
      </w:pPr>
      <w:r w:rsidRPr="00882E99">
        <w:t xml:space="preserve">18. </w:t>
      </w:r>
      <w:r w:rsidRPr="00882E99">
        <w:tab/>
        <w:t>Levine AA, Liktor-Busa E, Balasubramanian S, Palomino SM, Burtman AM, Couture SA, et al. Depletion of Endothelial-Derived 2-AG Reduces Blood-Endothelial Barrier Integrity via Alteration of VE-Cadherin and the Phospho-Proteome. Int J Mol Sci. 2023;25:531.</w:t>
      </w:r>
    </w:p>
    <w:p w14:paraId="635A8B5A" w14:textId="6D5FEA8C" w:rsidR="00882E99" w:rsidRPr="00882E99" w:rsidRDefault="00882E99" w:rsidP="00882E99">
      <w:pPr>
        <w:spacing w:after="0"/>
        <w:jc w:val="both"/>
        <w:rPr>
          <w:rFonts w:ascii="Arial" w:eastAsia="Times New Roman" w:hAnsi="Arial" w:cs="Arial"/>
          <w:b/>
          <w:bCs/>
          <w:spacing w:val="1"/>
          <w:shd w:val="clear" w:color="auto" w:fill="FFFFFF"/>
        </w:rPr>
      </w:pPr>
      <w:r>
        <w:rPr>
          <w:rFonts w:ascii="Arial" w:eastAsia="Times New Roman" w:hAnsi="Arial" w:cs="Arial"/>
          <w:b/>
          <w:bCs/>
          <w:spacing w:val="1"/>
          <w:shd w:val="clear" w:color="auto" w:fill="FFFFFF"/>
        </w:rPr>
        <w:fldChar w:fldCharType="end"/>
      </w:r>
    </w:p>
    <w:sectPr w:rsidR="00882E99" w:rsidRPr="00882E99" w:rsidSect="002C42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39CB1" w14:textId="77777777" w:rsidR="002404C0" w:rsidRDefault="002404C0" w:rsidP="00723E56">
      <w:pPr>
        <w:spacing w:after="0" w:line="240" w:lineRule="auto"/>
      </w:pPr>
      <w:r>
        <w:separator/>
      </w:r>
    </w:p>
  </w:endnote>
  <w:endnote w:type="continuationSeparator" w:id="0">
    <w:p w14:paraId="087B884B" w14:textId="77777777" w:rsidR="002404C0" w:rsidRDefault="002404C0" w:rsidP="00723E56">
      <w:pPr>
        <w:spacing w:after="0" w:line="240" w:lineRule="auto"/>
      </w:pPr>
      <w:r>
        <w:continuationSeparator/>
      </w:r>
    </w:p>
  </w:endnote>
  <w:endnote w:type="continuationNotice" w:id="1">
    <w:p w14:paraId="5786E45B" w14:textId="77777777" w:rsidR="002404C0" w:rsidRDefault="002404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66A8E" w14:textId="77777777" w:rsidR="002404C0" w:rsidRDefault="002404C0" w:rsidP="00723E56">
      <w:pPr>
        <w:spacing w:after="0" w:line="240" w:lineRule="auto"/>
      </w:pPr>
      <w:r>
        <w:separator/>
      </w:r>
    </w:p>
  </w:footnote>
  <w:footnote w:type="continuationSeparator" w:id="0">
    <w:p w14:paraId="18C14FCE" w14:textId="77777777" w:rsidR="002404C0" w:rsidRDefault="002404C0" w:rsidP="00723E56">
      <w:pPr>
        <w:spacing w:after="0" w:line="240" w:lineRule="auto"/>
      </w:pPr>
      <w:r>
        <w:continuationSeparator/>
      </w:r>
    </w:p>
  </w:footnote>
  <w:footnote w:type="continuationNotice" w:id="1">
    <w:p w14:paraId="0BD5072A" w14:textId="77777777" w:rsidR="002404C0" w:rsidRDefault="002404C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21EE8"/>
    <w:multiLevelType w:val="multilevel"/>
    <w:tmpl w:val="D0BA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D6077C"/>
    <w:multiLevelType w:val="hybridMultilevel"/>
    <w:tmpl w:val="EC646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662202">
    <w:abstractNumId w:val="1"/>
  </w:num>
  <w:num w:numId="2" w16cid:durableId="948464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D98"/>
    <w:rsid w:val="00002157"/>
    <w:rsid w:val="000043BA"/>
    <w:rsid w:val="00006C2B"/>
    <w:rsid w:val="00011942"/>
    <w:rsid w:val="000154BD"/>
    <w:rsid w:val="00020663"/>
    <w:rsid w:val="00026A00"/>
    <w:rsid w:val="00036543"/>
    <w:rsid w:val="000412B4"/>
    <w:rsid w:val="000413BB"/>
    <w:rsid w:val="000438CE"/>
    <w:rsid w:val="00043E35"/>
    <w:rsid w:val="000450D9"/>
    <w:rsid w:val="00045700"/>
    <w:rsid w:val="00047E46"/>
    <w:rsid w:val="00050387"/>
    <w:rsid w:val="000533B2"/>
    <w:rsid w:val="00053C37"/>
    <w:rsid w:val="0005540E"/>
    <w:rsid w:val="00055924"/>
    <w:rsid w:val="00056DF8"/>
    <w:rsid w:val="000649E2"/>
    <w:rsid w:val="00070F70"/>
    <w:rsid w:val="00077197"/>
    <w:rsid w:val="000804C0"/>
    <w:rsid w:val="000809C3"/>
    <w:rsid w:val="00087BED"/>
    <w:rsid w:val="000903D3"/>
    <w:rsid w:val="00094906"/>
    <w:rsid w:val="00096A31"/>
    <w:rsid w:val="00097649"/>
    <w:rsid w:val="000A6B0D"/>
    <w:rsid w:val="000B77F4"/>
    <w:rsid w:val="000C1CEB"/>
    <w:rsid w:val="000C3987"/>
    <w:rsid w:val="000C4282"/>
    <w:rsid w:val="000D052A"/>
    <w:rsid w:val="000D061D"/>
    <w:rsid w:val="000D175A"/>
    <w:rsid w:val="000D3999"/>
    <w:rsid w:val="000D76E5"/>
    <w:rsid w:val="000E045F"/>
    <w:rsid w:val="000E1251"/>
    <w:rsid w:val="000E2902"/>
    <w:rsid w:val="000E5ABA"/>
    <w:rsid w:val="000F2D7F"/>
    <w:rsid w:val="000F3BF3"/>
    <w:rsid w:val="000F4427"/>
    <w:rsid w:val="00100484"/>
    <w:rsid w:val="001019AE"/>
    <w:rsid w:val="001051FF"/>
    <w:rsid w:val="00105913"/>
    <w:rsid w:val="001075BE"/>
    <w:rsid w:val="00107EBD"/>
    <w:rsid w:val="00111835"/>
    <w:rsid w:val="00111A14"/>
    <w:rsid w:val="0011387D"/>
    <w:rsid w:val="001138A4"/>
    <w:rsid w:val="00114433"/>
    <w:rsid w:val="00114CD7"/>
    <w:rsid w:val="0011565E"/>
    <w:rsid w:val="00115745"/>
    <w:rsid w:val="001158FD"/>
    <w:rsid w:val="001233DA"/>
    <w:rsid w:val="001252B6"/>
    <w:rsid w:val="00126D63"/>
    <w:rsid w:val="00132DA8"/>
    <w:rsid w:val="00133091"/>
    <w:rsid w:val="0013341E"/>
    <w:rsid w:val="00133E5F"/>
    <w:rsid w:val="00134385"/>
    <w:rsid w:val="00134A30"/>
    <w:rsid w:val="0013535C"/>
    <w:rsid w:val="00140294"/>
    <w:rsid w:val="001439F0"/>
    <w:rsid w:val="00144360"/>
    <w:rsid w:val="0014758E"/>
    <w:rsid w:val="00150BF9"/>
    <w:rsid w:val="00155B57"/>
    <w:rsid w:val="001602EC"/>
    <w:rsid w:val="00160666"/>
    <w:rsid w:val="0016101B"/>
    <w:rsid w:val="00162CE8"/>
    <w:rsid w:val="00164429"/>
    <w:rsid w:val="00164F17"/>
    <w:rsid w:val="0016702C"/>
    <w:rsid w:val="00167DB7"/>
    <w:rsid w:val="00170CDF"/>
    <w:rsid w:val="0017211F"/>
    <w:rsid w:val="00177B60"/>
    <w:rsid w:val="001844A1"/>
    <w:rsid w:val="00185EA1"/>
    <w:rsid w:val="001860F9"/>
    <w:rsid w:val="00186973"/>
    <w:rsid w:val="00186BE9"/>
    <w:rsid w:val="00192109"/>
    <w:rsid w:val="0019320C"/>
    <w:rsid w:val="00194BED"/>
    <w:rsid w:val="001970E2"/>
    <w:rsid w:val="00197158"/>
    <w:rsid w:val="001978E3"/>
    <w:rsid w:val="001979AA"/>
    <w:rsid w:val="001A2806"/>
    <w:rsid w:val="001A7A79"/>
    <w:rsid w:val="001B2958"/>
    <w:rsid w:val="001B55FF"/>
    <w:rsid w:val="001B6A23"/>
    <w:rsid w:val="001B73C2"/>
    <w:rsid w:val="001C1940"/>
    <w:rsid w:val="001C4838"/>
    <w:rsid w:val="001C62FE"/>
    <w:rsid w:val="001D2370"/>
    <w:rsid w:val="001D2F3B"/>
    <w:rsid w:val="001D350D"/>
    <w:rsid w:val="001D3EA1"/>
    <w:rsid w:val="001DF02B"/>
    <w:rsid w:val="001E0C40"/>
    <w:rsid w:val="001E1456"/>
    <w:rsid w:val="001E15EC"/>
    <w:rsid w:val="001E2181"/>
    <w:rsid w:val="001E2CE6"/>
    <w:rsid w:val="001E4FAC"/>
    <w:rsid w:val="001E7249"/>
    <w:rsid w:val="001E7596"/>
    <w:rsid w:val="001F2DCF"/>
    <w:rsid w:val="001F4001"/>
    <w:rsid w:val="00202DFB"/>
    <w:rsid w:val="00203E25"/>
    <w:rsid w:val="0020433B"/>
    <w:rsid w:val="00204C14"/>
    <w:rsid w:val="00205CA6"/>
    <w:rsid w:val="00206A8A"/>
    <w:rsid w:val="00206CA5"/>
    <w:rsid w:val="00207127"/>
    <w:rsid w:val="002072BD"/>
    <w:rsid w:val="00223239"/>
    <w:rsid w:val="00226E8B"/>
    <w:rsid w:val="002335B7"/>
    <w:rsid w:val="00235BF1"/>
    <w:rsid w:val="0023691E"/>
    <w:rsid w:val="002404C0"/>
    <w:rsid w:val="00241AEC"/>
    <w:rsid w:val="002432CA"/>
    <w:rsid w:val="00243D1C"/>
    <w:rsid w:val="0024449D"/>
    <w:rsid w:val="0024548C"/>
    <w:rsid w:val="00245523"/>
    <w:rsid w:val="002479BF"/>
    <w:rsid w:val="0025198F"/>
    <w:rsid w:val="00253CDD"/>
    <w:rsid w:val="00255442"/>
    <w:rsid w:val="00255D89"/>
    <w:rsid w:val="002607C0"/>
    <w:rsid w:val="00260F89"/>
    <w:rsid w:val="00261B23"/>
    <w:rsid w:val="00264B0D"/>
    <w:rsid w:val="002717A2"/>
    <w:rsid w:val="00274CAF"/>
    <w:rsid w:val="002809B5"/>
    <w:rsid w:val="002865F4"/>
    <w:rsid w:val="0028766E"/>
    <w:rsid w:val="00287AAC"/>
    <w:rsid w:val="00287CE6"/>
    <w:rsid w:val="00291913"/>
    <w:rsid w:val="00293E62"/>
    <w:rsid w:val="00294399"/>
    <w:rsid w:val="00296CE2"/>
    <w:rsid w:val="002A6277"/>
    <w:rsid w:val="002A6D19"/>
    <w:rsid w:val="002B04FC"/>
    <w:rsid w:val="002B08A9"/>
    <w:rsid w:val="002B4530"/>
    <w:rsid w:val="002B52E8"/>
    <w:rsid w:val="002B751C"/>
    <w:rsid w:val="002B7F13"/>
    <w:rsid w:val="002C36A2"/>
    <w:rsid w:val="002C42AD"/>
    <w:rsid w:val="002C4ED0"/>
    <w:rsid w:val="002C60D0"/>
    <w:rsid w:val="002C623B"/>
    <w:rsid w:val="002D20B2"/>
    <w:rsid w:val="002D27DE"/>
    <w:rsid w:val="002D5D34"/>
    <w:rsid w:val="002E18B9"/>
    <w:rsid w:val="002E3244"/>
    <w:rsid w:val="002E773B"/>
    <w:rsid w:val="002F1F21"/>
    <w:rsid w:val="002F2AF9"/>
    <w:rsid w:val="002F2CE9"/>
    <w:rsid w:val="002F34B6"/>
    <w:rsid w:val="002F4579"/>
    <w:rsid w:val="002F6D1C"/>
    <w:rsid w:val="002F7976"/>
    <w:rsid w:val="002F7BF2"/>
    <w:rsid w:val="00302D4E"/>
    <w:rsid w:val="00305637"/>
    <w:rsid w:val="00307A10"/>
    <w:rsid w:val="00310C09"/>
    <w:rsid w:val="0031466A"/>
    <w:rsid w:val="00314E28"/>
    <w:rsid w:val="003160D7"/>
    <w:rsid w:val="00316DB6"/>
    <w:rsid w:val="00317C00"/>
    <w:rsid w:val="00325B6A"/>
    <w:rsid w:val="00326089"/>
    <w:rsid w:val="00326B10"/>
    <w:rsid w:val="00327EDE"/>
    <w:rsid w:val="00331F83"/>
    <w:rsid w:val="0034523E"/>
    <w:rsid w:val="00354A74"/>
    <w:rsid w:val="00355155"/>
    <w:rsid w:val="00356E8D"/>
    <w:rsid w:val="00360626"/>
    <w:rsid w:val="00360FD1"/>
    <w:rsid w:val="00361228"/>
    <w:rsid w:val="0036397A"/>
    <w:rsid w:val="0037011B"/>
    <w:rsid w:val="00371EF5"/>
    <w:rsid w:val="00372CB4"/>
    <w:rsid w:val="0037443C"/>
    <w:rsid w:val="00376654"/>
    <w:rsid w:val="00386872"/>
    <w:rsid w:val="00394F68"/>
    <w:rsid w:val="0039535A"/>
    <w:rsid w:val="00396A16"/>
    <w:rsid w:val="00397C63"/>
    <w:rsid w:val="003A105D"/>
    <w:rsid w:val="003A53E0"/>
    <w:rsid w:val="003B2DB0"/>
    <w:rsid w:val="003B36FB"/>
    <w:rsid w:val="003B6784"/>
    <w:rsid w:val="003B7977"/>
    <w:rsid w:val="003C15BE"/>
    <w:rsid w:val="003C2741"/>
    <w:rsid w:val="003C286B"/>
    <w:rsid w:val="003C651B"/>
    <w:rsid w:val="003C67F3"/>
    <w:rsid w:val="003D118C"/>
    <w:rsid w:val="003D3372"/>
    <w:rsid w:val="003D40EB"/>
    <w:rsid w:val="003D5B11"/>
    <w:rsid w:val="003D5F35"/>
    <w:rsid w:val="003D6533"/>
    <w:rsid w:val="003E17AF"/>
    <w:rsid w:val="003E1CE3"/>
    <w:rsid w:val="003E3566"/>
    <w:rsid w:val="003E475F"/>
    <w:rsid w:val="003E4FE5"/>
    <w:rsid w:val="003F1788"/>
    <w:rsid w:val="003F2639"/>
    <w:rsid w:val="00402CF0"/>
    <w:rsid w:val="004063A8"/>
    <w:rsid w:val="00413DAA"/>
    <w:rsid w:val="00413E6A"/>
    <w:rsid w:val="00415690"/>
    <w:rsid w:val="00415E52"/>
    <w:rsid w:val="004172B5"/>
    <w:rsid w:val="00417585"/>
    <w:rsid w:val="0042323F"/>
    <w:rsid w:val="004236F7"/>
    <w:rsid w:val="004237BF"/>
    <w:rsid w:val="004268D2"/>
    <w:rsid w:val="004323F8"/>
    <w:rsid w:val="00433E73"/>
    <w:rsid w:val="0044058F"/>
    <w:rsid w:val="004419B5"/>
    <w:rsid w:val="00441D56"/>
    <w:rsid w:val="0044203C"/>
    <w:rsid w:val="00443906"/>
    <w:rsid w:val="004474F2"/>
    <w:rsid w:val="0045199C"/>
    <w:rsid w:val="004548FA"/>
    <w:rsid w:val="00457F82"/>
    <w:rsid w:val="00461751"/>
    <w:rsid w:val="00461E3C"/>
    <w:rsid w:val="00462EB1"/>
    <w:rsid w:val="004704A8"/>
    <w:rsid w:val="00474C2B"/>
    <w:rsid w:val="0048267E"/>
    <w:rsid w:val="00482FB0"/>
    <w:rsid w:val="00483427"/>
    <w:rsid w:val="004853BF"/>
    <w:rsid w:val="0049083C"/>
    <w:rsid w:val="0049273F"/>
    <w:rsid w:val="004957B9"/>
    <w:rsid w:val="004A021C"/>
    <w:rsid w:val="004A19D8"/>
    <w:rsid w:val="004A1B42"/>
    <w:rsid w:val="004A2DAA"/>
    <w:rsid w:val="004A3F0E"/>
    <w:rsid w:val="004A56E7"/>
    <w:rsid w:val="004B3291"/>
    <w:rsid w:val="004B4287"/>
    <w:rsid w:val="004C36B9"/>
    <w:rsid w:val="004C4A2D"/>
    <w:rsid w:val="004C4D9D"/>
    <w:rsid w:val="004C71B9"/>
    <w:rsid w:val="004D780F"/>
    <w:rsid w:val="004E07C1"/>
    <w:rsid w:val="004E1428"/>
    <w:rsid w:val="004E1788"/>
    <w:rsid w:val="004E2F69"/>
    <w:rsid w:val="004E68B9"/>
    <w:rsid w:val="004F019A"/>
    <w:rsid w:val="004F110B"/>
    <w:rsid w:val="004F2E9B"/>
    <w:rsid w:val="004F4ADD"/>
    <w:rsid w:val="004F5CB4"/>
    <w:rsid w:val="005003E0"/>
    <w:rsid w:val="00511B2A"/>
    <w:rsid w:val="00512B21"/>
    <w:rsid w:val="00515E8A"/>
    <w:rsid w:val="00516438"/>
    <w:rsid w:val="00517C18"/>
    <w:rsid w:val="00521F64"/>
    <w:rsid w:val="00522660"/>
    <w:rsid w:val="00523683"/>
    <w:rsid w:val="00524D8B"/>
    <w:rsid w:val="005278CE"/>
    <w:rsid w:val="00531691"/>
    <w:rsid w:val="00532140"/>
    <w:rsid w:val="005325EC"/>
    <w:rsid w:val="00532B64"/>
    <w:rsid w:val="0054119F"/>
    <w:rsid w:val="005416EF"/>
    <w:rsid w:val="0054449C"/>
    <w:rsid w:val="00546EB5"/>
    <w:rsid w:val="00550B69"/>
    <w:rsid w:val="005511D2"/>
    <w:rsid w:val="00551E8A"/>
    <w:rsid w:val="00552BBB"/>
    <w:rsid w:val="00553BEB"/>
    <w:rsid w:val="00553FD5"/>
    <w:rsid w:val="00554C95"/>
    <w:rsid w:val="005578E5"/>
    <w:rsid w:val="005620D3"/>
    <w:rsid w:val="005637B8"/>
    <w:rsid w:val="00564BD1"/>
    <w:rsid w:val="00570061"/>
    <w:rsid w:val="00570BE4"/>
    <w:rsid w:val="00573752"/>
    <w:rsid w:val="00574E46"/>
    <w:rsid w:val="00576960"/>
    <w:rsid w:val="00581B97"/>
    <w:rsid w:val="005825F2"/>
    <w:rsid w:val="005849D0"/>
    <w:rsid w:val="005853E4"/>
    <w:rsid w:val="00585756"/>
    <w:rsid w:val="0058794B"/>
    <w:rsid w:val="00591BF5"/>
    <w:rsid w:val="00596A64"/>
    <w:rsid w:val="00596D48"/>
    <w:rsid w:val="005973C4"/>
    <w:rsid w:val="005A0489"/>
    <w:rsid w:val="005A148E"/>
    <w:rsid w:val="005A3ACF"/>
    <w:rsid w:val="005A6D66"/>
    <w:rsid w:val="005A7D80"/>
    <w:rsid w:val="005B0655"/>
    <w:rsid w:val="005B2884"/>
    <w:rsid w:val="005B2C31"/>
    <w:rsid w:val="005B5263"/>
    <w:rsid w:val="005C18F8"/>
    <w:rsid w:val="005C456A"/>
    <w:rsid w:val="005D10AC"/>
    <w:rsid w:val="005D5ED3"/>
    <w:rsid w:val="005E0294"/>
    <w:rsid w:val="005E106A"/>
    <w:rsid w:val="005E1BFE"/>
    <w:rsid w:val="005E28E5"/>
    <w:rsid w:val="005E2E0F"/>
    <w:rsid w:val="005E7041"/>
    <w:rsid w:val="005E73E1"/>
    <w:rsid w:val="005F29C4"/>
    <w:rsid w:val="005F3122"/>
    <w:rsid w:val="005F4E19"/>
    <w:rsid w:val="005F71DE"/>
    <w:rsid w:val="005F77F3"/>
    <w:rsid w:val="00600335"/>
    <w:rsid w:val="006006D5"/>
    <w:rsid w:val="00600F9E"/>
    <w:rsid w:val="0060216C"/>
    <w:rsid w:val="00603B1C"/>
    <w:rsid w:val="006150B8"/>
    <w:rsid w:val="00615F24"/>
    <w:rsid w:val="00617493"/>
    <w:rsid w:val="00617BEF"/>
    <w:rsid w:val="00621B66"/>
    <w:rsid w:val="00621C16"/>
    <w:rsid w:val="00624FAC"/>
    <w:rsid w:val="00630189"/>
    <w:rsid w:val="00632AA2"/>
    <w:rsid w:val="0063332B"/>
    <w:rsid w:val="00642566"/>
    <w:rsid w:val="00643829"/>
    <w:rsid w:val="00644A21"/>
    <w:rsid w:val="00645CC3"/>
    <w:rsid w:val="00646442"/>
    <w:rsid w:val="00646D3E"/>
    <w:rsid w:val="00651059"/>
    <w:rsid w:val="00652CDD"/>
    <w:rsid w:val="006622F5"/>
    <w:rsid w:val="006678EF"/>
    <w:rsid w:val="0067118F"/>
    <w:rsid w:val="0067411D"/>
    <w:rsid w:val="00683B23"/>
    <w:rsid w:val="00683DA8"/>
    <w:rsid w:val="006850C1"/>
    <w:rsid w:val="00685E22"/>
    <w:rsid w:val="00691F90"/>
    <w:rsid w:val="0069536F"/>
    <w:rsid w:val="006A00D6"/>
    <w:rsid w:val="006A23C1"/>
    <w:rsid w:val="006A30A4"/>
    <w:rsid w:val="006A4E6C"/>
    <w:rsid w:val="006B3244"/>
    <w:rsid w:val="006B4592"/>
    <w:rsid w:val="006B4755"/>
    <w:rsid w:val="006B503E"/>
    <w:rsid w:val="006B50C3"/>
    <w:rsid w:val="006B56E0"/>
    <w:rsid w:val="006C1E08"/>
    <w:rsid w:val="006C2BF3"/>
    <w:rsid w:val="006C30A9"/>
    <w:rsid w:val="006C69E6"/>
    <w:rsid w:val="006D137A"/>
    <w:rsid w:val="006D5DDE"/>
    <w:rsid w:val="006E0C42"/>
    <w:rsid w:val="006E42B2"/>
    <w:rsid w:val="006F0758"/>
    <w:rsid w:val="006F099D"/>
    <w:rsid w:val="006F0A8F"/>
    <w:rsid w:val="006F0F14"/>
    <w:rsid w:val="006F333E"/>
    <w:rsid w:val="006F37B5"/>
    <w:rsid w:val="006F3910"/>
    <w:rsid w:val="006F4416"/>
    <w:rsid w:val="006F6517"/>
    <w:rsid w:val="006F6AAE"/>
    <w:rsid w:val="006F71D7"/>
    <w:rsid w:val="006F7A85"/>
    <w:rsid w:val="00702E4C"/>
    <w:rsid w:val="00704996"/>
    <w:rsid w:val="00706F62"/>
    <w:rsid w:val="007114BC"/>
    <w:rsid w:val="0071311C"/>
    <w:rsid w:val="00715A7C"/>
    <w:rsid w:val="007227B0"/>
    <w:rsid w:val="00723E56"/>
    <w:rsid w:val="00726AA1"/>
    <w:rsid w:val="00730C67"/>
    <w:rsid w:val="0073130F"/>
    <w:rsid w:val="00733BF5"/>
    <w:rsid w:val="007342E6"/>
    <w:rsid w:val="00735B51"/>
    <w:rsid w:val="00735C40"/>
    <w:rsid w:val="00735FB1"/>
    <w:rsid w:val="007367CA"/>
    <w:rsid w:val="00741DFA"/>
    <w:rsid w:val="00742FED"/>
    <w:rsid w:val="00746BFB"/>
    <w:rsid w:val="007473A3"/>
    <w:rsid w:val="00747E63"/>
    <w:rsid w:val="00753F26"/>
    <w:rsid w:val="00761A9E"/>
    <w:rsid w:val="00762AAA"/>
    <w:rsid w:val="00764F20"/>
    <w:rsid w:val="00764FEE"/>
    <w:rsid w:val="00765B33"/>
    <w:rsid w:val="007707A6"/>
    <w:rsid w:val="0077561F"/>
    <w:rsid w:val="00776084"/>
    <w:rsid w:val="007770A2"/>
    <w:rsid w:val="0078009C"/>
    <w:rsid w:val="007808CE"/>
    <w:rsid w:val="00781AC9"/>
    <w:rsid w:val="00782202"/>
    <w:rsid w:val="00782609"/>
    <w:rsid w:val="00784234"/>
    <w:rsid w:val="007853AB"/>
    <w:rsid w:val="007873F5"/>
    <w:rsid w:val="0079052F"/>
    <w:rsid w:val="00790AC6"/>
    <w:rsid w:val="00792970"/>
    <w:rsid w:val="007933BB"/>
    <w:rsid w:val="0079363A"/>
    <w:rsid w:val="00794F4F"/>
    <w:rsid w:val="007A2791"/>
    <w:rsid w:val="007B192D"/>
    <w:rsid w:val="007B2128"/>
    <w:rsid w:val="007B44F2"/>
    <w:rsid w:val="007B6D8A"/>
    <w:rsid w:val="007C162F"/>
    <w:rsid w:val="007C32AC"/>
    <w:rsid w:val="007C3928"/>
    <w:rsid w:val="007C575A"/>
    <w:rsid w:val="007C6873"/>
    <w:rsid w:val="007D067C"/>
    <w:rsid w:val="007D434F"/>
    <w:rsid w:val="007D64F0"/>
    <w:rsid w:val="007D66A4"/>
    <w:rsid w:val="007E0AE4"/>
    <w:rsid w:val="007E0FF9"/>
    <w:rsid w:val="007E3F2C"/>
    <w:rsid w:val="007E5F7D"/>
    <w:rsid w:val="007E7A6F"/>
    <w:rsid w:val="007E7B75"/>
    <w:rsid w:val="007F17D8"/>
    <w:rsid w:val="00800C38"/>
    <w:rsid w:val="00801052"/>
    <w:rsid w:val="00801C2E"/>
    <w:rsid w:val="00805AC3"/>
    <w:rsid w:val="0080684D"/>
    <w:rsid w:val="0080705B"/>
    <w:rsid w:val="00807F89"/>
    <w:rsid w:val="00810BA9"/>
    <w:rsid w:val="00811BF9"/>
    <w:rsid w:val="00812794"/>
    <w:rsid w:val="00812D1D"/>
    <w:rsid w:val="008132C0"/>
    <w:rsid w:val="00813C5D"/>
    <w:rsid w:val="00814579"/>
    <w:rsid w:val="008149EB"/>
    <w:rsid w:val="00814B68"/>
    <w:rsid w:val="00815019"/>
    <w:rsid w:val="00817C7A"/>
    <w:rsid w:val="00820A9C"/>
    <w:rsid w:val="008237F4"/>
    <w:rsid w:val="0082397E"/>
    <w:rsid w:val="00833FE7"/>
    <w:rsid w:val="00835A27"/>
    <w:rsid w:val="00837A7A"/>
    <w:rsid w:val="00837C19"/>
    <w:rsid w:val="00840A72"/>
    <w:rsid w:val="00840B74"/>
    <w:rsid w:val="00841B15"/>
    <w:rsid w:val="00842056"/>
    <w:rsid w:val="00842BB8"/>
    <w:rsid w:val="00842DB0"/>
    <w:rsid w:val="00842F2E"/>
    <w:rsid w:val="008439FD"/>
    <w:rsid w:val="00846216"/>
    <w:rsid w:val="008507C3"/>
    <w:rsid w:val="008541E2"/>
    <w:rsid w:val="00855A35"/>
    <w:rsid w:val="00855CE7"/>
    <w:rsid w:val="00857D6A"/>
    <w:rsid w:val="008654C7"/>
    <w:rsid w:val="008657E4"/>
    <w:rsid w:val="00865EC6"/>
    <w:rsid w:val="00870BD4"/>
    <w:rsid w:val="00871D82"/>
    <w:rsid w:val="00874608"/>
    <w:rsid w:val="0087616F"/>
    <w:rsid w:val="008804FC"/>
    <w:rsid w:val="00880D9E"/>
    <w:rsid w:val="00882E99"/>
    <w:rsid w:val="0088355F"/>
    <w:rsid w:val="008837C3"/>
    <w:rsid w:val="008862C9"/>
    <w:rsid w:val="008878F4"/>
    <w:rsid w:val="008929E8"/>
    <w:rsid w:val="008941C2"/>
    <w:rsid w:val="00896692"/>
    <w:rsid w:val="00897898"/>
    <w:rsid w:val="008A3B80"/>
    <w:rsid w:val="008A5FC7"/>
    <w:rsid w:val="008A75F9"/>
    <w:rsid w:val="008B035E"/>
    <w:rsid w:val="008B262D"/>
    <w:rsid w:val="008B6A42"/>
    <w:rsid w:val="008B7610"/>
    <w:rsid w:val="008C125F"/>
    <w:rsid w:val="008C1C28"/>
    <w:rsid w:val="008C2E98"/>
    <w:rsid w:val="008C3AB7"/>
    <w:rsid w:val="008C6C41"/>
    <w:rsid w:val="008C7410"/>
    <w:rsid w:val="008D3664"/>
    <w:rsid w:val="008D3FA6"/>
    <w:rsid w:val="008D505B"/>
    <w:rsid w:val="008D552A"/>
    <w:rsid w:val="008E0D56"/>
    <w:rsid w:val="008E2EB3"/>
    <w:rsid w:val="008E4E52"/>
    <w:rsid w:val="008E68AF"/>
    <w:rsid w:val="00902560"/>
    <w:rsid w:val="009125AA"/>
    <w:rsid w:val="0091639E"/>
    <w:rsid w:val="009165F2"/>
    <w:rsid w:val="009203EE"/>
    <w:rsid w:val="00922610"/>
    <w:rsid w:val="0092453B"/>
    <w:rsid w:val="00925447"/>
    <w:rsid w:val="00925C31"/>
    <w:rsid w:val="00931EAC"/>
    <w:rsid w:val="00933AC9"/>
    <w:rsid w:val="009364BA"/>
    <w:rsid w:val="00944433"/>
    <w:rsid w:val="00945FFF"/>
    <w:rsid w:val="009549A7"/>
    <w:rsid w:val="00954B3A"/>
    <w:rsid w:val="00956914"/>
    <w:rsid w:val="00962D3B"/>
    <w:rsid w:val="00970BEE"/>
    <w:rsid w:val="009737F6"/>
    <w:rsid w:val="009814BB"/>
    <w:rsid w:val="00990657"/>
    <w:rsid w:val="0099717E"/>
    <w:rsid w:val="009A0108"/>
    <w:rsid w:val="009A464A"/>
    <w:rsid w:val="009A4F0B"/>
    <w:rsid w:val="009A6CC2"/>
    <w:rsid w:val="009B0F24"/>
    <w:rsid w:val="009B134A"/>
    <w:rsid w:val="009B20A2"/>
    <w:rsid w:val="009B3AC7"/>
    <w:rsid w:val="009B60D6"/>
    <w:rsid w:val="009C1935"/>
    <w:rsid w:val="009C21A1"/>
    <w:rsid w:val="009C3836"/>
    <w:rsid w:val="009C3B5D"/>
    <w:rsid w:val="009C52A9"/>
    <w:rsid w:val="009C53A6"/>
    <w:rsid w:val="009C60D4"/>
    <w:rsid w:val="009C73FA"/>
    <w:rsid w:val="009D2A0F"/>
    <w:rsid w:val="009D3702"/>
    <w:rsid w:val="009D470D"/>
    <w:rsid w:val="009D68E3"/>
    <w:rsid w:val="009E14DA"/>
    <w:rsid w:val="009E2DFE"/>
    <w:rsid w:val="009E55E9"/>
    <w:rsid w:val="009E5F76"/>
    <w:rsid w:val="009F1B1A"/>
    <w:rsid w:val="009F334D"/>
    <w:rsid w:val="009F5053"/>
    <w:rsid w:val="00A01452"/>
    <w:rsid w:val="00A01705"/>
    <w:rsid w:val="00A04370"/>
    <w:rsid w:val="00A06044"/>
    <w:rsid w:val="00A0727A"/>
    <w:rsid w:val="00A14676"/>
    <w:rsid w:val="00A150E5"/>
    <w:rsid w:val="00A1592B"/>
    <w:rsid w:val="00A15FC2"/>
    <w:rsid w:val="00A21F53"/>
    <w:rsid w:val="00A25C37"/>
    <w:rsid w:val="00A30F83"/>
    <w:rsid w:val="00A311B2"/>
    <w:rsid w:val="00A31838"/>
    <w:rsid w:val="00A31A48"/>
    <w:rsid w:val="00A339AA"/>
    <w:rsid w:val="00A33E3A"/>
    <w:rsid w:val="00A35CF4"/>
    <w:rsid w:val="00A3618A"/>
    <w:rsid w:val="00A37DD5"/>
    <w:rsid w:val="00A40CFE"/>
    <w:rsid w:val="00A42C47"/>
    <w:rsid w:val="00A4342E"/>
    <w:rsid w:val="00A47E29"/>
    <w:rsid w:val="00A50C47"/>
    <w:rsid w:val="00A51D25"/>
    <w:rsid w:val="00A5251E"/>
    <w:rsid w:val="00A55832"/>
    <w:rsid w:val="00A569FB"/>
    <w:rsid w:val="00A61BBD"/>
    <w:rsid w:val="00A64746"/>
    <w:rsid w:val="00A67040"/>
    <w:rsid w:val="00A70635"/>
    <w:rsid w:val="00A71556"/>
    <w:rsid w:val="00A800DC"/>
    <w:rsid w:val="00A83A00"/>
    <w:rsid w:val="00A84636"/>
    <w:rsid w:val="00A9588B"/>
    <w:rsid w:val="00AA1CAD"/>
    <w:rsid w:val="00AA1DDF"/>
    <w:rsid w:val="00AA38E3"/>
    <w:rsid w:val="00AA59CD"/>
    <w:rsid w:val="00AB1E87"/>
    <w:rsid w:val="00AB39EC"/>
    <w:rsid w:val="00AC1E85"/>
    <w:rsid w:val="00AC50DD"/>
    <w:rsid w:val="00AD154A"/>
    <w:rsid w:val="00AD16C5"/>
    <w:rsid w:val="00AD171A"/>
    <w:rsid w:val="00AD1EBE"/>
    <w:rsid w:val="00AD2332"/>
    <w:rsid w:val="00AD71D3"/>
    <w:rsid w:val="00AD7549"/>
    <w:rsid w:val="00AE1170"/>
    <w:rsid w:val="00AE2214"/>
    <w:rsid w:val="00AE3611"/>
    <w:rsid w:val="00AE713B"/>
    <w:rsid w:val="00AE7437"/>
    <w:rsid w:val="00AF335A"/>
    <w:rsid w:val="00AF3FAC"/>
    <w:rsid w:val="00AF61AA"/>
    <w:rsid w:val="00AF7580"/>
    <w:rsid w:val="00AF7A57"/>
    <w:rsid w:val="00B006CD"/>
    <w:rsid w:val="00B026E4"/>
    <w:rsid w:val="00B03C1D"/>
    <w:rsid w:val="00B04C2C"/>
    <w:rsid w:val="00B05937"/>
    <w:rsid w:val="00B05C0A"/>
    <w:rsid w:val="00B06A09"/>
    <w:rsid w:val="00B13877"/>
    <w:rsid w:val="00B142AA"/>
    <w:rsid w:val="00B14B0C"/>
    <w:rsid w:val="00B160A4"/>
    <w:rsid w:val="00B16243"/>
    <w:rsid w:val="00B1709E"/>
    <w:rsid w:val="00B2239F"/>
    <w:rsid w:val="00B23A1E"/>
    <w:rsid w:val="00B25A9D"/>
    <w:rsid w:val="00B26C8E"/>
    <w:rsid w:val="00B271DE"/>
    <w:rsid w:val="00B27D30"/>
    <w:rsid w:val="00B329A3"/>
    <w:rsid w:val="00B42550"/>
    <w:rsid w:val="00B46B26"/>
    <w:rsid w:val="00B47B2B"/>
    <w:rsid w:val="00B52014"/>
    <w:rsid w:val="00B54368"/>
    <w:rsid w:val="00B55472"/>
    <w:rsid w:val="00B56283"/>
    <w:rsid w:val="00B5690A"/>
    <w:rsid w:val="00B61789"/>
    <w:rsid w:val="00B654C8"/>
    <w:rsid w:val="00B67361"/>
    <w:rsid w:val="00B67909"/>
    <w:rsid w:val="00B7018D"/>
    <w:rsid w:val="00B70378"/>
    <w:rsid w:val="00B74BA7"/>
    <w:rsid w:val="00B772BF"/>
    <w:rsid w:val="00B81CC3"/>
    <w:rsid w:val="00B829BE"/>
    <w:rsid w:val="00B85C3F"/>
    <w:rsid w:val="00B92748"/>
    <w:rsid w:val="00B93739"/>
    <w:rsid w:val="00B972EC"/>
    <w:rsid w:val="00BA2088"/>
    <w:rsid w:val="00BA5B68"/>
    <w:rsid w:val="00BA6069"/>
    <w:rsid w:val="00BB049F"/>
    <w:rsid w:val="00BB0E08"/>
    <w:rsid w:val="00BB29C4"/>
    <w:rsid w:val="00BB3D62"/>
    <w:rsid w:val="00BB5D3E"/>
    <w:rsid w:val="00BB5EC9"/>
    <w:rsid w:val="00BB6E61"/>
    <w:rsid w:val="00BC33A5"/>
    <w:rsid w:val="00BC48CD"/>
    <w:rsid w:val="00BC62AC"/>
    <w:rsid w:val="00BD23B3"/>
    <w:rsid w:val="00BD45B3"/>
    <w:rsid w:val="00BD4B58"/>
    <w:rsid w:val="00BD635B"/>
    <w:rsid w:val="00BD66EC"/>
    <w:rsid w:val="00BE3F05"/>
    <w:rsid w:val="00BE5403"/>
    <w:rsid w:val="00BE7330"/>
    <w:rsid w:val="00BE7C05"/>
    <w:rsid w:val="00BF0C80"/>
    <w:rsid w:val="00BF166A"/>
    <w:rsid w:val="00BF3750"/>
    <w:rsid w:val="00BF3F7D"/>
    <w:rsid w:val="00BF4296"/>
    <w:rsid w:val="00BF448C"/>
    <w:rsid w:val="00BF5927"/>
    <w:rsid w:val="00BF5FF9"/>
    <w:rsid w:val="00C002F8"/>
    <w:rsid w:val="00C01F6E"/>
    <w:rsid w:val="00C02D5D"/>
    <w:rsid w:val="00C03145"/>
    <w:rsid w:val="00C033B0"/>
    <w:rsid w:val="00C03DE4"/>
    <w:rsid w:val="00C07452"/>
    <w:rsid w:val="00C074D1"/>
    <w:rsid w:val="00C10992"/>
    <w:rsid w:val="00C10E18"/>
    <w:rsid w:val="00C125A3"/>
    <w:rsid w:val="00C13507"/>
    <w:rsid w:val="00C135FD"/>
    <w:rsid w:val="00C15465"/>
    <w:rsid w:val="00C176C0"/>
    <w:rsid w:val="00C20398"/>
    <w:rsid w:val="00C2050B"/>
    <w:rsid w:val="00C20F78"/>
    <w:rsid w:val="00C23A86"/>
    <w:rsid w:val="00C35030"/>
    <w:rsid w:val="00C368C7"/>
    <w:rsid w:val="00C369F2"/>
    <w:rsid w:val="00C41163"/>
    <w:rsid w:val="00C424BC"/>
    <w:rsid w:val="00C440A6"/>
    <w:rsid w:val="00C451ED"/>
    <w:rsid w:val="00C47A9E"/>
    <w:rsid w:val="00C47E1F"/>
    <w:rsid w:val="00C5072C"/>
    <w:rsid w:val="00C51653"/>
    <w:rsid w:val="00C56A3F"/>
    <w:rsid w:val="00C619EC"/>
    <w:rsid w:val="00C63E4B"/>
    <w:rsid w:val="00C64AA7"/>
    <w:rsid w:val="00C66DB7"/>
    <w:rsid w:val="00C67DE3"/>
    <w:rsid w:val="00C7245D"/>
    <w:rsid w:val="00C741D9"/>
    <w:rsid w:val="00C770EF"/>
    <w:rsid w:val="00C81F18"/>
    <w:rsid w:val="00C82FBE"/>
    <w:rsid w:val="00C83CCA"/>
    <w:rsid w:val="00C83E9F"/>
    <w:rsid w:val="00C8677A"/>
    <w:rsid w:val="00C86C4F"/>
    <w:rsid w:val="00C87D17"/>
    <w:rsid w:val="00C87F58"/>
    <w:rsid w:val="00C93C96"/>
    <w:rsid w:val="00C94B9A"/>
    <w:rsid w:val="00C95659"/>
    <w:rsid w:val="00C9574D"/>
    <w:rsid w:val="00C95894"/>
    <w:rsid w:val="00C95EB9"/>
    <w:rsid w:val="00C966A8"/>
    <w:rsid w:val="00C97EFF"/>
    <w:rsid w:val="00CA0125"/>
    <w:rsid w:val="00CA0AAF"/>
    <w:rsid w:val="00CA374E"/>
    <w:rsid w:val="00CA438A"/>
    <w:rsid w:val="00CA4ABC"/>
    <w:rsid w:val="00CA701C"/>
    <w:rsid w:val="00CB3353"/>
    <w:rsid w:val="00CB4998"/>
    <w:rsid w:val="00CC082C"/>
    <w:rsid w:val="00CC0DF3"/>
    <w:rsid w:val="00CC1B77"/>
    <w:rsid w:val="00CC1F21"/>
    <w:rsid w:val="00CC2A21"/>
    <w:rsid w:val="00CC3527"/>
    <w:rsid w:val="00CD06B7"/>
    <w:rsid w:val="00CD2E78"/>
    <w:rsid w:val="00CD7536"/>
    <w:rsid w:val="00CD78B5"/>
    <w:rsid w:val="00CD7EFA"/>
    <w:rsid w:val="00CE08D7"/>
    <w:rsid w:val="00CF40DA"/>
    <w:rsid w:val="00CF41A8"/>
    <w:rsid w:val="00CF6806"/>
    <w:rsid w:val="00D00A1E"/>
    <w:rsid w:val="00D01446"/>
    <w:rsid w:val="00D0163E"/>
    <w:rsid w:val="00D05AFE"/>
    <w:rsid w:val="00D1190A"/>
    <w:rsid w:val="00D1340D"/>
    <w:rsid w:val="00D14418"/>
    <w:rsid w:val="00D147FC"/>
    <w:rsid w:val="00D157C8"/>
    <w:rsid w:val="00D17C23"/>
    <w:rsid w:val="00D20EA5"/>
    <w:rsid w:val="00D22D94"/>
    <w:rsid w:val="00D245F5"/>
    <w:rsid w:val="00D254C5"/>
    <w:rsid w:val="00D26979"/>
    <w:rsid w:val="00D26B5C"/>
    <w:rsid w:val="00D2788F"/>
    <w:rsid w:val="00D3296A"/>
    <w:rsid w:val="00D3462E"/>
    <w:rsid w:val="00D348BA"/>
    <w:rsid w:val="00D348BF"/>
    <w:rsid w:val="00D36CBE"/>
    <w:rsid w:val="00D42BF3"/>
    <w:rsid w:val="00D43B1C"/>
    <w:rsid w:val="00D44CE0"/>
    <w:rsid w:val="00D44DBF"/>
    <w:rsid w:val="00D45B6F"/>
    <w:rsid w:val="00D46E2C"/>
    <w:rsid w:val="00D51E08"/>
    <w:rsid w:val="00D524A9"/>
    <w:rsid w:val="00D57C51"/>
    <w:rsid w:val="00D6259A"/>
    <w:rsid w:val="00D62884"/>
    <w:rsid w:val="00D653B7"/>
    <w:rsid w:val="00D65B4A"/>
    <w:rsid w:val="00D66D5A"/>
    <w:rsid w:val="00D71186"/>
    <w:rsid w:val="00D718EE"/>
    <w:rsid w:val="00D74CA5"/>
    <w:rsid w:val="00D773E5"/>
    <w:rsid w:val="00D81BCD"/>
    <w:rsid w:val="00D82B95"/>
    <w:rsid w:val="00D85928"/>
    <w:rsid w:val="00D86D50"/>
    <w:rsid w:val="00D96526"/>
    <w:rsid w:val="00DA35ED"/>
    <w:rsid w:val="00DA4753"/>
    <w:rsid w:val="00DB01FB"/>
    <w:rsid w:val="00DB0D5C"/>
    <w:rsid w:val="00DB228B"/>
    <w:rsid w:val="00DB2327"/>
    <w:rsid w:val="00DB2E0C"/>
    <w:rsid w:val="00DB4BD7"/>
    <w:rsid w:val="00DC128F"/>
    <w:rsid w:val="00DC2105"/>
    <w:rsid w:val="00DC2B50"/>
    <w:rsid w:val="00DC59C5"/>
    <w:rsid w:val="00DD3442"/>
    <w:rsid w:val="00DD6097"/>
    <w:rsid w:val="00DD627D"/>
    <w:rsid w:val="00DE1F5D"/>
    <w:rsid w:val="00DE4582"/>
    <w:rsid w:val="00DE5370"/>
    <w:rsid w:val="00DE5F66"/>
    <w:rsid w:val="00DE6830"/>
    <w:rsid w:val="00DE77EB"/>
    <w:rsid w:val="00DF2559"/>
    <w:rsid w:val="00DF338D"/>
    <w:rsid w:val="00DF3524"/>
    <w:rsid w:val="00DF3ED3"/>
    <w:rsid w:val="00DF4D23"/>
    <w:rsid w:val="00E008D8"/>
    <w:rsid w:val="00E015CF"/>
    <w:rsid w:val="00E03758"/>
    <w:rsid w:val="00E1366A"/>
    <w:rsid w:val="00E1690C"/>
    <w:rsid w:val="00E20F9D"/>
    <w:rsid w:val="00E21262"/>
    <w:rsid w:val="00E215DB"/>
    <w:rsid w:val="00E247A5"/>
    <w:rsid w:val="00E25964"/>
    <w:rsid w:val="00E25AD0"/>
    <w:rsid w:val="00E26B0D"/>
    <w:rsid w:val="00E32297"/>
    <w:rsid w:val="00E328DF"/>
    <w:rsid w:val="00E35E74"/>
    <w:rsid w:val="00E36A16"/>
    <w:rsid w:val="00E37281"/>
    <w:rsid w:val="00E41DE7"/>
    <w:rsid w:val="00E41F0C"/>
    <w:rsid w:val="00E44E23"/>
    <w:rsid w:val="00E4532B"/>
    <w:rsid w:val="00E47769"/>
    <w:rsid w:val="00E5098E"/>
    <w:rsid w:val="00E50DC5"/>
    <w:rsid w:val="00E5322C"/>
    <w:rsid w:val="00E555A3"/>
    <w:rsid w:val="00E63266"/>
    <w:rsid w:val="00E65A78"/>
    <w:rsid w:val="00E668C5"/>
    <w:rsid w:val="00E70DE9"/>
    <w:rsid w:val="00E716A6"/>
    <w:rsid w:val="00E762C1"/>
    <w:rsid w:val="00E773F4"/>
    <w:rsid w:val="00E77800"/>
    <w:rsid w:val="00E84E09"/>
    <w:rsid w:val="00E863BC"/>
    <w:rsid w:val="00E8738A"/>
    <w:rsid w:val="00E8769D"/>
    <w:rsid w:val="00E9109C"/>
    <w:rsid w:val="00E91886"/>
    <w:rsid w:val="00E939B1"/>
    <w:rsid w:val="00E94026"/>
    <w:rsid w:val="00E94480"/>
    <w:rsid w:val="00E95FFB"/>
    <w:rsid w:val="00E973E9"/>
    <w:rsid w:val="00E97FE6"/>
    <w:rsid w:val="00EA4426"/>
    <w:rsid w:val="00EA59EF"/>
    <w:rsid w:val="00EB0176"/>
    <w:rsid w:val="00EB1CB8"/>
    <w:rsid w:val="00EB320B"/>
    <w:rsid w:val="00EB3D5D"/>
    <w:rsid w:val="00EB418E"/>
    <w:rsid w:val="00EB4FC4"/>
    <w:rsid w:val="00EB648E"/>
    <w:rsid w:val="00EB6579"/>
    <w:rsid w:val="00EB65C0"/>
    <w:rsid w:val="00EB77E2"/>
    <w:rsid w:val="00EC00CC"/>
    <w:rsid w:val="00EC1467"/>
    <w:rsid w:val="00EC3EFB"/>
    <w:rsid w:val="00EC639F"/>
    <w:rsid w:val="00ED3F22"/>
    <w:rsid w:val="00ED5673"/>
    <w:rsid w:val="00ED661C"/>
    <w:rsid w:val="00EE1569"/>
    <w:rsid w:val="00EE30F5"/>
    <w:rsid w:val="00EE6C6F"/>
    <w:rsid w:val="00EE7EC0"/>
    <w:rsid w:val="00EF63A7"/>
    <w:rsid w:val="00EF648B"/>
    <w:rsid w:val="00EF71F7"/>
    <w:rsid w:val="00EF73E4"/>
    <w:rsid w:val="00F00068"/>
    <w:rsid w:val="00F025B9"/>
    <w:rsid w:val="00F03EBF"/>
    <w:rsid w:val="00F0581F"/>
    <w:rsid w:val="00F05975"/>
    <w:rsid w:val="00F0761B"/>
    <w:rsid w:val="00F14880"/>
    <w:rsid w:val="00F24A17"/>
    <w:rsid w:val="00F26B92"/>
    <w:rsid w:val="00F27C6B"/>
    <w:rsid w:val="00F27EF6"/>
    <w:rsid w:val="00F30920"/>
    <w:rsid w:val="00F3534B"/>
    <w:rsid w:val="00F353F4"/>
    <w:rsid w:val="00F354D8"/>
    <w:rsid w:val="00F35870"/>
    <w:rsid w:val="00F36754"/>
    <w:rsid w:val="00F40FA4"/>
    <w:rsid w:val="00F410EC"/>
    <w:rsid w:val="00F4137B"/>
    <w:rsid w:val="00F430B0"/>
    <w:rsid w:val="00F455B9"/>
    <w:rsid w:val="00F50676"/>
    <w:rsid w:val="00F52615"/>
    <w:rsid w:val="00F543A2"/>
    <w:rsid w:val="00F56DEE"/>
    <w:rsid w:val="00F57CA9"/>
    <w:rsid w:val="00F60E65"/>
    <w:rsid w:val="00F647D8"/>
    <w:rsid w:val="00F6505E"/>
    <w:rsid w:val="00F654EE"/>
    <w:rsid w:val="00F70195"/>
    <w:rsid w:val="00F72519"/>
    <w:rsid w:val="00F729DF"/>
    <w:rsid w:val="00F731AE"/>
    <w:rsid w:val="00F73450"/>
    <w:rsid w:val="00F7592B"/>
    <w:rsid w:val="00F75992"/>
    <w:rsid w:val="00F82A32"/>
    <w:rsid w:val="00F85B0B"/>
    <w:rsid w:val="00F90E00"/>
    <w:rsid w:val="00F91AF4"/>
    <w:rsid w:val="00F92A1B"/>
    <w:rsid w:val="00F94895"/>
    <w:rsid w:val="00F94C05"/>
    <w:rsid w:val="00F96692"/>
    <w:rsid w:val="00F97082"/>
    <w:rsid w:val="00FA5D98"/>
    <w:rsid w:val="00FA7CAC"/>
    <w:rsid w:val="00FB58CA"/>
    <w:rsid w:val="00FB6872"/>
    <w:rsid w:val="00FC4C78"/>
    <w:rsid w:val="00FD0963"/>
    <w:rsid w:val="00FD1A34"/>
    <w:rsid w:val="00FD29AD"/>
    <w:rsid w:val="00FD457B"/>
    <w:rsid w:val="00FD7307"/>
    <w:rsid w:val="00FD78A6"/>
    <w:rsid w:val="00FE3A5C"/>
    <w:rsid w:val="00FE3D67"/>
    <w:rsid w:val="00FE7AB9"/>
    <w:rsid w:val="00FF01CE"/>
    <w:rsid w:val="00FF2E63"/>
    <w:rsid w:val="00FF4B55"/>
    <w:rsid w:val="00FF69EA"/>
    <w:rsid w:val="06FEA95C"/>
    <w:rsid w:val="09C03279"/>
    <w:rsid w:val="10750264"/>
    <w:rsid w:val="12CD8135"/>
    <w:rsid w:val="13D1207C"/>
    <w:rsid w:val="14CB05A8"/>
    <w:rsid w:val="1B6812E1"/>
    <w:rsid w:val="207C838A"/>
    <w:rsid w:val="24ACD22E"/>
    <w:rsid w:val="2540285E"/>
    <w:rsid w:val="25FE8A35"/>
    <w:rsid w:val="2726D28E"/>
    <w:rsid w:val="29954FFF"/>
    <w:rsid w:val="2C5FB3DA"/>
    <w:rsid w:val="39173689"/>
    <w:rsid w:val="39984E36"/>
    <w:rsid w:val="406DBFE5"/>
    <w:rsid w:val="435A4395"/>
    <w:rsid w:val="5162AC87"/>
    <w:rsid w:val="52C859F1"/>
    <w:rsid w:val="53117A25"/>
    <w:rsid w:val="5885A371"/>
    <w:rsid w:val="607196A9"/>
    <w:rsid w:val="62A37D03"/>
    <w:rsid w:val="6B4C0B02"/>
    <w:rsid w:val="7488B107"/>
    <w:rsid w:val="74C7F050"/>
    <w:rsid w:val="779ABFC3"/>
    <w:rsid w:val="7E950E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63ECCC"/>
  <w15:docId w15:val="{8B4BD45B-7C47-45A7-A4B7-A6F5EA810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9B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829B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JournalName">
    <w:name w:val="Q_Journal_Name"/>
    <w:basedOn w:val="DefaultParagraphFont"/>
    <w:uiPriority w:val="1"/>
    <w:qFormat/>
    <w:rsid w:val="00D57C51"/>
    <w:rPr>
      <w:rFonts w:ascii="Helvetica" w:hAnsi="Helvetica"/>
      <w:b/>
      <w:i/>
      <w:color w:val="0070C0"/>
    </w:rPr>
  </w:style>
  <w:style w:type="paragraph" w:customStyle="1" w:styleId="QQuery">
    <w:name w:val="Q_Query"/>
    <w:basedOn w:val="Normal"/>
    <w:link w:val="QQueryChar"/>
    <w:qFormat/>
    <w:rsid w:val="00D57C51"/>
    <w:pPr>
      <w:spacing w:after="120" w:line="240" w:lineRule="auto"/>
    </w:pPr>
    <w:rPr>
      <w:rFonts w:ascii="Helvetica" w:eastAsia="Times New Roman" w:hAnsi="Helvetica" w:cs="Times New Roman"/>
      <w:sz w:val="20"/>
      <w:szCs w:val="20"/>
    </w:rPr>
  </w:style>
  <w:style w:type="character" w:customStyle="1" w:styleId="QQueryChar">
    <w:name w:val="Q_Query Char"/>
    <w:basedOn w:val="DefaultParagraphFont"/>
    <w:link w:val="QQuery"/>
    <w:rsid w:val="00D57C51"/>
    <w:rPr>
      <w:rFonts w:ascii="Helvetica" w:eastAsia="Times New Roman" w:hAnsi="Helvetica" w:cs="Times New Roman"/>
      <w:sz w:val="20"/>
      <w:szCs w:val="20"/>
    </w:rPr>
  </w:style>
  <w:style w:type="paragraph" w:customStyle="1" w:styleId="QQuotedText">
    <w:name w:val="Q_QuotedText"/>
    <w:basedOn w:val="Normal"/>
    <w:link w:val="QQuotedTextChar"/>
    <w:qFormat/>
    <w:rsid w:val="00D57C51"/>
    <w:pPr>
      <w:spacing w:after="120" w:line="240" w:lineRule="auto"/>
      <w:ind w:left="720"/>
    </w:pPr>
    <w:rPr>
      <w:rFonts w:ascii="Times New Roman" w:eastAsia="Times New Roman" w:hAnsi="Times New Roman" w:cs="Times New Roman"/>
      <w:sz w:val="20"/>
      <w:szCs w:val="20"/>
    </w:rPr>
  </w:style>
  <w:style w:type="character" w:customStyle="1" w:styleId="QQuotedTextChar">
    <w:name w:val="Q_QuotedText Char"/>
    <w:basedOn w:val="DefaultParagraphFont"/>
    <w:link w:val="QQuotedText"/>
    <w:rsid w:val="00D57C51"/>
    <w:rPr>
      <w:rFonts w:ascii="Times New Roman" w:eastAsia="Times New Roman" w:hAnsi="Times New Roman" w:cs="Times New Roman"/>
      <w:sz w:val="20"/>
      <w:szCs w:val="20"/>
    </w:rPr>
  </w:style>
  <w:style w:type="table" w:styleId="TableGrid">
    <w:name w:val="Table Grid"/>
    <w:basedOn w:val="TableNormal"/>
    <w:uiPriority w:val="59"/>
    <w:rsid w:val="00053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723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E56"/>
  </w:style>
  <w:style w:type="paragraph" w:styleId="Footer">
    <w:name w:val="footer"/>
    <w:basedOn w:val="Normal"/>
    <w:link w:val="FooterChar"/>
    <w:uiPriority w:val="99"/>
    <w:unhideWhenUsed/>
    <w:rsid w:val="00723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E56"/>
  </w:style>
  <w:style w:type="paragraph" w:styleId="BalloonText">
    <w:name w:val="Balloon Text"/>
    <w:basedOn w:val="Normal"/>
    <w:link w:val="BalloonTextChar"/>
    <w:uiPriority w:val="99"/>
    <w:semiHidden/>
    <w:unhideWhenUsed/>
    <w:rsid w:val="00723E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E56"/>
    <w:rPr>
      <w:rFonts w:ascii="Tahoma" w:hAnsi="Tahoma" w:cs="Tahoma"/>
      <w:sz w:val="16"/>
      <w:szCs w:val="16"/>
    </w:rPr>
  </w:style>
  <w:style w:type="character" w:styleId="CommentReference">
    <w:name w:val="annotation reference"/>
    <w:basedOn w:val="DefaultParagraphFont"/>
    <w:uiPriority w:val="99"/>
    <w:semiHidden/>
    <w:unhideWhenUsed/>
    <w:rsid w:val="008657E4"/>
    <w:rPr>
      <w:sz w:val="16"/>
      <w:szCs w:val="16"/>
    </w:rPr>
  </w:style>
  <w:style w:type="paragraph" w:styleId="CommentText">
    <w:name w:val="annotation text"/>
    <w:basedOn w:val="Normal"/>
    <w:link w:val="CommentTextChar"/>
    <w:uiPriority w:val="99"/>
    <w:unhideWhenUsed/>
    <w:rsid w:val="008657E4"/>
    <w:pPr>
      <w:spacing w:line="240" w:lineRule="auto"/>
    </w:pPr>
    <w:rPr>
      <w:sz w:val="20"/>
      <w:szCs w:val="20"/>
    </w:rPr>
  </w:style>
  <w:style w:type="character" w:customStyle="1" w:styleId="CommentTextChar">
    <w:name w:val="Comment Text Char"/>
    <w:basedOn w:val="DefaultParagraphFont"/>
    <w:link w:val="CommentText"/>
    <w:uiPriority w:val="99"/>
    <w:rsid w:val="008657E4"/>
    <w:rPr>
      <w:sz w:val="20"/>
      <w:szCs w:val="20"/>
    </w:rPr>
  </w:style>
  <w:style w:type="paragraph" w:styleId="CommentSubject">
    <w:name w:val="annotation subject"/>
    <w:basedOn w:val="CommentText"/>
    <w:next w:val="CommentText"/>
    <w:link w:val="CommentSubjectChar"/>
    <w:uiPriority w:val="99"/>
    <w:semiHidden/>
    <w:unhideWhenUsed/>
    <w:rsid w:val="008657E4"/>
    <w:rPr>
      <w:b/>
      <w:bCs/>
    </w:rPr>
  </w:style>
  <w:style w:type="character" w:customStyle="1" w:styleId="CommentSubjectChar">
    <w:name w:val="Comment Subject Char"/>
    <w:basedOn w:val="CommentTextChar"/>
    <w:link w:val="CommentSubject"/>
    <w:uiPriority w:val="99"/>
    <w:semiHidden/>
    <w:rsid w:val="008657E4"/>
    <w:rPr>
      <w:b/>
      <w:bCs/>
      <w:sz w:val="20"/>
      <w:szCs w:val="20"/>
    </w:rPr>
  </w:style>
  <w:style w:type="character" w:styleId="Hyperlink">
    <w:name w:val="Hyperlink"/>
    <w:basedOn w:val="DefaultParagraphFont"/>
    <w:uiPriority w:val="99"/>
    <w:unhideWhenUsed/>
    <w:rsid w:val="00FD457B"/>
    <w:rPr>
      <w:color w:val="0000FF" w:themeColor="hyperlink"/>
      <w:u w:val="single"/>
    </w:rPr>
  </w:style>
  <w:style w:type="paragraph" w:styleId="Revision">
    <w:name w:val="Revision"/>
    <w:hidden/>
    <w:uiPriority w:val="99"/>
    <w:semiHidden/>
    <w:rsid w:val="00837C19"/>
    <w:pPr>
      <w:spacing w:after="0" w:line="240" w:lineRule="auto"/>
    </w:pPr>
  </w:style>
  <w:style w:type="character" w:styleId="PlaceholderText">
    <w:name w:val="Placeholder Text"/>
    <w:basedOn w:val="DefaultParagraphFont"/>
    <w:uiPriority w:val="99"/>
    <w:semiHidden/>
    <w:rsid w:val="00A339AA"/>
    <w:rPr>
      <w:color w:val="808080"/>
    </w:rPr>
  </w:style>
  <w:style w:type="paragraph" w:customStyle="1" w:styleId="plac">
    <w:name w:val="plac"/>
    <w:basedOn w:val="Normal"/>
    <w:rsid w:val="00415E52"/>
    <w:pPr>
      <w:spacing w:after="120" w:line="240" w:lineRule="auto"/>
      <w:jc w:val="both"/>
    </w:pPr>
    <w:rPr>
      <w:rFonts w:ascii="Arial" w:hAnsi="Arial" w:cs="Arial"/>
      <w:color w:val="595959" w:themeColor="text1" w:themeTint="A6"/>
      <w:sz w:val="20"/>
      <w:szCs w:val="20"/>
    </w:rPr>
  </w:style>
  <w:style w:type="character" w:styleId="FollowedHyperlink">
    <w:name w:val="FollowedHyperlink"/>
    <w:basedOn w:val="DefaultParagraphFont"/>
    <w:uiPriority w:val="99"/>
    <w:semiHidden/>
    <w:unhideWhenUsed/>
    <w:rsid w:val="00356E8D"/>
    <w:rPr>
      <w:color w:val="800080" w:themeColor="followedHyperlink"/>
      <w:u w:val="single"/>
    </w:rPr>
  </w:style>
  <w:style w:type="paragraph" w:styleId="ListParagraph">
    <w:name w:val="List Paragraph"/>
    <w:basedOn w:val="Normal"/>
    <w:uiPriority w:val="34"/>
    <w:qFormat/>
    <w:rsid w:val="00814B68"/>
    <w:pPr>
      <w:ind w:left="720"/>
      <w:contextualSpacing/>
    </w:pPr>
  </w:style>
  <w:style w:type="paragraph" w:customStyle="1" w:styleId="Default">
    <w:name w:val="Default"/>
    <w:rsid w:val="00531691"/>
    <w:pPr>
      <w:autoSpaceDE w:val="0"/>
      <w:autoSpaceDN w:val="0"/>
      <w:adjustRightInd w:val="0"/>
      <w:spacing w:after="0" w:line="240" w:lineRule="auto"/>
    </w:pPr>
    <w:rPr>
      <w:rFonts w:ascii="Arial" w:hAnsi="Arial" w:cs="Arial"/>
      <w:color w:val="000000"/>
      <w:sz w:val="24"/>
      <w:szCs w:val="24"/>
    </w:rPr>
  </w:style>
  <w:style w:type="character" w:customStyle="1" w:styleId="ptitle">
    <w:name w:val="p_title"/>
    <w:basedOn w:val="DefaultParagraphFont"/>
    <w:rsid w:val="00B654C8"/>
  </w:style>
  <w:style w:type="paragraph" w:styleId="NormalWeb">
    <w:name w:val="Normal (Web)"/>
    <w:basedOn w:val="Normal"/>
    <w:uiPriority w:val="99"/>
    <w:semiHidden/>
    <w:unhideWhenUsed/>
    <w:rsid w:val="003E4FE5"/>
    <w:rPr>
      <w:rFonts w:ascii="Times New Roman" w:hAnsi="Times New Roman" w:cs="Times New Roman"/>
      <w:sz w:val="24"/>
      <w:szCs w:val="24"/>
    </w:rPr>
  </w:style>
  <w:style w:type="character" w:customStyle="1" w:styleId="apple-converted-space">
    <w:name w:val="apple-converted-space"/>
    <w:basedOn w:val="DefaultParagraphFont"/>
    <w:rsid w:val="006150B8"/>
  </w:style>
  <w:style w:type="character" w:customStyle="1" w:styleId="bibref">
    <w:name w:val="bibref"/>
    <w:basedOn w:val="DefaultParagraphFont"/>
    <w:rsid w:val="00835A27"/>
  </w:style>
  <w:style w:type="character" w:styleId="UnresolvedMention">
    <w:name w:val="Unresolved Mention"/>
    <w:basedOn w:val="DefaultParagraphFont"/>
    <w:uiPriority w:val="99"/>
    <w:semiHidden/>
    <w:unhideWhenUsed/>
    <w:rsid w:val="00790AC6"/>
    <w:rPr>
      <w:color w:val="605E5C"/>
      <w:shd w:val="clear" w:color="auto" w:fill="E1DFDD"/>
    </w:rPr>
  </w:style>
  <w:style w:type="character" w:customStyle="1" w:styleId="Heading2Char">
    <w:name w:val="Heading 2 Char"/>
    <w:basedOn w:val="DefaultParagraphFont"/>
    <w:link w:val="Heading2"/>
    <w:uiPriority w:val="9"/>
    <w:rsid w:val="00B829BE"/>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B829BE"/>
    <w:rPr>
      <w:rFonts w:asciiTheme="majorHAnsi" w:eastAsiaTheme="majorEastAsia" w:hAnsiTheme="majorHAnsi" w:cstheme="majorBidi"/>
      <w:color w:val="365F91" w:themeColor="accent1" w:themeShade="BF"/>
      <w:sz w:val="32"/>
      <w:szCs w:val="32"/>
    </w:rPr>
  </w:style>
  <w:style w:type="character" w:styleId="Mention">
    <w:name w:val="Mention"/>
    <w:basedOn w:val="DefaultParagraphFont"/>
    <w:uiPriority w:val="99"/>
    <w:unhideWhenUsed/>
    <w:rsid w:val="00841B15"/>
    <w:rPr>
      <w:color w:val="2B579A"/>
      <w:shd w:val="clear" w:color="auto" w:fill="E1DFDD"/>
    </w:rPr>
  </w:style>
  <w:style w:type="paragraph" w:styleId="Bibliography">
    <w:name w:val="Bibliography"/>
    <w:basedOn w:val="Normal"/>
    <w:next w:val="Normal"/>
    <w:uiPriority w:val="37"/>
    <w:unhideWhenUsed/>
    <w:rsid w:val="006F71D7"/>
    <w:pPr>
      <w:tabs>
        <w:tab w:val="left" w:pos="504"/>
      </w:tabs>
      <w:spacing w:after="0"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50679">
      <w:bodyDiv w:val="1"/>
      <w:marLeft w:val="0"/>
      <w:marRight w:val="0"/>
      <w:marTop w:val="0"/>
      <w:marBottom w:val="0"/>
      <w:divBdr>
        <w:top w:val="none" w:sz="0" w:space="0" w:color="auto"/>
        <w:left w:val="none" w:sz="0" w:space="0" w:color="auto"/>
        <w:bottom w:val="none" w:sz="0" w:space="0" w:color="auto"/>
        <w:right w:val="none" w:sz="0" w:space="0" w:color="auto"/>
      </w:divBdr>
    </w:div>
    <w:div w:id="118845307">
      <w:bodyDiv w:val="1"/>
      <w:marLeft w:val="0"/>
      <w:marRight w:val="0"/>
      <w:marTop w:val="0"/>
      <w:marBottom w:val="0"/>
      <w:divBdr>
        <w:top w:val="none" w:sz="0" w:space="0" w:color="auto"/>
        <w:left w:val="none" w:sz="0" w:space="0" w:color="auto"/>
        <w:bottom w:val="none" w:sz="0" w:space="0" w:color="auto"/>
        <w:right w:val="none" w:sz="0" w:space="0" w:color="auto"/>
      </w:divBdr>
    </w:div>
    <w:div w:id="132061546">
      <w:bodyDiv w:val="1"/>
      <w:marLeft w:val="0"/>
      <w:marRight w:val="0"/>
      <w:marTop w:val="0"/>
      <w:marBottom w:val="0"/>
      <w:divBdr>
        <w:top w:val="none" w:sz="0" w:space="0" w:color="auto"/>
        <w:left w:val="none" w:sz="0" w:space="0" w:color="auto"/>
        <w:bottom w:val="none" w:sz="0" w:space="0" w:color="auto"/>
        <w:right w:val="none" w:sz="0" w:space="0" w:color="auto"/>
      </w:divBdr>
    </w:div>
    <w:div w:id="210190501">
      <w:bodyDiv w:val="1"/>
      <w:marLeft w:val="0"/>
      <w:marRight w:val="0"/>
      <w:marTop w:val="0"/>
      <w:marBottom w:val="0"/>
      <w:divBdr>
        <w:top w:val="none" w:sz="0" w:space="0" w:color="auto"/>
        <w:left w:val="none" w:sz="0" w:space="0" w:color="auto"/>
        <w:bottom w:val="none" w:sz="0" w:space="0" w:color="auto"/>
        <w:right w:val="none" w:sz="0" w:space="0" w:color="auto"/>
      </w:divBdr>
    </w:div>
    <w:div w:id="262423809">
      <w:bodyDiv w:val="1"/>
      <w:marLeft w:val="0"/>
      <w:marRight w:val="0"/>
      <w:marTop w:val="0"/>
      <w:marBottom w:val="0"/>
      <w:divBdr>
        <w:top w:val="none" w:sz="0" w:space="0" w:color="auto"/>
        <w:left w:val="none" w:sz="0" w:space="0" w:color="auto"/>
        <w:bottom w:val="none" w:sz="0" w:space="0" w:color="auto"/>
        <w:right w:val="none" w:sz="0" w:space="0" w:color="auto"/>
      </w:divBdr>
    </w:div>
    <w:div w:id="281570858">
      <w:bodyDiv w:val="1"/>
      <w:marLeft w:val="0"/>
      <w:marRight w:val="0"/>
      <w:marTop w:val="0"/>
      <w:marBottom w:val="0"/>
      <w:divBdr>
        <w:top w:val="none" w:sz="0" w:space="0" w:color="auto"/>
        <w:left w:val="none" w:sz="0" w:space="0" w:color="auto"/>
        <w:bottom w:val="none" w:sz="0" w:space="0" w:color="auto"/>
        <w:right w:val="none" w:sz="0" w:space="0" w:color="auto"/>
      </w:divBdr>
    </w:div>
    <w:div w:id="315842776">
      <w:bodyDiv w:val="1"/>
      <w:marLeft w:val="0"/>
      <w:marRight w:val="0"/>
      <w:marTop w:val="0"/>
      <w:marBottom w:val="0"/>
      <w:divBdr>
        <w:top w:val="none" w:sz="0" w:space="0" w:color="auto"/>
        <w:left w:val="none" w:sz="0" w:space="0" w:color="auto"/>
        <w:bottom w:val="none" w:sz="0" w:space="0" w:color="auto"/>
        <w:right w:val="none" w:sz="0" w:space="0" w:color="auto"/>
      </w:divBdr>
    </w:div>
    <w:div w:id="320547508">
      <w:bodyDiv w:val="1"/>
      <w:marLeft w:val="0"/>
      <w:marRight w:val="0"/>
      <w:marTop w:val="0"/>
      <w:marBottom w:val="0"/>
      <w:divBdr>
        <w:top w:val="none" w:sz="0" w:space="0" w:color="auto"/>
        <w:left w:val="none" w:sz="0" w:space="0" w:color="auto"/>
        <w:bottom w:val="none" w:sz="0" w:space="0" w:color="auto"/>
        <w:right w:val="none" w:sz="0" w:space="0" w:color="auto"/>
      </w:divBdr>
    </w:div>
    <w:div w:id="370495850">
      <w:bodyDiv w:val="1"/>
      <w:marLeft w:val="0"/>
      <w:marRight w:val="0"/>
      <w:marTop w:val="0"/>
      <w:marBottom w:val="0"/>
      <w:divBdr>
        <w:top w:val="none" w:sz="0" w:space="0" w:color="auto"/>
        <w:left w:val="none" w:sz="0" w:space="0" w:color="auto"/>
        <w:bottom w:val="none" w:sz="0" w:space="0" w:color="auto"/>
        <w:right w:val="none" w:sz="0" w:space="0" w:color="auto"/>
      </w:divBdr>
    </w:div>
    <w:div w:id="387344571">
      <w:bodyDiv w:val="1"/>
      <w:marLeft w:val="0"/>
      <w:marRight w:val="0"/>
      <w:marTop w:val="0"/>
      <w:marBottom w:val="0"/>
      <w:divBdr>
        <w:top w:val="none" w:sz="0" w:space="0" w:color="auto"/>
        <w:left w:val="none" w:sz="0" w:space="0" w:color="auto"/>
        <w:bottom w:val="none" w:sz="0" w:space="0" w:color="auto"/>
        <w:right w:val="none" w:sz="0" w:space="0" w:color="auto"/>
      </w:divBdr>
    </w:div>
    <w:div w:id="392234805">
      <w:bodyDiv w:val="1"/>
      <w:marLeft w:val="0"/>
      <w:marRight w:val="0"/>
      <w:marTop w:val="0"/>
      <w:marBottom w:val="0"/>
      <w:divBdr>
        <w:top w:val="none" w:sz="0" w:space="0" w:color="auto"/>
        <w:left w:val="none" w:sz="0" w:space="0" w:color="auto"/>
        <w:bottom w:val="none" w:sz="0" w:space="0" w:color="auto"/>
        <w:right w:val="none" w:sz="0" w:space="0" w:color="auto"/>
      </w:divBdr>
    </w:div>
    <w:div w:id="400491420">
      <w:bodyDiv w:val="1"/>
      <w:marLeft w:val="0"/>
      <w:marRight w:val="0"/>
      <w:marTop w:val="0"/>
      <w:marBottom w:val="0"/>
      <w:divBdr>
        <w:top w:val="none" w:sz="0" w:space="0" w:color="auto"/>
        <w:left w:val="none" w:sz="0" w:space="0" w:color="auto"/>
        <w:bottom w:val="none" w:sz="0" w:space="0" w:color="auto"/>
        <w:right w:val="none" w:sz="0" w:space="0" w:color="auto"/>
      </w:divBdr>
    </w:div>
    <w:div w:id="424108141">
      <w:bodyDiv w:val="1"/>
      <w:marLeft w:val="0"/>
      <w:marRight w:val="0"/>
      <w:marTop w:val="0"/>
      <w:marBottom w:val="0"/>
      <w:divBdr>
        <w:top w:val="none" w:sz="0" w:space="0" w:color="auto"/>
        <w:left w:val="none" w:sz="0" w:space="0" w:color="auto"/>
        <w:bottom w:val="none" w:sz="0" w:space="0" w:color="auto"/>
        <w:right w:val="none" w:sz="0" w:space="0" w:color="auto"/>
      </w:divBdr>
    </w:div>
    <w:div w:id="446235496">
      <w:bodyDiv w:val="1"/>
      <w:marLeft w:val="0"/>
      <w:marRight w:val="0"/>
      <w:marTop w:val="0"/>
      <w:marBottom w:val="0"/>
      <w:divBdr>
        <w:top w:val="none" w:sz="0" w:space="0" w:color="auto"/>
        <w:left w:val="none" w:sz="0" w:space="0" w:color="auto"/>
        <w:bottom w:val="none" w:sz="0" w:space="0" w:color="auto"/>
        <w:right w:val="none" w:sz="0" w:space="0" w:color="auto"/>
      </w:divBdr>
    </w:div>
    <w:div w:id="765537381">
      <w:bodyDiv w:val="1"/>
      <w:marLeft w:val="0"/>
      <w:marRight w:val="0"/>
      <w:marTop w:val="0"/>
      <w:marBottom w:val="0"/>
      <w:divBdr>
        <w:top w:val="none" w:sz="0" w:space="0" w:color="auto"/>
        <w:left w:val="none" w:sz="0" w:space="0" w:color="auto"/>
        <w:bottom w:val="none" w:sz="0" w:space="0" w:color="auto"/>
        <w:right w:val="none" w:sz="0" w:space="0" w:color="auto"/>
      </w:divBdr>
    </w:div>
    <w:div w:id="805438500">
      <w:bodyDiv w:val="1"/>
      <w:marLeft w:val="0"/>
      <w:marRight w:val="0"/>
      <w:marTop w:val="0"/>
      <w:marBottom w:val="0"/>
      <w:divBdr>
        <w:top w:val="none" w:sz="0" w:space="0" w:color="auto"/>
        <w:left w:val="none" w:sz="0" w:space="0" w:color="auto"/>
        <w:bottom w:val="none" w:sz="0" w:space="0" w:color="auto"/>
        <w:right w:val="none" w:sz="0" w:space="0" w:color="auto"/>
      </w:divBdr>
    </w:div>
    <w:div w:id="814881799">
      <w:bodyDiv w:val="1"/>
      <w:marLeft w:val="0"/>
      <w:marRight w:val="0"/>
      <w:marTop w:val="0"/>
      <w:marBottom w:val="0"/>
      <w:divBdr>
        <w:top w:val="none" w:sz="0" w:space="0" w:color="auto"/>
        <w:left w:val="none" w:sz="0" w:space="0" w:color="auto"/>
        <w:bottom w:val="none" w:sz="0" w:space="0" w:color="auto"/>
        <w:right w:val="none" w:sz="0" w:space="0" w:color="auto"/>
      </w:divBdr>
    </w:div>
    <w:div w:id="820970519">
      <w:bodyDiv w:val="1"/>
      <w:marLeft w:val="0"/>
      <w:marRight w:val="0"/>
      <w:marTop w:val="0"/>
      <w:marBottom w:val="0"/>
      <w:divBdr>
        <w:top w:val="none" w:sz="0" w:space="0" w:color="auto"/>
        <w:left w:val="none" w:sz="0" w:space="0" w:color="auto"/>
        <w:bottom w:val="none" w:sz="0" w:space="0" w:color="auto"/>
        <w:right w:val="none" w:sz="0" w:space="0" w:color="auto"/>
      </w:divBdr>
    </w:div>
    <w:div w:id="872885990">
      <w:bodyDiv w:val="1"/>
      <w:marLeft w:val="0"/>
      <w:marRight w:val="0"/>
      <w:marTop w:val="0"/>
      <w:marBottom w:val="0"/>
      <w:divBdr>
        <w:top w:val="none" w:sz="0" w:space="0" w:color="auto"/>
        <w:left w:val="none" w:sz="0" w:space="0" w:color="auto"/>
        <w:bottom w:val="none" w:sz="0" w:space="0" w:color="auto"/>
        <w:right w:val="none" w:sz="0" w:space="0" w:color="auto"/>
      </w:divBdr>
    </w:div>
    <w:div w:id="924723600">
      <w:bodyDiv w:val="1"/>
      <w:marLeft w:val="0"/>
      <w:marRight w:val="0"/>
      <w:marTop w:val="0"/>
      <w:marBottom w:val="0"/>
      <w:divBdr>
        <w:top w:val="none" w:sz="0" w:space="0" w:color="auto"/>
        <w:left w:val="none" w:sz="0" w:space="0" w:color="auto"/>
        <w:bottom w:val="none" w:sz="0" w:space="0" w:color="auto"/>
        <w:right w:val="none" w:sz="0" w:space="0" w:color="auto"/>
      </w:divBdr>
    </w:div>
    <w:div w:id="999308847">
      <w:bodyDiv w:val="1"/>
      <w:marLeft w:val="0"/>
      <w:marRight w:val="0"/>
      <w:marTop w:val="0"/>
      <w:marBottom w:val="0"/>
      <w:divBdr>
        <w:top w:val="none" w:sz="0" w:space="0" w:color="auto"/>
        <w:left w:val="none" w:sz="0" w:space="0" w:color="auto"/>
        <w:bottom w:val="none" w:sz="0" w:space="0" w:color="auto"/>
        <w:right w:val="none" w:sz="0" w:space="0" w:color="auto"/>
      </w:divBdr>
    </w:div>
    <w:div w:id="1025592259">
      <w:bodyDiv w:val="1"/>
      <w:marLeft w:val="0"/>
      <w:marRight w:val="0"/>
      <w:marTop w:val="0"/>
      <w:marBottom w:val="0"/>
      <w:divBdr>
        <w:top w:val="none" w:sz="0" w:space="0" w:color="auto"/>
        <w:left w:val="none" w:sz="0" w:space="0" w:color="auto"/>
        <w:bottom w:val="none" w:sz="0" w:space="0" w:color="auto"/>
        <w:right w:val="none" w:sz="0" w:space="0" w:color="auto"/>
      </w:divBdr>
    </w:div>
    <w:div w:id="1052314049">
      <w:bodyDiv w:val="1"/>
      <w:marLeft w:val="0"/>
      <w:marRight w:val="0"/>
      <w:marTop w:val="0"/>
      <w:marBottom w:val="0"/>
      <w:divBdr>
        <w:top w:val="none" w:sz="0" w:space="0" w:color="auto"/>
        <w:left w:val="none" w:sz="0" w:space="0" w:color="auto"/>
        <w:bottom w:val="none" w:sz="0" w:space="0" w:color="auto"/>
        <w:right w:val="none" w:sz="0" w:space="0" w:color="auto"/>
      </w:divBdr>
    </w:div>
    <w:div w:id="1107239515">
      <w:bodyDiv w:val="1"/>
      <w:marLeft w:val="0"/>
      <w:marRight w:val="0"/>
      <w:marTop w:val="0"/>
      <w:marBottom w:val="0"/>
      <w:divBdr>
        <w:top w:val="none" w:sz="0" w:space="0" w:color="auto"/>
        <w:left w:val="none" w:sz="0" w:space="0" w:color="auto"/>
        <w:bottom w:val="none" w:sz="0" w:space="0" w:color="auto"/>
        <w:right w:val="none" w:sz="0" w:space="0" w:color="auto"/>
      </w:divBdr>
      <w:divsChild>
        <w:div w:id="498158555">
          <w:marLeft w:val="0"/>
          <w:marRight w:val="0"/>
          <w:marTop w:val="0"/>
          <w:marBottom w:val="0"/>
          <w:divBdr>
            <w:top w:val="none" w:sz="0" w:space="0" w:color="auto"/>
            <w:left w:val="none" w:sz="0" w:space="0" w:color="auto"/>
            <w:bottom w:val="none" w:sz="0" w:space="0" w:color="auto"/>
            <w:right w:val="none" w:sz="0" w:space="0" w:color="auto"/>
          </w:divBdr>
          <w:divsChild>
            <w:div w:id="1022973825">
              <w:marLeft w:val="0"/>
              <w:marRight w:val="0"/>
              <w:marTop w:val="0"/>
              <w:marBottom w:val="0"/>
              <w:divBdr>
                <w:top w:val="none" w:sz="0" w:space="0" w:color="auto"/>
                <w:left w:val="none" w:sz="0" w:space="0" w:color="auto"/>
                <w:bottom w:val="none" w:sz="0" w:space="0" w:color="auto"/>
                <w:right w:val="none" w:sz="0" w:space="0" w:color="auto"/>
              </w:divBdr>
              <w:divsChild>
                <w:div w:id="1657998655">
                  <w:marLeft w:val="0"/>
                  <w:marRight w:val="0"/>
                  <w:marTop w:val="0"/>
                  <w:marBottom w:val="0"/>
                  <w:divBdr>
                    <w:top w:val="none" w:sz="0" w:space="0" w:color="auto"/>
                    <w:left w:val="none" w:sz="0" w:space="0" w:color="auto"/>
                    <w:bottom w:val="none" w:sz="0" w:space="0" w:color="auto"/>
                    <w:right w:val="none" w:sz="0" w:space="0" w:color="auto"/>
                  </w:divBdr>
                  <w:divsChild>
                    <w:div w:id="682051024">
                      <w:marLeft w:val="0"/>
                      <w:marRight w:val="0"/>
                      <w:marTop w:val="0"/>
                      <w:marBottom w:val="0"/>
                      <w:divBdr>
                        <w:top w:val="none" w:sz="0" w:space="0" w:color="auto"/>
                        <w:left w:val="none" w:sz="0" w:space="0" w:color="auto"/>
                        <w:bottom w:val="none" w:sz="0" w:space="0" w:color="auto"/>
                        <w:right w:val="none" w:sz="0" w:space="0" w:color="auto"/>
                      </w:divBdr>
                      <w:divsChild>
                        <w:div w:id="171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084238">
              <w:marLeft w:val="0"/>
              <w:marRight w:val="0"/>
              <w:marTop w:val="0"/>
              <w:marBottom w:val="0"/>
              <w:divBdr>
                <w:top w:val="none" w:sz="0" w:space="0" w:color="auto"/>
                <w:left w:val="none" w:sz="0" w:space="0" w:color="auto"/>
                <w:bottom w:val="none" w:sz="0" w:space="0" w:color="auto"/>
                <w:right w:val="none" w:sz="0" w:space="0" w:color="auto"/>
              </w:divBdr>
            </w:div>
          </w:divsChild>
        </w:div>
        <w:div w:id="1120799633">
          <w:marLeft w:val="0"/>
          <w:marRight w:val="0"/>
          <w:marTop w:val="0"/>
          <w:marBottom w:val="0"/>
          <w:divBdr>
            <w:top w:val="none" w:sz="0" w:space="0" w:color="auto"/>
            <w:left w:val="none" w:sz="0" w:space="0" w:color="auto"/>
            <w:bottom w:val="none" w:sz="0" w:space="0" w:color="auto"/>
            <w:right w:val="none" w:sz="0" w:space="0" w:color="auto"/>
          </w:divBdr>
          <w:divsChild>
            <w:div w:id="1616131234">
              <w:marLeft w:val="0"/>
              <w:marRight w:val="0"/>
              <w:marTop w:val="0"/>
              <w:marBottom w:val="0"/>
              <w:divBdr>
                <w:top w:val="none" w:sz="0" w:space="0" w:color="auto"/>
                <w:left w:val="none" w:sz="0" w:space="0" w:color="auto"/>
                <w:bottom w:val="none" w:sz="0" w:space="0" w:color="auto"/>
                <w:right w:val="none" w:sz="0" w:space="0" w:color="auto"/>
              </w:divBdr>
              <w:divsChild>
                <w:div w:id="512453305">
                  <w:marLeft w:val="-225"/>
                  <w:marRight w:val="-225"/>
                  <w:marTop w:val="150"/>
                  <w:marBottom w:val="0"/>
                  <w:divBdr>
                    <w:top w:val="none" w:sz="0" w:space="0" w:color="auto"/>
                    <w:left w:val="none" w:sz="0" w:space="0" w:color="auto"/>
                    <w:bottom w:val="none" w:sz="0" w:space="0" w:color="auto"/>
                    <w:right w:val="none" w:sz="0" w:space="0" w:color="auto"/>
                  </w:divBdr>
                  <w:divsChild>
                    <w:div w:id="888029599">
                      <w:marLeft w:val="0"/>
                      <w:marRight w:val="0"/>
                      <w:marTop w:val="0"/>
                      <w:marBottom w:val="0"/>
                      <w:divBdr>
                        <w:top w:val="none" w:sz="0" w:space="0" w:color="auto"/>
                        <w:left w:val="none" w:sz="0" w:space="0" w:color="auto"/>
                        <w:bottom w:val="none" w:sz="0" w:space="0" w:color="auto"/>
                        <w:right w:val="none" w:sz="0" w:space="0" w:color="auto"/>
                      </w:divBdr>
                      <w:divsChild>
                        <w:div w:id="1922908763">
                          <w:marLeft w:val="0"/>
                          <w:marRight w:val="0"/>
                          <w:marTop w:val="0"/>
                          <w:marBottom w:val="0"/>
                          <w:divBdr>
                            <w:top w:val="none" w:sz="0" w:space="8" w:color="DDDDDD"/>
                            <w:left w:val="none" w:sz="0" w:space="11" w:color="DDDDDD"/>
                            <w:bottom w:val="single" w:sz="6" w:space="8" w:color="DDDDDD"/>
                            <w:right w:val="none" w:sz="0" w:space="11" w:color="DDDDDD"/>
                          </w:divBdr>
                          <w:divsChild>
                            <w:div w:id="23409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386536">
                  <w:marLeft w:val="-225"/>
                  <w:marRight w:val="-225"/>
                  <w:marTop w:val="0"/>
                  <w:marBottom w:val="0"/>
                  <w:divBdr>
                    <w:top w:val="none" w:sz="0" w:space="0" w:color="auto"/>
                    <w:left w:val="none" w:sz="0" w:space="0" w:color="auto"/>
                    <w:bottom w:val="none" w:sz="0" w:space="0" w:color="auto"/>
                    <w:right w:val="none" w:sz="0" w:space="0" w:color="auto"/>
                  </w:divBdr>
                  <w:divsChild>
                    <w:div w:id="181922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225942">
      <w:bodyDiv w:val="1"/>
      <w:marLeft w:val="0"/>
      <w:marRight w:val="0"/>
      <w:marTop w:val="0"/>
      <w:marBottom w:val="0"/>
      <w:divBdr>
        <w:top w:val="none" w:sz="0" w:space="0" w:color="auto"/>
        <w:left w:val="none" w:sz="0" w:space="0" w:color="auto"/>
        <w:bottom w:val="none" w:sz="0" w:space="0" w:color="auto"/>
        <w:right w:val="none" w:sz="0" w:space="0" w:color="auto"/>
      </w:divBdr>
    </w:div>
    <w:div w:id="1175804018">
      <w:bodyDiv w:val="1"/>
      <w:marLeft w:val="0"/>
      <w:marRight w:val="0"/>
      <w:marTop w:val="0"/>
      <w:marBottom w:val="0"/>
      <w:divBdr>
        <w:top w:val="none" w:sz="0" w:space="0" w:color="auto"/>
        <w:left w:val="none" w:sz="0" w:space="0" w:color="auto"/>
        <w:bottom w:val="none" w:sz="0" w:space="0" w:color="auto"/>
        <w:right w:val="none" w:sz="0" w:space="0" w:color="auto"/>
      </w:divBdr>
    </w:div>
    <w:div w:id="1189030003">
      <w:bodyDiv w:val="1"/>
      <w:marLeft w:val="0"/>
      <w:marRight w:val="0"/>
      <w:marTop w:val="0"/>
      <w:marBottom w:val="0"/>
      <w:divBdr>
        <w:top w:val="none" w:sz="0" w:space="0" w:color="auto"/>
        <w:left w:val="none" w:sz="0" w:space="0" w:color="auto"/>
        <w:bottom w:val="none" w:sz="0" w:space="0" w:color="auto"/>
        <w:right w:val="none" w:sz="0" w:space="0" w:color="auto"/>
      </w:divBdr>
    </w:div>
    <w:div w:id="1237401055">
      <w:bodyDiv w:val="1"/>
      <w:marLeft w:val="0"/>
      <w:marRight w:val="0"/>
      <w:marTop w:val="0"/>
      <w:marBottom w:val="0"/>
      <w:divBdr>
        <w:top w:val="none" w:sz="0" w:space="0" w:color="auto"/>
        <w:left w:val="none" w:sz="0" w:space="0" w:color="auto"/>
        <w:bottom w:val="none" w:sz="0" w:space="0" w:color="auto"/>
        <w:right w:val="none" w:sz="0" w:space="0" w:color="auto"/>
      </w:divBdr>
    </w:div>
    <w:div w:id="1269657911">
      <w:bodyDiv w:val="1"/>
      <w:marLeft w:val="0"/>
      <w:marRight w:val="0"/>
      <w:marTop w:val="0"/>
      <w:marBottom w:val="0"/>
      <w:divBdr>
        <w:top w:val="none" w:sz="0" w:space="0" w:color="auto"/>
        <w:left w:val="none" w:sz="0" w:space="0" w:color="auto"/>
        <w:bottom w:val="none" w:sz="0" w:space="0" w:color="auto"/>
        <w:right w:val="none" w:sz="0" w:space="0" w:color="auto"/>
      </w:divBdr>
    </w:div>
    <w:div w:id="1355499755">
      <w:bodyDiv w:val="1"/>
      <w:marLeft w:val="0"/>
      <w:marRight w:val="0"/>
      <w:marTop w:val="0"/>
      <w:marBottom w:val="0"/>
      <w:divBdr>
        <w:top w:val="none" w:sz="0" w:space="0" w:color="auto"/>
        <w:left w:val="none" w:sz="0" w:space="0" w:color="auto"/>
        <w:bottom w:val="none" w:sz="0" w:space="0" w:color="auto"/>
        <w:right w:val="none" w:sz="0" w:space="0" w:color="auto"/>
      </w:divBdr>
    </w:div>
    <w:div w:id="1376006048">
      <w:bodyDiv w:val="1"/>
      <w:marLeft w:val="0"/>
      <w:marRight w:val="0"/>
      <w:marTop w:val="0"/>
      <w:marBottom w:val="0"/>
      <w:divBdr>
        <w:top w:val="none" w:sz="0" w:space="0" w:color="auto"/>
        <w:left w:val="none" w:sz="0" w:space="0" w:color="auto"/>
        <w:bottom w:val="none" w:sz="0" w:space="0" w:color="auto"/>
        <w:right w:val="none" w:sz="0" w:space="0" w:color="auto"/>
      </w:divBdr>
    </w:div>
    <w:div w:id="1518884975">
      <w:bodyDiv w:val="1"/>
      <w:marLeft w:val="0"/>
      <w:marRight w:val="0"/>
      <w:marTop w:val="0"/>
      <w:marBottom w:val="0"/>
      <w:divBdr>
        <w:top w:val="none" w:sz="0" w:space="0" w:color="auto"/>
        <w:left w:val="none" w:sz="0" w:space="0" w:color="auto"/>
        <w:bottom w:val="none" w:sz="0" w:space="0" w:color="auto"/>
        <w:right w:val="none" w:sz="0" w:space="0" w:color="auto"/>
      </w:divBdr>
    </w:div>
    <w:div w:id="1558199889">
      <w:bodyDiv w:val="1"/>
      <w:marLeft w:val="0"/>
      <w:marRight w:val="0"/>
      <w:marTop w:val="0"/>
      <w:marBottom w:val="0"/>
      <w:divBdr>
        <w:top w:val="none" w:sz="0" w:space="0" w:color="auto"/>
        <w:left w:val="none" w:sz="0" w:space="0" w:color="auto"/>
        <w:bottom w:val="none" w:sz="0" w:space="0" w:color="auto"/>
        <w:right w:val="none" w:sz="0" w:space="0" w:color="auto"/>
      </w:divBdr>
    </w:div>
    <w:div w:id="1563639277">
      <w:bodyDiv w:val="1"/>
      <w:marLeft w:val="0"/>
      <w:marRight w:val="0"/>
      <w:marTop w:val="0"/>
      <w:marBottom w:val="0"/>
      <w:divBdr>
        <w:top w:val="none" w:sz="0" w:space="0" w:color="auto"/>
        <w:left w:val="none" w:sz="0" w:space="0" w:color="auto"/>
        <w:bottom w:val="none" w:sz="0" w:space="0" w:color="auto"/>
        <w:right w:val="none" w:sz="0" w:space="0" w:color="auto"/>
      </w:divBdr>
    </w:div>
    <w:div w:id="1612279025">
      <w:bodyDiv w:val="1"/>
      <w:marLeft w:val="0"/>
      <w:marRight w:val="0"/>
      <w:marTop w:val="0"/>
      <w:marBottom w:val="0"/>
      <w:divBdr>
        <w:top w:val="none" w:sz="0" w:space="0" w:color="auto"/>
        <w:left w:val="none" w:sz="0" w:space="0" w:color="auto"/>
        <w:bottom w:val="none" w:sz="0" w:space="0" w:color="auto"/>
        <w:right w:val="none" w:sz="0" w:space="0" w:color="auto"/>
      </w:divBdr>
    </w:div>
    <w:div w:id="1645502963">
      <w:bodyDiv w:val="1"/>
      <w:marLeft w:val="0"/>
      <w:marRight w:val="0"/>
      <w:marTop w:val="0"/>
      <w:marBottom w:val="0"/>
      <w:divBdr>
        <w:top w:val="none" w:sz="0" w:space="0" w:color="auto"/>
        <w:left w:val="none" w:sz="0" w:space="0" w:color="auto"/>
        <w:bottom w:val="none" w:sz="0" w:space="0" w:color="auto"/>
        <w:right w:val="none" w:sz="0" w:space="0" w:color="auto"/>
      </w:divBdr>
    </w:div>
    <w:div w:id="1730374506">
      <w:bodyDiv w:val="1"/>
      <w:marLeft w:val="0"/>
      <w:marRight w:val="0"/>
      <w:marTop w:val="0"/>
      <w:marBottom w:val="0"/>
      <w:divBdr>
        <w:top w:val="none" w:sz="0" w:space="0" w:color="auto"/>
        <w:left w:val="none" w:sz="0" w:space="0" w:color="auto"/>
        <w:bottom w:val="none" w:sz="0" w:space="0" w:color="auto"/>
        <w:right w:val="none" w:sz="0" w:space="0" w:color="auto"/>
      </w:divBdr>
    </w:div>
    <w:div w:id="1823543506">
      <w:bodyDiv w:val="1"/>
      <w:marLeft w:val="0"/>
      <w:marRight w:val="0"/>
      <w:marTop w:val="0"/>
      <w:marBottom w:val="0"/>
      <w:divBdr>
        <w:top w:val="none" w:sz="0" w:space="0" w:color="auto"/>
        <w:left w:val="none" w:sz="0" w:space="0" w:color="auto"/>
        <w:bottom w:val="none" w:sz="0" w:space="0" w:color="auto"/>
        <w:right w:val="none" w:sz="0" w:space="0" w:color="auto"/>
      </w:divBdr>
    </w:div>
    <w:div w:id="1895658675">
      <w:bodyDiv w:val="1"/>
      <w:marLeft w:val="0"/>
      <w:marRight w:val="0"/>
      <w:marTop w:val="0"/>
      <w:marBottom w:val="0"/>
      <w:divBdr>
        <w:top w:val="none" w:sz="0" w:space="0" w:color="auto"/>
        <w:left w:val="none" w:sz="0" w:space="0" w:color="auto"/>
        <w:bottom w:val="none" w:sz="0" w:space="0" w:color="auto"/>
        <w:right w:val="none" w:sz="0" w:space="0" w:color="auto"/>
      </w:divBdr>
    </w:div>
    <w:div w:id="1926843505">
      <w:bodyDiv w:val="1"/>
      <w:marLeft w:val="0"/>
      <w:marRight w:val="0"/>
      <w:marTop w:val="0"/>
      <w:marBottom w:val="0"/>
      <w:divBdr>
        <w:top w:val="none" w:sz="0" w:space="0" w:color="auto"/>
        <w:left w:val="none" w:sz="0" w:space="0" w:color="auto"/>
        <w:bottom w:val="none" w:sz="0" w:space="0" w:color="auto"/>
        <w:right w:val="none" w:sz="0" w:space="0" w:color="auto"/>
      </w:divBdr>
    </w:div>
    <w:div w:id="2001500715">
      <w:bodyDiv w:val="1"/>
      <w:marLeft w:val="0"/>
      <w:marRight w:val="0"/>
      <w:marTop w:val="0"/>
      <w:marBottom w:val="0"/>
      <w:divBdr>
        <w:top w:val="none" w:sz="0" w:space="0" w:color="auto"/>
        <w:left w:val="none" w:sz="0" w:space="0" w:color="auto"/>
        <w:bottom w:val="none" w:sz="0" w:space="0" w:color="auto"/>
        <w:right w:val="none" w:sz="0" w:space="0" w:color="auto"/>
      </w:divBdr>
    </w:div>
    <w:div w:id="2057315658">
      <w:bodyDiv w:val="1"/>
      <w:marLeft w:val="0"/>
      <w:marRight w:val="0"/>
      <w:marTop w:val="0"/>
      <w:marBottom w:val="0"/>
      <w:divBdr>
        <w:top w:val="none" w:sz="0" w:space="0" w:color="auto"/>
        <w:left w:val="none" w:sz="0" w:space="0" w:color="auto"/>
        <w:bottom w:val="none" w:sz="0" w:space="0" w:color="auto"/>
        <w:right w:val="none" w:sz="0" w:space="0" w:color="auto"/>
      </w:divBdr>
    </w:div>
    <w:div w:id="2118327301">
      <w:bodyDiv w:val="1"/>
      <w:marLeft w:val="0"/>
      <w:marRight w:val="0"/>
      <w:marTop w:val="0"/>
      <w:marBottom w:val="0"/>
      <w:divBdr>
        <w:top w:val="none" w:sz="0" w:space="0" w:color="auto"/>
        <w:left w:val="none" w:sz="0" w:space="0" w:color="auto"/>
        <w:bottom w:val="none" w:sz="0" w:space="0" w:color="auto"/>
        <w:right w:val="none" w:sz="0" w:space="0" w:color="auto"/>
      </w:divBdr>
    </w:div>
    <w:div w:id="2143648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trixscience.com/" TargetMode="External"/><Relationship Id="rId18" Type="http://schemas.openxmlformats.org/officeDocument/2006/relationships/hyperlink" Target="https://www.proteomesoftware.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nonlinear.com/progenesis/qi-for-proteomics/" TargetMode="External"/><Relationship Id="rId17" Type="http://schemas.openxmlformats.org/officeDocument/2006/relationships/hyperlink" Target="http://plogo.uconn.edu/" TargetMode="External"/><Relationship Id="rId2" Type="http://schemas.openxmlformats.org/officeDocument/2006/relationships/customXml" Target="../customXml/item2.xml"/><Relationship Id="rId16" Type="http://schemas.openxmlformats.org/officeDocument/2006/relationships/hyperlink" Target="https://syngoportal.org/" TargetMode="External"/><Relationship Id="rId20" Type="http://schemas.openxmlformats.org/officeDocument/2006/relationships/hyperlink" Target="https://bioapps.shinyapps.io/von_frey_ap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magej.net/software/fiji/" TargetMode="External"/><Relationship Id="rId5" Type="http://schemas.openxmlformats.org/officeDocument/2006/relationships/numbering" Target="numbering.xml"/><Relationship Id="rId15" Type="http://schemas.openxmlformats.org/officeDocument/2006/relationships/hyperlink" Target="https://davidbioinformatics.nih.gov/" TargetMode="External"/><Relationship Id="rId10" Type="http://schemas.openxmlformats.org/officeDocument/2006/relationships/endnotes" Target="endnotes.xml"/><Relationship Id="rId19" Type="http://schemas.openxmlformats.org/officeDocument/2006/relationships/hyperlink" Target="https://www.graphpad.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xquant.net/perseu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chemeClr val="bg1">
            <a:lumMod val="95000"/>
          </a:schemeClr>
        </a:solidFill>
        <a:ln>
          <a:solidFill>
            <a:schemeClr val="bg1">
              <a:lumMod val="65000"/>
            </a:schemeClr>
          </a:solidFill>
          <a:headEnd/>
          <a:tailEnd/>
        </a:ln>
      </a:spPr>
      <a:bodyPr rot="0" vert="horz" wrap="square" lIns="91440" tIns="91440" rIns="91440" bIns="91440" anchor="t" anchorCtr="0">
        <a:noAutofit/>
      </a:bodyPr>
      <a:lstStyle/>
      <a:style>
        <a:lnRef idx="2">
          <a:schemeClr val="dk1"/>
        </a:lnRef>
        <a:fillRef idx="1">
          <a:schemeClr val="lt1"/>
        </a:fillRef>
        <a:effectRef idx="0">
          <a:schemeClr val="dk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7B23924AEF314DB3228DC49A24AB02" ma:contentTypeVersion="8" ma:contentTypeDescription="Create a new document." ma:contentTypeScope="" ma:versionID="10dc642657ba40859824b2c4a31cb309">
  <xsd:schema xmlns:xsd="http://www.w3.org/2001/XMLSchema" xmlns:xs="http://www.w3.org/2001/XMLSchema" xmlns:p="http://schemas.microsoft.com/office/2006/metadata/properties" xmlns:ns2="3ef10a92-c981-48c9-b1d2-b87e126ef9fc" xmlns:ns3="3af61579-2088-4b42-b0d3-994e81032e8e" targetNamespace="http://schemas.microsoft.com/office/2006/metadata/properties" ma:root="true" ma:fieldsID="deb17b91941bd3d5999ba781ff69a917" ns2:_="" ns3:_="">
    <xsd:import namespace="3ef10a92-c981-48c9-b1d2-b87e126ef9fc"/>
    <xsd:import namespace="3af61579-2088-4b42-b0d3-994e81032e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f10a92-c981-48c9-b1d2-b87e126ef9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f61579-2088-4b42-b0d3-994e81032e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EF8F38-2907-4AFF-BD02-582B800FE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f10a92-c981-48c9-b1d2-b87e126ef9fc"/>
    <ds:schemaRef ds:uri="3af61579-2088-4b42-b0d3-994e81032e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08F86D-3628-4CEE-B8FA-C3E6D6C4B7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24A3BA-B14F-4E33-A2FE-5FBD678CD56B}">
  <ds:schemaRefs>
    <ds:schemaRef ds:uri="http://schemas.openxmlformats.org/officeDocument/2006/bibliography"/>
  </ds:schemaRefs>
</ds:datastoreItem>
</file>

<file path=customXml/itemProps4.xml><?xml version="1.0" encoding="utf-8"?>
<ds:datastoreItem xmlns:ds="http://schemas.openxmlformats.org/officeDocument/2006/customXml" ds:itemID="{58A3263C-CFC3-4175-9D5D-897A578FA3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Pages>
  <Words>13820</Words>
  <Characters>78779</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92415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 Diezel</dc:creator>
  <cp:keywords/>
  <dc:description/>
  <cp:lastModifiedBy>Diezel, Cody Charles - (dieselfuel6)</cp:lastModifiedBy>
  <cp:revision>6</cp:revision>
  <dcterms:created xsi:type="dcterms:W3CDTF">2025-06-10T20:50:00Z</dcterms:created>
  <dcterms:modified xsi:type="dcterms:W3CDTF">2025-06-11T06:09:00Z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0x0101004B7B23924AEF314DB3228DC49A24AB02</vt:lpwstr>
  </property>
  <property fmtid="{D5CDD505-2E9C-101B-9397-08002B2CF9AE}" pid="3" name="MSIP_Label_549ac42a-3eb4-4074-b885-aea26bd6241e_Enabled">
    <vt:lpwstr>true</vt:lpwstr>
  </property>
  <property fmtid="{D5CDD505-2E9C-101B-9397-08002B2CF9AE}" pid="4" name="MSIP_Label_549ac42a-3eb4-4074-b885-aea26bd6241e_SetDate">
    <vt:lpwstr>2021-04-22T13:31:54Z</vt:lpwstr>
  </property>
  <property fmtid="{D5CDD505-2E9C-101B-9397-08002B2CF9AE}" pid="5" name="MSIP_Label_549ac42a-3eb4-4074-b885-aea26bd6241e_Method">
    <vt:lpwstr>Standard</vt:lpwstr>
  </property>
  <property fmtid="{D5CDD505-2E9C-101B-9397-08002B2CF9AE}" pid="6" name="MSIP_Label_549ac42a-3eb4-4074-b885-aea26bd6241e_Name">
    <vt:lpwstr>General Business</vt:lpwstr>
  </property>
  <property fmtid="{D5CDD505-2E9C-101B-9397-08002B2CF9AE}" pid="7" name="MSIP_Label_549ac42a-3eb4-4074-b885-aea26bd6241e_SiteId">
    <vt:lpwstr>9274ee3f-9425-4109-a27f-9fb15c10675d</vt:lpwstr>
  </property>
  <property fmtid="{D5CDD505-2E9C-101B-9397-08002B2CF9AE}" pid="8" name="MSIP_Label_549ac42a-3eb4-4074-b885-aea26bd6241e_ActionId">
    <vt:lpwstr>7e348448-e36d-4fe9-bc14-b0b1b21f06b9</vt:lpwstr>
  </property>
  <property fmtid="{D5CDD505-2E9C-101B-9397-08002B2CF9AE}" pid="9" name="MSIP_Label_549ac42a-3eb4-4074-b885-aea26bd6241e_ContentBits">
    <vt:lpwstr>0</vt:lpwstr>
  </property>
  <property fmtid="{D5CDD505-2E9C-101B-9397-08002B2CF9AE}" pid="10" name="ZOTERO_PREF_1">
    <vt:lpwstr>&lt;data data-version="3" zotero-version="7.1-beta.36+1eacc8bbd"&gt;&lt;session id="jQt76yGR"/&gt;&lt;style id="http://www.zotero.org/styles/molecular-psychiatry" hasBibliography="1" bibliographyStyleHasBeenSet="1"/&gt;&lt;prefs&gt;&lt;pref name="fieldType" value="Field"/&gt;&lt;/prefs&gt;&lt;</vt:lpwstr>
  </property>
  <property fmtid="{D5CDD505-2E9C-101B-9397-08002B2CF9AE}" pid="11" name="ZOTERO_PREF_2">
    <vt:lpwstr>/data&gt;</vt:lpwstr>
  </property>
</Properties>
</file>