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16D73B"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t>Supplementary Information for</w:t>
      </w:r>
    </w:p>
    <w:p w14:paraId="164BD3D8"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GB" w:eastAsia="de-DE"/>
        </w:rPr>
      </w:pPr>
    </w:p>
    <w:p w14:paraId="1F2E02EB" w14:textId="77777777" w:rsidR="00BD6B18" w:rsidRPr="003F3FB4" w:rsidRDefault="00BD6B18" w:rsidP="00DB0B46">
      <w:pPr>
        <w:autoSpaceDE w:val="0"/>
        <w:autoSpaceDN w:val="0"/>
        <w:adjustRightInd w:val="0"/>
        <w:spacing w:after="0" w:line="360" w:lineRule="auto"/>
        <w:jc w:val="both"/>
        <w:rPr>
          <w:rFonts w:ascii="Times New Roman" w:eastAsia="Times New Roman" w:hAnsi="Times New Roman" w:cs="Times New Roman"/>
          <w:b/>
          <w:color w:val="000000" w:themeColor="text1"/>
          <w:sz w:val="28"/>
          <w:szCs w:val="24"/>
          <w:lang w:val="en-US" w:eastAsia="de-DE"/>
        </w:rPr>
      </w:pPr>
      <w:r w:rsidRPr="003F3FB4">
        <w:rPr>
          <w:rFonts w:ascii="Times New Roman" w:eastAsia="Times New Roman" w:hAnsi="Times New Roman" w:cs="Times New Roman"/>
          <w:b/>
          <w:color w:val="000000" w:themeColor="text1"/>
          <w:sz w:val="28"/>
          <w:szCs w:val="24"/>
          <w:lang w:val="en-US" w:eastAsia="de-DE"/>
        </w:rPr>
        <w:t>Impaired anandamide/palmitoylethanolamide signaling in hippocampal glutamatergic neurons alters synaptic plasticity, learning and emotional responses</w:t>
      </w:r>
      <w:r w:rsidRPr="003F3FB4" w:rsidDel="00BD6B18">
        <w:rPr>
          <w:rFonts w:ascii="Times New Roman" w:eastAsia="Times New Roman" w:hAnsi="Times New Roman" w:cs="Times New Roman"/>
          <w:b/>
          <w:color w:val="000000" w:themeColor="text1"/>
          <w:sz w:val="28"/>
          <w:szCs w:val="24"/>
          <w:lang w:val="en-US" w:eastAsia="de-DE"/>
        </w:rPr>
        <w:t xml:space="preserve"> </w:t>
      </w:r>
    </w:p>
    <w:p w14:paraId="760ABE09" w14:textId="08772768" w:rsidR="00DB0B46" w:rsidRPr="003F3FB4" w:rsidRDefault="00DB0B46" w:rsidP="00DB0B46">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val="en-US" w:eastAsia="de-DE"/>
        </w:rPr>
      </w:pPr>
    </w:p>
    <w:p w14:paraId="152964CB" w14:textId="77777777" w:rsidR="00DB0B46" w:rsidRPr="003F3FB4" w:rsidRDefault="00DB0B46"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p>
    <w:p w14:paraId="700C8D98"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eastAsia="de-DE"/>
        </w:rPr>
      </w:pPr>
      <w:r w:rsidRPr="003F3FB4">
        <w:rPr>
          <w:rFonts w:ascii="Times New Roman" w:eastAsia="Times New Roman" w:hAnsi="Times New Roman" w:cs="Times New Roman"/>
          <w:color w:val="000000" w:themeColor="text1"/>
          <w:sz w:val="24"/>
          <w:szCs w:val="24"/>
          <w:lang w:eastAsia="de-DE"/>
        </w:rPr>
        <w:t>Tina Zimmermann</w:t>
      </w:r>
      <w:r w:rsidRPr="003F3FB4">
        <w:rPr>
          <w:rFonts w:ascii="Times New Roman" w:eastAsia="Times New Roman" w:hAnsi="Times New Roman" w:cs="Times New Roman"/>
          <w:color w:val="000000" w:themeColor="text1"/>
          <w:sz w:val="24"/>
          <w:szCs w:val="24"/>
          <w:vertAlign w:val="superscript"/>
          <w:lang w:eastAsia="de-DE"/>
        </w:rPr>
        <w:t>*</w:t>
      </w:r>
      <w:r w:rsidRPr="003F3FB4">
        <w:rPr>
          <w:rFonts w:ascii="Times New Roman" w:eastAsia="Times New Roman" w:hAnsi="Times New Roman" w:cs="Times New Roman"/>
          <w:color w:val="000000" w:themeColor="text1"/>
          <w:sz w:val="24"/>
          <w:szCs w:val="24"/>
          <w:lang w:eastAsia="de-DE"/>
        </w:rPr>
        <w:t>, Julia C. Bartsch</w:t>
      </w:r>
      <w:r w:rsidRPr="003F3FB4">
        <w:rPr>
          <w:rFonts w:ascii="Times New Roman" w:eastAsia="Times New Roman" w:hAnsi="Times New Roman" w:cs="Times New Roman"/>
          <w:color w:val="000000" w:themeColor="text1"/>
          <w:sz w:val="24"/>
          <w:szCs w:val="24"/>
          <w:vertAlign w:val="superscript"/>
          <w:lang w:eastAsia="de-DE"/>
        </w:rPr>
        <w:t>*</w:t>
      </w:r>
      <w:r w:rsidRPr="003F3FB4">
        <w:rPr>
          <w:rFonts w:ascii="Times New Roman" w:eastAsia="Times New Roman" w:hAnsi="Times New Roman" w:cs="Times New Roman"/>
          <w:color w:val="000000" w:themeColor="text1"/>
          <w:sz w:val="24"/>
          <w:szCs w:val="24"/>
          <w:lang w:eastAsia="de-DE"/>
        </w:rPr>
        <w:t>, Annika Beer</w:t>
      </w:r>
      <w:r w:rsidRPr="003F3FB4">
        <w:rPr>
          <w:rFonts w:ascii="Times New Roman" w:eastAsia="Times New Roman" w:hAnsi="Times New Roman" w:cs="Times New Roman"/>
          <w:color w:val="000000" w:themeColor="text1"/>
          <w:sz w:val="24"/>
          <w:szCs w:val="24"/>
          <w:vertAlign w:val="superscript"/>
          <w:lang w:eastAsia="de-DE"/>
        </w:rPr>
        <w:t>*</w:t>
      </w:r>
      <w:r w:rsidRPr="003F3FB4">
        <w:rPr>
          <w:rFonts w:ascii="Times New Roman" w:eastAsia="Times New Roman" w:hAnsi="Times New Roman" w:cs="Times New Roman"/>
          <w:color w:val="000000" w:themeColor="text1"/>
          <w:sz w:val="24"/>
          <w:szCs w:val="24"/>
          <w:lang w:eastAsia="de-DE"/>
        </w:rPr>
        <w:t>, Ermelinda Lomazzo, Stephan Guggenhuber, Maren D. Lange, Laura Bindila, Hans-Christian Pape, Beat Lutz</w:t>
      </w:r>
    </w:p>
    <w:p w14:paraId="2CA0F5DC"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eastAsia="de-DE"/>
        </w:rPr>
      </w:pPr>
    </w:p>
    <w:p w14:paraId="3604B34B"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color w:val="000000" w:themeColor="text1"/>
          <w:sz w:val="24"/>
          <w:szCs w:val="24"/>
          <w:lang w:val="en-US" w:eastAsia="de-DE"/>
        </w:rPr>
        <w:t>*T.Z., J.C.B., A.B. share first authorship</w:t>
      </w:r>
    </w:p>
    <w:p w14:paraId="6D5F0AD3"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p>
    <w:p w14:paraId="722F44E6"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p>
    <w:p w14:paraId="1A731C53"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p>
    <w:p w14:paraId="4D125DDD"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color w:val="000000" w:themeColor="text1"/>
          <w:sz w:val="24"/>
          <w:szCs w:val="24"/>
          <w:lang w:val="en-US" w:eastAsia="de-DE"/>
        </w:rPr>
        <w:t>Corresponding author: Beat Lutz, Institute of Physiological Chemistry, University Medical Center of the Johannes Gutenberg University Mainz, Duesbergweg 6, Mainz, Germany, Email: beat.lutz@uni-mainz.de</w:t>
      </w:r>
    </w:p>
    <w:p w14:paraId="54A7CC96" w14:textId="77777777" w:rsidR="00015513" w:rsidRPr="003F3FB4" w:rsidRDefault="00015513">
      <w:pPr>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color w:val="000000" w:themeColor="text1"/>
          <w:sz w:val="24"/>
          <w:szCs w:val="24"/>
          <w:lang w:val="en-US" w:eastAsia="de-DE"/>
        </w:rPr>
        <w:br w:type="page"/>
      </w:r>
    </w:p>
    <w:p w14:paraId="44608683"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b/>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lastRenderedPageBreak/>
        <w:t>Inventory of Supplementary Information</w:t>
      </w:r>
    </w:p>
    <w:p w14:paraId="46151845"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GB" w:eastAsia="de-DE"/>
        </w:rPr>
      </w:pPr>
    </w:p>
    <w:p w14:paraId="3250F040" w14:textId="77777777" w:rsidR="00E41118" w:rsidRPr="003F3FB4" w:rsidRDefault="00E41118" w:rsidP="007515A5">
      <w:pPr>
        <w:spacing w:after="0" w:line="360" w:lineRule="auto"/>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t>Supplementary Materials and Methods</w:t>
      </w:r>
    </w:p>
    <w:p w14:paraId="661D9147" w14:textId="77777777" w:rsidR="00D25394" w:rsidRPr="003F3FB4" w:rsidRDefault="00D25394" w:rsidP="00D25394">
      <w:pPr>
        <w:numPr>
          <w:ilvl w:val="0"/>
          <w:numId w:val="2"/>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Immunohistochemistry</w:t>
      </w:r>
    </w:p>
    <w:p w14:paraId="175B3C51" w14:textId="77777777" w:rsidR="00D25394" w:rsidRPr="003F3FB4" w:rsidRDefault="00D25394" w:rsidP="00D25394">
      <w:pPr>
        <w:numPr>
          <w:ilvl w:val="0"/>
          <w:numId w:val="2"/>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Western Blot</w:t>
      </w:r>
    </w:p>
    <w:p w14:paraId="2225BC01" w14:textId="77777777" w:rsidR="00E41118" w:rsidRPr="003F3FB4" w:rsidRDefault="00D25394" w:rsidP="007515A5">
      <w:pPr>
        <w:numPr>
          <w:ilvl w:val="0"/>
          <w:numId w:val="2"/>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Endocannabinoid Extraction and Liquid Chromatography-Mass Spectrometry</w:t>
      </w:r>
    </w:p>
    <w:p w14:paraId="1CAA3E45" w14:textId="77777777" w:rsidR="00BC2E85" w:rsidRPr="003F3FB4" w:rsidRDefault="00B5473C" w:rsidP="00BC2E85">
      <w:pPr>
        <w:numPr>
          <w:ilvl w:val="0"/>
          <w:numId w:val="2"/>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FAAH activity assay</w:t>
      </w:r>
      <w:r w:rsidR="00BC2E85" w:rsidRPr="003F3FB4">
        <w:rPr>
          <w:rFonts w:ascii="Times New Roman" w:eastAsia="Times New Roman" w:hAnsi="Times New Roman" w:cs="Times New Roman"/>
          <w:color w:val="000000" w:themeColor="text1"/>
          <w:sz w:val="24"/>
          <w:lang w:val="en-GB" w:eastAsia="de-DE"/>
        </w:rPr>
        <w:t xml:space="preserve"> </w:t>
      </w:r>
    </w:p>
    <w:p w14:paraId="4A23909E" w14:textId="77777777" w:rsidR="00BC2E85" w:rsidRPr="003F3FB4" w:rsidRDefault="00BC2E85" w:rsidP="00BC2E85">
      <w:pPr>
        <w:numPr>
          <w:ilvl w:val="0"/>
          <w:numId w:val="2"/>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Electrophysiology</w:t>
      </w:r>
    </w:p>
    <w:p w14:paraId="4A7312E7" w14:textId="77777777" w:rsidR="00B5473C" w:rsidRPr="003F3FB4" w:rsidRDefault="00B5473C" w:rsidP="00BC2E85">
      <w:pPr>
        <w:spacing w:after="0" w:line="360" w:lineRule="auto"/>
        <w:ind w:left="720"/>
        <w:jc w:val="both"/>
        <w:rPr>
          <w:rFonts w:ascii="Times New Roman" w:eastAsia="Times New Roman" w:hAnsi="Times New Roman" w:cs="Times New Roman"/>
          <w:color w:val="000000" w:themeColor="text1"/>
          <w:sz w:val="24"/>
          <w:lang w:val="en-GB" w:eastAsia="de-DE"/>
        </w:rPr>
      </w:pPr>
    </w:p>
    <w:p w14:paraId="3BA8F685" w14:textId="77777777" w:rsidR="00E41118" w:rsidRPr="003F3FB4" w:rsidRDefault="00E41118" w:rsidP="007515A5">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t>Supplementary Figures and Table</w:t>
      </w:r>
    </w:p>
    <w:p w14:paraId="5C06148C" w14:textId="77777777" w:rsidR="00BB2E31" w:rsidRPr="003F3FB4" w:rsidRDefault="00BB2E31" w:rsidP="007515A5">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Supplementary Figure S1: Overexpression of fatty acid amide hydrolase (FAAH) in HEK293 cells leads to increased degradation of anandamide (AEA) and palmitoylethanolamide (PEA).</w:t>
      </w:r>
    </w:p>
    <w:p w14:paraId="704F1C98" w14:textId="77777777" w:rsidR="00E41118" w:rsidRPr="003F3FB4" w:rsidRDefault="00E41118" w:rsidP="007515A5">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Supplementary Figure S</w:t>
      </w:r>
      <w:r w:rsidR="001D1F7B" w:rsidRPr="003F3FB4">
        <w:rPr>
          <w:rFonts w:ascii="Times New Roman" w:eastAsia="Times New Roman" w:hAnsi="Times New Roman" w:cs="Times New Roman"/>
          <w:color w:val="000000" w:themeColor="text1"/>
          <w:sz w:val="24"/>
          <w:lang w:val="en-GB" w:eastAsia="de-DE"/>
        </w:rPr>
        <w:t>2</w:t>
      </w:r>
      <w:r w:rsidRPr="003F3FB4">
        <w:rPr>
          <w:rFonts w:ascii="Times New Roman" w:eastAsia="Times New Roman" w:hAnsi="Times New Roman" w:cs="Times New Roman"/>
          <w:color w:val="000000" w:themeColor="text1"/>
          <w:sz w:val="24"/>
          <w:lang w:val="en-GB" w:eastAsia="de-DE"/>
        </w:rPr>
        <w:t xml:space="preserve">: </w:t>
      </w:r>
      <w:r w:rsidR="006C5339" w:rsidRPr="003F3FB4">
        <w:rPr>
          <w:rFonts w:ascii="Times New Roman" w:eastAsia="Times New Roman" w:hAnsi="Times New Roman" w:cs="Times New Roman"/>
          <w:color w:val="000000" w:themeColor="text1"/>
          <w:sz w:val="24"/>
          <w:lang w:val="en-US" w:eastAsia="de-DE"/>
        </w:rPr>
        <w:t>FAAH overexpression in hippocampal CA1-CA3 pyramidal neurons increases spontaneous glutamatergic and GABAergic transmission at CA3-CA1 synapses</w:t>
      </w:r>
      <w:r w:rsidRPr="003F3FB4">
        <w:rPr>
          <w:rFonts w:ascii="Times New Roman" w:eastAsia="Times New Roman" w:hAnsi="Times New Roman" w:cs="Times New Roman"/>
          <w:color w:val="000000" w:themeColor="text1"/>
          <w:sz w:val="24"/>
          <w:lang w:val="en-GB" w:eastAsia="de-DE"/>
        </w:rPr>
        <w:t>.</w:t>
      </w:r>
    </w:p>
    <w:p w14:paraId="2608D5FA" w14:textId="77777777" w:rsidR="00E41118" w:rsidRPr="003F3FB4" w:rsidRDefault="00E41118" w:rsidP="007515A5">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 xml:space="preserve">Supplementary Table S1: </w:t>
      </w:r>
      <w:r w:rsidRPr="003F3FB4">
        <w:rPr>
          <w:rFonts w:ascii="Times New Roman" w:eastAsia="Times New Roman" w:hAnsi="Times New Roman" w:cs="Times New Roman"/>
          <w:color w:val="000000" w:themeColor="text1"/>
          <w:sz w:val="24"/>
          <w:lang w:val="en-US" w:eastAsia="de-DE"/>
        </w:rPr>
        <w:t>Passive and active membrane properties of CA1 pyramidal neurons</w:t>
      </w:r>
      <w:r w:rsidRPr="003F3FB4">
        <w:rPr>
          <w:rFonts w:ascii="Times New Roman" w:eastAsia="Times New Roman" w:hAnsi="Times New Roman" w:cs="Times New Roman"/>
          <w:color w:val="000000" w:themeColor="text1"/>
          <w:sz w:val="24"/>
          <w:lang w:val="en-GB" w:eastAsia="de-DE"/>
        </w:rPr>
        <w:t>.</w:t>
      </w:r>
    </w:p>
    <w:p w14:paraId="48DBFEBA" w14:textId="1A6A855F" w:rsidR="00E32728" w:rsidRPr="003F3FB4" w:rsidRDefault="00E32728" w:rsidP="00E32728">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 xml:space="preserve">Supplementary Table S2: </w:t>
      </w:r>
      <w:r w:rsidR="00121B62" w:rsidRPr="003F3FB4">
        <w:rPr>
          <w:rFonts w:ascii="Times New Roman" w:hAnsi="Times New Roman"/>
          <w:color w:val="000000" w:themeColor="text1"/>
          <w:sz w:val="24"/>
          <w:szCs w:val="24"/>
          <w:lang w:val="en-US"/>
        </w:rPr>
        <w:t>Statistical Data Analyses (referred to Figure 1f and Figure 5)</w:t>
      </w:r>
    </w:p>
    <w:p w14:paraId="5DB4C669" w14:textId="04FF83A8" w:rsidR="00E32728" w:rsidRPr="003F3FB4" w:rsidRDefault="00E32728" w:rsidP="00E32728">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t xml:space="preserve">Supplementary Table S3: </w:t>
      </w:r>
      <w:r w:rsidR="00121B62" w:rsidRPr="003F3FB4">
        <w:rPr>
          <w:rFonts w:ascii="Times New Roman" w:hAnsi="Times New Roman"/>
          <w:color w:val="000000" w:themeColor="text1"/>
          <w:sz w:val="24"/>
          <w:szCs w:val="24"/>
          <w:lang w:val="en-US"/>
        </w:rPr>
        <w:t>Statistical Data Analyses (referred to Figure 2)</w:t>
      </w:r>
    </w:p>
    <w:p w14:paraId="7E4D2DEB" w14:textId="6B1B894B" w:rsidR="00E32728" w:rsidRPr="003F3FB4" w:rsidRDefault="00E32728" w:rsidP="007515A5">
      <w:pPr>
        <w:numPr>
          <w:ilvl w:val="0"/>
          <w:numId w:val="1"/>
        </w:numPr>
        <w:spacing w:after="0" w:line="360" w:lineRule="auto"/>
        <w:jc w:val="both"/>
        <w:rPr>
          <w:rFonts w:ascii="Times New Roman" w:eastAsia="Times New Roman" w:hAnsi="Times New Roman" w:cs="Times New Roman"/>
          <w:color w:val="000000" w:themeColor="text1"/>
          <w:sz w:val="24"/>
          <w:lang w:val="en-GB" w:eastAsia="de-DE"/>
        </w:rPr>
      </w:pPr>
      <w:r w:rsidRPr="003F3FB4">
        <w:rPr>
          <w:rFonts w:ascii="Times New Roman" w:eastAsia="Times New Roman" w:hAnsi="Times New Roman" w:cs="Times New Roman"/>
          <w:color w:val="000000" w:themeColor="text1"/>
          <w:sz w:val="24"/>
          <w:lang w:val="en-GB" w:eastAsia="de-DE"/>
        </w:rPr>
        <w:lastRenderedPageBreak/>
        <w:t xml:space="preserve">Supplementary Table S4: </w:t>
      </w:r>
      <w:r w:rsidRPr="003F3FB4">
        <w:rPr>
          <w:rFonts w:ascii="Times New Roman" w:hAnsi="Times New Roman"/>
          <w:color w:val="000000" w:themeColor="text1"/>
          <w:sz w:val="24"/>
          <w:szCs w:val="24"/>
          <w:lang w:val="en-US"/>
        </w:rPr>
        <w:t>Statistical Data A</w:t>
      </w:r>
      <w:r w:rsidR="009953B2" w:rsidRPr="003F3FB4">
        <w:rPr>
          <w:rFonts w:ascii="Times New Roman" w:hAnsi="Times New Roman"/>
          <w:color w:val="000000" w:themeColor="text1"/>
          <w:sz w:val="24"/>
          <w:szCs w:val="24"/>
          <w:lang w:val="en-US"/>
        </w:rPr>
        <w:t xml:space="preserve">nalyses </w:t>
      </w:r>
      <w:r w:rsidR="00D95CF5" w:rsidRPr="003F3FB4">
        <w:rPr>
          <w:rFonts w:ascii="Times New Roman" w:hAnsi="Times New Roman"/>
          <w:color w:val="000000" w:themeColor="text1"/>
          <w:sz w:val="24"/>
          <w:szCs w:val="24"/>
          <w:lang w:val="en-US"/>
        </w:rPr>
        <w:t>(referred to Figure 5l</w:t>
      </w:r>
      <w:r w:rsidRPr="003F3FB4">
        <w:rPr>
          <w:rFonts w:ascii="Times New Roman" w:hAnsi="Times New Roman"/>
          <w:color w:val="000000" w:themeColor="text1"/>
          <w:sz w:val="24"/>
          <w:szCs w:val="24"/>
          <w:lang w:val="en-US"/>
        </w:rPr>
        <w:t>)</w:t>
      </w:r>
    </w:p>
    <w:p w14:paraId="3C059AE2" w14:textId="152E9202" w:rsidR="00FE0CBA" w:rsidRPr="003F3FB4" w:rsidRDefault="00FE0CBA">
      <w:pPr>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color w:val="000000" w:themeColor="text1"/>
          <w:sz w:val="24"/>
          <w:szCs w:val="24"/>
          <w:lang w:val="en-GB" w:eastAsia="de-DE"/>
        </w:rPr>
        <w:br w:type="page"/>
      </w:r>
    </w:p>
    <w:p w14:paraId="3E139962" w14:textId="77777777" w:rsidR="00E41118" w:rsidRPr="003F3FB4" w:rsidRDefault="00E41118" w:rsidP="00CF4B1B">
      <w:pPr>
        <w:spacing w:after="120" w:line="360" w:lineRule="auto"/>
        <w:jc w:val="both"/>
        <w:rPr>
          <w:rFonts w:ascii="Times New Roman" w:eastAsia="Times New Roman" w:hAnsi="Times New Roman" w:cs="Times New Roman"/>
          <w:b/>
          <w:color w:val="000000" w:themeColor="text1"/>
          <w:sz w:val="24"/>
          <w:szCs w:val="24"/>
          <w:lang w:val="en-US" w:eastAsia="de-DE"/>
        </w:rPr>
      </w:pPr>
      <w:r w:rsidRPr="003F3FB4">
        <w:rPr>
          <w:rFonts w:ascii="Times New Roman" w:eastAsia="Times New Roman" w:hAnsi="Times New Roman" w:cs="Times New Roman"/>
          <w:b/>
          <w:color w:val="000000" w:themeColor="text1"/>
          <w:sz w:val="24"/>
          <w:szCs w:val="24"/>
          <w:lang w:val="en-US" w:eastAsia="de-DE"/>
        </w:rPr>
        <w:lastRenderedPageBreak/>
        <w:t>Supplementary Materials and Methods</w:t>
      </w:r>
    </w:p>
    <w:p w14:paraId="10F010CF" w14:textId="680F1BB4" w:rsidR="00E64184" w:rsidRPr="003F3FB4" w:rsidRDefault="00E64184" w:rsidP="008477A2">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i/>
          <w:color w:val="000000" w:themeColor="text1"/>
          <w:sz w:val="24"/>
          <w:szCs w:val="24"/>
          <w:lang w:val="en-US" w:eastAsia="de-DE"/>
        </w:rPr>
        <w:t>Immunohistochemistry</w:t>
      </w:r>
      <w:r w:rsidRPr="003F3FB4">
        <w:rPr>
          <w:rFonts w:ascii="Times New Roman" w:eastAsia="Times New Roman" w:hAnsi="Times New Roman" w:cs="Times New Roman"/>
          <w:color w:val="000000" w:themeColor="text1"/>
          <w:sz w:val="24"/>
          <w:szCs w:val="24"/>
          <w:lang w:val="en-US" w:eastAsia="de-DE"/>
        </w:rPr>
        <w:t>: Primary antibodies included mouse anti-postsynaptic density protein 95 (PSD-95, BD Transduction Laboratories, Franklin Lakes, NJ, USA; 1:500)</w:t>
      </w:r>
      <w:r w:rsidR="008477A2"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rabbit anti-HA (Santa Cruz Biotechnology, Santa Cruz, CA, USA; 1:500, 1:1000)</w:t>
      </w:r>
      <w:r w:rsidR="0076480A" w:rsidRPr="003F3FB4">
        <w:rPr>
          <w:rFonts w:ascii="Times New Roman" w:eastAsia="Times New Roman" w:hAnsi="Times New Roman" w:cs="Times New Roman"/>
          <w:color w:val="000000" w:themeColor="text1"/>
          <w:sz w:val="24"/>
          <w:szCs w:val="24"/>
          <w:lang w:val="en-US" w:eastAsia="de-DE"/>
        </w:rPr>
        <w:t xml:space="preserve"> and rabbit anti-CB1</w:t>
      </w:r>
      <w:r w:rsidR="008477A2" w:rsidRPr="003F3FB4">
        <w:rPr>
          <w:rFonts w:ascii="Times New Roman" w:eastAsia="Times New Roman" w:hAnsi="Times New Roman" w:cs="Times New Roman"/>
          <w:color w:val="000000" w:themeColor="text1"/>
          <w:sz w:val="24"/>
          <w:szCs w:val="24"/>
          <w:lang w:val="en-US" w:eastAsia="de-DE"/>
        </w:rPr>
        <w:t xml:space="preserve"> (Frontier Institute, Hokkaido, Japan, 1:500)</w:t>
      </w:r>
      <w:r w:rsidRPr="003F3FB4">
        <w:rPr>
          <w:rFonts w:ascii="Times New Roman" w:eastAsia="Times New Roman" w:hAnsi="Times New Roman" w:cs="Times New Roman"/>
          <w:color w:val="000000" w:themeColor="text1"/>
          <w:sz w:val="24"/>
          <w:szCs w:val="24"/>
          <w:lang w:val="en-US" w:eastAsia="de-DE"/>
        </w:rPr>
        <w:t xml:space="preserve">. </w:t>
      </w:r>
      <w:r w:rsidR="002930B6" w:rsidRPr="003F3FB4">
        <w:rPr>
          <w:rFonts w:ascii="Times New Roman" w:eastAsia="Times New Roman" w:hAnsi="Times New Roman" w:cs="Times New Roman"/>
          <w:color w:val="000000" w:themeColor="text1"/>
          <w:sz w:val="24"/>
          <w:szCs w:val="24"/>
          <w:lang w:val="en-US" w:eastAsia="de-DE"/>
        </w:rPr>
        <w:t>The specificity of anti-CB1</w:t>
      </w:r>
      <w:r w:rsidR="008477A2" w:rsidRPr="003F3FB4">
        <w:rPr>
          <w:rFonts w:ascii="Times New Roman" w:eastAsia="Times New Roman" w:hAnsi="Times New Roman" w:cs="Times New Roman"/>
          <w:color w:val="000000" w:themeColor="text1"/>
          <w:sz w:val="24"/>
          <w:szCs w:val="24"/>
          <w:lang w:val="en-US" w:eastAsia="de-DE"/>
        </w:rPr>
        <w:t xml:space="preserve"> antibody was </w:t>
      </w:r>
      <w:r w:rsidR="002A3943" w:rsidRPr="003F3FB4">
        <w:rPr>
          <w:rFonts w:ascii="Times New Roman" w:eastAsia="Times New Roman" w:hAnsi="Times New Roman" w:cs="Times New Roman"/>
          <w:color w:val="000000" w:themeColor="text1"/>
          <w:sz w:val="24"/>
          <w:szCs w:val="24"/>
          <w:lang w:val="en-US" w:eastAsia="de-DE"/>
        </w:rPr>
        <w:t xml:space="preserve">previously </w:t>
      </w:r>
      <w:r w:rsidR="008477A2" w:rsidRPr="003F3FB4">
        <w:rPr>
          <w:rFonts w:ascii="Times New Roman" w:eastAsia="Times New Roman" w:hAnsi="Times New Roman" w:cs="Times New Roman"/>
          <w:color w:val="000000" w:themeColor="text1"/>
          <w:sz w:val="24"/>
          <w:szCs w:val="24"/>
          <w:lang w:val="en-US" w:eastAsia="de-DE"/>
        </w:rPr>
        <w:t xml:space="preserve">validated </w:t>
      </w:r>
      <w:r w:rsidR="002A3943" w:rsidRPr="003F3FB4">
        <w:rPr>
          <w:rFonts w:ascii="Times New Roman" w:eastAsia="Times New Roman" w:hAnsi="Times New Roman" w:cs="Times New Roman"/>
          <w:color w:val="000000" w:themeColor="text1"/>
          <w:sz w:val="24"/>
          <w:szCs w:val="24"/>
          <w:lang w:val="en-US" w:eastAsia="de-DE"/>
        </w:rPr>
        <w:t xml:space="preserve">in our laboratory </w:t>
      </w:r>
      <w:r w:rsidR="008477A2" w:rsidRPr="003F3FB4">
        <w:rPr>
          <w:rFonts w:ascii="Times New Roman" w:eastAsia="Times New Roman" w:hAnsi="Times New Roman" w:cs="Times New Roman"/>
          <w:color w:val="000000" w:themeColor="text1"/>
          <w:sz w:val="24"/>
          <w:szCs w:val="24"/>
          <w:lang w:val="en-US" w:eastAsia="de-DE"/>
        </w:rPr>
        <w:t xml:space="preserve">(Guggenhuber </w:t>
      </w:r>
      <w:r w:rsidR="008477A2" w:rsidRPr="003F3FB4">
        <w:rPr>
          <w:rFonts w:ascii="Times New Roman" w:eastAsia="Times New Roman" w:hAnsi="Times New Roman" w:cs="Times New Roman"/>
          <w:i/>
          <w:color w:val="000000" w:themeColor="text1"/>
          <w:sz w:val="24"/>
          <w:szCs w:val="24"/>
          <w:lang w:val="en-US" w:eastAsia="de-DE"/>
        </w:rPr>
        <w:t>et al,</w:t>
      </w:r>
      <w:r w:rsidR="008477A2" w:rsidRPr="003F3FB4">
        <w:rPr>
          <w:rFonts w:ascii="Times New Roman" w:eastAsia="Times New Roman" w:hAnsi="Times New Roman" w:cs="Times New Roman"/>
          <w:color w:val="000000" w:themeColor="text1"/>
          <w:sz w:val="24"/>
          <w:szCs w:val="24"/>
          <w:lang w:val="en-US" w:eastAsia="de-DE"/>
        </w:rPr>
        <w:t xml:space="preserve"> 2015)</w:t>
      </w:r>
      <w:r w:rsidR="00C7507F"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Anti-rabbit IgG AlexaFluor488 (Life Technologies, Eugene, OR, USA; 1:1000) and goat anti-mouse IgG AlexaFluor546 (Life Technologies, Eugene, OR, USA; 1:1000) were used as secondary antibodies. Sections were counterstained with 4’,6-diamidino-2-phenylindole (DAPI) and mounted with Mowiol.</w:t>
      </w:r>
      <w:r w:rsidR="00E94C5A" w:rsidRPr="003F3FB4">
        <w:rPr>
          <w:rFonts w:ascii="Times New Roman" w:hAnsi="Times New Roman" w:cs="Times New Roman"/>
          <w:color w:val="000000" w:themeColor="text1"/>
          <w:sz w:val="24"/>
          <w:szCs w:val="24"/>
          <w:lang w:val="en-US"/>
        </w:rPr>
        <w:t xml:space="preserve"> </w:t>
      </w:r>
      <w:r w:rsidR="00F740E7" w:rsidRPr="003F3FB4">
        <w:rPr>
          <w:rFonts w:ascii="Times New Roman" w:hAnsi="Times New Roman" w:cs="Times New Roman"/>
          <w:color w:val="000000" w:themeColor="text1"/>
          <w:sz w:val="24"/>
          <w:szCs w:val="24"/>
          <w:lang w:val="en-US"/>
        </w:rPr>
        <w:t xml:space="preserve">Stained brain sections were analyzed </w:t>
      </w:r>
      <w:r w:rsidR="00FF08BA" w:rsidRPr="003F3FB4">
        <w:rPr>
          <w:rFonts w:ascii="Times New Roman" w:hAnsi="Times New Roman" w:cs="Times New Roman"/>
          <w:color w:val="000000" w:themeColor="text1"/>
          <w:sz w:val="24"/>
          <w:szCs w:val="24"/>
          <w:lang w:val="en-US"/>
        </w:rPr>
        <w:t xml:space="preserve">with </w:t>
      </w:r>
      <w:r w:rsidR="00F740E7" w:rsidRPr="003F3FB4">
        <w:rPr>
          <w:rFonts w:ascii="Times New Roman" w:hAnsi="Times New Roman" w:cs="Times New Roman"/>
          <w:color w:val="000000" w:themeColor="text1"/>
          <w:sz w:val="24"/>
          <w:szCs w:val="24"/>
          <w:lang w:val="en-US"/>
        </w:rPr>
        <w:t xml:space="preserve">a Leica DM5500 </w:t>
      </w:r>
      <w:r w:rsidR="00FF08BA" w:rsidRPr="003F3FB4">
        <w:rPr>
          <w:rFonts w:ascii="Times New Roman" w:hAnsi="Times New Roman" w:cs="Times New Roman"/>
          <w:color w:val="000000" w:themeColor="text1"/>
          <w:sz w:val="24"/>
          <w:szCs w:val="24"/>
          <w:lang w:val="en-US"/>
        </w:rPr>
        <w:t xml:space="preserve">fluorescence microscope </w:t>
      </w:r>
      <w:r w:rsidR="00F740E7" w:rsidRPr="003F3FB4">
        <w:rPr>
          <w:rFonts w:ascii="Times New Roman" w:hAnsi="Times New Roman" w:cs="Times New Roman"/>
          <w:color w:val="000000" w:themeColor="text1"/>
          <w:sz w:val="24"/>
          <w:szCs w:val="24"/>
          <w:lang w:val="en-US"/>
        </w:rPr>
        <w:t xml:space="preserve">(Leica Camera, Wetzlar, Germany) </w:t>
      </w:r>
      <w:r w:rsidR="00192F36" w:rsidRPr="003F3FB4">
        <w:rPr>
          <w:rFonts w:ascii="Times New Roman" w:hAnsi="Times New Roman" w:cs="Times New Roman"/>
          <w:color w:val="000000" w:themeColor="text1"/>
          <w:sz w:val="24"/>
          <w:szCs w:val="24"/>
          <w:lang w:val="en-US"/>
        </w:rPr>
        <w:t>and</w:t>
      </w:r>
      <w:r w:rsidR="00F740E7" w:rsidRPr="003F3FB4">
        <w:rPr>
          <w:rFonts w:ascii="Times New Roman" w:hAnsi="Times New Roman" w:cs="Times New Roman"/>
          <w:color w:val="000000" w:themeColor="text1"/>
          <w:sz w:val="24"/>
          <w:szCs w:val="24"/>
          <w:lang w:val="en-US"/>
        </w:rPr>
        <w:t xml:space="preserve"> a Zeiss Axiovert LSM 710 </w:t>
      </w:r>
      <w:r w:rsidR="00FF08BA" w:rsidRPr="003F3FB4">
        <w:rPr>
          <w:rFonts w:ascii="Times New Roman" w:hAnsi="Times New Roman" w:cs="Times New Roman"/>
          <w:color w:val="000000" w:themeColor="text1"/>
          <w:sz w:val="24"/>
          <w:szCs w:val="24"/>
          <w:lang w:val="en-US"/>
        </w:rPr>
        <w:t xml:space="preserve">laser scanning confocal microscope </w:t>
      </w:r>
      <w:r w:rsidR="00F740E7" w:rsidRPr="003F3FB4">
        <w:rPr>
          <w:rFonts w:ascii="Times New Roman" w:hAnsi="Times New Roman" w:cs="Times New Roman"/>
          <w:color w:val="000000" w:themeColor="text1"/>
          <w:sz w:val="24"/>
          <w:szCs w:val="24"/>
          <w:lang w:val="en-US"/>
        </w:rPr>
        <w:t>(Carl Zeiss, Oberkochen, Germany).</w:t>
      </w:r>
    </w:p>
    <w:p w14:paraId="64C17E42" w14:textId="77777777" w:rsidR="00E64184" w:rsidRPr="003F3FB4" w:rsidRDefault="00E64184" w:rsidP="00E64184">
      <w:pPr>
        <w:spacing w:after="0" w:line="360" w:lineRule="auto"/>
        <w:jc w:val="both"/>
        <w:rPr>
          <w:rFonts w:ascii="Times New Roman" w:eastAsia="Times New Roman" w:hAnsi="Times New Roman" w:cs="Times New Roman"/>
          <w:color w:val="000000" w:themeColor="text1"/>
          <w:sz w:val="24"/>
          <w:szCs w:val="24"/>
          <w:lang w:val="en-US" w:eastAsia="de-DE"/>
        </w:rPr>
      </w:pPr>
    </w:p>
    <w:p w14:paraId="6E15987E" w14:textId="62B8B6F2" w:rsidR="00E64184" w:rsidRPr="003F3FB4" w:rsidRDefault="00E64184" w:rsidP="00B4565D">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i/>
          <w:color w:val="000000" w:themeColor="text1"/>
          <w:sz w:val="24"/>
          <w:szCs w:val="24"/>
          <w:lang w:val="en-US" w:eastAsia="de-DE"/>
        </w:rPr>
        <w:t>Western Blot:</w:t>
      </w:r>
      <w:r w:rsidRPr="003F3FB4">
        <w:rPr>
          <w:rFonts w:ascii="Times New Roman" w:eastAsia="Times New Roman" w:hAnsi="Times New Roman" w:cs="Times New Roman"/>
          <w:color w:val="000000" w:themeColor="text1"/>
          <w:sz w:val="24"/>
          <w:szCs w:val="24"/>
          <w:lang w:val="en-US" w:eastAsia="de-DE"/>
        </w:rPr>
        <w:t xml:space="preserve"> Rabbit anti-FAAH (generous gift from Ken Mackie, 1:500), mouse anti-HA (Covance, Dedham, MA, USA, 1:500), and rabbit anti-actin (Chemicon, Temecula, CA, USA, 1:3000) were used as primary antibodies, and anti-rabbit and anti-mouse horseradish peroxidase (Dianova, Hamburg, Germany, 1:5000) as secondary antibodies. Signal was detected by Amersham ECL Prime Western Blotting Detection Reagent (GE Healthcare Life Sciences). Quantification was performed with Bio </w:t>
      </w:r>
      <w:r w:rsidRPr="003F3FB4">
        <w:rPr>
          <w:rFonts w:ascii="Times New Roman" w:eastAsia="Times New Roman" w:hAnsi="Times New Roman" w:cs="Times New Roman"/>
          <w:color w:val="000000" w:themeColor="text1"/>
          <w:sz w:val="24"/>
          <w:szCs w:val="24"/>
          <w:lang w:val="en-US" w:eastAsia="de-DE"/>
        </w:rPr>
        <w:lastRenderedPageBreak/>
        <w:t xml:space="preserve">1D.CAPT Software (Vilber Lourmat, Eberhardzell, Germany). Densitometric </w:t>
      </w:r>
      <w:r w:rsidR="0076480A" w:rsidRPr="003F3FB4">
        <w:rPr>
          <w:rFonts w:ascii="Times New Roman" w:eastAsia="Times New Roman" w:hAnsi="Times New Roman" w:cs="Times New Roman"/>
          <w:color w:val="000000" w:themeColor="text1"/>
          <w:sz w:val="24"/>
          <w:szCs w:val="24"/>
          <w:lang w:val="en-US" w:eastAsia="de-DE"/>
        </w:rPr>
        <w:t>data were normalized to actin.</w:t>
      </w:r>
    </w:p>
    <w:p w14:paraId="4D8816E7" w14:textId="77777777" w:rsidR="00B4565D" w:rsidRPr="003F3FB4" w:rsidRDefault="00B4565D" w:rsidP="00B4565D">
      <w:pPr>
        <w:spacing w:after="0" w:line="360" w:lineRule="auto"/>
        <w:jc w:val="both"/>
        <w:rPr>
          <w:rFonts w:ascii="Times New Roman" w:eastAsia="Times New Roman" w:hAnsi="Times New Roman" w:cs="Times New Roman"/>
          <w:color w:val="000000" w:themeColor="text1"/>
          <w:sz w:val="24"/>
          <w:szCs w:val="24"/>
          <w:lang w:val="en-US" w:eastAsia="de-DE"/>
        </w:rPr>
      </w:pPr>
    </w:p>
    <w:p w14:paraId="78E382F1" w14:textId="76D2F1CF" w:rsidR="00E64184" w:rsidRPr="003F3FB4" w:rsidRDefault="00B4565D" w:rsidP="00B4565D">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i/>
          <w:color w:val="000000" w:themeColor="text1"/>
          <w:sz w:val="24"/>
          <w:szCs w:val="24"/>
          <w:lang w:val="en-US" w:eastAsia="de-DE"/>
        </w:rPr>
        <w:t>Endocannabinoid Extraction and Liquid Chromatography–Mass Spectrometry:</w:t>
      </w:r>
      <w:r w:rsidRPr="003F3FB4">
        <w:rPr>
          <w:rFonts w:ascii="Times New Roman" w:eastAsia="Times New Roman" w:hAnsi="Times New Roman" w:cs="Times New Roman"/>
          <w:color w:val="000000" w:themeColor="text1"/>
          <w:sz w:val="24"/>
          <w:szCs w:val="24"/>
          <w:lang w:val="en-US" w:eastAsia="de-DE"/>
        </w:rPr>
        <w:t xml:space="preserve"> Extraction of</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eCBs from cells: To prevent alterations of lipid levels, all extraction steps were performed at</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4°C. Transfected cells were harvested and centrifuged for 10 min (2000g, 4°C). Supernatant</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was spiked with 500 μl ethylacetate/hexane (9:1, v/v) containing the internal standards to a</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target concentration (50 μl final volume) of 0.5 ng/ml AEA-d4, 50 ng/ml 2-AG-d5, 100 ng/ml</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AA-d8, 2 ng/ml OEA-d2 and 2 ng/ml PEA-d4</w:t>
      </w:r>
      <w:r w:rsidR="002339E6" w:rsidRPr="003F3FB4">
        <w:rPr>
          <w:color w:val="000000" w:themeColor="text1"/>
          <w:lang w:val="en-US"/>
        </w:rPr>
        <w:t xml:space="preserve"> </w:t>
      </w:r>
      <w:r w:rsidR="002339E6" w:rsidRPr="003F3FB4">
        <w:rPr>
          <w:rFonts w:ascii="Times New Roman" w:eastAsia="Times New Roman" w:hAnsi="Times New Roman" w:cs="Times New Roman"/>
          <w:color w:val="000000" w:themeColor="text1"/>
          <w:sz w:val="24"/>
          <w:szCs w:val="24"/>
          <w:lang w:val="en-US" w:eastAsia="de-DE"/>
        </w:rPr>
        <w:t>(BIOMOL Research Laboratories Inc.)</w:t>
      </w:r>
      <w:r w:rsidRPr="003F3FB4">
        <w:rPr>
          <w:rFonts w:ascii="Times New Roman" w:eastAsia="Times New Roman" w:hAnsi="Times New Roman" w:cs="Times New Roman"/>
          <w:color w:val="000000" w:themeColor="text1"/>
          <w:sz w:val="24"/>
          <w:szCs w:val="24"/>
          <w:lang w:val="en-US" w:eastAsia="de-DE"/>
        </w:rPr>
        <w:t>. Samples were homogenized with the Disruptor</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Genie (Scientific Industries, Inc., Bohemia, NY, USA) for 30 sec, centrifuged for 15 min.</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(16000g, 4°C) and frozen for 10 min. Cell pellets were resuspended in 50 μl Spike Solution and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500 μl ethylacetate/n-hexan (9:1 v/v). Pre-cooled 1.4mm Zirconium oxide beads (Precellys 24,</w:t>
      </w:r>
      <w:r w:rsidR="00DB0B46" w:rsidRPr="003F3FB4">
        <w:rPr>
          <w:rFonts w:ascii="Times New Roman" w:eastAsia="Times New Roman" w:hAnsi="Times New Roman" w:cs="Times New Roman"/>
          <w:color w:val="000000" w:themeColor="text1"/>
          <w:sz w:val="24"/>
          <w:szCs w:val="24"/>
          <w:lang w:val="en-US" w:eastAsia="de-DE"/>
        </w:rPr>
        <w:t xml:space="preserve"> </w:t>
      </w:r>
      <w:r w:rsidR="0076480A" w:rsidRPr="003F3FB4">
        <w:rPr>
          <w:rFonts w:ascii="Times New Roman" w:eastAsia="Times New Roman" w:hAnsi="Times New Roman" w:cs="Times New Roman"/>
          <w:color w:val="000000" w:themeColor="text1"/>
          <w:sz w:val="24"/>
          <w:szCs w:val="24"/>
          <w:lang w:val="en-US" w:eastAsia="de-DE"/>
        </w:rPr>
        <w:t>Bertin Technolog</w:t>
      </w:r>
      <w:r w:rsidRPr="003F3FB4">
        <w:rPr>
          <w:rFonts w:ascii="Times New Roman" w:eastAsia="Times New Roman" w:hAnsi="Times New Roman" w:cs="Times New Roman"/>
          <w:color w:val="000000" w:themeColor="text1"/>
          <w:sz w:val="24"/>
          <w:szCs w:val="24"/>
          <w:lang w:val="en-US" w:eastAsia="de-DE"/>
        </w:rPr>
        <w:t>ies, Montigny-le Bretonneux, France) were added to each sample and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homogenized for 15 sec. with 5000 cycles with the Disruptor Genie (Scientific Industries, Inc.,</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Bohemia, NY, USA). 200 μl ice-cold 0.1 M formic acid was added to each sample and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centrifuged at 8000 g for 10 min at 4°C. The upper organic phase was recovered and evaporated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under a gentle stream of nitrogen at 37°C and reconstituted in 50 μl acetonitrile/water (1:1; v/v).</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Samples were stored at -20°C till use.</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Extraction of eCBs from brain tissue: Hippocampi were isolated and transferred into extraction</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 xml:space="preserve">tubes containing 7 steel balls (ø2.5 mm) and 300 μl </w:t>
      </w:r>
      <w:r w:rsidRPr="003F3FB4">
        <w:rPr>
          <w:rFonts w:ascii="Times New Roman" w:eastAsia="Times New Roman" w:hAnsi="Times New Roman" w:cs="Times New Roman"/>
          <w:color w:val="000000" w:themeColor="text1"/>
          <w:sz w:val="24"/>
          <w:szCs w:val="24"/>
          <w:lang w:val="en-US" w:eastAsia="de-DE"/>
        </w:rPr>
        <w:lastRenderedPageBreak/>
        <w:t>ethylacetate/hexane (9:1, v/v) containing</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the internal standards with 300μl of 50 mM Tris buffer, 150 mM NaCl, and Halt</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Protease/Phosphatase inhibitor (Thermo Scientific). Tissue was homogenized with a</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TissueLyser II (Qiagen, Venlo, Netherlands) at 30 Hz for 1 min, centrifuged at 16000 g at 4°C</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for 15 min and kept on dry ice (10 min) to freeze the aqueous phase. The upper organic phase</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was evaporated under a gentle stream of nitrogen at 37°C using a vapotherm (Barkey,</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Leopoldshöhe, Germany). The dry lipid extracts were dissolved in 100 μl acetonitrile/water</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(1:1), vortexed for 30 s and centrifuged at 10000 g, 3 min at 4°C. 50 μl of samples were pipetted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into a glass insert placed in a glass vial and closed with a slitted lid cap. The precooled (4°C)</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CTC HTC PAL autosampler (CTC Analytics AG, Zwingen, Switzerland) was loaded with vials</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containing samples or calibration standards. AEA, PEA, OEA, 2-AG, and AA lipid</w:t>
      </w:r>
      <w:r w:rsidR="00DB0B46"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color w:val="000000" w:themeColor="text1"/>
          <w:sz w:val="24"/>
          <w:szCs w:val="24"/>
          <w:lang w:val="en-US" w:eastAsia="de-DE"/>
        </w:rPr>
        <w:t>concentrations were measured and quantified as previously described (Bindila and Lutz, 2016).</w:t>
      </w:r>
    </w:p>
    <w:p w14:paraId="4B234E63" w14:textId="77777777" w:rsidR="007753D3" w:rsidRPr="003F3FB4" w:rsidRDefault="007753D3" w:rsidP="00B4565D">
      <w:pPr>
        <w:spacing w:after="0" w:line="360" w:lineRule="auto"/>
        <w:jc w:val="both"/>
        <w:rPr>
          <w:rFonts w:ascii="Times New Roman" w:eastAsia="Times New Roman" w:hAnsi="Times New Roman" w:cs="Times New Roman"/>
          <w:color w:val="000000" w:themeColor="text1"/>
          <w:sz w:val="24"/>
          <w:szCs w:val="24"/>
          <w:lang w:val="en-US" w:eastAsia="de-DE"/>
        </w:rPr>
      </w:pPr>
    </w:p>
    <w:p w14:paraId="2483091A" w14:textId="596A66A6" w:rsidR="00E64184" w:rsidRPr="003F3FB4" w:rsidRDefault="00E64184" w:rsidP="007515A5">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i/>
          <w:color w:val="000000" w:themeColor="text1"/>
          <w:sz w:val="24"/>
          <w:szCs w:val="24"/>
          <w:lang w:val="en-US" w:eastAsia="de-DE"/>
        </w:rPr>
        <w:t>FAAH activity assay:</w:t>
      </w:r>
      <w:r w:rsidR="00AE6718" w:rsidRPr="003F3FB4">
        <w:rPr>
          <w:rFonts w:ascii="Times New Roman" w:eastAsia="Times New Roman" w:hAnsi="Times New Roman" w:cs="Times New Roman"/>
          <w:color w:val="000000" w:themeColor="text1"/>
          <w:sz w:val="24"/>
          <w:szCs w:val="24"/>
          <w:lang w:val="en-US" w:eastAsia="de-DE"/>
        </w:rPr>
        <w:t xml:space="preserve"> </w:t>
      </w:r>
      <w:r w:rsidR="00E62BBE" w:rsidRPr="003F3FB4">
        <w:rPr>
          <w:rFonts w:ascii="Times New Roman" w:eastAsia="Times New Roman" w:hAnsi="Times New Roman" w:cs="Times New Roman"/>
          <w:color w:val="000000" w:themeColor="text1"/>
          <w:sz w:val="24"/>
          <w:szCs w:val="24"/>
          <w:lang w:val="en-US" w:eastAsia="de-DE"/>
        </w:rPr>
        <w:t>FAAH activity assay was based on the hydrolysis of [</w:t>
      </w:r>
      <w:r w:rsidR="00E62BBE" w:rsidRPr="003F3FB4">
        <w:rPr>
          <w:rFonts w:ascii="Times New Roman" w:eastAsia="Times New Roman" w:hAnsi="Times New Roman" w:cs="Times New Roman"/>
          <w:color w:val="000000" w:themeColor="text1"/>
          <w:sz w:val="24"/>
          <w:szCs w:val="24"/>
          <w:vertAlign w:val="superscript"/>
          <w:lang w:val="en-US" w:eastAsia="de-DE"/>
        </w:rPr>
        <w:t>3</w:t>
      </w:r>
      <w:r w:rsidR="00E62BBE" w:rsidRPr="003F3FB4">
        <w:rPr>
          <w:rFonts w:ascii="Times New Roman" w:eastAsia="Times New Roman" w:hAnsi="Times New Roman" w:cs="Times New Roman"/>
          <w:color w:val="000000" w:themeColor="text1"/>
          <w:sz w:val="24"/>
          <w:szCs w:val="24"/>
          <w:lang w:val="en-US" w:eastAsia="de-DE"/>
        </w:rPr>
        <w:t xml:space="preserve">H]-AEA by FAAH, resulting in [3H-ethanolamine] and arachidonic acid. </w:t>
      </w:r>
      <w:r w:rsidR="00AE6718" w:rsidRPr="003F3FB4">
        <w:rPr>
          <w:rFonts w:ascii="Times New Roman" w:eastAsia="Times New Roman" w:hAnsi="Times New Roman" w:cs="Times New Roman"/>
          <w:color w:val="000000" w:themeColor="text1"/>
          <w:sz w:val="24"/>
          <w:szCs w:val="24"/>
          <w:lang w:val="en-US" w:eastAsia="de-DE"/>
        </w:rPr>
        <w:t xml:space="preserve">Hippocampi were dissected </w:t>
      </w:r>
      <w:r w:rsidRPr="003F3FB4">
        <w:rPr>
          <w:rFonts w:ascii="Times New Roman" w:eastAsia="Times New Roman" w:hAnsi="Times New Roman" w:cs="Times New Roman"/>
          <w:color w:val="000000" w:themeColor="text1"/>
          <w:sz w:val="24"/>
          <w:szCs w:val="24"/>
          <w:lang w:val="en-US" w:eastAsia="de-DE"/>
        </w:rPr>
        <w:t xml:space="preserve">and frozen at -80°C until use. Tissue was homogenized by mechanical disruption with a glass homogenizer in buffer containing 50 mM Tris-HCl, pH 7.4, 1 mM EDTA and protease inhibitors (complete cocktail tablets, Roche) and spun at 1000 g for 5 min at 4°C to remove debris. Protein concentrations were measured via BCA Protein Assay Kit (Thermo Fisher Scientific, MA, USA). Hippocampal homogenates </w:t>
      </w:r>
      <w:r w:rsidRPr="003F3FB4">
        <w:rPr>
          <w:rFonts w:ascii="Times New Roman" w:eastAsia="Times New Roman" w:hAnsi="Times New Roman" w:cs="Times New Roman"/>
          <w:color w:val="000000" w:themeColor="text1"/>
          <w:sz w:val="24"/>
          <w:szCs w:val="24"/>
          <w:lang w:val="en-US" w:eastAsia="de-DE"/>
        </w:rPr>
        <w:lastRenderedPageBreak/>
        <w:t>(38 μg protein per reaction) were diluted in homogenization buffer containing 0.2% bovine serum albumin (BSA) and FAAH substrate [</w:t>
      </w:r>
      <w:r w:rsidRPr="003F3FB4">
        <w:rPr>
          <w:rFonts w:ascii="Times New Roman" w:eastAsia="Times New Roman" w:hAnsi="Times New Roman" w:cs="Times New Roman"/>
          <w:color w:val="000000" w:themeColor="text1"/>
          <w:sz w:val="24"/>
          <w:szCs w:val="24"/>
          <w:vertAlign w:val="superscript"/>
          <w:lang w:val="en-US" w:eastAsia="de-DE"/>
        </w:rPr>
        <w:t>3</w:t>
      </w:r>
      <w:r w:rsidRPr="003F3FB4">
        <w:rPr>
          <w:rFonts w:ascii="Times New Roman" w:eastAsia="Times New Roman" w:hAnsi="Times New Roman" w:cs="Times New Roman"/>
          <w:color w:val="000000" w:themeColor="text1"/>
          <w:sz w:val="24"/>
          <w:szCs w:val="24"/>
          <w:lang w:val="en-US" w:eastAsia="de-DE"/>
        </w:rPr>
        <w:t>H]-AEA (American Radiolabeled Chemicals, specific activity: 60 Ci/mmol; concentration: 1 mCi/ml) in a final volume of 500 μl. Due to the low concentration of the radiolabeled substrate, [</w:t>
      </w:r>
      <w:r w:rsidRPr="003F3FB4">
        <w:rPr>
          <w:rFonts w:ascii="Times New Roman" w:eastAsia="Times New Roman" w:hAnsi="Times New Roman" w:cs="Times New Roman"/>
          <w:color w:val="000000" w:themeColor="text1"/>
          <w:sz w:val="24"/>
          <w:szCs w:val="24"/>
          <w:vertAlign w:val="superscript"/>
          <w:lang w:val="en-US" w:eastAsia="de-DE"/>
        </w:rPr>
        <w:t>3</w:t>
      </w:r>
      <w:r w:rsidRPr="003F3FB4">
        <w:rPr>
          <w:rFonts w:ascii="Times New Roman" w:eastAsia="Times New Roman" w:hAnsi="Times New Roman" w:cs="Times New Roman"/>
          <w:color w:val="000000" w:themeColor="text1"/>
          <w:sz w:val="24"/>
          <w:szCs w:val="24"/>
          <w:lang w:val="en-US" w:eastAsia="de-DE"/>
        </w:rPr>
        <w:t>H]-AEA was diluted by adding unlabeled AEA (5 mg/100 μl, Cayman Chemicals) in order to generate six concentrations (0-50 μM range) with the highest concentration containing 50 μM of unlabeled AEA and 0.5 nM of [</w:t>
      </w:r>
      <w:r w:rsidRPr="003F3FB4">
        <w:rPr>
          <w:rFonts w:ascii="Times New Roman" w:eastAsia="Times New Roman" w:hAnsi="Times New Roman" w:cs="Times New Roman"/>
          <w:color w:val="000000" w:themeColor="text1"/>
          <w:sz w:val="24"/>
          <w:szCs w:val="24"/>
          <w:vertAlign w:val="superscript"/>
          <w:lang w:val="en-US" w:eastAsia="de-DE"/>
        </w:rPr>
        <w:t>3</w:t>
      </w:r>
      <w:r w:rsidRPr="003F3FB4">
        <w:rPr>
          <w:rFonts w:ascii="Times New Roman" w:eastAsia="Times New Roman" w:hAnsi="Times New Roman" w:cs="Times New Roman"/>
          <w:color w:val="000000" w:themeColor="text1"/>
          <w:sz w:val="24"/>
          <w:szCs w:val="24"/>
          <w:lang w:val="en-US" w:eastAsia="de-DE"/>
        </w:rPr>
        <w:t>H]-AEA. Background was measured in presence of the FAAH inhibitor arachidonoyl serotonin (AA-5HT, 25 μM; Cayman Chemicals). Blank samples containing [</w:t>
      </w:r>
      <w:r w:rsidRPr="003F3FB4">
        <w:rPr>
          <w:rFonts w:ascii="Times New Roman" w:eastAsia="Times New Roman" w:hAnsi="Times New Roman" w:cs="Times New Roman"/>
          <w:color w:val="000000" w:themeColor="text1"/>
          <w:sz w:val="24"/>
          <w:szCs w:val="24"/>
          <w:vertAlign w:val="superscript"/>
          <w:lang w:val="en-US" w:eastAsia="de-DE"/>
        </w:rPr>
        <w:t>3</w:t>
      </w:r>
      <w:r w:rsidRPr="003F3FB4">
        <w:rPr>
          <w:rFonts w:ascii="Times New Roman" w:eastAsia="Times New Roman" w:hAnsi="Times New Roman" w:cs="Times New Roman"/>
          <w:color w:val="000000" w:themeColor="text1"/>
          <w:sz w:val="24"/>
          <w:szCs w:val="24"/>
          <w:lang w:val="en-US" w:eastAsia="de-DE"/>
        </w:rPr>
        <w:t>H]-AEA without proteins were used as additional background measurement. After an incubation of 30 min at 37°C, the reaction was stopped by adding 800 μl of chloroform/methanol (1:2) followed by centrifugation at 3000 g for 5 min at room temperature. 800 μl of the upper aqueous phase containing the product [</w:t>
      </w:r>
      <w:r w:rsidRPr="003F3FB4">
        <w:rPr>
          <w:rFonts w:ascii="Times New Roman" w:eastAsia="Times New Roman" w:hAnsi="Times New Roman" w:cs="Times New Roman"/>
          <w:color w:val="000000" w:themeColor="text1"/>
          <w:sz w:val="24"/>
          <w:szCs w:val="24"/>
          <w:vertAlign w:val="superscript"/>
          <w:lang w:val="en-US" w:eastAsia="de-DE"/>
        </w:rPr>
        <w:t>3</w:t>
      </w:r>
      <w:r w:rsidRPr="003F3FB4">
        <w:rPr>
          <w:rFonts w:ascii="Times New Roman" w:eastAsia="Times New Roman" w:hAnsi="Times New Roman" w:cs="Times New Roman"/>
          <w:color w:val="000000" w:themeColor="text1"/>
          <w:sz w:val="24"/>
          <w:szCs w:val="24"/>
          <w:lang w:val="en-US" w:eastAsia="de-DE"/>
        </w:rPr>
        <w:t>H]-ethanolamine was counted in a liquid scintillation β-counter for radioactivity quantification. Specific values were determined by subtracting blank (absence of proteins) and background values (presence of AA-5HT). Three independent experiments (n=3 in duplicate for each AEA concentration) for each experimental group (AAV-WT and AA</w:t>
      </w:r>
      <w:r w:rsidR="00AE6718" w:rsidRPr="003F3FB4">
        <w:rPr>
          <w:rFonts w:ascii="Times New Roman" w:eastAsia="Times New Roman" w:hAnsi="Times New Roman" w:cs="Times New Roman"/>
          <w:color w:val="000000" w:themeColor="text1"/>
          <w:sz w:val="24"/>
          <w:szCs w:val="24"/>
          <w:lang w:val="en-US" w:eastAsia="de-DE"/>
        </w:rPr>
        <w:t xml:space="preserve">V-Glu-FAAH) were carried out. </w:t>
      </w:r>
      <w:r w:rsidRPr="003F3FB4">
        <w:rPr>
          <w:rFonts w:ascii="Times New Roman" w:eastAsia="Times New Roman" w:hAnsi="Times New Roman" w:cs="Times New Roman"/>
          <w:color w:val="000000" w:themeColor="text1"/>
          <w:sz w:val="24"/>
          <w:szCs w:val="24"/>
          <w:lang w:val="en-US" w:eastAsia="de-DE"/>
        </w:rPr>
        <w:t>Data are expressed in pmol/(min*mg), referring to the amount of product [3H-ethanolamine]; min refers to the reaction time (30 min); mg refers to the amoun</w:t>
      </w:r>
      <w:r w:rsidR="00DB0B46" w:rsidRPr="003F3FB4">
        <w:rPr>
          <w:rFonts w:ascii="Times New Roman" w:eastAsia="Times New Roman" w:hAnsi="Times New Roman" w:cs="Times New Roman"/>
          <w:color w:val="000000" w:themeColor="text1"/>
          <w:sz w:val="24"/>
          <w:szCs w:val="24"/>
          <w:lang w:val="en-US" w:eastAsia="de-DE"/>
        </w:rPr>
        <w:t>t of protein used (0.038 mg).</w:t>
      </w:r>
    </w:p>
    <w:p w14:paraId="5200FBD1" w14:textId="77777777" w:rsidR="003D1122" w:rsidRPr="003F3FB4" w:rsidRDefault="003D1122" w:rsidP="007515A5">
      <w:pPr>
        <w:spacing w:after="0" w:line="360" w:lineRule="auto"/>
        <w:jc w:val="both"/>
        <w:rPr>
          <w:rFonts w:ascii="Times New Roman" w:eastAsia="Times New Roman" w:hAnsi="Times New Roman" w:cs="Times New Roman"/>
          <w:color w:val="000000" w:themeColor="text1"/>
          <w:sz w:val="24"/>
          <w:szCs w:val="24"/>
          <w:lang w:val="en-US" w:eastAsia="de-DE"/>
        </w:rPr>
      </w:pPr>
    </w:p>
    <w:p w14:paraId="0AC964CF" w14:textId="77777777" w:rsidR="00E41118" w:rsidRPr="003F3FB4" w:rsidRDefault="00E41118" w:rsidP="007515A5">
      <w:pPr>
        <w:spacing w:after="0" w:line="360" w:lineRule="auto"/>
        <w:jc w:val="both"/>
        <w:rPr>
          <w:rFonts w:ascii="Times New Roman" w:eastAsia="Times New Roman" w:hAnsi="Times New Roman" w:cs="Times New Roman"/>
          <w:bCs/>
          <w:color w:val="000000" w:themeColor="text1"/>
          <w:sz w:val="24"/>
          <w:szCs w:val="24"/>
          <w:lang w:val="en-US" w:eastAsia="de-DE"/>
        </w:rPr>
      </w:pPr>
      <w:r w:rsidRPr="003F3FB4">
        <w:rPr>
          <w:rFonts w:ascii="Times New Roman" w:eastAsia="Times New Roman" w:hAnsi="Times New Roman" w:cs="Times New Roman"/>
          <w:i/>
          <w:color w:val="000000" w:themeColor="text1"/>
          <w:sz w:val="24"/>
          <w:szCs w:val="24"/>
          <w:lang w:val="en-US" w:eastAsia="de-DE"/>
        </w:rPr>
        <w:lastRenderedPageBreak/>
        <w:t xml:space="preserve">Electrophysiology: </w:t>
      </w:r>
      <w:r w:rsidRPr="003F3FB4">
        <w:rPr>
          <w:rFonts w:ascii="Times New Roman" w:eastAsia="Times New Roman" w:hAnsi="Times New Roman" w:cs="Times New Roman"/>
          <w:bCs/>
          <w:color w:val="000000" w:themeColor="text1"/>
          <w:sz w:val="24"/>
          <w:szCs w:val="24"/>
          <w:lang w:val="en-US" w:eastAsia="de-DE"/>
        </w:rPr>
        <w:t>Mice were decapitated under deep isoflurane anesthesia (1-chloro-2,2,2-trifluoroethyl difluoromethyl ether; 2.5% in O</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Abbot GmbH &amp; Co. KG, Germany), and brains were quickly removed. Horizontal slices (300 </w:t>
      </w:r>
      <w:r w:rsidRPr="003F3FB4">
        <w:rPr>
          <w:rFonts w:ascii="Times New Roman" w:eastAsia="Times New Roman" w:hAnsi="Times New Roman" w:cs="Times New Roman"/>
          <w:bCs/>
          <w:color w:val="000000" w:themeColor="text1"/>
          <w:sz w:val="24"/>
          <w:szCs w:val="24"/>
          <w:lang w:eastAsia="de-DE"/>
        </w:rPr>
        <w:t>μ</w:t>
      </w:r>
      <w:r w:rsidRPr="003F3FB4">
        <w:rPr>
          <w:rFonts w:ascii="Times New Roman" w:eastAsia="Times New Roman" w:hAnsi="Times New Roman" w:cs="Times New Roman"/>
          <w:bCs/>
          <w:color w:val="000000" w:themeColor="text1"/>
          <w:sz w:val="24"/>
          <w:szCs w:val="24"/>
          <w:lang w:val="en-US" w:eastAsia="de-DE"/>
        </w:rPr>
        <w:t>m) containing the hippocampus and the entorhinal cortex were obtained with a Leica VT1200S vibratome (Leica Microsystems CMS, Mannheim, Germany). The preparation was performed in ice-cold oxygenated (95% O</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5% CO</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saccharose-based artificial cerebrospinal fluid (ACSF) containing (in mM): KCl 2.5, Na</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PO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1.25, PIPES 20, CaCl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0.5, MgSO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10, saccharose 200, glucose 10 at a pH of 7.35. After preparation, slices were kept under submerged conditions at 30°C for approximately 30 min in preincubation ACSF (in mM: NaCl 125, Na</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PO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1.25, NaHCO</w:t>
      </w:r>
      <w:r w:rsidRPr="003F3FB4">
        <w:rPr>
          <w:rFonts w:ascii="Times New Roman" w:eastAsia="Times New Roman" w:hAnsi="Times New Roman" w:cs="Times New Roman"/>
          <w:bCs/>
          <w:color w:val="000000" w:themeColor="text1"/>
          <w:sz w:val="24"/>
          <w:szCs w:val="24"/>
          <w:vertAlign w:val="subscript"/>
          <w:lang w:val="en-US" w:eastAsia="de-DE"/>
        </w:rPr>
        <w:t>3</w:t>
      </w:r>
      <w:r w:rsidRPr="003F3FB4">
        <w:rPr>
          <w:rFonts w:ascii="Times New Roman" w:eastAsia="Times New Roman" w:hAnsi="Times New Roman" w:cs="Times New Roman"/>
          <w:bCs/>
          <w:color w:val="000000" w:themeColor="text1"/>
          <w:sz w:val="24"/>
          <w:szCs w:val="24"/>
          <w:lang w:val="en-US" w:eastAsia="de-DE"/>
        </w:rPr>
        <w:t xml:space="preserve"> 24, KCl 2.5, CaCl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2, MgSO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2, glucose 10 at a pH of 7.35) and were then transferred to physiological ACSF solution (in mM: NaCl 120, Na</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PO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1.25, NaHCO</w:t>
      </w:r>
      <w:r w:rsidRPr="003F3FB4">
        <w:rPr>
          <w:rFonts w:ascii="Times New Roman" w:eastAsia="Times New Roman" w:hAnsi="Times New Roman" w:cs="Times New Roman"/>
          <w:bCs/>
          <w:color w:val="000000" w:themeColor="text1"/>
          <w:sz w:val="24"/>
          <w:szCs w:val="24"/>
          <w:vertAlign w:val="subscript"/>
          <w:lang w:val="en-US" w:eastAsia="de-DE"/>
        </w:rPr>
        <w:t>3</w:t>
      </w:r>
      <w:r w:rsidRPr="003F3FB4">
        <w:rPr>
          <w:rFonts w:ascii="Times New Roman" w:eastAsia="Times New Roman" w:hAnsi="Times New Roman" w:cs="Times New Roman"/>
          <w:bCs/>
          <w:color w:val="000000" w:themeColor="text1"/>
          <w:sz w:val="24"/>
          <w:szCs w:val="24"/>
          <w:lang w:val="en-US" w:eastAsia="de-DE"/>
        </w:rPr>
        <w:t xml:space="preserve"> 22, KCl 2.5, CaCl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2, MgSO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2, glucose 25 at a pH of 7.35) at room temperature for further storage.</w:t>
      </w:r>
    </w:p>
    <w:p w14:paraId="6B2D118B" w14:textId="6F14FA06" w:rsidR="00E41118" w:rsidRPr="003F3FB4" w:rsidRDefault="00E41118" w:rsidP="007515A5">
      <w:pPr>
        <w:spacing w:after="0" w:line="360" w:lineRule="auto"/>
        <w:jc w:val="both"/>
        <w:rPr>
          <w:rFonts w:ascii="Times New Roman" w:eastAsia="Times New Roman" w:hAnsi="Times New Roman" w:cs="Times New Roman"/>
          <w:bCs/>
          <w:color w:val="000000" w:themeColor="text1"/>
          <w:sz w:val="24"/>
          <w:szCs w:val="24"/>
          <w:lang w:val="en-US" w:eastAsia="de-DE"/>
        </w:rPr>
      </w:pPr>
      <w:r w:rsidRPr="003F3FB4">
        <w:rPr>
          <w:rFonts w:ascii="Times New Roman" w:eastAsia="Times New Roman" w:hAnsi="Times New Roman" w:cs="Times New Roman"/>
          <w:bCs/>
          <w:color w:val="000000" w:themeColor="text1"/>
          <w:sz w:val="24"/>
          <w:szCs w:val="24"/>
          <w:lang w:val="en-US" w:eastAsia="de-DE"/>
        </w:rPr>
        <w:t xml:space="preserve">Whole-cell patch-clamp recordings in voltage-clamp mode were obtained from CA1 pyramidal cells under submerged conditions at near physiological temperatures (32-34°C). For characterization of intrinsic discharge and membrane properties, hyper- and depolarizing current steps (50 pA, 500 ms) were used. </w:t>
      </w:r>
      <w:r w:rsidRPr="003F3FB4">
        <w:rPr>
          <w:rFonts w:ascii="Times New Roman" w:eastAsia="Times New Roman" w:hAnsi="Times New Roman" w:cs="Times New Roman"/>
          <w:bCs/>
          <w:color w:val="000000" w:themeColor="text1"/>
          <w:sz w:val="24"/>
          <w:szCs w:val="24"/>
          <w:lang w:val="en-GB" w:eastAsia="de-DE"/>
        </w:rPr>
        <w:t>Input resistance (R</w:t>
      </w:r>
      <w:r w:rsidRPr="003F3FB4">
        <w:rPr>
          <w:rFonts w:ascii="Times New Roman" w:eastAsia="Times New Roman" w:hAnsi="Times New Roman" w:cs="Times New Roman"/>
          <w:bCs/>
          <w:color w:val="000000" w:themeColor="text1"/>
          <w:sz w:val="24"/>
          <w:szCs w:val="24"/>
          <w:vertAlign w:val="subscript"/>
          <w:lang w:val="en-GB" w:eastAsia="de-DE"/>
        </w:rPr>
        <w:t>in</w:t>
      </w:r>
      <w:r w:rsidRPr="003F3FB4">
        <w:rPr>
          <w:rFonts w:ascii="Times New Roman" w:eastAsia="Times New Roman" w:hAnsi="Times New Roman" w:cs="Times New Roman"/>
          <w:bCs/>
          <w:color w:val="000000" w:themeColor="text1"/>
          <w:sz w:val="24"/>
          <w:szCs w:val="24"/>
          <w:lang w:val="en-GB" w:eastAsia="de-DE"/>
        </w:rPr>
        <w:t>) and membrane time constant (τ) were calculated at a 100 pA hyperpolarizing current step. The input resistance was calculated by: R</w:t>
      </w:r>
      <w:r w:rsidRPr="003F3FB4">
        <w:rPr>
          <w:rFonts w:ascii="Times New Roman" w:eastAsia="Times New Roman" w:hAnsi="Times New Roman" w:cs="Times New Roman"/>
          <w:bCs/>
          <w:color w:val="000000" w:themeColor="text1"/>
          <w:sz w:val="24"/>
          <w:szCs w:val="24"/>
          <w:vertAlign w:val="subscript"/>
          <w:lang w:val="en-GB" w:eastAsia="de-DE"/>
        </w:rPr>
        <w:t>in</w:t>
      </w:r>
      <w:r w:rsidRPr="003F3FB4">
        <w:rPr>
          <w:rFonts w:ascii="Times New Roman" w:eastAsia="Times New Roman" w:hAnsi="Times New Roman" w:cs="Times New Roman"/>
          <w:bCs/>
          <w:color w:val="000000" w:themeColor="text1"/>
          <w:sz w:val="24"/>
          <w:szCs w:val="24"/>
          <w:lang w:val="en-GB" w:eastAsia="de-DE"/>
        </w:rPr>
        <w:t xml:space="preserve">=ΔV/I. ΔV was measured under steady-state conditions at the end of the injected hyperpolarizing current pulse. τ was obtained by a monoexponential fit of the membrane potential shift induced </w:t>
      </w:r>
      <w:r w:rsidRPr="003F3FB4">
        <w:rPr>
          <w:rFonts w:ascii="Times New Roman" w:eastAsia="Times New Roman" w:hAnsi="Times New Roman" w:cs="Times New Roman"/>
          <w:bCs/>
          <w:color w:val="000000" w:themeColor="text1"/>
          <w:sz w:val="24"/>
          <w:szCs w:val="24"/>
          <w:lang w:val="en-GB" w:eastAsia="de-DE"/>
        </w:rPr>
        <w:lastRenderedPageBreak/>
        <w:t xml:space="preserve">by the hyperpolarizing current step. Sag ratio was calculated by dividing the steady-state voltage during a hyperpolarizing current pulse of 200 pA by the peak voltage during hyperpolarization. Action potential (AP) properties were assessed from the first AP elicited by a 500 ms lasting depolarizing current injection step at -70 mV. The membrane potential at which dV/dt reached a criterion of 10 mV/ms was used to estimate AP threshold. AP height was defined as the amplitude between AP threshold and peak of the AP. AP half-width was measured at 50 % AP height. </w:t>
      </w:r>
      <w:r w:rsidRPr="003F3FB4">
        <w:rPr>
          <w:rFonts w:ascii="Times New Roman" w:eastAsia="Times New Roman" w:hAnsi="Times New Roman" w:cs="Times New Roman"/>
          <w:bCs/>
          <w:color w:val="000000" w:themeColor="text1"/>
          <w:sz w:val="24"/>
          <w:szCs w:val="24"/>
          <w:lang w:val="en-US" w:eastAsia="de-DE"/>
        </w:rPr>
        <w:t>Postsynaptic currents (PSCs) were evoked by a bipolar tungsten stimulation electrode placed loc</w:t>
      </w:r>
      <w:r w:rsidR="0076480A" w:rsidRPr="003F3FB4">
        <w:rPr>
          <w:rFonts w:ascii="Times New Roman" w:eastAsia="Times New Roman" w:hAnsi="Times New Roman" w:cs="Times New Roman"/>
          <w:bCs/>
          <w:color w:val="000000" w:themeColor="text1"/>
          <w:sz w:val="24"/>
          <w:szCs w:val="24"/>
          <w:lang w:val="en-US" w:eastAsia="de-DE"/>
        </w:rPr>
        <w:t>ally in stratum radiatum. 2-(3-C</w:t>
      </w:r>
      <w:r w:rsidRPr="003F3FB4">
        <w:rPr>
          <w:rFonts w:ascii="Times New Roman" w:eastAsia="Times New Roman" w:hAnsi="Times New Roman" w:cs="Times New Roman"/>
          <w:bCs/>
          <w:color w:val="000000" w:themeColor="text1"/>
          <w:sz w:val="24"/>
          <w:szCs w:val="24"/>
          <w:lang w:val="en-US" w:eastAsia="de-DE"/>
        </w:rPr>
        <w:t xml:space="preserve">arboxypropyl)-3-amino-6-(4 methoxyphenyl) pyridazinium bromide (Gabazine, 10 </w:t>
      </w:r>
      <w:r w:rsidRPr="003F3FB4">
        <w:rPr>
          <w:rFonts w:ascii="Times New Roman" w:eastAsia="Times New Roman" w:hAnsi="Times New Roman" w:cs="Times New Roman"/>
          <w:bCs/>
          <w:color w:val="000000" w:themeColor="text1"/>
          <w:sz w:val="24"/>
          <w:szCs w:val="24"/>
          <w:lang w:eastAsia="de-DE"/>
        </w:rPr>
        <w:t>μ</w:t>
      </w:r>
      <w:r w:rsidRPr="003F3FB4">
        <w:rPr>
          <w:rFonts w:ascii="Times New Roman" w:eastAsia="Times New Roman" w:hAnsi="Times New Roman" w:cs="Times New Roman"/>
          <w:bCs/>
          <w:color w:val="000000" w:themeColor="text1"/>
          <w:sz w:val="24"/>
          <w:szCs w:val="24"/>
          <w:lang w:val="en-US" w:eastAsia="de-DE"/>
        </w:rPr>
        <w:t xml:space="preserve">M), CGP55845 hydrochloride (2.5 </w:t>
      </w:r>
      <w:r w:rsidRPr="003F3FB4">
        <w:rPr>
          <w:rFonts w:ascii="Times New Roman" w:eastAsia="Times New Roman" w:hAnsi="Times New Roman" w:cs="Times New Roman"/>
          <w:bCs/>
          <w:color w:val="000000" w:themeColor="text1"/>
          <w:sz w:val="24"/>
          <w:szCs w:val="24"/>
          <w:lang w:eastAsia="de-DE"/>
        </w:rPr>
        <w:t>μ</w:t>
      </w:r>
      <w:r w:rsidR="0076480A" w:rsidRPr="003F3FB4">
        <w:rPr>
          <w:rFonts w:ascii="Times New Roman" w:eastAsia="Times New Roman" w:hAnsi="Times New Roman" w:cs="Times New Roman"/>
          <w:bCs/>
          <w:color w:val="000000" w:themeColor="text1"/>
          <w:sz w:val="24"/>
          <w:szCs w:val="24"/>
          <w:lang w:val="en-US" w:eastAsia="de-DE"/>
        </w:rPr>
        <w:t>M), DL-2-a</w:t>
      </w:r>
      <w:r w:rsidRPr="003F3FB4">
        <w:rPr>
          <w:rFonts w:ascii="Times New Roman" w:eastAsia="Times New Roman" w:hAnsi="Times New Roman" w:cs="Times New Roman"/>
          <w:bCs/>
          <w:color w:val="000000" w:themeColor="text1"/>
          <w:sz w:val="24"/>
          <w:szCs w:val="24"/>
          <w:lang w:val="en-US" w:eastAsia="de-DE"/>
        </w:rPr>
        <w:t xml:space="preserve">mino-5-phosphonopentanoic acid sodium salt (AP5, 25 </w:t>
      </w:r>
      <w:r w:rsidRPr="003F3FB4">
        <w:rPr>
          <w:rFonts w:ascii="Times New Roman" w:eastAsia="Times New Roman" w:hAnsi="Times New Roman" w:cs="Times New Roman"/>
          <w:bCs/>
          <w:color w:val="000000" w:themeColor="text1"/>
          <w:sz w:val="24"/>
          <w:szCs w:val="24"/>
          <w:lang w:eastAsia="de-DE"/>
        </w:rPr>
        <w:t>μ</w:t>
      </w:r>
      <w:r w:rsidR="0076480A" w:rsidRPr="003F3FB4">
        <w:rPr>
          <w:rFonts w:ascii="Times New Roman" w:eastAsia="Times New Roman" w:hAnsi="Times New Roman" w:cs="Times New Roman"/>
          <w:bCs/>
          <w:color w:val="000000" w:themeColor="text1"/>
          <w:sz w:val="24"/>
          <w:szCs w:val="24"/>
          <w:lang w:val="en-US" w:eastAsia="de-DE"/>
        </w:rPr>
        <w:t>M), or 6,7-d</w:t>
      </w:r>
      <w:r w:rsidRPr="003F3FB4">
        <w:rPr>
          <w:rFonts w:ascii="Times New Roman" w:eastAsia="Times New Roman" w:hAnsi="Times New Roman" w:cs="Times New Roman"/>
          <w:bCs/>
          <w:color w:val="000000" w:themeColor="text1"/>
          <w:sz w:val="24"/>
          <w:szCs w:val="24"/>
          <w:lang w:val="en-US" w:eastAsia="de-DE"/>
        </w:rPr>
        <w:t xml:space="preserve">initroquinoxaline-2,3-dione disodium salt (DNQX, 10 </w:t>
      </w:r>
      <w:r w:rsidRPr="003F3FB4">
        <w:rPr>
          <w:rFonts w:ascii="Times New Roman" w:eastAsia="Times New Roman" w:hAnsi="Times New Roman" w:cs="Times New Roman"/>
          <w:bCs/>
          <w:color w:val="000000" w:themeColor="text1"/>
          <w:sz w:val="24"/>
          <w:szCs w:val="24"/>
          <w:lang w:eastAsia="de-DE"/>
        </w:rPr>
        <w:t>μ</w:t>
      </w:r>
      <w:r w:rsidRPr="003F3FB4">
        <w:rPr>
          <w:rFonts w:ascii="Times New Roman" w:eastAsia="Times New Roman" w:hAnsi="Times New Roman" w:cs="Times New Roman"/>
          <w:bCs/>
          <w:color w:val="000000" w:themeColor="text1"/>
          <w:sz w:val="24"/>
          <w:szCs w:val="24"/>
          <w:lang w:val="en-US" w:eastAsia="de-DE"/>
        </w:rPr>
        <w:t>M) were added to the extracellular solution as required to block GABAergic or glutamatergic postsynaptic currents, and to isolate postsynaptic excitatory (EPSCs) or inhibitory (IPSCs) currents. Patch-clamp electrodes (2-4 M</w:t>
      </w:r>
      <w:r w:rsidRPr="003F3FB4">
        <w:rPr>
          <w:rFonts w:ascii="Times New Roman" w:eastAsia="Times New Roman" w:hAnsi="Times New Roman" w:cs="Times New Roman"/>
          <w:bCs/>
          <w:color w:val="000000" w:themeColor="text1"/>
          <w:sz w:val="24"/>
          <w:szCs w:val="24"/>
          <w:lang w:eastAsia="de-DE"/>
        </w:rPr>
        <w:t>Ω</w:t>
      </w:r>
      <w:r w:rsidRPr="003F3FB4">
        <w:rPr>
          <w:rFonts w:ascii="Times New Roman" w:eastAsia="Times New Roman" w:hAnsi="Times New Roman" w:cs="Times New Roman"/>
          <w:bCs/>
          <w:color w:val="000000" w:themeColor="text1"/>
          <w:sz w:val="24"/>
          <w:szCs w:val="24"/>
          <w:lang w:val="en-US" w:eastAsia="de-DE"/>
        </w:rPr>
        <w:t>) were made of borosilicate glass (GC150T-10, Harvard Apparatus, UK). Access resistance was monitored throughout the experiments and did not exceed 25 M</w:t>
      </w:r>
      <w:r w:rsidRPr="003F3FB4">
        <w:rPr>
          <w:rFonts w:ascii="Times New Roman" w:eastAsia="Times New Roman" w:hAnsi="Times New Roman" w:cs="Times New Roman"/>
          <w:bCs/>
          <w:color w:val="000000" w:themeColor="text1"/>
          <w:sz w:val="24"/>
          <w:szCs w:val="24"/>
          <w:lang w:eastAsia="de-DE"/>
        </w:rPr>
        <w:t>Ω</w:t>
      </w:r>
      <w:r w:rsidRPr="003F3FB4">
        <w:rPr>
          <w:rFonts w:ascii="Times New Roman" w:eastAsia="Times New Roman" w:hAnsi="Times New Roman" w:cs="Times New Roman"/>
          <w:bCs/>
          <w:color w:val="000000" w:themeColor="text1"/>
          <w:sz w:val="24"/>
          <w:szCs w:val="24"/>
          <w:lang w:val="en-US" w:eastAsia="de-DE"/>
        </w:rPr>
        <w:t>. Recordings with higher or fluctuating access resistance were discarded. No series resistance compensation was used.</w:t>
      </w:r>
      <w:r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Electrophysiological data were sampled at 5-10 kHz with an EPC10-double amplifier (HEKA, Germany) and analyzed offline with Clampfit software (Molecular Devices Corporation, Sunnyvale, CA, USA). For analysis, evoked PSCs were normalized to baseline values.</w:t>
      </w:r>
    </w:p>
    <w:p w14:paraId="3B06F21D" w14:textId="24DF269C" w:rsidR="00E41118" w:rsidRPr="003F3FB4" w:rsidRDefault="00E41118" w:rsidP="007515A5">
      <w:pPr>
        <w:spacing w:after="0" w:line="360" w:lineRule="auto"/>
        <w:jc w:val="both"/>
        <w:rPr>
          <w:rFonts w:ascii="Times New Roman" w:eastAsia="Times New Roman" w:hAnsi="Times New Roman" w:cs="Times New Roman"/>
          <w:bCs/>
          <w:color w:val="000000" w:themeColor="text1"/>
          <w:sz w:val="24"/>
          <w:szCs w:val="24"/>
          <w:lang w:val="en-US" w:eastAsia="de-DE"/>
        </w:rPr>
      </w:pPr>
      <w:r w:rsidRPr="003F3FB4">
        <w:rPr>
          <w:rFonts w:ascii="Times New Roman" w:eastAsia="Times New Roman" w:hAnsi="Times New Roman" w:cs="Times New Roman"/>
          <w:bCs/>
          <w:color w:val="000000" w:themeColor="text1"/>
          <w:sz w:val="24"/>
          <w:szCs w:val="24"/>
          <w:lang w:val="en-US" w:eastAsia="de-DE"/>
        </w:rPr>
        <w:lastRenderedPageBreak/>
        <w:t>In short-term plasticity experiments, cells were clamped at a holding potential of -70 mV and the intracellular solution contained (in mM): K-gluconate 100, KCl 50, CsCl 10, HEPES 10, EGTA 0.2, MgCl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1, Mg-ATP 1, and Na-GTP 0.3, adjusted with KOH to a pH of 7.30. After recording of stable baseline responses (stimulation frequency 0.2 Hz), depolarization-induced suppression of excitation (DSE) or inhibition (DSI) was tested by application of a depolarization step (−70 to 0 mV, 10 s).</w:t>
      </w:r>
      <w:r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 xml:space="preserve">The mean of 5 electrically evoked responses immediately before the depolarization (pre) was compared with 5 evoked responses recorded immediately after depolarization (post I), 5 responses after 2 min (post II) and 5 responses 4 min after depolarization (post III). Statistical significance between groups was tested using two-way repeated measures analysis of variance (RM-ANOVA) with time and group (AAV-WT or AAV-Glu-FAAH) as factors followed by post hoc </w:t>
      </w:r>
      <w:r w:rsidR="00EA34A4" w:rsidRPr="003F3FB4">
        <w:rPr>
          <w:rFonts w:ascii="Times New Roman" w:eastAsia="Times New Roman" w:hAnsi="Times New Roman" w:cs="Times New Roman"/>
          <w:bCs/>
          <w:color w:val="000000" w:themeColor="text1"/>
          <w:sz w:val="24"/>
          <w:szCs w:val="24"/>
          <w:lang w:val="en-US" w:eastAsia="de-DE"/>
        </w:rPr>
        <w:t xml:space="preserve">Sidak’s </w:t>
      </w:r>
      <w:r w:rsidRPr="003F3FB4">
        <w:rPr>
          <w:rFonts w:ascii="Times New Roman" w:eastAsia="Times New Roman" w:hAnsi="Times New Roman" w:cs="Times New Roman"/>
          <w:bCs/>
          <w:color w:val="000000" w:themeColor="text1"/>
          <w:sz w:val="24"/>
          <w:szCs w:val="24"/>
          <w:lang w:val="en-US" w:eastAsia="de-DE"/>
        </w:rPr>
        <w:t>multiple comparison test.</w:t>
      </w:r>
    </w:p>
    <w:p w14:paraId="4A4E0288" w14:textId="540AF7B2" w:rsidR="00291141" w:rsidRPr="003F3FB4" w:rsidRDefault="00291141" w:rsidP="00291141">
      <w:pPr>
        <w:spacing w:after="0" w:line="360" w:lineRule="auto"/>
        <w:jc w:val="both"/>
        <w:rPr>
          <w:rFonts w:ascii="Times New Roman" w:eastAsia="Times New Roman" w:hAnsi="Times New Roman" w:cs="Times New Roman"/>
          <w:bCs/>
          <w:color w:val="000000" w:themeColor="text1"/>
          <w:sz w:val="24"/>
          <w:szCs w:val="24"/>
          <w:lang w:val="en-US" w:eastAsia="de-DE"/>
        </w:rPr>
      </w:pPr>
      <w:r w:rsidRPr="003F3FB4">
        <w:rPr>
          <w:rFonts w:ascii="Times New Roman" w:eastAsia="Times New Roman" w:hAnsi="Times New Roman" w:cs="Times New Roman"/>
          <w:bCs/>
          <w:color w:val="000000" w:themeColor="text1"/>
          <w:sz w:val="24"/>
          <w:szCs w:val="24"/>
          <w:lang w:val="en-US" w:eastAsia="de-DE"/>
        </w:rPr>
        <w:t>In long-term plasticity experiments, PSCs were evoked at a frequency of 0.033 Hz. Stable baseline responses were recorded for 10 min. In case of long-term potentiation (LTP) experiments and for recording of spontaneous (s) EPSCs, cells were held at -70 mV and the intracellular solution contained (in mM): K-gluconate 135, KCl 20, HEPES 10, phosphocreatine 7, Mg-ATP 2, Na-GTP 0.3, EGTA 0.2, adjusted with KOH to a pH of 7.2. The stimulus intensity was set to evoke EPSC amplitudes of 30–50% of the maximum response during baseline recordings. LTP was induced by application of 4 trains of 100 pulses at 100 Hz with 30 s inter-train intervals. In excitatory LTD (eLTD) experiments, ACSF with 1 mM MgSO</w:t>
      </w:r>
      <w:r w:rsidRPr="003F3FB4">
        <w:rPr>
          <w:rFonts w:ascii="Times New Roman" w:eastAsia="Times New Roman" w:hAnsi="Times New Roman" w:cs="Times New Roman"/>
          <w:bCs/>
          <w:color w:val="000000" w:themeColor="text1"/>
          <w:sz w:val="24"/>
          <w:szCs w:val="24"/>
          <w:vertAlign w:val="subscript"/>
          <w:lang w:val="en-US" w:eastAsia="de-DE"/>
        </w:rPr>
        <w:t>4</w:t>
      </w:r>
      <w:r w:rsidRPr="003F3FB4">
        <w:rPr>
          <w:rFonts w:ascii="Times New Roman" w:eastAsia="Times New Roman" w:hAnsi="Times New Roman" w:cs="Times New Roman"/>
          <w:bCs/>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lastRenderedPageBreak/>
        <w:t xml:space="preserve">was used. Cells were held at -70 mV and the stimulus intensity was set to evoke EPSC amplitudes of 50% of the maximum response during baseline recordings. eLTD was induced by application of 900 paired pulses (50 ms inter-pulse interval) at 1 Hz </w:t>
      </w:r>
      <w:r w:rsidRPr="003F3FB4">
        <w:rPr>
          <w:rFonts w:ascii="Times New Roman" w:eastAsia="Times New Roman" w:hAnsi="Times New Roman" w:cs="Times New Roman"/>
          <w:bCs/>
          <w:color w:val="000000" w:themeColor="text1"/>
          <w:sz w:val="24"/>
          <w:szCs w:val="24"/>
          <w:lang w:val="en-US" w:eastAsia="de-DE"/>
        </w:rPr>
        <w:fldChar w:fldCharType="begin" w:fldLock="1"/>
      </w:r>
      <w:r w:rsidRPr="003F3FB4">
        <w:rPr>
          <w:rFonts w:ascii="Times New Roman" w:eastAsia="Times New Roman" w:hAnsi="Times New Roman" w:cs="Times New Roman"/>
          <w:bCs/>
          <w:color w:val="000000" w:themeColor="text1"/>
          <w:sz w:val="24"/>
          <w:szCs w:val="24"/>
          <w:lang w:val="en-US" w:eastAsia="de-DE"/>
        </w:rPr>
        <w:instrText>ADDIN CSL_CITATION { "citationItems" : [ { "id" : "ITEM-1", "itemData" : { "DOI" : "10.1016/S0028-3908(96)90015-5", "ISBN" : "0028-3908 (Print)", "ISSN" : "0028-3908", "PMID" : "9175619", "abstract" : "We have investigated different stimulus parameters in an attempt to induce long-term depression (LTD) in the CA1 region of adult rat hippocampus in vitro. Whereas 900 stimuli delivered at 1 Hz failed to induce LTD, 900 stimuli when delivered as 450 pairs (50 msec inter-stimulus interval) at 1 Hz induced significant and stable N-methyl-D-aspartate (NMDA) receptor-dependent LTD. However, 900 paired stimuli at 1 Hz induced LTD which was only partly blocked by the NMDA receptor antagonist, D-2-amino-5-phosphonopentanoate (AP5).", "author" : [ { "dropping-particle" : "", "family" : "Kemp", "given" : "N", "non-dropping-particle" : "", "parse-names" : false, "suffix" : "" }, { "dropping-particle" : "", "family" : "Bashir", "given" : "Z I", "non-dropping-particle" : "", "parse-names" : false, "suffix" : "" } ], "container-title" : "Neuropharmacology", "id" : "ITEM-1", "issue" : "3", "issued" : { "date-parts" : [ [ "1997", "3", "1" ] ] }, "page" : "397-9", "publisher" : "Pergamon", "title" : "NMDA receptor-dependent and -independent long-term depression in the CA1 region of the adult rat hippocampus in vitro.", "type" : "article-journal", "volume" : "36" }, "uris" : [ "http://www.mendeley.com/documents/?uuid=95af90ad-f0de-3c08-b59f-9a755dc1202b" ] }, { "id" : "ITEM-2", "itemData" : { "DOI" : "10.1046/j.1460-9568.2000.00903.x", "ISBN" : "0953-816X (Print)\\r0953-816X (Linking)", "ISSN" : "0953-816X", "PMID" : "10651891", "abstract" : "In this study, we have investigated the developmental range over which different stimulus protocols induce long-term depression (LTD). Low-frequency stimulation (LFS; 900 stimuli, 1 Hz) produced LTD in hippocampal slices from rats younger than approximately 40 days old, but not in animals aged between approximately 40 days and 16 weeks. We demonstrate, however, that different stimulus protocols can result in LTD in the adult hippocampus. Whilst one paired-pulse low-frequency stimulus protocol [PP-LFS; 50 ms paired-pulse interval (PPI), 900 pairs of stimuli] produced N-methyl-D-aspartate (NMDA) receptor-independent LTD, another PP-LFS protocol (200 ms PPI; 900 pairs) produced NMDA receptor-dependent LTD. Furthermore, the saturation of NMDA receptor-dependent LTD did not prevent the induction of further NMDA receptor-independent LTD. This lack of occlusion suggests that different mechanisms of expression may underlie each of the above forms of LTD in the adult hippocampus. In contrast to the adult hippocampus, NMDA receptor-dependent LTD was induced by both LFS and PP-LFS (50 ms PPI) in slices from young animals (12-20 days). Although they share a common induction mechanism, LTD induced by PP-LFS may be expressed through other mechanisms in addition to those underlying LFS-induced LTD in the young hippocampus. In conclusion, the results in this study demonstrate that mechanisms of long-term synaptic depression within the hippocampus can alter radically with development of the central nervous system and with the use of different induction protocols.", "author" : [ { "dropping-particle" : "", "family" : "Kemp", "given" : "Nicola", "non-dropping-particle" : "", "parse-names" : false, "suffix" : "" }, { "dropping-particle" : "", "family" : "McQueen", "given" : "Jane", "non-dropping-particle" : "", "parse-names" : false, "suffix" : "" }, { "dropping-particle" : "", "family" : "Faulkes", "given" : "Suzanna", "non-dropping-particle" : "", "parse-names" : false, "suffix" : "" }, { "dropping-particle" : "", "family" : "Bashir", "given" : "Zafar I.", "non-dropping-particle" : "", "parse-names" : false, "suffix" : "" } ], "container-title" : "The European journal of neuroscience", "id" : "ITEM-2", "issue" : "1", "issued" : { "date-parts" : [ [ "2000", "1", "1" ] ] }, "page" : "360-6", "publisher" : "Wiley/Blackwell (10.1111)", "title" : "Different forms of LTD in the CA1 region of the hippocampus: role of age and stimulus protocol.", "type" : "article-journal", "volume" : "12" }, "uris" : [ "http://www.mendeley.com/documents/?uuid=a2b5e31d-9cd5-32a5-acf7-2e939dd77c07" ] } ], "mendeley" : { "formattedCitation" : "(Kemp &lt;i&gt;et al&lt;/i&gt;, 2000; Kemp and Bashir, 1997)", "plainTextFormattedCitation" : "(Kemp et al, 2000; Kemp and Bashir, 1997)", "previouslyFormattedCitation" : "(Kemp &lt;i&gt;et al&lt;/i&gt;, 2000; Kemp and Bashir, 1997)" }, "properties" : { "noteIndex" : 0 }, "schema" : "https://github.com/citation-style-language/schema/raw/master/csl-citation.json" }</w:instrText>
      </w:r>
      <w:r w:rsidRPr="003F3FB4">
        <w:rPr>
          <w:rFonts w:ascii="Times New Roman" w:eastAsia="Times New Roman" w:hAnsi="Times New Roman" w:cs="Times New Roman"/>
          <w:bCs/>
          <w:color w:val="000000" w:themeColor="text1"/>
          <w:sz w:val="24"/>
          <w:szCs w:val="24"/>
          <w:lang w:val="en-US" w:eastAsia="de-DE"/>
        </w:rPr>
        <w:fldChar w:fldCharType="separate"/>
      </w:r>
      <w:r w:rsidR="0084356E" w:rsidRPr="003F3FB4">
        <w:rPr>
          <w:rFonts w:ascii="Times New Roman" w:eastAsia="Times New Roman" w:hAnsi="Times New Roman" w:cs="Times New Roman"/>
          <w:bCs/>
          <w:noProof/>
          <w:color w:val="000000" w:themeColor="text1"/>
          <w:sz w:val="24"/>
          <w:szCs w:val="24"/>
          <w:lang w:val="en-US" w:eastAsia="de-DE"/>
        </w:rPr>
        <w:t>(</w:t>
      </w:r>
      <w:r w:rsidRPr="003F3FB4">
        <w:rPr>
          <w:rFonts w:ascii="Times New Roman" w:eastAsia="Times New Roman" w:hAnsi="Times New Roman" w:cs="Times New Roman"/>
          <w:bCs/>
          <w:noProof/>
          <w:color w:val="000000" w:themeColor="text1"/>
          <w:sz w:val="24"/>
          <w:szCs w:val="24"/>
          <w:lang w:val="en-US" w:eastAsia="de-DE"/>
        </w:rPr>
        <w:t>Kemp and Bashir, 1997</w:t>
      </w:r>
      <w:r w:rsidR="0084356E" w:rsidRPr="003F3FB4">
        <w:rPr>
          <w:rFonts w:ascii="Times New Roman" w:eastAsia="Times New Roman" w:hAnsi="Times New Roman" w:cs="Times New Roman"/>
          <w:bCs/>
          <w:noProof/>
          <w:color w:val="000000" w:themeColor="text1"/>
          <w:sz w:val="24"/>
          <w:szCs w:val="24"/>
          <w:lang w:val="en-US" w:eastAsia="de-DE"/>
        </w:rPr>
        <w:t xml:space="preserve">; Kemp </w:t>
      </w:r>
      <w:r w:rsidR="0084356E" w:rsidRPr="003F3FB4">
        <w:rPr>
          <w:rFonts w:ascii="Times New Roman" w:eastAsia="Times New Roman" w:hAnsi="Times New Roman" w:cs="Times New Roman"/>
          <w:bCs/>
          <w:i/>
          <w:noProof/>
          <w:color w:val="000000" w:themeColor="text1"/>
          <w:sz w:val="24"/>
          <w:szCs w:val="24"/>
          <w:lang w:val="en-US" w:eastAsia="de-DE"/>
        </w:rPr>
        <w:t>et al</w:t>
      </w:r>
      <w:r w:rsidR="0084356E" w:rsidRPr="003F3FB4">
        <w:rPr>
          <w:rFonts w:ascii="Times New Roman" w:eastAsia="Times New Roman" w:hAnsi="Times New Roman" w:cs="Times New Roman"/>
          <w:bCs/>
          <w:noProof/>
          <w:color w:val="000000" w:themeColor="text1"/>
          <w:sz w:val="24"/>
          <w:szCs w:val="24"/>
          <w:lang w:val="en-US" w:eastAsia="de-DE"/>
        </w:rPr>
        <w:t>, 2000</w:t>
      </w:r>
      <w:r w:rsidRPr="003F3FB4">
        <w:rPr>
          <w:rFonts w:ascii="Times New Roman" w:eastAsia="Times New Roman" w:hAnsi="Times New Roman" w:cs="Times New Roman"/>
          <w:bCs/>
          <w:noProof/>
          <w:color w:val="000000" w:themeColor="text1"/>
          <w:sz w:val="24"/>
          <w:szCs w:val="24"/>
          <w:lang w:val="en-US" w:eastAsia="de-DE"/>
        </w:rPr>
        <w:t>)</w:t>
      </w:r>
      <w:r w:rsidRPr="003F3FB4">
        <w:rPr>
          <w:rFonts w:ascii="Times New Roman" w:eastAsia="Times New Roman" w:hAnsi="Times New Roman" w:cs="Times New Roman"/>
          <w:bCs/>
          <w:color w:val="000000" w:themeColor="text1"/>
          <w:sz w:val="24"/>
          <w:szCs w:val="24"/>
          <w:lang w:val="en-US" w:eastAsia="de-DE"/>
        </w:rPr>
        <w:fldChar w:fldCharType="end"/>
      </w:r>
      <w:r w:rsidRPr="003F3FB4">
        <w:rPr>
          <w:rFonts w:ascii="Times New Roman" w:eastAsia="Times New Roman" w:hAnsi="Times New Roman" w:cs="Times New Roman"/>
          <w:bCs/>
          <w:color w:val="000000" w:themeColor="text1"/>
          <w:sz w:val="24"/>
          <w:szCs w:val="24"/>
          <w:lang w:val="en-US" w:eastAsia="de-DE"/>
        </w:rPr>
        <w:t>. In inhibitory long-term depression (iLTD) experiments and for recording of spontaneous (s) IPSCs, neurons were held at +10 mV and the recording pipette was filled with (in mM): Cs-methanesulfonate 133, NaCl 20, MgCl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1, CaCl</w:t>
      </w:r>
      <w:r w:rsidRPr="003F3FB4">
        <w:rPr>
          <w:rFonts w:ascii="Times New Roman" w:eastAsia="Times New Roman" w:hAnsi="Times New Roman" w:cs="Times New Roman"/>
          <w:bCs/>
          <w:color w:val="000000" w:themeColor="text1"/>
          <w:sz w:val="24"/>
          <w:szCs w:val="24"/>
          <w:vertAlign w:val="sub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0.3, EGTA 1, HEPES 10, Mg-ATP 2, Na-GTP 0.3, glucose 10, adjusted with CsOH to a pH of 7.3. The stimulus intensity was set to evoke IPSC amplitudes of 50–70% of the maximum response during baseline recordings. iLTD was induced by application of 2 trains of 100 pulses at 100 Hz with 20 s inter-train intervals </w:t>
      </w:r>
      <w:r w:rsidRPr="003F3FB4">
        <w:rPr>
          <w:rFonts w:ascii="Times New Roman" w:eastAsia="Times New Roman" w:hAnsi="Times New Roman" w:cs="Times New Roman"/>
          <w:bCs/>
          <w:color w:val="000000" w:themeColor="text1"/>
          <w:sz w:val="24"/>
          <w:szCs w:val="24"/>
          <w:lang w:val="en-US" w:eastAsia="de-DE"/>
        </w:rPr>
        <w:fldChar w:fldCharType="begin" w:fldLock="1"/>
      </w:r>
      <w:r w:rsidRPr="003F3FB4">
        <w:rPr>
          <w:rFonts w:ascii="Times New Roman" w:eastAsia="Times New Roman" w:hAnsi="Times New Roman" w:cs="Times New Roman"/>
          <w:bCs/>
          <w:color w:val="000000" w:themeColor="text1"/>
          <w:sz w:val="24"/>
          <w:szCs w:val="24"/>
          <w:lang w:val="en-US" w:eastAsia="de-DE"/>
        </w:rPr>
        <w:instrText>ADDIN CSL_CITATION { "citationItems" : [ { "id" : "ITEM-1", "itemData" : { "DOI" : "10.1016/S0896-6273(03)00235-6", "ISBN" : "0896-6273 (Print)\\n0896-6273 (Linking)", "ISSN" : "08966273", "PMID" : "12741992", "abstract" : "Neuronal excitability and long-term synaptic plasticity at excitatory synapses are critically dependent on the level of inhibition, and accordingly, changes of inhibitory synaptic efficacy should have great impact on neuronal function and neural network processing. We describe here a form of activity-dependent long-term depression at hippocampal inhibitory synapses that is triggered postsynaptically via glutamate receptor activation but is expressed presynaptically. That is, glutamate released by repetitive activation of Schaffer collaterals activates group I metabotropic glutamate receptors at CA1 pyramidal cells, triggering a persistent reduction of GABA release that is mediated by endocannabinoids. This heterosynaptic form of plasticity is involved in changes of pyramidal cell excitability associated with long-term potentiation at excitatory synapses and could account for the effects of cannabinoids on learning and memory.", "author" : [ { "dropping-particle" : "", "family" : "Chevaleyre", "given" : "Vivien", "non-dropping-particle" : "", "parse-names" : false, "suffix" : "" }, { "dropping-particle" : "", "family" : "Castillo", "given" : "Pablo E.", "non-dropping-particle" : "", "parse-names" : false, "suffix" : "" } ], "container-title" : "Neuron", "id" : "ITEM-1", "issue" : "3", "issued" : { "date-parts" : [ [ "2003" ] ] }, "page" : "461-472", "title" : "Heterosynaptic LTD of hippocampal GABAergic synapses: A novel role of endocannabinoids in regulating excitability", "type" : "article-journal", "volume" : "38" }, "uris" : [ "http://www.mendeley.com/documents/?uuid=aa92fc38-627e-4b3e-ae1d-3de2ad518785" ] } ], "mendeley" : { "formattedCitation" : "(Chevaleyre and Castillo, 2003)", "plainTextFormattedCitation" : "(Chevaleyre and Castillo, 2003)", "previouslyFormattedCitation" : "(Chevaleyre and Castillo, 2003)" }, "properties" : { "noteIndex" : 0 }, "schema" : "https://github.com/citation-style-language/schema/raw/master/csl-citation.json" }</w:instrText>
      </w:r>
      <w:r w:rsidRPr="003F3FB4">
        <w:rPr>
          <w:rFonts w:ascii="Times New Roman" w:eastAsia="Times New Roman" w:hAnsi="Times New Roman" w:cs="Times New Roman"/>
          <w:bCs/>
          <w:color w:val="000000" w:themeColor="text1"/>
          <w:sz w:val="24"/>
          <w:szCs w:val="24"/>
          <w:lang w:val="en-US" w:eastAsia="de-DE"/>
        </w:rPr>
        <w:fldChar w:fldCharType="separate"/>
      </w:r>
      <w:r w:rsidRPr="003F3FB4">
        <w:rPr>
          <w:rFonts w:ascii="Times New Roman" w:eastAsia="Times New Roman" w:hAnsi="Times New Roman" w:cs="Times New Roman"/>
          <w:bCs/>
          <w:noProof/>
          <w:color w:val="000000" w:themeColor="text1"/>
          <w:sz w:val="24"/>
          <w:szCs w:val="24"/>
          <w:lang w:val="en-US" w:eastAsia="de-DE"/>
        </w:rPr>
        <w:t>(Chevaleyre and Castillo, 2003)</w:t>
      </w:r>
      <w:r w:rsidRPr="003F3FB4">
        <w:rPr>
          <w:rFonts w:ascii="Times New Roman" w:eastAsia="Times New Roman" w:hAnsi="Times New Roman" w:cs="Times New Roman"/>
          <w:bCs/>
          <w:color w:val="000000" w:themeColor="text1"/>
          <w:sz w:val="24"/>
          <w:szCs w:val="24"/>
          <w:lang w:val="en-US" w:eastAsia="de-DE"/>
        </w:rPr>
        <w:fldChar w:fldCharType="end"/>
      </w:r>
      <w:r w:rsidRPr="003F3FB4">
        <w:rPr>
          <w:rFonts w:ascii="Times New Roman" w:eastAsia="Times New Roman" w:hAnsi="Times New Roman" w:cs="Times New Roman"/>
          <w:bCs/>
          <w:color w:val="000000" w:themeColor="text1"/>
          <w:sz w:val="24"/>
          <w:szCs w:val="24"/>
          <w:lang w:val="en-US" w:eastAsia="de-DE"/>
        </w:rPr>
        <w:t>. Changes in synaptic strength were measured for 30 min after induction. Long-term plasticity was calculated by averaging the responses collected during min 36-40 (LTP or iLTD) or min 46-50 (eLTD) of each experiment. All individual cells recorded were included into analysis and no arbitrary threshold was set to define LTP, eLTD or iLTD. Statistical significance between groups (AAV-WT and AAV-Glu-FAAH) was tested using Student’s test.</w:t>
      </w:r>
      <w:r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Sample traces are averages of 5 to 10 responses, stimulus artefacts are clipped.</w:t>
      </w:r>
    </w:p>
    <w:p w14:paraId="2DC3E8CF" w14:textId="42DB6FBA" w:rsidR="00291141" w:rsidRPr="003F3FB4" w:rsidRDefault="00291141" w:rsidP="00291141">
      <w:pPr>
        <w:spacing w:after="0" w:line="360" w:lineRule="auto"/>
        <w:jc w:val="both"/>
        <w:rPr>
          <w:rFonts w:ascii="Times New Roman" w:eastAsia="Times New Roman" w:hAnsi="Times New Roman" w:cs="Times New Roman"/>
          <w:bCs/>
          <w:color w:val="000000" w:themeColor="text1"/>
          <w:sz w:val="24"/>
          <w:szCs w:val="24"/>
          <w:lang w:val="en-US" w:eastAsia="de-DE"/>
        </w:rPr>
      </w:pPr>
      <w:r w:rsidRPr="003F3FB4">
        <w:rPr>
          <w:rFonts w:ascii="Times New Roman" w:eastAsia="Times New Roman" w:hAnsi="Times New Roman" w:cs="Times New Roman"/>
          <w:bCs/>
          <w:color w:val="000000" w:themeColor="text1"/>
          <w:sz w:val="24"/>
          <w:szCs w:val="24"/>
          <w:lang w:val="en-US" w:eastAsia="de-DE"/>
        </w:rPr>
        <w:t xml:space="preserve">Paired-pulse index (PPI) was investigated by analyzing the ratio of the second to the first synaptic response (EPSC2/EPSC1 or IPSC2/IPSC1) at an inter-stimulus interval of 50 ms (EPSCs) or 100 ms (IPSCs). Statistical significance between groups was tested using two-way RM-ANOVA with </w:t>
      </w:r>
      <w:r w:rsidRPr="003F3FB4">
        <w:rPr>
          <w:rFonts w:ascii="Times New Roman" w:eastAsia="Times New Roman" w:hAnsi="Times New Roman" w:cs="Times New Roman"/>
          <w:bCs/>
          <w:color w:val="000000" w:themeColor="text1"/>
          <w:sz w:val="24"/>
          <w:szCs w:val="24"/>
          <w:lang w:val="en-US" w:eastAsia="de-DE"/>
        </w:rPr>
        <w:lastRenderedPageBreak/>
        <w:t>time (pre vs post) and group (AAV-WT or AAV-Glu-FAAH) as factors followed by post hoc Sidak’s multiple comparison test. The coefficient of variation (CV) was calculated as CV-index: CV</w:t>
      </w:r>
      <w:r w:rsidRPr="003F3FB4">
        <w:rPr>
          <w:rFonts w:ascii="Times New Roman" w:eastAsia="Times New Roman" w:hAnsi="Times New Roman" w:cs="Times New Roman"/>
          <w:bCs/>
          <w:color w:val="000000" w:themeColor="text1"/>
          <w:sz w:val="24"/>
          <w:szCs w:val="24"/>
          <w:vertAlign w:val="superscript"/>
          <w:lang w:val="en-US" w:eastAsia="de-DE"/>
        </w:rPr>
        <w:t>-2</w:t>
      </w:r>
      <w:r w:rsidR="002930B6" w:rsidRPr="003F3FB4">
        <w:rPr>
          <w:rFonts w:ascii="Times New Roman" w:eastAsia="Times New Roman" w:hAnsi="Times New Roman" w:cs="Times New Roman"/>
          <w:bCs/>
          <w:color w:val="000000" w:themeColor="text1"/>
          <w:sz w:val="24"/>
          <w:szCs w:val="24"/>
          <w:vertAlign w:val="superscript"/>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w:t>
      </w:r>
      <w:r w:rsidR="002930B6" w:rsidRPr="003F3FB4">
        <w:rPr>
          <w:rFonts w:ascii="Times New Roman" w:eastAsia="Times New Roman" w:hAnsi="Times New Roman" w:cs="Times New Roman"/>
          <w:bCs/>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(mean of EPSC/SD of EPSC)</w:t>
      </w:r>
      <w:r w:rsidRPr="003F3FB4">
        <w:rPr>
          <w:rFonts w:ascii="Times New Roman" w:eastAsia="Times New Roman" w:hAnsi="Times New Roman" w:cs="Times New Roman"/>
          <w:bCs/>
          <w:color w:val="000000" w:themeColor="text1"/>
          <w:sz w:val="24"/>
          <w:szCs w:val="24"/>
          <w:vertAlign w:val="super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or CV</w:t>
      </w:r>
      <w:r w:rsidRPr="003F3FB4">
        <w:rPr>
          <w:rFonts w:ascii="Times New Roman" w:eastAsia="Times New Roman" w:hAnsi="Times New Roman" w:cs="Times New Roman"/>
          <w:bCs/>
          <w:color w:val="000000" w:themeColor="text1"/>
          <w:sz w:val="24"/>
          <w:szCs w:val="24"/>
          <w:vertAlign w:val="superscript"/>
          <w:lang w:val="en-US" w:eastAsia="de-DE"/>
        </w:rPr>
        <w:t>-2</w:t>
      </w:r>
      <w:r w:rsidR="002930B6" w:rsidRPr="003F3FB4">
        <w:rPr>
          <w:rFonts w:ascii="Times New Roman" w:eastAsia="Times New Roman" w:hAnsi="Times New Roman" w:cs="Times New Roman"/>
          <w:bCs/>
          <w:color w:val="000000" w:themeColor="text1"/>
          <w:sz w:val="24"/>
          <w:szCs w:val="24"/>
          <w:vertAlign w:val="superscript"/>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w:t>
      </w:r>
      <w:r w:rsidR="002930B6" w:rsidRPr="003F3FB4">
        <w:rPr>
          <w:rFonts w:ascii="Times New Roman" w:eastAsia="Times New Roman" w:hAnsi="Times New Roman" w:cs="Times New Roman"/>
          <w:bCs/>
          <w:color w:val="000000" w:themeColor="text1"/>
          <w:sz w:val="24"/>
          <w:szCs w:val="24"/>
          <w:lang w:val="en-US" w:eastAsia="de-DE"/>
        </w:rPr>
        <w:t xml:space="preserve"> </w:t>
      </w:r>
      <w:r w:rsidRPr="003F3FB4">
        <w:rPr>
          <w:rFonts w:ascii="Times New Roman" w:eastAsia="Times New Roman" w:hAnsi="Times New Roman" w:cs="Times New Roman"/>
          <w:bCs/>
          <w:color w:val="000000" w:themeColor="text1"/>
          <w:sz w:val="24"/>
          <w:szCs w:val="24"/>
          <w:lang w:val="en-US" w:eastAsia="de-DE"/>
        </w:rPr>
        <w:t>(mean of IPSC/SD of IPSC)</w:t>
      </w:r>
      <w:r w:rsidRPr="003F3FB4">
        <w:rPr>
          <w:rFonts w:ascii="Times New Roman" w:eastAsia="Times New Roman" w:hAnsi="Times New Roman" w:cs="Times New Roman"/>
          <w:bCs/>
          <w:color w:val="000000" w:themeColor="text1"/>
          <w:sz w:val="24"/>
          <w:szCs w:val="24"/>
          <w:vertAlign w:val="super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from a stable recording period within the last 10 minutes of baseline and LTP or iLTD, respectively. Changes in CV</w:t>
      </w:r>
      <w:r w:rsidRPr="003F3FB4">
        <w:rPr>
          <w:rFonts w:ascii="Times New Roman" w:eastAsia="Times New Roman" w:hAnsi="Times New Roman" w:cs="Times New Roman"/>
          <w:bCs/>
          <w:color w:val="000000" w:themeColor="text1"/>
          <w:sz w:val="24"/>
          <w:szCs w:val="24"/>
          <w:vertAlign w:val="superscript"/>
          <w:lang w:val="en-US" w:eastAsia="de-DE"/>
        </w:rPr>
        <w:t>-2</w:t>
      </w:r>
      <w:r w:rsidRPr="003F3FB4">
        <w:rPr>
          <w:rFonts w:ascii="Times New Roman" w:eastAsia="Times New Roman" w:hAnsi="Times New Roman" w:cs="Times New Roman"/>
          <w:bCs/>
          <w:color w:val="000000" w:themeColor="text1"/>
          <w:sz w:val="24"/>
          <w:szCs w:val="24"/>
          <w:lang w:val="en-US" w:eastAsia="de-DE"/>
        </w:rPr>
        <w:t xml:space="preserve"> were analyzed using paired Student’s test.</w:t>
      </w:r>
    </w:p>
    <w:p w14:paraId="4FC71907" w14:textId="77777777" w:rsidR="00291141" w:rsidRPr="003F3FB4" w:rsidRDefault="00291141" w:rsidP="00291141">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bCs/>
          <w:color w:val="000000" w:themeColor="text1"/>
          <w:sz w:val="24"/>
          <w:szCs w:val="24"/>
          <w:lang w:val="en-US" w:eastAsia="de-DE"/>
        </w:rPr>
        <w:t xml:space="preserve">Detection and analysis of sEPSCs and sIPSCs was done offline using Mini Analysis program (Version 6.0.7, Synaptosoft Inc., Fort Lee, NJ, USA). Detection threshold for amplitude of spontaneous events was set 3 times above root mean square (RMS)-baseline noise level. The baseline noise level was quantified from a recording episode without phasic synaptic currents using the RMS analysis routines packaged with the Mini Analysis program. All events were visually controlled to exclude false-positive events. 1 to 5 min lasting recording episodes were analyzed. 50 consecutive events of each cell were randomly chosen for generation of cumulative histograms and differences in distributions were statistically tested using Kolmogorov-Smirnov test in </w:t>
      </w:r>
      <w:r w:rsidRPr="003F3FB4">
        <w:rPr>
          <w:rFonts w:ascii="Times New Roman" w:eastAsia="Times New Roman" w:hAnsi="Times New Roman" w:cs="Times New Roman"/>
          <w:color w:val="000000" w:themeColor="text1"/>
          <w:sz w:val="24"/>
          <w:szCs w:val="24"/>
          <w:lang w:val="en-US" w:eastAsia="de-DE"/>
        </w:rPr>
        <w:t>GraphPad Prism (Version 6.01, GraphPad Software, La Jolla, CA, USA)</w:t>
      </w:r>
      <w:r w:rsidRPr="003F3FB4">
        <w:rPr>
          <w:rFonts w:ascii="Times New Roman" w:eastAsia="Times New Roman" w:hAnsi="Times New Roman" w:cs="Times New Roman"/>
          <w:bCs/>
          <w:color w:val="000000" w:themeColor="text1"/>
          <w:sz w:val="24"/>
          <w:szCs w:val="24"/>
          <w:lang w:val="en-US" w:eastAsia="de-DE"/>
        </w:rPr>
        <w:t>. To analyze rise and decay times (T</w:t>
      </w:r>
      <w:r w:rsidRPr="003F3FB4">
        <w:rPr>
          <w:rFonts w:ascii="Times New Roman" w:eastAsia="Times New Roman" w:hAnsi="Times New Roman" w:cs="Times New Roman"/>
          <w:bCs/>
          <w:color w:val="000000" w:themeColor="text1"/>
          <w:sz w:val="24"/>
          <w:szCs w:val="24"/>
          <w:vertAlign w:val="subscript"/>
          <w:lang w:val="en-US" w:eastAsia="de-DE"/>
        </w:rPr>
        <w:t>rise</w:t>
      </w:r>
      <w:r w:rsidRPr="003F3FB4">
        <w:rPr>
          <w:rFonts w:ascii="Times New Roman" w:eastAsia="Times New Roman" w:hAnsi="Times New Roman" w:cs="Times New Roman"/>
          <w:bCs/>
          <w:color w:val="000000" w:themeColor="text1"/>
          <w:sz w:val="24"/>
          <w:szCs w:val="24"/>
          <w:lang w:val="en-US" w:eastAsia="de-DE"/>
        </w:rPr>
        <w:t xml:space="preserve"> and T</w:t>
      </w:r>
      <w:r w:rsidRPr="003F3FB4">
        <w:rPr>
          <w:rFonts w:ascii="Times New Roman" w:eastAsia="Times New Roman" w:hAnsi="Times New Roman" w:cs="Times New Roman"/>
          <w:bCs/>
          <w:color w:val="000000" w:themeColor="text1"/>
          <w:sz w:val="24"/>
          <w:szCs w:val="24"/>
          <w:vertAlign w:val="subscript"/>
          <w:lang w:val="en-US" w:eastAsia="de-DE"/>
        </w:rPr>
        <w:t>decay</w:t>
      </w:r>
      <w:r w:rsidRPr="003F3FB4">
        <w:rPr>
          <w:rFonts w:ascii="Times New Roman" w:eastAsia="Times New Roman" w:hAnsi="Times New Roman" w:cs="Times New Roman"/>
          <w:bCs/>
          <w:color w:val="000000" w:themeColor="text1"/>
          <w:sz w:val="24"/>
          <w:szCs w:val="24"/>
          <w:lang w:val="en-US" w:eastAsia="de-DE"/>
        </w:rPr>
        <w:t>), 50 randomly chosen events of each cell that lacked large-amplitude spontaneous currents during the decay phase were averaged for each cell. T</w:t>
      </w:r>
      <w:r w:rsidRPr="003F3FB4">
        <w:rPr>
          <w:rFonts w:ascii="Times New Roman" w:eastAsia="Times New Roman" w:hAnsi="Times New Roman" w:cs="Times New Roman"/>
          <w:bCs/>
          <w:color w:val="000000" w:themeColor="text1"/>
          <w:sz w:val="24"/>
          <w:szCs w:val="24"/>
          <w:vertAlign w:val="subscript"/>
          <w:lang w:val="en-US" w:eastAsia="de-DE"/>
        </w:rPr>
        <w:t>rise</w:t>
      </w:r>
      <w:r w:rsidRPr="003F3FB4">
        <w:rPr>
          <w:rFonts w:ascii="Times New Roman" w:eastAsia="Times New Roman" w:hAnsi="Times New Roman" w:cs="Times New Roman"/>
          <w:bCs/>
          <w:color w:val="000000" w:themeColor="text1"/>
          <w:sz w:val="24"/>
          <w:szCs w:val="24"/>
          <w:lang w:val="en-US" w:eastAsia="de-DE"/>
        </w:rPr>
        <w:t xml:space="preserve"> and T</w:t>
      </w:r>
      <w:r w:rsidRPr="003F3FB4">
        <w:rPr>
          <w:rFonts w:ascii="Times New Roman" w:eastAsia="Times New Roman" w:hAnsi="Times New Roman" w:cs="Times New Roman"/>
          <w:bCs/>
          <w:color w:val="000000" w:themeColor="text1"/>
          <w:sz w:val="24"/>
          <w:szCs w:val="24"/>
          <w:vertAlign w:val="subscript"/>
          <w:lang w:val="en-US" w:eastAsia="de-DE"/>
        </w:rPr>
        <w:t>decay</w:t>
      </w:r>
      <w:r w:rsidRPr="003F3FB4">
        <w:rPr>
          <w:rFonts w:ascii="Times New Roman" w:eastAsia="Times New Roman" w:hAnsi="Times New Roman" w:cs="Times New Roman"/>
          <w:bCs/>
          <w:color w:val="000000" w:themeColor="text1"/>
          <w:sz w:val="24"/>
          <w:szCs w:val="24"/>
          <w:lang w:val="en-US" w:eastAsia="de-DE"/>
        </w:rPr>
        <w:t xml:space="preserve"> were defined as the time between 10 and 90% of the rising phase and the time between 90 and 37% of the decaying phase of the av</w:t>
      </w:r>
      <w:r w:rsidRPr="003F3FB4">
        <w:rPr>
          <w:rFonts w:ascii="Times New Roman" w:eastAsia="Times New Roman" w:hAnsi="Times New Roman" w:cs="Times New Roman"/>
          <w:bCs/>
          <w:color w:val="000000" w:themeColor="text1"/>
          <w:sz w:val="24"/>
          <w:szCs w:val="24"/>
          <w:lang w:val="en-US" w:eastAsia="de-DE"/>
        </w:rPr>
        <w:lastRenderedPageBreak/>
        <w:t>erage sEPSC or sIPSC peak amplitude, respectively, and obtained by fitting the decay phase to a biexponential function using the curve fitting tool packaged with the Mini Analysis program.</w:t>
      </w:r>
    </w:p>
    <w:p w14:paraId="1B390A4A" w14:textId="77777777" w:rsidR="004C5A89" w:rsidRPr="003F3FB4" w:rsidRDefault="004C5A89" w:rsidP="004C5A89">
      <w:pPr>
        <w:spacing w:after="0" w:line="360" w:lineRule="auto"/>
        <w:jc w:val="both"/>
        <w:rPr>
          <w:rFonts w:ascii="Times New Roman" w:eastAsia="Times New Roman" w:hAnsi="Times New Roman" w:cs="Times New Roman"/>
          <w:color w:val="000000" w:themeColor="text1"/>
          <w:sz w:val="24"/>
          <w:szCs w:val="24"/>
          <w:lang w:val="en-US" w:eastAsia="de-DE"/>
        </w:rPr>
      </w:pPr>
    </w:p>
    <w:p w14:paraId="6E6CD101" w14:textId="77777777" w:rsidR="004C5A89" w:rsidRPr="003F3FB4" w:rsidRDefault="004C5A89" w:rsidP="004C5A89">
      <w:pPr>
        <w:spacing w:after="0" w:line="360" w:lineRule="auto"/>
        <w:jc w:val="both"/>
        <w:rPr>
          <w:rFonts w:ascii="Times New Roman" w:eastAsia="Times New Roman" w:hAnsi="Times New Roman" w:cs="Times New Roman"/>
          <w:i/>
          <w:color w:val="000000" w:themeColor="text1"/>
          <w:sz w:val="24"/>
          <w:szCs w:val="24"/>
          <w:lang w:val="en" w:eastAsia="de-DE"/>
        </w:rPr>
      </w:pPr>
    </w:p>
    <w:p w14:paraId="5F9B0A6C" w14:textId="77777777" w:rsidR="00E41118" w:rsidRPr="003F3FB4" w:rsidRDefault="00E41118" w:rsidP="007515A5">
      <w:pPr>
        <w:spacing w:after="0" w:line="360" w:lineRule="auto"/>
        <w:jc w:val="both"/>
        <w:rPr>
          <w:rFonts w:ascii="Times New Roman" w:eastAsia="Times New Roman" w:hAnsi="Times New Roman" w:cs="Times New Roman"/>
          <w:b/>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t>Supplementary References</w:t>
      </w:r>
    </w:p>
    <w:p w14:paraId="2C857CA8" w14:textId="1BBD283B" w:rsidR="004F6BDD" w:rsidRPr="003F3FB4" w:rsidRDefault="004F6BDD" w:rsidP="005949F8">
      <w:pPr>
        <w:widowControl w:val="0"/>
        <w:autoSpaceDE w:val="0"/>
        <w:autoSpaceDN w:val="0"/>
        <w:adjustRightInd w:val="0"/>
        <w:spacing w:after="0" w:line="360" w:lineRule="auto"/>
        <w:ind w:left="288" w:hanging="288"/>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color w:val="000000" w:themeColor="text1"/>
          <w:sz w:val="24"/>
          <w:szCs w:val="24"/>
          <w:lang w:val="en-GB" w:eastAsia="de-DE"/>
        </w:rPr>
        <w:t>Bindila L, Lutz B (2016). Extraction and Simultaneous Quantification of Endocannabinoids and Endocannabinoid-Like Lipids in Biological Tissues. Methods Mol Biol 1412, 9-18.</w:t>
      </w:r>
    </w:p>
    <w:p w14:paraId="59EBC333" w14:textId="73A56E4D" w:rsidR="00E41118" w:rsidRPr="003F3FB4" w:rsidRDefault="00E41118" w:rsidP="005949F8">
      <w:pPr>
        <w:widowControl w:val="0"/>
        <w:autoSpaceDE w:val="0"/>
        <w:autoSpaceDN w:val="0"/>
        <w:adjustRightInd w:val="0"/>
        <w:spacing w:after="0" w:line="360" w:lineRule="auto"/>
        <w:ind w:left="288" w:hanging="288"/>
        <w:jc w:val="both"/>
        <w:rPr>
          <w:rFonts w:ascii="Times New Roman" w:hAnsi="Times New Roman" w:cs="Times New Roman"/>
          <w:noProof/>
          <w:color w:val="000000" w:themeColor="text1"/>
          <w:sz w:val="24"/>
          <w:szCs w:val="24"/>
          <w:lang w:val="en-US"/>
        </w:rPr>
      </w:pPr>
      <w:r w:rsidRPr="003F3FB4">
        <w:rPr>
          <w:rFonts w:ascii="Times New Roman" w:eastAsia="Times New Roman" w:hAnsi="Times New Roman" w:cs="Times New Roman"/>
          <w:color w:val="000000" w:themeColor="text1"/>
          <w:sz w:val="24"/>
          <w:szCs w:val="24"/>
          <w:lang w:val="en-GB" w:eastAsia="de-DE"/>
        </w:rPr>
        <w:fldChar w:fldCharType="begin" w:fldLock="1"/>
      </w:r>
      <w:r w:rsidRPr="003F3FB4">
        <w:rPr>
          <w:rFonts w:ascii="Times New Roman" w:eastAsia="Times New Roman" w:hAnsi="Times New Roman" w:cs="Times New Roman"/>
          <w:color w:val="000000" w:themeColor="text1"/>
          <w:sz w:val="24"/>
          <w:szCs w:val="24"/>
          <w:lang w:val="en-GB" w:eastAsia="de-DE"/>
        </w:rPr>
        <w:instrText xml:space="preserve">ADDIN Mendeley Bibliography CSL_BIBLIOGRAPHY </w:instrText>
      </w:r>
      <w:r w:rsidRPr="003F3FB4">
        <w:rPr>
          <w:rFonts w:ascii="Times New Roman" w:eastAsia="Times New Roman" w:hAnsi="Times New Roman" w:cs="Times New Roman"/>
          <w:color w:val="000000" w:themeColor="text1"/>
          <w:sz w:val="24"/>
          <w:szCs w:val="24"/>
          <w:lang w:val="en-GB" w:eastAsia="de-DE"/>
        </w:rPr>
        <w:fldChar w:fldCharType="separate"/>
      </w:r>
      <w:r w:rsidRPr="003F3FB4">
        <w:rPr>
          <w:rFonts w:ascii="Times New Roman" w:hAnsi="Times New Roman" w:cs="Times New Roman"/>
          <w:noProof/>
          <w:color w:val="000000" w:themeColor="text1"/>
          <w:sz w:val="24"/>
          <w:szCs w:val="24"/>
          <w:lang w:val="en-US"/>
        </w:rPr>
        <w:t xml:space="preserve">Chevaleyre V, Castillo PE (2003). Heterosynaptic LTD of hippocampal GABAergic synapses: A novel role of endocannabinoids in regulating excitability. </w:t>
      </w:r>
      <w:r w:rsidRPr="003F3FB4">
        <w:rPr>
          <w:rFonts w:ascii="Times New Roman" w:hAnsi="Times New Roman" w:cs="Times New Roman"/>
          <w:i/>
          <w:iCs/>
          <w:noProof/>
          <w:color w:val="000000" w:themeColor="text1"/>
          <w:sz w:val="24"/>
          <w:szCs w:val="24"/>
          <w:lang w:val="en-US"/>
        </w:rPr>
        <w:t>Neuron</w:t>
      </w:r>
      <w:r w:rsidRPr="003F3FB4">
        <w:rPr>
          <w:rFonts w:ascii="Times New Roman" w:hAnsi="Times New Roman" w:cs="Times New Roman"/>
          <w:noProof/>
          <w:color w:val="000000" w:themeColor="text1"/>
          <w:sz w:val="24"/>
          <w:szCs w:val="24"/>
          <w:lang w:val="en-US"/>
        </w:rPr>
        <w:t xml:space="preserve"> </w:t>
      </w:r>
      <w:r w:rsidRPr="003F3FB4">
        <w:rPr>
          <w:rFonts w:ascii="Times New Roman" w:hAnsi="Times New Roman" w:cs="Times New Roman"/>
          <w:b/>
          <w:bCs/>
          <w:noProof/>
          <w:color w:val="000000" w:themeColor="text1"/>
          <w:sz w:val="24"/>
          <w:szCs w:val="24"/>
          <w:lang w:val="en-US"/>
        </w:rPr>
        <w:t>38</w:t>
      </w:r>
      <w:r w:rsidRPr="003F3FB4">
        <w:rPr>
          <w:rFonts w:ascii="Times New Roman" w:hAnsi="Times New Roman" w:cs="Times New Roman"/>
          <w:noProof/>
          <w:color w:val="000000" w:themeColor="text1"/>
          <w:sz w:val="24"/>
          <w:szCs w:val="24"/>
          <w:lang w:val="en-US"/>
        </w:rPr>
        <w:t>: 461–472.</w:t>
      </w:r>
    </w:p>
    <w:p w14:paraId="0BC83B73" w14:textId="77777777" w:rsidR="0043597D" w:rsidRPr="003F3FB4" w:rsidRDefault="0043597D" w:rsidP="005949F8">
      <w:pPr>
        <w:widowControl w:val="0"/>
        <w:autoSpaceDE w:val="0"/>
        <w:autoSpaceDN w:val="0"/>
        <w:adjustRightInd w:val="0"/>
        <w:spacing w:after="0" w:line="360" w:lineRule="auto"/>
        <w:ind w:left="288" w:hanging="288"/>
        <w:jc w:val="both"/>
        <w:rPr>
          <w:rFonts w:ascii="Times New Roman" w:hAnsi="Times New Roman" w:cs="Times New Roman"/>
          <w:noProof/>
          <w:color w:val="000000" w:themeColor="text1"/>
          <w:sz w:val="24"/>
          <w:lang w:val="en-US"/>
        </w:rPr>
      </w:pPr>
      <w:r w:rsidRPr="003F3FB4">
        <w:rPr>
          <w:rFonts w:ascii="Times New Roman" w:hAnsi="Times New Roman" w:cs="Times New Roman"/>
          <w:noProof/>
          <w:color w:val="000000" w:themeColor="text1"/>
          <w:sz w:val="24"/>
          <w:lang w:val="en-US"/>
        </w:rPr>
        <w:t>Kemp N, Bashir ZI (1997). NMDA receptor-dependent and -independent long-term depression in the CA1 region of the adult rat hippocampus in vitro. Neuropharmacology 36: 397–9.</w:t>
      </w:r>
    </w:p>
    <w:p w14:paraId="01626E56" w14:textId="1B9D6CF1" w:rsidR="0043597D" w:rsidRPr="003F3FB4" w:rsidRDefault="0043597D" w:rsidP="005949F8">
      <w:pPr>
        <w:widowControl w:val="0"/>
        <w:autoSpaceDE w:val="0"/>
        <w:autoSpaceDN w:val="0"/>
        <w:adjustRightInd w:val="0"/>
        <w:spacing w:after="0" w:line="360" w:lineRule="auto"/>
        <w:ind w:left="288" w:hanging="288"/>
        <w:jc w:val="both"/>
        <w:rPr>
          <w:rFonts w:ascii="Times New Roman" w:hAnsi="Times New Roman" w:cs="Times New Roman"/>
          <w:noProof/>
          <w:color w:val="000000" w:themeColor="text1"/>
          <w:sz w:val="24"/>
        </w:rPr>
      </w:pPr>
      <w:r w:rsidRPr="003F3FB4">
        <w:rPr>
          <w:rFonts w:ascii="Times New Roman" w:hAnsi="Times New Roman" w:cs="Times New Roman"/>
          <w:noProof/>
          <w:color w:val="000000" w:themeColor="text1"/>
          <w:sz w:val="24"/>
          <w:lang w:val="en-US"/>
        </w:rPr>
        <w:t xml:space="preserve">Kemp N, McQueen J, Faulkes S, Bashir ZI (2000). Different forms of LTD in the CA1 region of the hippocampus: role of age and stimulus protocol. </w:t>
      </w:r>
      <w:r w:rsidRPr="003F3FB4">
        <w:rPr>
          <w:rFonts w:ascii="Times New Roman" w:hAnsi="Times New Roman" w:cs="Times New Roman"/>
          <w:noProof/>
          <w:color w:val="000000" w:themeColor="text1"/>
          <w:sz w:val="24"/>
        </w:rPr>
        <w:t>Eur J Neurosci 12: 360–6.</w:t>
      </w:r>
    </w:p>
    <w:p w14:paraId="44AC5FEE" w14:textId="77777777" w:rsidR="00CF4B1B" w:rsidRPr="003F3FB4" w:rsidRDefault="00E41118" w:rsidP="005949F8">
      <w:pPr>
        <w:spacing w:after="0" w:line="360" w:lineRule="auto"/>
        <w:ind w:left="288" w:hanging="288"/>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color w:val="000000" w:themeColor="text1"/>
          <w:sz w:val="24"/>
          <w:szCs w:val="24"/>
          <w:lang w:val="en-GB" w:eastAsia="de-DE"/>
        </w:rPr>
        <w:fldChar w:fldCharType="end"/>
      </w:r>
      <w:r w:rsidR="00CF4B1B" w:rsidRPr="003F3FB4">
        <w:rPr>
          <w:rFonts w:ascii="Times New Roman" w:eastAsia="Times New Roman" w:hAnsi="Times New Roman" w:cs="Times New Roman"/>
          <w:color w:val="000000" w:themeColor="text1"/>
          <w:sz w:val="24"/>
          <w:szCs w:val="24"/>
          <w:lang w:val="en-GB" w:eastAsia="de-DE"/>
        </w:rPr>
        <w:br w:type="page"/>
      </w:r>
    </w:p>
    <w:p w14:paraId="23E91696" w14:textId="77777777" w:rsidR="00606E2F" w:rsidRPr="003F3FB4" w:rsidRDefault="00606E2F" w:rsidP="00606E2F">
      <w:pPr>
        <w:spacing w:after="0" w:line="360" w:lineRule="auto"/>
        <w:jc w:val="both"/>
        <w:rPr>
          <w:rFonts w:ascii="Times New Roman" w:eastAsia="Times New Roman" w:hAnsi="Times New Roman" w:cs="Times New Roman"/>
          <w:b/>
          <w:color w:val="000000" w:themeColor="text1"/>
          <w:sz w:val="24"/>
          <w:szCs w:val="24"/>
          <w:lang w:val="en-US" w:eastAsia="de-DE"/>
        </w:rPr>
      </w:pPr>
      <w:r w:rsidRPr="003F3FB4">
        <w:rPr>
          <w:rFonts w:ascii="Times New Roman" w:eastAsia="Times New Roman" w:hAnsi="Times New Roman" w:cs="Times New Roman"/>
          <w:b/>
          <w:color w:val="000000" w:themeColor="text1"/>
          <w:sz w:val="24"/>
          <w:szCs w:val="24"/>
          <w:lang w:val="en-US" w:eastAsia="de-DE"/>
        </w:rPr>
        <w:lastRenderedPageBreak/>
        <w:t>Supplementary Figure 1</w:t>
      </w:r>
    </w:p>
    <w:p w14:paraId="40144C43" w14:textId="77777777" w:rsidR="00AB5AE5" w:rsidRPr="003F3FB4" w:rsidRDefault="00AB5AE5" w:rsidP="00606E2F">
      <w:pPr>
        <w:spacing w:after="0" w:line="360" w:lineRule="auto"/>
        <w:jc w:val="both"/>
        <w:rPr>
          <w:rFonts w:ascii="Times New Roman" w:eastAsia="Times New Roman" w:hAnsi="Times New Roman" w:cs="Times New Roman"/>
          <w:b/>
          <w:color w:val="000000" w:themeColor="text1"/>
          <w:sz w:val="24"/>
          <w:szCs w:val="24"/>
          <w:lang w:val="en-US" w:eastAsia="de-DE"/>
        </w:rPr>
      </w:pPr>
    </w:p>
    <w:p w14:paraId="65BE8306" w14:textId="77777777" w:rsidR="00E41118" w:rsidRPr="003F3FB4" w:rsidRDefault="00AB5AE5" w:rsidP="007515A5">
      <w:pPr>
        <w:spacing w:after="0" w:line="360" w:lineRule="auto"/>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noProof/>
          <w:color w:val="000000" w:themeColor="text1"/>
          <w:sz w:val="24"/>
          <w:szCs w:val="24"/>
          <w:lang w:eastAsia="de-DE"/>
        </w:rPr>
        <w:drawing>
          <wp:inline distT="0" distB="0" distL="0" distR="0" wp14:anchorId="06EFBD39" wp14:editId="363AFAD1">
            <wp:extent cx="5145024" cy="2023872"/>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 1 April 20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5024" cy="2023872"/>
                    </a:xfrm>
                    <a:prstGeom prst="rect">
                      <a:avLst/>
                    </a:prstGeom>
                  </pic:spPr>
                </pic:pic>
              </a:graphicData>
            </a:graphic>
          </wp:inline>
        </w:drawing>
      </w:r>
    </w:p>
    <w:p w14:paraId="58B57178" w14:textId="77777777" w:rsidR="00AA7EB8" w:rsidRPr="003F3FB4" w:rsidRDefault="00AA7EB8" w:rsidP="00AA7EB8">
      <w:pPr>
        <w:spacing w:after="0" w:line="360" w:lineRule="auto"/>
        <w:jc w:val="both"/>
        <w:rPr>
          <w:rFonts w:ascii="Times New Roman" w:eastAsia="Times New Roman" w:hAnsi="Times New Roman" w:cs="Times New Roman"/>
          <w:color w:val="000000" w:themeColor="text1"/>
          <w:sz w:val="24"/>
          <w:szCs w:val="24"/>
          <w:lang w:val="en-GB" w:eastAsia="de-DE"/>
        </w:rPr>
      </w:pPr>
    </w:p>
    <w:p w14:paraId="43CEDED6" w14:textId="77777777" w:rsidR="00AA7EB8" w:rsidRPr="003F3FB4" w:rsidRDefault="00AA7EB8" w:rsidP="00AA7EB8">
      <w:pPr>
        <w:spacing w:after="0" w:line="360" w:lineRule="auto"/>
        <w:jc w:val="both"/>
        <w:rPr>
          <w:rFonts w:ascii="Times New Roman" w:eastAsia="Times New Roman" w:hAnsi="Times New Roman" w:cs="Times New Roman"/>
          <w:color w:val="000000" w:themeColor="text1"/>
          <w:sz w:val="24"/>
          <w:szCs w:val="24"/>
          <w:lang w:val="en-GB" w:eastAsia="de-DE"/>
        </w:rPr>
      </w:pPr>
    </w:p>
    <w:p w14:paraId="72479433" w14:textId="77777777" w:rsidR="00AA7EB8" w:rsidRPr="003F3FB4" w:rsidRDefault="00AA7EB8" w:rsidP="00AA7EB8">
      <w:pPr>
        <w:spacing w:after="0" w:line="360" w:lineRule="auto"/>
        <w:jc w:val="both"/>
        <w:rPr>
          <w:rFonts w:ascii="Times New Roman" w:eastAsia="Times New Roman" w:hAnsi="Times New Roman" w:cs="Times New Roman"/>
          <w:color w:val="000000" w:themeColor="text1"/>
          <w:sz w:val="24"/>
          <w:szCs w:val="24"/>
          <w:lang w:val="en-GB" w:eastAsia="de-DE"/>
        </w:rPr>
      </w:pPr>
    </w:p>
    <w:p w14:paraId="3F0D6E46" w14:textId="77777777" w:rsidR="00E41118" w:rsidRPr="003F3FB4" w:rsidRDefault="00AA7EB8" w:rsidP="003A0585">
      <w:pPr>
        <w:spacing w:after="0" w:line="240" w:lineRule="auto"/>
        <w:jc w:val="both"/>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b/>
          <w:color w:val="000000" w:themeColor="text1"/>
          <w:sz w:val="24"/>
          <w:szCs w:val="24"/>
          <w:lang w:val="en-GB" w:eastAsia="de-DE"/>
        </w:rPr>
        <w:t>Supplementary Figure S1</w:t>
      </w:r>
      <w:r w:rsidR="003679BF" w:rsidRPr="003F3FB4">
        <w:rPr>
          <w:rFonts w:ascii="Times New Roman" w:eastAsia="Times New Roman" w:hAnsi="Times New Roman" w:cs="Times New Roman"/>
          <w:b/>
          <w:color w:val="000000" w:themeColor="text1"/>
          <w:sz w:val="24"/>
          <w:szCs w:val="24"/>
          <w:lang w:val="en-GB" w:eastAsia="de-DE"/>
        </w:rPr>
        <w:t>:</w:t>
      </w:r>
      <w:r w:rsidR="001B3F72" w:rsidRPr="003F3FB4">
        <w:rPr>
          <w:rFonts w:ascii="Times New Roman" w:eastAsia="Times New Roman" w:hAnsi="Times New Roman" w:cs="Times New Roman"/>
          <w:b/>
          <w:color w:val="000000" w:themeColor="text1"/>
          <w:sz w:val="24"/>
          <w:szCs w:val="24"/>
          <w:lang w:val="en-GB" w:eastAsia="de-DE"/>
        </w:rPr>
        <w:t xml:space="preserve"> </w:t>
      </w:r>
      <w:r w:rsidRPr="003F3FB4">
        <w:rPr>
          <w:rFonts w:ascii="Times New Roman" w:eastAsia="Times New Roman" w:hAnsi="Times New Roman" w:cs="Times New Roman"/>
          <w:color w:val="000000" w:themeColor="text1"/>
          <w:sz w:val="24"/>
          <w:szCs w:val="24"/>
          <w:lang w:val="en-GB" w:eastAsia="de-DE"/>
        </w:rPr>
        <w:t>Overexpression of fatty acid amide hydrolase (FAAH) in HEK293 cells leads to increased degradation of anandamide (AEA) and palmitoylethanolamide (PEA). LC-MS/MS analysis of FAAH-overexpressing HEK293 cells revealed decreased levels of AEA, PEA, and AA levels 60 hours after co-transfection of Stop-FAAH and Cre recombinase expression plasmids as compared to control cells, containing only Cre recombinase expression plasmid. 2-AG levels were not significantly altered. *p&lt;0.05, **p&lt;0.01, ***p&lt;0.001, Student´s t-test. Data are represented as mean (n=6) ± SEM.</w:t>
      </w:r>
    </w:p>
    <w:p w14:paraId="014C561D" w14:textId="77777777" w:rsidR="00AA7EB8" w:rsidRPr="003F3FB4" w:rsidRDefault="00AA7EB8">
      <w:pPr>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color w:val="000000" w:themeColor="text1"/>
          <w:sz w:val="24"/>
          <w:szCs w:val="24"/>
          <w:lang w:val="en-GB" w:eastAsia="de-DE"/>
        </w:rPr>
        <w:br w:type="page"/>
      </w:r>
    </w:p>
    <w:p w14:paraId="6890527A" w14:textId="77777777" w:rsidR="00E41118" w:rsidRDefault="00280903" w:rsidP="007515A5">
      <w:pPr>
        <w:spacing w:after="0" w:line="360" w:lineRule="auto"/>
        <w:jc w:val="both"/>
        <w:rPr>
          <w:rFonts w:ascii="Times New Roman" w:eastAsia="Times New Roman" w:hAnsi="Times New Roman" w:cs="Times New Roman"/>
          <w:b/>
          <w:color w:val="000000" w:themeColor="text1"/>
          <w:sz w:val="24"/>
          <w:szCs w:val="24"/>
          <w:lang w:val="en-US" w:eastAsia="de-DE"/>
        </w:rPr>
      </w:pPr>
      <w:r w:rsidRPr="003F3FB4">
        <w:rPr>
          <w:rFonts w:ascii="Times New Roman" w:eastAsia="Times New Roman" w:hAnsi="Times New Roman" w:cs="Times New Roman"/>
          <w:b/>
          <w:color w:val="000000" w:themeColor="text1"/>
          <w:sz w:val="24"/>
          <w:szCs w:val="24"/>
          <w:lang w:val="en-US" w:eastAsia="de-DE"/>
        </w:rPr>
        <w:lastRenderedPageBreak/>
        <w:t>Supplementary Figure 2</w:t>
      </w:r>
    </w:p>
    <w:p w14:paraId="6A42B13F" w14:textId="77777777" w:rsidR="00AC5385" w:rsidRPr="003F3FB4" w:rsidRDefault="00AC5385" w:rsidP="007515A5">
      <w:pPr>
        <w:spacing w:after="0" w:line="360" w:lineRule="auto"/>
        <w:jc w:val="both"/>
        <w:rPr>
          <w:rFonts w:ascii="Times New Roman" w:eastAsia="Times New Roman" w:hAnsi="Times New Roman" w:cs="Times New Roman"/>
          <w:b/>
          <w:color w:val="000000" w:themeColor="text1"/>
          <w:sz w:val="24"/>
          <w:szCs w:val="24"/>
          <w:lang w:val="en-US" w:eastAsia="de-DE"/>
        </w:rPr>
      </w:pPr>
    </w:p>
    <w:p w14:paraId="03B8F827" w14:textId="77777777" w:rsidR="00165AAC" w:rsidRPr="003F3FB4" w:rsidRDefault="00165AAC" w:rsidP="007515A5">
      <w:pPr>
        <w:spacing w:after="0" w:line="360" w:lineRule="auto"/>
        <w:jc w:val="both"/>
        <w:rPr>
          <w:rFonts w:ascii="Times New Roman" w:eastAsia="Times New Roman" w:hAnsi="Times New Roman" w:cs="Times New Roman"/>
          <w:color w:val="000000" w:themeColor="text1"/>
          <w:sz w:val="24"/>
          <w:szCs w:val="24"/>
          <w:lang w:val="en-GB" w:eastAsia="de-DE"/>
        </w:rPr>
      </w:pPr>
    </w:p>
    <w:p w14:paraId="6A14A956" w14:textId="57E8BAF3" w:rsidR="00DC4D37" w:rsidRPr="003F3FB4" w:rsidRDefault="00CA22A3" w:rsidP="007515A5">
      <w:pPr>
        <w:spacing w:after="0" w:line="360" w:lineRule="auto"/>
        <w:jc w:val="both"/>
        <w:rPr>
          <w:rFonts w:ascii="Times New Roman" w:eastAsia="Times New Roman" w:hAnsi="Times New Roman" w:cs="Times New Roman"/>
          <w:color w:val="000000" w:themeColor="text1"/>
          <w:sz w:val="24"/>
          <w:szCs w:val="24"/>
          <w:lang w:val="en-GB" w:eastAsia="de-DE"/>
        </w:rPr>
      </w:pPr>
      <w:r>
        <w:rPr>
          <w:rFonts w:ascii="Times New Roman" w:eastAsia="Times New Roman" w:hAnsi="Times New Roman" w:cs="Times New Roman"/>
          <w:noProof/>
          <w:color w:val="000000" w:themeColor="text1"/>
          <w:sz w:val="24"/>
          <w:szCs w:val="24"/>
          <w:lang w:eastAsia="de-DE"/>
        </w:rPr>
        <w:drawing>
          <wp:inline distT="0" distB="0" distL="0" distR="0" wp14:anchorId="1658D79E" wp14:editId="51E11E3E">
            <wp:extent cx="5760720" cy="32639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ure S2_EL.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263900"/>
                    </a:xfrm>
                    <a:prstGeom prst="rect">
                      <a:avLst/>
                    </a:prstGeom>
                  </pic:spPr>
                </pic:pic>
              </a:graphicData>
            </a:graphic>
          </wp:inline>
        </w:drawing>
      </w:r>
    </w:p>
    <w:p w14:paraId="777BA957" w14:textId="77777777" w:rsidR="00AC5385" w:rsidRDefault="00AC5385" w:rsidP="003A0585">
      <w:pPr>
        <w:spacing w:after="0" w:line="240" w:lineRule="auto"/>
        <w:jc w:val="both"/>
        <w:rPr>
          <w:rFonts w:ascii="Times New Roman" w:eastAsia="Times New Roman" w:hAnsi="Times New Roman" w:cs="Times New Roman"/>
          <w:b/>
          <w:color w:val="000000" w:themeColor="text1"/>
          <w:sz w:val="24"/>
          <w:szCs w:val="24"/>
          <w:lang w:val="en-US" w:eastAsia="de-DE"/>
        </w:rPr>
      </w:pPr>
    </w:p>
    <w:p w14:paraId="6ADC4A1D" w14:textId="77777777" w:rsidR="00C50741" w:rsidRPr="003F3FB4" w:rsidRDefault="00DC4D37" w:rsidP="003A0585">
      <w:pPr>
        <w:spacing w:after="0" w:line="24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b/>
          <w:color w:val="000000" w:themeColor="text1"/>
          <w:sz w:val="24"/>
          <w:szCs w:val="24"/>
          <w:lang w:val="en-US" w:eastAsia="de-DE"/>
        </w:rPr>
        <w:t>Supplementary Figure S</w:t>
      </w:r>
      <w:r w:rsidR="001D1F7B" w:rsidRPr="003F3FB4">
        <w:rPr>
          <w:rFonts w:ascii="Times New Roman" w:eastAsia="Times New Roman" w:hAnsi="Times New Roman" w:cs="Times New Roman"/>
          <w:b/>
          <w:color w:val="000000" w:themeColor="text1"/>
          <w:sz w:val="24"/>
          <w:szCs w:val="24"/>
          <w:lang w:val="en-US" w:eastAsia="de-DE"/>
        </w:rPr>
        <w:t>2</w:t>
      </w:r>
      <w:r w:rsidR="003679BF" w:rsidRPr="003F3FB4">
        <w:rPr>
          <w:rFonts w:ascii="Times New Roman" w:eastAsia="Times New Roman" w:hAnsi="Times New Roman" w:cs="Times New Roman"/>
          <w:b/>
          <w:color w:val="000000" w:themeColor="text1"/>
          <w:sz w:val="24"/>
          <w:szCs w:val="24"/>
          <w:lang w:val="en-US" w:eastAsia="de-DE"/>
        </w:rPr>
        <w:t>:</w:t>
      </w:r>
      <w:r w:rsidRPr="003F3FB4">
        <w:rPr>
          <w:rFonts w:ascii="Times New Roman" w:eastAsia="Times New Roman" w:hAnsi="Times New Roman" w:cs="Times New Roman"/>
          <w:color w:val="000000" w:themeColor="text1"/>
          <w:sz w:val="24"/>
          <w:szCs w:val="24"/>
          <w:lang w:val="en-US" w:eastAsia="de-DE"/>
        </w:rPr>
        <w:t xml:space="preserve"> </w:t>
      </w:r>
      <w:bookmarkStart w:id="0" w:name="_Hlk510134685"/>
      <w:r w:rsidRPr="003F3FB4">
        <w:rPr>
          <w:rFonts w:ascii="Times New Roman" w:eastAsia="Times New Roman" w:hAnsi="Times New Roman" w:cs="Times New Roman"/>
          <w:color w:val="000000" w:themeColor="text1"/>
          <w:sz w:val="24"/>
          <w:szCs w:val="24"/>
          <w:lang w:val="en-US" w:eastAsia="de-DE"/>
        </w:rPr>
        <w:t>FAAH overexpression in hippocampal CA1-CA3 pyramidal neurons increases spontaneous glutamatergic and GABAergic transmission at CA3-CA1 synapses.</w:t>
      </w:r>
      <w:bookmarkEnd w:id="0"/>
      <w:r w:rsidRPr="003F3FB4">
        <w:rPr>
          <w:rFonts w:ascii="Times New Roman" w:eastAsia="Times New Roman" w:hAnsi="Times New Roman" w:cs="Times New Roman"/>
          <w:color w:val="000000" w:themeColor="text1"/>
          <w:sz w:val="24"/>
          <w:szCs w:val="24"/>
          <w:lang w:val="en-US" w:eastAsia="de-DE"/>
        </w:rPr>
        <w:t xml:space="preserve"> </w:t>
      </w:r>
      <w:r w:rsidRPr="003F3FB4">
        <w:rPr>
          <w:rFonts w:ascii="Times New Roman" w:eastAsia="Times New Roman" w:hAnsi="Times New Roman" w:cs="Times New Roman"/>
          <w:b/>
          <w:color w:val="000000" w:themeColor="text1"/>
          <w:sz w:val="24"/>
          <w:szCs w:val="24"/>
          <w:lang w:val="en-US" w:eastAsia="de-DE"/>
        </w:rPr>
        <w:t>(a-d)</w:t>
      </w:r>
      <w:r w:rsidRPr="003F3FB4">
        <w:rPr>
          <w:rFonts w:ascii="Times New Roman" w:eastAsia="Times New Roman" w:hAnsi="Times New Roman" w:cs="Times New Roman"/>
          <w:color w:val="000000" w:themeColor="text1"/>
          <w:sz w:val="24"/>
          <w:szCs w:val="24"/>
          <w:lang w:val="en-US" w:eastAsia="de-DE"/>
        </w:rPr>
        <w:t xml:space="preserve"> Spontaneous glutamatergic synaptic transmission at hippocampal CA3-CA1 synapses. </w:t>
      </w:r>
      <w:r w:rsidRPr="003F3FB4">
        <w:rPr>
          <w:rFonts w:ascii="Times New Roman" w:eastAsia="Times New Roman" w:hAnsi="Times New Roman" w:cs="Times New Roman"/>
          <w:b/>
          <w:color w:val="000000" w:themeColor="text1"/>
          <w:sz w:val="24"/>
          <w:szCs w:val="24"/>
          <w:lang w:val="en-US" w:eastAsia="de-DE"/>
        </w:rPr>
        <w:t>(a)</w:t>
      </w:r>
      <w:r w:rsidRPr="003F3FB4">
        <w:rPr>
          <w:rFonts w:ascii="Times New Roman" w:eastAsia="Times New Roman" w:hAnsi="Times New Roman" w:cs="Times New Roman"/>
          <w:color w:val="000000" w:themeColor="text1"/>
          <w:sz w:val="24"/>
          <w:szCs w:val="24"/>
          <w:lang w:val="en-US" w:eastAsia="de-DE"/>
        </w:rPr>
        <w:t xml:space="preserve"> Example traces of sEPSCs recorded in CA1 pyramidal cells from AAV-WT (top, grey) and AAV-Glu-FAAH (bottom, black) mice. Scale bars, 20 pA, </w:t>
      </w:r>
      <w:r w:rsidR="00212C39" w:rsidRPr="003F3FB4">
        <w:rPr>
          <w:rFonts w:ascii="Times New Roman" w:eastAsia="Times New Roman" w:hAnsi="Times New Roman" w:cs="Times New Roman"/>
          <w:color w:val="000000" w:themeColor="text1"/>
          <w:sz w:val="24"/>
          <w:szCs w:val="24"/>
          <w:lang w:val="en-US" w:eastAsia="de-DE"/>
        </w:rPr>
        <w:t xml:space="preserve">1 </w:t>
      </w:r>
      <w:r w:rsidRPr="003F3FB4">
        <w:rPr>
          <w:rFonts w:ascii="Times New Roman" w:eastAsia="Times New Roman" w:hAnsi="Times New Roman" w:cs="Times New Roman"/>
          <w:color w:val="000000" w:themeColor="text1"/>
          <w:sz w:val="24"/>
          <w:szCs w:val="24"/>
          <w:lang w:val="en-US" w:eastAsia="de-DE"/>
        </w:rPr>
        <w:t xml:space="preserve">s. </w:t>
      </w:r>
      <w:r w:rsidRPr="003F3FB4">
        <w:rPr>
          <w:rFonts w:ascii="Times New Roman" w:eastAsia="Times New Roman" w:hAnsi="Times New Roman" w:cs="Times New Roman"/>
          <w:b/>
          <w:color w:val="000000" w:themeColor="text1"/>
          <w:sz w:val="24"/>
          <w:szCs w:val="24"/>
          <w:lang w:val="en-US" w:eastAsia="de-DE"/>
        </w:rPr>
        <w:t>(b)</w:t>
      </w:r>
      <w:r w:rsidRPr="003F3FB4">
        <w:rPr>
          <w:rFonts w:ascii="Times New Roman" w:eastAsia="Times New Roman" w:hAnsi="Times New Roman" w:cs="Times New Roman"/>
          <w:color w:val="000000" w:themeColor="text1"/>
          <w:sz w:val="24"/>
          <w:szCs w:val="24"/>
          <w:lang w:val="en-US" w:eastAsia="de-DE"/>
        </w:rPr>
        <w:t xml:space="preserve"> Exemplary averaged time courses of sEPSCs (black lines) derived from 50 events (grey lines) from the recordings of cells shown in (a). Scale bars, 20 pA, 10 ms. </w:t>
      </w:r>
      <w:bookmarkStart w:id="1" w:name="_Hlk509749852"/>
      <w:r w:rsidRPr="003F3FB4">
        <w:rPr>
          <w:rFonts w:ascii="Times New Roman" w:eastAsia="Times New Roman" w:hAnsi="Times New Roman" w:cs="Times New Roman"/>
          <w:b/>
          <w:color w:val="000000" w:themeColor="text1"/>
          <w:sz w:val="24"/>
          <w:szCs w:val="24"/>
          <w:lang w:val="en-US" w:eastAsia="de-DE"/>
        </w:rPr>
        <w:t>(c)</w:t>
      </w:r>
      <w:r w:rsidRPr="003F3FB4">
        <w:rPr>
          <w:rFonts w:ascii="Times New Roman" w:eastAsia="Times New Roman" w:hAnsi="Times New Roman" w:cs="Times New Roman"/>
          <w:color w:val="000000" w:themeColor="text1"/>
          <w:sz w:val="24"/>
          <w:szCs w:val="24"/>
          <w:lang w:val="en-US" w:eastAsia="de-DE"/>
        </w:rPr>
        <w:t xml:space="preserve"> Cumulative histogram of sEPSC amplitudes reveals slightly smaller amplitudes in AAV-Glu-FAAH mice (Kolmogorov–Smirnov test, *p&lt;0.05). </w:t>
      </w:r>
      <w:bookmarkEnd w:id="1"/>
      <w:r w:rsidRPr="003F3FB4">
        <w:rPr>
          <w:rFonts w:ascii="Times New Roman" w:eastAsia="Times New Roman" w:hAnsi="Times New Roman" w:cs="Times New Roman"/>
          <w:b/>
          <w:color w:val="000000" w:themeColor="text1"/>
          <w:sz w:val="24"/>
          <w:szCs w:val="24"/>
          <w:lang w:val="en-US" w:eastAsia="de-DE"/>
        </w:rPr>
        <w:t>(d)</w:t>
      </w:r>
      <w:r w:rsidRPr="003F3FB4">
        <w:rPr>
          <w:rFonts w:ascii="Times New Roman" w:eastAsia="Times New Roman" w:hAnsi="Times New Roman" w:cs="Times New Roman"/>
          <w:color w:val="000000" w:themeColor="text1"/>
          <w:sz w:val="24"/>
          <w:szCs w:val="24"/>
          <w:lang w:val="en-US" w:eastAsia="de-DE"/>
        </w:rPr>
        <w:t xml:space="preserve"> Cumulative histogram of sEPSC inter-event intervals reveals decreased inter-event intervals in AAV-Glu-FAAH mice (Kolmogorov–Smirnov test, ***p&lt;0.001). </w:t>
      </w:r>
      <w:r w:rsidRPr="003F3FB4">
        <w:rPr>
          <w:rFonts w:ascii="Times New Roman" w:eastAsia="Times New Roman" w:hAnsi="Times New Roman" w:cs="Times New Roman"/>
          <w:b/>
          <w:color w:val="000000" w:themeColor="text1"/>
          <w:sz w:val="24"/>
          <w:szCs w:val="24"/>
          <w:lang w:val="en-US" w:eastAsia="de-DE"/>
        </w:rPr>
        <w:t>(e-h)</w:t>
      </w:r>
      <w:r w:rsidRPr="003F3FB4">
        <w:rPr>
          <w:rFonts w:ascii="Times New Roman" w:eastAsia="Times New Roman" w:hAnsi="Times New Roman" w:cs="Times New Roman"/>
          <w:color w:val="000000" w:themeColor="text1"/>
          <w:sz w:val="24"/>
          <w:szCs w:val="24"/>
          <w:lang w:val="en-US" w:eastAsia="de-DE"/>
        </w:rPr>
        <w:t xml:space="preserve"> Spontaneous GABAergic synaptic transmission at hippocampal CA3-CA1 synapses. </w:t>
      </w:r>
      <w:r w:rsidRPr="003F3FB4">
        <w:rPr>
          <w:rFonts w:ascii="Times New Roman" w:eastAsia="Times New Roman" w:hAnsi="Times New Roman" w:cs="Times New Roman"/>
          <w:b/>
          <w:color w:val="000000" w:themeColor="text1"/>
          <w:sz w:val="24"/>
          <w:szCs w:val="24"/>
          <w:lang w:val="en-US" w:eastAsia="de-DE"/>
        </w:rPr>
        <w:t>(e)</w:t>
      </w:r>
      <w:r w:rsidRPr="003F3FB4">
        <w:rPr>
          <w:rFonts w:ascii="Times New Roman" w:eastAsia="Times New Roman" w:hAnsi="Times New Roman" w:cs="Times New Roman"/>
          <w:color w:val="000000" w:themeColor="text1"/>
          <w:sz w:val="24"/>
          <w:szCs w:val="24"/>
          <w:lang w:val="en-US" w:eastAsia="de-DE"/>
        </w:rPr>
        <w:t xml:space="preserve"> Example traces of sIPSCs recorded in CA1 pyramidal cells from AAV-WT (top, grey) and AAV-Glu-FAAH (bottom, black) mice. Scale bars, 20 pA, 500 ms. </w:t>
      </w:r>
      <w:r w:rsidRPr="003F3FB4">
        <w:rPr>
          <w:rFonts w:ascii="Times New Roman" w:eastAsia="Times New Roman" w:hAnsi="Times New Roman" w:cs="Times New Roman"/>
          <w:b/>
          <w:color w:val="000000" w:themeColor="text1"/>
          <w:sz w:val="24"/>
          <w:szCs w:val="24"/>
          <w:lang w:val="en-US" w:eastAsia="de-DE"/>
        </w:rPr>
        <w:t>(f)</w:t>
      </w:r>
      <w:r w:rsidRPr="003F3FB4">
        <w:rPr>
          <w:rFonts w:ascii="Times New Roman" w:eastAsia="Times New Roman" w:hAnsi="Times New Roman" w:cs="Times New Roman"/>
          <w:color w:val="000000" w:themeColor="text1"/>
          <w:sz w:val="24"/>
          <w:szCs w:val="24"/>
          <w:lang w:val="en-US" w:eastAsia="de-DE"/>
        </w:rPr>
        <w:t xml:space="preserve"> Exemplary averaged time courses of sIPSCs (black lines) derived from 50 events (grey lines) from the recordings of cells shown in (e). Scale bars, 20 pA, 10 ms. </w:t>
      </w:r>
      <w:r w:rsidRPr="003F3FB4">
        <w:rPr>
          <w:rFonts w:ascii="Times New Roman" w:eastAsia="Times New Roman" w:hAnsi="Times New Roman" w:cs="Times New Roman"/>
          <w:b/>
          <w:color w:val="000000" w:themeColor="text1"/>
          <w:sz w:val="24"/>
          <w:szCs w:val="24"/>
          <w:lang w:val="en-US" w:eastAsia="de-DE"/>
        </w:rPr>
        <w:t>(g)</w:t>
      </w:r>
      <w:r w:rsidRPr="003F3FB4">
        <w:rPr>
          <w:rFonts w:ascii="Times New Roman" w:eastAsia="Times New Roman" w:hAnsi="Times New Roman" w:cs="Times New Roman"/>
          <w:color w:val="000000" w:themeColor="text1"/>
          <w:sz w:val="24"/>
          <w:szCs w:val="24"/>
          <w:lang w:val="en-US" w:eastAsia="de-DE"/>
        </w:rPr>
        <w:t xml:space="preserve"> Cumulative histogram of sIPSC amplitudes in </w:t>
      </w:r>
      <w:r w:rsidRPr="003F3FB4">
        <w:rPr>
          <w:rFonts w:ascii="Times New Roman" w:eastAsia="Times New Roman" w:hAnsi="Times New Roman" w:cs="Times New Roman"/>
          <w:color w:val="000000" w:themeColor="text1"/>
          <w:sz w:val="24"/>
          <w:szCs w:val="24"/>
          <w:lang w:val="en-US" w:eastAsia="de-DE"/>
        </w:rPr>
        <w:lastRenderedPageBreak/>
        <w:t xml:space="preserve">AAV-WT and AAV-Glu-FAAH mice (Kolmogorov–Smirnov test, p=0.19). </w:t>
      </w:r>
      <w:r w:rsidRPr="003F3FB4">
        <w:rPr>
          <w:rFonts w:ascii="Times New Roman" w:eastAsia="Times New Roman" w:hAnsi="Times New Roman" w:cs="Times New Roman"/>
          <w:b/>
          <w:color w:val="000000" w:themeColor="text1"/>
          <w:sz w:val="24"/>
          <w:szCs w:val="24"/>
          <w:lang w:val="en-US" w:eastAsia="de-DE"/>
        </w:rPr>
        <w:t>(h)</w:t>
      </w:r>
      <w:r w:rsidRPr="003F3FB4">
        <w:rPr>
          <w:rFonts w:ascii="Times New Roman" w:eastAsia="Times New Roman" w:hAnsi="Times New Roman" w:cs="Times New Roman"/>
          <w:color w:val="000000" w:themeColor="text1"/>
          <w:sz w:val="24"/>
          <w:szCs w:val="24"/>
          <w:lang w:val="en-US" w:eastAsia="de-DE"/>
        </w:rPr>
        <w:t xml:space="preserve"> Cumulative histogram of sIPSC inter-event intervals reveals decreased inter-event intervals in AAV-Glu-FAAH mice (Kolmogorov–Smirnov test, ***p&lt;0.001). In (c, d, g, h), columns represent mean ± SEM of </w:t>
      </w:r>
      <w:r w:rsidR="00C50741" w:rsidRPr="003F3FB4">
        <w:rPr>
          <w:rFonts w:ascii="Times New Roman" w:eastAsia="Times New Roman" w:hAnsi="Times New Roman" w:cs="Times New Roman"/>
          <w:color w:val="000000" w:themeColor="text1"/>
          <w:sz w:val="24"/>
          <w:szCs w:val="24"/>
          <w:lang w:val="en-US" w:eastAsia="de-DE"/>
        </w:rPr>
        <w:t xml:space="preserve">inter-event intervals or </w:t>
      </w:r>
      <w:r w:rsidRPr="003F3FB4">
        <w:rPr>
          <w:rFonts w:ascii="Times New Roman" w:eastAsia="Times New Roman" w:hAnsi="Times New Roman" w:cs="Times New Roman"/>
          <w:color w:val="000000" w:themeColor="text1"/>
          <w:sz w:val="24"/>
          <w:szCs w:val="24"/>
          <w:lang w:val="en-US" w:eastAsia="de-DE"/>
        </w:rPr>
        <w:t xml:space="preserve">amplitudes </w:t>
      </w:r>
      <w:r w:rsidR="00C50741" w:rsidRPr="003F3FB4">
        <w:rPr>
          <w:rFonts w:ascii="Times New Roman" w:eastAsia="Times New Roman" w:hAnsi="Times New Roman" w:cs="Times New Roman"/>
          <w:color w:val="000000" w:themeColor="text1"/>
          <w:sz w:val="24"/>
          <w:szCs w:val="24"/>
          <w:lang w:val="en-US" w:eastAsia="de-DE"/>
        </w:rPr>
        <w:t>plotted in cumulative histograms</w:t>
      </w:r>
      <w:r w:rsidRPr="003F3FB4">
        <w:rPr>
          <w:rFonts w:ascii="Times New Roman" w:eastAsia="Times New Roman" w:hAnsi="Times New Roman" w:cs="Times New Roman"/>
          <w:color w:val="000000" w:themeColor="text1"/>
          <w:sz w:val="24"/>
          <w:szCs w:val="24"/>
          <w:lang w:val="en-US" w:eastAsia="de-DE"/>
        </w:rPr>
        <w:t>. Numbers indicate the number of recorded cells/animals.</w:t>
      </w:r>
      <w:r w:rsidR="007E196D" w:rsidRPr="003F3FB4">
        <w:rPr>
          <w:rFonts w:ascii="Times New Roman" w:eastAsia="Times New Roman" w:hAnsi="Times New Roman" w:cs="Times New Roman"/>
          <w:color w:val="000000" w:themeColor="text1"/>
          <w:sz w:val="24"/>
          <w:szCs w:val="24"/>
          <w:lang w:val="en-US" w:eastAsia="de-DE"/>
        </w:rPr>
        <w:t xml:space="preserve"> 50 events per cell were analyzed.</w:t>
      </w:r>
    </w:p>
    <w:p w14:paraId="2014253C" w14:textId="77777777" w:rsidR="00E07C47" w:rsidRPr="003F3FB4" w:rsidRDefault="00E07C47">
      <w:pPr>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color w:val="000000" w:themeColor="text1"/>
          <w:sz w:val="24"/>
          <w:szCs w:val="24"/>
          <w:lang w:val="en-US" w:eastAsia="de-DE"/>
        </w:rPr>
        <w:br w:type="page"/>
      </w:r>
    </w:p>
    <w:p w14:paraId="3FE53B73" w14:textId="77777777" w:rsidR="00E41118" w:rsidRPr="003F3FB4" w:rsidRDefault="00E41118" w:rsidP="007515A5">
      <w:pPr>
        <w:spacing w:after="0" w:line="360" w:lineRule="auto"/>
        <w:jc w:val="both"/>
        <w:rPr>
          <w:rFonts w:ascii="Times New Roman" w:eastAsia="Times New Roman" w:hAnsi="Times New Roman" w:cs="Times New Roman"/>
          <w:color w:val="000000" w:themeColor="text1"/>
          <w:sz w:val="24"/>
          <w:szCs w:val="24"/>
          <w:lang w:val="en-US" w:eastAsia="de-DE"/>
        </w:rPr>
      </w:pPr>
      <w:r w:rsidRPr="003F3FB4">
        <w:rPr>
          <w:rFonts w:ascii="Times New Roman" w:eastAsia="Times New Roman" w:hAnsi="Times New Roman" w:cs="Times New Roman"/>
          <w:b/>
          <w:color w:val="000000" w:themeColor="text1"/>
          <w:sz w:val="24"/>
          <w:szCs w:val="24"/>
          <w:lang w:val="en-US" w:eastAsia="de-DE"/>
        </w:rPr>
        <w:lastRenderedPageBreak/>
        <w:t>Supplementary Table S1.</w:t>
      </w:r>
      <w:r w:rsidRPr="003F3FB4">
        <w:rPr>
          <w:rFonts w:ascii="Times New Roman" w:eastAsia="Times New Roman" w:hAnsi="Times New Roman" w:cs="Times New Roman"/>
          <w:color w:val="000000" w:themeColor="text1"/>
          <w:sz w:val="24"/>
          <w:szCs w:val="24"/>
          <w:lang w:val="en-US" w:eastAsia="de-DE"/>
        </w:rPr>
        <w:t xml:space="preserve"> </w:t>
      </w:r>
      <w:bookmarkStart w:id="2" w:name="_Hlk510130976"/>
      <w:r w:rsidRPr="003F3FB4">
        <w:rPr>
          <w:rFonts w:ascii="Times New Roman" w:eastAsia="Times New Roman" w:hAnsi="Times New Roman" w:cs="Times New Roman"/>
          <w:color w:val="000000" w:themeColor="text1"/>
          <w:sz w:val="24"/>
          <w:szCs w:val="24"/>
          <w:lang w:val="en-US" w:eastAsia="de-DE"/>
        </w:rPr>
        <w:t>Passive and active membrane properties of CA1 pyramidal neurons.</w:t>
      </w:r>
      <w:bookmarkEnd w:id="2"/>
    </w:p>
    <w:tbl>
      <w:tblPr>
        <w:tblStyle w:val="Tabellenraster"/>
        <w:tblW w:w="9592"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997"/>
        <w:gridCol w:w="2491"/>
        <w:gridCol w:w="1168"/>
      </w:tblGrid>
      <w:tr w:rsidR="003F3FB4" w:rsidRPr="003F3FB4" w14:paraId="2A0A1FD5" w14:textId="01B9E0A9" w:rsidTr="00887013">
        <w:tc>
          <w:tcPr>
            <w:tcW w:w="3936" w:type="dxa"/>
            <w:tcBorders>
              <w:top w:val="single" w:sz="12" w:space="0" w:color="auto"/>
              <w:bottom w:val="single" w:sz="4" w:space="0" w:color="auto"/>
            </w:tcBorders>
          </w:tcPr>
          <w:p w14:paraId="58267DA6" w14:textId="77777777" w:rsidR="006266B7" w:rsidRPr="003F3FB4" w:rsidRDefault="006266B7" w:rsidP="007515A5">
            <w:pPr>
              <w:spacing w:line="360" w:lineRule="auto"/>
              <w:jc w:val="both"/>
              <w:rPr>
                <w:color w:val="000000" w:themeColor="text1"/>
                <w:sz w:val="24"/>
                <w:szCs w:val="24"/>
                <w:lang w:val="en-US"/>
              </w:rPr>
            </w:pPr>
          </w:p>
        </w:tc>
        <w:tc>
          <w:tcPr>
            <w:tcW w:w="1997" w:type="dxa"/>
            <w:tcBorders>
              <w:top w:val="single" w:sz="12" w:space="0" w:color="auto"/>
              <w:bottom w:val="single" w:sz="4" w:space="0" w:color="auto"/>
            </w:tcBorders>
          </w:tcPr>
          <w:p w14:paraId="57AF1F19" w14:textId="15F965F1"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AAV</w:t>
            </w:r>
            <w:r w:rsidR="0085427E">
              <w:rPr>
                <w:color w:val="000000" w:themeColor="text1"/>
                <w:sz w:val="24"/>
                <w:szCs w:val="24"/>
                <w:lang w:val="en-US"/>
              </w:rPr>
              <w:t>-WT</w:t>
            </w:r>
          </w:p>
        </w:tc>
        <w:tc>
          <w:tcPr>
            <w:tcW w:w="2491" w:type="dxa"/>
            <w:tcBorders>
              <w:top w:val="single" w:sz="12" w:space="0" w:color="auto"/>
              <w:bottom w:val="single" w:sz="4" w:space="0" w:color="auto"/>
            </w:tcBorders>
          </w:tcPr>
          <w:p w14:paraId="7448DB18" w14:textId="1BC88AA5"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AAV-</w:t>
            </w:r>
            <w:r w:rsidR="0085427E">
              <w:rPr>
                <w:color w:val="000000" w:themeColor="text1"/>
                <w:sz w:val="24"/>
                <w:szCs w:val="24"/>
                <w:lang w:val="en-US"/>
              </w:rPr>
              <w:t>Glu-</w:t>
            </w:r>
            <w:r w:rsidRPr="003F3FB4">
              <w:rPr>
                <w:color w:val="000000" w:themeColor="text1"/>
                <w:sz w:val="24"/>
                <w:szCs w:val="24"/>
                <w:lang w:val="en-US"/>
              </w:rPr>
              <w:t>FAAH</w:t>
            </w:r>
          </w:p>
        </w:tc>
        <w:tc>
          <w:tcPr>
            <w:tcW w:w="1168" w:type="dxa"/>
            <w:tcBorders>
              <w:top w:val="single" w:sz="12" w:space="0" w:color="auto"/>
              <w:bottom w:val="single" w:sz="4" w:space="0" w:color="auto"/>
            </w:tcBorders>
          </w:tcPr>
          <w:p w14:paraId="52EC66B8" w14:textId="13D300BF"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unpaired Student’s t test</w:t>
            </w:r>
          </w:p>
        </w:tc>
      </w:tr>
      <w:tr w:rsidR="003F3FB4" w:rsidRPr="003F3FB4" w14:paraId="53A04EB8" w14:textId="522D8AF2" w:rsidTr="00887013">
        <w:tc>
          <w:tcPr>
            <w:tcW w:w="3936" w:type="dxa"/>
            <w:tcBorders>
              <w:top w:val="single" w:sz="4" w:space="0" w:color="auto"/>
            </w:tcBorders>
          </w:tcPr>
          <w:p w14:paraId="6173E872"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resting membrane potential (mV)</w:t>
            </w:r>
          </w:p>
        </w:tc>
        <w:tc>
          <w:tcPr>
            <w:tcW w:w="1997" w:type="dxa"/>
            <w:tcBorders>
              <w:top w:val="single" w:sz="4" w:space="0" w:color="auto"/>
            </w:tcBorders>
          </w:tcPr>
          <w:p w14:paraId="36A954DA"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-67 ± 2</w:t>
            </w:r>
          </w:p>
        </w:tc>
        <w:tc>
          <w:tcPr>
            <w:tcW w:w="2491" w:type="dxa"/>
            <w:tcBorders>
              <w:top w:val="single" w:sz="4" w:space="0" w:color="auto"/>
            </w:tcBorders>
          </w:tcPr>
          <w:p w14:paraId="1928F734"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-68 ± 1</w:t>
            </w:r>
          </w:p>
        </w:tc>
        <w:tc>
          <w:tcPr>
            <w:tcW w:w="1168" w:type="dxa"/>
            <w:tcBorders>
              <w:top w:val="single" w:sz="4" w:space="0" w:color="auto"/>
            </w:tcBorders>
          </w:tcPr>
          <w:p w14:paraId="38383830" w14:textId="6BCBBF55"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p=</w:t>
            </w:r>
            <w:r w:rsidR="00602A9D" w:rsidRPr="003F3FB4">
              <w:rPr>
                <w:color w:val="000000" w:themeColor="text1"/>
                <w:sz w:val="24"/>
                <w:szCs w:val="24"/>
                <w:lang w:val="en-US"/>
              </w:rPr>
              <w:t>0.76</w:t>
            </w:r>
          </w:p>
        </w:tc>
      </w:tr>
      <w:tr w:rsidR="003F3FB4" w:rsidRPr="003F3FB4" w14:paraId="6907BA9A" w14:textId="5FD04DD8" w:rsidTr="00887013">
        <w:tc>
          <w:tcPr>
            <w:tcW w:w="3936" w:type="dxa"/>
          </w:tcPr>
          <w:p w14:paraId="47F8D7F6"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input resistance (M</w:t>
            </w:r>
            <w:r w:rsidRPr="003F3FB4">
              <w:rPr>
                <w:color w:val="000000" w:themeColor="text1"/>
                <w:sz w:val="24"/>
                <w:szCs w:val="24"/>
              </w:rPr>
              <w:t>Ω</w:t>
            </w:r>
            <w:r w:rsidRPr="003F3FB4">
              <w:rPr>
                <w:color w:val="000000" w:themeColor="text1"/>
                <w:sz w:val="24"/>
                <w:szCs w:val="24"/>
                <w:lang w:val="en-US"/>
              </w:rPr>
              <w:t>)</w:t>
            </w:r>
          </w:p>
        </w:tc>
        <w:tc>
          <w:tcPr>
            <w:tcW w:w="1997" w:type="dxa"/>
          </w:tcPr>
          <w:p w14:paraId="3081E085"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53 ± 6</w:t>
            </w:r>
          </w:p>
        </w:tc>
        <w:tc>
          <w:tcPr>
            <w:tcW w:w="2491" w:type="dxa"/>
          </w:tcPr>
          <w:p w14:paraId="018F143B"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52 ± 6</w:t>
            </w:r>
          </w:p>
        </w:tc>
        <w:tc>
          <w:tcPr>
            <w:tcW w:w="1168" w:type="dxa"/>
          </w:tcPr>
          <w:p w14:paraId="55475173" w14:textId="5FF232DD" w:rsidR="006266B7" w:rsidRPr="003F3FB4" w:rsidRDefault="00602A9D" w:rsidP="00887013">
            <w:pPr>
              <w:spacing w:line="360" w:lineRule="auto"/>
              <w:jc w:val="both"/>
              <w:rPr>
                <w:color w:val="000000" w:themeColor="text1"/>
                <w:sz w:val="24"/>
                <w:szCs w:val="24"/>
                <w:lang w:val="en-US"/>
              </w:rPr>
            </w:pPr>
            <w:r w:rsidRPr="003F3FB4">
              <w:rPr>
                <w:color w:val="000000" w:themeColor="text1"/>
                <w:sz w:val="24"/>
                <w:szCs w:val="24"/>
                <w:lang w:val="en-US"/>
              </w:rPr>
              <w:t>p=0.</w:t>
            </w:r>
            <w:r w:rsidR="00887013" w:rsidRPr="003F3FB4">
              <w:rPr>
                <w:color w:val="000000" w:themeColor="text1"/>
                <w:sz w:val="24"/>
                <w:szCs w:val="24"/>
                <w:lang w:val="en-US"/>
              </w:rPr>
              <w:t>87</w:t>
            </w:r>
          </w:p>
        </w:tc>
      </w:tr>
      <w:tr w:rsidR="003F3FB4" w:rsidRPr="003F3FB4" w14:paraId="11654633" w14:textId="2C0C9DE4" w:rsidTr="00887013">
        <w:tc>
          <w:tcPr>
            <w:tcW w:w="3936" w:type="dxa"/>
          </w:tcPr>
          <w:p w14:paraId="688E955D"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membrane time constant (</w:t>
            </w:r>
            <w:r w:rsidRPr="003F3FB4">
              <w:rPr>
                <w:color w:val="000000" w:themeColor="text1"/>
                <w:sz w:val="24"/>
                <w:szCs w:val="24"/>
              </w:rPr>
              <w:t>τ</w:t>
            </w:r>
            <w:r w:rsidRPr="003F3FB4">
              <w:rPr>
                <w:color w:val="000000" w:themeColor="text1"/>
                <w:sz w:val="24"/>
                <w:szCs w:val="24"/>
                <w:lang w:val="en-US"/>
              </w:rPr>
              <w:t xml:space="preserve"> in ms)</w:t>
            </w:r>
          </w:p>
        </w:tc>
        <w:tc>
          <w:tcPr>
            <w:tcW w:w="1997" w:type="dxa"/>
          </w:tcPr>
          <w:p w14:paraId="4104F9E9"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14.8 ± 1.2</w:t>
            </w:r>
          </w:p>
        </w:tc>
        <w:tc>
          <w:tcPr>
            <w:tcW w:w="2491" w:type="dxa"/>
          </w:tcPr>
          <w:p w14:paraId="76F43369"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16.8 ± 1.7</w:t>
            </w:r>
          </w:p>
        </w:tc>
        <w:tc>
          <w:tcPr>
            <w:tcW w:w="1168" w:type="dxa"/>
          </w:tcPr>
          <w:p w14:paraId="7B1209FE" w14:textId="0C0877FA" w:rsidR="006266B7" w:rsidRPr="003F3FB4" w:rsidRDefault="00602A9D" w:rsidP="00887013">
            <w:pPr>
              <w:spacing w:line="360" w:lineRule="auto"/>
              <w:jc w:val="both"/>
              <w:rPr>
                <w:color w:val="000000" w:themeColor="text1"/>
                <w:sz w:val="24"/>
                <w:szCs w:val="24"/>
                <w:lang w:val="en-US"/>
              </w:rPr>
            </w:pPr>
            <w:r w:rsidRPr="003F3FB4">
              <w:rPr>
                <w:color w:val="000000" w:themeColor="text1"/>
                <w:sz w:val="24"/>
                <w:szCs w:val="24"/>
                <w:lang w:val="en-US"/>
              </w:rPr>
              <w:t>p=0.</w:t>
            </w:r>
            <w:r w:rsidR="00887013" w:rsidRPr="003F3FB4">
              <w:rPr>
                <w:color w:val="000000" w:themeColor="text1"/>
                <w:sz w:val="24"/>
                <w:szCs w:val="24"/>
                <w:lang w:val="en-US"/>
              </w:rPr>
              <w:t>38</w:t>
            </w:r>
          </w:p>
        </w:tc>
      </w:tr>
      <w:tr w:rsidR="003F3FB4" w:rsidRPr="003F3FB4" w14:paraId="00E56196" w14:textId="7E165120" w:rsidTr="00887013">
        <w:tc>
          <w:tcPr>
            <w:tcW w:w="3936" w:type="dxa"/>
          </w:tcPr>
          <w:p w14:paraId="7542BA29"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AP threshold (mV)</w:t>
            </w:r>
          </w:p>
        </w:tc>
        <w:tc>
          <w:tcPr>
            <w:tcW w:w="1997" w:type="dxa"/>
          </w:tcPr>
          <w:p w14:paraId="1BECBA79"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-41 ± 2</w:t>
            </w:r>
          </w:p>
        </w:tc>
        <w:tc>
          <w:tcPr>
            <w:tcW w:w="2491" w:type="dxa"/>
          </w:tcPr>
          <w:p w14:paraId="63BA65EF"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-41 ± 2</w:t>
            </w:r>
          </w:p>
        </w:tc>
        <w:tc>
          <w:tcPr>
            <w:tcW w:w="1168" w:type="dxa"/>
          </w:tcPr>
          <w:p w14:paraId="39334292" w14:textId="6A5D1797" w:rsidR="006266B7" w:rsidRPr="003F3FB4" w:rsidRDefault="00602A9D" w:rsidP="00887013">
            <w:pPr>
              <w:spacing w:line="360" w:lineRule="auto"/>
              <w:jc w:val="both"/>
              <w:rPr>
                <w:color w:val="000000" w:themeColor="text1"/>
                <w:sz w:val="24"/>
                <w:szCs w:val="24"/>
                <w:lang w:val="en-US"/>
              </w:rPr>
            </w:pPr>
            <w:r w:rsidRPr="003F3FB4">
              <w:rPr>
                <w:color w:val="000000" w:themeColor="text1"/>
                <w:sz w:val="24"/>
                <w:szCs w:val="24"/>
                <w:lang w:val="en-US"/>
              </w:rPr>
              <w:t>p=0.</w:t>
            </w:r>
            <w:r w:rsidR="00887013" w:rsidRPr="003F3FB4">
              <w:rPr>
                <w:color w:val="000000" w:themeColor="text1"/>
                <w:sz w:val="24"/>
                <w:szCs w:val="24"/>
                <w:lang w:val="en-US"/>
              </w:rPr>
              <w:t>92</w:t>
            </w:r>
          </w:p>
        </w:tc>
      </w:tr>
      <w:tr w:rsidR="003F3FB4" w:rsidRPr="003F3FB4" w14:paraId="6B12ACB8" w14:textId="7E8D9DF2" w:rsidTr="00887013">
        <w:tc>
          <w:tcPr>
            <w:tcW w:w="3936" w:type="dxa"/>
          </w:tcPr>
          <w:p w14:paraId="7ADD7036"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AP height (mV)</w:t>
            </w:r>
          </w:p>
        </w:tc>
        <w:tc>
          <w:tcPr>
            <w:tcW w:w="1997" w:type="dxa"/>
          </w:tcPr>
          <w:p w14:paraId="1C26B4B7"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96 ± 4</w:t>
            </w:r>
          </w:p>
        </w:tc>
        <w:tc>
          <w:tcPr>
            <w:tcW w:w="2491" w:type="dxa"/>
          </w:tcPr>
          <w:p w14:paraId="13EFA17B"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96 ± 3</w:t>
            </w:r>
          </w:p>
        </w:tc>
        <w:tc>
          <w:tcPr>
            <w:tcW w:w="1168" w:type="dxa"/>
          </w:tcPr>
          <w:p w14:paraId="19F154FD" w14:textId="4025417E" w:rsidR="006266B7" w:rsidRPr="003F3FB4" w:rsidRDefault="00602A9D" w:rsidP="00887013">
            <w:pPr>
              <w:spacing w:line="360" w:lineRule="auto"/>
              <w:jc w:val="both"/>
              <w:rPr>
                <w:color w:val="000000" w:themeColor="text1"/>
                <w:sz w:val="24"/>
                <w:szCs w:val="24"/>
                <w:lang w:val="en-US"/>
              </w:rPr>
            </w:pPr>
            <w:r w:rsidRPr="003F3FB4">
              <w:rPr>
                <w:color w:val="000000" w:themeColor="text1"/>
                <w:sz w:val="24"/>
                <w:szCs w:val="24"/>
                <w:lang w:val="en-US"/>
              </w:rPr>
              <w:t>p=0.</w:t>
            </w:r>
            <w:r w:rsidR="00887013" w:rsidRPr="003F3FB4">
              <w:rPr>
                <w:color w:val="000000" w:themeColor="text1"/>
                <w:sz w:val="24"/>
                <w:szCs w:val="24"/>
                <w:lang w:val="en-US"/>
              </w:rPr>
              <w:t>99</w:t>
            </w:r>
          </w:p>
        </w:tc>
      </w:tr>
      <w:tr w:rsidR="003F3FB4" w:rsidRPr="003F3FB4" w14:paraId="78306DD9" w14:textId="5A561BFD" w:rsidTr="00887013">
        <w:tc>
          <w:tcPr>
            <w:tcW w:w="3936" w:type="dxa"/>
          </w:tcPr>
          <w:p w14:paraId="46790229"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AP half-width (ms)</w:t>
            </w:r>
          </w:p>
        </w:tc>
        <w:tc>
          <w:tcPr>
            <w:tcW w:w="1997" w:type="dxa"/>
          </w:tcPr>
          <w:p w14:paraId="2B54A75A"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1.02 ± 0.04</w:t>
            </w:r>
          </w:p>
        </w:tc>
        <w:tc>
          <w:tcPr>
            <w:tcW w:w="2491" w:type="dxa"/>
          </w:tcPr>
          <w:p w14:paraId="69A4F3F8"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1.04 ± 0.03</w:t>
            </w:r>
          </w:p>
        </w:tc>
        <w:tc>
          <w:tcPr>
            <w:tcW w:w="1168" w:type="dxa"/>
          </w:tcPr>
          <w:p w14:paraId="347CADF3" w14:textId="14ADB8ED" w:rsidR="006266B7" w:rsidRPr="003F3FB4" w:rsidRDefault="00602A9D" w:rsidP="00887013">
            <w:pPr>
              <w:spacing w:line="360" w:lineRule="auto"/>
              <w:jc w:val="both"/>
              <w:rPr>
                <w:color w:val="000000" w:themeColor="text1"/>
                <w:sz w:val="24"/>
                <w:szCs w:val="24"/>
                <w:lang w:val="en-US"/>
              </w:rPr>
            </w:pPr>
            <w:r w:rsidRPr="003F3FB4">
              <w:rPr>
                <w:color w:val="000000" w:themeColor="text1"/>
                <w:sz w:val="24"/>
                <w:szCs w:val="24"/>
                <w:lang w:val="en-US"/>
              </w:rPr>
              <w:t>p=0.</w:t>
            </w:r>
            <w:r w:rsidR="00887013" w:rsidRPr="003F3FB4">
              <w:rPr>
                <w:color w:val="000000" w:themeColor="text1"/>
                <w:sz w:val="24"/>
                <w:szCs w:val="24"/>
                <w:lang w:val="en-US"/>
              </w:rPr>
              <w:t>83</w:t>
            </w:r>
          </w:p>
        </w:tc>
      </w:tr>
      <w:tr w:rsidR="003F3FB4" w:rsidRPr="003F3FB4" w14:paraId="7C128EA3" w14:textId="2E2A127A" w:rsidTr="00887013">
        <w:tc>
          <w:tcPr>
            <w:tcW w:w="3936" w:type="dxa"/>
          </w:tcPr>
          <w:p w14:paraId="74F3083A"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sag ratio</w:t>
            </w:r>
          </w:p>
        </w:tc>
        <w:tc>
          <w:tcPr>
            <w:tcW w:w="1997" w:type="dxa"/>
          </w:tcPr>
          <w:p w14:paraId="2A8F9694"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rPr>
              <w:t>0.80 ± 0.02</w:t>
            </w:r>
          </w:p>
        </w:tc>
        <w:tc>
          <w:tcPr>
            <w:tcW w:w="2491" w:type="dxa"/>
          </w:tcPr>
          <w:p w14:paraId="619068D5"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rPr>
              <w:t>0.82 ± 0.01</w:t>
            </w:r>
          </w:p>
        </w:tc>
        <w:tc>
          <w:tcPr>
            <w:tcW w:w="1168" w:type="dxa"/>
          </w:tcPr>
          <w:p w14:paraId="1F13ABF0" w14:textId="4C19CC56" w:rsidR="006266B7" w:rsidRPr="003F3FB4" w:rsidRDefault="00602A9D" w:rsidP="00887013">
            <w:pPr>
              <w:spacing w:line="360" w:lineRule="auto"/>
              <w:jc w:val="both"/>
              <w:rPr>
                <w:color w:val="000000" w:themeColor="text1"/>
                <w:sz w:val="24"/>
                <w:szCs w:val="24"/>
              </w:rPr>
            </w:pPr>
            <w:r w:rsidRPr="003F3FB4">
              <w:rPr>
                <w:color w:val="000000" w:themeColor="text1"/>
                <w:sz w:val="24"/>
                <w:szCs w:val="24"/>
                <w:lang w:val="en-US"/>
              </w:rPr>
              <w:t>p=0.</w:t>
            </w:r>
            <w:r w:rsidR="00887013" w:rsidRPr="003F3FB4">
              <w:rPr>
                <w:color w:val="000000" w:themeColor="text1"/>
                <w:sz w:val="24"/>
                <w:szCs w:val="24"/>
                <w:lang w:val="en-US"/>
              </w:rPr>
              <w:t>48</w:t>
            </w:r>
          </w:p>
        </w:tc>
      </w:tr>
      <w:tr w:rsidR="003F3FB4" w:rsidRPr="003F3FB4" w14:paraId="51846730" w14:textId="50B7D2F4" w:rsidTr="00887013">
        <w:tc>
          <w:tcPr>
            <w:tcW w:w="3936" w:type="dxa"/>
          </w:tcPr>
          <w:p w14:paraId="6EF70C8E"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cells/animals</w:t>
            </w:r>
          </w:p>
        </w:tc>
        <w:tc>
          <w:tcPr>
            <w:tcW w:w="1997" w:type="dxa"/>
          </w:tcPr>
          <w:p w14:paraId="16A9A1D8"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7/5</w:t>
            </w:r>
          </w:p>
        </w:tc>
        <w:tc>
          <w:tcPr>
            <w:tcW w:w="2491" w:type="dxa"/>
          </w:tcPr>
          <w:p w14:paraId="04B2917F" w14:textId="77777777" w:rsidR="006266B7" w:rsidRPr="003F3FB4" w:rsidRDefault="006266B7" w:rsidP="007515A5">
            <w:pPr>
              <w:spacing w:line="360" w:lineRule="auto"/>
              <w:jc w:val="both"/>
              <w:rPr>
                <w:color w:val="000000" w:themeColor="text1"/>
                <w:sz w:val="24"/>
                <w:szCs w:val="24"/>
                <w:lang w:val="en-US"/>
              </w:rPr>
            </w:pPr>
            <w:r w:rsidRPr="003F3FB4">
              <w:rPr>
                <w:color w:val="000000" w:themeColor="text1"/>
                <w:sz w:val="24"/>
                <w:szCs w:val="24"/>
                <w:lang w:val="en-US"/>
              </w:rPr>
              <w:t>8/5</w:t>
            </w:r>
          </w:p>
        </w:tc>
        <w:tc>
          <w:tcPr>
            <w:tcW w:w="1168" w:type="dxa"/>
          </w:tcPr>
          <w:p w14:paraId="3724C065" w14:textId="77777777" w:rsidR="006266B7" w:rsidRPr="003F3FB4" w:rsidRDefault="006266B7" w:rsidP="007515A5">
            <w:pPr>
              <w:spacing w:line="360" w:lineRule="auto"/>
              <w:jc w:val="both"/>
              <w:rPr>
                <w:color w:val="000000" w:themeColor="text1"/>
                <w:sz w:val="24"/>
                <w:szCs w:val="24"/>
                <w:lang w:val="en-US"/>
              </w:rPr>
            </w:pPr>
          </w:p>
        </w:tc>
      </w:tr>
    </w:tbl>
    <w:p w14:paraId="7A711035" w14:textId="77777777" w:rsidR="00E32728" w:rsidRPr="003F3FB4" w:rsidRDefault="00E32728">
      <w:pPr>
        <w:rPr>
          <w:rFonts w:ascii="Times New Roman" w:eastAsia="Times New Roman" w:hAnsi="Times New Roman" w:cs="Times New Roman"/>
          <w:color w:val="000000" w:themeColor="text1"/>
          <w:sz w:val="24"/>
          <w:szCs w:val="24"/>
          <w:lang w:val="en-GB" w:eastAsia="de-DE"/>
        </w:rPr>
      </w:pPr>
      <w:r w:rsidRPr="003F3FB4">
        <w:rPr>
          <w:rFonts w:ascii="Times New Roman" w:eastAsia="Times New Roman" w:hAnsi="Times New Roman" w:cs="Times New Roman"/>
          <w:color w:val="000000" w:themeColor="text1"/>
          <w:sz w:val="24"/>
          <w:szCs w:val="24"/>
          <w:lang w:val="en-GB" w:eastAsia="de-DE"/>
        </w:rPr>
        <w:br w:type="page"/>
      </w:r>
    </w:p>
    <w:p w14:paraId="5F4A7E55" w14:textId="640F1C53" w:rsidR="003777E6" w:rsidRPr="003F3FB4" w:rsidRDefault="003777E6" w:rsidP="003777E6">
      <w:pPr>
        <w:spacing w:after="0" w:line="360" w:lineRule="auto"/>
        <w:jc w:val="both"/>
        <w:rPr>
          <w:rFonts w:ascii="Times New Roman" w:eastAsia="Times New Roman" w:hAnsi="Times New Roman"/>
          <w:color w:val="000000" w:themeColor="text1"/>
          <w:sz w:val="24"/>
          <w:szCs w:val="24"/>
          <w:lang w:val="en-US" w:eastAsia="de-DE"/>
        </w:rPr>
      </w:pPr>
      <w:r w:rsidRPr="003F3FB4">
        <w:rPr>
          <w:rFonts w:ascii="Times New Roman" w:eastAsia="Times New Roman" w:hAnsi="Times New Roman"/>
          <w:b/>
          <w:color w:val="000000" w:themeColor="text1"/>
          <w:sz w:val="24"/>
          <w:szCs w:val="24"/>
          <w:lang w:val="en-US" w:eastAsia="de-DE"/>
        </w:rPr>
        <w:lastRenderedPageBreak/>
        <w:t>Supplementary Table S2.</w:t>
      </w:r>
      <w:r w:rsidRPr="003F3FB4">
        <w:rPr>
          <w:rFonts w:ascii="Times New Roman" w:eastAsia="Times New Roman" w:hAnsi="Times New Roman"/>
          <w:color w:val="000000" w:themeColor="text1"/>
          <w:sz w:val="24"/>
          <w:szCs w:val="24"/>
          <w:lang w:val="en-US" w:eastAsia="de-DE"/>
        </w:rPr>
        <w:t xml:space="preserve"> </w:t>
      </w:r>
      <w:r w:rsidRPr="003F3FB4">
        <w:rPr>
          <w:rFonts w:ascii="Times New Roman" w:hAnsi="Times New Roman"/>
          <w:color w:val="000000" w:themeColor="text1"/>
          <w:sz w:val="24"/>
          <w:szCs w:val="24"/>
          <w:lang w:val="en-US"/>
        </w:rPr>
        <w:t>Statistical Data Analyses (referred to Figure 1f and Figure 5</w:t>
      </w:r>
      <w:r w:rsidR="009873B9" w:rsidRPr="003F3FB4">
        <w:rPr>
          <w:rFonts w:ascii="Times New Roman" w:hAnsi="Times New Roman"/>
          <w:color w:val="000000" w:themeColor="text1"/>
          <w:sz w:val="24"/>
          <w:szCs w:val="24"/>
          <w:lang w:val="en-US"/>
        </w:rPr>
        <w:t>a-k</w:t>
      </w:r>
      <w:r w:rsidRPr="003F3FB4">
        <w:rPr>
          <w:rFonts w:ascii="Times New Roman" w:hAnsi="Times New Roman"/>
          <w:color w:val="000000" w:themeColor="text1"/>
          <w:sz w:val="24"/>
          <w:szCs w:val="24"/>
          <w:lang w:val="en-US"/>
        </w:rPr>
        <w:t>)</w:t>
      </w:r>
    </w:p>
    <w:p w14:paraId="47DD7CB6" w14:textId="77777777" w:rsidR="003777E6" w:rsidRPr="003F3FB4" w:rsidRDefault="003777E6" w:rsidP="003777E6">
      <w:pPr>
        <w:spacing w:after="0" w:line="480" w:lineRule="auto"/>
        <w:jc w:val="both"/>
        <w:outlineLvl w:val="0"/>
        <w:rPr>
          <w:rFonts w:ascii="Times New Roman" w:eastAsia="Times New Roman" w:hAnsi="Times New Roman"/>
          <w:color w:val="000000" w:themeColor="text1"/>
          <w:sz w:val="24"/>
          <w:szCs w:val="24"/>
          <w:lang w:val="en-US" w:eastAsia="de-DE"/>
        </w:rPr>
      </w:pPr>
    </w:p>
    <w:p w14:paraId="1706394C" w14:textId="5BD69C90" w:rsidR="003777E6" w:rsidRPr="003F3FB4" w:rsidRDefault="005949F8" w:rsidP="005949F8">
      <w:pPr>
        <w:spacing w:after="0" w:line="480" w:lineRule="auto"/>
        <w:outlineLvl w:val="0"/>
        <w:rPr>
          <w:rFonts w:ascii="Times New Roman" w:eastAsia="Times New Roman" w:hAnsi="Times New Roman"/>
          <w:color w:val="000000" w:themeColor="text1"/>
          <w:sz w:val="24"/>
          <w:szCs w:val="24"/>
          <w:lang w:eastAsia="de-DE"/>
        </w:rPr>
      </w:pPr>
      <w:r w:rsidRPr="003F3FB4">
        <w:rPr>
          <w:rFonts w:ascii="Times New Roman" w:eastAsia="Times New Roman" w:hAnsi="Times New Roman"/>
          <w:noProof/>
          <w:color w:val="000000" w:themeColor="text1"/>
          <w:sz w:val="24"/>
          <w:szCs w:val="24"/>
          <w:lang w:eastAsia="de-DE"/>
        </w:rPr>
        <w:drawing>
          <wp:inline distT="0" distB="0" distL="0" distR="0" wp14:anchorId="0B0DA468" wp14:editId="7C127A72">
            <wp:extent cx="4247895" cy="3614385"/>
            <wp:effectExtent l="0" t="0" r="635" b="5715"/>
            <wp:docPr id="8" name="Grafik 8" descr="D:\Blutz Daten030718\Publications18\ZimmermannT_FAAH\NPP_Revision_Sept18\Revision_version_120918\Figures_130918\Table S2_mp_C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lutz Daten030718\Publications18\ZimmermannT_FAAH\NPP_Revision_Sept18\Revision_version_120918\Figures_130918\Table S2_mp_C16.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49324" cy="3615601"/>
                    </a:xfrm>
                    <a:prstGeom prst="rect">
                      <a:avLst/>
                    </a:prstGeom>
                    <a:noFill/>
                    <a:ln>
                      <a:noFill/>
                    </a:ln>
                  </pic:spPr>
                </pic:pic>
              </a:graphicData>
            </a:graphic>
          </wp:inline>
        </w:drawing>
      </w:r>
    </w:p>
    <w:p w14:paraId="53412DDB" w14:textId="77777777" w:rsidR="005949F8" w:rsidRPr="003F3FB4" w:rsidRDefault="005949F8" w:rsidP="003777E6">
      <w:pPr>
        <w:spacing w:after="0" w:line="240" w:lineRule="auto"/>
        <w:jc w:val="both"/>
        <w:outlineLvl w:val="0"/>
        <w:rPr>
          <w:rFonts w:ascii="Times New Roman" w:hAnsi="Times New Roman"/>
          <w:color w:val="000000" w:themeColor="text1"/>
          <w:sz w:val="24"/>
          <w:szCs w:val="24"/>
          <w:lang w:val="en"/>
        </w:rPr>
      </w:pPr>
    </w:p>
    <w:p w14:paraId="64D0D0A7" w14:textId="77777777" w:rsidR="003777E6" w:rsidRPr="003F3FB4" w:rsidRDefault="003777E6" w:rsidP="003777E6">
      <w:pPr>
        <w:spacing w:after="0" w:line="240" w:lineRule="auto"/>
        <w:jc w:val="both"/>
        <w:outlineLvl w:val="0"/>
        <w:rPr>
          <w:rFonts w:ascii="Times New Roman" w:eastAsia="Times New Roman" w:hAnsi="Times New Roman"/>
          <w:color w:val="000000" w:themeColor="text1"/>
          <w:sz w:val="24"/>
          <w:szCs w:val="24"/>
          <w:lang w:val="en-US" w:eastAsia="de-DE"/>
        </w:rPr>
      </w:pPr>
      <w:r w:rsidRPr="003F3FB4">
        <w:rPr>
          <w:rFonts w:ascii="Times New Roman" w:hAnsi="Times New Roman"/>
          <w:color w:val="000000" w:themeColor="text1"/>
          <w:sz w:val="24"/>
          <w:szCs w:val="24"/>
          <w:lang w:val="en"/>
        </w:rPr>
        <w:t xml:space="preserve">Unpaired Student's </w:t>
      </w:r>
      <w:r w:rsidRPr="003F3FB4">
        <w:rPr>
          <w:rFonts w:ascii="Times New Roman" w:hAnsi="Times New Roman"/>
          <w:i/>
          <w:iCs/>
          <w:color w:val="000000" w:themeColor="text1"/>
          <w:sz w:val="24"/>
          <w:szCs w:val="24"/>
          <w:lang w:val="en"/>
        </w:rPr>
        <w:t>t</w:t>
      </w:r>
      <w:r w:rsidRPr="003F3FB4">
        <w:rPr>
          <w:rFonts w:ascii="Times New Roman" w:hAnsi="Times New Roman"/>
          <w:color w:val="000000" w:themeColor="text1"/>
          <w:sz w:val="24"/>
          <w:szCs w:val="24"/>
          <w:lang w:val="en"/>
        </w:rPr>
        <w:t>-test of</w:t>
      </w:r>
      <w:r w:rsidRPr="003F3FB4">
        <w:rPr>
          <w:rFonts w:ascii="Times New Roman" w:hAnsi="Times New Roman"/>
          <w:color w:val="000000" w:themeColor="text1"/>
          <w:sz w:val="24"/>
          <w:szCs w:val="24"/>
          <w:lang w:val="en-US"/>
        </w:rPr>
        <w:t xml:space="preserve"> results shown in Figure 1f (western blot) and Figure 5 (behavior). Statistical a</w:t>
      </w:r>
      <w:r w:rsidRPr="003F3FB4">
        <w:rPr>
          <w:rFonts w:ascii="Times New Roman" w:eastAsia="Times New Roman" w:hAnsi="Times New Roman"/>
          <w:color w:val="000000" w:themeColor="text1"/>
          <w:sz w:val="24"/>
          <w:szCs w:val="24"/>
          <w:lang w:val="en-US" w:eastAsia="de-DE"/>
        </w:rPr>
        <w:t xml:space="preserve">nalysis results </w:t>
      </w:r>
      <w:r w:rsidRPr="003F3FB4">
        <w:rPr>
          <w:rFonts w:ascii="Times New Roman" w:hAnsi="Times New Roman"/>
          <w:color w:val="000000" w:themeColor="text1"/>
          <w:sz w:val="24"/>
          <w:szCs w:val="24"/>
          <w:lang w:val="en-US"/>
        </w:rPr>
        <w:t xml:space="preserve">(df, degree of freedom; t; R2, R-squared; </w:t>
      </w:r>
      <w:r w:rsidRPr="003F3FB4">
        <w:rPr>
          <w:rFonts w:ascii="Times New Roman" w:hAnsi="Times New Roman"/>
          <w:i/>
          <w:color w:val="000000" w:themeColor="text1"/>
          <w:sz w:val="24"/>
          <w:szCs w:val="24"/>
          <w:lang w:val="en-US"/>
        </w:rPr>
        <w:t>p</w:t>
      </w:r>
      <w:r w:rsidRPr="003F3FB4">
        <w:rPr>
          <w:rFonts w:ascii="Times New Roman" w:hAnsi="Times New Roman"/>
          <w:color w:val="000000" w:themeColor="text1"/>
          <w:sz w:val="24"/>
          <w:szCs w:val="24"/>
          <w:lang w:val="en-US"/>
        </w:rPr>
        <w:t xml:space="preserve"> values) and N number are shown and statistical significant values are reported in bold. Statistical results are shown as asterisks in</w:t>
      </w:r>
      <w:r w:rsidRPr="003F3FB4">
        <w:rPr>
          <w:rFonts w:ascii="Times New Roman" w:eastAsia="Times New Roman" w:hAnsi="Times New Roman"/>
          <w:color w:val="000000" w:themeColor="text1"/>
          <w:sz w:val="24"/>
          <w:szCs w:val="24"/>
          <w:lang w:val="en-US" w:eastAsia="de-DE"/>
        </w:rPr>
        <w:t xml:space="preserve"> the corresponding figures. </w:t>
      </w:r>
    </w:p>
    <w:p w14:paraId="39E191C7" w14:textId="77777777" w:rsidR="003777E6" w:rsidRPr="003F3FB4" w:rsidRDefault="003777E6" w:rsidP="003777E6">
      <w:pPr>
        <w:rPr>
          <w:rFonts w:ascii="Times New Roman" w:eastAsia="Times New Roman" w:hAnsi="Times New Roman"/>
          <w:color w:val="000000" w:themeColor="text1"/>
          <w:sz w:val="24"/>
          <w:szCs w:val="24"/>
          <w:lang w:val="en-US" w:eastAsia="de-DE"/>
        </w:rPr>
      </w:pPr>
      <w:r w:rsidRPr="003F3FB4">
        <w:rPr>
          <w:rFonts w:ascii="Times New Roman" w:eastAsia="Times New Roman" w:hAnsi="Times New Roman"/>
          <w:color w:val="000000" w:themeColor="text1"/>
          <w:sz w:val="24"/>
          <w:szCs w:val="24"/>
          <w:lang w:val="en-US" w:eastAsia="de-DE"/>
        </w:rPr>
        <w:br w:type="page"/>
      </w:r>
    </w:p>
    <w:p w14:paraId="5D76D1EA" w14:textId="75A27197" w:rsidR="001272C1" w:rsidRPr="003F3FB4" w:rsidRDefault="001272C1" w:rsidP="001272C1">
      <w:pPr>
        <w:spacing w:after="0" w:line="360" w:lineRule="auto"/>
        <w:jc w:val="both"/>
        <w:rPr>
          <w:rFonts w:ascii="Times New Roman" w:eastAsia="Times New Roman" w:hAnsi="Times New Roman"/>
          <w:color w:val="000000" w:themeColor="text1"/>
          <w:sz w:val="24"/>
          <w:szCs w:val="24"/>
          <w:lang w:val="en-US" w:eastAsia="de-DE"/>
        </w:rPr>
      </w:pPr>
      <w:r w:rsidRPr="003F3FB4">
        <w:rPr>
          <w:rFonts w:ascii="Times New Roman" w:eastAsia="Times New Roman" w:hAnsi="Times New Roman"/>
          <w:b/>
          <w:color w:val="000000" w:themeColor="text1"/>
          <w:sz w:val="24"/>
          <w:szCs w:val="24"/>
          <w:lang w:val="en-US" w:eastAsia="de-DE"/>
        </w:rPr>
        <w:lastRenderedPageBreak/>
        <w:t>Supplementary Table S</w:t>
      </w:r>
      <w:r w:rsidR="003777E6" w:rsidRPr="003F3FB4">
        <w:rPr>
          <w:rFonts w:ascii="Times New Roman" w:eastAsia="Times New Roman" w:hAnsi="Times New Roman"/>
          <w:b/>
          <w:color w:val="000000" w:themeColor="text1"/>
          <w:sz w:val="24"/>
          <w:szCs w:val="24"/>
          <w:lang w:val="en-US" w:eastAsia="de-DE"/>
        </w:rPr>
        <w:t>3</w:t>
      </w:r>
      <w:r w:rsidRPr="003F3FB4">
        <w:rPr>
          <w:rFonts w:ascii="Times New Roman" w:eastAsia="Times New Roman" w:hAnsi="Times New Roman"/>
          <w:b/>
          <w:color w:val="000000" w:themeColor="text1"/>
          <w:sz w:val="24"/>
          <w:szCs w:val="24"/>
          <w:lang w:val="en-US" w:eastAsia="de-DE"/>
        </w:rPr>
        <w:t>.</w:t>
      </w:r>
      <w:r w:rsidRPr="003F3FB4">
        <w:rPr>
          <w:rFonts w:ascii="Times New Roman" w:eastAsia="Times New Roman" w:hAnsi="Times New Roman"/>
          <w:color w:val="000000" w:themeColor="text1"/>
          <w:sz w:val="24"/>
          <w:szCs w:val="24"/>
          <w:lang w:val="en-US" w:eastAsia="de-DE"/>
        </w:rPr>
        <w:t xml:space="preserve"> </w:t>
      </w:r>
      <w:r w:rsidRPr="003F3FB4">
        <w:rPr>
          <w:rFonts w:ascii="Times New Roman" w:hAnsi="Times New Roman"/>
          <w:color w:val="000000" w:themeColor="text1"/>
          <w:sz w:val="24"/>
          <w:szCs w:val="24"/>
          <w:lang w:val="en-US"/>
        </w:rPr>
        <w:t xml:space="preserve">Statistical Data Analyses </w:t>
      </w:r>
      <w:r w:rsidR="001E156A" w:rsidRPr="003F3FB4">
        <w:rPr>
          <w:rFonts w:ascii="Times New Roman" w:hAnsi="Times New Roman"/>
          <w:color w:val="000000" w:themeColor="text1"/>
          <w:sz w:val="24"/>
          <w:szCs w:val="24"/>
          <w:lang w:val="en-US"/>
        </w:rPr>
        <w:t>(referred to Figure 2</w:t>
      </w:r>
      <w:r w:rsidRPr="003F3FB4">
        <w:rPr>
          <w:rFonts w:ascii="Times New Roman" w:hAnsi="Times New Roman"/>
          <w:color w:val="000000" w:themeColor="text1"/>
          <w:sz w:val="24"/>
          <w:szCs w:val="24"/>
          <w:lang w:val="en-US"/>
        </w:rPr>
        <w:t>)</w:t>
      </w:r>
    </w:p>
    <w:p w14:paraId="231923CC" w14:textId="5422A097" w:rsidR="001272C1" w:rsidRPr="00AC5385" w:rsidRDefault="001272C1" w:rsidP="005949F8">
      <w:pPr>
        <w:spacing w:after="0" w:line="480" w:lineRule="auto"/>
        <w:outlineLvl w:val="0"/>
        <w:rPr>
          <w:rFonts w:ascii="Times New Roman" w:eastAsia="Times New Roman" w:hAnsi="Times New Roman"/>
          <w:b/>
          <w:color w:val="000000" w:themeColor="text1"/>
          <w:sz w:val="24"/>
          <w:szCs w:val="24"/>
          <w:lang w:val="en-US" w:eastAsia="de-DE"/>
        </w:rPr>
      </w:pPr>
      <w:bookmarkStart w:id="3" w:name="_GoBack"/>
      <w:bookmarkEnd w:id="3"/>
    </w:p>
    <w:p w14:paraId="4C645554" w14:textId="65D4472D" w:rsidR="00804085" w:rsidRPr="003F3FB4" w:rsidRDefault="007C4262" w:rsidP="005949F8">
      <w:pPr>
        <w:spacing w:after="0" w:line="480" w:lineRule="auto"/>
        <w:outlineLvl w:val="0"/>
        <w:rPr>
          <w:rFonts w:ascii="Times New Roman" w:eastAsia="Times New Roman" w:hAnsi="Times New Roman"/>
          <w:b/>
          <w:color w:val="000000" w:themeColor="text1"/>
          <w:sz w:val="24"/>
          <w:szCs w:val="24"/>
          <w:lang w:eastAsia="de-DE"/>
        </w:rPr>
      </w:pPr>
      <w:r>
        <w:rPr>
          <w:rFonts w:ascii="Times New Roman" w:eastAsia="Times New Roman" w:hAnsi="Times New Roman"/>
          <w:b/>
          <w:noProof/>
          <w:color w:val="000000" w:themeColor="text1"/>
          <w:sz w:val="24"/>
          <w:szCs w:val="24"/>
          <w:lang w:eastAsia="de-DE"/>
        </w:rPr>
        <w:drawing>
          <wp:inline distT="0" distB="0" distL="0" distR="0" wp14:anchorId="1BBB813C" wp14:editId="0F0B3667">
            <wp:extent cx="3521573" cy="2933396"/>
            <wp:effectExtent l="0" t="0" r="3175"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S3_mp_C16_bl_EL.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41277" cy="2949809"/>
                    </a:xfrm>
                    <a:prstGeom prst="rect">
                      <a:avLst/>
                    </a:prstGeom>
                  </pic:spPr>
                </pic:pic>
              </a:graphicData>
            </a:graphic>
          </wp:inline>
        </w:drawing>
      </w:r>
    </w:p>
    <w:p w14:paraId="5B42B729" w14:textId="77777777" w:rsidR="005949F8" w:rsidRPr="003F3FB4" w:rsidRDefault="005949F8" w:rsidP="00BB09B2">
      <w:pPr>
        <w:spacing w:after="0" w:line="240" w:lineRule="auto"/>
        <w:jc w:val="both"/>
        <w:outlineLvl w:val="0"/>
        <w:rPr>
          <w:rFonts w:ascii="Times New Roman" w:hAnsi="Times New Roman"/>
          <w:color w:val="000000" w:themeColor="text1"/>
          <w:sz w:val="24"/>
          <w:szCs w:val="24"/>
          <w:lang w:val="en-US"/>
        </w:rPr>
      </w:pPr>
    </w:p>
    <w:p w14:paraId="167F13AA" w14:textId="0BB25082" w:rsidR="001272C1" w:rsidRPr="003F3FB4" w:rsidRDefault="001272C1" w:rsidP="00BB09B2">
      <w:pPr>
        <w:spacing w:after="0" w:line="240" w:lineRule="auto"/>
        <w:jc w:val="both"/>
        <w:outlineLvl w:val="0"/>
        <w:rPr>
          <w:rFonts w:ascii="Times New Roman" w:eastAsia="Times New Roman" w:hAnsi="Times New Roman"/>
          <w:color w:val="000000" w:themeColor="text1"/>
          <w:sz w:val="24"/>
          <w:szCs w:val="24"/>
          <w:lang w:val="en-US" w:eastAsia="de-DE"/>
        </w:rPr>
      </w:pPr>
      <w:r w:rsidRPr="003F3FB4">
        <w:rPr>
          <w:rFonts w:ascii="Times New Roman" w:hAnsi="Times New Roman"/>
          <w:color w:val="000000" w:themeColor="text1"/>
          <w:sz w:val="24"/>
          <w:szCs w:val="24"/>
          <w:lang w:val="en-US"/>
        </w:rPr>
        <w:t xml:space="preserve">One-way ANOVA of results (lipid </w:t>
      </w:r>
      <w:r w:rsidR="001E156A" w:rsidRPr="003F3FB4">
        <w:rPr>
          <w:rFonts w:ascii="Times New Roman" w:hAnsi="Times New Roman"/>
          <w:color w:val="000000" w:themeColor="text1"/>
          <w:sz w:val="24"/>
          <w:szCs w:val="24"/>
          <w:lang w:val="en-US"/>
        </w:rPr>
        <w:t>measurements</w:t>
      </w:r>
      <w:r w:rsidR="00DC2BFC" w:rsidRPr="003F3FB4">
        <w:rPr>
          <w:rFonts w:ascii="Times New Roman" w:hAnsi="Times New Roman"/>
          <w:color w:val="000000" w:themeColor="text1"/>
          <w:sz w:val="24"/>
          <w:szCs w:val="24"/>
          <w:lang w:val="en-US"/>
        </w:rPr>
        <w:t>, FAAH activity</w:t>
      </w:r>
      <w:r w:rsidR="001E156A" w:rsidRPr="003F3FB4">
        <w:rPr>
          <w:rFonts w:ascii="Times New Roman" w:hAnsi="Times New Roman"/>
          <w:color w:val="000000" w:themeColor="text1"/>
          <w:sz w:val="24"/>
          <w:szCs w:val="24"/>
          <w:lang w:val="en-US"/>
        </w:rPr>
        <w:t>) shown in Figure 2</w:t>
      </w:r>
      <w:r w:rsidRPr="003F3FB4">
        <w:rPr>
          <w:rFonts w:ascii="Times New Roman" w:hAnsi="Times New Roman"/>
          <w:color w:val="000000" w:themeColor="text1"/>
          <w:sz w:val="24"/>
          <w:szCs w:val="24"/>
          <w:lang w:val="en-US"/>
        </w:rPr>
        <w:t>. Statistical a</w:t>
      </w:r>
      <w:r w:rsidRPr="003F3FB4">
        <w:rPr>
          <w:rFonts w:ascii="Times New Roman" w:eastAsia="Times New Roman" w:hAnsi="Times New Roman"/>
          <w:color w:val="000000" w:themeColor="text1"/>
          <w:sz w:val="24"/>
          <w:szCs w:val="24"/>
          <w:lang w:val="en-US" w:eastAsia="de-DE"/>
        </w:rPr>
        <w:t xml:space="preserve">nalysis results </w:t>
      </w:r>
      <w:r w:rsidRPr="003F3FB4">
        <w:rPr>
          <w:rFonts w:ascii="Times New Roman" w:hAnsi="Times New Roman"/>
          <w:color w:val="000000" w:themeColor="text1"/>
          <w:sz w:val="24"/>
          <w:szCs w:val="24"/>
          <w:lang w:val="en-US"/>
        </w:rPr>
        <w:t>(</w:t>
      </w:r>
      <w:r w:rsidR="00DC2BFC" w:rsidRPr="003F3FB4">
        <w:rPr>
          <w:rFonts w:ascii="Times New Roman" w:hAnsi="Times New Roman"/>
          <w:color w:val="000000" w:themeColor="text1"/>
          <w:sz w:val="24"/>
          <w:szCs w:val="24"/>
          <w:lang w:val="en-US"/>
        </w:rPr>
        <w:t xml:space="preserve">F, </w:t>
      </w:r>
      <w:r w:rsidRPr="003F3FB4">
        <w:rPr>
          <w:rFonts w:ascii="Times New Roman" w:hAnsi="Times New Roman"/>
          <w:color w:val="000000" w:themeColor="text1"/>
          <w:sz w:val="24"/>
          <w:szCs w:val="24"/>
          <w:lang w:val="en-US"/>
        </w:rPr>
        <w:t xml:space="preserve">df, degree of freedom; q and </w:t>
      </w:r>
      <w:r w:rsidRPr="003F3FB4">
        <w:rPr>
          <w:rFonts w:ascii="Times New Roman" w:hAnsi="Times New Roman"/>
          <w:i/>
          <w:color w:val="000000" w:themeColor="text1"/>
          <w:sz w:val="24"/>
          <w:szCs w:val="24"/>
          <w:lang w:val="en-US"/>
        </w:rPr>
        <w:t>p</w:t>
      </w:r>
      <w:r w:rsidRPr="003F3FB4">
        <w:rPr>
          <w:rFonts w:ascii="Times New Roman" w:hAnsi="Times New Roman"/>
          <w:color w:val="000000" w:themeColor="text1"/>
          <w:sz w:val="24"/>
          <w:szCs w:val="24"/>
          <w:lang w:val="en-US"/>
        </w:rPr>
        <w:t xml:space="preserve"> values) and N number are shown and statistical significant values are reported in bold. Results were further analyzed by </w:t>
      </w:r>
      <w:r w:rsidR="0076773A" w:rsidRPr="003F3FB4">
        <w:rPr>
          <w:rFonts w:ascii="Times New Roman" w:eastAsia="Times New Roman" w:hAnsi="Times New Roman" w:cs="Times New Roman"/>
          <w:color w:val="000000" w:themeColor="text1"/>
          <w:sz w:val="24"/>
          <w:szCs w:val="24"/>
          <w:lang w:val="en" w:eastAsia="de-DE"/>
        </w:rPr>
        <w:t>Tukey's</w:t>
      </w:r>
      <w:r w:rsidRPr="003F3FB4">
        <w:rPr>
          <w:rFonts w:ascii="Times New Roman" w:hAnsi="Times New Roman"/>
          <w:color w:val="000000" w:themeColor="text1"/>
          <w:sz w:val="24"/>
          <w:szCs w:val="24"/>
          <w:lang w:val="en-US"/>
        </w:rPr>
        <w:t xml:space="preserve"> post-hoc test to identify differences between group means. Statistical results from post-hoc analysis are shown as asterisks in</w:t>
      </w:r>
      <w:r w:rsidR="00DC2BFC" w:rsidRPr="003F3FB4">
        <w:rPr>
          <w:rFonts w:ascii="Times New Roman" w:eastAsia="Times New Roman" w:hAnsi="Times New Roman"/>
          <w:color w:val="000000" w:themeColor="text1"/>
          <w:sz w:val="24"/>
          <w:szCs w:val="24"/>
          <w:lang w:val="en-US" w:eastAsia="de-DE"/>
        </w:rPr>
        <w:t xml:space="preserve"> Figure 2</w:t>
      </w:r>
      <w:r w:rsidRPr="003F3FB4">
        <w:rPr>
          <w:rFonts w:ascii="Times New Roman" w:eastAsia="Times New Roman" w:hAnsi="Times New Roman"/>
          <w:color w:val="000000" w:themeColor="text1"/>
          <w:sz w:val="24"/>
          <w:szCs w:val="24"/>
          <w:lang w:val="en-US" w:eastAsia="de-DE"/>
        </w:rPr>
        <w:t>. Abbreviations: AEA, anandamide; PEA, palmitoyletha</w:t>
      </w:r>
      <w:r w:rsidR="000F6162" w:rsidRPr="003F3FB4">
        <w:rPr>
          <w:rFonts w:ascii="Times New Roman" w:eastAsia="Times New Roman" w:hAnsi="Times New Roman"/>
          <w:color w:val="000000" w:themeColor="text1"/>
          <w:sz w:val="24"/>
          <w:szCs w:val="24"/>
          <w:lang w:val="en-US" w:eastAsia="de-DE"/>
        </w:rPr>
        <w:t>nolamide; OEA, oleoylethanolamid</w:t>
      </w:r>
      <w:r w:rsidRPr="003F3FB4">
        <w:rPr>
          <w:rFonts w:ascii="Times New Roman" w:eastAsia="Times New Roman" w:hAnsi="Times New Roman"/>
          <w:color w:val="000000" w:themeColor="text1"/>
          <w:sz w:val="24"/>
          <w:szCs w:val="24"/>
          <w:lang w:val="en-US" w:eastAsia="de-DE"/>
        </w:rPr>
        <w:t>e; 2-AG, 2-arachidonoylglycerol; AA, arachidonic acid.</w:t>
      </w:r>
    </w:p>
    <w:p w14:paraId="30A7C379" w14:textId="73ECB759" w:rsidR="00333851" w:rsidRPr="003F3FB4" w:rsidRDefault="001272C1" w:rsidP="001272C1">
      <w:pPr>
        <w:spacing w:after="0" w:line="480" w:lineRule="auto"/>
        <w:jc w:val="both"/>
        <w:outlineLvl w:val="0"/>
        <w:rPr>
          <w:rFonts w:ascii="Times New Roman" w:hAnsi="Times New Roman"/>
          <w:color w:val="000000" w:themeColor="text1"/>
          <w:sz w:val="24"/>
          <w:szCs w:val="24"/>
          <w:lang w:val="en-US"/>
        </w:rPr>
      </w:pPr>
      <w:r w:rsidRPr="003F3FB4">
        <w:rPr>
          <w:rFonts w:ascii="Times New Roman" w:eastAsia="Times New Roman" w:hAnsi="Times New Roman"/>
          <w:b/>
          <w:color w:val="000000" w:themeColor="text1"/>
          <w:sz w:val="24"/>
          <w:szCs w:val="24"/>
          <w:lang w:val="en-US" w:eastAsia="de-DE"/>
        </w:rPr>
        <w:br w:type="page"/>
      </w:r>
      <w:r w:rsidR="005046D0" w:rsidRPr="003F3FB4">
        <w:rPr>
          <w:rFonts w:ascii="Times New Roman" w:eastAsia="Times New Roman" w:hAnsi="Times New Roman"/>
          <w:b/>
          <w:color w:val="000000" w:themeColor="text1"/>
          <w:sz w:val="24"/>
          <w:szCs w:val="24"/>
          <w:lang w:val="en-US" w:eastAsia="de-DE"/>
        </w:rPr>
        <w:lastRenderedPageBreak/>
        <w:t>Supplementary Table S4</w:t>
      </w:r>
      <w:r w:rsidRPr="003F3FB4">
        <w:rPr>
          <w:rFonts w:ascii="Times New Roman" w:eastAsia="Times New Roman" w:hAnsi="Times New Roman"/>
          <w:b/>
          <w:color w:val="000000" w:themeColor="text1"/>
          <w:sz w:val="24"/>
          <w:szCs w:val="24"/>
          <w:lang w:val="en-US" w:eastAsia="de-DE"/>
        </w:rPr>
        <w:t>.</w:t>
      </w:r>
      <w:r w:rsidRPr="003F3FB4">
        <w:rPr>
          <w:rFonts w:ascii="Times New Roman" w:eastAsia="Times New Roman" w:hAnsi="Times New Roman"/>
          <w:color w:val="000000" w:themeColor="text1"/>
          <w:sz w:val="24"/>
          <w:szCs w:val="24"/>
          <w:lang w:val="en-US" w:eastAsia="de-DE"/>
        </w:rPr>
        <w:t xml:space="preserve"> </w:t>
      </w:r>
      <w:r w:rsidRPr="003F3FB4">
        <w:rPr>
          <w:rFonts w:ascii="Times New Roman" w:hAnsi="Times New Roman"/>
          <w:color w:val="000000" w:themeColor="text1"/>
          <w:sz w:val="24"/>
          <w:szCs w:val="24"/>
          <w:lang w:val="en-US"/>
        </w:rPr>
        <w:t xml:space="preserve">Statistical Data Analyses </w:t>
      </w:r>
      <w:r w:rsidR="00D95CF5" w:rsidRPr="003F3FB4">
        <w:rPr>
          <w:rFonts w:ascii="Times New Roman" w:hAnsi="Times New Roman"/>
          <w:color w:val="000000" w:themeColor="text1"/>
          <w:sz w:val="24"/>
          <w:szCs w:val="24"/>
          <w:lang w:val="en-US"/>
        </w:rPr>
        <w:t>(referred to Figure 5l</w:t>
      </w:r>
      <w:r w:rsidRPr="003F3FB4">
        <w:rPr>
          <w:rFonts w:ascii="Times New Roman" w:hAnsi="Times New Roman"/>
          <w:color w:val="000000" w:themeColor="text1"/>
          <w:sz w:val="24"/>
          <w:szCs w:val="24"/>
          <w:lang w:val="en-US"/>
        </w:rPr>
        <w:t>)</w:t>
      </w:r>
    </w:p>
    <w:p w14:paraId="33657CCC" w14:textId="77777777" w:rsidR="005949F8" w:rsidRPr="003F3FB4" w:rsidRDefault="005949F8" w:rsidP="001272C1">
      <w:pPr>
        <w:spacing w:after="0" w:line="480" w:lineRule="auto"/>
        <w:jc w:val="both"/>
        <w:outlineLvl w:val="0"/>
        <w:rPr>
          <w:rFonts w:ascii="Times New Roman" w:eastAsia="Times New Roman" w:hAnsi="Times New Roman"/>
          <w:b/>
          <w:color w:val="000000" w:themeColor="text1"/>
          <w:sz w:val="24"/>
          <w:szCs w:val="24"/>
          <w:lang w:val="en-US" w:eastAsia="de-DE"/>
        </w:rPr>
      </w:pPr>
    </w:p>
    <w:p w14:paraId="57717DCB" w14:textId="2049AF77" w:rsidR="005949F8" w:rsidRPr="003F3FB4" w:rsidRDefault="005949F8" w:rsidP="005949F8">
      <w:pPr>
        <w:spacing w:after="0" w:line="480" w:lineRule="auto"/>
        <w:outlineLvl w:val="0"/>
        <w:rPr>
          <w:rFonts w:ascii="Times New Roman" w:eastAsia="Times New Roman" w:hAnsi="Times New Roman"/>
          <w:b/>
          <w:color w:val="000000" w:themeColor="text1"/>
          <w:sz w:val="24"/>
          <w:szCs w:val="24"/>
          <w:lang w:val="en-US" w:eastAsia="de-DE"/>
        </w:rPr>
      </w:pPr>
      <w:r w:rsidRPr="003F3FB4">
        <w:rPr>
          <w:rFonts w:ascii="Times New Roman" w:eastAsia="Times New Roman" w:hAnsi="Times New Roman"/>
          <w:b/>
          <w:noProof/>
          <w:color w:val="000000" w:themeColor="text1"/>
          <w:sz w:val="24"/>
          <w:szCs w:val="24"/>
          <w:lang w:eastAsia="de-DE"/>
        </w:rPr>
        <w:drawing>
          <wp:inline distT="0" distB="0" distL="0" distR="0" wp14:anchorId="701B9FDD" wp14:editId="76B1803D">
            <wp:extent cx="2776421" cy="2292840"/>
            <wp:effectExtent l="0" t="0" r="5080" b="0"/>
            <wp:docPr id="7" name="Grafik 7" descr="D:\Blutz Daten030718\Publications18\ZimmermannT_FAAH\NPP_Revision_Sept18\Revision_version_120918\Figures_130918\Table S4_mp_C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lutz Daten030718\Publications18\ZimmermannT_FAAH\NPP_Revision_Sept18\Revision_version_120918\Figures_130918\Table S4_mp_C16.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8671" cy="2302956"/>
                    </a:xfrm>
                    <a:prstGeom prst="rect">
                      <a:avLst/>
                    </a:prstGeom>
                    <a:noFill/>
                    <a:ln>
                      <a:noFill/>
                    </a:ln>
                  </pic:spPr>
                </pic:pic>
              </a:graphicData>
            </a:graphic>
          </wp:inline>
        </w:drawing>
      </w:r>
    </w:p>
    <w:p w14:paraId="4F009685" w14:textId="77777777" w:rsidR="005949F8" w:rsidRPr="003F3FB4" w:rsidRDefault="005949F8" w:rsidP="008A3026">
      <w:pPr>
        <w:spacing w:after="0" w:line="240" w:lineRule="auto"/>
        <w:jc w:val="both"/>
        <w:outlineLvl w:val="0"/>
        <w:rPr>
          <w:rFonts w:ascii="Times New Roman" w:hAnsi="Times New Roman"/>
          <w:color w:val="000000" w:themeColor="text1"/>
          <w:sz w:val="24"/>
          <w:szCs w:val="24"/>
          <w:lang w:val="en-US"/>
        </w:rPr>
      </w:pPr>
    </w:p>
    <w:p w14:paraId="6258C29D" w14:textId="495F5050" w:rsidR="001272C1" w:rsidRPr="003F3FB4" w:rsidRDefault="001272C1" w:rsidP="008A3026">
      <w:pPr>
        <w:spacing w:after="0" w:line="240" w:lineRule="auto"/>
        <w:jc w:val="both"/>
        <w:outlineLvl w:val="0"/>
        <w:rPr>
          <w:rFonts w:ascii="Times New Roman" w:hAnsi="Times New Roman"/>
          <w:color w:val="000000" w:themeColor="text1"/>
          <w:sz w:val="24"/>
          <w:szCs w:val="24"/>
          <w:lang w:val="en-US"/>
        </w:rPr>
      </w:pPr>
      <w:r w:rsidRPr="003F3FB4">
        <w:rPr>
          <w:rFonts w:ascii="Times New Roman" w:hAnsi="Times New Roman"/>
          <w:color w:val="000000" w:themeColor="text1"/>
          <w:sz w:val="24"/>
          <w:szCs w:val="24"/>
          <w:lang w:val="en-US"/>
        </w:rPr>
        <w:t>Two-way ANOVA repeated measure</w:t>
      </w:r>
      <w:r w:rsidR="00D95CF5" w:rsidRPr="003F3FB4">
        <w:rPr>
          <w:rFonts w:ascii="Times New Roman" w:hAnsi="Times New Roman"/>
          <w:color w:val="000000" w:themeColor="text1"/>
          <w:sz w:val="24"/>
          <w:szCs w:val="24"/>
          <w:lang w:val="en-US"/>
        </w:rPr>
        <w:t>s of results shown in Figures 5</w:t>
      </w:r>
      <w:r w:rsidR="00D87821" w:rsidRPr="003F3FB4">
        <w:rPr>
          <w:rFonts w:ascii="Times New Roman" w:hAnsi="Times New Roman"/>
          <w:color w:val="000000" w:themeColor="text1"/>
          <w:sz w:val="24"/>
          <w:szCs w:val="24"/>
          <w:lang w:val="en-US"/>
        </w:rPr>
        <w:t>l</w:t>
      </w:r>
      <w:r w:rsidRPr="003F3FB4">
        <w:rPr>
          <w:rFonts w:ascii="Times New Roman" w:hAnsi="Times New Roman"/>
          <w:color w:val="000000" w:themeColor="text1"/>
          <w:sz w:val="24"/>
          <w:szCs w:val="24"/>
          <w:lang w:val="en-US"/>
        </w:rPr>
        <w:t xml:space="preserve"> (passive avoidance). The effects of ‘time’ and ‘genotype’ (F; df, degree of freedom; t and </w:t>
      </w:r>
      <w:r w:rsidRPr="003F3FB4">
        <w:rPr>
          <w:rFonts w:ascii="Times New Roman" w:hAnsi="Times New Roman"/>
          <w:i/>
          <w:color w:val="000000" w:themeColor="text1"/>
          <w:sz w:val="24"/>
          <w:szCs w:val="24"/>
          <w:lang w:val="en-US"/>
        </w:rPr>
        <w:t>p</w:t>
      </w:r>
      <w:r w:rsidRPr="003F3FB4">
        <w:rPr>
          <w:rFonts w:ascii="Times New Roman" w:hAnsi="Times New Roman"/>
          <w:color w:val="000000" w:themeColor="text1"/>
          <w:sz w:val="24"/>
          <w:szCs w:val="24"/>
          <w:lang w:val="en-US"/>
        </w:rPr>
        <w:t xml:space="preserve"> values) and N number are shown and statistical significant values are reported in bold. ‘Time’ refers to the time points when the passive avoidance test was carried out and is the repeated factor. Results were further analyzed by Sidak’s post-hoc test to identify differences between group means. Statistical results from post-hoc analysis are</w:t>
      </w:r>
      <w:r w:rsidR="00D95CF5" w:rsidRPr="003F3FB4">
        <w:rPr>
          <w:rFonts w:ascii="Times New Roman" w:hAnsi="Times New Roman"/>
          <w:color w:val="000000" w:themeColor="text1"/>
          <w:sz w:val="24"/>
          <w:szCs w:val="24"/>
          <w:lang w:val="en-US"/>
        </w:rPr>
        <w:t xml:space="preserve"> shown as asterisks in Figure 5l</w:t>
      </w:r>
      <w:r w:rsidRPr="003F3FB4">
        <w:rPr>
          <w:rFonts w:ascii="Times New Roman" w:hAnsi="Times New Roman"/>
          <w:color w:val="000000" w:themeColor="text1"/>
          <w:sz w:val="24"/>
          <w:szCs w:val="24"/>
          <w:lang w:val="en-US"/>
        </w:rPr>
        <w:t>. Abbreviations: Acq, acquisition; h, hour; w, week.</w:t>
      </w:r>
    </w:p>
    <w:sectPr w:rsidR="001272C1" w:rsidRPr="003F3FB4">
      <w:footerReference w:type="default" r:id="rId13"/>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5D374B" w16cid:durableId="1F40C100"/>
  <w16cid:commentId w16cid:paraId="3B09C73E" w16cid:durableId="1F410F8F"/>
  <w16cid:commentId w16cid:paraId="19C49526" w16cid:durableId="1F40C131"/>
  <w16cid:commentId w16cid:paraId="23479AFC" w16cid:durableId="1F435A18"/>
  <w16cid:commentId w16cid:paraId="22FB182B" w16cid:durableId="1F40C283"/>
  <w16cid:commentId w16cid:paraId="55FC46F4" w16cid:durableId="1F40C262"/>
  <w16cid:commentId w16cid:paraId="5654234E" w16cid:durableId="1F40C2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30E14" w14:textId="77777777" w:rsidR="002A1FA7" w:rsidRDefault="002A1FA7" w:rsidP="00CD0C65">
      <w:pPr>
        <w:spacing w:after="0" w:line="240" w:lineRule="auto"/>
      </w:pPr>
      <w:r>
        <w:separator/>
      </w:r>
    </w:p>
  </w:endnote>
  <w:endnote w:type="continuationSeparator" w:id="0">
    <w:p w14:paraId="2DA3520D" w14:textId="77777777" w:rsidR="002A1FA7" w:rsidRDefault="002A1FA7" w:rsidP="00CD0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6661994"/>
      <w:docPartObj>
        <w:docPartGallery w:val="Page Numbers (Bottom of Page)"/>
        <w:docPartUnique/>
      </w:docPartObj>
    </w:sdtPr>
    <w:sdtEndPr/>
    <w:sdtContent>
      <w:p w14:paraId="2EE3DD77" w14:textId="4544B895" w:rsidR="005967C6" w:rsidRDefault="005967C6" w:rsidP="00E726EB">
        <w:pPr>
          <w:pStyle w:val="Fuzeile"/>
          <w:jc w:val="right"/>
        </w:pPr>
        <w:r>
          <w:fldChar w:fldCharType="begin"/>
        </w:r>
        <w:r>
          <w:instrText>PAGE   \* MERGEFORMAT</w:instrText>
        </w:r>
        <w:r>
          <w:fldChar w:fldCharType="separate"/>
        </w:r>
        <w:r w:rsidR="00AC5385">
          <w:rPr>
            <w:noProof/>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C5AA2" w14:textId="77777777" w:rsidR="002A1FA7" w:rsidRDefault="002A1FA7" w:rsidP="00CD0C65">
      <w:pPr>
        <w:spacing w:after="0" w:line="240" w:lineRule="auto"/>
      </w:pPr>
      <w:r>
        <w:separator/>
      </w:r>
    </w:p>
  </w:footnote>
  <w:footnote w:type="continuationSeparator" w:id="0">
    <w:p w14:paraId="400C7F01" w14:textId="77777777" w:rsidR="002A1FA7" w:rsidRDefault="002A1FA7" w:rsidP="00CD0C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E6945"/>
    <w:multiLevelType w:val="hybridMultilevel"/>
    <w:tmpl w:val="B74C5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1E6739"/>
    <w:multiLevelType w:val="hybridMultilevel"/>
    <w:tmpl w:val="7AA44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118"/>
    <w:rsid w:val="0000066F"/>
    <w:rsid w:val="00002D67"/>
    <w:rsid w:val="00002F49"/>
    <w:rsid w:val="00003616"/>
    <w:rsid w:val="00004117"/>
    <w:rsid w:val="000048BC"/>
    <w:rsid w:val="000052E7"/>
    <w:rsid w:val="00007C14"/>
    <w:rsid w:val="00010A6E"/>
    <w:rsid w:val="00011A2D"/>
    <w:rsid w:val="000135C5"/>
    <w:rsid w:val="000140D1"/>
    <w:rsid w:val="000151C7"/>
    <w:rsid w:val="00015513"/>
    <w:rsid w:val="0001572C"/>
    <w:rsid w:val="0001662E"/>
    <w:rsid w:val="00017094"/>
    <w:rsid w:val="000207C6"/>
    <w:rsid w:val="000224E6"/>
    <w:rsid w:val="00022AC0"/>
    <w:rsid w:val="00025B1F"/>
    <w:rsid w:val="00027217"/>
    <w:rsid w:val="00030004"/>
    <w:rsid w:val="000312F6"/>
    <w:rsid w:val="00033C42"/>
    <w:rsid w:val="00035788"/>
    <w:rsid w:val="000358CA"/>
    <w:rsid w:val="0003605C"/>
    <w:rsid w:val="000363B7"/>
    <w:rsid w:val="0004104B"/>
    <w:rsid w:val="000428DF"/>
    <w:rsid w:val="00043F63"/>
    <w:rsid w:val="0004552E"/>
    <w:rsid w:val="00045653"/>
    <w:rsid w:val="0005098F"/>
    <w:rsid w:val="000535A0"/>
    <w:rsid w:val="00056A55"/>
    <w:rsid w:val="00056D78"/>
    <w:rsid w:val="00060156"/>
    <w:rsid w:val="000639AB"/>
    <w:rsid w:val="00063BD4"/>
    <w:rsid w:val="0006517E"/>
    <w:rsid w:val="00065E93"/>
    <w:rsid w:val="00066D5C"/>
    <w:rsid w:val="00067F9C"/>
    <w:rsid w:val="00070A79"/>
    <w:rsid w:val="00071404"/>
    <w:rsid w:val="00072BD7"/>
    <w:rsid w:val="0007391A"/>
    <w:rsid w:val="00075178"/>
    <w:rsid w:val="000779CF"/>
    <w:rsid w:val="000808FF"/>
    <w:rsid w:val="00081420"/>
    <w:rsid w:val="000825CC"/>
    <w:rsid w:val="00084F27"/>
    <w:rsid w:val="0008647B"/>
    <w:rsid w:val="00087C0B"/>
    <w:rsid w:val="00087DDF"/>
    <w:rsid w:val="00091BA4"/>
    <w:rsid w:val="000925EC"/>
    <w:rsid w:val="0009275D"/>
    <w:rsid w:val="00093F72"/>
    <w:rsid w:val="00095717"/>
    <w:rsid w:val="000959BA"/>
    <w:rsid w:val="00095F68"/>
    <w:rsid w:val="000968CE"/>
    <w:rsid w:val="000A04CF"/>
    <w:rsid w:val="000A1670"/>
    <w:rsid w:val="000A1F25"/>
    <w:rsid w:val="000A3045"/>
    <w:rsid w:val="000A3BC4"/>
    <w:rsid w:val="000A4646"/>
    <w:rsid w:val="000A52BC"/>
    <w:rsid w:val="000A6BD0"/>
    <w:rsid w:val="000A7A63"/>
    <w:rsid w:val="000B0F2F"/>
    <w:rsid w:val="000B19B7"/>
    <w:rsid w:val="000B1C3C"/>
    <w:rsid w:val="000B4B06"/>
    <w:rsid w:val="000C046C"/>
    <w:rsid w:val="000C3DDC"/>
    <w:rsid w:val="000C4A16"/>
    <w:rsid w:val="000C4F59"/>
    <w:rsid w:val="000C5C7C"/>
    <w:rsid w:val="000C5EFE"/>
    <w:rsid w:val="000C6449"/>
    <w:rsid w:val="000C67CC"/>
    <w:rsid w:val="000C6AB4"/>
    <w:rsid w:val="000C6E63"/>
    <w:rsid w:val="000D0563"/>
    <w:rsid w:val="000D3461"/>
    <w:rsid w:val="000D7069"/>
    <w:rsid w:val="000E2380"/>
    <w:rsid w:val="000E33A0"/>
    <w:rsid w:val="000E5D3B"/>
    <w:rsid w:val="000E6927"/>
    <w:rsid w:val="000E6C87"/>
    <w:rsid w:val="000F2147"/>
    <w:rsid w:val="000F22CF"/>
    <w:rsid w:val="000F5A9C"/>
    <w:rsid w:val="000F6162"/>
    <w:rsid w:val="000F7EA8"/>
    <w:rsid w:val="00102871"/>
    <w:rsid w:val="00105E3E"/>
    <w:rsid w:val="00106CFC"/>
    <w:rsid w:val="00111A21"/>
    <w:rsid w:val="0011467A"/>
    <w:rsid w:val="0011598A"/>
    <w:rsid w:val="00115BBC"/>
    <w:rsid w:val="00116E75"/>
    <w:rsid w:val="00120F9D"/>
    <w:rsid w:val="0012184B"/>
    <w:rsid w:val="00121B62"/>
    <w:rsid w:val="0012364B"/>
    <w:rsid w:val="0012364E"/>
    <w:rsid w:val="00125242"/>
    <w:rsid w:val="00126494"/>
    <w:rsid w:val="001272C1"/>
    <w:rsid w:val="00127582"/>
    <w:rsid w:val="00127A0A"/>
    <w:rsid w:val="00134997"/>
    <w:rsid w:val="00136D82"/>
    <w:rsid w:val="00141181"/>
    <w:rsid w:val="00144A91"/>
    <w:rsid w:val="00144F9F"/>
    <w:rsid w:val="00146063"/>
    <w:rsid w:val="001474E4"/>
    <w:rsid w:val="001503AB"/>
    <w:rsid w:val="00151A37"/>
    <w:rsid w:val="00153D3F"/>
    <w:rsid w:val="00153FF2"/>
    <w:rsid w:val="0015553E"/>
    <w:rsid w:val="001562A0"/>
    <w:rsid w:val="00160B8B"/>
    <w:rsid w:val="001619DA"/>
    <w:rsid w:val="00162144"/>
    <w:rsid w:val="00162C2A"/>
    <w:rsid w:val="00162FB0"/>
    <w:rsid w:val="00163D6A"/>
    <w:rsid w:val="001642B1"/>
    <w:rsid w:val="00165590"/>
    <w:rsid w:val="00165864"/>
    <w:rsid w:val="00165AAC"/>
    <w:rsid w:val="0017108C"/>
    <w:rsid w:val="001716EA"/>
    <w:rsid w:val="00171E8C"/>
    <w:rsid w:val="0017297F"/>
    <w:rsid w:val="00174BE0"/>
    <w:rsid w:val="001750AB"/>
    <w:rsid w:val="00175FA9"/>
    <w:rsid w:val="00181C43"/>
    <w:rsid w:val="00183026"/>
    <w:rsid w:val="00183200"/>
    <w:rsid w:val="0018369C"/>
    <w:rsid w:val="001854FE"/>
    <w:rsid w:val="001867DD"/>
    <w:rsid w:val="00186E82"/>
    <w:rsid w:val="0018764D"/>
    <w:rsid w:val="001879F7"/>
    <w:rsid w:val="00190B57"/>
    <w:rsid w:val="001918CD"/>
    <w:rsid w:val="00192F36"/>
    <w:rsid w:val="00193A44"/>
    <w:rsid w:val="001950C8"/>
    <w:rsid w:val="001951AC"/>
    <w:rsid w:val="0019573E"/>
    <w:rsid w:val="00196005"/>
    <w:rsid w:val="0019736E"/>
    <w:rsid w:val="001A0ED5"/>
    <w:rsid w:val="001A1EBB"/>
    <w:rsid w:val="001B0139"/>
    <w:rsid w:val="001B0A8F"/>
    <w:rsid w:val="001B1DC8"/>
    <w:rsid w:val="001B36E9"/>
    <w:rsid w:val="001B3F72"/>
    <w:rsid w:val="001B66CC"/>
    <w:rsid w:val="001B6EF6"/>
    <w:rsid w:val="001B701D"/>
    <w:rsid w:val="001C014C"/>
    <w:rsid w:val="001C0B2B"/>
    <w:rsid w:val="001C0D13"/>
    <w:rsid w:val="001C1BC3"/>
    <w:rsid w:val="001C255C"/>
    <w:rsid w:val="001C3D21"/>
    <w:rsid w:val="001C4257"/>
    <w:rsid w:val="001C60D2"/>
    <w:rsid w:val="001D1F7B"/>
    <w:rsid w:val="001D237A"/>
    <w:rsid w:val="001D2DC9"/>
    <w:rsid w:val="001D2DFB"/>
    <w:rsid w:val="001D3BCF"/>
    <w:rsid w:val="001D4F0E"/>
    <w:rsid w:val="001D5BDD"/>
    <w:rsid w:val="001D7614"/>
    <w:rsid w:val="001E03DD"/>
    <w:rsid w:val="001E156A"/>
    <w:rsid w:val="001E25F9"/>
    <w:rsid w:val="001E3E7E"/>
    <w:rsid w:val="001E4111"/>
    <w:rsid w:val="001E530B"/>
    <w:rsid w:val="001E6336"/>
    <w:rsid w:val="001E6D43"/>
    <w:rsid w:val="001F06D0"/>
    <w:rsid w:val="001F2343"/>
    <w:rsid w:val="001F29FD"/>
    <w:rsid w:val="001F33F6"/>
    <w:rsid w:val="001F5438"/>
    <w:rsid w:val="001F6444"/>
    <w:rsid w:val="001F702B"/>
    <w:rsid w:val="00202672"/>
    <w:rsid w:val="00205581"/>
    <w:rsid w:val="0020582A"/>
    <w:rsid w:val="002072F4"/>
    <w:rsid w:val="002125ED"/>
    <w:rsid w:val="00212C39"/>
    <w:rsid w:val="00214748"/>
    <w:rsid w:val="00221647"/>
    <w:rsid w:val="00221A40"/>
    <w:rsid w:val="0022257F"/>
    <w:rsid w:val="00222AA6"/>
    <w:rsid w:val="002243A7"/>
    <w:rsid w:val="00224D7B"/>
    <w:rsid w:val="00225346"/>
    <w:rsid w:val="00226691"/>
    <w:rsid w:val="0022768F"/>
    <w:rsid w:val="00230585"/>
    <w:rsid w:val="00230A72"/>
    <w:rsid w:val="00230D59"/>
    <w:rsid w:val="0023102D"/>
    <w:rsid w:val="002316EF"/>
    <w:rsid w:val="002333A9"/>
    <w:rsid w:val="002339E6"/>
    <w:rsid w:val="00234E57"/>
    <w:rsid w:val="0023592F"/>
    <w:rsid w:val="0023648F"/>
    <w:rsid w:val="00237F31"/>
    <w:rsid w:val="00241F05"/>
    <w:rsid w:val="002427B0"/>
    <w:rsid w:val="00243708"/>
    <w:rsid w:val="00243837"/>
    <w:rsid w:val="00243D35"/>
    <w:rsid w:val="00243F65"/>
    <w:rsid w:val="00244AF2"/>
    <w:rsid w:val="00244F5B"/>
    <w:rsid w:val="00246384"/>
    <w:rsid w:val="00251372"/>
    <w:rsid w:val="00254056"/>
    <w:rsid w:val="00254121"/>
    <w:rsid w:val="0025623F"/>
    <w:rsid w:val="00257678"/>
    <w:rsid w:val="00257CF2"/>
    <w:rsid w:val="0026243F"/>
    <w:rsid w:val="00263CB7"/>
    <w:rsid w:val="002654B5"/>
    <w:rsid w:val="0026610A"/>
    <w:rsid w:val="00266669"/>
    <w:rsid w:val="00273209"/>
    <w:rsid w:val="00280903"/>
    <w:rsid w:val="002836AE"/>
    <w:rsid w:val="00283E9C"/>
    <w:rsid w:val="00286C0C"/>
    <w:rsid w:val="00287A75"/>
    <w:rsid w:val="00287EC9"/>
    <w:rsid w:val="00290073"/>
    <w:rsid w:val="00290BE6"/>
    <w:rsid w:val="00291141"/>
    <w:rsid w:val="00292EAB"/>
    <w:rsid w:val="002930B6"/>
    <w:rsid w:val="002930EB"/>
    <w:rsid w:val="002932B4"/>
    <w:rsid w:val="00293831"/>
    <w:rsid w:val="00294F8F"/>
    <w:rsid w:val="002A0C33"/>
    <w:rsid w:val="002A1015"/>
    <w:rsid w:val="002A1FA7"/>
    <w:rsid w:val="002A20DD"/>
    <w:rsid w:val="002A28C2"/>
    <w:rsid w:val="002A3943"/>
    <w:rsid w:val="002A4CB7"/>
    <w:rsid w:val="002A5566"/>
    <w:rsid w:val="002A5A24"/>
    <w:rsid w:val="002A60CB"/>
    <w:rsid w:val="002A6F2B"/>
    <w:rsid w:val="002A7540"/>
    <w:rsid w:val="002A7C0C"/>
    <w:rsid w:val="002B153E"/>
    <w:rsid w:val="002B1D85"/>
    <w:rsid w:val="002B4014"/>
    <w:rsid w:val="002B4FA3"/>
    <w:rsid w:val="002B5543"/>
    <w:rsid w:val="002B56D8"/>
    <w:rsid w:val="002C2261"/>
    <w:rsid w:val="002C3663"/>
    <w:rsid w:val="002C4A23"/>
    <w:rsid w:val="002C5A89"/>
    <w:rsid w:val="002D1A41"/>
    <w:rsid w:val="002D1B40"/>
    <w:rsid w:val="002D259C"/>
    <w:rsid w:val="002D454A"/>
    <w:rsid w:val="002D4609"/>
    <w:rsid w:val="002D4DA7"/>
    <w:rsid w:val="002D6B6C"/>
    <w:rsid w:val="002E4A82"/>
    <w:rsid w:val="002E6A6E"/>
    <w:rsid w:val="002F096C"/>
    <w:rsid w:val="002F0AAA"/>
    <w:rsid w:val="002F14A6"/>
    <w:rsid w:val="002F2A25"/>
    <w:rsid w:val="002F335D"/>
    <w:rsid w:val="002F46A1"/>
    <w:rsid w:val="002F55A4"/>
    <w:rsid w:val="002F7456"/>
    <w:rsid w:val="002F7B82"/>
    <w:rsid w:val="00300AEF"/>
    <w:rsid w:val="00300E18"/>
    <w:rsid w:val="0030176F"/>
    <w:rsid w:val="00301FBA"/>
    <w:rsid w:val="00302EE6"/>
    <w:rsid w:val="003030F2"/>
    <w:rsid w:val="0030524E"/>
    <w:rsid w:val="00306CCA"/>
    <w:rsid w:val="003126B2"/>
    <w:rsid w:val="003130E8"/>
    <w:rsid w:val="003139CC"/>
    <w:rsid w:val="003140B8"/>
    <w:rsid w:val="00315E4B"/>
    <w:rsid w:val="00321AA3"/>
    <w:rsid w:val="003225CC"/>
    <w:rsid w:val="0032293D"/>
    <w:rsid w:val="00322CD2"/>
    <w:rsid w:val="00323B3B"/>
    <w:rsid w:val="00324982"/>
    <w:rsid w:val="00324D66"/>
    <w:rsid w:val="00325A25"/>
    <w:rsid w:val="00325F44"/>
    <w:rsid w:val="00326E74"/>
    <w:rsid w:val="003271E9"/>
    <w:rsid w:val="00327C1F"/>
    <w:rsid w:val="003312CA"/>
    <w:rsid w:val="003316A9"/>
    <w:rsid w:val="003319C9"/>
    <w:rsid w:val="00333349"/>
    <w:rsid w:val="00333851"/>
    <w:rsid w:val="00333A3D"/>
    <w:rsid w:val="003374F7"/>
    <w:rsid w:val="00340BA1"/>
    <w:rsid w:val="003436D7"/>
    <w:rsid w:val="00347207"/>
    <w:rsid w:val="003473C8"/>
    <w:rsid w:val="00350D87"/>
    <w:rsid w:val="00353212"/>
    <w:rsid w:val="003549AF"/>
    <w:rsid w:val="00361E1E"/>
    <w:rsid w:val="003623F4"/>
    <w:rsid w:val="003645E2"/>
    <w:rsid w:val="00364DA6"/>
    <w:rsid w:val="00365857"/>
    <w:rsid w:val="00365A87"/>
    <w:rsid w:val="00366139"/>
    <w:rsid w:val="00366D8A"/>
    <w:rsid w:val="003679BF"/>
    <w:rsid w:val="00373860"/>
    <w:rsid w:val="00374E04"/>
    <w:rsid w:val="0037508D"/>
    <w:rsid w:val="00376B77"/>
    <w:rsid w:val="00376C5E"/>
    <w:rsid w:val="003777E6"/>
    <w:rsid w:val="00377CA4"/>
    <w:rsid w:val="003810D3"/>
    <w:rsid w:val="003918AA"/>
    <w:rsid w:val="003939EE"/>
    <w:rsid w:val="003949F5"/>
    <w:rsid w:val="00394B5F"/>
    <w:rsid w:val="0039654A"/>
    <w:rsid w:val="00396A0B"/>
    <w:rsid w:val="00397331"/>
    <w:rsid w:val="0039735D"/>
    <w:rsid w:val="0039795C"/>
    <w:rsid w:val="003A0585"/>
    <w:rsid w:val="003A1C13"/>
    <w:rsid w:val="003A29DA"/>
    <w:rsid w:val="003A2E8A"/>
    <w:rsid w:val="003A302F"/>
    <w:rsid w:val="003A3419"/>
    <w:rsid w:val="003A4027"/>
    <w:rsid w:val="003A445C"/>
    <w:rsid w:val="003A52D5"/>
    <w:rsid w:val="003A59D6"/>
    <w:rsid w:val="003A63E8"/>
    <w:rsid w:val="003B0432"/>
    <w:rsid w:val="003B254F"/>
    <w:rsid w:val="003B2C76"/>
    <w:rsid w:val="003B4B3F"/>
    <w:rsid w:val="003B6810"/>
    <w:rsid w:val="003B68C9"/>
    <w:rsid w:val="003C0611"/>
    <w:rsid w:val="003C3925"/>
    <w:rsid w:val="003C3E58"/>
    <w:rsid w:val="003C425E"/>
    <w:rsid w:val="003C6D8D"/>
    <w:rsid w:val="003C79DA"/>
    <w:rsid w:val="003D1122"/>
    <w:rsid w:val="003D26EC"/>
    <w:rsid w:val="003D454E"/>
    <w:rsid w:val="003E07E8"/>
    <w:rsid w:val="003E0C4E"/>
    <w:rsid w:val="003E0D37"/>
    <w:rsid w:val="003E15EF"/>
    <w:rsid w:val="003E2ECC"/>
    <w:rsid w:val="003E567C"/>
    <w:rsid w:val="003E5854"/>
    <w:rsid w:val="003E59FA"/>
    <w:rsid w:val="003E5D65"/>
    <w:rsid w:val="003E6085"/>
    <w:rsid w:val="003E60E2"/>
    <w:rsid w:val="003F15BD"/>
    <w:rsid w:val="003F29B2"/>
    <w:rsid w:val="003F3FB4"/>
    <w:rsid w:val="003F540C"/>
    <w:rsid w:val="003F562F"/>
    <w:rsid w:val="0040070D"/>
    <w:rsid w:val="004028D7"/>
    <w:rsid w:val="0040429A"/>
    <w:rsid w:val="0040557F"/>
    <w:rsid w:val="004076B0"/>
    <w:rsid w:val="004108BF"/>
    <w:rsid w:val="0041340C"/>
    <w:rsid w:val="00415711"/>
    <w:rsid w:val="004165E1"/>
    <w:rsid w:val="0041676C"/>
    <w:rsid w:val="00416942"/>
    <w:rsid w:val="00417FDB"/>
    <w:rsid w:val="004217DA"/>
    <w:rsid w:val="0042653D"/>
    <w:rsid w:val="00426E92"/>
    <w:rsid w:val="004277ED"/>
    <w:rsid w:val="00427835"/>
    <w:rsid w:val="004325A3"/>
    <w:rsid w:val="004325CC"/>
    <w:rsid w:val="00432F19"/>
    <w:rsid w:val="00433B16"/>
    <w:rsid w:val="0043405C"/>
    <w:rsid w:val="0043597D"/>
    <w:rsid w:val="004368CA"/>
    <w:rsid w:val="004408FD"/>
    <w:rsid w:val="004416E0"/>
    <w:rsid w:val="00443872"/>
    <w:rsid w:val="0044390F"/>
    <w:rsid w:val="00444187"/>
    <w:rsid w:val="004450DE"/>
    <w:rsid w:val="00446D4D"/>
    <w:rsid w:val="00451669"/>
    <w:rsid w:val="00452BAA"/>
    <w:rsid w:val="00453FEC"/>
    <w:rsid w:val="004557C2"/>
    <w:rsid w:val="00455AD1"/>
    <w:rsid w:val="00455C47"/>
    <w:rsid w:val="0045618C"/>
    <w:rsid w:val="004605FB"/>
    <w:rsid w:val="00462220"/>
    <w:rsid w:val="004628EB"/>
    <w:rsid w:val="004640B5"/>
    <w:rsid w:val="00465140"/>
    <w:rsid w:val="0046568B"/>
    <w:rsid w:val="00465C91"/>
    <w:rsid w:val="004676AE"/>
    <w:rsid w:val="004703FE"/>
    <w:rsid w:val="00472C49"/>
    <w:rsid w:val="00473158"/>
    <w:rsid w:val="00473A2E"/>
    <w:rsid w:val="00473EAA"/>
    <w:rsid w:val="0047626C"/>
    <w:rsid w:val="00477D12"/>
    <w:rsid w:val="004816E1"/>
    <w:rsid w:val="00483769"/>
    <w:rsid w:val="004844E8"/>
    <w:rsid w:val="00486A10"/>
    <w:rsid w:val="00486D00"/>
    <w:rsid w:val="00490427"/>
    <w:rsid w:val="00493A6C"/>
    <w:rsid w:val="00493C50"/>
    <w:rsid w:val="00493F5F"/>
    <w:rsid w:val="004948F7"/>
    <w:rsid w:val="00495450"/>
    <w:rsid w:val="004957D4"/>
    <w:rsid w:val="00496778"/>
    <w:rsid w:val="004973FE"/>
    <w:rsid w:val="004A42F3"/>
    <w:rsid w:val="004A507C"/>
    <w:rsid w:val="004A607B"/>
    <w:rsid w:val="004A6C49"/>
    <w:rsid w:val="004A7742"/>
    <w:rsid w:val="004B2255"/>
    <w:rsid w:val="004B47B0"/>
    <w:rsid w:val="004B4EFE"/>
    <w:rsid w:val="004B64EB"/>
    <w:rsid w:val="004B6ADF"/>
    <w:rsid w:val="004C1F42"/>
    <w:rsid w:val="004C2FFC"/>
    <w:rsid w:val="004C3B30"/>
    <w:rsid w:val="004C45A1"/>
    <w:rsid w:val="004C5A89"/>
    <w:rsid w:val="004C64E9"/>
    <w:rsid w:val="004C6A88"/>
    <w:rsid w:val="004C7AFB"/>
    <w:rsid w:val="004D0F98"/>
    <w:rsid w:val="004D1A33"/>
    <w:rsid w:val="004D1D91"/>
    <w:rsid w:val="004D267D"/>
    <w:rsid w:val="004D3857"/>
    <w:rsid w:val="004D444C"/>
    <w:rsid w:val="004E3BA7"/>
    <w:rsid w:val="004F1E33"/>
    <w:rsid w:val="004F27D7"/>
    <w:rsid w:val="004F2DE0"/>
    <w:rsid w:val="004F37CC"/>
    <w:rsid w:val="004F4437"/>
    <w:rsid w:val="004F5D57"/>
    <w:rsid w:val="004F6BDD"/>
    <w:rsid w:val="004F6FAE"/>
    <w:rsid w:val="005011A7"/>
    <w:rsid w:val="00503BB1"/>
    <w:rsid w:val="005040DB"/>
    <w:rsid w:val="005046D0"/>
    <w:rsid w:val="00505BB8"/>
    <w:rsid w:val="00506959"/>
    <w:rsid w:val="00507CBE"/>
    <w:rsid w:val="00507FAF"/>
    <w:rsid w:val="00511001"/>
    <w:rsid w:val="005128F7"/>
    <w:rsid w:val="005144D5"/>
    <w:rsid w:val="005156B3"/>
    <w:rsid w:val="005203BD"/>
    <w:rsid w:val="00522224"/>
    <w:rsid w:val="0052545B"/>
    <w:rsid w:val="0052777E"/>
    <w:rsid w:val="00527907"/>
    <w:rsid w:val="005306D1"/>
    <w:rsid w:val="00533306"/>
    <w:rsid w:val="005347BF"/>
    <w:rsid w:val="005347DC"/>
    <w:rsid w:val="00537521"/>
    <w:rsid w:val="005405B6"/>
    <w:rsid w:val="00540829"/>
    <w:rsid w:val="00540ADF"/>
    <w:rsid w:val="005415A5"/>
    <w:rsid w:val="00541EE4"/>
    <w:rsid w:val="00545C3D"/>
    <w:rsid w:val="005510AB"/>
    <w:rsid w:val="005513DF"/>
    <w:rsid w:val="00553492"/>
    <w:rsid w:val="00553A93"/>
    <w:rsid w:val="00553E94"/>
    <w:rsid w:val="00555600"/>
    <w:rsid w:val="005574EC"/>
    <w:rsid w:val="0055774E"/>
    <w:rsid w:val="00557C93"/>
    <w:rsid w:val="00562071"/>
    <w:rsid w:val="00562C31"/>
    <w:rsid w:val="0056371E"/>
    <w:rsid w:val="0056763F"/>
    <w:rsid w:val="005711E0"/>
    <w:rsid w:val="0057153D"/>
    <w:rsid w:val="00572C17"/>
    <w:rsid w:val="00573ECE"/>
    <w:rsid w:val="00575612"/>
    <w:rsid w:val="00575C87"/>
    <w:rsid w:val="005803B7"/>
    <w:rsid w:val="00580627"/>
    <w:rsid w:val="00581307"/>
    <w:rsid w:val="00582343"/>
    <w:rsid w:val="005828C4"/>
    <w:rsid w:val="00583561"/>
    <w:rsid w:val="00586645"/>
    <w:rsid w:val="0058786D"/>
    <w:rsid w:val="00587A83"/>
    <w:rsid w:val="005903C3"/>
    <w:rsid w:val="00591496"/>
    <w:rsid w:val="00591557"/>
    <w:rsid w:val="00591F81"/>
    <w:rsid w:val="00593136"/>
    <w:rsid w:val="005949A0"/>
    <w:rsid w:val="005949F8"/>
    <w:rsid w:val="00595603"/>
    <w:rsid w:val="00596192"/>
    <w:rsid w:val="005967C6"/>
    <w:rsid w:val="0059799E"/>
    <w:rsid w:val="005A02B8"/>
    <w:rsid w:val="005A072E"/>
    <w:rsid w:val="005A170F"/>
    <w:rsid w:val="005A2288"/>
    <w:rsid w:val="005A279B"/>
    <w:rsid w:val="005A369E"/>
    <w:rsid w:val="005A4F10"/>
    <w:rsid w:val="005A6967"/>
    <w:rsid w:val="005A6FFC"/>
    <w:rsid w:val="005B0D7E"/>
    <w:rsid w:val="005B17BD"/>
    <w:rsid w:val="005B1F4A"/>
    <w:rsid w:val="005B2553"/>
    <w:rsid w:val="005B2680"/>
    <w:rsid w:val="005B2BAB"/>
    <w:rsid w:val="005B3700"/>
    <w:rsid w:val="005B5130"/>
    <w:rsid w:val="005B59A3"/>
    <w:rsid w:val="005B75C3"/>
    <w:rsid w:val="005C0DA5"/>
    <w:rsid w:val="005C1EE1"/>
    <w:rsid w:val="005C556D"/>
    <w:rsid w:val="005C57A5"/>
    <w:rsid w:val="005C61F5"/>
    <w:rsid w:val="005C6485"/>
    <w:rsid w:val="005D0304"/>
    <w:rsid w:val="005D0C94"/>
    <w:rsid w:val="005D348E"/>
    <w:rsid w:val="005D3DBB"/>
    <w:rsid w:val="005D4EB3"/>
    <w:rsid w:val="005D652C"/>
    <w:rsid w:val="005D6C2C"/>
    <w:rsid w:val="005E0EB5"/>
    <w:rsid w:val="005E34E7"/>
    <w:rsid w:val="005E37CE"/>
    <w:rsid w:val="005E4C1C"/>
    <w:rsid w:val="005E510E"/>
    <w:rsid w:val="005E55DC"/>
    <w:rsid w:val="005E5CBA"/>
    <w:rsid w:val="005E60D6"/>
    <w:rsid w:val="005E6D10"/>
    <w:rsid w:val="005F056F"/>
    <w:rsid w:val="005F07F5"/>
    <w:rsid w:val="005F0F50"/>
    <w:rsid w:val="005F161E"/>
    <w:rsid w:val="005F26AB"/>
    <w:rsid w:val="005F2D85"/>
    <w:rsid w:val="005F369F"/>
    <w:rsid w:val="005F5396"/>
    <w:rsid w:val="005F691C"/>
    <w:rsid w:val="005F6E6C"/>
    <w:rsid w:val="005F77E4"/>
    <w:rsid w:val="005F7B74"/>
    <w:rsid w:val="005F7C8B"/>
    <w:rsid w:val="005F7E70"/>
    <w:rsid w:val="00602A9D"/>
    <w:rsid w:val="00602F5D"/>
    <w:rsid w:val="00603E8C"/>
    <w:rsid w:val="00604E1F"/>
    <w:rsid w:val="00606E2F"/>
    <w:rsid w:val="006110FB"/>
    <w:rsid w:val="006114E6"/>
    <w:rsid w:val="006124B3"/>
    <w:rsid w:val="0061267A"/>
    <w:rsid w:val="00612BA4"/>
    <w:rsid w:val="00613E83"/>
    <w:rsid w:val="00614F81"/>
    <w:rsid w:val="00614FD3"/>
    <w:rsid w:val="006150D0"/>
    <w:rsid w:val="006154E8"/>
    <w:rsid w:val="0061608F"/>
    <w:rsid w:val="00617972"/>
    <w:rsid w:val="00620062"/>
    <w:rsid w:val="006204C2"/>
    <w:rsid w:val="00621BC7"/>
    <w:rsid w:val="00622727"/>
    <w:rsid w:val="00622FE0"/>
    <w:rsid w:val="006238C8"/>
    <w:rsid w:val="00623A73"/>
    <w:rsid w:val="00624CE7"/>
    <w:rsid w:val="006266B7"/>
    <w:rsid w:val="00631AD9"/>
    <w:rsid w:val="00633736"/>
    <w:rsid w:val="00635BE6"/>
    <w:rsid w:val="006363CC"/>
    <w:rsid w:val="0063672E"/>
    <w:rsid w:val="00637A59"/>
    <w:rsid w:val="00637BE4"/>
    <w:rsid w:val="006412DB"/>
    <w:rsid w:val="00642840"/>
    <w:rsid w:val="00644FAA"/>
    <w:rsid w:val="00647BC7"/>
    <w:rsid w:val="00650751"/>
    <w:rsid w:val="006526BD"/>
    <w:rsid w:val="006528ED"/>
    <w:rsid w:val="00652F06"/>
    <w:rsid w:val="00652F50"/>
    <w:rsid w:val="00652FA5"/>
    <w:rsid w:val="00655270"/>
    <w:rsid w:val="00656D85"/>
    <w:rsid w:val="00657229"/>
    <w:rsid w:val="00657602"/>
    <w:rsid w:val="00657C17"/>
    <w:rsid w:val="00660098"/>
    <w:rsid w:val="00664226"/>
    <w:rsid w:val="00665213"/>
    <w:rsid w:val="00665A90"/>
    <w:rsid w:val="00666559"/>
    <w:rsid w:val="006673D5"/>
    <w:rsid w:val="00672E68"/>
    <w:rsid w:val="00673272"/>
    <w:rsid w:val="00675A4A"/>
    <w:rsid w:val="006767A2"/>
    <w:rsid w:val="00677C44"/>
    <w:rsid w:val="00677E34"/>
    <w:rsid w:val="0068069C"/>
    <w:rsid w:val="00680B78"/>
    <w:rsid w:val="00680DB1"/>
    <w:rsid w:val="006834CB"/>
    <w:rsid w:val="006838D5"/>
    <w:rsid w:val="00683E15"/>
    <w:rsid w:val="00683EA3"/>
    <w:rsid w:val="00687A30"/>
    <w:rsid w:val="00690280"/>
    <w:rsid w:val="006916F9"/>
    <w:rsid w:val="00694291"/>
    <w:rsid w:val="00695681"/>
    <w:rsid w:val="0069656A"/>
    <w:rsid w:val="0069687C"/>
    <w:rsid w:val="006A0723"/>
    <w:rsid w:val="006A1E9A"/>
    <w:rsid w:val="006A223F"/>
    <w:rsid w:val="006A2A18"/>
    <w:rsid w:val="006A36C8"/>
    <w:rsid w:val="006A3B86"/>
    <w:rsid w:val="006A422F"/>
    <w:rsid w:val="006A424E"/>
    <w:rsid w:val="006B1268"/>
    <w:rsid w:val="006B1768"/>
    <w:rsid w:val="006B2AA9"/>
    <w:rsid w:val="006B39C7"/>
    <w:rsid w:val="006C3397"/>
    <w:rsid w:val="006C5339"/>
    <w:rsid w:val="006C5DF3"/>
    <w:rsid w:val="006C603A"/>
    <w:rsid w:val="006D0FCB"/>
    <w:rsid w:val="006D17C6"/>
    <w:rsid w:val="006D2DD5"/>
    <w:rsid w:val="006D7381"/>
    <w:rsid w:val="006E0B2C"/>
    <w:rsid w:val="006E101C"/>
    <w:rsid w:val="006E2453"/>
    <w:rsid w:val="006E3A51"/>
    <w:rsid w:val="006E3D57"/>
    <w:rsid w:val="006E3ED9"/>
    <w:rsid w:val="006E5CCF"/>
    <w:rsid w:val="006E788D"/>
    <w:rsid w:val="006E7BDD"/>
    <w:rsid w:val="006F0798"/>
    <w:rsid w:val="006F0B7A"/>
    <w:rsid w:val="006F6C15"/>
    <w:rsid w:val="006F72F5"/>
    <w:rsid w:val="00700F3A"/>
    <w:rsid w:val="0070274C"/>
    <w:rsid w:val="0070417F"/>
    <w:rsid w:val="00705BD7"/>
    <w:rsid w:val="00705E17"/>
    <w:rsid w:val="00705FD8"/>
    <w:rsid w:val="00706C3C"/>
    <w:rsid w:val="00706F6F"/>
    <w:rsid w:val="007102E3"/>
    <w:rsid w:val="007108DB"/>
    <w:rsid w:val="00711882"/>
    <w:rsid w:val="00711D89"/>
    <w:rsid w:val="00712E63"/>
    <w:rsid w:val="00713633"/>
    <w:rsid w:val="0071605C"/>
    <w:rsid w:val="00716B92"/>
    <w:rsid w:val="00717A5D"/>
    <w:rsid w:val="00717B1B"/>
    <w:rsid w:val="00717FD9"/>
    <w:rsid w:val="00721BE9"/>
    <w:rsid w:val="007301C2"/>
    <w:rsid w:val="00732FE2"/>
    <w:rsid w:val="00734B88"/>
    <w:rsid w:val="00734F97"/>
    <w:rsid w:val="00737B38"/>
    <w:rsid w:val="00740D76"/>
    <w:rsid w:val="007414DB"/>
    <w:rsid w:val="00744AE1"/>
    <w:rsid w:val="0074502D"/>
    <w:rsid w:val="00745954"/>
    <w:rsid w:val="00747E0D"/>
    <w:rsid w:val="0075105F"/>
    <w:rsid w:val="007515A5"/>
    <w:rsid w:val="007522E7"/>
    <w:rsid w:val="0075389C"/>
    <w:rsid w:val="00754625"/>
    <w:rsid w:val="00756B97"/>
    <w:rsid w:val="00756EE1"/>
    <w:rsid w:val="00760FC4"/>
    <w:rsid w:val="0076107D"/>
    <w:rsid w:val="00761B2E"/>
    <w:rsid w:val="00761E81"/>
    <w:rsid w:val="00762B53"/>
    <w:rsid w:val="007643B0"/>
    <w:rsid w:val="0076480A"/>
    <w:rsid w:val="0076773A"/>
    <w:rsid w:val="00771C14"/>
    <w:rsid w:val="007753D3"/>
    <w:rsid w:val="00776341"/>
    <w:rsid w:val="007775DA"/>
    <w:rsid w:val="007809F8"/>
    <w:rsid w:val="00782738"/>
    <w:rsid w:val="00783BE7"/>
    <w:rsid w:val="00784135"/>
    <w:rsid w:val="00787805"/>
    <w:rsid w:val="00790EB9"/>
    <w:rsid w:val="00794842"/>
    <w:rsid w:val="00794D06"/>
    <w:rsid w:val="00795555"/>
    <w:rsid w:val="00796D0F"/>
    <w:rsid w:val="00797E9E"/>
    <w:rsid w:val="007A0E46"/>
    <w:rsid w:val="007A14E1"/>
    <w:rsid w:val="007A26A3"/>
    <w:rsid w:val="007A3B85"/>
    <w:rsid w:val="007A4AED"/>
    <w:rsid w:val="007A603B"/>
    <w:rsid w:val="007A665B"/>
    <w:rsid w:val="007A73A4"/>
    <w:rsid w:val="007A7DDF"/>
    <w:rsid w:val="007B236F"/>
    <w:rsid w:val="007B337D"/>
    <w:rsid w:val="007B3575"/>
    <w:rsid w:val="007B5930"/>
    <w:rsid w:val="007B6952"/>
    <w:rsid w:val="007C05AF"/>
    <w:rsid w:val="007C273D"/>
    <w:rsid w:val="007C295F"/>
    <w:rsid w:val="007C2B06"/>
    <w:rsid w:val="007C4262"/>
    <w:rsid w:val="007C7294"/>
    <w:rsid w:val="007D0DEB"/>
    <w:rsid w:val="007D16AD"/>
    <w:rsid w:val="007D3C70"/>
    <w:rsid w:val="007D5B7E"/>
    <w:rsid w:val="007D5DFE"/>
    <w:rsid w:val="007D6317"/>
    <w:rsid w:val="007D72C8"/>
    <w:rsid w:val="007E196D"/>
    <w:rsid w:val="007E427F"/>
    <w:rsid w:val="007E47CA"/>
    <w:rsid w:val="007E57F0"/>
    <w:rsid w:val="007E6AF5"/>
    <w:rsid w:val="007E6E53"/>
    <w:rsid w:val="007F1249"/>
    <w:rsid w:val="007F31EE"/>
    <w:rsid w:val="007F522F"/>
    <w:rsid w:val="007F5537"/>
    <w:rsid w:val="007F5A56"/>
    <w:rsid w:val="007F6802"/>
    <w:rsid w:val="007F71D8"/>
    <w:rsid w:val="00801A94"/>
    <w:rsid w:val="0080219E"/>
    <w:rsid w:val="008028E4"/>
    <w:rsid w:val="00802F6A"/>
    <w:rsid w:val="008038F9"/>
    <w:rsid w:val="00803F6C"/>
    <w:rsid w:val="00804085"/>
    <w:rsid w:val="00806820"/>
    <w:rsid w:val="008079EE"/>
    <w:rsid w:val="00810589"/>
    <w:rsid w:val="00811B2E"/>
    <w:rsid w:val="00815595"/>
    <w:rsid w:val="008168A1"/>
    <w:rsid w:val="00816FFD"/>
    <w:rsid w:val="00820BA1"/>
    <w:rsid w:val="00820E08"/>
    <w:rsid w:val="00820F14"/>
    <w:rsid w:val="0082224E"/>
    <w:rsid w:val="00822BB8"/>
    <w:rsid w:val="0082325B"/>
    <w:rsid w:val="00823681"/>
    <w:rsid w:val="00824E17"/>
    <w:rsid w:val="008252A1"/>
    <w:rsid w:val="0082696A"/>
    <w:rsid w:val="00827931"/>
    <w:rsid w:val="00830B8A"/>
    <w:rsid w:val="0083181C"/>
    <w:rsid w:val="00831D31"/>
    <w:rsid w:val="00832241"/>
    <w:rsid w:val="008328DA"/>
    <w:rsid w:val="00833C59"/>
    <w:rsid w:val="008344AF"/>
    <w:rsid w:val="00834915"/>
    <w:rsid w:val="00835972"/>
    <w:rsid w:val="00836463"/>
    <w:rsid w:val="00837857"/>
    <w:rsid w:val="0084191E"/>
    <w:rsid w:val="00842DC6"/>
    <w:rsid w:val="0084356E"/>
    <w:rsid w:val="0084416E"/>
    <w:rsid w:val="008474E7"/>
    <w:rsid w:val="008477A2"/>
    <w:rsid w:val="00850574"/>
    <w:rsid w:val="008517F4"/>
    <w:rsid w:val="00852AD9"/>
    <w:rsid w:val="008537D5"/>
    <w:rsid w:val="0085427E"/>
    <w:rsid w:val="00855018"/>
    <w:rsid w:val="008554D4"/>
    <w:rsid w:val="00856EEF"/>
    <w:rsid w:val="00857AD4"/>
    <w:rsid w:val="00857B36"/>
    <w:rsid w:val="00860866"/>
    <w:rsid w:val="00861B68"/>
    <w:rsid w:val="008631FF"/>
    <w:rsid w:val="00864B3D"/>
    <w:rsid w:val="00865A92"/>
    <w:rsid w:val="008666C7"/>
    <w:rsid w:val="0087198A"/>
    <w:rsid w:val="00871AC8"/>
    <w:rsid w:val="00872C5C"/>
    <w:rsid w:val="00874FD1"/>
    <w:rsid w:val="00875668"/>
    <w:rsid w:val="008760BB"/>
    <w:rsid w:val="008761A1"/>
    <w:rsid w:val="00876AB4"/>
    <w:rsid w:val="008803DD"/>
    <w:rsid w:val="00880ECF"/>
    <w:rsid w:val="00882053"/>
    <w:rsid w:val="00883590"/>
    <w:rsid w:val="00883CA6"/>
    <w:rsid w:val="00886FD1"/>
    <w:rsid w:val="00887013"/>
    <w:rsid w:val="008876EE"/>
    <w:rsid w:val="00890C9A"/>
    <w:rsid w:val="008911E8"/>
    <w:rsid w:val="00892475"/>
    <w:rsid w:val="008942A7"/>
    <w:rsid w:val="0089587A"/>
    <w:rsid w:val="0089688F"/>
    <w:rsid w:val="00896ECE"/>
    <w:rsid w:val="00897784"/>
    <w:rsid w:val="00897C62"/>
    <w:rsid w:val="008A0A24"/>
    <w:rsid w:val="008A10D1"/>
    <w:rsid w:val="008A1AFC"/>
    <w:rsid w:val="008A24EA"/>
    <w:rsid w:val="008A264E"/>
    <w:rsid w:val="008A27A1"/>
    <w:rsid w:val="008A2B5A"/>
    <w:rsid w:val="008A3026"/>
    <w:rsid w:val="008A4145"/>
    <w:rsid w:val="008A53F1"/>
    <w:rsid w:val="008A57F4"/>
    <w:rsid w:val="008A65D6"/>
    <w:rsid w:val="008A6778"/>
    <w:rsid w:val="008A6806"/>
    <w:rsid w:val="008A7B71"/>
    <w:rsid w:val="008A7BF6"/>
    <w:rsid w:val="008B24E2"/>
    <w:rsid w:val="008B4DA0"/>
    <w:rsid w:val="008B4EE6"/>
    <w:rsid w:val="008B549B"/>
    <w:rsid w:val="008B70F0"/>
    <w:rsid w:val="008B7CAC"/>
    <w:rsid w:val="008C1C14"/>
    <w:rsid w:val="008C637F"/>
    <w:rsid w:val="008C7601"/>
    <w:rsid w:val="008D43FA"/>
    <w:rsid w:val="008D5130"/>
    <w:rsid w:val="008E0139"/>
    <w:rsid w:val="008E1424"/>
    <w:rsid w:val="008E2219"/>
    <w:rsid w:val="008E238B"/>
    <w:rsid w:val="008E332B"/>
    <w:rsid w:val="008F0AAE"/>
    <w:rsid w:val="008F1210"/>
    <w:rsid w:val="008F1DA9"/>
    <w:rsid w:val="008F253A"/>
    <w:rsid w:val="008F27DB"/>
    <w:rsid w:val="008F2F29"/>
    <w:rsid w:val="008F3497"/>
    <w:rsid w:val="008F6BB3"/>
    <w:rsid w:val="008F7E8C"/>
    <w:rsid w:val="009021A6"/>
    <w:rsid w:val="00903C0A"/>
    <w:rsid w:val="00907695"/>
    <w:rsid w:val="00910C28"/>
    <w:rsid w:val="00911883"/>
    <w:rsid w:val="00911CC0"/>
    <w:rsid w:val="00913100"/>
    <w:rsid w:val="009157E7"/>
    <w:rsid w:val="00917D94"/>
    <w:rsid w:val="00920BCB"/>
    <w:rsid w:val="00921470"/>
    <w:rsid w:val="0092405B"/>
    <w:rsid w:val="00926AC7"/>
    <w:rsid w:val="0093123D"/>
    <w:rsid w:val="00932872"/>
    <w:rsid w:val="00934246"/>
    <w:rsid w:val="009346CA"/>
    <w:rsid w:val="0093517D"/>
    <w:rsid w:val="0093592E"/>
    <w:rsid w:val="00935BE2"/>
    <w:rsid w:val="00936826"/>
    <w:rsid w:val="009372D9"/>
    <w:rsid w:val="00940880"/>
    <w:rsid w:val="00940C6D"/>
    <w:rsid w:val="00941298"/>
    <w:rsid w:val="00943455"/>
    <w:rsid w:val="0094384C"/>
    <w:rsid w:val="009457F5"/>
    <w:rsid w:val="00946428"/>
    <w:rsid w:val="00950086"/>
    <w:rsid w:val="00950140"/>
    <w:rsid w:val="00956318"/>
    <w:rsid w:val="009568C3"/>
    <w:rsid w:val="00957A66"/>
    <w:rsid w:val="009609EC"/>
    <w:rsid w:val="00960F67"/>
    <w:rsid w:val="00970472"/>
    <w:rsid w:val="00971F17"/>
    <w:rsid w:val="009736C7"/>
    <w:rsid w:val="009753AA"/>
    <w:rsid w:val="00982A66"/>
    <w:rsid w:val="00983293"/>
    <w:rsid w:val="0098338F"/>
    <w:rsid w:val="009833DC"/>
    <w:rsid w:val="00985D69"/>
    <w:rsid w:val="009873B9"/>
    <w:rsid w:val="00992B69"/>
    <w:rsid w:val="00992ED0"/>
    <w:rsid w:val="009953B2"/>
    <w:rsid w:val="00995693"/>
    <w:rsid w:val="00996A82"/>
    <w:rsid w:val="009A008C"/>
    <w:rsid w:val="009A1E70"/>
    <w:rsid w:val="009A2122"/>
    <w:rsid w:val="009A2591"/>
    <w:rsid w:val="009A3AE3"/>
    <w:rsid w:val="009A41B3"/>
    <w:rsid w:val="009A4656"/>
    <w:rsid w:val="009B06A6"/>
    <w:rsid w:val="009B1F9B"/>
    <w:rsid w:val="009B3A53"/>
    <w:rsid w:val="009B4200"/>
    <w:rsid w:val="009B477E"/>
    <w:rsid w:val="009B5582"/>
    <w:rsid w:val="009B5DC0"/>
    <w:rsid w:val="009C092A"/>
    <w:rsid w:val="009C125E"/>
    <w:rsid w:val="009C2F66"/>
    <w:rsid w:val="009C451A"/>
    <w:rsid w:val="009C550E"/>
    <w:rsid w:val="009C6722"/>
    <w:rsid w:val="009C68A4"/>
    <w:rsid w:val="009C7B17"/>
    <w:rsid w:val="009D008E"/>
    <w:rsid w:val="009D372A"/>
    <w:rsid w:val="009D3BBE"/>
    <w:rsid w:val="009D6921"/>
    <w:rsid w:val="009D7FC4"/>
    <w:rsid w:val="009E0DAC"/>
    <w:rsid w:val="009E15D4"/>
    <w:rsid w:val="009E1B03"/>
    <w:rsid w:val="009E47CE"/>
    <w:rsid w:val="009E4DB9"/>
    <w:rsid w:val="009E66DE"/>
    <w:rsid w:val="009E6798"/>
    <w:rsid w:val="009E6E11"/>
    <w:rsid w:val="009F2DC2"/>
    <w:rsid w:val="009F3122"/>
    <w:rsid w:val="009F3CF8"/>
    <w:rsid w:val="009F430D"/>
    <w:rsid w:val="009F4DD2"/>
    <w:rsid w:val="009F50A8"/>
    <w:rsid w:val="009F51A8"/>
    <w:rsid w:val="009F6080"/>
    <w:rsid w:val="00A00361"/>
    <w:rsid w:val="00A0193D"/>
    <w:rsid w:val="00A01BBA"/>
    <w:rsid w:val="00A04C4F"/>
    <w:rsid w:val="00A050DF"/>
    <w:rsid w:val="00A0513A"/>
    <w:rsid w:val="00A07980"/>
    <w:rsid w:val="00A139DC"/>
    <w:rsid w:val="00A14422"/>
    <w:rsid w:val="00A150D4"/>
    <w:rsid w:val="00A154CD"/>
    <w:rsid w:val="00A17FB4"/>
    <w:rsid w:val="00A20C4F"/>
    <w:rsid w:val="00A2409A"/>
    <w:rsid w:val="00A25299"/>
    <w:rsid w:val="00A26C06"/>
    <w:rsid w:val="00A27DCA"/>
    <w:rsid w:val="00A30A33"/>
    <w:rsid w:val="00A30D4D"/>
    <w:rsid w:val="00A310CC"/>
    <w:rsid w:val="00A31FBD"/>
    <w:rsid w:val="00A3201D"/>
    <w:rsid w:val="00A328CC"/>
    <w:rsid w:val="00A33EF6"/>
    <w:rsid w:val="00A3595D"/>
    <w:rsid w:val="00A424D8"/>
    <w:rsid w:val="00A43084"/>
    <w:rsid w:val="00A4328C"/>
    <w:rsid w:val="00A506AA"/>
    <w:rsid w:val="00A50A37"/>
    <w:rsid w:val="00A51811"/>
    <w:rsid w:val="00A51C0B"/>
    <w:rsid w:val="00A53CF5"/>
    <w:rsid w:val="00A54782"/>
    <w:rsid w:val="00A560F0"/>
    <w:rsid w:val="00A56255"/>
    <w:rsid w:val="00A56464"/>
    <w:rsid w:val="00A60F90"/>
    <w:rsid w:val="00A61A45"/>
    <w:rsid w:val="00A61C03"/>
    <w:rsid w:val="00A63912"/>
    <w:rsid w:val="00A64255"/>
    <w:rsid w:val="00A64AC7"/>
    <w:rsid w:val="00A65BDE"/>
    <w:rsid w:val="00A65F16"/>
    <w:rsid w:val="00A66005"/>
    <w:rsid w:val="00A675FE"/>
    <w:rsid w:val="00A67A4C"/>
    <w:rsid w:val="00A70784"/>
    <w:rsid w:val="00A7274E"/>
    <w:rsid w:val="00A72F41"/>
    <w:rsid w:val="00A754AE"/>
    <w:rsid w:val="00A76C0D"/>
    <w:rsid w:val="00A77766"/>
    <w:rsid w:val="00A82858"/>
    <w:rsid w:val="00A82FE5"/>
    <w:rsid w:val="00A8584F"/>
    <w:rsid w:val="00A85D08"/>
    <w:rsid w:val="00A86AD1"/>
    <w:rsid w:val="00A86D61"/>
    <w:rsid w:val="00A8714D"/>
    <w:rsid w:val="00A87AE3"/>
    <w:rsid w:val="00A902B9"/>
    <w:rsid w:val="00A910F7"/>
    <w:rsid w:val="00A91975"/>
    <w:rsid w:val="00A94300"/>
    <w:rsid w:val="00A950E6"/>
    <w:rsid w:val="00A960C7"/>
    <w:rsid w:val="00AA0611"/>
    <w:rsid w:val="00AA1DD3"/>
    <w:rsid w:val="00AA3354"/>
    <w:rsid w:val="00AA497B"/>
    <w:rsid w:val="00AA5707"/>
    <w:rsid w:val="00AA73D2"/>
    <w:rsid w:val="00AA7EB8"/>
    <w:rsid w:val="00AB07B9"/>
    <w:rsid w:val="00AB2BE1"/>
    <w:rsid w:val="00AB317A"/>
    <w:rsid w:val="00AB327B"/>
    <w:rsid w:val="00AB3F29"/>
    <w:rsid w:val="00AB5858"/>
    <w:rsid w:val="00AB5AE5"/>
    <w:rsid w:val="00AB6299"/>
    <w:rsid w:val="00AB68F1"/>
    <w:rsid w:val="00AB7516"/>
    <w:rsid w:val="00AC09C0"/>
    <w:rsid w:val="00AC16EA"/>
    <w:rsid w:val="00AC2A5A"/>
    <w:rsid w:val="00AC403F"/>
    <w:rsid w:val="00AC5385"/>
    <w:rsid w:val="00AC5C7F"/>
    <w:rsid w:val="00AC7678"/>
    <w:rsid w:val="00AC7BA2"/>
    <w:rsid w:val="00AD0463"/>
    <w:rsid w:val="00AD2CAA"/>
    <w:rsid w:val="00AD340F"/>
    <w:rsid w:val="00AD6918"/>
    <w:rsid w:val="00AD732C"/>
    <w:rsid w:val="00AE0B81"/>
    <w:rsid w:val="00AE0E6E"/>
    <w:rsid w:val="00AE187C"/>
    <w:rsid w:val="00AE2667"/>
    <w:rsid w:val="00AE2CA1"/>
    <w:rsid w:val="00AE47F2"/>
    <w:rsid w:val="00AE6718"/>
    <w:rsid w:val="00AE6D6A"/>
    <w:rsid w:val="00AE7A52"/>
    <w:rsid w:val="00AF0D1A"/>
    <w:rsid w:val="00AF120C"/>
    <w:rsid w:val="00AF3BB7"/>
    <w:rsid w:val="00AF494A"/>
    <w:rsid w:val="00AF4BF4"/>
    <w:rsid w:val="00B03A28"/>
    <w:rsid w:val="00B03FEA"/>
    <w:rsid w:val="00B05371"/>
    <w:rsid w:val="00B06C20"/>
    <w:rsid w:val="00B10F3A"/>
    <w:rsid w:val="00B12794"/>
    <w:rsid w:val="00B14FBC"/>
    <w:rsid w:val="00B15909"/>
    <w:rsid w:val="00B16173"/>
    <w:rsid w:val="00B1718F"/>
    <w:rsid w:val="00B17593"/>
    <w:rsid w:val="00B1799C"/>
    <w:rsid w:val="00B2194A"/>
    <w:rsid w:val="00B21B64"/>
    <w:rsid w:val="00B21C3D"/>
    <w:rsid w:val="00B227AE"/>
    <w:rsid w:val="00B244FB"/>
    <w:rsid w:val="00B30587"/>
    <w:rsid w:val="00B307FF"/>
    <w:rsid w:val="00B31406"/>
    <w:rsid w:val="00B31843"/>
    <w:rsid w:val="00B31E26"/>
    <w:rsid w:val="00B31FD8"/>
    <w:rsid w:val="00B34542"/>
    <w:rsid w:val="00B353DA"/>
    <w:rsid w:val="00B37902"/>
    <w:rsid w:val="00B37FE7"/>
    <w:rsid w:val="00B40D42"/>
    <w:rsid w:val="00B41B9A"/>
    <w:rsid w:val="00B4470C"/>
    <w:rsid w:val="00B4565D"/>
    <w:rsid w:val="00B479CD"/>
    <w:rsid w:val="00B50484"/>
    <w:rsid w:val="00B51872"/>
    <w:rsid w:val="00B51C42"/>
    <w:rsid w:val="00B52592"/>
    <w:rsid w:val="00B534A0"/>
    <w:rsid w:val="00B5378E"/>
    <w:rsid w:val="00B5473C"/>
    <w:rsid w:val="00B55231"/>
    <w:rsid w:val="00B5534E"/>
    <w:rsid w:val="00B5582D"/>
    <w:rsid w:val="00B55C9A"/>
    <w:rsid w:val="00B55F2C"/>
    <w:rsid w:val="00B565CA"/>
    <w:rsid w:val="00B57F04"/>
    <w:rsid w:val="00B61B6F"/>
    <w:rsid w:val="00B62788"/>
    <w:rsid w:val="00B628A0"/>
    <w:rsid w:val="00B62DC9"/>
    <w:rsid w:val="00B639F4"/>
    <w:rsid w:val="00B70731"/>
    <w:rsid w:val="00B722AF"/>
    <w:rsid w:val="00B73A35"/>
    <w:rsid w:val="00B73C9A"/>
    <w:rsid w:val="00B73D3C"/>
    <w:rsid w:val="00B750FA"/>
    <w:rsid w:val="00B76BDE"/>
    <w:rsid w:val="00B76C1A"/>
    <w:rsid w:val="00B77A3B"/>
    <w:rsid w:val="00B77FC7"/>
    <w:rsid w:val="00B81AF1"/>
    <w:rsid w:val="00B83169"/>
    <w:rsid w:val="00B8583D"/>
    <w:rsid w:val="00B877EE"/>
    <w:rsid w:val="00B90369"/>
    <w:rsid w:val="00B904DB"/>
    <w:rsid w:val="00B928C3"/>
    <w:rsid w:val="00B94909"/>
    <w:rsid w:val="00B96508"/>
    <w:rsid w:val="00B969D7"/>
    <w:rsid w:val="00BA3745"/>
    <w:rsid w:val="00BA494A"/>
    <w:rsid w:val="00BA50D7"/>
    <w:rsid w:val="00BA5B22"/>
    <w:rsid w:val="00BA5C0E"/>
    <w:rsid w:val="00BB0149"/>
    <w:rsid w:val="00BB09B2"/>
    <w:rsid w:val="00BB0D4D"/>
    <w:rsid w:val="00BB0DB6"/>
    <w:rsid w:val="00BB22DE"/>
    <w:rsid w:val="00BB26E3"/>
    <w:rsid w:val="00BB2E31"/>
    <w:rsid w:val="00BB5429"/>
    <w:rsid w:val="00BB55A3"/>
    <w:rsid w:val="00BB665B"/>
    <w:rsid w:val="00BC1615"/>
    <w:rsid w:val="00BC199C"/>
    <w:rsid w:val="00BC2E85"/>
    <w:rsid w:val="00BC4684"/>
    <w:rsid w:val="00BC71A2"/>
    <w:rsid w:val="00BC78DD"/>
    <w:rsid w:val="00BD05FF"/>
    <w:rsid w:val="00BD0CAD"/>
    <w:rsid w:val="00BD0FE5"/>
    <w:rsid w:val="00BD1088"/>
    <w:rsid w:val="00BD121D"/>
    <w:rsid w:val="00BD261E"/>
    <w:rsid w:val="00BD6B18"/>
    <w:rsid w:val="00BD7114"/>
    <w:rsid w:val="00BE21C5"/>
    <w:rsid w:val="00BE3CCB"/>
    <w:rsid w:val="00BE4028"/>
    <w:rsid w:val="00BE4398"/>
    <w:rsid w:val="00BE4A52"/>
    <w:rsid w:val="00BE595A"/>
    <w:rsid w:val="00BE5B16"/>
    <w:rsid w:val="00BF043B"/>
    <w:rsid w:val="00C03F4B"/>
    <w:rsid w:val="00C041F8"/>
    <w:rsid w:val="00C05E5C"/>
    <w:rsid w:val="00C06404"/>
    <w:rsid w:val="00C07957"/>
    <w:rsid w:val="00C10380"/>
    <w:rsid w:val="00C103D7"/>
    <w:rsid w:val="00C13106"/>
    <w:rsid w:val="00C132DE"/>
    <w:rsid w:val="00C158A7"/>
    <w:rsid w:val="00C164C5"/>
    <w:rsid w:val="00C1739D"/>
    <w:rsid w:val="00C208C3"/>
    <w:rsid w:val="00C21517"/>
    <w:rsid w:val="00C23015"/>
    <w:rsid w:val="00C2327D"/>
    <w:rsid w:val="00C24338"/>
    <w:rsid w:val="00C24FBA"/>
    <w:rsid w:val="00C25A04"/>
    <w:rsid w:val="00C26071"/>
    <w:rsid w:val="00C309DC"/>
    <w:rsid w:val="00C3179D"/>
    <w:rsid w:val="00C329FD"/>
    <w:rsid w:val="00C3310C"/>
    <w:rsid w:val="00C33F92"/>
    <w:rsid w:val="00C3420A"/>
    <w:rsid w:val="00C34AC0"/>
    <w:rsid w:val="00C357E3"/>
    <w:rsid w:val="00C37B6B"/>
    <w:rsid w:val="00C37CBC"/>
    <w:rsid w:val="00C4052E"/>
    <w:rsid w:val="00C41E45"/>
    <w:rsid w:val="00C44D0F"/>
    <w:rsid w:val="00C46117"/>
    <w:rsid w:val="00C4756B"/>
    <w:rsid w:val="00C50741"/>
    <w:rsid w:val="00C515D7"/>
    <w:rsid w:val="00C51EEA"/>
    <w:rsid w:val="00C5316C"/>
    <w:rsid w:val="00C5362F"/>
    <w:rsid w:val="00C53BBE"/>
    <w:rsid w:val="00C554B0"/>
    <w:rsid w:val="00C55955"/>
    <w:rsid w:val="00C61B6E"/>
    <w:rsid w:val="00C64C70"/>
    <w:rsid w:val="00C65254"/>
    <w:rsid w:val="00C676C5"/>
    <w:rsid w:val="00C70699"/>
    <w:rsid w:val="00C716FA"/>
    <w:rsid w:val="00C7183E"/>
    <w:rsid w:val="00C7228B"/>
    <w:rsid w:val="00C73E0C"/>
    <w:rsid w:val="00C744F9"/>
    <w:rsid w:val="00C7507F"/>
    <w:rsid w:val="00C75C85"/>
    <w:rsid w:val="00C77B8B"/>
    <w:rsid w:val="00C77BF8"/>
    <w:rsid w:val="00C82CEC"/>
    <w:rsid w:val="00C83180"/>
    <w:rsid w:val="00C843A9"/>
    <w:rsid w:val="00C863A7"/>
    <w:rsid w:val="00C87C98"/>
    <w:rsid w:val="00C90E5A"/>
    <w:rsid w:val="00C91B81"/>
    <w:rsid w:val="00C9239C"/>
    <w:rsid w:val="00C95966"/>
    <w:rsid w:val="00C96DC2"/>
    <w:rsid w:val="00C97C83"/>
    <w:rsid w:val="00CA0153"/>
    <w:rsid w:val="00CA1709"/>
    <w:rsid w:val="00CA22A3"/>
    <w:rsid w:val="00CA35ED"/>
    <w:rsid w:val="00CA5B85"/>
    <w:rsid w:val="00CB00B2"/>
    <w:rsid w:val="00CB03B2"/>
    <w:rsid w:val="00CB31CC"/>
    <w:rsid w:val="00CB7414"/>
    <w:rsid w:val="00CC0397"/>
    <w:rsid w:val="00CC1DE6"/>
    <w:rsid w:val="00CC2670"/>
    <w:rsid w:val="00CC3C07"/>
    <w:rsid w:val="00CC4411"/>
    <w:rsid w:val="00CC4D64"/>
    <w:rsid w:val="00CC4DB0"/>
    <w:rsid w:val="00CC5093"/>
    <w:rsid w:val="00CC5B7C"/>
    <w:rsid w:val="00CC5E7A"/>
    <w:rsid w:val="00CC621B"/>
    <w:rsid w:val="00CD07CC"/>
    <w:rsid w:val="00CD0C65"/>
    <w:rsid w:val="00CD156D"/>
    <w:rsid w:val="00CD19C0"/>
    <w:rsid w:val="00CD2D54"/>
    <w:rsid w:val="00CD4316"/>
    <w:rsid w:val="00CD4940"/>
    <w:rsid w:val="00CD7941"/>
    <w:rsid w:val="00CE198D"/>
    <w:rsid w:val="00CE29A1"/>
    <w:rsid w:val="00CE307A"/>
    <w:rsid w:val="00CE73E7"/>
    <w:rsid w:val="00CE7FC6"/>
    <w:rsid w:val="00CF1C09"/>
    <w:rsid w:val="00CF1FB3"/>
    <w:rsid w:val="00CF2679"/>
    <w:rsid w:val="00CF4B1B"/>
    <w:rsid w:val="00CF55FC"/>
    <w:rsid w:val="00CF6B8F"/>
    <w:rsid w:val="00D003E0"/>
    <w:rsid w:val="00D00411"/>
    <w:rsid w:val="00D00AC9"/>
    <w:rsid w:val="00D00F45"/>
    <w:rsid w:val="00D030D4"/>
    <w:rsid w:val="00D03688"/>
    <w:rsid w:val="00D03998"/>
    <w:rsid w:val="00D03FD0"/>
    <w:rsid w:val="00D040A2"/>
    <w:rsid w:val="00D10287"/>
    <w:rsid w:val="00D126BE"/>
    <w:rsid w:val="00D1275F"/>
    <w:rsid w:val="00D129A0"/>
    <w:rsid w:val="00D12D01"/>
    <w:rsid w:val="00D13BC6"/>
    <w:rsid w:val="00D13F78"/>
    <w:rsid w:val="00D147B5"/>
    <w:rsid w:val="00D17298"/>
    <w:rsid w:val="00D17B66"/>
    <w:rsid w:val="00D20948"/>
    <w:rsid w:val="00D23D8A"/>
    <w:rsid w:val="00D24172"/>
    <w:rsid w:val="00D25394"/>
    <w:rsid w:val="00D27F2F"/>
    <w:rsid w:val="00D3175F"/>
    <w:rsid w:val="00D322D8"/>
    <w:rsid w:val="00D32834"/>
    <w:rsid w:val="00D3314B"/>
    <w:rsid w:val="00D33D3F"/>
    <w:rsid w:val="00D34016"/>
    <w:rsid w:val="00D355B4"/>
    <w:rsid w:val="00D36ADD"/>
    <w:rsid w:val="00D41F5B"/>
    <w:rsid w:val="00D45048"/>
    <w:rsid w:val="00D52A07"/>
    <w:rsid w:val="00D53269"/>
    <w:rsid w:val="00D54DC0"/>
    <w:rsid w:val="00D551A7"/>
    <w:rsid w:val="00D56861"/>
    <w:rsid w:val="00D5754B"/>
    <w:rsid w:val="00D621F3"/>
    <w:rsid w:val="00D63296"/>
    <w:rsid w:val="00D65102"/>
    <w:rsid w:val="00D67830"/>
    <w:rsid w:val="00D67D74"/>
    <w:rsid w:val="00D71AA0"/>
    <w:rsid w:val="00D71B58"/>
    <w:rsid w:val="00D73205"/>
    <w:rsid w:val="00D735E4"/>
    <w:rsid w:val="00D741B3"/>
    <w:rsid w:val="00D74759"/>
    <w:rsid w:val="00D7681C"/>
    <w:rsid w:val="00D76C4E"/>
    <w:rsid w:val="00D8050B"/>
    <w:rsid w:val="00D80672"/>
    <w:rsid w:val="00D8071E"/>
    <w:rsid w:val="00D81133"/>
    <w:rsid w:val="00D828D4"/>
    <w:rsid w:val="00D82A8A"/>
    <w:rsid w:val="00D84C03"/>
    <w:rsid w:val="00D8613D"/>
    <w:rsid w:val="00D87821"/>
    <w:rsid w:val="00D91032"/>
    <w:rsid w:val="00D9127B"/>
    <w:rsid w:val="00D9181F"/>
    <w:rsid w:val="00D92534"/>
    <w:rsid w:val="00D92E95"/>
    <w:rsid w:val="00D93F8B"/>
    <w:rsid w:val="00D94D18"/>
    <w:rsid w:val="00D95CF5"/>
    <w:rsid w:val="00D96A31"/>
    <w:rsid w:val="00D97FEB"/>
    <w:rsid w:val="00DA01D8"/>
    <w:rsid w:val="00DA1214"/>
    <w:rsid w:val="00DA14C8"/>
    <w:rsid w:val="00DA2BF3"/>
    <w:rsid w:val="00DA2E5B"/>
    <w:rsid w:val="00DA3EDD"/>
    <w:rsid w:val="00DA4B5A"/>
    <w:rsid w:val="00DA4D2D"/>
    <w:rsid w:val="00DA64EC"/>
    <w:rsid w:val="00DA7C56"/>
    <w:rsid w:val="00DB05D4"/>
    <w:rsid w:val="00DB05F4"/>
    <w:rsid w:val="00DB060D"/>
    <w:rsid w:val="00DB0B46"/>
    <w:rsid w:val="00DB0F01"/>
    <w:rsid w:val="00DB1655"/>
    <w:rsid w:val="00DB1924"/>
    <w:rsid w:val="00DB1BBF"/>
    <w:rsid w:val="00DB2AAE"/>
    <w:rsid w:val="00DB347C"/>
    <w:rsid w:val="00DB4578"/>
    <w:rsid w:val="00DB4BD5"/>
    <w:rsid w:val="00DB51F0"/>
    <w:rsid w:val="00DB5F58"/>
    <w:rsid w:val="00DB7C68"/>
    <w:rsid w:val="00DC0EC8"/>
    <w:rsid w:val="00DC16D7"/>
    <w:rsid w:val="00DC2A5B"/>
    <w:rsid w:val="00DC2BFC"/>
    <w:rsid w:val="00DC3AF2"/>
    <w:rsid w:val="00DC4D37"/>
    <w:rsid w:val="00DC647C"/>
    <w:rsid w:val="00DC6872"/>
    <w:rsid w:val="00DC6DB6"/>
    <w:rsid w:val="00DD154D"/>
    <w:rsid w:val="00DD1F98"/>
    <w:rsid w:val="00DD3FEC"/>
    <w:rsid w:val="00DD61CB"/>
    <w:rsid w:val="00DD7186"/>
    <w:rsid w:val="00DD77DB"/>
    <w:rsid w:val="00DD7BC8"/>
    <w:rsid w:val="00DE0D01"/>
    <w:rsid w:val="00DE2117"/>
    <w:rsid w:val="00DE29FD"/>
    <w:rsid w:val="00DE37CE"/>
    <w:rsid w:val="00DE3C83"/>
    <w:rsid w:val="00DE598B"/>
    <w:rsid w:val="00DE60A5"/>
    <w:rsid w:val="00DE7369"/>
    <w:rsid w:val="00DE7EB1"/>
    <w:rsid w:val="00DF1424"/>
    <w:rsid w:val="00DF22B8"/>
    <w:rsid w:val="00DF5C26"/>
    <w:rsid w:val="00DF65C7"/>
    <w:rsid w:val="00DF683B"/>
    <w:rsid w:val="00DF6D7D"/>
    <w:rsid w:val="00E00A2C"/>
    <w:rsid w:val="00E01C24"/>
    <w:rsid w:val="00E02BFD"/>
    <w:rsid w:val="00E0562C"/>
    <w:rsid w:val="00E05F4F"/>
    <w:rsid w:val="00E06EF2"/>
    <w:rsid w:val="00E0766C"/>
    <w:rsid w:val="00E07C47"/>
    <w:rsid w:val="00E11950"/>
    <w:rsid w:val="00E11DEE"/>
    <w:rsid w:val="00E139C1"/>
    <w:rsid w:val="00E1462F"/>
    <w:rsid w:val="00E14700"/>
    <w:rsid w:val="00E15B55"/>
    <w:rsid w:val="00E16045"/>
    <w:rsid w:val="00E17924"/>
    <w:rsid w:val="00E211F8"/>
    <w:rsid w:val="00E2192F"/>
    <w:rsid w:val="00E22E29"/>
    <w:rsid w:val="00E22E59"/>
    <w:rsid w:val="00E23514"/>
    <w:rsid w:val="00E25806"/>
    <w:rsid w:val="00E314E9"/>
    <w:rsid w:val="00E32465"/>
    <w:rsid w:val="00E32728"/>
    <w:rsid w:val="00E35720"/>
    <w:rsid w:val="00E35FF7"/>
    <w:rsid w:val="00E3708B"/>
    <w:rsid w:val="00E37A8E"/>
    <w:rsid w:val="00E41118"/>
    <w:rsid w:val="00E45273"/>
    <w:rsid w:val="00E46449"/>
    <w:rsid w:val="00E50312"/>
    <w:rsid w:val="00E51C79"/>
    <w:rsid w:val="00E527A2"/>
    <w:rsid w:val="00E5336D"/>
    <w:rsid w:val="00E535E0"/>
    <w:rsid w:val="00E53720"/>
    <w:rsid w:val="00E54E32"/>
    <w:rsid w:val="00E55AF1"/>
    <w:rsid w:val="00E60DC7"/>
    <w:rsid w:val="00E614FC"/>
    <w:rsid w:val="00E61A72"/>
    <w:rsid w:val="00E620E7"/>
    <w:rsid w:val="00E6219F"/>
    <w:rsid w:val="00E62571"/>
    <w:rsid w:val="00E62705"/>
    <w:rsid w:val="00E62BBE"/>
    <w:rsid w:val="00E636ED"/>
    <w:rsid w:val="00E63DC4"/>
    <w:rsid w:val="00E63F72"/>
    <w:rsid w:val="00E64184"/>
    <w:rsid w:val="00E64563"/>
    <w:rsid w:val="00E64D60"/>
    <w:rsid w:val="00E65668"/>
    <w:rsid w:val="00E65806"/>
    <w:rsid w:val="00E67640"/>
    <w:rsid w:val="00E6791C"/>
    <w:rsid w:val="00E70484"/>
    <w:rsid w:val="00E712C2"/>
    <w:rsid w:val="00E71C02"/>
    <w:rsid w:val="00E722CC"/>
    <w:rsid w:val="00E726EB"/>
    <w:rsid w:val="00E730F5"/>
    <w:rsid w:val="00E73945"/>
    <w:rsid w:val="00E76144"/>
    <w:rsid w:val="00E76C8A"/>
    <w:rsid w:val="00E77BC5"/>
    <w:rsid w:val="00E805BA"/>
    <w:rsid w:val="00E819ED"/>
    <w:rsid w:val="00E81D15"/>
    <w:rsid w:val="00E85BE5"/>
    <w:rsid w:val="00E86A0D"/>
    <w:rsid w:val="00E86E26"/>
    <w:rsid w:val="00E90415"/>
    <w:rsid w:val="00E92849"/>
    <w:rsid w:val="00E94B6B"/>
    <w:rsid w:val="00E94C5A"/>
    <w:rsid w:val="00E95B6B"/>
    <w:rsid w:val="00E96800"/>
    <w:rsid w:val="00E97AE6"/>
    <w:rsid w:val="00EA09FF"/>
    <w:rsid w:val="00EA0C33"/>
    <w:rsid w:val="00EA0DBD"/>
    <w:rsid w:val="00EA2DB4"/>
    <w:rsid w:val="00EA2F70"/>
    <w:rsid w:val="00EA34A4"/>
    <w:rsid w:val="00EA40DB"/>
    <w:rsid w:val="00EA49C8"/>
    <w:rsid w:val="00EA6BDE"/>
    <w:rsid w:val="00EA7432"/>
    <w:rsid w:val="00EA75FA"/>
    <w:rsid w:val="00EA78C4"/>
    <w:rsid w:val="00EA7986"/>
    <w:rsid w:val="00EB147E"/>
    <w:rsid w:val="00EB1D8B"/>
    <w:rsid w:val="00EB1FE9"/>
    <w:rsid w:val="00EB385F"/>
    <w:rsid w:val="00EB38F6"/>
    <w:rsid w:val="00EB3E42"/>
    <w:rsid w:val="00EB43A7"/>
    <w:rsid w:val="00EB4775"/>
    <w:rsid w:val="00EB591E"/>
    <w:rsid w:val="00EB5DC2"/>
    <w:rsid w:val="00EB7795"/>
    <w:rsid w:val="00EC108C"/>
    <w:rsid w:val="00EC11ED"/>
    <w:rsid w:val="00EC1324"/>
    <w:rsid w:val="00EC28B5"/>
    <w:rsid w:val="00EC32BE"/>
    <w:rsid w:val="00EC35FD"/>
    <w:rsid w:val="00EC38A0"/>
    <w:rsid w:val="00EC5D69"/>
    <w:rsid w:val="00EC67A5"/>
    <w:rsid w:val="00EC6BD1"/>
    <w:rsid w:val="00EC6FE7"/>
    <w:rsid w:val="00ED03F0"/>
    <w:rsid w:val="00ED1305"/>
    <w:rsid w:val="00ED2311"/>
    <w:rsid w:val="00ED2793"/>
    <w:rsid w:val="00ED2C2E"/>
    <w:rsid w:val="00ED3A74"/>
    <w:rsid w:val="00ED4A98"/>
    <w:rsid w:val="00EE363A"/>
    <w:rsid w:val="00EE4EDB"/>
    <w:rsid w:val="00EE6A29"/>
    <w:rsid w:val="00EE74D1"/>
    <w:rsid w:val="00EE7858"/>
    <w:rsid w:val="00EF0F8C"/>
    <w:rsid w:val="00EF30F8"/>
    <w:rsid w:val="00EF628F"/>
    <w:rsid w:val="00EF7C20"/>
    <w:rsid w:val="00EF7C2D"/>
    <w:rsid w:val="00F014E0"/>
    <w:rsid w:val="00F01AB1"/>
    <w:rsid w:val="00F01C78"/>
    <w:rsid w:val="00F03691"/>
    <w:rsid w:val="00F100DA"/>
    <w:rsid w:val="00F102B8"/>
    <w:rsid w:val="00F10C9A"/>
    <w:rsid w:val="00F11674"/>
    <w:rsid w:val="00F11F9F"/>
    <w:rsid w:val="00F1471A"/>
    <w:rsid w:val="00F15A62"/>
    <w:rsid w:val="00F15BB1"/>
    <w:rsid w:val="00F16273"/>
    <w:rsid w:val="00F16D77"/>
    <w:rsid w:val="00F206B9"/>
    <w:rsid w:val="00F21C12"/>
    <w:rsid w:val="00F2233E"/>
    <w:rsid w:val="00F22E0C"/>
    <w:rsid w:val="00F2384E"/>
    <w:rsid w:val="00F23B24"/>
    <w:rsid w:val="00F240FC"/>
    <w:rsid w:val="00F24D2E"/>
    <w:rsid w:val="00F26D30"/>
    <w:rsid w:val="00F27778"/>
    <w:rsid w:val="00F27EDE"/>
    <w:rsid w:val="00F3035A"/>
    <w:rsid w:val="00F309F8"/>
    <w:rsid w:val="00F31CBC"/>
    <w:rsid w:val="00F33342"/>
    <w:rsid w:val="00F337D7"/>
    <w:rsid w:val="00F34D40"/>
    <w:rsid w:val="00F34DFC"/>
    <w:rsid w:val="00F35B46"/>
    <w:rsid w:val="00F361A9"/>
    <w:rsid w:val="00F36294"/>
    <w:rsid w:val="00F36E7D"/>
    <w:rsid w:val="00F41651"/>
    <w:rsid w:val="00F41924"/>
    <w:rsid w:val="00F41F93"/>
    <w:rsid w:val="00F42BA7"/>
    <w:rsid w:val="00F4589C"/>
    <w:rsid w:val="00F47536"/>
    <w:rsid w:val="00F47BEF"/>
    <w:rsid w:val="00F50C08"/>
    <w:rsid w:val="00F50D3B"/>
    <w:rsid w:val="00F5214E"/>
    <w:rsid w:val="00F55210"/>
    <w:rsid w:val="00F55F0E"/>
    <w:rsid w:val="00F57D3B"/>
    <w:rsid w:val="00F60F2B"/>
    <w:rsid w:val="00F61FEF"/>
    <w:rsid w:val="00F62323"/>
    <w:rsid w:val="00F62BAE"/>
    <w:rsid w:val="00F62DA0"/>
    <w:rsid w:val="00F62FA4"/>
    <w:rsid w:val="00F64171"/>
    <w:rsid w:val="00F64D6F"/>
    <w:rsid w:val="00F65272"/>
    <w:rsid w:val="00F66192"/>
    <w:rsid w:val="00F665CF"/>
    <w:rsid w:val="00F713B2"/>
    <w:rsid w:val="00F72A71"/>
    <w:rsid w:val="00F72CC1"/>
    <w:rsid w:val="00F740E7"/>
    <w:rsid w:val="00F74535"/>
    <w:rsid w:val="00F75F4E"/>
    <w:rsid w:val="00F763C9"/>
    <w:rsid w:val="00F77258"/>
    <w:rsid w:val="00F800E8"/>
    <w:rsid w:val="00F80472"/>
    <w:rsid w:val="00F811F2"/>
    <w:rsid w:val="00F81D5C"/>
    <w:rsid w:val="00F821E9"/>
    <w:rsid w:val="00F84E08"/>
    <w:rsid w:val="00F92604"/>
    <w:rsid w:val="00F93941"/>
    <w:rsid w:val="00F965DC"/>
    <w:rsid w:val="00FA05AB"/>
    <w:rsid w:val="00FA0B8A"/>
    <w:rsid w:val="00FA0FAF"/>
    <w:rsid w:val="00FA2AA1"/>
    <w:rsid w:val="00FA2CDB"/>
    <w:rsid w:val="00FA72E6"/>
    <w:rsid w:val="00FB1469"/>
    <w:rsid w:val="00FB191C"/>
    <w:rsid w:val="00FB2354"/>
    <w:rsid w:val="00FB31CA"/>
    <w:rsid w:val="00FB3350"/>
    <w:rsid w:val="00FB35D8"/>
    <w:rsid w:val="00FB3BBE"/>
    <w:rsid w:val="00FB716D"/>
    <w:rsid w:val="00FB7E3A"/>
    <w:rsid w:val="00FC1388"/>
    <w:rsid w:val="00FC13BB"/>
    <w:rsid w:val="00FC1646"/>
    <w:rsid w:val="00FC21C9"/>
    <w:rsid w:val="00FC45D7"/>
    <w:rsid w:val="00FC55B8"/>
    <w:rsid w:val="00FC564D"/>
    <w:rsid w:val="00FD0377"/>
    <w:rsid w:val="00FD0CAD"/>
    <w:rsid w:val="00FD1BE4"/>
    <w:rsid w:val="00FD21F2"/>
    <w:rsid w:val="00FD297D"/>
    <w:rsid w:val="00FD48D7"/>
    <w:rsid w:val="00FD564A"/>
    <w:rsid w:val="00FD56A2"/>
    <w:rsid w:val="00FD606B"/>
    <w:rsid w:val="00FD6148"/>
    <w:rsid w:val="00FE0CBA"/>
    <w:rsid w:val="00FE4132"/>
    <w:rsid w:val="00FE49C3"/>
    <w:rsid w:val="00FF08BA"/>
    <w:rsid w:val="00FF478B"/>
    <w:rsid w:val="00FF549F"/>
    <w:rsid w:val="00FF5C92"/>
    <w:rsid w:val="00FF5E0E"/>
    <w:rsid w:val="00FF6B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1A9D3"/>
  <w15:docId w15:val="{EAEC1BDA-4566-44A9-A555-F54B38303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411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CD0C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0C65"/>
  </w:style>
  <w:style w:type="paragraph" w:styleId="Fuzeile">
    <w:name w:val="footer"/>
    <w:basedOn w:val="Standard"/>
    <w:link w:val="FuzeileZchn"/>
    <w:uiPriority w:val="99"/>
    <w:unhideWhenUsed/>
    <w:rsid w:val="00CD0C6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0C65"/>
  </w:style>
  <w:style w:type="paragraph" w:styleId="Sprechblasentext">
    <w:name w:val="Balloon Text"/>
    <w:basedOn w:val="Standard"/>
    <w:link w:val="SprechblasentextZchn"/>
    <w:uiPriority w:val="99"/>
    <w:semiHidden/>
    <w:unhideWhenUsed/>
    <w:rsid w:val="003A05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0585"/>
    <w:rPr>
      <w:rFonts w:ascii="Tahoma" w:hAnsi="Tahoma" w:cs="Tahoma"/>
      <w:sz w:val="16"/>
      <w:szCs w:val="16"/>
    </w:rPr>
  </w:style>
  <w:style w:type="character" w:styleId="Kommentarzeichen">
    <w:name w:val="annotation reference"/>
    <w:basedOn w:val="Absatz-Standardschriftart"/>
    <w:uiPriority w:val="99"/>
    <w:semiHidden/>
    <w:unhideWhenUsed/>
    <w:rsid w:val="00AB6299"/>
    <w:rPr>
      <w:sz w:val="16"/>
      <w:szCs w:val="16"/>
    </w:rPr>
  </w:style>
  <w:style w:type="paragraph" w:styleId="Kommentartext">
    <w:name w:val="annotation text"/>
    <w:basedOn w:val="Standard"/>
    <w:link w:val="KommentartextZchn"/>
    <w:uiPriority w:val="99"/>
    <w:semiHidden/>
    <w:unhideWhenUsed/>
    <w:rsid w:val="00AB629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B6299"/>
    <w:rPr>
      <w:sz w:val="20"/>
      <w:szCs w:val="20"/>
    </w:rPr>
  </w:style>
  <w:style w:type="paragraph" w:styleId="Kommentarthema">
    <w:name w:val="annotation subject"/>
    <w:basedOn w:val="Kommentartext"/>
    <w:next w:val="Kommentartext"/>
    <w:link w:val="KommentarthemaZchn"/>
    <w:uiPriority w:val="99"/>
    <w:semiHidden/>
    <w:unhideWhenUsed/>
    <w:rsid w:val="00AB6299"/>
    <w:rPr>
      <w:b/>
      <w:bCs/>
    </w:rPr>
  </w:style>
  <w:style w:type="character" w:customStyle="1" w:styleId="KommentarthemaZchn">
    <w:name w:val="Kommentarthema Zchn"/>
    <w:basedOn w:val="KommentartextZchn"/>
    <w:link w:val="Kommentarthema"/>
    <w:uiPriority w:val="99"/>
    <w:semiHidden/>
    <w:rsid w:val="00AB62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ntTable" Target="fontTable.xml"/><Relationship Id="rId22" Type="http://schemas.microsoft.com/office/2016/09/relationships/commentsIds" Target="commentsId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C0F1C-13E3-4A47-B483-67DAD9C2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3881</Words>
  <Characters>24454</Characters>
  <Application>Microsoft Office Word</Application>
  <DocSecurity>0</DocSecurity>
  <Lines>203</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Bartsch</dc:creator>
  <cp:lastModifiedBy>Lomazzo, Ermelinda</cp:lastModifiedBy>
  <cp:revision>4</cp:revision>
  <dcterms:created xsi:type="dcterms:W3CDTF">2018-11-19T13:29:00Z</dcterms:created>
  <dcterms:modified xsi:type="dcterms:W3CDTF">2018-11-19T13:32:00Z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http://www.zotero.org/styles/american-medical-association-no-et-al</vt:lpwstr>
  </property>
  <property fmtid="{D5CDD505-2E9C-101B-9397-08002B2CF9AE}" pid="3" name="Mendeley Recent Style Name 0_1">
    <vt:lpwstr>American Medical Association (no "et al.")</vt:lpwstr>
  </property>
  <property fmtid="{D5CDD505-2E9C-101B-9397-08002B2CF9AE}" pid="4" name="Mendeley Recent Style Id 1_1">
    <vt:lpwstr>http://csl.mendeley.com/styles/25163361/american-medical-association-no-et-al-2</vt:lpwstr>
  </property>
  <property fmtid="{D5CDD505-2E9C-101B-9397-08002B2CF9AE}" pid="5" name="Mendeley Recent Style Name 1_1">
    <vt:lpwstr>American Medical Association (no "et al.") - Julia Bartsch</vt:lpwstr>
  </property>
  <property fmtid="{D5CDD505-2E9C-101B-9397-08002B2CF9AE}" pid="6" name="Mendeley Recent Style Id 2_1">
    <vt:lpwstr>http://www.zotero.org/styles/american-medical-association-no-url</vt:lpwstr>
  </property>
  <property fmtid="{D5CDD505-2E9C-101B-9397-08002B2CF9AE}" pid="7" name="Mendeley Recent Style Name 2_1">
    <vt:lpwstr>American Medical Association (no URL)</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http://www.zotero.org/styles/biological-psychiatry</vt:lpwstr>
  </property>
  <property fmtid="{D5CDD505-2E9C-101B-9397-08002B2CF9AE}" pid="11" name="Mendeley Recent Style Name 4_1">
    <vt:lpwstr>Biological Psychiatry</vt:lpwstr>
  </property>
  <property fmtid="{D5CDD505-2E9C-101B-9397-08002B2CF9AE}" pid="12" name="Mendeley Recent Style Id 5_1">
    <vt:lpwstr>http://www.zotero.org/styles/national-library-of-medicine</vt:lpwstr>
  </property>
  <property fmtid="{D5CDD505-2E9C-101B-9397-08002B2CF9AE}" pid="13" name="Mendeley Recent Style Name 5_1">
    <vt:lpwstr>National Library of Medicine</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http://www.zotero.org/styles/neuropsychopharmacology</vt:lpwstr>
  </property>
  <property fmtid="{D5CDD505-2E9C-101B-9397-08002B2CF9AE}" pid="17" name="Mendeley Recent Style Name 7_1">
    <vt:lpwstr>Neuropsychopharmacology</vt:lpwstr>
  </property>
  <property fmtid="{D5CDD505-2E9C-101B-9397-08002B2CF9AE}" pid="18" name="Mendeley Recent Style Id 8_1">
    <vt:lpwstr>http://www.zotero.org/styles/neuroscience</vt:lpwstr>
  </property>
  <property fmtid="{D5CDD505-2E9C-101B-9397-08002B2CF9AE}" pid="19" name="Mendeley Recent Style Name 8_1">
    <vt:lpwstr>Neuroscience</vt:lpwstr>
  </property>
  <property fmtid="{D5CDD505-2E9C-101B-9397-08002B2CF9AE}" pid="20" name="Mendeley Recent Style Id 9_1">
    <vt:lpwstr>http://www.zotero.org/styles/journal-of-biological-chemistry</vt:lpwstr>
  </property>
  <property fmtid="{D5CDD505-2E9C-101B-9397-08002B2CF9AE}" pid="21" name="Mendeley Recent Style Name 9_1">
    <vt:lpwstr>The Journal of Biological Chemistry</vt:lpwstr>
  </property>
  <property fmtid="{D5CDD505-2E9C-101B-9397-08002B2CF9AE}" pid="22" name="Mendeley Document_1">
    <vt:lpwstr>True</vt:lpwstr>
  </property>
  <property fmtid="{D5CDD505-2E9C-101B-9397-08002B2CF9AE}" pid="23" name="Mendeley Unique User Id_1">
    <vt:lpwstr>01983d1b-6e51-376a-87dd-df1e4c581798</vt:lpwstr>
  </property>
  <property fmtid="{D5CDD505-2E9C-101B-9397-08002B2CF9AE}" pid="24" name="Mendeley Citation Style_1">
    <vt:lpwstr>http://www.zotero.org/styles/neuropsychopharmacology</vt:lpwstr>
  </property>
</Properties>
</file>