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C02B" w14:textId="5492B5E5" w:rsidR="001C10E3" w:rsidRPr="000F438B" w:rsidRDefault="005B443B">
      <w:pPr>
        <w:pStyle w:val="Ttulo1"/>
        <w:rPr>
          <w:color w:val="auto"/>
          <w:lang w:val="en-US"/>
        </w:rPr>
      </w:pPr>
      <w:r w:rsidRPr="000F438B">
        <w:rPr>
          <w:color w:val="auto"/>
          <w:sz w:val="24"/>
          <w:szCs w:val="24"/>
          <w:lang w:val="en-US"/>
        </w:rPr>
        <w:t xml:space="preserve">Supplementary </w:t>
      </w:r>
      <w:r w:rsidR="007C7BC3" w:rsidRPr="000F438B">
        <w:rPr>
          <w:color w:val="auto"/>
          <w:sz w:val="24"/>
          <w:szCs w:val="24"/>
          <w:lang w:val="en-US"/>
        </w:rPr>
        <w:t>Table</w:t>
      </w:r>
      <w:r w:rsidRPr="000F438B">
        <w:rPr>
          <w:color w:val="auto"/>
          <w:sz w:val="24"/>
          <w:szCs w:val="24"/>
          <w:lang w:val="en-US"/>
        </w:rPr>
        <w:t xml:space="preserve"> 2</w:t>
      </w:r>
      <w:r w:rsidR="007C7BC3" w:rsidRPr="000F438B">
        <w:rPr>
          <w:color w:val="auto"/>
          <w:sz w:val="24"/>
          <w:szCs w:val="24"/>
          <w:lang w:val="en-US"/>
        </w:rPr>
        <w:t xml:space="preserve">. </w:t>
      </w:r>
      <w:r w:rsidR="007C7BC3" w:rsidRPr="000F438B">
        <w:rPr>
          <w:b w:val="0"/>
          <w:bCs w:val="0"/>
          <w:color w:val="auto"/>
          <w:sz w:val="24"/>
          <w:szCs w:val="24"/>
          <w:lang w:val="en-US"/>
        </w:rPr>
        <w:t>Natural Compounds in Pancreatic Cancer: Molecular Targets, Preclinical Evidence, Clinical Translation and Pharmacokinetic Limitations</w:t>
      </w:r>
    </w:p>
    <w:tbl>
      <w:tblPr>
        <w:tblW w:w="13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514"/>
        <w:gridCol w:w="1678"/>
        <w:gridCol w:w="2008"/>
        <w:gridCol w:w="1823"/>
        <w:gridCol w:w="1709"/>
        <w:gridCol w:w="1445"/>
        <w:gridCol w:w="1927"/>
      </w:tblGrid>
      <w:tr w:rsidR="001C10E3" w:rsidRPr="000F438B" w14:paraId="1BD4C034" w14:textId="77777777" w:rsidTr="00BB724B">
        <w:trPr>
          <w:tblHeader/>
        </w:trPr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2C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Compound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2D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Principal Molecular Targets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2E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Signaling Pathways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2F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Preclinical Efficacy in PC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0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Clinical Evidence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1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Pharmacokinetic Limitations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2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Toxicity Profile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3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color w:val="FFFFFF"/>
                <w:sz w:val="16"/>
                <w:szCs w:val="16"/>
              </w:rPr>
              <w:t>Clinical Development Stage</w:t>
            </w:r>
          </w:p>
        </w:tc>
      </w:tr>
      <w:tr w:rsidR="001C10E3" w:rsidRPr="000F438B" w14:paraId="1BD4C03D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4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5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Apigenin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6" w14:textId="77777777" w:rsidR="001C10E3" w:rsidRPr="000F438B" w:rsidRDefault="007C7BC3">
            <w:r w:rsidRPr="000F438B">
              <w:rPr>
                <w:sz w:val="14"/>
                <w:szCs w:val="14"/>
              </w:rPr>
              <w:t>AKT, GLUT-1, HIF-1α, VEGF, MMPs, GSK-3β,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, mTORC1, mutant TP53, HSP90, SHIP-1, Cyclin B1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7" w14:textId="77777777" w:rsidR="001C10E3" w:rsidRPr="000F438B" w:rsidRDefault="007C7BC3">
            <w:r w:rsidRPr="000F438B">
              <w:rPr>
                <w:sz w:val="14"/>
                <w:szCs w:val="14"/>
              </w:rPr>
              <w:t>PI3K/AKT; GSK-3β/NF-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; mTOR-HSP90-mutP53-p62-NRF2; VEGF/angiogenesis; G2/M cell cycle arrest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8" w14:textId="77777777" w:rsidR="001C10E3" w:rsidRPr="000F438B" w:rsidRDefault="007C7BC3">
            <w:r w:rsidRPr="000F438B">
              <w:rPr>
                <w:sz w:val="14"/>
                <w:szCs w:val="14"/>
              </w:rPr>
              <w:t>Inhibits proliferation (6–100 µM, dose-dependent); induces apoptosis via intrinsic pathway; blocks EMT and invasion; upregulates SHIP-1 → tumoricidal macrophages; generates intracellular ROS; reduces tumor volume in murine PDAC models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9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No clinical trials conducted </w:t>
            </w:r>
            <w:proofErr w:type="gramStart"/>
            <w:r w:rsidRPr="000F438B">
              <w:rPr>
                <w:sz w:val="14"/>
                <w:szCs w:val="14"/>
              </w:rPr>
              <w:t>in</w:t>
            </w:r>
            <w:proofErr w:type="gramEnd"/>
            <w:r w:rsidRPr="000F438B">
              <w:rPr>
                <w:sz w:val="14"/>
                <w:szCs w:val="14"/>
              </w:rPr>
              <w:t xml:space="preserve"> PC to date. Phase I/II gap unresolved due to pharmacokinetic barriers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A" w14:textId="77777777" w:rsidR="001C10E3" w:rsidRPr="000F438B" w:rsidRDefault="007C7BC3">
            <w:r w:rsidRPr="000F438B">
              <w:rPr>
                <w:sz w:val="14"/>
                <w:szCs w:val="14"/>
              </w:rPr>
              <w:t>Poor aqueous solubility; low intestinal permeability; extensive first-pass metabolism; sub-therapeutic systemic bioavailability; doses needed for efficacy clinically unfeasible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B" w14:textId="77777777" w:rsidR="001C10E3" w:rsidRPr="000F438B" w:rsidRDefault="007C7BC3">
            <w:r w:rsidRPr="000F438B">
              <w:rPr>
                <w:sz w:val="14"/>
                <w:szCs w:val="14"/>
              </w:rPr>
              <w:t>Generally well-tolerated at preclinical doses; no significant toxicity reported in vitro/in vivo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C" w14:textId="77777777" w:rsidR="001C10E3" w:rsidRPr="000F438B" w:rsidRDefault="007C7BC3">
            <w:r w:rsidRPr="000F438B">
              <w:rPr>
                <w:sz w:val="14"/>
                <w:szCs w:val="14"/>
              </w:rPr>
              <w:t>Preclinical only (no active PC clinical trials)</w:t>
            </w:r>
          </w:p>
        </w:tc>
      </w:tr>
      <w:tr w:rsidR="001C10E3" w:rsidRPr="000F438B" w14:paraId="1BD4C046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6EA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3E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Cannabinoids (CBD/THC/FBL-03G)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3F" w14:textId="77777777" w:rsidR="001C10E3" w:rsidRPr="000F438B" w:rsidRDefault="007C7BC3">
            <w:r w:rsidRPr="000F438B">
              <w:rPr>
                <w:sz w:val="14"/>
                <w:szCs w:val="14"/>
              </w:rPr>
              <w:t>CB1/CB2 receptors, PD-L1, MAPK/PAK1, PKM2, AMPK, ATF-4/TRB3 (ER stress), AMP/ATP ratio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0" w14:textId="77777777" w:rsidR="001C10E3" w:rsidRPr="000F438B" w:rsidRDefault="007C7BC3">
            <w:r w:rsidRPr="000F438B">
              <w:rPr>
                <w:sz w:val="14"/>
                <w:szCs w:val="14"/>
              </w:rPr>
              <w:t>Endocannabinoid system (CB1/CB2); MAPK/ERK; AMPK/autophagy; ER stress pathway; glycolysis inhibition (↓PKM2, ↓Krebs cycle); ROS-mediated cell death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1" w14:textId="77777777" w:rsidR="001C10E3" w:rsidRPr="000F438B" w:rsidRDefault="007C7BC3">
            <w:r w:rsidRPr="000F438B">
              <w:rPr>
                <w:sz w:val="14"/>
                <w:szCs w:val="14"/>
              </w:rPr>
              <w:t>CBD+THC inhibit tumor cell and PSC proliferation; downregulate PD-L1; FBL-03G + radiotherapy → significant tumor shrinkage and survival benefit (P&lt;0.0001); gemcitabine + cannabinoid synergy via ROS/ER stress/autophagic death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2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Phase III </w:t>
            </w:r>
            <w:proofErr w:type="spellStart"/>
            <w:r w:rsidRPr="000F438B">
              <w:rPr>
                <w:sz w:val="14"/>
                <w:szCs w:val="14"/>
              </w:rPr>
              <w:t>DIsCOvER</w:t>
            </w:r>
            <w:proofErr w:type="spellEnd"/>
            <w:r w:rsidRPr="000F438B">
              <w:rPr>
                <w:sz w:val="14"/>
                <w:szCs w:val="14"/>
              </w:rPr>
              <w:t xml:space="preserve"> trial (NCT03984214) completed 2024 – survival data pending. Established palliative use (nausea, pain, QoL). Improved survival in glioblastoma models.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3" w14:textId="77777777" w:rsidR="001C10E3" w:rsidRPr="000F438B" w:rsidRDefault="007C7BC3">
            <w:r w:rsidRPr="000F438B">
              <w:rPr>
                <w:sz w:val="14"/>
                <w:szCs w:val="14"/>
              </w:rPr>
              <w:t>High lipophilicity; variable absorption; THC undergoes extensive hepatic metabolism; CBD bioavailability ~6% oral. Psychoactive effects limit dosing for THC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4" w14:textId="2F69FB87" w:rsidR="001C10E3" w:rsidRPr="000F438B" w:rsidRDefault="007C7BC3">
            <w:r w:rsidRPr="000F438B">
              <w:rPr>
                <w:sz w:val="14"/>
                <w:szCs w:val="14"/>
              </w:rPr>
              <w:t xml:space="preserve">Dronabinol and nabilone approved and well-tolerated; psychoactive effects with THC; non-psychoactive FBL-03G shows </w:t>
            </w:r>
            <w:r w:rsidR="000F438B" w:rsidRPr="000F438B">
              <w:rPr>
                <w:sz w:val="14"/>
                <w:szCs w:val="14"/>
              </w:rPr>
              <w:t>favorable</w:t>
            </w:r>
            <w:r w:rsidRPr="000F438B">
              <w:rPr>
                <w:sz w:val="14"/>
                <w:szCs w:val="14"/>
              </w:rPr>
              <w:t xml:space="preserve"> safety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5" w14:textId="77777777" w:rsidR="001C10E3" w:rsidRPr="000F438B" w:rsidRDefault="007C7BC3">
            <w:r w:rsidRPr="000F438B">
              <w:rPr>
                <w:sz w:val="14"/>
                <w:szCs w:val="14"/>
              </w:rPr>
              <w:t>Phase III (</w:t>
            </w:r>
            <w:proofErr w:type="spellStart"/>
            <w:r w:rsidRPr="000F438B">
              <w:rPr>
                <w:sz w:val="14"/>
                <w:szCs w:val="14"/>
              </w:rPr>
              <w:t>DIsCOvER</w:t>
            </w:r>
            <w:proofErr w:type="spellEnd"/>
            <w:r w:rsidRPr="000F438B">
              <w:rPr>
                <w:sz w:val="14"/>
                <w:szCs w:val="14"/>
              </w:rPr>
              <w:t>/NCT03984214); palliative use approved; awaiting survival results in PC</w:t>
            </w:r>
          </w:p>
        </w:tc>
      </w:tr>
      <w:tr w:rsidR="001C10E3" w:rsidRPr="000F438B" w14:paraId="1BD4C04F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3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47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Curcumin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8" w14:textId="77777777" w:rsidR="001C10E3" w:rsidRPr="000F438B" w:rsidRDefault="007C7BC3">
            <w:r w:rsidRPr="000F438B">
              <w:rPr>
                <w:sz w:val="14"/>
                <w:szCs w:val="14"/>
              </w:rPr>
              <w:t>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/</w:t>
            </w:r>
            <w:proofErr w:type="spellStart"/>
            <w:r w:rsidRPr="000F438B">
              <w:rPr>
                <w:sz w:val="14"/>
                <w:szCs w:val="14"/>
              </w:rPr>
              <w:t>IκB</w:t>
            </w:r>
            <w:proofErr w:type="spellEnd"/>
            <w:r w:rsidRPr="000F438B">
              <w:rPr>
                <w:sz w:val="14"/>
                <w:szCs w:val="14"/>
              </w:rPr>
              <w:t>, PI3K/AKT/mTOR, COX-2, STAT3, FOXO1, EZH2, PVT1 (lncRNA), β-catenin, cancer stem cells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9" w14:textId="77777777" w:rsidR="001C10E3" w:rsidRPr="000F438B" w:rsidRDefault="007C7BC3">
            <w:r w:rsidRPr="000F438B">
              <w:rPr>
                <w:sz w:val="14"/>
                <w:szCs w:val="14"/>
              </w:rPr>
              <w:t>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/COX-2; PI3K/AKT/mTOR; MAPK; NOTCH; SHH; TGF-β/SMAD; WNT/β-catenin; Nrf2/ARE antioxidant axis; mitochondrial apoptosis (caspase cascade)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A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Induces apoptosis, inhibits proliferation/invasion; suppresses angiogenesis (in vivo); </w:t>
            </w:r>
            <w:proofErr w:type="spellStart"/>
            <w:r w:rsidRPr="000F438B">
              <w:rPr>
                <w:sz w:val="14"/>
                <w:szCs w:val="14"/>
              </w:rPr>
              <w:t>sensitises</w:t>
            </w:r>
            <w:proofErr w:type="spellEnd"/>
            <w:r w:rsidRPr="000F438B">
              <w:rPr>
                <w:sz w:val="14"/>
                <w:szCs w:val="14"/>
              </w:rPr>
              <w:t xml:space="preserve"> resistant cells to gemcitabine; targets CSC population more efficiently than parental lines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B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Phase I/II trials (n=17–25) with 8 g/day oral ± gemcitabine: modest signals (1 patient 73% regression; median OS 161 days); only 2/25 achieved biological activity. Novel </w:t>
            </w:r>
            <w:proofErr w:type="spellStart"/>
            <w:r w:rsidRPr="000F438B">
              <w:rPr>
                <w:sz w:val="14"/>
                <w:szCs w:val="14"/>
              </w:rPr>
              <w:t>Theracurmin</w:t>
            </w:r>
            <w:proofErr w:type="spellEnd"/>
            <w:r w:rsidRPr="000F438B">
              <w:rPr>
                <w:sz w:val="14"/>
                <w:szCs w:val="14"/>
              </w:rPr>
              <w:t xml:space="preserve"> form (27× bioavailability) tested in Phase I – most patients still progressed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C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Poor aqueous solubility; erratic absorption; rapid systemic clearance; plasma levels 29–412 ng/mL (standard); scarce bioavailability main barrier. </w:t>
            </w:r>
            <w:proofErr w:type="spellStart"/>
            <w:r w:rsidRPr="000F438B">
              <w:rPr>
                <w:sz w:val="14"/>
                <w:szCs w:val="14"/>
              </w:rPr>
              <w:t>Theracurmin</w:t>
            </w:r>
            <w:proofErr w:type="spellEnd"/>
            <w:r w:rsidRPr="000F438B">
              <w:rPr>
                <w:sz w:val="14"/>
                <w:szCs w:val="14"/>
              </w:rPr>
              <w:t xml:space="preserve"> improved to 324–440 ng/mL but insufficient for tumor penetration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D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Oral formulation generally well-tolerated; 5/17 patients discontinued due to abdominal pain; neutropenia, leucopenia, </w:t>
            </w:r>
            <w:proofErr w:type="spellStart"/>
            <w:r w:rsidRPr="000F438B">
              <w:rPr>
                <w:sz w:val="14"/>
                <w:szCs w:val="14"/>
              </w:rPr>
              <w:t>anaemia</w:t>
            </w:r>
            <w:proofErr w:type="spellEnd"/>
            <w:r w:rsidRPr="000F438B">
              <w:rPr>
                <w:sz w:val="14"/>
                <w:szCs w:val="14"/>
              </w:rPr>
              <w:t xml:space="preserve">, thrombocytopenia with </w:t>
            </w:r>
            <w:proofErr w:type="spellStart"/>
            <w:r w:rsidRPr="000F438B">
              <w:rPr>
                <w:sz w:val="14"/>
                <w:szCs w:val="14"/>
              </w:rPr>
              <w:t>Theracurmin</w:t>
            </w:r>
            <w:proofErr w:type="spellEnd"/>
            <w:r w:rsidRPr="000F438B">
              <w:rPr>
                <w:sz w:val="14"/>
                <w:szCs w:val="14"/>
              </w:rPr>
              <w:t xml:space="preserve"> + gemcitabine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4E" w14:textId="77777777" w:rsidR="001C10E3" w:rsidRPr="000F438B" w:rsidRDefault="007C7BC3">
            <w:r w:rsidRPr="000F438B">
              <w:rPr>
                <w:sz w:val="14"/>
                <w:szCs w:val="14"/>
              </w:rPr>
              <w:t>Phase I/II (multiple completed trials); insufficient evidence for PC standard-of-care; investigational adjunct</w:t>
            </w:r>
          </w:p>
        </w:tc>
      </w:tr>
      <w:tr w:rsidR="001C10E3" w:rsidRPr="000F438B" w14:paraId="1BD4C058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F4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50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Luteolin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1" w14:textId="7CF54E03" w:rsidR="001C10E3" w:rsidRPr="000F438B" w:rsidRDefault="007C7BC3">
            <w:r w:rsidRPr="000F438B">
              <w:rPr>
                <w:sz w:val="14"/>
                <w:szCs w:val="14"/>
              </w:rPr>
              <w:t>BCL-2/BAX, GSK-3β,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 xml:space="preserve"> p65, Cytochrome C, Caspase-3, </w:t>
            </w:r>
            <w:r w:rsidR="00756777" w:rsidRPr="000F438B">
              <w:rPr>
                <w:i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>, STAT3/pSTAT3, DPD, MMP2/7/9, VEGF, FAK, PI3K/AKT, p70S6K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2" w14:textId="77777777" w:rsidR="001C10E3" w:rsidRPr="000F438B" w:rsidRDefault="007C7BC3">
            <w:r w:rsidRPr="000F438B">
              <w:rPr>
                <w:sz w:val="14"/>
                <w:szCs w:val="14"/>
              </w:rPr>
              <w:t>BCL-2/BAX mitochondrial apoptosis; GSK-3β/NF-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; STAT3/pSTAT3; VEGF/angiogenesis; EMT (↓STAT3, ↓MMPs); JNK/TNF-α; PI3K/AKT/p70S6K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3" w14:textId="53CD927E" w:rsidR="001C10E3" w:rsidRPr="000F438B" w:rsidRDefault="007C7BC3">
            <w:r w:rsidRPr="000F438B">
              <w:rPr>
                <w:sz w:val="14"/>
                <w:szCs w:val="14"/>
              </w:rPr>
              <w:t>Displaces BAX from BCL-2 → mitochondrial apoptosis; luteolin + gemcitabine: ↓</w:t>
            </w:r>
            <w:r w:rsidR="00756777" w:rsidRPr="000F438B">
              <w:rPr>
                <w:i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 46%, ↓</w:t>
            </w:r>
            <w:proofErr w:type="spellStart"/>
            <w:r w:rsidRPr="000F438B">
              <w:rPr>
                <w:sz w:val="14"/>
                <w:szCs w:val="14"/>
              </w:rPr>
              <w:t>pNF-κB</w:t>
            </w:r>
            <w:proofErr w:type="spellEnd"/>
            <w:r w:rsidRPr="000F438B">
              <w:rPr>
                <w:sz w:val="14"/>
                <w:szCs w:val="14"/>
              </w:rPr>
              <w:t xml:space="preserve"> 27%, ↑Caspase-3 417% in orthotopic models; inhibits </w:t>
            </w:r>
            <w:proofErr w:type="spellStart"/>
            <w:r w:rsidRPr="000F438B">
              <w:rPr>
                <w:sz w:val="14"/>
                <w:szCs w:val="14"/>
              </w:rPr>
              <w:t>PanIN</w:t>
            </w:r>
            <w:proofErr w:type="spellEnd"/>
            <w:r w:rsidRPr="000F438B">
              <w:rPr>
                <w:sz w:val="14"/>
                <w:szCs w:val="14"/>
              </w:rPr>
              <w:t>-to-PC progression via ↓pSTAT3/DPD; suppresses migration/invasion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4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No clinical trials </w:t>
            </w:r>
            <w:proofErr w:type="gramStart"/>
            <w:r w:rsidRPr="000F438B">
              <w:rPr>
                <w:sz w:val="14"/>
                <w:szCs w:val="14"/>
              </w:rPr>
              <w:t>in</w:t>
            </w:r>
            <w:proofErr w:type="gramEnd"/>
            <w:r w:rsidRPr="000F438B">
              <w:rPr>
                <w:sz w:val="14"/>
                <w:szCs w:val="14"/>
              </w:rPr>
              <w:t xml:space="preserve"> PC. Trials in hepatocellular carcinoma (OS/PFS prolongation) and ovarian cancer (40% incidence reduction) suggest anticancer potential. NCT03288298 (tongue SCC) – outcomes not reported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5" w14:textId="77777777" w:rsidR="001C10E3" w:rsidRPr="000F438B" w:rsidRDefault="007C7BC3">
            <w:r w:rsidRPr="000F438B">
              <w:rPr>
                <w:sz w:val="14"/>
                <w:szCs w:val="14"/>
              </w:rPr>
              <w:t>Low bioavailability; limited oral absorption; rapid glucuronidation/sulfation; no validated PC-specific pharmacokinetic data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6" w14:textId="77777777" w:rsidR="001C10E3" w:rsidRPr="000F438B" w:rsidRDefault="007C7BC3">
            <w:proofErr w:type="spellStart"/>
            <w:r w:rsidRPr="000F438B">
              <w:rPr>
                <w:sz w:val="14"/>
                <w:szCs w:val="14"/>
              </w:rPr>
              <w:t>Favourable</w:t>
            </w:r>
            <w:proofErr w:type="spellEnd"/>
            <w:r w:rsidRPr="000F438B">
              <w:rPr>
                <w:sz w:val="14"/>
                <w:szCs w:val="14"/>
              </w:rPr>
              <w:t xml:space="preserve"> safety in preclinical studies; no PC-specific clinical safety data available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7" w14:textId="77777777" w:rsidR="001C10E3" w:rsidRPr="000F438B" w:rsidRDefault="007C7BC3">
            <w:r w:rsidRPr="000F438B">
              <w:rPr>
                <w:sz w:val="14"/>
                <w:szCs w:val="14"/>
              </w:rPr>
              <w:t>Preclinical only for PC; early-phase trials in other tumour types; significant gap in PC oncological translation</w:t>
            </w:r>
          </w:p>
        </w:tc>
      </w:tr>
      <w:tr w:rsidR="001C10E3" w:rsidRPr="000F438B" w14:paraId="1BD4C061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0E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59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Quercetin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A" w14:textId="77777777" w:rsidR="001C10E3" w:rsidRPr="000F438B" w:rsidRDefault="007C7BC3">
            <w:r w:rsidRPr="000F438B">
              <w:rPr>
                <w:sz w:val="14"/>
                <w:szCs w:val="14"/>
              </w:rPr>
              <w:t>PI3K/AKT/mTOR,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, COX-2, 5-LOX, cFLIP, JNK, STAT3, MMP2/7, β-catenin, Nrf2/SLC7A11/GPX4, N-cadherin, Vimentin, miR-let-7c, miR-200b-3p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B" w14:textId="77777777" w:rsidR="001C10E3" w:rsidRPr="000F438B" w:rsidRDefault="007C7BC3">
            <w:r w:rsidRPr="000F438B">
              <w:rPr>
                <w:sz w:val="14"/>
                <w:szCs w:val="14"/>
              </w:rPr>
              <w:t>PI3K/AKT/mTOR;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/inflammatory axis; TRAIL/cFLIP/JNK apoptosis; STAT3; EMT (E-cadherin↑, N-cadherin↓, vimentin↓); Notch/</w:t>
            </w:r>
            <w:proofErr w:type="spellStart"/>
            <w:r w:rsidRPr="000F438B">
              <w:rPr>
                <w:sz w:val="14"/>
                <w:szCs w:val="14"/>
              </w:rPr>
              <w:t>Numbl</w:t>
            </w:r>
            <w:proofErr w:type="spellEnd"/>
            <w:r w:rsidRPr="000F438B">
              <w:rPr>
                <w:sz w:val="14"/>
                <w:szCs w:val="14"/>
              </w:rPr>
              <w:t xml:space="preserve"> (miRNA); </w:t>
            </w:r>
            <w:proofErr w:type="spellStart"/>
            <w:r w:rsidRPr="000F438B">
              <w:rPr>
                <w:sz w:val="14"/>
                <w:szCs w:val="14"/>
              </w:rPr>
              <w:t>Wnt</w:t>
            </w:r>
            <w:proofErr w:type="spellEnd"/>
            <w:r w:rsidRPr="000F438B">
              <w:rPr>
                <w:sz w:val="14"/>
                <w:szCs w:val="14"/>
              </w:rPr>
              <w:t>/β-catenin; Nrf2/ferroptosis axis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C" w14:textId="77777777" w:rsidR="001C10E3" w:rsidRPr="000F438B" w:rsidRDefault="007C7BC3">
            <w:r w:rsidRPr="000F438B">
              <w:rPr>
                <w:sz w:val="14"/>
                <w:szCs w:val="14"/>
              </w:rPr>
              <w:t>Overcomes TRAIL resistance; outperforms gemcitabine in apoptosis induction in vitro; delays tumour growth alone or + gemcitabine (orthotopic models); targets CSC β-catenin; induces ferroptosis via Nrf2/SLC7A11/GPX4; inhibits EMT and metastasis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D" w14:textId="77777777" w:rsidR="001C10E3" w:rsidRPr="000F438B" w:rsidRDefault="007C7BC3">
            <w:r w:rsidRPr="000F438B">
              <w:rPr>
                <w:sz w:val="14"/>
                <w:szCs w:val="14"/>
              </w:rPr>
              <w:t>No trials dedicated to PC. Phase I (</w:t>
            </w:r>
            <w:proofErr w:type="spellStart"/>
            <w:r w:rsidRPr="000F438B">
              <w:rPr>
                <w:sz w:val="14"/>
                <w:szCs w:val="14"/>
              </w:rPr>
              <w:t>i.v.</w:t>
            </w:r>
            <w:proofErr w:type="spellEnd"/>
            <w:r w:rsidRPr="000F438B">
              <w:rPr>
                <w:sz w:val="14"/>
                <w:szCs w:val="14"/>
              </w:rPr>
              <w:t>) demonstrated tyrosine kinase inhibition in vivo but subtherapeutic concentrations. NCT01912820 (prostate, n=60): 1000 mg/day modulates oxidative stress/gene expression; no PC-specific data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E" w14:textId="77777777" w:rsidR="001C10E3" w:rsidRPr="000F438B" w:rsidRDefault="007C7BC3">
            <w:r w:rsidRPr="000F438B">
              <w:rPr>
                <w:sz w:val="14"/>
                <w:szCs w:val="14"/>
              </w:rPr>
              <w:t>Poor aqueous solubility; low systemic bioavailability; rapid conjugation (</w:t>
            </w:r>
            <w:proofErr w:type="spellStart"/>
            <w:r w:rsidRPr="000F438B">
              <w:rPr>
                <w:sz w:val="14"/>
                <w:szCs w:val="14"/>
              </w:rPr>
              <w:t>glycosidation</w:t>
            </w:r>
            <w:proofErr w:type="spellEnd"/>
            <w:r w:rsidRPr="000F438B">
              <w:rPr>
                <w:sz w:val="14"/>
                <w:szCs w:val="14"/>
              </w:rPr>
              <w:t>, glucuronidation); dense desmoplastic stroma of PC impedes tumour penetration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5F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Well-tolerated in general; </w:t>
            </w:r>
            <w:proofErr w:type="spellStart"/>
            <w:r w:rsidRPr="000F438B">
              <w:rPr>
                <w:sz w:val="14"/>
                <w:szCs w:val="14"/>
              </w:rPr>
              <w:t>diarrhoea</w:t>
            </w:r>
            <w:proofErr w:type="spellEnd"/>
            <w:r w:rsidRPr="000F438B">
              <w:rPr>
                <w:sz w:val="14"/>
                <w:szCs w:val="14"/>
              </w:rPr>
              <w:t xml:space="preserve"> noted in combination with resveratrol; renal toxicity risk at very high </w:t>
            </w:r>
            <w:proofErr w:type="spellStart"/>
            <w:r w:rsidRPr="000F438B">
              <w:rPr>
                <w:sz w:val="14"/>
                <w:szCs w:val="14"/>
              </w:rPr>
              <w:t>i.v.</w:t>
            </w:r>
            <w:proofErr w:type="spellEnd"/>
            <w:r w:rsidRPr="000F438B">
              <w:rPr>
                <w:sz w:val="14"/>
                <w:szCs w:val="14"/>
              </w:rPr>
              <w:t xml:space="preserve"> doses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0" w14:textId="77777777" w:rsidR="001C10E3" w:rsidRPr="000F438B" w:rsidRDefault="007C7BC3">
            <w:r w:rsidRPr="000F438B">
              <w:rPr>
                <w:sz w:val="14"/>
                <w:szCs w:val="14"/>
              </w:rPr>
              <w:t>Preclinical/Phase I in other cancers; no PC-dedicated trial; critical gap in clinical development</w:t>
            </w:r>
          </w:p>
        </w:tc>
      </w:tr>
      <w:tr w:rsidR="001C10E3" w:rsidRPr="000F438B" w14:paraId="1BD4C06A" w14:textId="77777777" w:rsidTr="00BB724B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0E8F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62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lastRenderedPageBreak/>
              <w:t>Resveratrol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3" w14:textId="77777777" w:rsidR="001C10E3" w:rsidRPr="000F438B" w:rsidRDefault="007C7BC3">
            <w:r w:rsidRPr="000F438B">
              <w:rPr>
                <w:sz w:val="14"/>
                <w:szCs w:val="14"/>
              </w:rPr>
              <w:t>AKT/mTOR, BCL-2/MCL-1, BAX/BIM/BAD, Caspase-3,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/COX-2, STAT3, Notch1/2, WNT/β-catenin, Cyclin D1/A, P21/P27, VEGF, MMP-9, FOXO1/FOXO3a, SIRT1/AMPK, Nrf2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4" w14:textId="77777777" w:rsidR="001C10E3" w:rsidRPr="000F438B" w:rsidRDefault="007C7BC3">
            <w:r w:rsidRPr="000F438B">
              <w:rPr>
                <w:sz w:val="14"/>
                <w:szCs w:val="14"/>
              </w:rPr>
              <w:t>AKT/mTOR; Sirt1/AMPK/Nrf2; Notch; STAT3; WNT/β-catenin; Hedgehog (↓</w:t>
            </w:r>
            <w:proofErr w:type="spellStart"/>
            <w:r w:rsidRPr="000F438B">
              <w:rPr>
                <w:sz w:val="14"/>
                <w:szCs w:val="14"/>
              </w:rPr>
              <w:t>Ihh</w:t>
            </w:r>
            <w:proofErr w:type="spellEnd"/>
            <w:r w:rsidRPr="000F438B">
              <w:rPr>
                <w:sz w:val="14"/>
                <w:szCs w:val="14"/>
              </w:rPr>
              <w:t>/</w:t>
            </w:r>
            <w:proofErr w:type="spellStart"/>
            <w:r w:rsidRPr="000F438B">
              <w:rPr>
                <w:sz w:val="14"/>
                <w:szCs w:val="14"/>
              </w:rPr>
              <w:t>Ptch</w:t>
            </w:r>
            <w:proofErr w:type="spellEnd"/>
            <w:r w:rsidRPr="000F438B">
              <w:rPr>
                <w:sz w:val="14"/>
                <w:szCs w:val="14"/>
              </w:rPr>
              <w:t>/Smo1); p38-MAPK; ERK/PI3K dephosphorylation; NF-</w:t>
            </w:r>
            <w:proofErr w:type="spellStart"/>
            <w:r w:rsidRPr="000F438B">
              <w:rPr>
                <w:sz w:val="14"/>
                <w:szCs w:val="14"/>
              </w:rPr>
              <w:t>κB</w:t>
            </w:r>
            <w:proofErr w:type="spellEnd"/>
            <w:r w:rsidRPr="000F438B">
              <w:rPr>
                <w:sz w:val="14"/>
                <w:szCs w:val="14"/>
              </w:rPr>
              <w:t>/COX-2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5" w14:textId="77777777" w:rsidR="001C10E3" w:rsidRPr="000F438B" w:rsidRDefault="007C7BC3">
            <w:r w:rsidRPr="000F438B">
              <w:rPr>
                <w:sz w:val="14"/>
                <w:szCs w:val="14"/>
              </w:rPr>
              <w:t>Inhibits proliferation in PDAC cell lines dose-dependently; synergistic with gemcitabine in vitro and orthotopic models; KITC analogue inhibits ribonucleotide reductase; regulates insulin secretion in β-cells; activates FOXO transcription factors in orthotopic PC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6" w14:textId="3F4D0B77" w:rsidR="001C10E3" w:rsidRPr="000F438B" w:rsidRDefault="007C7BC3">
            <w:r w:rsidRPr="000F438B">
              <w:rPr>
                <w:sz w:val="14"/>
                <w:szCs w:val="14"/>
              </w:rPr>
              <w:t xml:space="preserve">Phase I (n=40 healthy volunteers): safe, no adverse events; plasma 539 ng/mL but rapid hepatic elimination (t½ 2–5 h); metabolites (monoglucuronides, sulfates) 3–8× higher than </w:t>
            </w:r>
            <w:r w:rsidR="006A3AD9" w:rsidRPr="000F438B">
              <w:rPr>
                <w:sz w:val="14"/>
                <w:szCs w:val="14"/>
              </w:rPr>
              <w:t>control</w:t>
            </w:r>
            <w:r w:rsidRPr="000F438B">
              <w:rPr>
                <w:sz w:val="14"/>
                <w:szCs w:val="14"/>
              </w:rPr>
              <w:t>. No dedicated Phase II/III trial in PC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7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High absorption with high inter-individual variability; rapid hepatic first-pass metabolism; short t½ (2–5 h); active metabolites accumulate; </w:t>
            </w:r>
            <w:proofErr w:type="spellStart"/>
            <w:r w:rsidRPr="000F438B">
              <w:rPr>
                <w:sz w:val="14"/>
                <w:szCs w:val="14"/>
              </w:rPr>
              <w:t>chemopreventive</w:t>
            </w:r>
            <w:proofErr w:type="spellEnd"/>
            <w:r w:rsidRPr="000F438B">
              <w:rPr>
                <w:sz w:val="14"/>
                <w:szCs w:val="14"/>
              </w:rPr>
              <w:t xml:space="preserve"> threshold requires ≥5 µmol/L; low parent compound bioavailability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8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Well-tolerated orally; no serious adverse events at ≤5 g/day; </w:t>
            </w:r>
            <w:proofErr w:type="spellStart"/>
            <w:r w:rsidRPr="000F438B">
              <w:rPr>
                <w:sz w:val="14"/>
                <w:szCs w:val="14"/>
              </w:rPr>
              <w:t>diarrhoea</w:t>
            </w:r>
            <w:proofErr w:type="spellEnd"/>
            <w:r w:rsidRPr="000F438B">
              <w:rPr>
                <w:sz w:val="14"/>
                <w:szCs w:val="14"/>
              </w:rPr>
              <w:t xml:space="preserve"> in combination with quercetin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9" w14:textId="77777777" w:rsidR="001C10E3" w:rsidRPr="000F438B" w:rsidRDefault="007C7BC3">
            <w:r w:rsidRPr="000F438B">
              <w:rPr>
                <w:sz w:val="14"/>
                <w:szCs w:val="14"/>
              </w:rPr>
              <w:t>Phase I safety established; no Phase II/III in PC; promising adjunct candidate pending dedicated trials</w:t>
            </w:r>
          </w:p>
        </w:tc>
      </w:tr>
      <w:tr w:rsidR="001C10E3" w:rsidRPr="000F438B" w14:paraId="1BD4C073" w14:textId="77777777" w:rsidTr="00385095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E8E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6B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Vitamin C (Ascorbic acid)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C" w14:textId="77777777" w:rsidR="001C10E3" w:rsidRPr="000F438B" w:rsidRDefault="007C7BC3">
            <w:r w:rsidRPr="000F438B">
              <w:rPr>
                <w:sz w:val="14"/>
                <w:szCs w:val="14"/>
              </w:rPr>
              <w:t>GLUT-1, PKM2, GAPDH, EGFR/EGF, MAPK/ERK, PI3K/AKT, H</w:t>
            </w:r>
            <w:r w:rsidRPr="000F438B">
              <w:rPr>
                <w:sz w:val="14"/>
                <w:szCs w:val="14"/>
                <w:vertAlign w:val="subscript"/>
              </w:rPr>
              <w:t>2</w:t>
            </w:r>
            <w:r w:rsidRPr="000F438B">
              <w:rPr>
                <w:sz w:val="14"/>
                <w:szCs w:val="14"/>
              </w:rPr>
              <w:t>O</w:t>
            </w:r>
            <w:r w:rsidRPr="000F438B">
              <w:rPr>
                <w:sz w:val="14"/>
                <w:szCs w:val="14"/>
                <w:vertAlign w:val="subscript"/>
              </w:rPr>
              <w:t>2</w:t>
            </w:r>
            <w:r w:rsidRPr="000F438B">
              <w:rPr>
                <w:sz w:val="14"/>
                <w:szCs w:val="14"/>
              </w:rPr>
              <w:t xml:space="preserve"> (extracellular), Catalase (tumour deficiency), TET/JHDM (epigenetic), cancer stem cells (mitochondrial OXPHOS)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D" w14:textId="5F6C729E" w:rsidR="001C10E3" w:rsidRPr="000F438B" w:rsidRDefault="007C7BC3">
            <w:r w:rsidRPr="000F438B">
              <w:rPr>
                <w:sz w:val="14"/>
                <w:szCs w:val="14"/>
              </w:rPr>
              <w:t>Pro-oxidant (H</w:t>
            </w:r>
            <w:r w:rsidRPr="000F438B">
              <w:rPr>
                <w:sz w:val="14"/>
                <w:szCs w:val="14"/>
                <w:vertAlign w:val="subscript"/>
              </w:rPr>
              <w:t>2</w:t>
            </w:r>
            <w:r w:rsidRPr="000F438B">
              <w:rPr>
                <w:sz w:val="14"/>
                <w:szCs w:val="14"/>
              </w:rPr>
              <w:t>O</w:t>
            </w:r>
            <w:r w:rsidRPr="000F438B">
              <w:rPr>
                <w:sz w:val="14"/>
                <w:szCs w:val="14"/>
                <w:vertAlign w:val="subscript"/>
              </w:rPr>
              <w:t xml:space="preserve">2 </w:t>
            </w:r>
            <w:r w:rsidRPr="000F438B">
              <w:rPr>
                <w:sz w:val="14"/>
                <w:szCs w:val="14"/>
              </w:rPr>
              <w:t xml:space="preserve">generation) → caspase-3/7 apoptosis; Warburg effect disruption (↓GLUT-1/↓PKM2 in </w:t>
            </w:r>
            <w:r w:rsidRPr="000F438B">
              <w:rPr>
                <w:i/>
                <w:iCs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-mutant tumors); EGF/EGFR-MAPK/ERK inhibition; PI3K/AKT </w:t>
            </w:r>
            <w:proofErr w:type="gramStart"/>
            <w:r w:rsidRPr="000F438B">
              <w:rPr>
                <w:sz w:val="14"/>
                <w:szCs w:val="14"/>
              </w:rPr>
              <w:t>inhibition;;</w:t>
            </w:r>
            <w:proofErr w:type="gramEnd"/>
            <w:r w:rsidRPr="000F438B">
              <w:rPr>
                <w:sz w:val="14"/>
                <w:szCs w:val="14"/>
              </w:rPr>
              <w:t xml:space="preserve"> epigenetic reprogramming (TET/JHDM)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E" w14:textId="5113EAEC" w:rsidR="001C10E3" w:rsidRPr="000F438B" w:rsidRDefault="007C7BC3">
            <w:r w:rsidRPr="000F438B">
              <w:rPr>
                <w:sz w:val="14"/>
                <w:szCs w:val="14"/>
              </w:rPr>
              <w:t xml:space="preserve">Selectively cytotoxic to </w:t>
            </w:r>
            <w:r w:rsidRPr="000F438B">
              <w:rPr>
                <w:i/>
                <w:iCs/>
                <w:sz w:val="14"/>
                <w:szCs w:val="14"/>
              </w:rPr>
              <w:t>KRAS/BRAF</w:t>
            </w:r>
            <w:r w:rsidRPr="000F438B">
              <w:rPr>
                <w:sz w:val="14"/>
                <w:szCs w:val="14"/>
              </w:rPr>
              <w:t xml:space="preserve">-mutant cells (PC &gt;90% </w:t>
            </w:r>
            <w:r w:rsidRPr="000F438B">
              <w:rPr>
                <w:i/>
                <w:iCs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-mutant); decreases cell viability and increases apoptosis </w:t>
            </w:r>
            <w:r w:rsidRPr="000F438B">
              <w:rPr>
                <w:i/>
                <w:iCs/>
                <w:sz w:val="14"/>
                <w:szCs w:val="14"/>
              </w:rPr>
              <w:t xml:space="preserve">in </w:t>
            </w:r>
            <w:r w:rsidR="006A3AD9" w:rsidRPr="000F438B">
              <w:rPr>
                <w:i/>
                <w:iCs/>
                <w:sz w:val="14"/>
                <w:szCs w:val="14"/>
              </w:rPr>
              <w:t>vitro</w:t>
            </w:r>
            <w:r w:rsidRPr="000F438B">
              <w:rPr>
                <w:sz w:val="14"/>
                <w:szCs w:val="14"/>
              </w:rPr>
              <w:t xml:space="preserve">; potentiates gemcitabine (&gt;50% tumour reduction); fasting-mimicking diet + Vit. C synergy in </w:t>
            </w:r>
            <w:r w:rsidRPr="000F438B">
              <w:rPr>
                <w:i/>
                <w:iCs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>-mutant PC/CRC</w:t>
            </w:r>
            <w:r w:rsidRPr="000F438B">
              <w:rPr>
                <w:i/>
                <w:iCs/>
                <w:sz w:val="14"/>
                <w:szCs w:val="14"/>
              </w:rPr>
              <w:t>; in vivo</w:t>
            </w:r>
            <w:r w:rsidRPr="000F438B">
              <w:rPr>
                <w:sz w:val="14"/>
                <w:szCs w:val="14"/>
              </w:rPr>
              <w:t xml:space="preserve"> tumour volume 138 mm³ vs. 472 mm³ controls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6F" w14:textId="46942D90" w:rsidR="001C10E3" w:rsidRPr="000F438B" w:rsidRDefault="007C7BC3">
            <w:r w:rsidRPr="000F438B">
              <w:rPr>
                <w:sz w:val="14"/>
                <w:szCs w:val="14"/>
              </w:rPr>
              <w:t xml:space="preserve">Phase I (PACMAN): </w:t>
            </w:r>
            <w:proofErr w:type="spellStart"/>
            <w:r w:rsidRPr="000F438B">
              <w:rPr>
                <w:sz w:val="14"/>
                <w:szCs w:val="14"/>
              </w:rPr>
              <w:t>i.v.</w:t>
            </w:r>
            <w:proofErr w:type="spellEnd"/>
            <w:r w:rsidRPr="000F438B">
              <w:rPr>
                <w:sz w:val="14"/>
                <w:szCs w:val="14"/>
              </w:rPr>
              <w:t xml:space="preserve"> Vit. C + gemcitabine → median OS 13±2 months vs. 5.65 months historical control. Phase I (NCT00954525): Vit. C + gemcitabine + erlotinib → 7/9 stable disease, 2/9 progressive. Heterogeneous evidence.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0" w14:textId="3DA4BB8A" w:rsidR="001C10E3" w:rsidRPr="000F438B" w:rsidRDefault="007C7BC3">
            <w:r w:rsidRPr="000F438B">
              <w:rPr>
                <w:sz w:val="14"/>
                <w:szCs w:val="14"/>
              </w:rPr>
              <w:t xml:space="preserve">Water-soluble; heat- and oxygen-sensitive; oral route limited by intestinal absorption saturation; </w:t>
            </w:r>
            <w:proofErr w:type="spellStart"/>
            <w:r w:rsidRPr="000F438B">
              <w:rPr>
                <w:sz w:val="14"/>
                <w:szCs w:val="14"/>
              </w:rPr>
              <w:t>i.v.</w:t>
            </w:r>
            <w:proofErr w:type="spellEnd"/>
            <w:r w:rsidRPr="000F438B">
              <w:rPr>
                <w:sz w:val="14"/>
                <w:szCs w:val="14"/>
              </w:rPr>
              <w:t xml:space="preserve"> administration achieves pharmacological (pro-oxidant) concentrations; rapid renal excretion; </w:t>
            </w:r>
            <w:r w:rsidRPr="000F438B">
              <w:rPr>
                <w:i/>
                <w:iCs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-mutant tumour selectivity via GLUT-1 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1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Well-tolerated </w:t>
            </w:r>
            <w:proofErr w:type="spellStart"/>
            <w:r w:rsidRPr="000F438B">
              <w:rPr>
                <w:sz w:val="14"/>
                <w:szCs w:val="14"/>
              </w:rPr>
              <w:t>i.v.</w:t>
            </w:r>
            <w:proofErr w:type="spellEnd"/>
            <w:r w:rsidRPr="000F438B">
              <w:rPr>
                <w:sz w:val="14"/>
                <w:szCs w:val="14"/>
              </w:rPr>
              <w:t xml:space="preserve"> in clinical trials; contraindicated in G6PD deficiency (</w:t>
            </w:r>
            <w:proofErr w:type="spellStart"/>
            <w:r w:rsidRPr="000F438B">
              <w:rPr>
                <w:sz w:val="14"/>
                <w:szCs w:val="14"/>
              </w:rPr>
              <w:t>haemolysis</w:t>
            </w:r>
            <w:proofErr w:type="spellEnd"/>
            <w:r w:rsidRPr="000F438B">
              <w:rPr>
                <w:sz w:val="14"/>
                <w:szCs w:val="14"/>
              </w:rPr>
              <w:t xml:space="preserve"> risk); potential for kidney stones at very high oral doses; no increased toxicity added to gemcitabine/erlotinib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2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Phase I completed; Phase II warranted; promising </w:t>
            </w:r>
            <w:proofErr w:type="spellStart"/>
            <w:r w:rsidRPr="000F438B">
              <w:rPr>
                <w:sz w:val="14"/>
                <w:szCs w:val="14"/>
              </w:rPr>
              <w:t>chemosensitiser</w:t>
            </w:r>
            <w:proofErr w:type="spellEnd"/>
            <w:r w:rsidRPr="000F438B">
              <w:rPr>
                <w:sz w:val="14"/>
                <w:szCs w:val="14"/>
              </w:rPr>
              <w:t>; not standard-of-care; requires larger RCTs with biomarker stratification</w:t>
            </w:r>
          </w:p>
        </w:tc>
      </w:tr>
      <w:tr w:rsidR="001C10E3" w:rsidRPr="000F438B" w14:paraId="1BD4C07C" w14:textId="77777777" w:rsidTr="00BB724B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AF5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D4C074" w14:textId="77777777" w:rsidR="001C10E3" w:rsidRPr="000F438B" w:rsidRDefault="007C7BC3">
            <w:pPr>
              <w:jc w:val="center"/>
            </w:pPr>
            <w:r w:rsidRPr="000F438B">
              <w:rPr>
                <w:b/>
                <w:bCs/>
                <w:sz w:val="16"/>
                <w:szCs w:val="16"/>
              </w:rPr>
              <w:t>Vitamin D (Calcitriol/analogues)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5" w14:textId="77777777" w:rsidR="001C10E3" w:rsidRPr="000F438B" w:rsidRDefault="007C7BC3">
            <w:r w:rsidRPr="000F438B">
              <w:rPr>
                <w:sz w:val="14"/>
                <w:szCs w:val="14"/>
              </w:rPr>
              <w:t>VDR/RXR heterodimer, P21/P27 (↑), N-cadherin (↓), Vimentin (↓), Snail/Slug (↓), MMP-2/MMP-9 (↓), AMPK, AKT (↓), PSC-VDR (stromal target), SLC7A11 (ferroptosis-CRC)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6" w14:textId="6B064C82" w:rsidR="001C10E3" w:rsidRPr="000F438B" w:rsidRDefault="007C7BC3">
            <w:r w:rsidRPr="000F438B">
              <w:rPr>
                <w:sz w:val="14"/>
                <w:szCs w:val="14"/>
              </w:rPr>
              <w:t xml:space="preserve">VDR/VDRE genomic </w:t>
            </w:r>
            <w:proofErr w:type="spellStart"/>
            <w:r w:rsidRPr="000F438B">
              <w:rPr>
                <w:sz w:val="14"/>
                <w:szCs w:val="14"/>
              </w:rPr>
              <w:t>signalling</w:t>
            </w:r>
            <w:proofErr w:type="spellEnd"/>
            <w:r w:rsidRPr="000F438B">
              <w:rPr>
                <w:sz w:val="14"/>
                <w:szCs w:val="14"/>
              </w:rPr>
              <w:t xml:space="preserve"> → G1/S arrest (↑P21/P27); EMT reversal (↓Snail/Slug/Vimentin/N-cadherin); stromal </w:t>
            </w:r>
            <w:proofErr w:type="spellStart"/>
            <w:r w:rsidRPr="000F438B">
              <w:rPr>
                <w:sz w:val="14"/>
                <w:szCs w:val="14"/>
              </w:rPr>
              <w:t>remodelling</w:t>
            </w:r>
            <w:proofErr w:type="spellEnd"/>
            <w:r w:rsidRPr="000F438B">
              <w:rPr>
                <w:sz w:val="14"/>
                <w:szCs w:val="14"/>
              </w:rPr>
              <w:t xml:space="preserve"> via PSC-VDR inhibition → desmoplasia reduction; AMPK activation with AICAR combination; ferroptosis (in CRC via SLC7A11)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7" w14:textId="236FB05A" w:rsidR="001C10E3" w:rsidRPr="000F438B" w:rsidRDefault="007C7BC3">
            <w:r w:rsidRPr="000F438B">
              <w:rPr>
                <w:sz w:val="14"/>
                <w:szCs w:val="14"/>
              </w:rPr>
              <w:t>↑P21/P27 → G1/S arrest; MART-10 analogue: anti-proliferative + anti-migratory (</w:t>
            </w:r>
            <w:r w:rsidR="00756777" w:rsidRPr="000F438B">
              <w:rPr>
                <w:i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-independent); paricalcitol inhibits PSC activation → stromal unbundling; cholecalciferol + calcium ↓normal pancreatic cell proliferation; 1-α,25(OH)2D3 reduces PC in </w:t>
            </w:r>
            <w:r w:rsidR="00756777" w:rsidRPr="000F438B">
              <w:rPr>
                <w:i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 xml:space="preserve"> mutant models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8" w14:textId="22040EE7" w:rsidR="001C10E3" w:rsidRPr="000F438B" w:rsidRDefault="007C7BC3">
            <w:r w:rsidRPr="000F438B">
              <w:rPr>
                <w:sz w:val="14"/>
                <w:szCs w:val="14"/>
              </w:rPr>
              <w:t>Phase II (</w:t>
            </w:r>
            <w:proofErr w:type="spellStart"/>
            <w:r w:rsidRPr="000F438B">
              <w:rPr>
                <w:sz w:val="14"/>
                <w:szCs w:val="14"/>
              </w:rPr>
              <w:t>seocalcitol</w:t>
            </w:r>
            <w:proofErr w:type="spellEnd"/>
            <w:r w:rsidRPr="000F438B">
              <w:rPr>
                <w:sz w:val="14"/>
                <w:szCs w:val="14"/>
              </w:rPr>
              <w:t xml:space="preserve">/EB1089, n=36): tolerated, no OS/TTF benefit. Phase II (calcitriol + docetaxel, n=25): 3/25 PR, 7/25 SD, modest TTP extension. Pilot (NCT03883919, paricalcitol + </w:t>
            </w:r>
            <w:proofErr w:type="spellStart"/>
            <w:r w:rsidRPr="000F438B">
              <w:rPr>
                <w:sz w:val="14"/>
                <w:szCs w:val="14"/>
              </w:rPr>
              <w:t>nanoliposomal</w:t>
            </w:r>
            <w:proofErr w:type="spellEnd"/>
            <w:r w:rsidRPr="000F438B">
              <w:rPr>
                <w:sz w:val="14"/>
                <w:szCs w:val="14"/>
              </w:rPr>
              <w:t xml:space="preserve"> irinotecan + 5-FU/LV, n=20): safe; weight-based arm ↑tumour vascularity. Multiple trials ongoing.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9" w14:textId="77777777" w:rsidR="001C10E3" w:rsidRPr="000F438B" w:rsidRDefault="007C7BC3">
            <w:r w:rsidRPr="000F438B">
              <w:rPr>
                <w:sz w:val="14"/>
                <w:szCs w:val="14"/>
              </w:rPr>
              <w:t>Dietary forms (D2/D3) require sequential hepatic (→calcidiol) and renal (→calcitriol) hydroxylation; calcitriol active but causes hypercalcemia; paricalcitol avoids hypercalcemia; fat-soluble → accumulation risk; individual variation in 25-OH hydroxylation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A" w14:textId="77777777" w:rsidR="001C10E3" w:rsidRPr="000F438B" w:rsidRDefault="007C7BC3">
            <w:r w:rsidRPr="000F438B">
              <w:rPr>
                <w:sz w:val="14"/>
                <w:szCs w:val="14"/>
              </w:rPr>
              <w:t xml:space="preserve">Calcitriol: hypercalcemia limits clinical use; </w:t>
            </w:r>
            <w:proofErr w:type="spellStart"/>
            <w:r w:rsidRPr="000F438B">
              <w:rPr>
                <w:sz w:val="14"/>
                <w:szCs w:val="14"/>
              </w:rPr>
              <w:t>seocalcitol</w:t>
            </w:r>
            <w:proofErr w:type="spellEnd"/>
            <w:r w:rsidRPr="000F438B">
              <w:rPr>
                <w:sz w:val="14"/>
                <w:szCs w:val="14"/>
              </w:rPr>
              <w:t xml:space="preserve"> and paricalcitol: acceptable safety profile without hypercalcemia; no weight loss with MART-10 analogue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4C07B" w14:textId="77777777" w:rsidR="001C10E3" w:rsidRPr="000F438B" w:rsidRDefault="007C7BC3">
            <w:r w:rsidRPr="000F438B">
              <w:rPr>
                <w:sz w:val="14"/>
                <w:szCs w:val="14"/>
              </w:rPr>
              <w:t>Phase II completed; multiple Phase I/II ongoing; not standard-of-care; warrants biomarker-driven trials (VDR expression in PSCs/tumour)</w:t>
            </w:r>
          </w:p>
        </w:tc>
      </w:tr>
      <w:tr w:rsidR="00BB724B" w:rsidRPr="000F438B" w14:paraId="27D5E583" w14:textId="77777777" w:rsidTr="00FD7652">
        <w:tc>
          <w:tcPr>
            <w:tcW w:w="178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D9F2D0" w:themeFill="accent6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570CC4" w14:textId="0C33E45C" w:rsidR="00BB724B" w:rsidRPr="000F438B" w:rsidRDefault="001856D3">
            <w:pPr>
              <w:jc w:val="center"/>
              <w:rPr>
                <w:b/>
                <w:bCs/>
                <w:sz w:val="16"/>
                <w:szCs w:val="16"/>
              </w:rPr>
            </w:pPr>
            <w:r w:rsidRPr="000F438B">
              <w:rPr>
                <w:b/>
                <w:bCs/>
                <w:sz w:val="16"/>
                <w:szCs w:val="16"/>
              </w:rPr>
              <w:t>Nimbolide</w:t>
            </w:r>
          </w:p>
        </w:tc>
        <w:tc>
          <w:tcPr>
            <w:tcW w:w="1514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919B6A" w14:textId="4107FD58" w:rsidR="00BB724B" w:rsidRPr="000F438B" w:rsidRDefault="001856D3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>RNF114 (E3 ubiquitin ligase), PARP1, SOD2, PI3K, AKT, mTOR, ERK, BAX, Caspase-3, CD44, E-cadherin, N-cadherin, Snail, Notch-2, ROS</w:t>
            </w:r>
          </w:p>
        </w:tc>
        <w:tc>
          <w:tcPr>
            <w:tcW w:w="167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03EDAC" w14:textId="66B1555E" w:rsidR="00BB724B" w:rsidRPr="000F438B" w:rsidRDefault="001856D3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>ROS-mediated mitochondrial apoptosis; PI3K/AKT/mTOR inhibition; ERK suppression; EMT inhibition; CSC targeting (CD44); oxidative stress via SOD2 inhibition; DNA damage response through RNF114</w:t>
            </w:r>
            <w:r w:rsidR="00D06843" w:rsidRPr="000F438B">
              <w:rPr>
                <w:sz w:val="14"/>
                <w:szCs w:val="14"/>
              </w:rPr>
              <w:t>;</w:t>
            </w:r>
            <w:r w:rsidRPr="000F438B">
              <w:rPr>
                <w:sz w:val="14"/>
                <w:szCs w:val="14"/>
              </w:rPr>
              <w:t xml:space="preserve"> PARP1 </w:t>
            </w:r>
            <w:r w:rsidR="0086548F" w:rsidRPr="000F438B">
              <w:rPr>
                <w:sz w:val="14"/>
                <w:szCs w:val="14"/>
              </w:rPr>
              <w:t>trapping</w:t>
            </w:r>
            <w:r w:rsidRPr="000F438B">
              <w:rPr>
                <w:sz w:val="14"/>
                <w:szCs w:val="14"/>
              </w:rPr>
              <w:t xml:space="preserve"> and synthetic lethality in </w:t>
            </w:r>
            <w:r w:rsidRPr="000F438B">
              <w:rPr>
                <w:i/>
                <w:iCs/>
                <w:sz w:val="14"/>
                <w:szCs w:val="14"/>
              </w:rPr>
              <w:t>BRCA</w:t>
            </w:r>
            <w:r w:rsidRPr="000F438B">
              <w:rPr>
                <w:sz w:val="14"/>
                <w:szCs w:val="14"/>
              </w:rPr>
              <w:t>-mutated cells</w:t>
            </w:r>
          </w:p>
        </w:tc>
        <w:tc>
          <w:tcPr>
            <w:tcW w:w="2008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C1DA37" w14:textId="5B5590F2" w:rsidR="00BB724B" w:rsidRPr="000F438B" w:rsidRDefault="00E32844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>Potently inhibits PC cell proliferation</w:t>
            </w:r>
            <w:r w:rsidRPr="000F438B">
              <w:rPr>
                <w:sz w:val="14"/>
                <w:szCs w:val="14"/>
              </w:rPr>
              <w:t xml:space="preserve"> </w:t>
            </w:r>
            <w:r w:rsidRPr="000F438B">
              <w:rPr>
                <w:i/>
                <w:iCs/>
                <w:sz w:val="14"/>
                <w:szCs w:val="14"/>
              </w:rPr>
              <w:t xml:space="preserve">in vitro </w:t>
            </w:r>
            <w:r w:rsidRPr="000F438B">
              <w:rPr>
                <w:sz w:val="14"/>
                <w:szCs w:val="14"/>
              </w:rPr>
              <w:t>and</w:t>
            </w:r>
            <w:r w:rsidRPr="000F438B">
              <w:rPr>
                <w:i/>
                <w:iCs/>
                <w:sz w:val="14"/>
                <w:szCs w:val="14"/>
              </w:rPr>
              <w:t xml:space="preserve"> in vivo</w:t>
            </w:r>
            <w:r w:rsidRPr="000F438B">
              <w:rPr>
                <w:sz w:val="14"/>
                <w:szCs w:val="14"/>
              </w:rPr>
              <w:t>; induces mitochondrial ROS-dependent apoptosis and autophagy; suppresses EMT; reduces CD44</w:t>
            </w:r>
            <w:r w:rsidRPr="000F438B">
              <w:rPr>
                <w:rFonts w:ascii="Cambria Math" w:hAnsi="Cambria Math" w:cs="Cambria Math"/>
                <w:sz w:val="14"/>
                <w:szCs w:val="14"/>
              </w:rPr>
              <w:t>⁺</w:t>
            </w:r>
            <w:r w:rsidRPr="000F438B">
              <w:rPr>
                <w:sz w:val="14"/>
                <w:szCs w:val="14"/>
              </w:rPr>
              <w:t xml:space="preserve"> cancer stem cell</w:t>
            </w:r>
            <w:r w:rsidRPr="000F438B">
              <w:rPr>
                <w:sz w:val="14"/>
                <w:szCs w:val="14"/>
              </w:rPr>
              <w:t>s</w:t>
            </w:r>
            <w:r w:rsidRPr="000F438B">
              <w:rPr>
                <w:sz w:val="14"/>
                <w:szCs w:val="14"/>
              </w:rPr>
              <w:t>; PLGA-encapsulated nanoparticles enhance mesenchymal-to-epithelial transition through dual AKT/mTOR inhibition; potential synergy with PARP inhibitors and gemcitabine</w:t>
            </w:r>
          </w:p>
        </w:tc>
        <w:tc>
          <w:tcPr>
            <w:tcW w:w="1823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DD5E34" w14:textId="51C85140" w:rsidR="00BB724B" w:rsidRPr="000F438B" w:rsidRDefault="00467255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 xml:space="preserve">No clinical trials in pancreatic cancer or any other malignancy to date. Translational rationale </w:t>
            </w:r>
            <w:r w:rsidR="0086548F" w:rsidRPr="000F438B">
              <w:rPr>
                <w:sz w:val="14"/>
                <w:szCs w:val="14"/>
              </w:rPr>
              <w:t>is particularly</w:t>
            </w:r>
            <w:r w:rsidRPr="000F438B">
              <w:rPr>
                <w:sz w:val="14"/>
                <w:szCs w:val="14"/>
              </w:rPr>
              <w:t xml:space="preserve"> strong for </w:t>
            </w:r>
            <w:r w:rsidRPr="000F438B">
              <w:rPr>
                <w:i/>
                <w:iCs/>
                <w:sz w:val="14"/>
                <w:szCs w:val="14"/>
              </w:rPr>
              <w:t>BRCA</w:t>
            </w:r>
            <w:r w:rsidRPr="000F438B">
              <w:rPr>
                <w:sz w:val="14"/>
                <w:szCs w:val="14"/>
              </w:rPr>
              <w:t xml:space="preserve">1/2-mutated PDAC owing to RNF114 inhibition and PARP1 </w:t>
            </w:r>
            <w:r w:rsidR="0086548F" w:rsidRPr="000F438B">
              <w:rPr>
                <w:sz w:val="14"/>
                <w:szCs w:val="14"/>
              </w:rPr>
              <w:t>trapping but</w:t>
            </w:r>
            <w:r w:rsidRPr="000F438B">
              <w:rPr>
                <w:sz w:val="14"/>
                <w:szCs w:val="14"/>
              </w:rPr>
              <w:t xml:space="preserve"> remains entirely preclinical.</w:t>
            </w:r>
          </w:p>
        </w:tc>
        <w:tc>
          <w:tcPr>
            <w:tcW w:w="1709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73ABC9" w14:textId="57B7B513" w:rsidR="00BB724B" w:rsidRPr="000F438B" w:rsidRDefault="00467255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 xml:space="preserve">Poorly </w:t>
            </w:r>
            <w:r w:rsidR="0086548F" w:rsidRPr="000F438B">
              <w:rPr>
                <w:sz w:val="14"/>
                <w:szCs w:val="14"/>
              </w:rPr>
              <w:t>characterized</w:t>
            </w:r>
            <w:r w:rsidRPr="000F438B">
              <w:rPr>
                <w:sz w:val="14"/>
                <w:szCs w:val="14"/>
              </w:rPr>
              <w:t xml:space="preserve"> pharmacokinetics; low aqueous solubility expected for limonoid terpenoids; no long-term toxicology studies available; </w:t>
            </w:r>
            <w:proofErr w:type="spellStart"/>
            <w:r w:rsidRPr="000F438B">
              <w:rPr>
                <w:sz w:val="14"/>
                <w:szCs w:val="14"/>
              </w:rPr>
              <w:t>nanoformulations</w:t>
            </w:r>
            <w:proofErr w:type="spellEnd"/>
            <w:r w:rsidRPr="000F438B">
              <w:rPr>
                <w:sz w:val="14"/>
                <w:szCs w:val="14"/>
              </w:rPr>
              <w:t xml:space="preserve"> (PLGA nanoparticles) improve delivery and biological activity but remain experimental.</w:t>
            </w:r>
          </w:p>
        </w:tc>
        <w:tc>
          <w:tcPr>
            <w:tcW w:w="1445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920F04" w14:textId="47A813B1" w:rsidR="00BB724B" w:rsidRPr="000F438B" w:rsidRDefault="0086548F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>Generally,</w:t>
            </w:r>
            <w:r w:rsidR="00BB7446" w:rsidRPr="000F438B">
              <w:rPr>
                <w:sz w:val="14"/>
                <w:szCs w:val="14"/>
              </w:rPr>
              <w:t xml:space="preserve"> well tolerated in preclinical studies with no major toxicity reported at therapeutic doses; however, formal dose-escalation, chronic toxicity and safety pharmacology studies are lacking.</w:t>
            </w:r>
          </w:p>
        </w:tc>
        <w:tc>
          <w:tcPr>
            <w:tcW w:w="1927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56F3DB" w14:textId="785C817B" w:rsidR="00BB724B" w:rsidRPr="000F438B" w:rsidRDefault="006521F0">
            <w:pPr>
              <w:rPr>
                <w:sz w:val="14"/>
                <w:szCs w:val="14"/>
              </w:rPr>
            </w:pPr>
            <w:r w:rsidRPr="000F438B">
              <w:rPr>
                <w:sz w:val="14"/>
                <w:szCs w:val="14"/>
              </w:rPr>
              <w:t xml:space="preserve">Preclinical only; no registered clinical trials. Requires pharmacokinetic </w:t>
            </w:r>
            <w:r w:rsidR="0086548F" w:rsidRPr="000F438B">
              <w:rPr>
                <w:sz w:val="14"/>
                <w:szCs w:val="14"/>
              </w:rPr>
              <w:t>optimization</w:t>
            </w:r>
            <w:r w:rsidRPr="000F438B">
              <w:rPr>
                <w:sz w:val="14"/>
                <w:szCs w:val="14"/>
              </w:rPr>
              <w:t xml:space="preserve">, toxicological evaluation and biomarker-driven studies, particularly in </w:t>
            </w:r>
            <w:r w:rsidRPr="000F438B">
              <w:rPr>
                <w:i/>
                <w:iCs/>
                <w:sz w:val="14"/>
                <w:szCs w:val="14"/>
              </w:rPr>
              <w:t>BRCA</w:t>
            </w:r>
            <w:r w:rsidRPr="000F438B">
              <w:rPr>
                <w:sz w:val="14"/>
                <w:szCs w:val="14"/>
              </w:rPr>
              <w:t xml:space="preserve">-mutant and </w:t>
            </w:r>
            <w:r w:rsidRPr="000F438B">
              <w:rPr>
                <w:i/>
                <w:iCs/>
                <w:sz w:val="14"/>
                <w:szCs w:val="14"/>
              </w:rPr>
              <w:t>KRAS</w:t>
            </w:r>
            <w:r w:rsidRPr="000F438B">
              <w:rPr>
                <w:sz w:val="14"/>
                <w:szCs w:val="14"/>
              </w:rPr>
              <w:t>-mutant PDAC.</w:t>
            </w:r>
          </w:p>
        </w:tc>
      </w:tr>
    </w:tbl>
    <w:p w14:paraId="1BD4C07D" w14:textId="77777777" w:rsidR="001C10E3" w:rsidRPr="00906D8A" w:rsidRDefault="007C7BC3" w:rsidP="00490187">
      <w:pPr>
        <w:spacing w:before="120"/>
        <w:jc w:val="both"/>
      </w:pPr>
      <w:r w:rsidRPr="000F438B">
        <w:rPr>
          <w:i/>
          <w:iCs/>
          <w:color w:val="444444"/>
          <w:sz w:val="14"/>
          <w:szCs w:val="14"/>
        </w:rPr>
        <w:t xml:space="preserve">Abbreviations: AKT, protein kinase B; AMPK, AMP-activated protein kinase; BAX/BCL-2, apoptosis regulators; CBD, cannabidiol; COX-2, cyclooxygenase-2; CSC, cancer stem cells; DPD, </w:t>
      </w:r>
      <w:proofErr w:type="spellStart"/>
      <w:r w:rsidRPr="000F438B">
        <w:rPr>
          <w:i/>
          <w:iCs/>
          <w:color w:val="444444"/>
          <w:sz w:val="14"/>
          <w:szCs w:val="14"/>
        </w:rPr>
        <w:t>dihydropyrimidine</w:t>
      </w:r>
      <w:proofErr w:type="spellEnd"/>
      <w:r w:rsidRPr="000F438B">
        <w:rPr>
          <w:i/>
          <w:iCs/>
          <w:color w:val="444444"/>
          <w:sz w:val="14"/>
          <w:szCs w:val="14"/>
        </w:rPr>
        <w:t xml:space="preserve"> dehydrogenase; EMT, epithelial-to-mesenchymal transition; ER, endoplasmic reticulum; FOXO, </w:t>
      </w:r>
      <w:proofErr w:type="spellStart"/>
      <w:r w:rsidRPr="000F438B">
        <w:rPr>
          <w:i/>
          <w:iCs/>
          <w:color w:val="444444"/>
          <w:sz w:val="14"/>
          <w:szCs w:val="14"/>
        </w:rPr>
        <w:t>forkhead</w:t>
      </w:r>
      <w:proofErr w:type="spellEnd"/>
      <w:r w:rsidRPr="000F438B">
        <w:rPr>
          <w:i/>
          <w:iCs/>
          <w:color w:val="444444"/>
          <w:sz w:val="14"/>
          <w:szCs w:val="14"/>
        </w:rPr>
        <w:t xml:space="preserve"> box O; G6PD, glucose-6-phosphate dehydrogenase; GAPDH, glyceraldehyde-3-phosphate dehydrogenase; GLUT-1, glucose transporter-1; GPX4, glutathione peroxidase 4; HIF-1α, hypoxia-inducible factor 1-alpha; </w:t>
      </w:r>
      <w:proofErr w:type="spellStart"/>
      <w:r w:rsidRPr="000F438B">
        <w:rPr>
          <w:i/>
          <w:iCs/>
          <w:color w:val="444444"/>
          <w:sz w:val="14"/>
          <w:szCs w:val="14"/>
        </w:rPr>
        <w:t>i.v.</w:t>
      </w:r>
      <w:proofErr w:type="spellEnd"/>
      <w:r w:rsidRPr="000F438B">
        <w:rPr>
          <w:i/>
          <w:iCs/>
          <w:color w:val="444444"/>
          <w:sz w:val="14"/>
          <w:szCs w:val="14"/>
        </w:rPr>
        <w:t>, intravenous; JNK, c-Jun N-terminal kinase; KRAS, Kirsten rat sarcoma viral proto-oncogene; MAPK, mitogen-activated protein kinase; MMP, matrix metalloproteinase; mTOR, mechanistic target of rapamycin; NF-</w:t>
      </w:r>
      <w:proofErr w:type="spellStart"/>
      <w:r w:rsidRPr="000F438B">
        <w:rPr>
          <w:i/>
          <w:iCs/>
          <w:color w:val="444444"/>
          <w:sz w:val="14"/>
          <w:szCs w:val="14"/>
        </w:rPr>
        <w:t>κB</w:t>
      </w:r>
      <w:proofErr w:type="spellEnd"/>
      <w:r w:rsidRPr="000F438B">
        <w:rPr>
          <w:i/>
          <w:iCs/>
          <w:color w:val="444444"/>
          <w:sz w:val="14"/>
          <w:szCs w:val="14"/>
        </w:rPr>
        <w:t>, nuclear factor kappa-light-chain-enhancer of activated B cells; Nrf2, nuclear factor erythroid 2-related factor 2; OS, overall survival; OXPHOS, oxidative phosphorylation; PC, pancreatic cancer; PDAC, pancreatic ductal adenocarcinoma; PDH, pyruvate dehydrogenase; PD-L1, programmed death-ligand 1; PI3K, phosphoinositide 3-kinase; PKM2, pyruvate kinase isoform M2; PR, partial response; PSC, pancreatic stellate cell; QoL, quality of life; RCT, randomized controlled trial; ROS, reactive oxygen species; SD, stable disease; SIRT1, sirtuin 1; STAT3, signal transducer and activator of transcription 3; t½, half-life; TCA, tricarboxylic acid; TET, ten-eleven translocation; THC, tetrahydrocannabinol; TTP, time to progression; TTF, time to treatment failure; VDA, vitamin D analogue; VDR, vitamin D receptor; VEGF, vascular endothelial growth factor.</w:t>
      </w:r>
    </w:p>
    <w:sectPr w:rsidR="001C10E3" w:rsidRPr="00906D8A">
      <w:pgSz w:w="15840" w:h="122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C7832"/>
    <w:multiLevelType w:val="hybridMultilevel"/>
    <w:tmpl w:val="BEFEB908"/>
    <w:lvl w:ilvl="0" w:tplc="E6F6076A">
      <w:start w:val="1"/>
      <w:numFmt w:val="bullet"/>
      <w:lvlText w:val="●"/>
      <w:lvlJc w:val="left"/>
      <w:pPr>
        <w:ind w:left="720" w:hanging="360"/>
      </w:pPr>
    </w:lvl>
    <w:lvl w:ilvl="1" w:tplc="AB4C1306">
      <w:start w:val="1"/>
      <w:numFmt w:val="bullet"/>
      <w:lvlText w:val="○"/>
      <w:lvlJc w:val="left"/>
      <w:pPr>
        <w:ind w:left="1440" w:hanging="360"/>
      </w:pPr>
    </w:lvl>
    <w:lvl w:ilvl="2" w:tplc="4C4C761C">
      <w:start w:val="1"/>
      <w:numFmt w:val="bullet"/>
      <w:lvlText w:val="■"/>
      <w:lvlJc w:val="left"/>
      <w:pPr>
        <w:ind w:left="2160" w:hanging="360"/>
      </w:pPr>
    </w:lvl>
    <w:lvl w:ilvl="3" w:tplc="6D8CEE64">
      <w:start w:val="1"/>
      <w:numFmt w:val="bullet"/>
      <w:lvlText w:val="●"/>
      <w:lvlJc w:val="left"/>
      <w:pPr>
        <w:ind w:left="2880" w:hanging="360"/>
      </w:pPr>
    </w:lvl>
    <w:lvl w:ilvl="4" w:tplc="18CEFE50">
      <w:start w:val="1"/>
      <w:numFmt w:val="bullet"/>
      <w:lvlText w:val="○"/>
      <w:lvlJc w:val="left"/>
      <w:pPr>
        <w:ind w:left="3600" w:hanging="360"/>
      </w:pPr>
    </w:lvl>
    <w:lvl w:ilvl="5" w:tplc="02282774">
      <w:start w:val="1"/>
      <w:numFmt w:val="bullet"/>
      <w:lvlText w:val="■"/>
      <w:lvlJc w:val="left"/>
      <w:pPr>
        <w:ind w:left="4320" w:hanging="360"/>
      </w:pPr>
    </w:lvl>
    <w:lvl w:ilvl="6" w:tplc="1A1C003C">
      <w:start w:val="1"/>
      <w:numFmt w:val="bullet"/>
      <w:lvlText w:val="●"/>
      <w:lvlJc w:val="left"/>
      <w:pPr>
        <w:ind w:left="5040" w:hanging="360"/>
      </w:pPr>
    </w:lvl>
    <w:lvl w:ilvl="7" w:tplc="3A90228C">
      <w:start w:val="1"/>
      <w:numFmt w:val="bullet"/>
      <w:lvlText w:val="●"/>
      <w:lvlJc w:val="left"/>
      <w:pPr>
        <w:ind w:left="5760" w:hanging="360"/>
      </w:pPr>
    </w:lvl>
    <w:lvl w:ilvl="8" w:tplc="9A32100C">
      <w:start w:val="1"/>
      <w:numFmt w:val="bullet"/>
      <w:lvlText w:val="●"/>
      <w:lvlJc w:val="left"/>
      <w:pPr>
        <w:ind w:left="6480" w:hanging="360"/>
      </w:pPr>
    </w:lvl>
  </w:abstractNum>
  <w:num w:numId="1" w16cid:durableId="14653946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E3"/>
    <w:rsid w:val="00053BE7"/>
    <w:rsid w:val="000F438B"/>
    <w:rsid w:val="00137870"/>
    <w:rsid w:val="001856D3"/>
    <w:rsid w:val="001C10E3"/>
    <w:rsid w:val="002B4F7A"/>
    <w:rsid w:val="00385095"/>
    <w:rsid w:val="00467255"/>
    <w:rsid w:val="00490187"/>
    <w:rsid w:val="005B443B"/>
    <w:rsid w:val="005E275E"/>
    <w:rsid w:val="006521F0"/>
    <w:rsid w:val="006A3AD9"/>
    <w:rsid w:val="00756777"/>
    <w:rsid w:val="007C7BC3"/>
    <w:rsid w:val="007F4193"/>
    <w:rsid w:val="0086548F"/>
    <w:rsid w:val="00906D8A"/>
    <w:rsid w:val="00B66C20"/>
    <w:rsid w:val="00BB724B"/>
    <w:rsid w:val="00BB7446"/>
    <w:rsid w:val="00D06843"/>
    <w:rsid w:val="00E32844"/>
    <w:rsid w:val="00FC7C68"/>
    <w:rsid w:val="00FD7652"/>
    <w:rsid w:val="00FF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C02B"/>
  <w15:docId w15:val="{394B3ABE-A9DA-406E-9513-750E328D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uiPriority w:val="9"/>
    <w:qFormat/>
    <w:pPr>
      <w:spacing w:before="240" w:after="120"/>
      <w:outlineLvl w:val="0"/>
    </w:pPr>
    <w:rPr>
      <w:b/>
      <w:bCs/>
      <w:color w:val="1F4E79"/>
      <w:sz w:val="28"/>
      <w:szCs w:val="28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f84c4ea-370d-4b9e-830c-756f8bf1b51f}" enabled="0" method="" siteId="{5f84c4ea-370d-4b9e-830c-756f8bf1b5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2010</Words>
  <Characters>11056</Characters>
  <Application>Microsoft Office Word</Application>
  <DocSecurity>0</DocSecurity>
  <Lines>92</Lines>
  <Paragraphs>26</Paragraphs>
  <ScaleCrop>false</ScaleCrop>
  <Company>Universidad Rey Juan Carlos</Company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Javier Martínez Useros</cp:lastModifiedBy>
  <cp:revision>24</cp:revision>
  <dcterms:created xsi:type="dcterms:W3CDTF">2026-06-29T20:47:00Z</dcterms:created>
  <dcterms:modified xsi:type="dcterms:W3CDTF">2026-07-07T17:31:00Z</dcterms:modified>
</cp:coreProperties>
</file>