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462C" w:rsidRPr="0068010D" w:rsidRDefault="0015462C" w:rsidP="0015462C">
      <w:pPr>
        <w:spacing w:line="360" w:lineRule="auto"/>
        <w:jc w:val="center"/>
        <w:rPr>
          <w:rFonts w:ascii="Arial" w:hAnsi="Arial" w:cs="Arial"/>
          <w:sz w:val="32"/>
          <w:szCs w:val="32"/>
          <w:lang w:val="en-US"/>
        </w:rPr>
      </w:pPr>
      <w:bookmarkStart w:id="0" w:name="_GoBack"/>
      <w:bookmarkEnd w:id="0"/>
      <w:r w:rsidRPr="0068010D">
        <w:rPr>
          <w:rFonts w:ascii="Arial" w:hAnsi="Arial" w:cs="Arial"/>
          <w:sz w:val="32"/>
          <w:szCs w:val="32"/>
          <w:lang w:val="en-US"/>
        </w:rPr>
        <w:t>Supporting Information</w:t>
      </w:r>
    </w:p>
    <w:p w:rsidR="0015462C" w:rsidRPr="00F35238" w:rsidRDefault="0015462C" w:rsidP="0015462C">
      <w:pPr>
        <w:spacing w:line="360" w:lineRule="auto"/>
        <w:jc w:val="both"/>
        <w:rPr>
          <w:rFonts w:ascii="Arial" w:hAnsi="Arial" w:cs="Arial"/>
          <w:b/>
          <w:sz w:val="32"/>
          <w:szCs w:val="32"/>
          <w:lang w:val="en-US"/>
        </w:rPr>
      </w:pPr>
    </w:p>
    <w:p w:rsidR="0015462C" w:rsidRPr="00F35238" w:rsidRDefault="0015462C" w:rsidP="0015462C">
      <w:pPr>
        <w:spacing w:line="360" w:lineRule="auto"/>
        <w:jc w:val="center"/>
        <w:rPr>
          <w:rFonts w:ascii="Arial" w:hAnsi="Arial" w:cs="Arial"/>
          <w:b/>
          <w:sz w:val="32"/>
          <w:szCs w:val="32"/>
          <w:lang w:val="en-US"/>
        </w:rPr>
      </w:pPr>
      <w:r w:rsidRPr="00F35238">
        <w:rPr>
          <w:rFonts w:ascii="Arial" w:hAnsi="Arial" w:cs="Arial"/>
          <w:b/>
          <w:sz w:val="32"/>
          <w:szCs w:val="32"/>
          <w:lang w:val="en-US"/>
        </w:rPr>
        <w:t>Chromophore binding to two cysteines increases quantum yield of near-infrared fluorescent proteins</w:t>
      </w:r>
    </w:p>
    <w:p w:rsidR="0015462C" w:rsidRPr="00F35238" w:rsidRDefault="0015462C" w:rsidP="0015462C">
      <w:pPr>
        <w:spacing w:line="360" w:lineRule="auto"/>
        <w:jc w:val="center"/>
        <w:rPr>
          <w:rFonts w:ascii="Arial" w:hAnsi="Arial" w:cs="Arial"/>
          <w:b/>
          <w:sz w:val="32"/>
          <w:szCs w:val="32"/>
          <w:lang w:val="en-US"/>
        </w:rPr>
      </w:pPr>
    </w:p>
    <w:p w:rsidR="0015462C" w:rsidRDefault="0015462C" w:rsidP="0015462C">
      <w:pPr>
        <w:spacing w:line="360" w:lineRule="auto"/>
        <w:jc w:val="center"/>
        <w:rPr>
          <w:rFonts w:ascii="Arial" w:hAnsi="Arial" w:cs="Arial"/>
          <w:sz w:val="20"/>
          <w:szCs w:val="20"/>
          <w:lang w:val="en-US"/>
        </w:rPr>
      </w:pPr>
      <w:r w:rsidRPr="00F35238">
        <w:rPr>
          <w:rFonts w:ascii="Arial" w:hAnsi="Arial" w:cs="Arial"/>
          <w:sz w:val="20"/>
          <w:szCs w:val="20"/>
          <w:lang w:val="en-US"/>
        </w:rPr>
        <w:t>David Buhrke</w:t>
      </w:r>
      <w:r w:rsidRPr="00F35238">
        <w:rPr>
          <w:rFonts w:ascii="Arial" w:hAnsi="Arial" w:cs="Arial"/>
          <w:sz w:val="20"/>
          <w:szCs w:val="20"/>
          <w:vertAlign w:val="superscript"/>
          <w:lang w:val="en-US"/>
        </w:rPr>
        <w:t>1</w:t>
      </w:r>
      <w:r w:rsidRPr="00F35238">
        <w:rPr>
          <w:rFonts w:ascii="Arial" w:hAnsi="Arial" w:cs="Arial"/>
          <w:sz w:val="20"/>
          <w:szCs w:val="20"/>
          <w:lang w:val="en-US"/>
        </w:rPr>
        <w:t>, Neslihan N. Tavraz</w:t>
      </w:r>
      <w:r w:rsidRPr="00F35238">
        <w:rPr>
          <w:rFonts w:ascii="Arial" w:hAnsi="Arial" w:cs="Arial"/>
          <w:sz w:val="20"/>
          <w:szCs w:val="20"/>
          <w:vertAlign w:val="superscript"/>
          <w:lang w:val="en-US"/>
        </w:rPr>
        <w:t>1</w:t>
      </w:r>
      <w:r w:rsidRPr="00F35238">
        <w:rPr>
          <w:rFonts w:ascii="Arial" w:hAnsi="Arial" w:cs="Arial"/>
          <w:sz w:val="20"/>
          <w:szCs w:val="20"/>
          <w:lang w:val="en-US"/>
        </w:rPr>
        <w:t>, Daria M. Shcherbakova</w:t>
      </w:r>
      <w:r w:rsidRPr="00F35238">
        <w:rPr>
          <w:rFonts w:ascii="Arial" w:hAnsi="Arial" w:cs="Arial"/>
          <w:sz w:val="20"/>
          <w:szCs w:val="20"/>
          <w:vertAlign w:val="superscript"/>
          <w:lang w:val="en-US"/>
        </w:rPr>
        <w:t>2</w:t>
      </w:r>
      <w:r w:rsidRPr="00F35238">
        <w:rPr>
          <w:rFonts w:ascii="Arial" w:hAnsi="Arial" w:cs="Arial"/>
          <w:sz w:val="20"/>
          <w:szCs w:val="20"/>
          <w:lang w:val="en-US"/>
        </w:rPr>
        <w:t>, Luisa Sauthof</w:t>
      </w:r>
      <w:r w:rsidRPr="00F35238">
        <w:rPr>
          <w:rFonts w:ascii="Arial" w:hAnsi="Arial" w:cs="Arial"/>
          <w:sz w:val="20"/>
          <w:szCs w:val="20"/>
          <w:vertAlign w:val="superscript"/>
          <w:lang w:val="en-US"/>
        </w:rPr>
        <w:t>3</w:t>
      </w:r>
      <w:r w:rsidRPr="00F35238">
        <w:rPr>
          <w:rFonts w:ascii="Arial" w:hAnsi="Arial" w:cs="Arial"/>
          <w:sz w:val="20"/>
          <w:szCs w:val="20"/>
          <w:lang w:val="en-US"/>
        </w:rPr>
        <w:t>, Marcus Moldenhauer</w:t>
      </w:r>
      <w:r w:rsidRPr="00F35238">
        <w:rPr>
          <w:rFonts w:ascii="Arial" w:hAnsi="Arial" w:cs="Arial"/>
          <w:sz w:val="20"/>
          <w:szCs w:val="20"/>
          <w:vertAlign w:val="superscript"/>
          <w:lang w:val="en-US"/>
        </w:rPr>
        <w:t>1</w:t>
      </w:r>
      <w:r w:rsidRPr="00F35238">
        <w:rPr>
          <w:rFonts w:ascii="Arial" w:hAnsi="Arial" w:cs="Arial"/>
          <w:sz w:val="20"/>
          <w:szCs w:val="20"/>
          <w:lang w:val="en-US"/>
        </w:rPr>
        <w:t>, Francisco Vélazquez Escobar</w:t>
      </w:r>
      <w:r w:rsidRPr="00F35238">
        <w:rPr>
          <w:rFonts w:ascii="Arial" w:hAnsi="Arial" w:cs="Arial"/>
          <w:sz w:val="20"/>
          <w:szCs w:val="20"/>
          <w:vertAlign w:val="superscript"/>
          <w:lang w:val="en-US"/>
        </w:rPr>
        <w:t>1</w:t>
      </w:r>
      <w:r w:rsidRPr="00F35238">
        <w:rPr>
          <w:rFonts w:ascii="Arial" w:hAnsi="Arial" w:cs="Arial"/>
          <w:sz w:val="20"/>
          <w:szCs w:val="20"/>
          <w:lang w:val="en-US"/>
        </w:rPr>
        <w:t>, Vladislav V. Verkhusha</w:t>
      </w:r>
      <w:r w:rsidRPr="00F35238">
        <w:rPr>
          <w:rFonts w:ascii="Arial" w:hAnsi="Arial" w:cs="Arial"/>
          <w:sz w:val="20"/>
          <w:szCs w:val="20"/>
          <w:vertAlign w:val="superscript"/>
          <w:lang w:val="en-US"/>
        </w:rPr>
        <w:t>2</w:t>
      </w:r>
      <w:r w:rsidRPr="00F35238">
        <w:rPr>
          <w:rFonts w:ascii="Arial" w:hAnsi="Arial" w:cs="Arial"/>
          <w:sz w:val="20"/>
          <w:szCs w:val="20"/>
          <w:lang w:val="en-US"/>
        </w:rPr>
        <w:t>, Peter Hildebrandt</w:t>
      </w:r>
      <w:r w:rsidRPr="00F35238">
        <w:rPr>
          <w:rFonts w:ascii="Arial" w:hAnsi="Arial" w:cs="Arial"/>
          <w:sz w:val="20"/>
          <w:szCs w:val="20"/>
          <w:vertAlign w:val="superscript"/>
          <w:lang w:val="en-US"/>
        </w:rPr>
        <w:t>1</w:t>
      </w:r>
      <w:r w:rsidRPr="00F35238">
        <w:rPr>
          <w:rFonts w:ascii="Arial" w:hAnsi="Arial" w:cs="Arial"/>
          <w:sz w:val="20"/>
          <w:szCs w:val="20"/>
          <w:lang w:val="en-US"/>
        </w:rPr>
        <w:t xml:space="preserve"> and Thomas Friedrich</w:t>
      </w:r>
      <w:r w:rsidRPr="00F35238">
        <w:rPr>
          <w:rFonts w:ascii="Arial" w:hAnsi="Arial" w:cs="Arial"/>
          <w:sz w:val="20"/>
          <w:szCs w:val="20"/>
          <w:vertAlign w:val="superscript"/>
          <w:lang w:val="en-US"/>
        </w:rPr>
        <w:t>1</w:t>
      </w:r>
      <w:r w:rsidRPr="00F35238">
        <w:rPr>
          <w:rFonts w:ascii="Arial" w:hAnsi="Arial" w:cs="Arial"/>
          <w:sz w:val="20"/>
          <w:szCs w:val="20"/>
          <w:lang w:val="en-US"/>
        </w:rPr>
        <w:t>*</w:t>
      </w:r>
    </w:p>
    <w:p w:rsidR="0015462C" w:rsidRPr="00F35238" w:rsidRDefault="0015462C" w:rsidP="0015462C">
      <w:pPr>
        <w:spacing w:line="360" w:lineRule="auto"/>
        <w:jc w:val="center"/>
        <w:rPr>
          <w:rFonts w:ascii="Arial" w:hAnsi="Arial" w:cs="Arial"/>
          <w:sz w:val="20"/>
          <w:szCs w:val="20"/>
          <w:lang w:val="en-US"/>
        </w:rPr>
      </w:pPr>
    </w:p>
    <w:p w:rsidR="0015462C" w:rsidRPr="00F35238" w:rsidRDefault="0015462C" w:rsidP="0015462C">
      <w:pPr>
        <w:pStyle w:val="Adress"/>
        <w:ind w:left="284" w:hanging="284"/>
        <w:rPr>
          <w:sz w:val="20"/>
          <w:lang w:val="en-US"/>
        </w:rPr>
      </w:pPr>
      <w:r w:rsidRPr="00F35238">
        <w:rPr>
          <w:sz w:val="20"/>
          <w:vertAlign w:val="superscript"/>
        </w:rPr>
        <w:t>1</w:t>
      </w:r>
      <w:r w:rsidRPr="00F35238">
        <w:rPr>
          <w:sz w:val="20"/>
        </w:rPr>
        <w:t xml:space="preserve"> </w:t>
      </w:r>
      <w:r w:rsidRPr="00F35238">
        <w:rPr>
          <w:sz w:val="20"/>
        </w:rPr>
        <w:tab/>
        <w:t xml:space="preserve">Institut für Chemie, Sekr. PC14, Technische Universität Berlin, Straße des 17. </w:t>
      </w:r>
      <w:r>
        <w:rPr>
          <w:sz w:val="20"/>
          <w:lang w:val="en-US"/>
        </w:rPr>
        <w:t xml:space="preserve">Juni 135, 10623 </w:t>
      </w:r>
      <w:r w:rsidRPr="00F35238">
        <w:rPr>
          <w:sz w:val="20"/>
          <w:lang w:val="en-US"/>
        </w:rPr>
        <w:t>Berlin, Germany.</w:t>
      </w:r>
    </w:p>
    <w:p w:rsidR="0015462C" w:rsidRPr="00F35238" w:rsidRDefault="0015462C" w:rsidP="0015462C">
      <w:pPr>
        <w:pStyle w:val="Adress"/>
        <w:ind w:left="284" w:hanging="284"/>
        <w:rPr>
          <w:sz w:val="20"/>
          <w:lang w:val="en-US"/>
        </w:rPr>
      </w:pPr>
    </w:p>
    <w:p w:rsidR="0015462C" w:rsidRPr="00F35238" w:rsidRDefault="0015462C" w:rsidP="0015462C">
      <w:pPr>
        <w:ind w:left="284" w:hanging="284"/>
        <w:rPr>
          <w:rFonts w:ascii="Arial" w:hAnsi="Arial" w:cs="Arial"/>
          <w:sz w:val="20"/>
          <w:szCs w:val="20"/>
          <w:lang w:val="en-US"/>
        </w:rPr>
      </w:pPr>
      <w:r w:rsidRPr="00F35238">
        <w:rPr>
          <w:rFonts w:ascii="Arial" w:hAnsi="Arial" w:cs="Arial"/>
          <w:sz w:val="20"/>
          <w:szCs w:val="20"/>
          <w:vertAlign w:val="superscript"/>
          <w:lang w:val="en-US"/>
        </w:rPr>
        <w:t>2</w:t>
      </w:r>
      <w:r w:rsidRPr="00F35238">
        <w:rPr>
          <w:rFonts w:ascii="Arial" w:hAnsi="Arial" w:cs="Arial"/>
          <w:sz w:val="20"/>
          <w:szCs w:val="20"/>
          <w:lang w:val="en-US"/>
        </w:rPr>
        <w:tab/>
        <w:t>Department of Anatomy and Structural Biology, Albert Einstein College of Medicine, 1300 Morris Park Avenue, Bronx, NY 10461, USA.</w:t>
      </w:r>
    </w:p>
    <w:p w:rsidR="0015462C" w:rsidRPr="00F35238" w:rsidRDefault="0015462C" w:rsidP="0015462C">
      <w:pPr>
        <w:ind w:left="284" w:hanging="284"/>
        <w:rPr>
          <w:rFonts w:ascii="Arial" w:hAnsi="Arial" w:cs="Arial"/>
          <w:sz w:val="20"/>
          <w:szCs w:val="20"/>
          <w:lang w:val="en-US"/>
        </w:rPr>
      </w:pPr>
      <w:r w:rsidRPr="00F35238">
        <w:rPr>
          <w:rFonts w:ascii="Arial" w:hAnsi="Arial" w:cs="Arial"/>
          <w:sz w:val="20"/>
          <w:szCs w:val="20"/>
          <w:vertAlign w:val="superscript"/>
          <w:lang w:val="en-US"/>
        </w:rPr>
        <w:t>3</w:t>
      </w:r>
      <w:r w:rsidRPr="00F35238">
        <w:rPr>
          <w:rFonts w:ascii="Arial" w:hAnsi="Arial" w:cs="Arial"/>
          <w:sz w:val="20"/>
          <w:szCs w:val="20"/>
          <w:lang w:val="en-US"/>
        </w:rPr>
        <w:tab/>
        <w:t>Charité – Universitätsmedizin Berlin, Institute of Medical Physics and Biophysics (CC2), Group Protein X-ray Crystallography and Signal Transduction, Charitéplatz 1, 10117 Berlin, Germany.</w:t>
      </w:r>
    </w:p>
    <w:p w:rsidR="0015462C" w:rsidRPr="00F35238" w:rsidRDefault="0015462C" w:rsidP="0015462C">
      <w:pPr>
        <w:ind w:left="425" w:hanging="425"/>
        <w:jc w:val="center"/>
        <w:rPr>
          <w:rFonts w:ascii="Arial" w:hAnsi="Arial" w:cs="Arial"/>
          <w:sz w:val="20"/>
          <w:szCs w:val="20"/>
          <w:lang w:val="en-US"/>
        </w:rPr>
      </w:pPr>
    </w:p>
    <w:p w:rsidR="0015462C" w:rsidRPr="00F35238" w:rsidRDefault="0015462C" w:rsidP="0015462C">
      <w:pPr>
        <w:ind w:left="425" w:hanging="425"/>
        <w:rPr>
          <w:rFonts w:ascii="Arial" w:hAnsi="Arial" w:cs="Arial"/>
          <w:sz w:val="20"/>
          <w:szCs w:val="20"/>
          <w:lang w:val="en-US"/>
        </w:rPr>
      </w:pPr>
      <w:r w:rsidRPr="00F35238">
        <w:rPr>
          <w:rFonts w:ascii="Arial" w:hAnsi="Arial" w:cs="Arial"/>
          <w:sz w:val="20"/>
          <w:szCs w:val="20"/>
          <w:lang w:val="en-US"/>
        </w:rPr>
        <w:t>*</w:t>
      </w:r>
      <w:r w:rsidRPr="00F35238">
        <w:rPr>
          <w:rFonts w:ascii="Arial" w:hAnsi="Arial" w:cs="Arial"/>
          <w:sz w:val="20"/>
          <w:szCs w:val="20"/>
          <w:lang w:val="en-US"/>
        </w:rPr>
        <w:tab/>
        <w:t>Correspondence: friedrich@chem.tu-berlin.de</w:t>
      </w:r>
    </w:p>
    <w:p w:rsidR="0015462C" w:rsidRPr="00F35238" w:rsidRDefault="0015462C" w:rsidP="0015462C">
      <w:pPr>
        <w:spacing w:line="360" w:lineRule="auto"/>
        <w:jc w:val="both"/>
        <w:rPr>
          <w:rFonts w:ascii="Arial" w:hAnsi="Arial" w:cs="Arial"/>
          <w:b/>
          <w:lang w:val="en-US"/>
        </w:rPr>
      </w:pPr>
    </w:p>
    <w:p w:rsidR="0015462C" w:rsidRPr="00F35238" w:rsidRDefault="0015462C" w:rsidP="0015462C">
      <w:pPr>
        <w:spacing w:line="360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:rsidR="0015462C" w:rsidRPr="00F35238" w:rsidRDefault="0015462C" w:rsidP="0015462C">
      <w:pPr>
        <w:spacing w:line="360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F35238">
        <w:rPr>
          <w:rFonts w:ascii="Arial" w:hAnsi="Arial" w:cs="Arial"/>
          <w:b/>
          <w:sz w:val="20"/>
          <w:szCs w:val="20"/>
          <w:lang w:val="en-US"/>
        </w:rPr>
        <w:t>Contents</w:t>
      </w:r>
    </w:p>
    <w:p w:rsidR="0015462C" w:rsidRPr="00F35238" w:rsidRDefault="0015462C" w:rsidP="0015462C">
      <w:pPr>
        <w:pStyle w:val="Listenabsatz"/>
        <w:numPr>
          <w:ilvl w:val="0"/>
          <w:numId w:val="1"/>
        </w:numPr>
        <w:spacing w:line="360" w:lineRule="auto"/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F35238">
        <w:rPr>
          <w:rFonts w:ascii="Arial" w:hAnsi="Arial" w:cs="Arial"/>
          <w:sz w:val="20"/>
          <w:szCs w:val="20"/>
          <w:lang w:val="en-US"/>
        </w:rPr>
        <w:t>Figure S1: SDS page and Zn</w:t>
      </w:r>
      <w:r w:rsidRPr="00F35238">
        <w:rPr>
          <w:rFonts w:ascii="Arial" w:hAnsi="Arial" w:cs="Arial"/>
          <w:sz w:val="20"/>
          <w:szCs w:val="20"/>
          <w:vertAlign w:val="superscript"/>
          <w:lang w:val="en-US"/>
        </w:rPr>
        <w:t>2+</w:t>
      </w:r>
      <w:r w:rsidRPr="00F35238">
        <w:rPr>
          <w:rFonts w:ascii="Arial" w:hAnsi="Arial" w:cs="Arial"/>
          <w:sz w:val="20"/>
          <w:szCs w:val="20"/>
          <w:lang w:val="en-US"/>
        </w:rPr>
        <w:t xml:space="preserve"> </w:t>
      </w:r>
      <w:r w:rsidR="001A64F4">
        <w:rPr>
          <w:rFonts w:ascii="Arial" w:hAnsi="Arial" w:cs="Arial"/>
          <w:sz w:val="20"/>
          <w:szCs w:val="20"/>
          <w:lang w:val="en-US"/>
        </w:rPr>
        <w:t>fluorescence</w:t>
      </w:r>
    </w:p>
    <w:p w:rsidR="0015462C" w:rsidRPr="00F35238" w:rsidRDefault="0015462C" w:rsidP="0015462C">
      <w:pPr>
        <w:pStyle w:val="Listenabsatz"/>
        <w:numPr>
          <w:ilvl w:val="0"/>
          <w:numId w:val="1"/>
        </w:numPr>
        <w:spacing w:line="360" w:lineRule="auto"/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F35238">
        <w:rPr>
          <w:rFonts w:ascii="Arial" w:hAnsi="Arial" w:cs="Arial"/>
          <w:sz w:val="20"/>
          <w:szCs w:val="20"/>
          <w:lang w:val="en-US"/>
        </w:rPr>
        <w:t>Figure S2: Absorbance curves during GdnHCl denaturation</w:t>
      </w:r>
    </w:p>
    <w:p w:rsidR="0015462C" w:rsidRPr="00F35238" w:rsidRDefault="0015462C" w:rsidP="0015462C">
      <w:pPr>
        <w:pStyle w:val="Listenabsatz"/>
        <w:numPr>
          <w:ilvl w:val="0"/>
          <w:numId w:val="1"/>
        </w:numPr>
        <w:spacing w:line="360" w:lineRule="auto"/>
        <w:contextualSpacing/>
        <w:jc w:val="both"/>
        <w:rPr>
          <w:lang w:val="en-US"/>
        </w:rPr>
      </w:pPr>
      <w:r w:rsidRPr="00F35238">
        <w:rPr>
          <w:rFonts w:ascii="Arial" w:hAnsi="Arial" w:cs="Arial"/>
          <w:sz w:val="20"/>
          <w:szCs w:val="20"/>
          <w:lang w:val="en-US"/>
        </w:rPr>
        <w:t>Figure S</w:t>
      </w:r>
      <w:r>
        <w:rPr>
          <w:rFonts w:ascii="Arial" w:hAnsi="Arial" w:cs="Arial"/>
          <w:sz w:val="20"/>
          <w:szCs w:val="20"/>
          <w:lang w:val="en-US"/>
        </w:rPr>
        <w:t>3</w:t>
      </w:r>
      <w:r w:rsidRPr="00F35238">
        <w:rPr>
          <w:rFonts w:ascii="Arial" w:hAnsi="Arial" w:cs="Arial"/>
          <w:sz w:val="20"/>
          <w:szCs w:val="20"/>
          <w:lang w:val="en-US"/>
        </w:rPr>
        <w:t>: Calculation of the fluorescence quantum yield</w:t>
      </w:r>
    </w:p>
    <w:p w:rsidR="0015462C" w:rsidRDefault="0015462C" w:rsidP="0015462C">
      <w:pPr>
        <w:pStyle w:val="Listenabsatz"/>
        <w:numPr>
          <w:ilvl w:val="0"/>
          <w:numId w:val="1"/>
        </w:numPr>
        <w:spacing w:line="360" w:lineRule="auto"/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F35238">
        <w:rPr>
          <w:rFonts w:ascii="Arial" w:hAnsi="Arial" w:cs="Arial"/>
          <w:sz w:val="20"/>
          <w:szCs w:val="20"/>
          <w:lang w:val="en-US"/>
        </w:rPr>
        <w:t>Figure S</w:t>
      </w:r>
      <w:r>
        <w:rPr>
          <w:rFonts w:ascii="Arial" w:hAnsi="Arial" w:cs="Arial"/>
          <w:sz w:val="20"/>
          <w:szCs w:val="20"/>
          <w:lang w:val="en-US"/>
        </w:rPr>
        <w:t>4</w:t>
      </w:r>
      <w:r w:rsidRPr="00F35238">
        <w:rPr>
          <w:rFonts w:ascii="Arial" w:hAnsi="Arial" w:cs="Arial"/>
          <w:sz w:val="20"/>
          <w:szCs w:val="20"/>
          <w:lang w:val="en-US"/>
        </w:rPr>
        <w:t xml:space="preserve">: Full-range resonance Raman spectra </w:t>
      </w:r>
    </w:p>
    <w:p w:rsidR="0015462C" w:rsidRDefault="0015462C" w:rsidP="00BC6FD2">
      <w:pPr>
        <w:pStyle w:val="Listenabsatz"/>
        <w:numPr>
          <w:ilvl w:val="0"/>
          <w:numId w:val="1"/>
        </w:numPr>
        <w:spacing w:line="360" w:lineRule="auto"/>
        <w:contextualSpacing/>
        <w:rPr>
          <w:rFonts w:ascii="Arial" w:hAnsi="Arial" w:cs="Arial"/>
          <w:sz w:val="20"/>
          <w:szCs w:val="20"/>
          <w:lang w:val="en-US"/>
        </w:rPr>
      </w:pPr>
      <w:r w:rsidRPr="003579AC">
        <w:rPr>
          <w:rFonts w:ascii="Arial" w:hAnsi="Arial" w:cs="Arial"/>
          <w:sz w:val="20"/>
          <w:szCs w:val="20"/>
          <w:lang w:val="en-US"/>
        </w:rPr>
        <w:t xml:space="preserve">Figure S5: iRFP682(CC) as isolated </w:t>
      </w:r>
      <w:r>
        <w:rPr>
          <w:rFonts w:ascii="Arial" w:hAnsi="Arial" w:cs="Arial"/>
          <w:sz w:val="20"/>
          <w:szCs w:val="20"/>
          <w:lang w:val="en-US"/>
        </w:rPr>
        <w:t>is</w:t>
      </w:r>
      <w:r w:rsidRPr="003579AC">
        <w:rPr>
          <w:rFonts w:ascii="Arial" w:hAnsi="Arial" w:cs="Arial"/>
          <w:sz w:val="20"/>
          <w:szCs w:val="20"/>
          <w:lang w:val="en-US"/>
        </w:rPr>
        <w:t xml:space="preserve"> a mixture of species containing double-attached chromophore and species with chromophore attached to the GAF domain.</w:t>
      </w:r>
    </w:p>
    <w:p w:rsidR="00BC6FD2" w:rsidRPr="00BC6FD2" w:rsidRDefault="00BC6FD2" w:rsidP="00BC6FD2">
      <w:pPr>
        <w:pStyle w:val="Listenabsatz"/>
        <w:numPr>
          <w:ilvl w:val="0"/>
          <w:numId w:val="1"/>
        </w:numPr>
        <w:spacing w:line="360" w:lineRule="auto"/>
        <w:contextualSpacing/>
        <w:rPr>
          <w:lang w:val="en-US"/>
        </w:rPr>
      </w:pPr>
      <w:r w:rsidRPr="003579AC">
        <w:rPr>
          <w:rFonts w:ascii="Arial" w:hAnsi="Arial" w:cs="Arial"/>
          <w:sz w:val="20"/>
          <w:szCs w:val="20"/>
          <w:lang w:val="en-US"/>
        </w:rPr>
        <w:t>Figure S</w:t>
      </w:r>
      <w:r>
        <w:rPr>
          <w:rFonts w:ascii="Arial" w:hAnsi="Arial" w:cs="Arial"/>
          <w:sz w:val="20"/>
          <w:szCs w:val="20"/>
          <w:lang w:val="en-US"/>
        </w:rPr>
        <w:t>6</w:t>
      </w:r>
      <w:r w:rsidRPr="003579AC">
        <w:rPr>
          <w:rFonts w:ascii="Arial" w:hAnsi="Arial" w:cs="Arial"/>
          <w:sz w:val="20"/>
          <w:szCs w:val="20"/>
          <w:lang w:val="en-US"/>
        </w:rPr>
        <w:t xml:space="preserve">: </w:t>
      </w:r>
      <w:r>
        <w:rPr>
          <w:rFonts w:ascii="Arial" w:hAnsi="Arial" w:cs="Arial"/>
          <w:sz w:val="20"/>
          <w:szCs w:val="20"/>
          <w:lang w:val="en-US"/>
        </w:rPr>
        <w:t>Original photographs of gel images shown in Figure S1 and Figure 2C</w:t>
      </w:r>
    </w:p>
    <w:p w:rsidR="00BC6FD2" w:rsidRPr="003579AC" w:rsidRDefault="00BC6FD2" w:rsidP="00BC6FD2">
      <w:pPr>
        <w:pStyle w:val="Listenabsatz"/>
        <w:numPr>
          <w:ilvl w:val="0"/>
          <w:numId w:val="1"/>
        </w:numPr>
        <w:spacing w:line="360" w:lineRule="auto"/>
        <w:contextualSpacing/>
        <w:rPr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Literature cited</w:t>
      </w:r>
    </w:p>
    <w:p w:rsidR="0015462C" w:rsidRPr="00F35238" w:rsidRDefault="0015462C" w:rsidP="0015462C">
      <w:pPr>
        <w:spacing w:line="360" w:lineRule="auto"/>
        <w:jc w:val="both"/>
        <w:rPr>
          <w:b/>
          <w:lang w:val="en-US"/>
        </w:rPr>
      </w:pPr>
    </w:p>
    <w:p w:rsidR="0015462C" w:rsidRPr="00F35238" w:rsidRDefault="0015462C" w:rsidP="0015462C">
      <w:pPr>
        <w:spacing w:line="360" w:lineRule="auto"/>
        <w:jc w:val="both"/>
        <w:rPr>
          <w:b/>
          <w:lang w:val="en-US"/>
        </w:rPr>
      </w:pPr>
    </w:p>
    <w:p w:rsidR="0015462C" w:rsidRPr="00F35238" w:rsidRDefault="0015462C" w:rsidP="0015462C">
      <w:pPr>
        <w:spacing w:line="360" w:lineRule="auto"/>
        <w:jc w:val="both"/>
        <w:rPr>
          <w:b/>
          <w:lang w:val="en-US"/>
        </w:rPr>
      </w:pPr>
    </w:p>
    <w:p w:rsidR="0015462C" w:rsidRPr="00F35238" w:rsidRDefault="0015462C" w:rsidP="0015462C">
      <w:pPr>
        <w:spacing w:line="360" w:lineRule="auto"/>
        <w:jc w:val="both"/>
        <w:rPr>
          <w:b/>
          <w:lang w:val="en-US"/>
        </w:rPr>
      </w:pPr>
    </w:p>
    <w:p w:rsidR="0015462C" w:rsidRPr="00F35238" w:rsidRDefault="0015462C" w:rsidP="0015462C">
      <w:pPr>
        <w:spacing w:line="360" w:lineRule="auto"/>
        <w:jc w:val="both"/>
        <w:rPr>
          <w:b/>
          <w:lang w:val="en-US"/>
        </w:rPr>
      </w:pPr>
    </w:p>
    <w:p w:rsidR="0015462C" w:rsidRPr="00F35238" w:rsidRDefault="0015462C" w:rsidP="0015462C">
      <w:pPr>
        <w:spacing w:line="360" w:lineRule="auto"/>
        <w:jc w:val="both"/>
        <w:rPr>
          <w:b/>
          <w:lang w:val="en-US"/>
        </w:rPr>
      </w:pPr>
    </w:p>
    <w:p w:rsidR="0015462C" w:rsidRPr="00F35238" w:rsidRDefault="0015462C" w:rsidP="0015462C">
      <w:pPr>
        <w:spacing w:line="360" w:lineRule="auto"/>
        <w:jc w:val="center"/>
        <w:rPr>
          <w:b/>
          <w:lang w:val="en-US"/>
        </w:rPr>
      </w:pPr>
      <w:r w:rsidRPr="00F35238">
        <w:rPr>
          <w:b/>
          <w:noProof/>
          <w:lang w:eastAsia="de-DE"/>
        </w:rPr>
        <w:drawing>
          <wp:inline distT="0" distB="0" distL="0" distR="0" wp14:anchorId="7615E012" wp14:editId="4041FC1D">
            <wp:extent cx="2555753" cy="2532893"/>
            <wp:effectExtent l="0" t="0" r="0" b="127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5753" cy="2532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462C" w:rsidRPr="00F35238" w:rsidRDefault="0015462C" w:rsidP="0015462C">
      <w:pPr>
        <w:tabs>
          <w:tab w:val="left" w:pos="8930"/>
        </w:tabs>
        <w:spacing w:line="360" w:lineRule="auto"/>
        <w:ind w:right="57"/>
        <w:jc w:val="both"/>
        <w:rPr>
          <w:b/>
          <w:lang w:val="en-US"/>
        </w:rPr>
      </w:pPr>
    </w:p>
    <w:p w:rsidR="0015462C" w:rsidRPr="00F35238" w:rsidRDefault="0015462C" w:rsidP="0015462C">
      <w:pPr>
        <w:tabs>
          <w:tab w:val="left" w:pos="8930"/>
        </w:tabs>
        <w:spacing w:line="360" w:lineRule="auto"/>
        <w:ind w:right="57"/>
        <w:jc w:val="both"/>
        <w:rPr>
          <w:rFonts w:ascii="Arial" w:hAnsi="Arial" w:cs="Arial"/>
          <w:sz w:val="20"/>
          <w:szCs w:val="20"/>
          <w:lang w:val="en-US"/>
        </w:rPr>
      </w:pPr>
      <w:r w:rsidRPr="00F35238">
        <w:rPr>
          <w:b/>
          <w:lang w:val="en-US"/>
        </w:rPr>
        <w:t>Figure S1:</w:t>
      </w:r>
      <w:r w:rsidRPr="00F35238">
        <w:rPr>
          <w:lang w:val="en-US"/>
        </w:rPr>
        <w:t xml:space="preserve"> </w:t>
      </w:r>
      <w:r w:rsidRPr="00F35238">
        <w:rPr>
          <w:rFonts w:ascii="Arial" w:hAnsi="Arial" w:cs="Arial"/>
          <w:sz w:val="20"/>
          <w:szCs w:val="20"/>
          <w:lang w:val="en-US"/>
        </w:rPr>
        <w:t>To investigate whether the chromophore was covalently attached to the respective apoproteins, SDS-PAGE with subsequent in-gel Zn</w:t>
      </w:r>
      <w:r w:rsidRPr="00F35238">
        <w:rPr>
          <w:rFonts w:ascii="Arial" w:hAnsi="Arial" w:cs="Arial"/>
          <w:sz w:val="20"/>
          <w:szCs w:val="20"/>
          <w:vertAlign w:val="superscript"/>
          <w:lang w:val="en-US"/>
        </w:rPr>
        <w:t>2+</w:t>
      </w:r>
      <w:r w:rsidRPr="00F35238">
        <w:rPr>
          <w:rFonts w:ascii="Arial" w:hAnsi="Arial" w:cs="Arial"/>
          <w:sz w:val="20"/>
          <w:szCs w:val="20"/>
          <w:lang w:val="en-US"/>
        </w:rPr>
        <w:t xml:space="preserve"> </w:t>
      </w:r>
      <w:r w:rsidR="001A64F4">
        <w:rPr>
          <w:rFonts w:ascii="Arial" w:hAnsi="Arial" w:cs="Arial"/>
          <w:sz w:val="20"/>
          <w:szCs w:val="20"/>
          <w:lang w:val="en-US"/>
        </w:rPr>
        <w:t>fluorescence</w:t>
      </w:r>
      <w:r w:rsidRPr="00F35238">
        <w:rPr>
          <w:rFonts w:ascii="Arial" w:hAnsi="Arial" w:cs="Arial"/>
          <w:sz w:val="20"/>
          <w:szCs w:val="20"/>
          <w:lang w:val="en-US"/>
        </w:rPr>
        <w:t xml:space="preserve"> </w:t>
      </w:r>
      <w:r w:rsidR="00D376FA">
        <w:rPr>
          <w:rFonts w:ascii="Arial" w:hAnsi="Arial" w:cs="Arial"/>
          <w:sz w:val="20"/>
          <w:szCs w:val="20"/>
          <w:lang w:val="en-US"/>
        </w:rPr>
        <w:t xml:space="preserve">assay </w:t>
      </w:r>
      <w:r w:rsidRPr="00F35238">
        <w:rPr>
          <w:rFonts w:ascii="Arial" w:hAnsi="Arial" w:cs="Arial"/>
          <w:sz w:val="20"/>
          <w:szCs w:val="20"/>
          <w:lang w:val="en-US"/>
        </w:rPr>
        <w:t xml:space="preserve">was performed </w:t>
      </w:r>
      <w:r w:rsidRPr="00F35238">
        <w:rPr>
          <w:rFonts w:ascii="Arial" w:hAnsi="Arial" w:cs="Arial"/>
          <w:sz w:val="20"/>
          <w:szCs w:val="20"/>
          <w:lang w:val="en-US"/>
        </w:rPr>
        <w:fldChar w:fldCharType="begin"/>
      </w:r>
      <w:r>
        <w:rPr>
          <w:rFonts w:ascii="Arial" w:hAnsi="Arial" w:cs="Arial"/>
          <w:sz w:val="20"/>
          <w:szCs w:val="20"/>
          <w:lang w:val="en-US"/>
        </w:rPr>
        <w:instrText xml:space="preserve"> ADDIN EN.CITE &lt;EndNote&gt;&lt;Cite&gt;&lt;Author&gt;Raps&lt;/Author&gt;&lt;Year&gt;1990&lt;/Year&gt;&lt;RecNum&gt;43&lt;/RecNum&gt;&lt;DisplayText&gt;&lt;style face="superscript"&gt;1&lt;/style&gt;&lt;/DisplayText&gt;&lt;record&gt;&lt;rec-number&gt;43&lt;/rec-number&gt;&lt;foreign-keys&gt;&lt;key app="EN" db-id="w0fsrxww85vfr5e0ara5vawff0ta295wpwf5" timestamp="1520937500"&gt;43&lt;/key&gt;&lt;/foreign-keys&gt;&lt;ref-type name="Journal Article"&gt;17&lt;/ref-type&gt;&lt;contributors&gt;&lt;authors&gt;&lt;author&gt;Raps, S.&lt;/author&gt;&lt;/authors&gt;&lt;/contributors&gt;&lt;auth-address&gt;Department of Biological Sciences, Hunter College, CUNY, New York, New York 10021.&lt;/auth-address&gt;&lt;titles&gt;&lt;title&gt;Differentiation between Phycobiliprotein and Colorless Linker Polypeptides by Fluorescence in the Presence of ZnSO(4)&lt;/title&gt;&lt;secondary-title&gt;Plant Physiol&lt;/secondary-title&gt;&lt;/titles&gt;&lt;periodical&gt;&lt;full-title&gt;Plant Physiol&lt;/full-title&gt;&lt;/periodical&gt;&lt;pages&gt;358-62&lt;/pages&gt;&lt;volume&gt;92&lt;/volume&gt;&lt;number&gt;2&lt;/number&gt;&lt;dates&gt;&lt;year&gt;1990&lt;/year&gt;&lt;pub-dates&gt;&lt;date&gt;Feb&lt;/date&gt;&lt;/pub-dates&gt;&lt;/dates&gt;&lt;isbn&gt;0032-0889 (Print)&amp;#xD;0032-0889 (Linking)&lt;/isbn&gt;&lt;accession-num&gt;16667282&lt;/accession-num&gt;&lt;urls&gt;&lt;related-urls&gt;&lt;url&gt;https://www.ncbi.nlm.nih.gov/pubmed/16667282&lt;/url&gt;&lt;/related-urls&gt;&lt;/urls&gt;&lt;custom2&gt;PMC1062298&lt;/custom2&gt;&lt;/record&gt;&lt;/Cite&gt;&lt;/EndNote&gt;</w:instrText>
      </w:r>
      <w:r w:rsidRPr="00F35238">
        <w:rPr>
          <w:rFonts w:ascii="Arial" w:hAnsi="Arial" w:cs="Arial"/>
          <w:sz w:val="20"/>
          <w:szCs w:val="20"/>
          <w:lang w:val="en-US"/>
        </w:rPr>
        <w:fldChar w:fldCharType="separate"/>
      </w:r>
      <w:r w:rsidRPr="0015462C">
        <w:rPr>
          <w:rFonts w:ascii="Arial" w:hAnsi="Arial" w:cs="Arial"/>
          <w:noProof/>
          <w:sz w:val="20"/>
          <w:szCs w:val="20"/>
          <w:vertAlign w:val="superscript"/>
          <w:lang w:val="en-US"/>
        </w:rPr>
        <w:t>1</w:t>
      </w:r>
      <w:r w:rsidRPr="00F35238">
        <w:rPr>
          <w:rFonts w:ascii="Arial" w:hAnsi="Arial" w:cs="Arial"/>
          <w:sz w:val="20"/>
          <w:szCs w:val="20"/>
          <w:lang w:val="en-US"/>
        </w:rPr>
        <w:fldChar w:fldCharType="end"/>
      </w:r>
      <w:r w:rsidRPr="00F35238">
        <w:rPr>
          <w:rFonts w:ascii="Arial" w:hAnsi="Arial" w:cs="Arial"/>
          <w:sz w:val="20"/>
          <w:szCs w:val="20"/>
          <w:lang w:val="en-US"/>
        </w:rPr>
        <w:t>.</w:t>
      </w:r>
      <w:r w:rsidRPr="00F35238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Pr="00F35238">
        <w:rPr>
          <w:rFonts w:ascii="Arial" w:hAnsi="Arial" w:cs="Arial"/>
          <w:sz w:val="20"/>
          <w:szCs w:val="20"/>
          <w:lang w:val="en-US"/>
        </w:rPr>
        <w:t>Upper panel: Coomassie blue staining shows a single band for all protein variants containing one Cys. iRFP682(CC) displays a second band characteristic for iRFPs with a double-Cys motif. Lower Panel: Except for the iRFP682(SS) variant, the chromophore is covalently attached to the protein, as indicated by the characteristic fluorescence of the BV-Zn</w:t>
      </w:r>
      <w:r w:rsidRPr="00F35238">
        <w:rPr>
          <w:rFonts w:ascii="Arial" w:hAnsi="Arial" w:cs="Arial"/>
          <w:sz w:val="20"/>
          <w:szCs w:val="20"/>
          <w:vertAlign w:val="superscript"/>
          <w:lang w:val="en-US"/>
        </w:rPr>
        <w:t>2+</w:t>
      </w:r>
      <w:r w:rsidRPr="00F35238">
        <w:rPr>
          <w:rFonts w:ascii="Arial" w:hAnsi="Arial" w:cs="Arial"/>
          <w:sz w:val="20"/>
          <w:szCs w:val="20"/>
          <w:lang w:val="en-US"/>
        </w:rPr>
        <w:t xml:space="preserve"> complex. In-gel staining of biliverdin IXα bound to iRFP constructs was carried out as described </w:t>
      </w:r>
      <w:r w:rsidRPr="00F35238">
        <w:rPr>
          <w:rFonts w:ascii="Arial" w:hAnsi="Arial" w:cs="Arial"/>
          <w:sz w:val="20"/>
          <w:szCs w:val="20"/>
          <w:lang w:val="en-US"/>
        </w:rPr>
        <w:fldChar w:fldCharType="begin"/>
      </w:r>
      <w:r>
        <w:rPr>
          <w:rFonts w:ascii="Arial" w:hAnsi="Arial" w:cs="Arial"/>
          <w:sz w:val="20"/>
          <w:szCs w:val="20"/>
          <w:lang w:val="en-US"/>
        </w:rPr>
        <w:instrText xml:space="preserve"> ADDIN EN.CITE &lt;EndNote&gt;&lt;Cite&gt;&lt;Author&gt;Raps&lt;/Author&gt;&lt;Year&gt;1990&lt;/Year&gt;&lt;RecNum&gt;43&lt;/RecNum&gt;&lt;DisplayText&gt;&lt;style face="superscript"&gt;1&lt;/style&gt;&lt;/DisplayText&gt;&lt;record&gt;&lt;rec-number&gt;43&lt;/rec-number&gt;&lt;foreign-keys&gt;&lt;key app="EN" db-id="w0fsrxww85vfr5e0ara5vawff0ta295wpwf5" timestamp="1520937500"&gt;43&lt;/key&gt;&lt;/foreign-keys&gt;&lt;ref-type name="Journal Article"&gt;17&lt;/ref-type&gt;&lt;contributors&gt;&lt;authors&gt;&lt;author&gt;Raps, S.&lt;/author&gt;&lt;/authors&gt;&lt;/contributors&gt;&lt;auth-address&gt;Department of Biological Sciences, Hunter College, CUNY, New York, New York 10021.&lt;/auth-address&gt;&lt;titles&gt;&lt;title&gt;Differentiation between Phycobiliprotein and Colorless Linker Polypeptides by Fluorescence in the Presence of ZnSO(4)&lt;/title&gt;&lt;secondary-title&gt;Plant Physiol&lt;/secondary-title&gt;&lt;/titles&gt;&lt;periodical&gt;&lt;full-title&gt;Plant Physiol&lt;/full-title&gt;&lt;/periodical&gt;&lt;pages&gt;358-62&lt;/pages&gt;&lt;volume&gt;92&lt;/volume&gt;&lt;number&gt;2&lt;/number&gt;&lt;dates&gt;&lt;year&gt;1990&lt;/year&gt;&lt;pub-dates&gt;&lt;date&gt;Feb&lt;/date&gt;&lt;/pub-dates&gt;&lt;/dates&gt;&lt;isbn&gt;0032-0889 (Print)&amp;#xD;0032-0889 (Linking)&lt;/isbn&gt;&lt;accession-num&gt;16667282&lt;/accession-num&gt;&lt;urls&gt;&lt;related-urls&gt;&lt;url&gt;https://www.ncbi.nlm.nih.gov/pubmed/16667282&lt;/url&gt;&lt;/related-urls&gt;&lt;/urls&gt;&lt;custom2&gt;PMC1062298&lt;/custom2&gt;&lt;/record&gt;&lt;/Cite&gt;&lt;/EndNote&gt;</w:instrText>
      </w:r>
      <w:r w:rsidRPr="00F35238">
        <w:rPr>
          <w:rFonts w:ascii="Arial" w:hAnsi="Arial" w:cs="Arial"/>
          <w:sz w:val="20"/>
          <w:szCs w:val="20"/>
          <w:lang w:val="en-US"/>
        </w:rPr>
        <w:fldChar w:fldCharType="separate"/>
      </w:r>
      <w:r w:rsidRPr="0015462C">
        <w:rPr>
          <w:rFonts w:ascii="Arial" w:hAnsi="Arial" w:cs="Arial"/>
          <w:noProof/>
          <w:sz w:val="20"/>
          <w:szCs w:val="20"/>
          <w:vertAlign w:val="superscript"/>
          <w:lang w:val="en-US"/>
        </w:rPr>
        <w:t>1</w:t>
      </w:r>
      <w:r w:rsidRPr="00F35238">
        <w:rPr>
          <w:rFonts w:ascii="Arial" w:hAnsi="Arial" w:cs="Arial"/>
          <w:sz w:val="20"/>
          <w:szCs w:val="20"/>
          <w:lang w:val="en-US"/>
        </w:rPr>
        <w:fldChar w:fldCharType="end"/>
      </w:r>
      <w:r w:rsidRPr="00F35238">
        <w:rPr>
          <w:rFonts w:ascii="Arial" w:hAnsi="Arial" w:cs="Arial"/>
          <w:sz w:val="20"/>
          <w:szCs w:val="20"/>
          <w:lang w:val="en-US"/>
        </w:rPr>
        <w:t>. The concentration of the protein samples loaded on the gel was 0.3 mg/ml (determined from the absorption at 280 nm calculated by ProtParam).</w:t>
      </w:r>
    </w:p>
    <w:p w:rsidR="0015462C" w:rsidRPr="00F35238" w:rsidRDefault="0015462C" w:rsidP="0015462C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5462C" w:rsidRPr="00F35238" w:rsidRDefault="0015462C" w:rsidP="0015462C">
      <w:pPr>
        <w:spacing w:line="360" w:lineRule="auto"/>
        <w:jc w:val="both"/>
        <w:rPr>
          <w:b/>
          <w:lang w:val="en-US"/>
        </w:rPr>
      </w:pPr>
    </w:p>
    <w:p w:rsidR="0015462C" w:rsidRPr="00F35238" w:rsidRDefault="0015462C" w:rsidP="0015462C">
      <w:pPr>
        <w:spacing w:line="360" w:lineRule="auto"/>
        <w:jc w:val="both"/>
        <w:rPr>
          <w:b/>
          <w:lang w:val="en-US"/>
        </w:rPr>
      </w:pPr>
    </w:p>
    <w:p w:rsidR="0015462C" w:rsidRPr="00F35238" w:rsidRDefault="0015462C" w:rsidP="0015462C">
      <w:pPr>
        <w:spacing w:line="360" w:lineRule="auto"/>
        <w:jc w:val="both"/>
        <w:rPr>
          <w:b/>
          <w:lang w:val="en-US"/>
        </w:rPr>
      </w:pPr>
    </w:p>
    <w:p w:rsidR="0015462C" w:rsidRPr="00F35238" w:rsidRDefault="0015462C" w:rsidP="0015462C">
      <w:pPr>
        <w:spacing w:line="360" w:lineRule="auto"/>
        <w:jc w:val="both"/>
        <w:rPr>
          <w:b/>
          <w:lang w:val="en-US"/>
        </w:rPr>
      </w:pPr>
    </w:p>
    <w:p w:rsidR="0015462C" w:rsidRPr="00F35238" w:rsidRDefault="0015462C" w:rsidP="0015462C">
      <w:pPr>
        <w:spacing w:line="360" w:lineRule="auto"/>
        <w:jc w:val="both"/>
        <w:rPr>
          <w:b/>
          <w:lang w:val="en-US"/>
        </w:rPr>
      </w:pPr>
    </w:p>
    <w:p w:rsidR="0015462C" w:rsidRPr="00F35238" w:rsidRDefault="0015462C" w:rsidP="0015462C">
      <w:pPr>
        <w:spacing w:line="360" w:lineRule="auto"/>
        <w:jc w:val="both"/>
        <w:rPr>
          <w:b/>
          <w:lang w:val="en-US"/>
        </w:rPr>
      </w:pPr>
    </w:p>
    <w:p w:rsidR="0015462C" w:rsidRPr="00F35238" w:rsidRDefault="0015462C" w:rsidP="0015462C">
      <w:pPr>
        <w:spacing w:line="360" w:lineRule="auto"/>
        <w:jc w:val="both"/>
        <w:rPr>
          <w:b/>
          <w:lang w:val="en-US"/>
        </w:rPr>
      </w:pPr>
    </w:p>
    <w:p w:rsidR="0015462C" w:rsidRPr="00F35238" w:rsidRDefault="0015462C" w:rsidP="0015462C">
      <w:pPr>
        <w:spacing w:line="360" w:lineRule="auto"/>
        <w:jc w:val="both"/>
        <w:rPr>
          <w:b/>
          <w:lang w:val="en-US"/>
        </w:rPr>
      </w:pPr>
    </w:p>
    <w:p w:rsidR="0015462C" w:rsidRPr="00F35238" w:rsidRDefault="0015462C" w:rsidP="0015462C">
      <w:pPr>
        <w:spacing w:line="360" w:lineRule="auto"/>
        <w:jc w:val="both"/>
        <w:rPr>
          <w:b/>
          <w:lang w:val="en-US"/>
        </w:rPr>
      </w:pPr>
    </w:p>
    <w:p w:rsidR="0015462C" w:rsidRPr="00F35238" w:rsidRDefault="0015462C" w:rsidP="0015462C">
      <w:pPr>
        <w:spacing w:line="360" w:lineRule="auto"/>
        <w:jc w:val="both"/>
        <w:rPr>
          <w:b/>
          <w:lang w:val="en-US"/>
        </w:rPr>
      </w:pPr>
    </w:p>
    <w:p w:rsidR="0015462C" w:rsidRPr="00F35238" w:rsidRDefault="0015462C" w:rsidP="0015462C">
      <w:pPr>
        <w:spacing w:line="360" w:lineRule="auto"/>
        <w:jc w:val="center"/>
        <w:rPr>
          <w:b/>
          <w:lang w:val="en-US"/>
        </w:rPr>
      </w:pPr>
      <w:r w:rsidRPr="00F35238">
        <w:rPr>
          <w:b/>
          <w:noProof/>
          <w:lang w:eastAsia="de-DE"/>
        </w:rPr>
        <w:drawing>
          <wp:inline distT="0" distB="0" distL="0" distR="0" wp14:anchorId="55F2BAC8" wp14:editId="5BF46638">
            <wp:extent cx="5760720" cy="4090670"/>
            <wp:effectExtent l="0" t="0" r="0" b="5080"/>
            <wp:docPr id="5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9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462C" w:rsidRPr="00F35238" w:rsidRDefault="0015462C" w:rsidP="0015462C">
      <w:pPr>
        <w:spacing w:line="360" w:lineRule="auto"/>
        <w:jc w:val="both"/>
        <w:rPr>
          <w:b/>
          <w:lang w:val="en-US"/>
        </w:rPr>
      </w:pPr>
    </w:p>
    <w:p w:rsidR="0015462C" w:rsidRPr="00F35238" w:rsidRDefault="0015462C" w:rsidP="0015462C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F35238">
        <w:rPr>
          <w:b/>
          <w:lang w:val="en-US"/>
        </w:rPr>
        <w:t>Figure S2</w:t>
      </w:r>
      <w:r w:rsidRPr="00F35238">
        <w:rPr>
          <w:lang w:val="en-US"/>
        </w:rPr>
        <w:t xml:space="preserve">: </w:t>
      </w:r>
      <w:r w:rsidRPr="00F35238">
        <w:rPr>
          <w:rFonts w:ascii="Arial" w:hAnsi="Arial" w:cs="Arial"/>
          <w:sz w:val="20"/>
          <w:szCs w:val="20"/>
          <w:lang w:val="en-US"/>
        </w:rPr>
        <w:t>The affinity-purified iRFP682(CC) protein was titrated with GdnHCl as described previously</w:t>
      </w:r>
      <w:r w:rsidRPr="00F35238">
        <w:rPr>
          <w:rFonts w:ascii="Arial" w:hAnsi="Arial" w:cs="Arial"/>
          <w:sz w:val="20"/>
          <w:szCs w:val="20"/>
          <w:lang w:val="en-US"/>
        </w:rPr>
        <w:fldChar w:fldCharType="begin">
          <w:fldData xml:space="preserve">PEVuZE5vdGU+PENpdGU+PEF1dGhvcj5TdGVwYW5lbmtvPC9BdXRob3I+PFllYXI+MjAxNjwvWWVh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</w:fldData>
        </w:fldChar>
      </w:r>
      <w:r>
        <w:rPr>
          <w:rFonts w:ascii="Arial" w:hAnsi="Arial" w:cs="Arial"/>
          <w:sz w:val="20"/>
          <w:szCs w:val="20"/>
          <w:lang w:val="en-US"/>
        </w:rPr>
        <w:instrText xml:space="preserve"> ADDIN EN.CITE </w:instrText>
      </w:r>
      <w:r>
        <w:rPr>
          <w:rFonts w:ascii="Arial" w:hAnsi="Arial" w:cs="Arial"/>
          <w:sz w:val="20"/>
          <w:szCs w:val="20"/>
          <w:lang w:val="en-US"/>
        </w:rPr>
        <w:fldChar w:fldCharType="begin">
          <w:fldData xml:space="preserve">PEVuZE5vdGU+PENpdGU+PEF1dGhvcj5TdGVwYW5lbmtvPC9BdXRob3I+PFllYXI+MjAxNjwvWWVh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</w:fldData>
        </w:fldChar>
      </w:r>
      <w:r>
        <w:rPr>
          <w:rFonts w:ascii="Arial" w:hAnsi="Arial" w:cs="Arial"/>
          <w:sz w:val="20"/>
          <w:szCs w:val="20"/>
          <w:lang w:val="en-US"/>
        </w:rPr>
        <w:instrText xml:space="preserve"> ADDIN EN.CITE.DATA </w:instrText>
      </w:r>
      <w:r>
        <w:rPr>
          <w:rFonts w:ascii="Arial" w:hAnsi="Arial" w:cs="Arial"/>
          <w:sz w:val="20"/>
          <w:szCs w:val="20"/>
          <w:lang w:val="en-US"/>
        </w:rPr>
      </w:r>
      <w:r>
        <w:rPr>
          <w:rFonts w:ascii="Arial" w:hAnsi="Arial" w:cs="Arial"/>
          <w:sz w:val="20"/>
          <w:szCs w:val="20"/>
          <w:lang w:val="en-US"/>
        </w:rPr>
        <w:fldChar w:fldCharType="end"/>
      </w:r>
      <w:r w:rsidRPr="00F35238">
        <w:rPr>
          <w:rFonts w:ascii="Arial" w:hAnsi="Arial" w:cs="Arial"/>
          <w:sz w:val="20"/>
          <w:szCs w:val="20"/>
          <w:lang w:val="en-US"/>
        </w:rPr>
      </w:r>
      <w:r w:rsidRPr="00F35238">
        <w:rPr>
          <w:rFonts w:ascii="Arial" w:hAnsi="Arial" w:cs="Arial"/>
          <w:sz w:val="20"/>
          <w:szCs w:val="20"/>
          <w:lang w:val="en-US"/>
        </w:rPr>
        <w:fldChar w:fldCharType="separate"/>
      </w:r>
      <w:r w:rsidRPr="0015462C">
        <w:rPr>
          <w:rFonts w:ascii="Arial" w:hAnsi="Arial" w:cs="Arial"/>
          <w:noProof/>
          <w:sz w:val="20"/>
          <w:szCs w:val="20"/>
          <w:vertAlign w:val="superscript"/>
          <w:lang w:val="en-US"/>
        </w:rPr>
        <w:t>2</w:t>
      </w:r>
      <w:r w:rsidRPr="00F35238">
        <w:rPr>
          <w:rFonts w:ascii="Arial" w:hAnsi="Arial" w:cs="Arial"/>
          <w:sz w:val="20"/>
          <w:szCs w:val="20"/>
          <w:lang w:val="en-US"/>
        </w:rPr>
        <w:fldChar w:fldCharType="end"/>
      </w:r>
      <w:r w:rsidRPr="00F35238">
        <w:rPr>
          <w:rFonts w:ascii="Arial" w:hAnsi="Arial" w:cs="Arial"/>
          <w:sz w:val="20"/>
          <w:szCs w:val="20"/>
          <w:lang w:val="en-US"/>
        </w:rPr>
        <w:t xml:space="preserve">  and the heterogeneous denaturation behavior, affecting contributions of the protein species with different chromophore attachment differently (i.e. those hypothesized to be due to the single- and double-attached form, and small fraction of the species with non-covalently bound chromophore absorbing at 690 mn), was reproduced (upper panel). At 2.8 M GdnHCl, the deviation of the relative absorption intensities at 660 nm and 690 nm is the largest (lower left panel), indicating that the more stable double-attached species could be maximally enriched under these conditions, whereas the least stable form with non-covalently attached chromophore absorbing at 690 nm is denatured together with less stable single-attached form. Therefore, these conditions were chosen to induce denaturation of the single-attachment species and size-exclusion chromatography was performed subsequently in order to isolate the non-denatured (double-attached) species (see Fig. 1 in main article). The absorption spectra of the iRFP682(CC) “as isolated”, of the sample enriched in double-attached species after the denaturation purification scheme, and the difference spectrum (corresponding to the single-attached species lost during purification) is shown in the lower right panel.</w:t>
      </w:r>
    </w:p>
    <w:p w:rsidR="0015462C" w:rsidRPr="00F35238" w:rsidRDefault="0015462C" w:rsidP="0015462C">
      <w:pPr>
        <w:spacing w:line="360" w:lineRule="auto"/>
        <w:jc w:val="both"/>
        <w:rPr>
          <w:lang w:val="en-US"/>
        </w:rPr>
      </w:pPr>
    </w:p>
    <w:p w:rsidR="0015462C" w:rsidRPr="00F35238" w:rsidRDefault="0015462C" w:rsidP="0015462C">
      <w:pPr>
        <w:spacing w:line="360" w:lineRule="auto"/>
        <w:jc w:val="both"/>
        <w:rPr>
          <w:lang w:val="en-US"/>
        </w:rPr>
      </w:pPr>
    </w:p>
    <w:p w:rsidR="0015462C" w:rsidRPr="00F35238" w:rsidRDefault="0015462C" w:rsidP="0015462C">
      <w:pPr>
        <w:suppressAutoHyphens w:val="0"/>
        <w:rPr>
          <w:lang w:val="en-US"/>
        </w:rPr>
      </w:pPr>
    </w:p>
    <w:p w:rsidR="0015462C" w:rsidRPr="00F35238" w:rsidRDefault="0015462C" w:rsidP="0015462C">
      <w:pPr>
        <w:spacing w:line="360" w:lineRule="auto"/>
        <w:jc w:val="center"/>
        <w:rPr>
          <w:lang w:val="en-US"/>
        </w:rPr>
      </w:pPr>
      <w:r w:rsidRPr="00F35238">
        <w:rPr>
          <w:noProof/>
          <w:lang w:eastAsia="de-DE"/>
        </w:rPr>
        <w:drawing>
          <wp:inline distT="0" distB="0" distL="0" distR="0" wp14:anchorId="24E8260F" wp14:editId="7908C5A4">
            <wp:extent cx="4000500" cy="3162212"/>
            <wp:effectExtent l="0" t="0" r="0" b="635"/>
            <wp:docPr id="9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QY_extrapolation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1793" cy="3163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462C" w:rsidRPr="00F35238" w:rsidRDefault="0015462C" w:rsidP="0015462C">
      <w:pPr>
        <w:spacing w:line="360" w:lineRule="auto"/>
        <w:jc w:val="both"/>
        <w:rPr>
          <w:b/>
          <w:lang w:val="en-US"/>
        </w:rPr>
      </w:pPr>
    </w:p>
    <w:p w:rsidR="0015462C" w:rsidRPr="00F35238" w:rsidRDefault="0015462C" w:rsidP="0015462C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F35238">
        <w:rPr>
          <w:rFonts w:ascii="Arial" w:hAnsi="Arial" w:cs="Arial"/>
          <w:b/>
          <w:sz w:val="20"/>
          <w:szCs w:val="20"/>
          <w:lang w:val="en-US"/>
        </w:rPr>
        <w:t>Figure S</w:t>
      </w:r>
      <w:r>
        <w:rPr>
          <w:rFonts w:ascii="Arial" w:hAnsi="Arial" w:cs="Arial"/>
          <w:b/>
          <w:sz w:val="20"/>
          <w:szCs w:val="20"/>
          <w:lang w:val="en-US"/>
        </w:rPr>
        <w:t>3</w:t>
      </w:r>
      <w:r w:rsidRPr="00F35238">
        <w:rPr>
          <w:rFonts w:ascii="Arial" w:hAnsi="Arial" w:cs="Arial"/>
          <w:b/>
          <w:sz w:val="20"/>
          <w:szCs w:val="20"/>
          <w:lang w:val="en-US"/>
        </w:rPr>
        <w:t xml:space="preserve">: </w:t>
      </w:r>
      <w:r w:rsidRPr="00F35238">
        <w:rPr>
          <w:rFonts w:ascii="Arial" w:hAnsi="Arial" w:cs="Arial"/>
          <w:sz w:val="20"/>
          <w:szCs w:val="20"/>
          <w:lang w:val="en-US"/>
        </w:rPr>
        <w:t xml:space="preserve">Calculation of the FQY of purified iRFP682(CC) from published data on the basis of FQY values determined for other protein variants in the literature (see Table </w:t>
      </w:r>
      <w:r>
        <w:rPr>
          <w:rFonts w:ascii="Arial" w:hAnsi="Arial" w:cs="Arial"/>
          <w:sz w:val="20"/>
          <w:szCs w:val="20"/>
          <w:lang w:val="en-US"/>
        </w:rPr>
        <w:t>1</w:t>
      </w:r>
      <w:r w:rsidRPr="00F35238">
        <w:rPr>
          <w:rFonts w:ascii="Arial" w:hAnsi="Arial" w:cs="Arial"/>
          <w:sz w:val="20"/>
          <w:szCs w:val="20"/>
          <w:lang w:val="en-US"/>
        </w:rPr>
        <w:t xml:space="preserve"> for references). The published FQY values were plotted against the experimentally determined integrated fluorescence intensities measured in a fluorescence spectrometer at defined protein concentrations (based on characteristic extinction coefficients). Linear extrapolation to the integrated fluorescence intensity measured for purified iRFP682(CC) yields an FQY of 16.6%. </w:t>
      </w:r>
    </w:p>
    <w:p w:rsidR="0015462C" w:rsidRPr="00F35238" w:rsidRDefault="0015462C" w:rsidP="0015462C">
      <w:pPr>
        <w:suppressAutoHyphens w:val="0"/>
        <w:rPr>
          <w:lang w:val="en-US"/>
        </w:rPr>
      </w:pPr>
      <w:r w:rsidRPr="00F35238">
        <w:rPr>
          <w:lang w:val="en-US"/>
        </w:rPr>
        <w:br w:type="page"/>
      </w:r>
    </w:p>
    <w:p w:rsidR="0015462C" w:rsidRPr="00F35238" w:rsidRDefault="0015462C" w:rsidP="0015462C">
      <w:pPr>
        <w:spacing w:line="360" w:lineRule="auto"/>
        <w:jc w:val="both"/>
        <w:rPr>
          <w:lang w:val="en-US"/>
        </w:rPr>
      </w:pPr>
    </w:p>
    <w:p w:rsidR="0015462C" w:rsidRPr="00F35238" w:rsidRDefault="0015462C" w:rsidP="0015462C">
      <w:pPr>
        <w:spacing w:line="360" w:lineRule="auto"/>
        <w:jc w:val="center"/>
        <w:rPr>
          <w:b/>
          <w:lang w:val="en-US"/>
        </w:rPr>
      </w:pPr>
      <w:r w:rsidRPr="00F35238">
        <w:rPr>
          <w:b/>
          <w:noProof/>
          <w:lang w:eastAsia="de-DE"/>
        </w:rPr>
        <w:drawing>
          <wp:inline distT="0" distB="0" distL="0" distR="0" wp14:anchorId="024E705D" wp14:editId="16395ECD">
            <wp:extent cx="5760720" cy="3655060"/>
            <wp:effectExtent l="0" t="0" r="0" b="2540"/>
            <wp:docPr id="8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5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462C" w:rsidRPr="00F35238" w:rsidRDefault="0015462C" w:rsidP="0015462C">
      <w:pPr>
        <w:spacing w:line="360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:rsidR="0015462C" w:rsidRDefault="0015462C" w:rsidP="0015462C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F35238">
        <w:rPr>
          <w:rFonts w:ascii="Arial" w:hAnsi="Arial" w:cs="Arial"/>
          <w:b/>
          <w:sz w:val="20"/>
          <w:szCs w:val="20"/>
          <w:lang w:val="en-US"/>
        </w:rPr>
        <w:t>Figure S</w:t>
      </w:r>
      <w:r>
        <w:rPr>
          <w:rFonts w:ascii="Arial" w:hAnsi="Arial" w:cs="Arial"/>
          <w:b/>
          <w:sz w:val="20"/>
          <w:szCs w:val="20"/>
          <w:lang w:val="en-US"/>
        </w:rPr>
        <w:t>4</w:t>
      </w:r>
      <w:r w:rsidRPr="00F35238">
        <w:rPr>
          <w:rFonts w:ascii="Arial" w:hAnsi="Arial" w:cs="Arial"/>
          <w:sz w:val="20"/>
          <w:szCs w:val="20"/>
          <w:lang w:val="en-US"/>
        </w:rPr>
        <w:t>: Full-range resonance Raman spectra of all investigated protein variants. The left panel shows measurements performed in H</w:t>
      </w:r>
      <w:r w:rsidRPr="00F35238">
        <w:rPr>
          <w:rFonts w:ascii="Arial" w:hAnsi="Arial" w:cs="Arial"/>
          <w:sz w:val="20"/>
          <w:szCs w:val="20"/>
          <w:vertAlign w:val="subscript"/>
          <w:lang w:val="en-US"/>
        </w:rPr>
        <w:t>2</w:t>
      </w:r>
      <w:r w:rsidRPr="00F35238">
        <w:rPr>
          <w:rFonts w:ascii="Arial" w:hAnsi="Arial" w:cs="Arial"/>
          <w:sz w:val="20"/>
          <w:szCs w:val="20"/>
          <w:lang w:val="en-US"/>
        </w:rPr>
        <w:t>O buffer, the right panel in D</w:t>
      </w:r>
      <w:r w:rsidRPr="00F35238">
        <w:rPr>
          <w:rFonts w:ascii="Arial" w:hAnsi="Arial" w:cs="Arial"/>
          <w:sz w:val="20"/>
          <w:szCs w:val="20"/>
          <w:vertAlign w:val="subscript"/>
          <w:lang w:val="en-US"/>
        </w:rPr>
        <w:t>2</w:t>
      </w:r>
      <w:r w:rsidRPr="00F35238">
        <w:rPr>
          <w:rFonts w:ascii="Arial" w:hAnsi="Arial" w:cs="Arial"/>
          <w:sz w:val="20"/>
          <w:szCs w:val="20"/>
          <w:lang w:val="en-US"/>
        </w:rPr>
        <w:t>O buffer.</w:t>
      </w:r>
    </w:p>
    <w:p w:rsidR="0015462C" w:rsidRDefault="0015462C" w:rsidP="0015462C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5462C" w:rsidRDefault="0015462C" w:rsidP="0015462C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5462C" w:rsidRDefault="0015462C" w:rsidP="0015462C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5462C" w:rsidRDefault="0015462C" w:rsidP="0015462C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5462C" w:rsidRDefault="0015462C" w:rsidP="0015462C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5462C" w:rsidRDefault="0015462C" w:rsidP="0015462C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5462C" w:rsidRDefault="0015462C" w:rsidP="0015462C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5462C" w:rsidRDefault="0015462C" w:rsidP="0015462C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5462C" w:rsidRDefault="0015462C" w:rsidP="0015462C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5462C" w:rsidRDefault="0015462C" w:rsidP="0015462C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5462C" w:rsidRDefault="0015462C" w:rsidP="0015462C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5462C" w:rsidRDefault="0015462C" w:rsidP="0015462C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5462C" w:rsidRDefault="0015462C" w:rsidP="0015462C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5462C" w:rsidRPr="00F35238" w:rsidRDefault="0015462C" w:rsidP="0015462C">
      <w:pPr>
        <w:spacing w:before="120"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F35238">
        <w:rPr>
          <w:rFonts w:ascii="Arial" w:hAnsi="Arial" w:cs="Arial"/>
          <w:noProof/>
          <w:sz w:val="20"/>
          <w:szCs w:val="20"/>
          <w:lang w:eastAsia="de-DE"/>
        </w:rPr>
        <w:drawing>
          <wp:inline distT="0" distB="0" distL="0" distR="0" wp14:anchorId="717A5F91" wp14:editId="7EB13269">
            <wp:extent cx="5760720" cy="4497070"/>
            <wp:effectExtent l="0" t="0" r="0" b="0"/>
            <wp:docPr id="1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5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9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462C" w:rsidRPr="00F35238" w:rsidRDefault="0015462C" w:rsidP="0015462C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5462C" w:rsidRDefault="0015462C" w:rsidP="0015462C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F35238">
        <w:rPr>
          <w:rFonts w:ascii="Arial" w:hAnsi="Arial" w:cs="Arial"/>
          <w:b/>
          <w:sz w:val="20"/>
          <w:szCs w:val="20"/>
          <w:lang w:val="en-US"/>
        </w:rPr>
        <w:t>Figure S</w:t>
      </w:r>
      <w:r>
        <w:rPr>
          <w:rFonts w:ascii="Arial" w:hAnsi="Arial" w:cs="Arial"/>
          <w:b/>
          <w:sz w:val="20"/>
          <w:szCs w:val="20"/>
          <w:lang w:val="en-US"/>
        </w:rPr>
        <w:t>5</w:t>
      </w:r>
      <w:r w:rsidRPr="00F35238">
        <w:rPr>
          <w:rFonts w:ascii="Arial" w:hAnsi="Arial" w:cs="Arial"/>
          <w:sz w:val="20"/>
          <w:szCs w:val="20"/>
          <w:lang w:val="en-US"/>
        </w:rPr>
        <w:t xml:space="preserve">: </w:t>
      </w:r>
      <w:r w:rsidRPr="003579AC">
        <w:rPr>
          <w:rFonts w:ascii="Arial" w:hAnsi="Arial" w:cs="Arial"/>
          <w:sz w:val="20"/>
          <w:szCs w:val="20"/>
          <w:lang w:val="en-US"/>
        </w:rPr>
        <w:t>iRFP682(CC) as isolated is a mixture of species containing double-attached chromophore and species with chromophore attached to the GAF domain.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F35238">
        <w:rPr>
          <w:rFonts w:ascii="Arial" w:hAnsi="Arial" w:cs="Arial"/>
          <w:sz w:val="20"/>
          <w:szCs w:val="20"/>
          <w:lang w:val="en-US"/>
        </w:rPr>
        <w:t>The RR spectrum of IRFP682(CC) as isolated (black lines) represents a superposition of the pure double-attached species (red lines) and the single-attached species iRFP682(SC) (blue lines). The ratio of the spectral contributions is 0.45:0.55, as represented by the corresponding sum (magenta lines) of the spectra of single- and double-attached species, which matches the spectra of the “as isolated” species. Left panel: RR spectra in H</w:t>
      </w:r>
      <w:r w:rsidRPr="00F35238">
        <w:rPr>
          <w:rFonts w:ascii="Arial" w:hAnsi="Arial" w:cs="Arial"/>
          <w:sz w:val="20"/>
          <w:szCs w:val="20"/>
          <w:vertAlign w:val="subscript"/>
          <w:lang w:val="en-US"/>
        </w:rPr>
        <w:t>2</w:t>
      </w:r>
      <w:r w:rsidRPr="00F35238">
        <w:rPr>
          <w:rFonts w:ascii="Arial" w:hAnsi="Arial" w:cs="Arial"/>
          <w:sz w:val="20"/>
          <w:szCs w:val="20"/>
          <w:lang w:val="en-US"/>
        </w:rPr>
        <w:t>O, middle: in D</w:t>
      </w:r>
      <w:r w:rsidRPr="00F35238">
        <w:rPr>
          <w:rFonts w:ascii="Arial" w:hAnsi="Arial" w:cs="Arial"/>
          <w:sz w:val="20"/>
          <w:szCs w:val="20"/>
          <w:vertAlign w:val="subscript"/>
          <w:lang w:val="en-US"/>
        </w:rPr>
        <w:t>2</w:t>
      </w:r>
      <w:r w:rsidRPr="00F35238">
        <w:rPr>
          <w:rFonts w:ascii="Arial" w:hAnsi="Arial" w:cs="Arial"/>
          <w:sz w:val="20"/>
          <w:szCs w:val="20"/>
          <w:lang w:val="en-US"/>
        </w:rPr>
        <w:t>O. Right panel: fluorescence spectra according to the same color code.</w:t>
      </w:r>
    </w:p>
    <w:p w:rsidR="003C4DE9" w:rsidRDefault="003C4DE9">
      <w:pPr>
        <w:suppressAutoHyphens w:val="0"/>
        <w:autoSpaceDN/>
        <w:spacing w:after="200" w:line="276" w:lineRule="auto"/>
        <w:textAlignment w:val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br w:type="page"/>
      </w:r>
    </w:p>
    <w:p w:rsidR="003C4DE9" w:rsidRDefault="000B170E">
      <w:pPr>
        <w:suppressAutoHyphens w:val="0"/>
        <w:autoSpaceDN/>
        <w:spacing w:after="200" w:line="276" w:lineRule="auto"/>
        <w:textAlignment w:val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noProof/>
          <w:sz w:val="20"/>
          <w:szCs w:val="20"/>
          <w:lang w:eastAsia="de-DE"/>
        </w:rPr>
        <w:drawing>
          <wp:inline distT="0" distB="0" distL="0" distR="0">
            <wp:extent cx="5760720" cy="335216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riginal-Gels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5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DE9" w:rsidRDefault="003C4DE9" w:rsidP="003C4DE9">
      <w:pPr>
        <w:suppressAutoHyphens w:val="0"/>
        <w:autoSpaceDN/>
        <w:spacing w:after="200" w:line="276" w:lineRule="auto"/>
        <w:jc w:val="both"/>
        <w:textAlignment w:val="auto"/>
        <w:rPr>
          <w:rFonts w:ascii="Arial" w:hAnsi="Arial" w:cs="Arial"/>
          <w:sz w:val="20"/>
          <w:szCs w:val="20"/>
          <w:lang w:val="en-US"/>
        </w:rPr>
      </w:pPr>
      <w:r w:rsidRPr="00F35238">
        <w:rPr>
          <w:rFonts w:ascii="Arial" w:hAnsi="Arial" w:cs="Arial"/>
          <w:b/>
          <w:sz w:val="20"/>
          <w:szCs w:val="20"/>
          <w:lang w:val="en-US"/>
        </w:rPr>
        <w:t>Figure S</w:t>
      </w:r>
      <w:r>
        <w:rPr>
          <w:rFonts w:ascii="Arial" w:hAnsi="Arial" w:cs="Arial"/>
          <w:b/>
          <w:sz w:val="20"/>
          <w:szCs w:val="20"/>
          <w:lang w:val="en-US"/>
        </w:rPr>
        <w:t>6</w:t>
      </w:r>
      <w:r w:rsidRPr="00F35238">
        <w:rPr>
          <w:rFonts w:ascii="Arial" w:hAnsi="Arial" w:cs="Arial"/>
          <w:sz w:val="20"/>
          <w:szCs w:val="20"/>
          <w:lang w:val="en-US"/>
        </w:rPr>
        <w:t xml:space="preserve">: </w:t>
      </w:r>
      <w:r>
        <w:rPr>
          <w:rFonts w:ascii="Arial" w:hAnsi="Arial" w:cs="Arial"/>
          <w:sz w:val="20"/>
          <w:szCs w:val="20"/>
          <w:lang w:val="en-US"/>
        </w:rPr>
        <w:t>Original gel photographs of the Coomassie-stained SDS gel shown in Figure S1 (left panel), the corresponding in-gel Zn</w:t>
      </w:r>
      <w:r w:rsidRPr="003C4DE9">
        <w:rPr>
          <w:rFonts w:ascii="Arial" w:hAnsi="Arial" w:cs="Arial"/>
          <w:sz w:val="20"/>
          <w:szCs w:val="20"/>
          <w:vertAlign w:val="superscript"/>
          <w:lang w:val="en-US"/>
        </w:rPr>
        <w:t>2+</w:t>
      </w:r>
      <w:r>
        <w:rPr>
          <w:rFonts w:ascii="Arial" w:hAnsi="Arial" w:cs="Arial"/>
          <w:sz w:val="20"/>
          <w:szCs w:val="20"/>
          <w:lang w:val="en-US"/>
        </w:rPr>
        <w:t xml:space="preserve"> staining fluorescence image (middle panel) and of the Coomassie-stained SDS gel shown in Figure 2C of the main manuscript.</w:t>
      </w:r>
    </w:p>
    <w:p w:rsidR="003C4DE9" w:rsidRDefault="003C4DE9" w:rsidP="003C4DE9">
      <w:pPr>
        <w:suppressAutoHyphens w:val="0"/>
        <w:autoSpaceDN/>
        <w:spacing w:after="200" w:line="276" w:lineRule="auto"/>
        <w:jc w:val="both"/>
        <w:textAlignment w:val="auto"/>
        <w:rPr>
          <w:rFonts w:ascii="Arial" w:hAnsi="Arial" w:cs="Arial"/>
          <w:sz w:val="20"/>
          <w:szCs w:val="20"/>
          <w:lang w:val="en-US"/>
        </w:rPr>
      </w:pPr>
    </w:p>
    <w:p w:rsidR="003C4DE9" w:rsidRDefault="003C4DE9" w:rsidP="003C4DE9">
      <w:pPr>
        <w:suppressAutoHyphens w:val="0"/>
        <w:autoSpaceDN/>
        <w:spacing w:after="200" w:line="276" w:lineRule="auto"/>
        <w:jc w:val="both"/>
        <w:textAlignment w:val="auto"/>
        <w:rPr>
          <w:rFonts w:ascii="Arial" w:hAnsi="Arial" w:cs="Arial"/>
          <w:sz w:val="20"/>
          <w:szCs w:val="20"/>
          <w:lang w:val="en-US"/>
        </w:rPr>
      </w:pPr>
    </w:p>
    <w:p w:rsidR="0015462C" w:rsidRDefault="0015462C" w:rsidP="0015462C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5462C" w:rsidRPr="0015462C" w:rsidRDefault="0015462C" w:rsidP="0015462C">
      <w:pPr>
        <w:spacing w:line="360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15462C">
        <w:rPr>
          <w:rFonts w:ascii="Arial" w:hAnsi="Arial" w:cs="Arial"/>
          <w:b/>
          <w:sz w:val="20"/>
          <w:szCs w:val="20"/>
          <w:lang w:val="en-US"/>
        </w:rPr>
        <w:t>Literature cited:</w:t>
      </w:r>
    </w:p>
    <w:p w:rsidR="00453B43" w:rsidRPr="00453B43" w:rsidRDefault="0015462C" w:rsidP="00453B43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453B43" w:rsidRPr="00453B43">
        <w:t>1</w:t>
      </w:r>
      <w:r w:rsidR="00453B43" w:rsidRPr="00453B43">
        <w:tab/>
        <w:t xml:space="preserve">Raps, S. Differentiation between Phycobiliprotein and Colorless Linker Polypeptides by Fluorescence in the Presence of ZnSO(4). </w:t>
      </w:r>
      <w:r w:rsidR="00453B43" w:rsidRPr="00453B43">
        <w:rPr>
          <w:i/>
        </w:rPr>
        <w:t>Plant Physiol</w:t>
      </w:r>
      <w:r w:rsidR="00453B43" w:rsidRPr="00453B43">
        <w:t xml:space="preserve"> </w:t>
      </w:r>
      <w:r w:rsidR="00453B43" w:rsidRPr="00453B43">
        <w:rPr>
          <w:b/>
        </w:rPr>
        <w:t>92</w:t>
      </w:r>
      <w:r w:rsidR="00453B43" w:rsidRPr="00453B43">
        <w:t>, 358-362 (1990).</w:t>
      </w:r>
    </w:p>
    <w:p w:rsidR="00453B43" w:rsidRPr="00453B43" w:rsidRDefault="00453B43" w:rsidP="00453B43">
      <w:pPr>
        <w:pStyle w:val="EndNoteBibliography"/>
        <w:ind w:left="720" w:hanging="720"/>
      </w:pPr>
      <w:r w:rsidRPr="00453B43">
        <w:t>2</w:t>
      </w:r>
      <w:r w:rsidRPr="00453B43">
        <w:tab/>
        <w:t>Stepanenko, O. V.</w:t>
      </w:r>
      <w:r w:rsidRPr="00453B43">
        <w:rPr>
          <w:i/>
        </w:rPr>
        <w:t xml:space="preserve"> et al.</w:t>
      </w:r>
      <w:r w:rsidRPr="00453B43">
        <w:t xml:space="preserve"> Allosteric effects of chromophore interaction with dimeric near-infrared fluorescent proteins engineered from bacterial phytochromes. </w:t>
      </w:r>
      <w:r w:rsidRPr="00453B43">
        <w:rPr>
          <w:i/>
        </w:rPr>
        <w:t>Sci Rep</w:t>
      </w:r>
      <w:r w:rsidRPr="00453B43">
        <w:t xml:space="preserve"> </w:t>
      </w:r>
      <w:r w:rsidRPr="00453B43">
        <w:rPr>
          <w:b/>
        </w:rPr>
        <w:t>6</w:t>
      </w:r>
      <w:r w:rsidRPr="00453B43">
        <w:t>, 18750, doi:10.1038/srep18750 (2016).</w:t>
      </w:r>
    </w:p>
    <w:p w:rsidR="00691D49" w:rsidRPr="0015462C" w:rsidRDefault="0015462C" w:rsidP="0015462C">
      <w:pPr>
        <w:spacing w:after="120"/>
        <w:rPr>
          <w:lang w:val="en-US"/>
        </w:rPr>
      </w:pPr>
      <w:r>
        <w:rPr>
          <w:lang w:val="en-US"/>
        </w:rPr>
        <w:fldChar w:fldCharType="end"/>
      </w:r>
    </w:p>
    <w:sectPr w:rsidR="00691D49" w:rsidRPr="0015462C">
      <w:footerReference w:type="default" r:id="rId13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6672" w:rsidRDefault="00BB6672">
      <w:pPr>
        <w:spacing w:after="0"/>
      </w:pPr>
      <w:r>
        <w:separator/>
      </w:r>
    </w:p>
  </w:endnote>
  <w:endnote w:type="continuationSeparator" w:id="0">
    <w:p w:rsidR="00BB6672" w:rsidRDefault="00BB667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454685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53B43" w:rsidRDefault="00453B43">
        <w:pPr>
          <w:pStyle w:val="Fuzeil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170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453B43" w:rsidRDefault="00453B4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6672" w:rsidRDefault="00BB6672">
      <w:pPr>
        <w:spacing w:after="0"/>
      </w:pPr>
      <w:r>
        <w:separator/>
      </w:r>
    </w:p>
  </w:footnote>
  <w:footnote w:type="continuationSeparator" w:id="0">
    <w:p w:rsidR="00BB6672" w:rsidRDefault="00BB667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9F1EDF"/>
    <w:multiLevelType w:val="hybridMultilevel"/>
    <w:tmpl w:val="0928A65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Nature Scientific Reports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0fsrxww85vfr5e0ara5vawff0ta295wpwf5&quot;&gt;iRFP-MS&lt;record-ids&gt;&lt;item&gt;43&lt;/item&gt;&lt;item&gt;45&lt;/item&gt;&lt;/record-ids&gt;&lt;/item&gt;&lt;/Libraries&gt;"/>
  </w:docVars>
  <w:rsids>
    <w:rsidRoot w:val="0015462C"/>
    <w:rsid w:val="000B170E"/>
    <w:rsid w:val="00107848"/>
    <w:rsid w:val="0015462C"/>
    <w:rsid w:val="00186FBB"/>
    <w:rsid w:val="001A64F4"/>
    <w:rsid w:val="003C4DE9"/>
    <w:rsid w:val="00453B43"/>
    <w:rsid w:val="00462014"/>
    <w:rsid w:val="005E5812"/>
    <w:rsid w:val="00691D49"/>
    <w:rsid w:val="00BB6672"/>
    <w:rsid w:val="00BC6FD2"/>
    <w:rsid w:val="00D3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DB869A-087E-4662-AF16-EA6D8F132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rsid w:val="0015462C"/>
    <w:pPr>
      <w:suppressAutoHyphens/>
      <w:autoSpaceDN w:val="0"/>
      <w:spacing w:after="160" w:line="240" w:lineRule="auto"/>
      <w:textAlignment w:val="baseline"/>
    </w:pPr>
    <w:rPr>
      <w:rFonts w:ascii="Calibri" w:eastAsia="Calibri" w:hAnsi="Calibri" w:cs="Times New Roman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5462C"/>
    <w:pPr>
      <w:ind w:left="720"/>
    </w:pPr>
  </w:style>
  <w:style w:type="paragraph" w:customStyle="1" w:styleId="Adress">
    <w:name w:val="Adress"/>
    <w:basedOn w:val="Standard"/>
    <w:qFormat/>
    <w:rsid w:val="0015462C"/>
    <w:pPr>
      <w:suppressAutoHyphens w:val="0"/>
      <w:autoSpaceDN/>
      <w:spacing w:after="0" w:line="180" w:lineRule="exact"/>
      <w:ind w:left="425" w:hanging="425"/>
      <w:textAlignment w:val="auto"/>
    </w:pPr>
    <w:rPr>
      <w:rFonts w:ascii="Arial" w:eastAsia="MS Mincho" w:hAnsi="Arial"/>
      <w:sz w:val="14"/>
      <w:szCs w:val="20"/>
      <w:lang w:eastAsia="ja-JP"/>
    </w:rPr>
  </w:style>
  <w:style w:type="paragraph" w:styleId="Fuzeile">
    <w:name w:val="footer"/>
    <w:basedOn w:val="Standard"/>
    <w:link w:val="FuzeileZchn"/>
    <w:uiPriority w:val="99"/>
    <w:unhideWhenUsed/>
    <w:rsid w:val="0015462C"/>
    <w:pPr>
      <w:tabs>
        <w:tab w:val="center" w:pos="4680"/>
        <w:tab w:val="right" w:pos="9360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15462C"/>
    <w:rPr>
      <w:rFonts w:ascii="Calibri" w:eastAsia="Calibri" w:hAnsi="Calibri" w:cs="Times New Roman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5462C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5462C"/>
    <w:rPr>
      <w:rFonts w:ascii="Tahoma" w:eastAsia="Calibri" w:hAnsi="Tahoma" w:cs="Tahoma"/>
      <w:sz w:val="16"/>
      <w:szCs w:val="16"/>
      <w:lang w:val="de-DE"/>
    </w:rPr>
  </w:style>
  <w:style w:type="paragraph" w:customStyle="1" w:styleId="EndNoteBibliographyTitle">
    <w:name w:val="EndNote Bibliography Title"/>
    <w:basedOn w:val="Standard"/>
    <w:link w:val="EndNoteBibliographyTitleChar"/>
    <w:rsid w:val="0015462C"/>
    <w:pPr>
      <w:spacing w:after="0"/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Absatz-Standardschriftart"/>
    <w:link w:val="EndNoteBibliographyTitle"/>
    <w:rsid w:val="0015462C"/>
    <w:rPr>
      <w:rFonts w:ascii="Calibri" w:eastAsia="Calibri" w:hAnsi="Calibri" w:cs="Times New Roman"/>
      <w:noProof/>
    </w:rPr>
  </w:style>
  <w:style w:type="paragraph" w:customStyle="1" w:styleId="EndNoteBibliography">
    <w:name w:val="EndNote Bibliography"/>
    <w:basedOn w:val="Standard"/>
    <w:link w:val="EndNoteBibliographyChar"/>
    <w:rsid w:val="0015462C"/>
    <w:rPr>
      <w:noProof/>
      <w:lang w:val="en-US"/>
    </w:rPr>
  </w:style>
  <w:style w:type="character" w:customStyle="1" w:styleId="EndNoteBibliographyChar">
    <w:name w:val="EndNote Bibliography Char"/>
    <w:basedOn w:val="Absatz-Standardschriftart"/>
    <w:link w:val="EndNoteBibliography"/>
    <w:rsid w:val="0015462C"/>
    <w:rPr>
      <w:rFonts w:ascii="Calibri" w:eastAsia="Calibri" w:hAnsi="Calibri" w:cs="Times New Roman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1085</Words>
  <Characters>6838</Characters>
  <Application>Microsoft Office Word</Application>
  <DocSecurity>0</DocSecurity>
  <Lines>56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TU Berlin</Company>
  <LinksUpToDate>false</LinksUpToDate>
  <CharactersWithSpaces>7908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Friedrich, Thomas, Prof. Dr.</dc:creator>
  <cp:lastModifiedBy>David</cp:lastModifiedBy>
  <cp:revision>2</cp:revision>
  <cp:lastPrinted>2018-08-30T08:51:00Z</cp:lastPrinted>
  <dcterms:created xsi:type="dcterms:W3CDTF">2018-09-03T08:05:00Z</dcterms:created>
  <dcterms:modified xsi:type="dcterms:W3CDTF">2018-09-03T08:05:00Z</dcterms:modified>
</cp:coreProperties>
</file>