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9481D" w14:textId="627BDCEC" w:rsidR="009E2A82" w:rsidRDefault="009E2A82" w:rsidP="009E2A82">
      <w:pPr>
        <w:pStyle w:val="Caption"/>
        <w:keepNext/>
        <w:spacing w:line="480" w:lineRule="auto"/>
      </w:pPr>
      <w:r>
        <w:t xml:space="preserve">Table </w:t>
      </w:r>
      <w:r>
        <w:t>1</w:t>
      </w:r>
      <w:r>
        <w:t xml:space="preserve">: </w:t>
      </w:r>
      <w:r w:rsidRPr="00B37569">
        <w:t>Summary of high-level changes from the Network Maturity Grid, applied after adaptation and further co-design into the Monash LHS Maturity Matrix (LHS-MM)</w:t>
      </w:r>
    </w:p>
    <w:tbl>
      <w:tblPr>
        <w:tblW w:w="10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253"/>
        <w:gridCol w:w="3667"/>
      </w:tblGrid>
      <w:tr w:rsidR="009E2A82" w14:paraId="73AE93F8" w14:textId="77777777" w:rsidTr="00F3445B">
        <w:tc>
          <w:tcPr>
            <w:tcW w:w="2263" w:type="dxa"/>
            <w:shd w:val="clear" w:color="auto" w:fill="auto"/>
          </w:tcPr>
          <w:p w14:paraId="6B005042" w14:textId="77777777" w:rsidR="009E2A82" w:rsidRDefault="009E2A82" w:rsidP="00F3445B">
            <w:pPr>
              <w:spacing w:line="480" w:lineRule="auto"/>
              <w:rPr>
                <w:b/>
              </w:rPr>
            </w:pPr>
          </w:p>
        </w:tc>
        <w:tc>
          <w:tcPr>
            <w:tcW w:w="4253" w:type="dxa"/>
            <w:shd w:val="clear" w:color="auto" w:fill="auto"/>
          </w:tcPr>
          <w:p w14:paraId="0613D802" w14:textId="77777777" w:rsidR="009E2A82" w:rsidRDefault="009E2A82" w:rsidP="00F3445B">
            <w:pPr>
              <w:spacing w:line="480" w:lineRule="auto"/>
              <w:rPr>
                <w:b/>
              </w:rPr>
            </w:pPr>
            <w:r>
              <w:rPr>
                <w:b/>
              </w:rPr>
              <w:t>Network Maturity Grid</w:t>
            </w:r>
          </w:p>
        </w:tc>
        <w:tc>
          <w:tcPr>
            <w:tcW w:w="3667" w:type="dxa"/>
            <w:shd w:val="clear" w:color="auto" w:fill="auto"/>
          </w:tcPr>
          <w:p w14:paraId="42528B16" w14:textId="77777777" w:rsidR="009E2A82" w:rsidRDefault="009E2A82" w:rsidP="00F3445B">
            <w:pPr>
              <w:spacing w:line="480" w:lineRule="auto"/>
              <w:rPr>
                <w:b/>
              </w:rPr>
            </w:pPr>
            <w:r>
              <w:rPr>
                <w:b/>
              </w:rPr>
              <w:t>Monash LHS-MM</w:t>
            </w:r>
          </w:p>
        </w:tc>
      </w:tr>
      <w:tr w:rsidR="009E2A82" w14:paraId="6E43B375" w14:textId="77777777" w:rsidTr="00F3445B">
        <w:tc>
          <w:tcPr>
            <w:tcW w:w="2263" w:type="dxa"/>
            <w:shd w:val="clear" w:color="auto" w:fill="auto"/>
          </w:tcPr>
          <w:p w14:paraId="0B6F8E27" w14:textId="77777777" w:rsidR="009E2A82" w:rsidRDefault="009E2A82" w:rsidP="00F3445B">
            <w:pPr>
              <w:spacing w:line="480" w:lineRule="auto"/>
              <w:rPr>
                <w:b/>
                <w:color w:val="000000"/>
              </w:rPr>
            </w:pPr>
            <w:r>
              <w:rPr>
                <w:b/>
                <w:color w:val="000000"/>
              </w:rPr>
              <w:t>Underlying LHS Framework</w:t>
            </w:r>
          </w:p>
        </w:tc>
        <w:tc>
          <w:tcPr>
            <w:tcW w:w="4253" w:type="dxa"/>
            <w:shd w:val="clear" w:color="auto" w:fill="auto"/>
          </w:tcPr>
          <w:p w14:paraId="51AD27C9" w14:textId="77777777" w:rsidR="009E2A82" w:rsidRDefault="009E2A82" w:rsidP="00F3445B">
            <w:pPr>
              <w:spacing w:line="480" w:lineRule="auto"/>
              <w:rPr>
                <w:color w:val="000000"/>
              </w:rPr>
            </w:pPr>
            <w:r>
              <w:rPr>
                <w:color w:val="000000"/>
              </w:rPr>
              <w:t xml:space="preserve">Constructed from National Academy of Medicine (NAM) description of LHS and additional frameworks </w:t>
            </w:r>
            <w:r>
              <w:t>(32)</w:t>
            </w:r>
          </w:p>
        </w:tc>
        <w:tc>
          <w:tcPr>
            <w:tcW w:w="3667" w:type="dxa"/>
            <w:shd w:val="clear" w:color="auto" w:fill="auto"/>
          </w:tcPr>
          <w:p w14:paraId="7ADC3E01" w14:textId="77777777" w:rsidR="009E2A82" w:rsidRDefault="009E2A82" w:rsidP="00F3445B">
            <w:pPr>
              <w:spacing w:line="480" w:lineRule="auto"/>
              <w:rPr>
                <w:color w:val="000000"/>
              </w:rPr>
            </w:pPr>
            <w:r>
              <w:rPr>
                <w:color w:val="000000"/>
              </w:rPr>
              <w:t xml:space="preserve">Monash LHS Framework </w:t>
            </w:r>
            <w:r>
              <w:rPr>
                <w:color w:val="000000"/>
              </w:rPr>
              <w:fldChar w:fldCharType="begin"/>
            </w:r>
            <w:r>
              <w:rPr>
                <w:color w:val="000000"/>
              </w:rPr>
              <w:instrText xml:space="preserve"> ADDIN ZOTERO_ITEM CSL_CITATION {"citationID":"kTH9vOAe","properties":{"formattedCitation":"\\super 7\\nosupersub{}","plainCitation":"7","noteIndex":0},"citationItems":[{"id":141,"uris":["http://zotero.org/users/local/2yXEWl3v/items/EF3J6REU"],"itemData":{"id":141,"type":"article-journal","abstract":"Our healthcare system faces a burgeoning aging population, rising complexity, and escalating costs. Around 10% of healthcare is harmful, and evidence is slow to implement. Innovation to deliver quality and sustainable health systems is vital, and the methods are challenging. The aim of this study is to describe the process and present a perspective on a coproduced Learning Health System framework. The development of the Framework was led by publicly funded, collaborative, Academic Health Research Translation Centres, with a mandate to integrate research into healthcare to deliver impact. The focus of the framework is \"learning together for better health,\" with coproduction involving leadership by an expert panel, a systematic review, qualitative research, a stakeholder workshop, and iterative online feedback. The coproduced framework incorporates evidence from stakeholders, from research, from data (practice to data and data to new knowledge), and from implementation, to take new knowledge to practice. This continuous learning approach aims to deliver evidence-based healthcare improvement and is currently being implemented and evaluated.","archive":"PubMed","archive_location":"34778291","container-title":"Frontiers in medicine","DOI":"10.3389/fmed.2021.730021","ISSN":"2296-858X","journalAbbreviation":"Front Med (Lausanne)","language":"eng","page":"730021-730021","title":"A Learning Health System Framework to Operationalize Health Data to Improve Quality Care: An Australian Perspective","volume":"8","author":[{"family":"Enticott","given":"Joanne C."},{"family":"Melder","given":"Angela"},{"family":"Johnson","given":"Alison"},{"family":"Jones","given":"Angela"},{"family":"Shaw","given":"Tim"},{"family":"Keech","given":"Wendy"},{"family":"Buttery","given":"Jim"},{"family":"Teede","given":"Helena"}],"issued":{"date-parts":[["2021"]]}}}],"schema":"https://github.com/citation-style-language/schema/raw/master/csl-citation.json"} </w:instrText>
            </w:r>
            <w:r>
              <w:rPr>
                <w:color w:val="000000"/>
              </w:rPr>
              <w:fldChar w:fldCharType="separate"/>
            </w:r>
            <w:r w:rsidRPr="00901DFD">
              <w:rPr>
                <w:vertAlign w:val="superscript"/>
              </w:rPr>
              <w:t>7</w:t>
            </w:r>
            <w:r>
              <w:rPr>
                <w:color w:val="000000"/>
              </w:rPr>
              <w:fldChar w:fldCharType="end"/>
            </w:r>
          </w:p>
        </w:tc>
      </w:tr>
      <w:tr w:rsidR="009E2A82" w14:paraId="2602A81F" w14:textId="77777777" w:rsidTr="00F3445B">
        <w:tc>
          <w:tcPr>
            <w:tcW w:w="2263" w:type="dxa"/>
            <w:shd w:val="clear" w:color="auto" w:fill="auto"/>
          </w:tcPr>
          <w:p w14:paraId="36487C87" w14:textId="77777777" w:rsidR="009E2A82" w:rsidRDefault="009E2A82" w:rsidP="00F3445B">
            <w:pPr>
              <w:spacing w:line="480" w:lineRule="auto"/>
              <w:rPr>
                <w:b/>
                <w:color w:val="000000"/>
              </w:rPr>
            </w:pPr>
            <w:r>
              <w:rPr>
                <w:b/>
                <w:color w:val="000000"/>
              </w:rPr>
              <w:t xml:space="preserve">Constructs and Components </w:t>
            </w:r>
          </w:p>
        </w:tc>
        <w:tc>
          <w:tcPr>
            <w:tcW w:w="4253" w:type="dxa"/>
            <w:shd w:val="clear" w:color="auto" w:fill="auto"/>
          </w:tcPr>
          <w:p w14:paraId="15DE059C" w14:textId="77777777" w:rsidR="009E2A82" w:rsidRDefault="009E2A82" w:rsidP="00F3445B">
            <w:pPr>
              <w:spacing w:line="480" w:lineRule="auto"/>
              <w:rPr>
                <w:color w:val="000000"/>
              </w:rPr>
            </w:pPr>
            <w:r>
              <w:rPr>
                <w:color w:val="000000"/>
              </w:rPr>
              <w:t>Six Domains with associated components: Systems of Leadership, Governance and Management, Quality Improvement, Community building and Engagement, Data and Analytics, Research</w:t>
            </w:r>
          </w:p>
        </w:tc>
        <w:tc>
          <w:tcPr>
            <w:tcW w:w="3667" w:type="dxa"/>
            <w:shd w:val="clear" w:color="auto" w:fill="auto"/>
          </w:tcPr>
          <w:p w14:paraId="0189FEDA" w14:textId="77777777" w:rsidR="009E2A82" w:rsidRDefault="009E2A82" w:rsidP="00F3445B">
            <w:pPr>
              <w:spacing w:line="480" w:lineRule="auto"/>
              <w:rPr>
                <w:color w:val="000000"/>
              </w:rPr>
            </w:pPr>
            <w:r>
              <w:rPr>
                <w:color w:val="000000"/>
              </w:rPr>
              <w:t>4 Domains (Stakeholder, Research, Data, Implementation) with associated Components (See Table 3)</w:t>
            </w:r>
          </w:p>
        </w:tc>
      </w:tr>
      <w:tr w:rsidR="009E2A82" w14:paraId="145E9440" w14:textId="77777777" w:rsidTr="00F3445B">
        <w:tc>
          <w:tcPr>
            <w:tcW w:w="2263" w:type="dxa"/>
            <w:shd w:val="clear" w:color="auto" w:fill="auto"/>
          </w:tcPr>
          <w:p w14:paraId="4EF86635" w14:textId="77777777" w:rsidR="009E2A82" w:rsidRDefault="009E2A82" w:rsidP="00F3445B">
            <w:pPr>
              <w:spacing w:line="480" w:lineRule="auto"/>
              <w:rPr>
                <w:b/>
                <w:color w:val="000000"/>
              </w:rPr>
            </w:pPr>
            <w:r>
              <w:rPr>
                <w:b/>
                <w:color w:val="000000"/>
              </w:rPr>
              <w:t xml:space="preserve">Maturity Levels </w:t>
            </w:r>
          </w:p>
        </w:tc>
        <w:tc>
          <w:tcPr>
            <w:tcW w:w="4253" w:type="dxa"/>
            <w:shd w:val="clear" w:color="auto" w:fill="auto"/>
          </w:tcPr>
          <w:p w14:paraId="2A75E665" w14:textId="77777777" w:rsidR="009E2A82" w:rsidRDefault="009E2A82" w:rsidP="00F3445B">
            <w:pPr>
              <w:spacing w:line="480" w:lineRule="auto"/>
              <w:rPr>
                <w:color w:val="000000"/>
              </w:rPr>
            </w:pPr>
            <w:r>
              <w:rPr>
                <w:color w:val="000000"/>
              </w:rPr>
              <w:t xml:space="preserve">5 Maturity Levels: Not Started, Beginning, Intermediate, Mature, Idealized State </w:t>
            </w:r>
          </w:p>
        </w:tc>
        <w:tc>
          <w:tcPr>
            <w:tcW w:w="3667" w:type="dxa"/>
            <w:shd w:val="clear" w:color="auto" w:fill="auto"/>
          </w:tcPr>
          <w:p w14:paraId="0814787A" w14:textId="77777777" w:rsidR="009E2A82" w:rsidRDefault="009E2A82" w:rsidP="00F3445B">
            <w:pPr>
              <w:spacing w:line="480" w:lineRule="auto"/>
              <w:rPr>
                <w:color w:val="000000"/>
              </w:rPr>
            </w:pPr>
            <w:r>
              <w:rPr>
                <w:color w:val="000000"/>
              </w:rPr>
              <w:t>5 Maturity Levels: Not Started, Beginning, Developing, Established, Transformative</w:t>
            </w:r>
          </w:p>
        </w:tc>
      </w:tr>
      <w:tr w:rsidR="009E2A82" w14:paraId="7647189B" w14:textId="77777777" w:rsidTr="00F3445B">
        <w:tc>
          <w:tcPr>
            <w:tcW w:w="2263" w:type="dxa"/>
            <w:shd w:val="clear" w:color="auto" w:fill="auto"/>
          </w:tcPr>
          <w:p w14:paraId="0B6A0A02" w14:textId="77777777" w:rsidR="009E2A82" w:rsidRDefault="009E2A82" w:rsidP="00F3445B">
            <w:pPr>
              <w:spacing w:line="480" w:lineRule="auto"/>
              <w:rPr>
                <w:b/>
                <w:color w:val="000000"/>
              </w:rPr>
            </w:pPr>
            <w:r>
              <w:rPr>
                <w:b/>
                <w:color w:val="000000"/>
              </w:rPr>
              <w:t xml:space="preserve">Directions for Usage </w:t>
            </w:r>
          </w:p>
        </w:tc>
        <w:tc>
          <w:tcPr>
            <w:tcW w:w="4253" w:type="dxa"/>
            <w:shd w:val="clear" w:color="auto" w:fill="auto"/>
          </w:tcPr>
          <w:p w14:paraId="7E0EAF63" w14:textId="77777777" w:rsidR="009E2A82" w:rsidRDefault="009E2A82" w:rsidP="00F3445B">
            <w:pPr>
              <w:spacing w:line="480" w:lineRule="auto"/>
              <w:rPr>
                <w:color w:val="000000"/>
              </w:rPr>
            </w:pPr>
            <w:r>
              <w:rPr>
                <w:color w:val="000000"/>
              </w:rPr>
              <w:t xml:space="preserve">N/A </w:t>
            </w:r>
          </w:p>
        </w:tc>
        <w:tc>
          <w:tcPr>
            <w:tcW w:w="3667" w:type="dxa"/>
            <w:shd w:val="clear" w:color="auto" w:fill="auto"/>
          </w:tcPr>
          <w:p w14:paraId="146B5FCE" w14:textId="77777777" w:rsidR="009E2A82" w:rsidRDefault="009E2A82" w:rsidP="00F3445B">
            <w:pPr>
              <w:spacing w:line="480" w:lineRule="auto"/>
              <w:rPr>
                <w:color w:val="000000"/>
              </w:rPr>
            </w:pPr>
            <w:r>
              <w:rPr>
                <w:color w:val="000000"/>
              </w:rPr>
              <w:t xml:space="preserve">Can be applied either as a reflexive self-assessment, or as part of a rigorous evaluation </w:t>
            </w:r>
          </w:p>
        </w:tc>
      </w:tr>
      <w:tr w:rsidR="009E2A82" w14:paraId="1C21BD08" w14:textId="77777777" w:rsidTr="00F3445B">
        <w:tc>
          <w:tcPr>
            <w:tcW w:w="2263" w:type="dxa"/>
            <w:shd w:val="clear" w:color="auto" w:fill="auto"/>
          </w:tcPr>
          <w:p w14:paraId="2087EA0C" w14:textId="77777777" w:rsidR="009E2A82" w:rsidRDefault="009E2A82" w:rsidP="00F3445B">
            <w:pPr>
              <w:spacing w:line="480" w:lineRule="auto"/>
              <w:rPr>
                <w:b/>
                <w:color w:val="000000"/>
              </w:rPr>
            </w:pPr>
            <w:r>
              <w:rPr>
                <w:b/>
                <w:color w:val="000000"/>
              </w:rPr>
              <w:t xml:space="preserve">Conceptualisation of the LHS </w:t>
            </w:r>
          </w:p>
        </w:tc>
        <w:tc>
          <w:tcPr>
            <w:tcW w:w="4253" w:type="dxa"/>
            <w:shd w:val="clear" w:color="auto" w:fill="auto"/>
          </w:tcPr>
          <w:p w14:paraId="192A8C07" w14:textId="77777777" w:rsidR="009E2A82" w:rsidRDefault="009E2A82" w:rsidP="00F3445B">
            <w:pPr>
              <w:spacing w:line="480" w:lineRule="auto"/>
              <w:rPr>
                <w:color w:val="000000"/>
              </w:rPr>
            </w:pPr>
            <w:r>
              <w:rPr>
                <w:color w:val="000000"/>
              </w:rPr>
              <w:t>As a series of processes across a variety of themes</w:t>
            </w:r>
          </w:p>
        </w:tc>
        <w:tc>
          <w:tcPr>
            <w:tcW w:w="3667" w:type="dxa"/>
            <w:shd w:val="clear" w:color="auto" w:fill="auto"/>
          </w:tcPr>
          <w:p w14:paraId="104AAED4" w14:textId="77777777" w:rsidR="009E2A82" w:rsidRDefault="009E2A82" w:rsidP="00F3445B">
            <w:pPr>
              <w:spacing w:line="480" w:lineRule="auto"/>
              <w:rPr>
                <w:color w:val="000000"/>
              </w:rPr>
            </w:pPr>
            <w:r>
              <w:rPr>
                <w:color w:val="000000"/>
              </w:rPr>
              <w:t>As system level behaviours across 8 LHS Components, that arise from integrative and localised processes</w:t>
            </w:r>
          </w:p>
        </w:tc>
      </w:tr>
      <w:tr w:rsidR="009E2A82" w14:paraId="09ABAB28" w14:textId="77777777" w:rsidTr="00F3445B">
        <w:tc>
          <w:tcPr>
            <w:tcW w:w="2263" w:type="dxa"/>
            <w:shd w:val="clear" w:color="auto" w:fill="auto"/>
          </w:tcPr>
          <w:p w14:paraId="555D905B" w14:textId="77777777" w:rsidR="009E2A82" w:rsidRDefault="009E2A82" w:rsidP="00F3445B">
            <w:pPr>
              <w:spacing w:line="480" w:lineRule="auto"/>
              <w:rPr>
                <w:b/>
                <w:color w:val="000000"/>
              </w:rPr>
            </w:pPr>
            <w:r>
              <w:rPr>
                <w:b/>
                <w:color w:val="000000"/>
              </w:rPr>
              <w:t xml:space="preserve">Incorporation of Theory </w:t>
            </w:r>
            <w:proofErr w:type="gramStart"/>
            <w:r>
              <w:rPr>
                <w:b/>
                <w:color w:val="000000"/>
              </w:rPr>
              <w:t>Driven,</w:t>
            </w:r>
            <w:proofErr w:type="gramEnd"/>
            <w:r>
              <w:rPr>
                <w:b/>
                <w:color w:val="000000"/>
              </w:rPr>
              <w:t xml:space="preserve"> Evidence Based Implementation Frameworks</w:t>
            </w:r>
          </w:p>
        </w:tc>
        <w:tc>
          <w:tcPr>
            <w:tcW w:w="4253" w:type="dxa"/>
            <w:shd w:val="clear" w:color="auto" w:fill="auto"/>
          </w:tcPr>
          <w:p w14:paraId="0177D299" w14:textId="77777777" w:rsidR="009E2A82" w:rsidRDefault="009E2A82" w:rsidP="00F3445B">
            <w:pPr>
              <w:spacing w:line="480" w:lineRule="auto"/>
              <w:rPr>
                <w:color w:val="000000"/>
              </w:rPr>
            </w:pPr>
            <w:r>
              <w:rPr>
                <w:color w:val="000000"/>
              </w:rPr>
              <w:t xml:space="preserve">N/A </w:t>
            </w:r>
          </w:p>
        </w:tc>
        <w:tc>
          <w:tcPr>
            <w:tcW w:w="3667" w:type="dxa"/>
            <w:shd w:val="clear" w:color="auto" w:fill="auto"/>
          </w:tcPr>
          <w:p w14:paraId="6CD6DB65" w14:textId="77777777" w:rsidR="009E2A82" w:rsidRDefault="009E2A82" w:rsidP="00F3445B">
            <w:pPr>
              <w:spacing w:line="480" w:lineRule="auto"/>
              <w:rPr>
                <w:color w:val="000000"/>
              </w:rPr>
            </w:pPr>
            <w:r>
              <w:rPr>
                <w:color w:val="000000"/>
              </w:rPr>
              <w:t xml:space="preserve">Incorporates insights from CFIR </w:t>
            </w:r>
            <w:r>
              <w:rPr>
                <w:color w:val="000000"/>
              </w:rPr>
              <w:fldChar w:fldCharType="begin"/>
            </w:r>
            <w:r>
              <w:rPr>
                <w:color w:val="000000"/>
              </w:rPr>
              <w:instrText xml:space="preserve"> ADDIN ZOTERO_ITEM CSL_CITATION {"citationID":"C0tSKAEy","properties":{"formattedCitation":"\\super 3\\nosupersub{}","plainCitation":"3","noteIndex":0},"citationItems":[{"id":5057,"uris":["http://zotero.org/users/local/2yXEWl3v/items/XB7PRPXB"],"itemData":{"id":5057,"type":"article-journal","abstract":"Many implementation efforts fail, even with highly developed plans for execution, because contextual factors can be powerful forces working against implementation in the real world. The Consolidated Framework for Implementation Research (CFIR) is one of the most commonly used determinant frameworks to assess these contextual factors; however, it has been over 10 years since publication and there is a need for updates. The purpose of this project was to elicit feedback from experienced CFIR users to inform updates to the framework.","container-title":"Implementation Science","DOI":"10.1186/s13012-022-01245-0","ISSN":"1748-5908","issue":"1","journalAbbreviation":"Implementation Science","page":"75","source":"BioMed Central","title":"The updated Consolidated Framework for Implementation Research based on user feedback","volume":"17","author":[{"family":"Damschroder","given":"Laura J."},{"family":"Reardon","given":"Caitlin M."},{"family":"Widerquist","given":"Marilla A. Opra"},{"family":"Lowery","given":"Julie"}],"issued":{"date-parts":[["2022",10,29]]}}}],"schema":"https://github.com/citation-style-language/schema/raw/master/csl-citation.json"} </w:instrText>
            </w:r>
            <w:r>
              <w:rPr>
                <w:color w:val="000000"/>
              </w:rPr>
              <w:fldChar w:fldCharType="separate"/>
            </w:r>
            <w:r w:rsidRPr="00AF0BE5">
              <w:rPr>
                <w:vertAlign w:val="superscript"/>
              </w:rPr>
              <w:t>3</w:t>
            </w:r>
            <w:r>
              <w:rPr>
                <w:color w:val="000000"/>
              </w:rPr>
              <w:fldChar w:fldCharType="end"/>
            </w:r>
            <w:r>
              <w:rPr>
                <w:color w:val="000000"/>
              </w:rPr>
              <w:t xml:space="preserve">, RE-AIM </w:t>
            </w:r>
            <w:r>
              <w:fldChar w:fldCharType="begin"/>
            </w:r>
            <w:r>
              <w:instrText xml:space="preserve"> ADDIN ZOTERO_ITEM CSL_CITATION {"citationID":"epCGkzQZ","properties":{"formattedCitation":"\\super 26\\nosupersub{}","plainCitation":"26","noteIndex":0},"citationItems":[{"id":5332,"uris":["http://zotero.org/users/local/2yXEWl3v/items/62KE26DP"],"itemData":{"id":5332,"type":"article-journal","abstract":"Introduction:Understanding, categorizing, and using implementation science theories, models, and frameworks is a complex undertaking. The issues involved are even more challenging given the large number of frameworks and that some of them evolve significantly over time. As a consequence, researchers and practitioners may be unintentionally mischaracterizing frameworks or basing actions and conclusions on outdated versions of a framework.Methods:This paper addresses how the RE-AIM (Reach, Effectiveness, Adoption, Implementation, and Maintenance) framework has been described, summarizes how the model has evolved over time, and identifies and corrects several misconceptions.Results:We address 13 specific areas where misconceptions have been noted concerning the use of RE-AIM and summarize current guidance on these issues. We also discuss key changes to RE-AIM over the past 20 years, including the evolution to Pragmatic Robust Implementation and Sustainability Model, and provide resources for potential users to guide application of the framework.Conclusions:RE-AIM and many other theories and frameworks have evolved, been misunderstood, and sometimes been misapplied. To some degree, this is inevitable, but we conclude by suggesting some actions that reviewers, framework developers, and those selecting or applying frameworks can do to prevent or alleviate these problems.","container-title":"Journal of Clinical and Translational Science","DOI":"10.1017/cts.2021.789","ISSN":"2059-8661","issue":"1","language":"en","page":"e126","source":"Cambridge University Press","title":"Understanding and applying the RE-AIM framework: Clarifications and resources","title-short":"Understanding and applying the RE-AIM framework","volume":"5","author":[{"family":"Holtrop","given":"Jodi Summers"},{"family":"Estabrooks","given":"Paul A."},{"family":"Gaglio","given":"Bridget"},{"family":"Harden","given":"Samantha M."},{"family":"Kessler","given":"Rodger S."},{"family":"King","given":"Diane K."},{"family":"Kwan","given":"Bethany M."},{"family":"Ory","given":"Marcia G."},{"family":"Rabin","given":"Borsika A."},{"family":"Shelton","given":"Rachel C."},{"family":"Glasgow","given":"Russell E."}],"issued":{"date-parts":[["2021",1]]}}}],"schema":"https://github.com/citation-style-language/schema/raw/master/csl-citation.json"} </w:instrText>
            </w:r>
            <w:r>
              <w:fldChar w:fldCharType="separate"/>
            </w:r>
            <w:r w:rsidRPr="00540ED2">
              <w:rPr>
                <w:vertAlign w:val="superscript"/>
              </w:rPr>
              <w:t>26</w:t>
            </w:r>
            <w:r>
              <w:fldChar w:fldCharType="end"/>
            </w:r>
            <w:r>
              <w:rPr>
                <w:color w:val="000000"/>
              </w:rPr>
              <w:t xml:space="preserve"> and Implementation Fidelity from Carrol et al. </w:t>
            </w:r>
            <w:r>
              <w:rPr>
                <w:color w:val="000000"/>
              </w:rPr>
              <w:fldChar w:fldCharType="begin"/>
            </w:r>
            <w:r>
              <w:rPr>
                <w:color w:val="000000"/>
              </w:rPr>
              <w:instrText xml:space="preserve"> ADDIN ZOTERO_ITEM CSL_CITATION {"citationID":"kXhIS3um","properties":{"formattedCitation":"\\super 27\\nosupersub{}","plainCitation":"27","noteIndex":0},"citationItems":[{"id":5102,"uris":["http://zotero.org/users/local/2yXEWl3v/items/PZS6UGSN"],"itemData":{"id":5102,"type":"article-journal","abstract":"Implementation fidelity refers to the degree to which an intervention or programme is delivered as intended. Only by understanding and measuring whether an intervention has been implemented with fidelity can researchers and practitioners gain a better understanding of how and why an intervention works, and the extent to which outcomes can be improved.","container-title":"Implementation Science","DOI":"10.1186/1748-5908-2-40","ISSN":"1748-5908","issue":"1","journalAbbreviation":"Implementation Science","page":"40","source":"BioMed Central","title":"A conceptual framework for implementation fidelity","volume":"2","author":[{"family":"Carroll","given":"Christopher"},{"family":"Patterson","given":"Malcolm"},{"family":"Wood","given":"Stephen"},{"family":"Booth","given":"Andrew"},{"family":"Rick","given":"Jo"},{"family":"Balain","given":"Shashi"}],"issued":{"date-parts":[["2007",11,30]]}}}],"schema":"https://github.com/citation-style-language/schema/raw/master/csl-citation.json"} </w:instrText>
            </w:r>
            <w:r>
              <w:rPr>
                <w:color w:val="000000"/>
              </w:rPr>
              <w:fldChar w:fldCharType="separate"/>
            </w:r>
            <w:r w:rsidRPr="00540ED2">
              <w:rPr>
                <w:vertAlign w:val="superscript"/>
              </w:rPr>
              <w:t>27</w:t>
            </w:r>
            <w:r>
              <w:rPr>
                <w:color w:val="000000"/>
              </w:rPr>
              <w:fldChar w:fldCharType="end"/>
            </w:r>
          </w:p>
        </w:tc>
      </w:tr>
    </w:tbl>
    <w:p w14:paraId="6170C7C8" w14:textId="77777777" w:rsidR="00833134" w:rsidRDefault="00833134"/>
    <w:sectPr w:rsidR="00833134" w:rsidSect="009E2A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82"/>
    <w:rsid w:val="001B5801"/>
    <w:rsid w:val="00295164"/>
    <w:rsid w:val="003E4963"/>
    <w:rsid w:val="00523995"/>
    <w:rsid w:val="005F16A4"/>
    <w:rsid w:val="00833134"/>
    <w:rsid w:val="009E2A82"/>
    <w:rsid w:val="00A72498"/>
    <w:rsid w:val="00FA52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C306F"/>
  <w15:chartTrackingRefBased/>
  <w15:docId w15:val="{1DFC1803-AC3D-4528-A130-574F8D2D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A82"/>
    <w:rPr>
      <w:rFonts w:ascii="Calibri" w:eastAsia="Calibri" w:hAnsi="Calibri" w:cs="Calibri"/>
      <w:kern w:val="0"/>
      <w:lang w:val="en-GB" w:eastAsia="en-AU"/>
      <w14:ligatures w14:val="none"/>
    </w:rPr>
  </w:style>
  <w:style w:type="paragraph" w:styleId="Heading1">
    <w:name w:val="heading 1"/>
    <w:basedOn w:val="Normal"/>
    <w:next w:val="Normal"/>
    <w:link w:val="Heading1Char"/>
    <w:uiPriority w:val="9"/>
    <w:qFormat/>
    <w:rsid w:val="009E2A82"/>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AU" w:eastAsia="en-US"/>
      <w14:ligatures w14:val="standardContextual"/>
    </w:rPr>
  </w:style>
  <w:style w:type="paragraph" w:styleId="Heading2">
    <w:name w:val="heading 2"/>
    <w:basedOn w:val="Normal"/>
    <w:next w:val="Normal"/>
    <w:link w:val="Heading2Char"/>
    <w:uiPriority w:val="9"/>
    <w:semiHidden/>
    <w:unhideWhenUsed/>
    <w:qFormat/>
    <w:rsid w:val="009E2A82"/>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AU" w:eastAsia="en-US"/>
      <w14:ligatures w14:val="standardContextual"/>
    </w:rPr>
  </w:style>
  <w:style w:type="paragraph" w:styleId="Heading3">
    <w:name w:val="heading 3"/>
    <w:basedOn w:val="Normal"/>
    <w:next w:val="Normal"/>
    <w:link w:val="Heading3Char"/>
    <w:uiPriority w:val="9"/>
    <w:semiHidden/>
    <w:unhideWhenUsed/>
    <w:qFormat/>
    <w:rsid w:val="009E2A82"/>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AU" w:eastAsia="en-US"/>
      <w14:ligatures w14:val="standardContextual"/>
    </w:rPr>
  </w:style>
  <w:style w:type="paragraph" w:styleId="Heading4">
    <w:name w:val="heading 4"/>
    <w:basedOn w:val="Normal"/>
    <w:next w:val="Normal"/>
    <w:link w:val="Heading4Char"/>
    <w:uiPriority w:val="9"/>
    <w:semiHidden/>
    <w:unhideWhenUsed/>
    <w:qFormat/>
    <w:rsid w:val="009E2A82"/>
    <w:pPr>
      <w:keepNext/>
      <w:keepLines/>
      <w:spacing w:before="80" w:after="40"/>
      <w:outlineLvl w:val="3"/>
    </w:pPr>
    <w:rPr>
      <w:rFonts w:asciiTheme="minorHAnsi" w:eastAsiaTheme="majorEastAsia" w:hAnsiTheme="minorHAnsi" w:cstheme="majorBidi"/>
      <w:i/>
      <w:iCs/>
      <w:color w:val="0F4761" w:themeColor="accent1" w:themeShade="BF"/>
      <w:kern w:val="2"/>
      <w:lang w:val="en-AU" w:eastAsia="en-US"/>
      <w14:ligatures w14:val="standardContextual"/>
    </w:rPr>
  </w:style>
  <w:style w:type="paragraph" w:styleId="Heading5">
    <w:name w:val="heading 5"/>
    <w:basedOn w:val="Normal"/>
    <w:next w:val="Normal"/>
    <w:link w:val="Heading5Char"/>
    <w:uiPriority w:val="9"/>
    <w:semiHidden/>
    <w:unhideWhenUsed/>
    <w:qFormat/>
    <w:rsid w:val="009E2A82"/>
    <w:pPr>
      <w:keepNext/>
      <w:keepLines/>
      <w:spacing w:before="80" w:after="40"/>
      <w:outlineLvl w:val="4"/>
    </w:pPr>
    <w:rPr>
      <w:rFonts w:asciiTheme="minorHAnsi" w:eastAsiaTheme="majorEastAsia" w:hAnsiTheme="minorHAnsi" w:cstheme="majorBidi"/>
      <w:color w:val="0F4761" w:themeColor="accent1" w:themeShade="BF"/>
      <w:kern w:val="2"/>
      <w:lang w:val="en-AU" w:eastAsia="en-US"/>
      <w14:ligatures w14:val="standardContextual"/>
    </w:rPr>
  </w:style>
  <w:style w:type="paragraph" w:styleId="Heading6">
    <w:name w:val="heading 6"/>
    <w:basedOn w:val="Normal"/>
    <w:next w:val="Normal"/>
    <w:link w:val="Heading6Char"/>
    <w:uiPriority w:val="9"/>
    <w:semiHidden/>
    <w:unhideWhenUsed/>
    <w:qFormat/>
    <w:rsid w:val="009E2A82"/>
    <w:pPr>
      <w:keepNext/>
      <w:keepLines/>
      <w:spacing w:before="40" w:after="0"/>
      <w:outlineLvl w:val="5"/>
    </w:pPr>
    <w:rPr>
      <w:rFonts w:asciiTheme="minorHAnsi" w:eastAsiaTheme="majorEastAsia" w:hAnsiTheme="minorHAnsi" w:cstheme="majorBidi"/>
      <w:i/>
      <w:iCs/>
      <w:color w:val="595959" w:themeColor="text1" w:themeTint="A6"/>
      <w:kern w:val="2"/>
      <w:lang w:val="en-AU" w:eastAsia="en-US"/>
      <w14:ligatures w14:val="standardContextual"/>
    </w:rPr>
  </w:style>
  <w:style w:type="paragraph" w:styleId="Heading7">
    <w:name w:val="heading 7"/>
    <w:basedOn w:val="Normal"/>
    <w:next w:val="Normal"/>
    <w:link w:val="Heading7Char"/>
    <w:uiPriority w:val="9"/>
    <w:semiHidden/>
    <w:unhideWhenUsed/>
    <w:qFormat/>
    <w:rsid w:val="009E2A82"/>
    <w:pPr>
      <w:keepNext/>
      <w:keepLines/>
      <w:spacing w:before="40" w:after="0"/>
      <w:outlineLvl w:val="6"/>
    </w:pPr>
    <w:rPr>
      <w:rFonts w:asciiTheme="minorHAnsi" w:eastAsiaTheme="majorEastAsia" w:hAnsiTheme="minorHAnsi" w:cstheme="majorBidi"/>
      <w:color w:val="595959" w:themeColor="text1" w:themeTint="A6"/>
      <w:kern w:val="2"/>
      <w:lang w:val="en-AU" w:eastAsia="en-US"/>
      <w14:ligatures w14:val="standardContextual"/>
    </w:rPr>
  </w:style>
  <w:style w:type="paragraph" w:styleId="Heading8">
    <w:name w:val="heading 8"/>
    <w:basedOn w:val="Normal"/>
    <w:next w:val="Normal"/>
    <w:link w:val="Heading8Char"/>
    <w:uiPriority w:val="9"/>
    <w:semiHidden/>
    <w:unhideWhenUsed/>
    <w:qFormat/>
    <w:rsid w:val="009E2A82"/>
    <w:pPr>
      <w:keepNext/>
      <w:keepLines/>
      <w:spacing w:after="0"/>
      <w:outlineLvl w:val="7"/>
    </w:pPr>
    <w:rPr>
      <w:rFonts w:asciiTheme="minorHAnsi" w:eastAsiaTheme="majorEastAsia" w:hAnsiTheme="minorHAnsi" w:cstheme="majorBidi"/>
      <w:i/>
      <w:iCs/>
      <w:color w:val="272727" w:themeColor="text1" w:themeTint="D8"/>
      <w:kern w:val="2"/>
      <w:lang w:val="en-AU" w:eastAsia="en-US"/>
      <w14:ligatures w14:val="standardContextual"/>
    </w:rPr>
  </w:style>
  <w:style w:type="paragraph" w:styleId="Heading9">
    <w:name w:val="heading 9"/>
    <w:basedOn w:val="Normal"/>
    <w:next w:val="Normal"/>
    <w:link w:val="Heading9Char"/>
    <w:uiPriority w:val="9"/>
    <w:semiHidden/>
    <w:unhideWhenUsed/>
    <w:qFormat/>
    <w:rsid w:val="009E2A82"/>
    <w:pPr>
      <w:keepNext/>
      <w:keepLines/>
      <w:spacing w:after="0"/>
      <w:outlineLvl w:val="8"/>
    </w:pPr>
    <w:rPr>
      <w:rFonts w:asciiTheme="minorHAnsi" w:eastAsiaTheme="majorEastAsia" w:hAnsiTheme="minorHAnsi" w:cstheme="majorBidi"/>
      <w:color w:val="272727" w:themeColor="text1" w:themeTint="D8"/>
      <w:kern w:val="2"/>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A82"/>
    <w:rPr>
      <w:rFonts w:eastAsiaTheme="majorEastAsia" w:cstheme="majorBidi"/>
      <w:color w:val="272727" w:themeColor="text1" w:themeTint="D8"/>
    </w:rPr>
  </w:style>
  <w:style w:type="paragraph" w:styleId="Title">
    <w:name w:val="Title"/>
    <w:basedOn w:val="Normal"/>
    <w:next w:val="Normal"/>
    <w:link w:val="TitleChar"/>
    <w:uiPriority w:val="10"/>
    <w:qFormat/>
    <w:rsid w:val="009E2A82"/>
    <w:pPr>
      <w:spacing w:after="80" w:line="240" w:lineRule="auto"/>
      <w:contextualSpacing/>
    </w:pPr>
    <w:rPr>
      <w:rFonts w:asciiTheme="majorHAnsi" w:eastAsiaTheme="majorEastAsia" w:hAnsiTheme="majorHAnsi" w:cstheme="majorBidi"/>
      <w:spacing w:val="-10"/>
      <w:kern w:val="28"/>
      <w:sz w:val="56"/>
      <w:szCs w:val="56"/>
      <w:lang w:val="en-AU" w:eastAsia="en-US"/>
      <w14:ligatures w14:val="standardContextual"/>
    </w:rPr>
  </w:style>
  <w:style w:type="character" w:customStyle="1" w:styleId="TitleChar">
    <w:name w:val="Title Char"/>
    <w:basedOn w:val="DefaultParagraphFont"/>
    <w:link w:val="Title"/>
    <w:uiPriority w:val="10"/>
    <w:rsid w:val="009E2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A82"/>
    <w:pPr>
      <w:numPr>
        <w:ilvl w:val="1"/>
      </w:numPr>
    </w:pPr>
    <w:rPr>
      <w:rFonts w:asciiTheme="minorHAnsi" w:eastAsiaTheme="majorEastAsia" w:hAnsiTheme="minorHAnsi" w:cstheme="majorBidi"/>
      <w:color w:val="595959" w:themeColor="text1" w:themeTint="A6"/>
      <w:spacing w:val="15"/>
      <w:kern w:val="2"/>
      <w:sz w:val="28"/>
      <w:szCs w:val="28"/>
      <w:lang w:val="en-AU" w:eastAsia="en-US"/>
      <w14:ligatures w14:val="standardContextual"/>
    </w:rPr>
  </w:style>
  <w:style w:type="character" w:customStyle="1" w:styleId="SubtitleChar">
    <w:name w:val="Subtitle Char"/>
    <w:basedOn w:val="DefaultParagraphFont"/>
    <w:link w:val="Subtitle"/>
    <w:uiPriority w:val="11"/>
    <w:rsid w:val="009E2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A82"/>
    <w:pPr>
      <w:spacing w:before="160"/>
      <w:jc w:val="center"/>
    </w:pPr>
    <w:rPr>
      <w:rFonts w:asciiTheme="minorHAnsi" w:eastAsiaTheme="minorHAnsi" w:hAnsiTheme="minorHAnsi" w:cstheme="minorBidi"/>
      <w:i/>
      <w:iCs/>
      <w:color w:val="404040" w:themeColor="text1" w:themeTint="BF"/>
      <w:kern w:val="2"/>
      <w:lang w:val="en-AU" w:eastAsia="en-US"/>
      <w14:ligatures w14:val="standardContextual"/>
    </w:rPr>
  </w:style>
  <w:style w:type="character" w:customStyle="1" w:styleId="QuoteChar">
    <w:name w:val="Quote Char"/>
    <w:basedOn w:val="DefaultParagraphFont"/>
    <w:link w:val="Quote"/>
    <w:uiPriority w:val="29"/>
    <w:rsid w:val="009E2A82"/>
    <w:rPr>
      <w:i/>
      <w:iCs/>
      <w:color w:val="404040" w:themeColor="text1" w:themeTint="BF"/>
    </w:rPr>
  </w:style>
  <w:style w:type="paragraph" w:styleId="ListParagraph">
    <w:name w:val="List Paragraph"/>
    <w:basedOn w:val="Normal"/>
    <w:uiPriority w:val="34"/>
    <w:qFormat/>
    <w:rsid w:val="009E2A82"/>
    <w:pPr>
      <w:ind w:left="720"/>
      <w:contextualSpacing/>
    </w:pPr>
    <w:rPr>
      <w:rFonts w:asciiTheme="minorHAnsi" w:eastAsiaTheme="minorHAnsi" w:hAnsiTheme="minorHAnsi" w:cstheme="minorBidi"/>
      <w:kern w:val="2"/>
      <w:lang w:val="en-AU" w:eastAsia="en-US"/>
      <w14:ligatures w14:val="standardContextual"/>
    </w:rPr>
  </w:style>
  <w:style w:type="character" w:styleId="IntenseEmphasis">
    <w:name w:val="Intense Emphasis"/>
    <w:basedOn w:val="DefaultParagraphFont"/>
    <w:uiPriority w:val="21"/>
    <w:qFormat/>
    <w:rsid w:val="009E2A82"/>
    <w:rPr>
      <w:i/>
      <w:iCs/>
      <w:color w:val="0F4761" w:themeColor="accent1" w:themeShade="BF"/>
    </w:rPr>
  </w:style>
  <w:style w:type="paragraph" w:styleId="IntenseQuote">
    <w:name w:val="Intense Quote"/>
    <w:basedOn w:val="Normal"/>
    <w:next w:val="Normal"/>
    <w:link w:val="IntenseQuoteChar"/>
    <w:uiPriority w:val="30"/>
    <w:qFormat/>
    <w:rsid w:val="009E2A8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AU" w:eastAsia="en-US"/>
      <w14:ligatures w14:val="standardContextual"/>
    </w:rPr>
  </w:style>
  <w:style w:type="character" w:customStyle="1" w:styleId="IntenseQuoteChar">
    <w:name w:val="Intense Quote Char"/>
    <w:basedOn w:val="DefaultParagraphFont"/>
    <w:link w:val="IntenseQuote"/>
    <w:uiPriority w:val="30"/>
    <w:rsid w:val="009E2A82"/>
    <w:rPr>
      <w:i/>
      <w:iCs/>
      <w:color w:val="0F4761" w:themeColor="accent1" w:themeShade="BF"/>
    </w:rPr>
  </w:style>
  <w:style w:type="character" w:styleId="IntenseReference">
    <w:name w:val="Intense Reference"/>
    <w:basedOn w:val="DefaultParagraphFont"/>
    <w:uiPriority w:val="32"/>
    <w:qFormat/>
    <w:rsid w:val="009E2A82"/>
    <w:rPr>
      <w:b/>
      <w:bCs/>
      <w:smallCaps/>
      <w:color w:val="0F4761" w:themeColor="accent1" w:themeShade="BF"/>
      <w:spacing w:val="5"/>
    </w:rPr>
  </w:style>
  <w:style w:type="paragraph" w:styleId="Caption">
    <w:name w:val="caption"/>
    <w:basedOn w:val="Normal"/>
    <w:next w:val="Normal"/>
    <w:uiPriority w:val="35"/>
    <w:unhideWhenUsed/>
    <w:qFormat/>
    <w:rsid w:val="009E2A82"/>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4837B-C0F3-4A43-90F2-429DEFDAC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1341</Words>
  <Characters>7644</Characters>
  <Application>Microsoft Office Word</Application>
  <DocSecurity>0</DocSecurity>
  <Lines>63</Lines>
  <Paragraphs>17</Paragraphs>
  <ScaleCrop>false</ScaleCrop>
  <Company>Monash University</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Kelvin Rajit</dc:creator>
  <cp:keywords/>
  <dc:description/>
  <cp:lastModifiedBy>Darren Kelvin Rajit</cp:lastModifiedBy>
  <cp:revision>1</cp:revision>
  <dcterms:created xsi:type="dcterms:W3CDTF">2025-02-13T04:48:00Z</dcterms:created>
  <dcterms:modified xsi:type="dcterms:W3CDTF">2025-02-13T04:49:00Z</dcterms:modified>
</cp:coreProperties>
</file>