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08581" w14:textId="7BF4B27F" w:rsidR="00A57B45" w:rsidRPr="00A57B45" w:rsidRDefault="00A57B45" w:rsidP="00A57B45">
      <w:pPr>
        <w:rPr>
          <w:bCs/>
          <w:sz w:val="22"/>
          <w:szCs w:val="22"/>
          <w:lang w:val="en-CA"/>
        </w:rPr>
      </w:pPr>
      <w:r w:rsidRPr="00165051">
        <w:rPr>
          <w:b/>
          <w:bCs/>
          <w:lang w:val="en-CA"/>
        </w:rPr>
        <w:t xml:space="preserve">Appendix </w:t>
      </w:r>
      <w:r w:rsidR="007747A2">
        <w:rPr>
          <w:b/>
          <w:bCs/>
          <w:lang w:val="en-CA"/>
        </w:rPr>
        <w:t>D</w:t>
      </w:r>
      <w:r w:rsidRPr="00165051">
        <w:rPr>
          <w:b/>
          <w:bCs/>
          <w:lang w:val="en-CA"/>
        </w:rPr>
        <w:t xml:space="preserve"> </w:t>
      </w:r>
      <w:r w:rsidRPr="00A57B45">
        <w:rPr>
          <w:rFonts w:eastAsia="Arial" w:cs="Arial"/>
          <w:bCs/>
          <w:sz w:val="22"/>
          <w:szCs w:val="22"/>
          <w:lang w:val="en-CA"/>
        </w:rPr>
        <w:t>Prevalence ratios (PR) of anal HPV infections (6/11/16/18 genotypes) comparing vaccinated (</w:t>
      </w:r>
      <w:r w:rsidRPr="00A57B45">
        <w:rPr>
          <w:rFonts w:eastAsia="Arial Unicode MS" w:cs="Arial Unicode MS"/>
          <w:sz w:val="22"/>
          <w:szCs w:val="22"/>
          <w:lang w:val="en-CA"/>
        </w:rPr>
        <w:t>≥ 1 dose)</w:t>
      </w:r>
      <w:r w:rsidRPr="00A57B45">
        <w:rPr>
          <w:rFonts w:eastAsia="Arial" w:cs="Arial"/>
          <w:bCs/>
          <w:sz w:val="22"/>
          <w:szCs w:val="22"/>
          <w:lang w:val="en-CA"/>
        </w:rPr>
        <w:t xml:space="preserve"> with unvaccinated GBM eligible for free HPV vaccination (n=191)</w:t>
      </w:r>
    </w:p>
    <w:tbl>
      <w:tblPr>
        <w:tblStyle w:val="2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45"/>
        <w:gridCol w:w="1305"/>
        <w:gridCol w:w="750"/>
        <w:gridCol w:w="660"/>
        <w:gridCol w:w="1155"/>
        <w:gridCol w:w="660"/>
        <w:gridCol w:w="1185"/>
      </w:tblGrid>
      <w:tr w:rsidR="00A57B45" w:rsidRPr="00A57B45" w14:paraId="2D48C13C" w14:textId="77777777" w:rsidTr="005F6D49">
        <w:trPr>
          <w:trHeight w:val="180"/>
        </w:trPr>
        <w:tc>
          <w:tcPr>
            <w:tcW w:w="3645" w:type="dxa"/>
            <w:shd w:val="clear" w:color="auto" w:fill="BFBFBF" w:themeFill="background1" w:themeFillShade="BF"/>
            <w:vAlign w:val="bottom"/>
          </w:tcPr>
          <w:p w14:paraId="027E6E19" w14:textId="77777777" w:rsidR="00A57B45" w:rsidRPr="00A57B45" w:rsidRDefault="00A57B45" w:rsidP="00211668">
            <w:pPr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</w:p>
        </w:tc>
        <w:tc>
          <w:tcPr>
            <w:tcW w:w="2055" w:type="dxa"/>
            <w:gridSpan w:val="2"/>
            <w:shd w:val="clear" w:color="auto" w:fill="BFBFBF" w:themeFill="background1" w:themeFillShade="BF"/>
            <w:vAlign w:val="bottom"/>
          </w:tcPr>
          <w:p w14:paraId="47526C74" w14:textId="77777777" w:rsidR="00A57B45" w:rsidRPr="00A57B45" w:rsidRDefault="00A57B45" w:rsidP="00211668">
            <w:pPr>
              <w:jc w:val="center"/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  <w:t>Participants with anal HPV 6/11/16/18 genotypes</w:t>
            </w:r>
          </w:p>
        </w:tc>
        <w:tc>
          <w:tcPr>
            <w:tcW w:w="1815" w:type="dxa"/>
            <w:gridSpan w:val="2"/>
            <w:shd w:val="clear" w:color="auto" w:fill="BFBFBF" w:themeFill="background1" w:themeFillShade="BF"/>
            <w:vAlign w:val="center"/>
          </w:tcPr>
          <w:p w14:paraId="401780E6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  <w:t>Univariable regression</w:t>
            </w:r>
          </w:p>
        </w:tc>
        <w:tc>
          <w:tcPr>
            <w:tcW w:w="1845" w:type="dxa"/>
            <w:gridSpan w:val="2"/>
            <w:shd w:val="clear" w:color="auto" w:fill="BFBFBF" w:themeFill="background1" w:themeFillShade="BF"/>
            <w:vAlign w:val="center"/>
          </w:tcPr>
          <w:p w14:paraId="60B8D178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  <w:t>Multivariable regression</w:t>
            </w:r>
          </w:p>
        </w:tc>
      </w:tr>
      <w:tr w:rsidR="00A57B45" w:rsidRPr="00A57B45" w14:paraId="50A35778" w14:textId="77777777" w:rsidTr="005F6D49">
        <w:trPr>
          <w:trHeight w:val="180"/>
        </w:trPr>
        <w:tc>
          <w:tcPr>
            <w:tcW w:w="3645" w:type="dxa"/>
            <w:shd w:val="clear" w:color="auto" w:fill="BFBFBF" w:themeFill="background1" w:themeFillShade="BF"/>
            <w:vAlign w:val="bottom"/>
          </w:tcPr>
          <w:p w14:paraId="5B29F010" w14:textId="77777777" w:rsidR="00A57B45" w:rsidRPr="00A57B45" w:rsidRDefault="00A57B45" w:rsidP="00211668">
            <w:pPr>
              <w:jc w:val="right"/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</w:p>
        </w:tc>
        <w:tc>
          <w:tcPr>
            <w:tcW w:w="1305" w:type="dxa"/>
            <w:shd w:val="clear" w:color="auto" w:fill="BFBFBF" w:themeFill="background1" w:themeFillShade="BF"/>
            <w:vAlign w:val="center"/>
          </w:tcPr>
          <w:p w14:paraId="72EB8AC6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  <w:t>Count</w:t>
            </w:r>
          </w:p>
        </w:tc>
        <w:tc>
          <w:tcPr>
            <w:tcW w:w="750" w:type="dxa"/>
            <w:shd w:val="clear" w:color="auto" w:fill="BFBFBF" w:themeFill="background1" w:themeFillShade="BF"/>
            <w:vAlign w:val="center"/>
          </w:tcPr>
          <w:p w14:paraId="5137BC86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  <w:t>%</w:t>
            </w:r>
          </w:p>
        </w:tc>
        <w:tc>
          <w:tcPr>
            <w:tcW w:w="660" w:type="dxa"/>
            <w:shd w:val="clear" w:color="auto" w:fill="BFBFBF" w:themeFill="background1" w:themeFillShade="BF"/>
            <w:vAlign w:val="center"/>
          </w:tcPr>
          <w:p w14:paraId="62483E6A" w14:textId="77777777" w:rsidR="00A57B45" w:rsidRPr="00A57B45" w:rsidRDefault="00A57B45" w:rsidP="00211668">
            <w:pPr>
              <w:ind w:right="56"/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  <w:t>PR</w:t>
            </w:r>
          </w:p>
        </w:tc>
        <w:tc>
          <w:tcPr>
            <w:tcW w:w="1155" w:type="dxa"/>
            <w:shd w:val="clear" w:color="auto" w:fill="BFBFBF" w:themeFill="background1" w:themeFillShade="BF"/>
            <w:vAlign w:val="center"/>
          </w:tcPr>
          <w:p w14:paraId="088F4B44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  <w:t>95%CI</w:t>
            </w:r>
          </w:p>
        </w:tc>
        <w:tc>
          <w:tcPr>
            <w:tcW w:w="660" w:type="dxa"/>
            <w:shd w:val="clear" w:color="auto" w:fill="BFBFBF" w:themeFill="background1" w:themeFillShade="BF"/>
            <w:vAlign w:val="center"/>
          </w:tcPr>
          <w:p w14:paraId="7C47329C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  <w:t>PR</w:t>
            </w:r>
          </w:p>
        </w:tc>
        <w:tc>
          <w:tcPr>
            <w:tcW w:w="1185" w:type="dxa"/>
            <w:shd w:val="clear" w:color="auto" w:fill="BFBFBF" w:themeFill="background1" w:themeFillShade="BF"/>
            <w:vAlign w:val="center"/>
          </w:tcPr>
          <w:p w14:paraId="526D92BE" w14:textId="77777777" w:rsidR="00A57B45" w:rsidRPr="00A57B45" w:rsidRDefault="00A57B45" w:rsidP="00211668">
            <w:pPr>
              <w:jc w:val="center"/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  <w:t>95%CI</w:t>
            </w:r>
          </w:p>
        </w:tc>
      </w:tr>
      <w:tr w:rsidR="00A57B45" w:rsidRPr="00A57B45" w14:paraId="57BCD744" w14:textId="77777777" w:rsidTr="005F6D49">
        <w:trPr>
          <w:trHeight w:val="20"/>
        </w:trPr>
        <w:tc>
          <w:tcPr>
            <w:tcW w:w="9360" w:type="dxa"/>
            <w:gridSpan w:val="7"/>
            <w:shd w:val="clear" w:color="auto" w:fill="D9D9D9" w:themeFill="background1" w:themeFillShade="D9"/>
            <w:vAlign w:val="center"/>
          </w:tcPr>
          <w:p w14:paraId="255F6545" w14:textId="77777777" w:rsidR="00A57B45" w:rsidRPr="00A57B45" w:rsidRDefault="00A57B45" w:rsidP="00211668">
            <w:pPr>
              <w:ind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Overall</w:t>
            </w:r>
          </w:p>
        </w:tc>
      </w:tr>
      <w:tr w:rsidR="00A57B45" w:rsidRPr="00A57B45" w14:paraId="0B736666" w14:textId="77777777" w:rsidTr="00211668">
        <w:trPr>
          <w:trHeight w:val="180"/>
        </w:trPr>
        <w:tc>
          <w:tcPr>
            <w:tcW w:w="3645" w:type="dxa"/>
            <w:vAlign w:val="center"/>
          </w:tcPr>
          <w:p w14:paraId="029B2552" w14:textId="77777777" w:rsidR="00A57B45" w:rsidRPr="00A57B45" w:rsidRDefault="00A57B45" w:rsidP="00211668">
            <w:pPr>
              <w:ind w:left="227" w:right="57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Unvaccinated</w:t>
            </w:r>
          </w:p>
        </w:tc>
        <w:tc>
          <w:tcPr>
            <w:tcW w:w="1305" w:type="dxa"/>
            <w:vAlign w:val="center"/>
          </w:tcPr>
          <w:p w14:paraId="14F3778F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25 / 113</w:t>
            </w:r>
          </w:p>
        </w:tc>
        <w:tc>
          <w:tcPr>
            <w:tcW w:w="750" w:type="dxa"/>
            <w:vAlign w:val="center"/>
          </w:tcPr>
          <w:p w14:paraId="5B3E6857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22.1</w:t>
            </w:r>
          </w:p>
        </w:tc>
        <w:tc>
          <w:tcPr>
            <w:tcW w:w="660" w:type="dxa"/>
            <w:vAlign w:val="center"/>
          </w:tcPr>
          <w:p w14:paraId="0435B5B7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Ref</w:t>
            </w:r>
          </w:p>
        </w:tc>
        <w:tc>
          <w:tcPr>
            <w:tcW w:w="1155" w:type="dxa"/>
            <w:vAlign w:val="center"/>
          </w:tcPr>
          <w:p w14:paraId="1B88D45F" w14:textId="77777777" w:rsidR="00A57B45" w:rsidRPr="00A57B45" w:rsidRDefault="00A57B45" w:rsidP="00211668">
            <w:pPr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</w:p>
        </w:tc>
        <w:tc>
          <w:tcPr>
            <w:tcW w:w="660" w:type="dxa"/>
            <w:vAlign w:val="center"/>
          </w:tcPr>
          <w:p w14:paraId="6B47FE66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Ref</w:t>
            </w:r>
          </w:p>
        </w:tc>
        <w:tc>
          <w:tcPr>
            <w:tcW w:w="1185" w:type="dxa"/>
            <w:vAlign w:val="center"/>
          </w:tcPr>
          <w:p w14:paraId="43F7909B" w14:textId="77777777" w:rsidR="00A57B45" w:rsidRPr="00A57B45" w:rsidRDefault="00A57B45" w:rsidP="00211668">
            <w:pPr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</w:p>
        </w:tc>
      </w:tr>
      <w:tr w:rsidR="00A57B45" w:rsidRPr="00A57B45" w14:paraId="47820E76" w14:textId="77777777" w:rsidTr="00211668">
        <w:trPr>
          <w:trHeight w:val="180"/>
        </w:trPr>
        <w:tc>
          <w:tcPr>
            <w:tcW w:w="3645" w:type="dxa"/>
            <w:vAlign w:val="center"/>
          </w:tcPr>
          <w:p w14:paraId="652C1398" w14:textId="77777777" w:rsidR="00A57B45" w:rsidRPr="00A57B45" w:rsidRDefault="00000000" w:rsidP="00211668">
            <w:pPr>
              <w:ind w:left="227" w:right="57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sdt>
              <w:sdtPr>
                <w:rPr>
                  <w:sz w:val="18"/>
                  <w:szCs w:val="18"/>
                  <w:lang w:val="en-CA"/>
                </w:rPr>
                <w:tag w:val="goog_rdk_68"/>
                <w:id w:val="-641408009"/>
              </w:sdtPr>
              <w:sdtContent>
                <w:r w:rsidR="00A57B45" w:rsidRPr="00A57B45">
                  <w:rPr>
                    <w:rFonts w:asciiTheme="minorHAnsi" w:eastAsia="Arial Unicode MS" w:hAnsiTheme="minorHAnsi" w:cs="Arial Unicode MS"/>
                    <w:sz w:val="18"/>
                    <w:szCs w:val="18"/>
                    <w:lang w:val="en-CA"/>
                  </w:rPr>
                  <w:t>≥ 1 dose</w:t>
                </w:r>
              </w:sdtContent>
            </w:sdt>
          </w:p>
        </w:tc>
        <w:tc>
          <w:tcPr>
            <w:tcW w:w="1305" w:type="dxa"/>
            <w:vAlign w:val="center"/>
          </w:tcPr>
          <w:p w14:paraId="66F8A56D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21 / 78</w:t>
            </w:r>
          </w:p>
        </w:tc>
        <w:tc>
          <w:tcPr>
            <w:tcW w:w="750" w:type="dxa"/>
            <w:vAlign w:val="center"/>
          </w:tcPr>
          <w:p w14:paraId="6BEF466C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26.9</w:t>
            </w:r>
          </w:p>
        </w:tc>
        <w:tc>
          <w:tcPr>
            <w:tcW w:w="660" w:type="dxa"/>
            <w:vAlign w:val="center"/>
          </w:tcPr>
          <w:p w14:paraId="556D98CA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1.4</w:t>
            </w:r>
          </w:p>
        </w:tc>
        <w:tc>
          <w:tcPr>
            <w:tcW w:w="1155" w:type="dxa"/>
            <w:vAlign w:val="center"/>
          </w:tcPr>
          <w:p w14:paraId="688B6B73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0.8 - 2.4</w:t>
            </w:r>
          </w:p>
        </w:tc>
        <w:tc>
          <w:tcPr>
            <w:tcW w:w="660" w:type="dxa"/>
            <w:vAlign w:val="center"/>
          </w:tcPr>
          <w:p w14:paraId="47A61476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1.4</w:t>
            </w:r>
          </w:p>
        </w:tc>
        <w:tc>
          <w:tcPr>
            <w:tcW w:w="1185" w:type="dxa"/>
            <w:vAlign w:val="center"/>
          </w:tcPr>
          <w:p w14:paraId="496BCC1B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0.8 - 2.5</w:t>
            </w:r>
          </w:p>
        </w:tc>
      </w:tr>
      <w:tr w:rsidR="00A57B45" w:rsidRPr="005F6D49" w14:paraId="18022184" w14:textId="77777777" w:rsidTr="005F6D49">
        <w:trPr>
          <w:trHeight w:val="20"/>
        </w:trPr>
        <w:tc>
          <w:tcPr>
            <w:tcW w:w="9360" w:type="dxa"/>
            <w:gridSpan w:val="7"/>
            <w:shd w:val="clear" w:color="auto" w:fill="D9D9D9" w:themeFill="background1" w:themeFillShade="D9"/>
            <w:vAlign w:val="center"/>
          </w:tcPr>
          <w:p w14:paraId="637198DC" w14:textId="77777777" w:rsidR="00A57B45" w:rsidRPr="00A57B45" w:rsidRDefault="00A57B45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Among participants who did not self-report diagnosis of STI (lifetime)</w:t>
            </w:r>
          </w:p>
        </w:tc>
      </w:tr>
      <w:tr w:rsidR="00A57B45" w:rsidRPr="00A57B45" w14:paraId="6C62FDF8" w14:textId="77777777" w:rsidTr="00211668">
        <w:trPr>
          <w:trHeight w:val="180"/>
        </w:trPr>
        <w:tc>
          <w:tcPr>
            <w:tcW w:w="3645" w:type="dxa"/>
            <w:vAlign w:val="center"/>
          </w:tcPr>
          <w:p w14:paraId="24CC8684" w14:textId="77777777" w:rsidR="00A57B45" w:rsidRPr="00A57B45" w:rsidRDefault="00A57B45" w:rsidP="00211668">
            <w:pPr>
              <w:ind w:left="227" w:right="57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Unvaccinated</w:t>
            </w:r>
          </w:p>
        </w:tc>
        <w:tc>
          <w:tcPr>
            <w:tcW w:w="1305" w:type="dxa"/>
            <w:vAlign w:val="center"/>
          </w:tcPr>
          <w:p w14:paraId="55514D52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22 / 81</w:t>
            </w:r>
          </w:p>
        </w:tc>
        <w:tc>
          <w:tcPr>
            <w:tcW w:w="750" w:type="dxa"/>
            <w:vAlign w:val="center"/>
          </w:tcPr>
          <w:p w14:paraId="2B1014B0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27.2</w:t>
            </w:r>
          </w:p>
        </w:tc>
        <w:tc>
          <w:tcPr>
            <w:tcW w:w="660" w:type="dxa"/>
            <w:vAlign w:val="center"/>
          </w:tcPr>
          <w:p w14:paraId="22F66BDF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Ref</w:t>
            </w:r>
          </w:p>
        </w:tc>
        <w:tc>
          <w:tcPr>
            <w:tcW w:w="1155" w:type="dxa"/>
            <w:vAlign w:val="center"/>
          </w:tcPr>
          <w:p w14:paraId="62950BDF" w14:textId="77777777" w:rsidR="00A57B45" w:rsidRPr="00A57B45" w:rsidRDefault="00A57B45" w:rsidP="00211668">
            <w:pPr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</w:p>
        </w:tc>
        <w:tc>
          <w:tcPr>
            <w:tcW w:w="660" w:type="dxa"/>
            <w:vAlign w:val="center"/>
          </w:tcPr>
          <w:p w14:paraId="0AF55D41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Ref</w:t>
            </w:r>
          </w:p>
        </w:tc>
        <w:tc>
          <w:tcPr>
            <w:tcW w:w="1185" w:type="dxa"/>
            <w:vAlign w:val="center"/>
          </w:tcPr>
          <w:p w14:paraId="02074808" w14:textId="77777777" w:rsidR="00A57B45" w:rsidRPr="00A57B45" w:rsidRDefault="00A57B45" w:rsidP="00211668">
            <w:pPr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</w:p>
        </w:tc>
      </w:tr>
      <w:tr w:rsidR="00A57B45" w:rsidRPr="00A57B45" w14:paraId="5041AA07" w14:textId="77777777" w:rsidTr="00211668">
        <w:trPr>
          <w:trHeight w:val="180"/>
        </w:trPr>
        <w:tc>
          <w:tcPr>
            <w:tcW w:w="3645" w:type="dxa"/>
            <w:vAlign w:val="center"/>
          </w:tcPr>
          <w:p w14:paraId="2CB6139A" w14:textId="77777777" w:rsidR="00A57B45" w:rsidRPr="00A57B45" w:rsidRDefault="00000000" w:rsidP="00211668">
            <w:pPr>
              <w:ind w:left="227" w:right="57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sdt>
              <w:sdtPr>
                <w:rPr>
                  <w:sz w:val="18"/>
                  <w:szCs w:val="18"/>
                  <w:lang w:val="en-CA"/>
                </w:rPr>
                <w:tag w:val="goog_rdk_69"/>
                <w:id w:val="-1848554352"/>
              </w:sdtPr>
              <w:sdtContent>
                <w:r w:rsidR="00A57B45" w:rsidRPr="00A57B45">
                  <w:rPr>
                    <w:rFonts w:asciiTheme="minorHAnsi" w:eastAsia="Arial Unicode MS" w:hAnsiTheme="minorHAnsi" w:cs="Arial Unicode MS"/>
                    <w:sz w:val="18"/>
                    <w:szCs w:val="18"/>
                    <w:lang w:val="en-CA"/>
                  </w:rPr>
                  <w:t>≥ 1 dose</w:t>
                </w:r>
              </w:sdtContent>
            </w:sdt>
          </w:p>
        </w:tc>
        <w:tc>
          <w:tcPr>
            <w:tcW w:w="1305" w:type="dxa"/>
            <w:vAlign w:val="center"/>
          </w:tcPr>
          <w:p w14:paraId="601AB2C4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5 / 25</w:t>
            </w:r>
          </w:p>
        </w:tc>
        <w:tc>
          <w:tcPr>
            <w:tcW w:w="750" w:type="dxa"/>
            <w:vAlign w:val="center"/>
          </w:tcPr>
          <w:p w14:paraId="7B48EF67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20.0</w:t>
            </w:r>
          </w:p>
        </w:tc>
        <w:tc>
          <w:tcPr>
            <w:tcW w:w="660" w:type="dxa"/>
            <w:vAlign w:val="center"/>
          </w:tcPr>
          <w:p w14:paraId="38153954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0.6</w:t>
            </w:r>
          </w:p>
        </w:tc>
        <w:tc>
          <w:tcPr>
            <w:tcW w:w="1155" w:type="dxa"/>
            <w:vAlign w:val="center"/>
          </w:tcPr>
          <w:p w14:paraId="21452F8C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0.2 - 1.7</w:t>
            </w:r>
          </w:p>
        </w:tc>
        <w:tc>
          <w:tcPr>
            <w:tcW w:w="660" w:type="dxa"/>
            <w:vAlign w:val="center"/>
          </w:tcPr>
          <w:p w14:paraId="763DD424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0.6</w:t>
            </w:r>
          </w:p>
        </w:tc>
        <w:tc>
          <w:tcPr>
            <w:tcW w:w="1185" w:type="dxa"/>
            <w:vAlign w:val="center"/>
          </w:tcPr>
          <w:p w14:paraId="3D005174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0.2 - 1.4</w:t>
            </w:r>
          </w:p>
        </w:tc>
      </w:tr>
      <w:tr w:rsidR="00A57B45" w:rsidRPr="005F6D49" w14:paraId="5542536B" w14:textId="77777777" w:rsidTr="005F6D49">
        <w:trPr>
          <w:trHeight w:val="180"/>
        </w:trPr>
        <w:tc>
          <w:tcPr>
            <w:tcW w:w="9360" w:type="dxa"/>
            <w:gridSpan w:val="7"/>
            <w:shd w:val="clear" w:color="auto" w:fill="D9D9D9" w:themeFill="background1" w:themeFillShade="D9"/>
            <w:vAlign w:val="center"/>
          </w:tcPr>
          <w:p w14:paraId="0224B50D" w14:textId="77777777" w:rsidR="00A57B45" w:rsidRPr="00A57B45" w:rsidRDefault="00A57B45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Among participants who self-reported diagnosis of STI (lifetime)</w:t>
            </w:r>
          </w:p>
        </w:tc>
      </w:tr>
      <w:tr w:rsidR="00A57B45" w:rsidRPr="00A57B45" w14:paraId="224F8870" w14:textId="77777777" w:rsidTr="00211668">
        <w:trPr>
          <w:trHeight w:val="180"/>
        </w:trPr>
        <w:tc>
          <w:tcPr>
            <w:tcW w:w="3645" w:type="dxa"/>
            <w:vAlign w:val="center"/>
          </w:tcPr>
          <w:p w14:paraId="6C870357" w14:textId="77777777" w:rsidR="00A57B45" w:rsidRPr="00A57B45" w:rsidRDefault="00A57B45" w:rsidP="00211668">
            <w:pPr>
              <w:ind w:left="227" w:right="57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Unvaccinated</w:t>
            </w:r>
          </w:p>
        </w:tc>
        <w:tc>
          <w:tcPr>
            <w:tcW w:w="1305" w:type="dxa"/>
            <w:vAlign w:val="center"/>
          </w:tcPr>
          <w:p w14:paraId="12981ECA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3 / 32</w:t>
            </w:r>
          </w:p>
        </w:tc>
        <w:tc>
          <w:tcPr>
            <w:tcW w:w="750" w:type="dxa"/>
            <w:vAlign w:val="center"/>
          </w:tcPr>
          <w:p w14:paraId="70E1DA5C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9.4</w:t>
            </w:r>
          </w:p>
        </w:tc>
        <w:tc>
          <w:tcPr>
            <w:tcW w:w="660" w:type="dxa"/>
            <w:vAlign w:val="center"/>
          </w:tcPr>
          <w:p w14:paraId="2382F75B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Ref</w:t>
            </w:r>
          </w:p>
        </w:tc>
        <w:tc>
          <w:tcPr>
            <w:tcW w:w="1155" w:type="dxa"/>
            <w:vAlign w:val="center"/>
          </w:tcPr>
          <w:p w14:paraId="72582251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</w:p>
        </w:tc>
        <w:tc>
          <w:tcPr>
            <w:tcW w:w="660" w:type="dxa"/>
            <w:vAlign w:val="center"/>
          </w:tcPr>
          <w:p w14:paraId="3A296979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Ref</w:t>
            </w:r>
          </w:p>
        </w:tc>
        <w:tc>
          <w:tcPr>
            <w:tcW w:w="1185" w:type="dxa"/>
            <w:vAlign w:val="center"/>
          </w:tcPr>
          <w:p w14:paraId="61C01E19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</w:p>
        </w:tc>
      </w:tr>
      <w:tr w:rsidR="00A57B45" w:rsidRPr="00A57B45" w14:paraId="692FDEBD" w14:textId="77777777" w:rsidTr="00211668">
        <w:trPr>
          <w:trHeight w:val="180"/>
        </w:trPr>
        <w:tc>
          <w:tcPr>
            <w:tcW w:w="3645" w:type="dxa"/>
            <w:vAlign w:val="center"/>
          </w:tcPr>
          <w:p w14:paraId="603204FB" w14:textId="77777777" w:rsidR="00A57B45" w:rsidRPr="00A57B45" w:rsidRDefault="00000000" w:rsidP="00211668">
            <w:pPr>
              <w:ind w:left="227" w:right="57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sdt>
              <w:sdtPr>
                <w:rPr>
                  <w:sz w:val="18"/>
                  <w:szCs w:val="18"/>
                  <w:lang w:val="en-CA"/>
                </w:rPr>
                <w:tag w:val="goog_rdk_70"/>
                <w:id w:val="-248884609"/>
              </w:sdtPr>
              <w:sdtContent>
                <w:r w:rsidR="00A57B45" w:rsidRPr="00A57B45">
                  <w:rPr>
                    <w:rFonts w:asciiTheme="minorHAnsi" w:eastAsia="Arial Unicode MS" w:hAnsiTheme="minorHAnsi" w:cs="Arial Unicode MS"/>
                    <w:sz w:val="18"/>
                    <w:szCs w:val="18"/>
                    <w:lang w:val="en-CA"/>
                  </w:rPr>
                  <w:t>≥ 1 dose</w:t>
                </w:r>
              </w:sdtContent>
            </w:sdt>
          </w:p>
        </w:tc>
        <w:tc>
          <w:tcPr>
            <w:tcW w:w="1305" w:type="dxa"/>
            <w:vAlign w:val="center"/>
          </w:tcPr>
          <w:p w14:paraId="79F5F848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16 / 53</w:t>
            </w:r>
          </w:p>
        </w:tc>
        <w:tc>
          <w:tcPr>
            <w:tcW w:w="750" w:type="dxa"/>
            <w:vAlign w:val="center"/>
          </w:tcPr>
          <w:p w14:paraId="6C42DFF5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30.2</w:t>
            </w:r>
          </w:p>
        </w:tc>
        <w:tc>
          <w:tcPr>
            <w:tcW w:w="660" w:type="dxa"/>
            <w:vAlign w:val="center"/>
          </w:tcPr>
          <w:p w14:paraId="5C96B94E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4.7</w:t>
            </w:r>
          </w:p>
        </w:tc>
        <w:tc>
          <w:tcPr>
            <w:tcW w:w="1155" w:type="dxa"/>
            <w:vAlign w:val="center"/>
          </w:tcPr>
          <w:p w14:paraId="1D4FD68E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1.4 - 16.2</w:t>
            </w:r>
          </w:p>
        </w:tc>
        <w:tc>
          <w:tcPr>
            <w:tcW w:w="660" w:type="dxa"/>
            <w:vAlign w:val="center"/>
          </w:tcPr>
          <w:p w14:paraId="1AE6CAAC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4.3</w:t>
            </w:r>
          </w:p>
        </w:tc>
        <w:tc>
          <w:tcPr>
            <w:tcW w:w="1185" w:type="dxa"/>
            <w:vAlign w:val="center"/>
          </w:tcPr>
          <w:p w14:paraId="22F9EE18" w14:textId="77777777" w:rsidR="00A57B45" w:rsidRPr="00A57B45" w:rsidRDefault="00A57B45" w:rsidP="00211668">
            <w:pPr>
              <w:ind w:left="56" w:right="56"/>
              <w:jc w:val="center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A57B45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1.3 - 13.8</w:t>
            </w:r>
          </w:p>
        </w:tc>
      </w:tr>
    </w:tbl>
    <w:p w14:paraId="6C80F88F" w14:textId="77777777" w:rsidR="00A57B45" w:rsidRPr="00A57B45" w:rsidRDefault="00A57B45" w:rsidP="00A57B45">
      <w:pPr>
        <w:tabs>
          <w:tab w:val="left" w:pos="227"/>
        </w:tabs>
        <w:spacing w:before="40" w:after="240"/>
        <w:rPr>
          <w:rFonts w:eastAsia="Arial" w:cs="Arial"/>
          <w:sz w:val="18"/>
          <w:szCs w:val="18"/>
          <w:lang w:val="en-CA"/>
        </w:rPr>
      </w:pPr>
      <w:r w:rsidRPr="00A57B45">
        <w:rPr>
          <w:rFonts w:eastAsia="Arial Unicode MS" w:cs="Arial Unicode MS"/>
          <w:sz w:val="18"/>
          <w:szCs w:val="18"/>
          <w:lang w:val="en-CA"/>
        </w:rPr>
        <w:t>STI: Sexually transmitted infection (including chlamydia, gonorrhea, syphilis, hepatitis A, B and C).</w:t>
      </w:r>
      <w:r w:rsidRPr="00A57B45">
        <w:rPr>
          <w:rFonts w:eastAsia="Arial Unicode MS" w:cs="Arial Unicode MS"/>
          <w:sz w:val="18"/>
          <w:szCs w:val="18"/>
          <w:lang w:val="en-CA"/>
        </w:rPr>
        <w:br/>
        <w:t>Notes: The multivariable regression models included the following potential confounders as covariate: age at enrollment ≤ 22 years, born in Canada, most comfortable speaking in French, education level, HIV status and HIV-</w:t>
      </w:r>
      <w:proofErr w:type="spellStart"/>
      <w:r w:rsidRPr="00A57B45">
        <w:rPr>
          <w:rFonts w:eastAsia="Arial Unicode MS" w:cs="Arial Unicode MS"/>
          <w:sz w:val="18"/>
          <w:szCs w:val="18"/>
          <w:lang w:val="en-CA"/>
        </w:rPr>
        <w:t>PrEP</w:t>
      </w:r>
      <w:proofErr w:type="spellEnd"/>
      <w:r w:rsidRPr="00A57B45">
        <w:rPr>
          <w:rFonts w:eastAsia="Arial Unicode MS" w:cs="Arial Unicode MS"/>
          <w:sz w:val="18"/>
          <w:szCs w:val="18"/>
          <w:lang w:val="en-CA"/>
        </w:rPr>
        <w:t xml:space="preserve"> use, daily smoking (past 6 months), ≥ 2 anal sex partners (past 6 months), and self-reported diagnosis of STI in the lifetime (first model only).</w:t>
      </w:r>
    </w:p>
    <w:p w14:paraId="581A7612" w14:textId="77777777" w:rsidR="00A57B45" w:rsidRPr="00A57B45" w:rsidRDefault="00A57B45">
      <w:pPr>
        <w:rPr>
          <w:lang w:val="en-CA"/>
        </w:rPr>
      </w:pPr>
    </w:p>
    <w:sectPr w:rsidR="00A57B45" w:rsidRPr="00A57B4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B45"/>
    <w:rsid w:val="0051369E"/>
    <w:rsid w:val="005F6D49"/>
    <w:rsid w:val="006508D0"/>
    <w:rsid w:val="00752474"/>
    <w:rsid w:val="007747A2"/>
    <w:rsid w:val="0081199B"/>
    <w:rsid w:val="0099156E"/>
    <w:rsid w:val="00A57B45"/>
    <w:rsid w:val="00B52F4B"/>
    <w:rsid w:val="00BC1ED7"/>
    <w:rsid w:val="00CB0313"/>
    <w:rsid w:val="00E2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E2805"/>
  <w15:chartTrackingRefBased/>
  <w15:docId w15:val="{7629971F-7A23-4AD1-A1FF-1CC3D4AA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57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57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57B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57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57B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57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57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57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57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57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57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57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57B4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57B4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57B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57B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57B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57B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57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57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57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57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57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57B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57B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57B4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57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57B4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57B45"/>
    <w:rPr>
      <w:b/>
      <w:bCs/>
      <w:smallCaps/>
      <w:color w:val="0F4761" w:themeColor="accent1" w:themeShade="BF"/>
      <w:spacing w:val="5"/>
    </w:rPr>
  </w:style>
  <w:style w:type="table" w:customStyle="1" w:styleId="2">
    <w:name w:val="2"/>
    <w:basedOn w:val="TableauNormal"/>
    <w:rsid w:val="00A57B45"/>
    <w:pPr>
      <w:spacing w:after="0" w:line="240" w:lineRule="auto"/>
    </w:pPr>
    <w:rPr>
      <w:rFonts w:ascii="Quattrocento Sans" w:eastAsia="Quattrocento Sans" w:hAnsi="Quattrocento Sans" w:cs="Quattrocento Sans"/>
      <w:kern w:val="0"/>
      <w:sz w:val="20"/>
      <w:szCs w:val="20"/>
      <w:lang w:val="en" w:eastAsia="fr-CA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Gabriela Ionescu</dc:creator>
  <cp:keywords/>
  <dc:description/>
  <cp:lastModifiedBy>Iulia Gabriela Ionescu</cp:lastModifiedBy>
  <cp:revision>6</cp:revision>
  <dcterms:created xsi:type="dcterms:W3CDTF">2026-04-13T19:06:00Z</dcterms:created>
  <dcterms:modified xsi:type="dcterms:W3CDTF">2026-04-20T15:53:00Z</dcterms:modified>
</cp:coreProperties>
</file>