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E54AB" w14:textId="77777777" w:rsidR="00654E8F" w:rsidRPr="001549D3" w:rsidRDefault="00654E8F" w:rsidP="00046F1D">
      <w:pPr>
        <w:pStyle w:val="SupplementaryMaterial"/>
        <w:jc w:val="both"/>
        <w:rPr>
          <w:b w:val="0"/>
        </w:rPr>
      </w:pPr>
      <w:r w:rsidRPr="001549D3">
        <w:t>Supplementary Material</w:t>
      </w:r>
    </w:p>
    <w:p w14:paraId="5E584EE8" w14:textId="77777777" w:rsidR="00994A3D" w:rsidRPr="00994A3D" w:rsidRDefault="00654E8F" w:rsidP="00046F1D">
      <w:pPr>
        <w:pStyle w:val="Titolo1"/>
        <w:jc w:val="both"/>
      </w:pPr>
      <w:r w:rsidRPr="00994A3D">
        <w:t>Supplementary Figures and Tables</w:t>
      </w:r>
    </w:p>
    <w:p w14:paraId="07970E94" w14:textId="2373FEB5" w:rsidR="00994A3D" w:rsidRDefault="00994A3D" w:rsidP="00046F1D">
      <w:pPr>
        <w:pStyle w:val="Titolo2"/>
        <w:jc w:val="both"/>
      </w:pPr>
      <w:r w:rsidRPr="0001436A">
        <w:t>Supplementary</w:t>
      </w:r>
      <w:r w:rsidRPr="001549D3">
        <w:t xml:space="preserve"> Figures</w:t>
      </w:r>
    </w:p>
    <w:p w14:paraId="4916FCC9" w14:textId="14CE764F" w:rsidR="00994A3D" w:rsidRPr="00046F1D" w:rsidRDefault="00046F1D" w:rsidP="00046F1D">
      <w:pPr>
        <w:jc w:val="both"/>
        <w:rPr>
          <w:snapToGrid w:val="0"/>
          <w:lang w:eastAsia="de-DE" w:bidi="en-US"/>
        </w:rPr>
      </w:pPr>
      <w:r w:rsidRPr="0001436A">
        <w:rPr>
          <w:b/>
          <w:szCs w:val="24"/>
        </w:rPr>
        <w:t xml:space="preserve">Supplementary Figure </w:t>
      </w:r>
      <w:r w:rsidRPr="0001436A">
        <w:rPr>
          <w:b/>
          <w:szCs w:val="24"/>
        </w:rPr>
        <w:fldChar w:fldCharType="begin"/>
      </w:r>
      <w:r w:rsidRPr="0001436A">
        <w:rPr>
          <w:b/>
          <w:szCs w:val="24"/>
        </w:rPr>
        <w:instrText xml:space="preserve"> SEQ Figure \* ARABIC </w:instrText>
      </w:r>
      <w:r w:rsidRPr="0001436A">
        <w:rPr>
          <w:b/>
          <w:szCs w:val="24"/>
        </w:rPr>
        <w:fldChar w:fldCharType="separate"/>
      </w:r>
      <w:r>
        <w:rPr>
          <w:b/>
          <w:noProof/>
          <w:szCs w:val="24"/>
        </w:rPr>
        <w:t>1</w:t>
      </w:r>
      <w:r w:rsidRPr="0001436A">
        <w:rPr>
          <w:b/>
          <w:szCs w:val="24"/>
        </w:rPr>
        <w:fldChar w:fldCharType="end"/>
      </w:r>
      <w:r w:rsidRPr="0001436A">
        <w:rPr>
          <w:b/>
          <w:szCs w:val="24"/>
        </w:rPr>
        <w:t>.</w:t>
      </w:r>
      <w:r>
        <w:rPr>
          <w:b/>
          <w:szCs w:val="24"/>
        </w:rPr>
        <w:t xml:space="preserve"> Oxidative stress challenge optimization.</w:t>
      </w:r>
      <w:r w:rsidRPr="001549D3">
        <w:rPr>
          <w:szCs w:val="24"/>
        </w:rPr>
        <w:t xml:space="preserve"> </w:t>
      </w:r>
      <w:bookmarkStart w:id="0" w:name="_Hlk173423928"/>
      <w:r w:rsidRPr="0093449C">
        <w:rPr>
          <w:snapToGrid w:val="0"/>
          <w:lang w:eastAsia="de-DE" w:bidi="en-US"/>
        </w:rPr>
        <w:t>Menadione 100 μM was chosen as the oxidative stress induction treatment due to its ability to induce the highest significant oxidative stress response</w:t>
      </w:r>
      <w:bookmarkEnd w:id="0"/>
      <w:r>
        <w:rPr>
          <w:snapToGrid w:val="0"/>
          <w:lang w:eastAsia="de-DE" w:bidi="en-US"/>
        </w:rPr>
        <w:t>.</w:t>
      </w:r>
    </w:p>
    <w:p w14:paraId="11EC8DA1" w14:textId="07B82FB6" w:rsidR="00994A3D" w:rsidRPr="001549D3" w:rsidRDefault="009E0FF6" w:rsidP="00046F1D">
      <w:pPr>
        <w:keepNext/>
        <w:jc w:val="center"/>
        <w:rPr>
          <w:rFonts w:cs="Times New Roman"/>
          <w:szCs w:val="24"/>
        </w:rPr>
      </w:pPr>
      <w:r>
        <w:rPr>
          <w:noProof/>
        </w:rPr>
        <w:drawing>
          <wp:inline distT="0" distB="0" distL="0" distR="0" wp14:anchorId="400B124A" wp14:editId="03C96B11">
            <wp:extent cx="5368237" cy="3451172"/>
            <wp:effectExtent l="0" t="0" r="444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368237" cy="3451172"/>
                    </a:xfrm>
                    <a:prstGeom prst="rect">
                      <a:avLst/>
                    </a:prstGeom>
                    <a:noFill/>
                    <a:ln>
                      <a:noFill/>
                    </a:ln>
                  </pic:spPr>
                </pic:pic>
              </a:graphicData>
            </a:graphic>
          </wp:inline>
        </w:drawing>
      </w:r>
    </w:p>
    <w:p w14:paraId="035F0F83" w14:textId="77777777" w:rsidR="009E0FF6" w:rsidRPr="0093449C" w:rsidRDefault="009E0FF6" w:rsidP="00046F1D">
      <w:pPr>
        <w:jc w:val="both"/>
        <w:rPr>
          <w:snapToGrid w:val="0"/>
          <w:lang w:eastAsia="de-DE" w:bidi="en-US"/>
        </w:rPr>
      </w:pPr>
      <w:r w:rsidRPr="0093449C">
        <w:rPr>
          <w:snapToGrid w:val="0"/>
          <w:lang w:eastAsia="de-DE" w:bidi="en-US"/>
        </w:rPr>
        <w:t>ROS levels were assessed using CellROX</w:t>
      </w:r>
      <w:r w:rsidRPr="0093449C">
        <w:rPr>
          <w:snapToGrid w:val="0"/>
          <w:vertAlign w:val="superscript"/>
          <w:lang w:eastAsia="de-DE" w:bidi="en-US"/>
        </w:rPr>
        <w:t>®</w:t>
      </w:r>
      <w:r w:rsidRPr="0093449C">
        <w:rPr>
          <w:snapToGrid w:val="0"/>
          <w:lang w:eastAsia="de-DE" w:bidi="en-US"/>
        </w:rPr>
        <w:t xml:space="preserve"> Deep Red Reagent (Thermo Fisher Scientific, Milan, Italy) according to the manufacturer's guidelines. Briefly, CellROX</w:t>
      </w:r>
      <w:r w:rsidRPr="0093449C">
        <w:rPr>
          <w:snapToGrid w:val="0"/>
          <w:vertAlign w:val="superscript"/>
          <w:lang w:eastAsia="de-DE" w:bidi="en-US"/>
        </w:rPr>
        <w:t>®</w:t>
      </w:r>
      <w:r w:rsidRPr="0093449C">
        <w:rPr>
          <w:snapToGrid w:val="0"/>
          <w:lang w:eastAsia="de-DE" w:bidi="en-US"/>
        </w:rPr>
        <w:t xml:space="preserve"> Deep Red Reagent is a cell-permeable, non-fluorescent reagent that becomes fluorescent upon oxidation by ROS, with an emission maximum </w:t>
      </w:r>
      <w:r>
        <w:rPr>
          <w:snapToGrid w:val="0"/>
          <w:lang w:eastAsia="de-DE" w:bidi="en-US"/>
        </w:rPr>
        <w:t xml:space="preserve">of </w:t>
      </w:r>
      <w:r w:rsidRPr="0093449C">
        <w:rPr>
          <w:snapToGrid w:val="0"/>
          <w:lang w:eastAsia="de-DE" w:bidi="en-US"/>
        </w:rPr>
        <w:t>around 665 nm. SW-1353 cells were seeded in 96-well plates at a density of 1 × 10</w:t>
      </w:r>
      <w:r w:rsidRPr="0093449C">
        <w:rPr>
          <w:snapToGrid w:val="0"/>
          <w:vertAlign w:val="superscript"/>
          <w:lang w:eastAsia="de-DE" w:bidi="en-US"/>
        </w:rPr>
        <w:t>4</w:t>
      </w:r>
      <w:r w:rsidRPr="0093449C">
        <w:rPr>
          <w:snapToGrid w:val="0"/>
          <w:lang w:eastAsia="de-DE" w:bidi="en-US"/>
        </w:rPr>
        <w:t xml:space="preserve"> cells/well and subjected to a challenge 48 hours post-seeding. Then, menadione at increasing concentrations was introduced as a ROS-inducing agent for 1 hour. Subsequently, the medium containing menadione was replaced with fresh media containing 5 μM CellROX</w:t>
      </w:r>
      <w:r w:rsidRPr="0093449C">
        <w:rPr>
          <w:snapToGrid w:val="0"/>
          <w:vertAlign w:val="superscript"/>
          <w:lang w:eastAsia="de-DE" w:bidi="en-US"/>
        </w:rPr>
        <w:t>®</w:t>
      </w:r>
      <w:r w:rsidRPr="0093449C">
        <w:rPr>
          <w:snapToGrid w:val="0"/>
          <w:lang w:eastAsia="de-DE" w:bidi="en-US"/>
        </w:rPr>
        <w:t xml:space="preserve"> Deep Red Reagent, and the cells were incubated for 30 minutes at 37 °C. The medium was then removed, and the cells were washed three times with Dulbecco’s phosphate-buffered saline (DPBS). Fluorescence values were recorded using a Varioskan LUX (Thermo Fisher Scientific, Milan, Italy). </w:t>
      </w:r>
    </w:p>
    <w:p w14:paraId="0F26396A" w14:textId="71EEB792" w:rsidR="00046F1D" w:rsidRDefault="009E0FF6" w:rsidP="00046F1D">
      <w:pPr>
        <w:jc w:val="both"/>
        <w:rPr>
          <w:snapToGrid w:val="0"/>
          <w:lang w:eastAsia="de-DE" w:bidi="en-US"/>
        </w:rPr>
      </w:pPr>
      <w:r w:rsidRPr="0093449C">
        <w:rPr>
          <w:snapToGrid w:val="0"/>
          <w:lang w:eastAsia="de-DE" w:bidi="en-US"/>
        </w:rPr>
        <w:t>Data exhibited a normal distribution</w:t>
      </w:r>
      <w:r>
        <w:rPr>
          <w:snapToGrid w:val="0"/>
          <w:lang w:eastAsia="de-DE" w:bidi="en-US"/>
        </w:rPr>
        <w:t>. They</w:t>
      </w:r>
      <w:r w:rsidRPr="00EA7323">
        <w:rPr>
          <w:snapToGrid w:val="0"/>
          <w:lang w:eastAsia="de-DE" w:bidi="en-US"/>
        </w:rPr>
        <w:t xml:space="preserve"> are presented as mean ± SEM (n=8) and represent the ROS level</w:t>
      </w:r>
      <w:r>
        <w:rPr>
          <w:snapToGrid w:val="0"/>
          <w:lang w:eastAsia="de-DE" w:bidi="en-US"/>
        </w:rPr>
        <w:t xml:space="preserve"> relative</w:t>
      </w:r>
      <w:r w:rsidRPr="00EA7323">
        <w:rPr>
          <w:snapToGrid w:val="0"/>
          <w:lang w:eastAsia="de-DE" w:bidi="en-US"/>
        </w:rPr>
        <w:t xml:space="preserve"> to the Neg</w:t>
      </w:r>
      <w:r>
        <w:rPr>
          <w:snapToGrid w:val="0"/>
          <w:lang w:eastAsia="de-DE" w:bidi="en-US"/>
        </w:rPr>
        <w:t>a</w:t>
      </w:r>
      <w:r w:rsidRPr="00EA7323">
        <w:rPr>
          <w:snapToGrid w:val="0"/>
          <w:lang w:eastAsia="de-DE" w:bidi="en-US"/>
        </w:rPr>
        <w:t xml:space="preserve">tive Control. Statistical analysis was performed using one-way ANOVA followed by Tukey’s multiple comparisons test (p&lt;0.05). </w:t>
      </w:r>
      <w:r w:rsidRPr="00442742">
        <w:rPr>
          <w:snapToGrid w:val="0"/>
          <w:lang w:eastAsia="de-DE" w:bidi="en-US"/>
        </w:rPr>
        <w:t>Different letters indicate significant differences.</w:t>
      </w:r>
    </w:p>
    <w:p w14:paraId="56F4E7A7" w14:textId="11416288" w:rsidR="00046F1D" w:rsidRPr="00046F1D" w:rsidRDefault="00046F1D" w:rsidP="00046F1D">
      <w:pPr>
        <w:jc w:val="both"/>
        <w:rPr>
          <w:snapToGrid w:val="0"/>
          <w:lang w:eastAsia="de-DE" w:bidi="en-US"/>
        </w:rPr>
      </w:pPr>
      <w:r w:rsidRPr="0001436A">
        <w:rPr>
          <w:b/>
          <w:szCs w:val="24"/>
        </w:rPr>
        <w:lastRenderedPageBreak/>
        <w:t xml:space="preserve">Supplementary Figure </w:t>
      </w:r>
      <w:r w:rsidRPr="0086594F">
        <w:rPr>
          <w:b/>
          <w:snapToGrid w:val="0"/>
          <w:lang w:eastAsia="de-DE" w:bidi="en-US"/>
        </w:rPr>
        <w:t>2</w:t>
      </w:r>
      <w:r w:rsidR="004F0A9F">
        <w:rPr>
          <w:b/>
          <w:snapToGrid w:val="0"/>
          <w:lang w:eastAsia="de-DE" w:bidi="en-US"/>
        </w:rPr>
        <w:t>.</w:t>
      </w:r>
      <w:r w:rsidRPr="0086594F">
        <w:rPr>
          <w:b/>
          <w:snapToGrid w:val="0"/>
          <w:lang w:eastAsia="de-DE" w:bidi="en-US"/>
        </w:rPr>
        <w:t xml:space="preserve"> Inflammatory Challenge optimization</w:t>
      </w:r>
      <w:r w:rsidR="004F0A9F">
        <w:rPr>
          <w:b/>
          <w:snapToGrid w:val="0"/>
          <w:lang w:eastAsia="de-DE" w:bidi="en-US"/>
        </w:rPr>
        <w:t>.</w:t>
      </w:r>
      <w:r>
        <w:rPr>
          <w:b/>
          <w:snapToGrid w:val="0"/>
          <w:lang w:eastAsia="de-DE" w:bidi="en-US"/>
        </w:rPr>
        <w:t xml:space="preserve"> </w:t>
      </w:r>
      <w:r w:rsidRPr="0086594F">
        <w:rPr>
          <w:snapToGrid w:val="0"/>
          <w:lang w:eastAsia="de-DE" w:bidi="en-US"/>
        </w:rPr>
        <w:t>A combination of IL-1β and TNF-α, both at 10 ng/mL, was chosen as the pro-inflammatory treatment due to its ability to induce a potent inflammatory response. Moreover, these cytokines are considered primary mediators of inflammation in OA.</w:t>
      </w:r>
    </w:p>
    <w:p w14:paraId="58F1AED1" w14:textId="3B6879A3" w:rsidR="00DE23E8" w:rsidRDefault="00C62F5C" w:rsidP="00046F1D">
      <w:pPr>
        <w:jc w:val="center"/>
      </w:pPr>
      <w:r>
        <w:rPr>
          <w:noProof/>
        </w:rPr>
        <w:drawing>
          <wp:inline distT="0" distB="0" distL="0" distR="0" wp14:anchorId="059A7C6A" wp14:editId="12A399BF">
            <wp:extent cx="5940358" cy="4299045"/>
            <wp:effectExtent l="0" t="0" r="381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0682" cy="4320990"/>
                    </a:xfrm>
                    <a:prstGeom prst="rect">
                      <a:avLst/>
                    </a:prstGeom>
                    <a:noFill/>
                    <a:ln>
                      <a:noFill/>
                    </a:ln>
                  </pic:spPr>
                </pic:pic>
              </a:graphicData>
            </a:graphic>
          </wp:inline>
        </w:drawing>
      </w:r>
    </w:p>
    <w:p w14:paraId="2DE421A7" w14:textId="369CF58D" w:rsidR="00046F1D" w:rsidRDefault="00046F1D" w:rsidP="00046F1D">
      <w:pPr>
        <w:jc w:val="both"/>
        <w:rPr>
          <w:snapToGrid w:val="0"/>
          <w:lang w:eastAsia="de-DE" w:bidi="en-US"/>
        </w:rPr>
      </w:pPr>
      <w:r w:rsidRPr="0086594F">
        <w:rPr>
          <w:snapToGrid w:val="0"/>
          <w:lang w:eastAsia="de-DE" w:bidi="en-US"/>
        </w:rPr>
        <w:t>Cells were seeded into 24-well plates</w:t>
      </w:r>
      <w:r w:rsidRPr="0086594F">
        <w:rPr>
          <w:rFonts w:hint="eastAsia"/>
          <w:snapToGrid w:val="0"/>
          <w:lang w:eastAsia="de-DE" w:bidi="en-US"/>
        </w:rPr>
        <w:t xml:space="preserve"> at a density of 5 </w:t>
      </w:r>
      <w:r w:rsidRPr="0086594F">
        <w:rPr>
          <w:snapToGrid w:val="0"/>
          <w:lang w:eastAsia="de-DE" w:bidi="en-US"/>
        </w:rPr>
        <w:t>×</w:t>
      </w:r>
      <w:r w:rsidRPr="0086594F">
        <w:rPr>
          <w:rFonts w:hint="eastAsia"/>
          <w:snapToGrid w:val="0"/>
          <w:lang w:eastAsia="de-DE" w:bidi="en-US"/>
        </w:rPr>
        <w:t xml:space="preserve"> 10</w:t>
      </w:r>
      <w:r w:rsidRPr="007C2F9F">
        <w:rPr>
          <w:rFonts w:hint="eastAsia"/>
          <w:snapToGrid w:val="0"/>
          <w:vertAlign w:val="superscript"/>
          <w:lang w:eastAsia="de-DE" w:bidi="en-US"/>
        </w:rPr>
        <w:t>4</w:t>
      </w:r>
      <w:r w:rsidRPr="0086594F">
        <w:rPr>
          <w:rFonts w:hint="eastAsia"/>
          <w:snapToGrid w:val="0"/>
          <w:lang w:eastAsia="de-DE" w:bidi="en-US"/>
        </w:rPr>
        <w:t xml:space="preserve"> cells/</w:t>
      </w:r>
      <w:r w:rsidRPr="0086594F">
        <w:rPr>
          <w:snapToGrid w:val="0"/>
          <w:lang w:eastAsia="de-DE" w:bidi="en-US"/>
        </w:rPr>
        <w:t>well and subjected to a challenge 48 hours post-seeding. The cells were categorized into four distinct groups: (1) Negative Control, (2) IL-1β 10 ng/mL, (3) TNF-α 10 ng/mL, and (4) IL-1β+TNF-α both at 10 ng/</w:t>
      </w:r>
      <w:proofErr w:type="spellStart"/>
      <w:r w:rsidRPr="0086594F">
        <w:rPr>
          <w:snapToGrid w:val="0"/>
          <w:lang w:eastAsia="de-DE" w:bidi="en-US"/>
        </w:rPr>
        <w:t>mL.</w:t>
      </w:r>
      <w:proofErr w:type="spellEnd"/>
      <w:r w:rsidRPr="0086594F">
        <w:rPr>
          <w:snapToGrid w:val="0"/>
          <w:lang w:eastAsia="de-DE" w:bidi="en-US"/>
        </w:rPr>
        <w:t xml:space="preserve"> After 24 hours, cells were rinsed with DPBS, harvested for RNA extraction, and subjected to qPCR analysis. </w:t>
      </w:r>
      <w:r w:rsidRPr="007C2F9F">
        <w:rPr>
          <w:snapToGrid w:val="0"/>
          <w:lang w:eastAsia="de-DE" w:bidi="en-US"/>
        </w:rPr>
        <w:t xml:space="preserve">Data are presented as mean ± SEM (n=4) and represent the fold change relative to the Negative Control. Statistical analysis was performed using one-way ANOVA followed by Tukey’s multiple comparisons test (p&lt;0.05). </w:t>
      </w:r>
      <w:r w:rsidRPr="00442742">
        <w:rPr>
          <w:snapToGrid w:val="0"/>
          <w:lang w:eastAsia="de-DE" w:bidi="en-US"/>
        </w:rPr>
        <w:t>Different letters indicate significant differences.</w:t>
      </w:r>
      <w:r>
        <w:rPr>
          <w:snapToGrid w:val="0"/>
          <w:lang w:eastAsia="de-DE" w:bidi="en-US"/>
        </w:rPr>
        <w:t xml:space="preserve"> </w:t>
      </w:r>
      <w:r w:rsidRPr="007C2F9F">
        <w:rPr>
          <w:snapToGrid w:val="0"/>
          <w:lang w:eastAsia="de-DE" w:bidi="en-US"/>
        </w:rPr>
        <w:t>IL = Interleukin; COX-2 = Cyclooxygenase-2;</w:t>
      </w:r>
      <w:r>
        <w:rPr>
          <w:snapToGrid w:val="0"/>
          <w:lang w:eastAsia="de-DE" w:bidi="en-US"/>
        </w:rPr>
        <w:t xml:space="preserve"> </w:t>
      </w:r>
      <w:r w:rsidRPr="007C2F9F">
        <w:rPr>
          <w:snapToGrid w:val="0"/>
          <w:lang w:eastAsia="de-DE" w:bidi="en-US"/>
        </w:rPr>
        <w:t>MMP = Matrix metalloproteinase.</w:t>
      </w:r>
    </w:p>
    <w:p w14:paraId="3E84EF19" w14:textId="3E577834" w:rsidR="007C64CA" w:rsidRPr="007C64CA" w:rsidRDefault="007C64CA" w:rsidP="00046F1D">
      <w:pPr>
        <w:pStyle w:val="Titolo2"/>
        <w:jc w:val="both"/>
      </w:pPr>
      <w:r w:rsidRPr="0001436A">
        <w:t>Supplementary</w:t>
      </w:r>
      <w:r w:rsidRPr="001549D3">
        <w:t xml:space="preserve"> </w:t>
      </w:r>
      <w:r>
        <w:t>Tables</w:t>
      </w:r>
    </w:p>
    <w:p w14:paraId="70BDE562" w14:textId="040C5F66" w:rsidR="004F0A9F" w:rsidRPr="004F0A9F" w:rsidRDefault="004F0A9F" w:rsidP="004F0A9F">
      <w:pPr>
        <w:jc w:val="both"/>
        <w:rPr>
          <w:rFonts w:cs="Times New Roman"/>
          <w:b/>
          <w:snapToGrid w:val="0"/>
          <w:lang w:eastAsia="de-DE" w:bidi="en-US"/>
        </w:rPr>
      </w:pPr>
      <w:r w:rsidRPr="004F0A9F">
        <w:rPr>
          <w:rFonts w:cs="Times New Roman"/>
          <w:b/>
          <w:snapToGrid w:val="0"/>
          <w:lang w:eastAsia="de-DE" w:bidi="en-US"/>
        </w:rPr>
        <w:t>Supplementary Table 1</w:t>
      </w:r>
      <w:r w:rsidRPr="004F0A9F">
        <w:rPr>
          <w:rFonts w:cs="Times New Roman"/>
          <w:b/>
          <w:snapToGrid w:val="0"/>
          <w:lang w:eastAsia="de-DE" w:bidi="en-US"/>
        </w:rPr>
        <w:t>.</w:t>
      </w:r>
      <w:r w:rsidRPr="004F0A9F">
        <w:rPr>
          <w:rFonts w:cs="Times New Roman"/>
          <w:b/>
          <w:snapToGrid w:val="0"/>
          <w:lang w:eastAsia="de-DE" w:bidi="en-US"/>
        </w:rPr>
        <w:t xml:space="preserve"> Docking analysis on CBR1</w:t>
      </w:r>
      <w:r>
        <w:rPr>
          <w:rFonts w:cs="Times New Roman"/>
          <w:b/>
          <w:snapToGrid w:val="0"/>
          <w:lang w:eastAsia="de-DE" w:bidi="en-US"/>
        </w:rPr>
        <w:t xml:space="preserve">. </w:t>
      </w:r>
      <w:r w:rsidRPr="004F0A9F">
        <w:rPr>
          <w:rFonts w:cs="Times New Roman"/>
          <w:snapToGrid w:val="0"/>
          <w:lang w:eastAsia="de-DE" w:bidi="en-US"/>
        </w:rPr>
        <w:t xml:space="preserve">The docking analysis of bisdemethoxycurcumin (BDMC), demethoxycurcumin (DMC), and curcumin (CUR) against the Cannabinoid Receptor 1 (CBR1), in comparison with rimonabant, provides valuable insights into their observed failure to activate CBR1 in cAMP assays. These compounds exhibit slightly less favorable binding energies than rimonabant, ranging from -9.2 to -9.5 kcal/mol compared to rimonabant's -11.6 kcal/mol, yet they interact with several key residues critical for maintaining the receptor in its inactive </w:t>
      </w:r>
      <w:r w:rsidRPr="004F0A9F">
        <w:rPr>
          <w:rFonts w:cs="Times New Roman"/>
          <w:snapToGrid w:val="0"/>
          <w:lang w:eastAsia="de-DE" w:bidi="en-US"/>
        </w:rPr>
        <w:lastRenderedPageBreak/>
        <w:t>state. Notably, all four compounds engage with residues such as PHE102, MET103, PHE268, and TRP356, which are part of the structural network that stabilizes the inactive conformation of CBR1.</w:t>
      </w:r>
    </w:p>
    <w:p w14:paraId="4015DD22" w14:textId="3AD7CE26" w:rsidR="004F0A9F" w:rsidRPr="004F0A9F" w:rsidRDefault="004F0A9F" w:rsidP="004F0A9F">
      <w:pPr>
        <w:jc w:val="both"/>
        <w:rPr>
          <w:rFonts w:cs="Times New Roman"/>
          <w:snapToGrid w:val="0"/>
          <w:lang w:eastAsia="de-DE" w:bidi="en-US"/>
        </w:rPr>
      </w:pPr>
      <w:r w:rsidRPr="004F0A9F">
        <w:rPr>
          <w:rFonts w:cs="Times New Roman"/>
          <w:snapToGrid w:val="0"/>
          <w:lang w:eastAsia="de-DE" w:bidi="en-US"/>
        </w:rPr>
        <w:t>BDMC, DMC, and CUR, like rimonabant, also interact with residues SER383, CYS386, and LEU387, which contribute to locking the receptor in an inactive state. While rimonabant shows additional interactions with residues like SER123 and THR197, which may enhance its binding affinity and inhibitory effect, BDMC, DMC, and CUR's interactions with the aforementioned critical residues are still sufficient to prevent the receptor from transitioning to an active state.</w:t>
      </w:r>
    </w:p>
    <w:p w14:paraId="72379FB6" w14:textId="124C5425" w:rsidR="004F0A9F" w:rsidRPr="004F0A9F" w:rsidRDefault="004F0A9F" w:rsidP="004F0A9F">
      <w:pPr>
        <w:jc w:val="both"/>
        <w:rPr>
          <w:rFonts w:cs="Times New Roman"/>
          <w:snapToGrid w:val="0"/>
          <w:lang w:eastAsia="de-DE" w:bidi="en-US"/>
        </w:rPr>
      </w:pPr>
      <w:r w:rsidRPr="004F0A9F">
        <w:rPr>
          <w:rFonts w:cs="Times New Roman"/>
          <w:snapToGrid w:val="0"/>
          <w:lang w:eastAsia="de-DE" w:bidi="en-US"/>
        </w:rPr>
        <w:t>In contrast, β-caryophyllene, which is known as a CBR2-selective agonist, exhibits a lower binding energy of -8.0 kcal/mol when docked to CBR1. BCP interacts with several of the same residues, such as PHE102, PHE268, and TRP356, but these interactions appear insufficient to stabilize CBR1 in either an active or inactive conformation, possibly due to the lack of engagement with other key residues like SER123 or THR197.</w:t>
      </w:r>
    </w:p>
    <w:tbl>
      <w:tblPr>
        <w:tblW w:w="9377" w:type="dxa"/>
        <w:tblInd w:w="142"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126"/>
        <w:gridCol w:w="2636"/>
        <w:gridCol w:w="4615"/>
      </w:tblGrid>
      <w:tr w:rsidR="004F0A9F" w:rsidRPr="004F0A9F" w14:paraId="17BD8480" w14:textId="77777777" w:rsidTr="004F0A9F">
        <w:trPr>
          <w:trHeight w:val="369"/>
        </w:trPr>
        <w:tc>
          <w:tcPr>
            <w:tcW w:w="2126" w:type="dxa"/>
            <w:tcBorders>
              <w:bottom w:val="single" w:sz="4" w:space="0" w:color="auto"/>
            </w:tcBorders>
            <w:shd w:val="clear" w:color="auto" w:fill="auto"/>
            <w:vAlign w:val="center"/>
          </w:tcPr>
          <w:p w14:paraId="5AF70978"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Compound</w:t>
            </w:r>
          </w:p>
        </w:tc>
        <w:tc>
          <w:tcPr>
            <w:tcW w:w="2636" w:type="dxa"/>
            <w:tcBorders>
              <w:bottom w:val="single" w:sz="4" w:space="0" w:color="auto"/>
            </w:tcBorders>
            <w:shd w:val="clear" w:color="auto" w:fill="auto"/>
            <w:vAlign w:val="center"/>
          </w:tcPr>
          <w:p w14:paraId="52332047"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Binding Energy (kcal/mol)</w:t>
            </w:r>
          </w:p>
        </w:tc>
        <w:tc>
          <w:tcPr>
            <w:tcW w:w="4615" w:type="dxa"/>
            <w:tcBorders>
              <w:bottom w:val="single" w:sz="4" w:space="0" w:color="auto"/>
            </w:tcBorders>
            <w:shd w:val="clear" w:color="auto" w:fill="auto"/>
            <w:vAlign w:val="center"/>
          </w:tcPr>
          <w:p w14:paraId="0E6A1BE9"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Contact residues</w:t>
            </w:r>
          </w:p>
        </w:tc>
      </w:tr>
      <w:tr w:rsidR="004F0A9F" w:rsidRPr="004F0A9F" w14:paraId="68485922" w14:textId="77777777" w:rsidTr="004F0A9F">
        <w:trPr>
          <w:trHeight w:val="1273"/>
        </w:trPr>
        <w:tc>
          <w:tcPr>
            <w:tcW w:w="2126" w:type="dxa"/>
            <w:shd w:val="clear" w:color="auto" w:fill="auto"/>
            <w:vAlign w:val="center"/>
          </w:tcPr>
          <w:p w14:paraId="5C90E795"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Rimonabant</w:t>
            </w:r>
          </w:p>
        </w:tc>
        <w:tc>
          <w:tcPr>
            <w:tcW w:w="2636" w:type="dxa"/>
            <w:shd w:val="clear" w:color="auto" w:fill="auto"/>
            <w:vAlign w:val="center"/>
          </w:tcPr>
          <w:p w14:paraId="3E112B1A"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-11.6</w:t>
            </w:r>
          </w:p>
        </w:tc>
        <w:tc>
          <w:tcPr>
            <w:tcW w:w="4615" w:type="dxa"/>
            <w:shd w:val="clear" w:color="auto" w:fill="auto"/>
            <w:vAlign w:val="center"/>
          </w:tcPr>
          <w:p w14:paraId="33AF5478"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u w:val="single"/>
                <w:lang w:eastAsia="de-DE" w:bidi="en-US"/>
              </w:rPr>
              <w:t>PHE102</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MET103</w:t>
            </w:r>
            <w:r w:rsidRPr="004F0A9F">
              <w:rPr>
                <w:rFonts w:cs="Times New Roman"/>
                <w:snapToGrid w:val="0"/>
                <w:sz w:val="18"/>
                <w:lang w:eastAsia="de-DE" w:bidi="en-US"/>
              </w:rPr>
              <w:t xml:space="preserve">, ILE105, ILE119, SER123, GLY166, SER167, ILE169, PHE170, SER173, PHE174, HIS178, LEU193, VAL196, THR197, </w:t>
            </w:r>
            <w:r w:rsidRPr="004F0A9F">
              <w:rPr>
                <w:rFonts w:cs="Times New Roman"/>
                <w:snapToGrid w:val="0"/>
                <w:sz w:val="18"/>
                <w:u w:val="single"/>
                <w:lang w:eastAsia="de-DE" w:bidi="en-US"/>
              </w:rPr>
              <w:t>PHE268</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TRP356</w:t>
            </w:r>
            <w:r w:rsidRPr="004F0A9F">
              <w:rPr>
                <w:rFonts w:cs="Times New Roman"/>
                <w:snapToGrid w:val="0"/>
                <w:sz w:val="18"/>
                <w:lang w:eastAsia="de-DE" w:bidi="en-US"/>
              </w:rPr>
              <w:t>, LEU359, PHE379, ALA380, SER383, MET384, CYS386, LEU387, SER390</w:t>
            </w:r>
          </w:p>
        </w:tc>
      </w:tr>
      <w:tr w:rsidR="004F0A9F" w:rsidRPr="004F0A9F" w14:paraId="123D9DD9" w14:textId="77777777" w:rsidTr="004F0A9F">
        <w:trPr>
          <w:trHeight w:val="936"/>
        </w:trPr>
        <w:tc>
          <w:tcPr>
            <w:tcW w:w="2126" w:type="dxa"/>
            <w:shd w:val="clear" w:color="auto" w:fill="auto"/>
            <w:vAlign w:val="center"/>
          </w:tcPr>
          <w:p w14:paraId="3A904984"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Bisdemethoxycurcumin</w:t>
            </w:r>
          </w:p>
        </w:tc>
        <w:tc>
          <w:tcPr>
            <w:tcW w:w="2636" w:type="dxa"/>
            <w:shd w:val="clear" w:color="auto" w:fill="auto"/>
            <w:vAlign w:val="center"/>
          </w:tcPr>
          <w:p w14:paraId="4C611077"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-9.5</w:t>
            </w:r>
          </w:p>
        </w:tc>
        <w:tc>
          <w:tcPr>
            <w:tcW w:w="4615" w:type="dxa"/>
            <w:shd w:val="clear" w:color="auto" w:fill="auto"/>
            <w:vAlign w:val="center"/>
          </w:tcPr>
          <w:p w14:paraId="42C171F5"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 xml:space="preserve">ASN101, </w:t>
            </w:r>
            <w:r w:rsidRPr="004F0A9F">
              <w:rPr>
                <w:rFonts w:cs="Times New Roman"/>
                <w:snapToGrid w:val="0"/>
                <w:sz w:val="18"/>
                <w:u w:val="single"/>
                <w:lang w:eastAsia="de-DE" w:bidi="en-US"/>
              </w:rPr>
              <w:t>PHE102</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MET103</w:t>
            </w:r>
            <w:r w:rsidRPr="004F0A9F">
              <w:rPr>
                <w:rFonts w:cs="Times New Roman"/>
                <w:snapToGrid w:val="0"/>
                <w:sz w:val="18"/>
                <w:lang w:eastAsia="de-DE" w:bidi="en-US"/>
              </w:rPr>
              <w:t xml:space="preserve">, ASP104, ILE105, ASP163, GLY166, SER167, PHE170, PHE189, LEU193, VAL196, ILE267, </w:t>
            </w:r>
            <w:r w:rsidRPr="004F0A9F">
              <w:rPr>
                <w:rFonts w:cs="Times New Roman"/>
                <w:snapToGrid w:val="0"/>
                <w:sz w:val="18"/>
                <w:u w:val="single"/>
                <w:lang w:eastAsia="de-DE" w:bidi="en-US"/>
              </w:rPr>
              <w:t>PHE268</w:t>
            </w:r>
            <w:r w:rsidRPr="004F0A9F">
              <w:rPr>
                <w:rFonts w:cs="Times New Roman"/>
                <w:snapToGrid w:val="0"/>
                <w:sz w:val="18"/>
                <w:lang w:eastAsia="de-DE" w:bidi="en-US"/>
              </w:rPr>
              <w:t xml:space="preserve">, PRO269, </w:t>
            </w:r>
            <w:r w:rsidRPr="004F0A9F">
              <w:rPr>
                <w:rFonts w:cs="Times New Roman"/>
                <w:snapToGrid w:val="0"/>
                <w:sz w:val="18"/>
                <w:u w:val="single"/>
                <w:lang w:eastAsia="de-DE" w:bidi="en-US"/>
              </w:rPr>
              <w:t>TRP356</w:t>
            </w:r>
            <w:r w:rsidRPr="004F0A9F">
              <w:rPr>
                <w:rFonts w:cs="Times New Roman"/>
                <w:snapToGrid w:val="0"/>
                <w:sz w:val="18"/>
                <w:lang w:eastAsia="de-DE" w:bidi="en-US"/>
              </w:rPr>
              <w:t>, PHE379, SER383, CYS386, LEU387, SER390</w:t>
            </w:r>
          </w:p>
        </w:tc>
      </w:tr>
      <w:tr w:rsidR="004F0A9F" w:rsidRPr="004F0A9F" w14:paraId="3624140B" w14:textId="77777777" w:rsidTr="004F0A9F">
        <w:trPr>
          <w:trHeight w:val="936"/>
        </w:trPr>
        <w:tc>
          <w:tcPr>
            <w:tcW w:w="2126" w:type="dxa"/>
            <w:shd w:val="clear" w:color="auto" w:fill="auto"/>
            <w:vAlign w:val="center"/>
          </w:tcPr>
          <w:p w14:paraId="60DD3924"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Demethoxycurcumin</w:t>
            </w:r>
          </w:p>
        </w:tc>
        <w:tc>
          <w:tcPr>
            <w:tcW w:w="2636" w:type="dxa"/>
            <w:shd w:val="clear" w:color="auto" w:fill="auto"/>
            <w:vAlign w:val="center"/>
          </w:tcPr>
          <w:p w14:paraId="21E5F378"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-9.4</w:t>
            </w:r>
          </w:p>
        </w:tc>
        <w:tc>
          <w:tcPr>
            <w:tcW w:w="4615" w:type="dxa"/>
            <w:shd w:val="clear" w:color="auto" w:fill="auto"/>
            <w:vAlign w:val="center"/>
          </w:tcPr>
          <w:p w14:paraId="0DBA10D3"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 xml:space="preserve">ASN101, </w:t>
            </w:r>
            <w:r w:rsidRPr="004F0A9F">
              <w:rPr>
                <w:rFonts w:cs="Times New Roman"/>
                <w:snapToGrid w:val="0"/>
                <w:sz w:val="18"/>
                <w:u w:val="single"/>
                <w:lang w:eastAsia="de-DE" w:bidi="en-US"/>
              </w:rPr>
              <w:t>PHE102</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MET103</w:t>
            </w:r>
            <w:r w:rsidRPr="004F0A9F">
              <w:rPr>
                <w:rFonts w:cs="Times New Roman"/>
                <w:snapToGrid w:val="0"/>
                <w:sz w:val="18"/>
                <w:lang w:eastAsia="de-DE" w:bidi="en-US"/>
              </w:rPr>
              <w:t xml:space="preserve">, ASP104, ILE105, GLU106, ASP163, GLY166, SER167, PHE170, PHE189, VAL196, ILE267, </w:t>
            </w:r>
            <w:r w:rsidRPr="004F0A9F">
              <w:rPr>
                <w:rFonts w:cs="Times New Roman"/>
                <w:snapToGrid w:val="0"/>
                <w:sz w:val="18"/>
                <w:u w:val="single"/>
                <w:lang w:eastAsia="de-DE" w:bidi="en-US"/>
              </w:rPr>
              <w:t>PHE268</w:t>
            </w:r>
            <w:r w:rsidRPr="004F0A9F">
              <w:rPr>
                <w:rFonts w:cs="Times New Roman"/>
                <w:snapToGrid w:val="0"/>
                <w:sz w:val="18"/>
                <w:lang w:eastAsia="de-DE" w:bidi="en-US"/>
              </w:rPr>
              <w:t xml:space="preserve">, PRO269, </w:t>
            </w:r>
            <w:r w:rsidRPr="004F0A9F">
              <w:rPr>
                <w:rFonts w:cs="Times New Roman"/>
                <w:snapToGrid w:val="0"/>
                <w:sz w:val="18"/>
                <w:u w:val="single"/>
                <w:lang w:eastAsia="de-DE" w:bidi="en-US"/>
              </w:rPr>
              <w:t>TRP356</w:t>
            </w:r>
            <w:r w:rsidRPr="004F0A9F">
              <w:rPr>
                <w:rFonts w:cs="Times New Roman"/>
                <w:snapToGrid w:val="0"/>
                <w:sz w:val="18"/>
                <w:lang w:eastAsia="de-DE" w:bidi="en-US"/>
              </w:rPr>
              <w:t>, LEU359, PHE379, SER383, CYS386, LEU387, SER390</w:t>
            </w:r>
          </w:p>
        </w:tc>
      </w:tr>
      <w:tr w:rsidR="004F0A9F" w:rsidRPr="004F0A9F" w14:paraId="6C114944" w14:textId="77777777" w:rsidTr="004F0A9F">
        <w:trPr>
          <w:trHeight w:val="1289"/>
        </w:trPr>
        <w:tc>
          <w:tcPr>
            <w:tcW w:w="2126" w:type="dxa"/>
            <w:shd w:val="clear" w:color="auto" w:fill="auto"/>
            <w:vAlign w:val="center"/>
          </w:tcPr>
          <w:p w14:paraId="2121B5FA"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Curcumin</w:t>
            </w:r>
          </w:p>
        </w:tc>
        <w:tc>
          <w:tcPr>
            <w:tcW w:w="2636" w:type="dxa"/>
            <w:shd w:val="clear" w:color="auto" w:fill="auto"/>
            <w:vAlign w:val="center"/>
          </w:tcPr>
          <w:p w14:paraId="254EF257"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-9.2</w:t>
            </w:r>
          </w:p>
        </w:tc>
        <w:tc>
          <w:tcPr>
            <w:tcW w:w="4615" w:type="dxa"/>
            <w:shd w:val="clear" w:color="auto" w:fill="auto"/>
            <w:vAlign w:val="center"/>
          </w:tcPr>
          <w:p w14:paraId="60B3C81F"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 xml:space="preserve">ASN101, </w:t>
            </w:r>
            <w:r w:rsidRPr="004F0A9F">
              <w:rPr>
                <w:rFonts w:cs="Times New Roman"/>
                <w:snapToGrid w:val="0"/>
                <w:sz w:val="18"/>
                <w:u w:val="single"/>
                <w:lang w:eastAsia="de-DE" w:bidi="en-US"/>
              </w:rPr>
              <w:t>PHE102</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MET103</w:t>
            </w:r>
            <w:r w:rsidRPr="004F0A9F">
              <w:rPr>
                <w:rFonts w:cs="Times New Roman"/>
                <w:snapToGrid w:val="0"/>
                <w:sz w:val="18"/>
                <w:lang w:eastAsia="de-DE" w:bidi="en-US"/>
              </w:rPr>
              <w:t xml:space="preserve">, ASP104, ILE105, GLU106, PHE189, LEU193, VAL196, THR197, ILE267, </w:t>
            </w:r>
            <w:r w:rsidRPr="004F0A9F">
              <w:rPr>
                <w:rFonts w:cs="Times New Roman"/>
                <w:snapToGrid w:val="0"/>
                <w:sz w:val="18"/>
                <w:u w:val="single"/>
                <w:lang w:eastAsia="de-DE" w:bidi="en-US"/>
              </w:rPr>
              <w:t>PHE268</w:t>
            </w:r>
            <w:r w:rsidRPr="004F0A9F">
              <w:rPr>
                <w:rFonts w:cs="Times New Roman"/>
                <w:snapToGrid w:val="0"/>
                <w:sz w:val="18"/>
                <w:lang w:eastAsia="de-DE" w:bidi="en-US"/>
              </w:rPr>
              <w:t xml:space="preserve">, PRO269, ILE271, TYR275, LEU276, TRP279, </w:t>
            </w:r>
            <w:r w:rsidRPr="004F0A9F">
              <w:rPr>
                <w:rFonts w:cs="Times New Roman"/>
                <w:snapToGrid w:val="0"/>
                <w:sz w:val="18"/>
                <w:u w:val="single"/>
                <w:lang w:eastAsia="de-DE" w:bidi="en-US"/>
              </w:rPr>
              <w:t>TRP356</w:t>
            </w:r>
            <w:r w:rsidRPr="004F0A9F">
              <w:rPr>
                <w:rFonts w:cs="Times New Roman"/>
                <w:snapToGrid w:val="0"/>
                <w:sz w:val="18"/>
                <w:lang w:eastAsia="de-DE" w:bidi="en-US"/>
              </w:rPr>
              <w:t>, LEU359, MET363, PHE379, SER383</w:t>
            </w:r>
          </w:p>
        </w:tc>
      </w:tr>
      <w:tr w:rsidR="004F0A9F" w:rsidRPr="004F0A9F" w14:paraId="4C6004EA" w14:textId="77777777" w:rsidTr="004F0A9F">
        <w:trPr>
          <w:trHeight w:val="873"/>
        </w:trPr>
        <w:tc>
          <w:tcPr>
            <w:tcW w:w="2126" w:type="dxa"/>
            <w:shd w:val="clear" w:color="auto" w:fill="auto"/>
            <w:vAlign w:val="center"/>
          </w:tcPr>
          <w:p w14:paraId="6E34A724"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β-Caryophyllene</w:t>
            </w:r>
          </w:p>
        </w:tc>
        <w:tc>
          <w:tcPr>
            <w:tcW w:w="2636" w:type="dxa"/>
            <w:shd w:val="clear" w:color="auto" w:fill="auto"/>
            <w:vAlign w:val="center"/>
          </w:tcPr>
          <w:p w14:paraId="74FD1094"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lang w:eastAsia="de-DE" w:bidi="en-US"/>
              </w:rPr>
              <w:t>-8.0</w:t>
            </w:r>
          </w:p>
        </w:tc>
        <w:tc>
          <w:tcPr>
            <w:tcW w:w="4615" w:type="dxa"/>
            <w:shd w:val="clear" w:color="auto" w:fill="auto"/>
            <w:vAlign w:val="center"/>
          </w:tcPr>
          <w:p w14:paraId="2B71EB63" w14:textId="77777777" w:rsidR="004F0A9F" w:rsidRPr="004F0A9F" w:rsidRDefault="004F0A9F" w:rsidP="004F0A9F">
            <w:pPr>
              <w:jc w:val="both"/>
              <w:rPr>
                <w:rFonts w:cs="Times New Roman"/>
                <w:snapToGrid w:val="0"/>
                <w:sz w:val="18"/>
                <w:lang w:eastAsia="de-DE" w:bidi="en-US"/>
              </w:rPr>
            </w:pPr>
            <w:r w:rsidRPr="004F0A9F">
              <w:rPr>
                <w:rFonts w:cs="Times New Roman"/>
                <w:snapToGrid w:val="0"/>
                <w:sz w:val="18"/>
                <w:u w:val="single"/>
                <w:lang w:eastAsia="de-DE" w:bidi="en-US"/>
              </w:rPr>
              <w:t>PHE102</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MET103</w:t>
            </w:r>
            <w:r w:rsidRPr="004F0A9F">
              <w:rPr>
                <w:rFonts w:cs="Times New Roman"/>
                <w:snapToGrid w:val="0"/>
                <w:sz w:val="18"/>
                <w:lang w:eastAsia="de-DE" w:bidi="en-US"/>
              </w:rPr>
              <w:t xml:space="preserve">, GLY166, PHE170, LEU193, VAL196, </w:t>
            </w:r>
            <w:r w:rsidRPr="004F0A9F">
              <w:rPr>
                <w:rFonts w:cs="Times New Roman"/>
                <w:snapToGrid w:val="0"/>
                <w:sz w:val="18"/>
                <w:u w:val="single"/>
                <w:lang w:eastAsia="de-DE" w:bidi="en-US"/>
              </w:rPr>
              <w:t>PHE268</w:t>
            </w:r>
            <w:r w:rsidRPr="004F0A9F">
              <w:rPr>
                <w:rFonts w:cs="Times New Roman"/>
                <w:snapToGrid w:val="0"/>
                <w:sz w:val="18"/>
                <w:lang w:eastAsia="de-DE" w:bidi="en-US"/>
              </w:rPr>
              <w:t xml:space="preserve">, </w:t>
            </w:r>
            <w:r w:rsidRPr="004F0A9F">
              <w:rPr>
                <w:rFonts w:cs="Times New Roman"/>
                <w:snapToGrid w:val="0"/>
                <w:sz w:val="18"/>
                <w:u w:val="single"/>
                <w:lang w:eastAsia="de-DE" w:bidi="en-US"/>
              </w:rPr>
              <w:t>TRP356</w:t>
            </w:r>
            <w:r w:rsidRPr="004F0A9F">
              <w:rPr>
                <w:rFonts w:cs="Times New Roman"/>
                <w:snapToGrid w:val="0"/>
                <w:sz w:val="18"/>
                <w:lang w:eastAsia="de-DE" w:bidi="en-US"/>
              </w:rPr>
              <w:t>, LEU359, PHE379, SER383, CYS386, LEU387</w:t>
            </w:r>
          </w:p>
        </w:tc>
      </w:tr>
    </w:tbl>
    <w:p w14:paraId="0D4BF917" w14:textId="1B3F6971" w:rsidR="00046F1D" w:rsidRPr="00831166" w:rsidRDefault="004F0A9F" w:rsidP="00046F1D">
      <w:pPr>
        <w:jc w:val="both"/>
        <w:rPr>
          <w:rFonts w:cs="Times New Roman"/>
          <w:snapToGrid w:val="0"/>
          <w:szCs w:val="24"/>
          <w:lang w:eastAsia="de-DE" w:bidi="en-US"/>
        </w:rPr>
      </w:pPr>
      <w:r w:rsidRPr="004F0A9F">
        <w:rPr>
          <w:rFonts w:cs="Times New Roman"/>
          <w:snapToGrid w:val="0"/>
          <w:szCs w:val="24"/>
          <w:lang w:eastAsia="de-DE" w:bidi="en-US"/>
        </w:rPr>
        <w:t>Binding energies and contact residues computed with CB-Dock2 on Cannabinoid receptor 1 (PDB ID: 5TGZ). Rimonabant = CBR1 Antagonist. Important residues serving as “switches” for receptor inactivation are underlined.</w:t>
      </w:r>
      <w:r>
        <w:rPr>
          <w:rFonts w:cs="Times New Roman"/>
          <w:snapToGrid w:val="0"/>
          <w:szCs w:val="24"/>
          <w:lang w:eastAsia="de-DE" w:bidi="en-US"/>
        </w:rPr>
        <w:t xml:space="preserve"> </w:t>
      </w:r>
      <w:r w:rsidRPr="004F0A9F">
        <w:rPr>
          <w:rFonts w:cs="Times New Roman"/>
          <w:snapToGrid w:val="0"/>
          <w:szCs w:val="24"/>
          <w:lang w:eastAsia="de-DE" w:bidi="en-US"/>
        </w:rPr>
        <w:t>Molecular docking has been performed with CB-Dock2 online tool (https://cadd.labshare.cn/cb-dock2/index.php) through the “Structure-based Blind Docking” function. The CBR1 (PDB ID: 5TGZ) protein structure was downloaded from the PDB database (https://www.rcsb.org/) and the 3D molecular structures of BCP, Rimonabant, CUR, DMC, and BDMC from PubChem (</w:t>
      </w:r>
      <w:hyperlink r:id="rId14" w:history="1">
        <w:r w:rsidRPr="004F0A9F">
          <w:rPr>
            <w:rStyle w:val="Collegamentoipertestuale"/>
            <w:rFonts w:eastAsia="Times New Roman" w:cs="Times New Roman"/>
            <w:snapToGrid w:val="0"/>
            <w:szCs w:val="24"/>
            <w:lang w:eastAsia="de-DE" w:bidi="en-US"/>
          </w:rPr>
          <w:t>https://pubchem.ncbi.nlm.nih.gov/</w:t>
        </w:r>
      </w:hyperlink>
      <w:r w:rsidRPr="004F0A9F">
        <w:rPr>
          <w:rFonts w:cs="Times New Roman"/>
          <w:snapToGrid w:val="0"/>
          <w:szCs w:val="24"/>
          <w:lang w:eastAsia="de-DE" w:bidi="en-US"/>
        </w:rPr>
        <w:t xml:space="preserve">). </w:t>
      </w:r>
      <w:bookmarkStart w:id="1" w:name="_GoBack"/>
      <w:bookmarkEnd w:id="1"/>
    </w:p>
    <w:p w14:paraId="320F3AB5" w14:textId="77777777" w:rsidR="00046F1D" w:rsidRPr="001549D3" w:rsidRDefault="00046F1D" w:rsidP="00046F1D">
      <w:pPr>
        <w:jc w:val="both"/>
      </w:pPr>
    </w:p>
    <w:sectPr w:rsidR="00046F1D" w:rsidRPr="001549D3" w:rsidSect="0093429D">
      <w:headerReference w:type="even" r:id="rId15"/>
      <w:footerReference w:type="even" r:id="rId16"/>
      <w:footerReference w:type="default" r:id="rId17"/>
      <w:headerReference w:type="first" r:id="rId18"/>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7D4C2" w14:textId="77777777" w:rsidR="00115C83" w:rsidRDefault="00115C83" w:rsidP="00117666">
      <w:pPr>
        <w:spacing w:after="0"/>
      </w:pPr>
      <w:r>
        <w:separator/>
      </w:r>
    </w:p>
  </w:endnote>
  <w:endnote w:type="continuationSeparator" w:id="0">
    <w:p w14:paraId="1FD8A0A2" w14:textId="77777777" w:rsidR="00115C83" w:rsidRDefault="00115C83"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4AB28"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FF27"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E89C0" w14:textId="77777777" w:rsidR="00115C83" w:rsidRDefault="00115C83" w:rsidP="00117666">
      <w:pPr>
        <w:spacing w:after="0"/>
      </w:pPr>
      <w:r>
        <w:separator/>
      </w:r>
    </w:p>
  </w:footnote>
  <w:footnote w:type="continuationSeparator" w:id="0">
    <w:p w14:paraId="5DB6D731" w14:textId="77777777" w:rsidR="00115C83" w:rsidRDefault="00115C83"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EDBA"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11A5B" w14:textId="77777777" w:rsidR="00995F6A"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itolo1"/>
      <w:lvlText w:val="%1"/>
      <w:lvlJc w:val="left"/>
      <w:pPr>
        <w:tabs>
          <w:tab w:val="num" w:pos="567"/>
        </w:tabs>
        <w:ind w:left="567" w:hanging="567"/>
      </w:pPr>
      <w:rPr>
        <w:rFonts w:hint="default"/>
      </w:rPr>
    </w:lvl>
    <w:lvl w:ilvl="1">
      <w:start w:val="1"/>
      <w:numFmt w:val="decimal"/>
      <w:pStyle w:val="Titolo2"/>
      <w:lvlText w:val="%1.%2"/>
      <w:lvlJc w:val="left"/>
      <w:pPr>
        <w:tabs>
          <w:tab w:val="num" w:pos="567"/>
        </w:tabs>
        <w:ind w:left="567" w:hanging="567"/>
      </w:pPr>
      <w:rPr>
        <w:rFonts w:hint="default"/>
      </w:rPr>
    </w:lvl>
    <w:lvl w:ilvl="2">
      <w:start w:val="1"/>
      <w:numFmt w:val="decimal"/>
      <w:pStyle w:val="Titolo3"/>
      <w:lvlText w:val="%1.%2.%3"/>
      <w:lvlJc w:val="left"/>
      <w:pPr>
        <w:tabs>
          <w:tab w:val="num" w:pos="567"/>
        </w:tabs>
        <w:ind w:left="567" w:hanging="567"/>
      </w:pPr>
      <w:rPr>
        <w:rFonts w:hint="default"/>
      </w:rPr>
    </w:lvl>
    <w:lvl w:ilvl="3">
      <w:start w:val="1"/>
      <w:numFmt w:val="decimal"/>
      <w:pStyle w:val="Titolo4"/>
      <w:lvlText w:val="%1.%2.%3.%4"/>
      <w:lvlJc w:val="left"/>
      <w:pPr>
        <w:tabs>
          <w:tab w:val="num" w:pos="567"/>
        </w:tabs>
        <w:ind w:left="567" w:hanging="567"/>
      </w:pPr>
      <w:rPr>
        <w:rFonts w:hint="default"/>
      </w:rPr>
    </w:lvl>
    <w:lvl w:ilvl="4">
      <w:start w:val="1"/>
      <w:numFmt w:val="decimal"/>
      <w:pStyle w:val="Tito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aragrafoelenco"/>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46F1D"/>
    <w:rsid w:val="00052A14"/>
    <w:rsid w:val="00077D53"/>
    <w:rsid w:val="00105FD9"/>
    <w:rsid w:val="00115C83"/>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4F0A9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7C64CA"/>
    <w:rsid w:val="00803D24"/>
    <w:rsid w:val="00817DD6"/>
    <w:rsid w:val="00831166"/>
    <w:rsid w:val="00885156"/>
    <w:rsid w:val="009151AA"/>
    <w:rsid w:val="0093429D"/>
    <w:rsid w:val="00943573"/>
    <w:rsid w:val="00970F7D"/>
    <w:rsid w:val="00994A3D"/>
    <w:rsid w:val="009C2B12"/>
    <w:rsid w:val="009C70F3"/>
    <w:rsid w:val="009E0FF6"/>
    <w:rsid w:val="00A174D9"/>
    <w:rsid w:val="00A229F4"/>
    <w:rsid w:val="00A569CD"/>
    <w:rsid w:val="00AB5EE2"/>
    <w:rsid w:val="00AB6715"/>
    <w:rsid w:val="00B1671E"/>
    <w:rsid w:val="00B25EB8"/>
    <w:rsid w:val="00B354E1"/>
    <w:rsid w:val="00B37F4D"/>
    <w:rsid w:val="00C52A7B"/>
    <w:rsid w:val="00C56BAF"/>
    <w:rsid w:val="00C62F5C"/>
    <w:rsid w:val="00C679AA"/>
    <w:rsid w:val="00C75972"/>
    <w:rsid w:val="00CC0A3A"/>
    <w:rsid w:val="00CD066B"/>
    <w:rsid w:val="00CE4FEE"/>
    <w:rsid w:val="00DB59C3"/>
    <w:rsid w:val="00DC259A"/>
    <w:rsid w:val="00DE23E8"/>
    <w:rsid w:val="00E52377"/>
    <w:rsid w:val="00E64E17"/>
    <w:rsid w:val="00E866C9"/>
    <w:rsid w:val="00EA3D3C"/>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B6715"/>
    <w:pPr>
      <w:spacing w:before="120" w:after="240" w:line="240" w:lineRule="auto"/>
    </w:pPr>
    <w:rPr>
      <w:rFonts w:ascii="Times New Roman" w:hAnsi="Times New Roman"/>
      <w:sz w:val="24"/>
    </w:rPr>
  </w:style>
  <w:style w:type="paragraph" w:styleId="Titolo1">
    <w:name w:val="heading 1"/>
    <w:basedOn w:val="Paragrafoelenco"/>
    <w:next w:val="Normale"/>
    <w:link w:val="Titolo1Carattere"/>
    <w:uiPriority w:val="2"/>
    <w:qFormat/>
    <w:rsid w:val="00AB6715"/>
    <w:pPr>
      <w:numPr>
        <w:numId w:val="19"/>
      </w:numPr>
      <w:spacing w:before="240"/>
      <w:contextualSpacing w:val="0"/>
      <w:outlineLvl w:val="0"/>
    </w:pPr>
    <w:rPr>
      <w:b/>
    </w:rPr>
  </w:style>
  <w:style w:type="paragraph" w:styleId="Titolo2">
    <w:name w:val="heading 2"/>
    <w:basedOn w:val="Titolo1"/>
    <w:next w:val="Normale"/>
    <w:link w:val="Titolo2Carattere"/>
    <w:uiPriority w:val="2"/>
    <w:qFormat/>
    <w:rsid w:val="00AB6715"/>
    <w:pPr>
      <w:numPr>
        <w:ilvl w:val="1"/>
      </w:numPr>
      <w:spacing w:after="200"/>
      <w:outlineLvl w:val="1"/>
    </w:pPr>
  </w:style>
  <w:style w:type="paragraph" w:styleId="Titolo3">
    <w:name w:val="heading 3"/>
    <w:basedOn w:val="Normale"/>
    <w:next w:val="Normale"/>
    <w:link w:val="Titolo3Carattere"/>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Titolo4">
    <w:name w:val="heading 4"/>
    <w:basedOn w:val="Titolo3"/>
    <w:next w:val="Normale"/>
    <w:link w:val="Titolo4Carattere"/>
    <w:uiPriority w:val="2"/>
    <w:qFormat/>
    <w:rsid w:val="00AB6715"/>
    <w:pPr>
      <w:numPr>
        <w:ilvl w:val="3"/>
      </w:numPr>
      <w:outlineLvl w:val="3"/>
    </w:pPr>
    <w:rPr>
      <w:iCs/>
    </w:rPr>
  </w:style>
  <w:style w:type="paragraph" w:styleId="Titolo5">
    <w:name w:val="heading 5"/>
    <w:basedOn w:val="Titolo4"/>
    <w:next w:val="Normale"/>
    <w:link w:val="Titolo5Carattere"/>
    <w:uiPriority w:val="2"/>
    <w:qFormat/>
    <w:rsid w:val="00AB6715"/>
    <w:pPr>
      <w:numPr>
        <w:ilvl w:val="4"/>
      </w:numPr>
      <w:outlineLvl w:val="4"/>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2"/>
    <w:rsid w:val="00AB6715"/>
    <w:rPr>
      <w:rFonts w:ascii="Times New Roman" w:eastAsia="Cambria" w:hAnsi="Times New Roman" w:cs="Times New Roman"/>
      <w:b/>
      <w:sz w:val="24"/>
      <w:szCs w:val="24"/>
    </w:rPr>
  </w:style>
  <w:style w:type="character" w:customStyle="1" w:styleId="Titolo2Carattere">
    <w:name w:val="Titolo 2 Carattere"/>
    <w:basedOn w:val="Carpredefinitoparagrafo"/>
    <w:link w:val="Titolo2"/>
    <w:uiPriority w:val="2"/>
    <w:rsid w:val="00AB6715"/>
    <w:rPr>
      <w:rFonts w:ascii="Times New Roman" w:eastAsia="Cambria" w:hAnsi="Times New Roman" w:cs="Times New Roman"/>
      <w:b/>
      <w:sz w:val="24"/>
      <w:szCs w:val="24"/>
    </w:rPr>
  </w:style>
  <w:style w:type="paragraph" w:styleId="Sottotitolo">
    <w:name w:val="Subtitle"/>
    <w:basedOn w:val="Normale"/>
    <w:next w:val="Normale"/>
    <w:link w:val="SottotitoloCarattere"/>
    <w:uiPriority w:val="99"/>
    <w:unhideWhenUsed/>
    <w:qFormat/>
    <w:rsid w:val="00AB6715"/>
    <w:pPr>
      <w:spacing w:before="240"/>
    </w:pPr>
    <w:rPr>
      <w:rFonts w:cs="Times New Roman"/>
      <w:b/>
      <w:szCs w:val="24"/>
    </w:rPr>
  </w:style>
  <w:style w:type="character" w:customStyle="1" w:styleId="SottotitoloCarattere">
    <w:name w:val="Sottotitolo Carattere"/>
    <w:basedOn w:val="Carpredefinitoparagrafo"/>
    <w:link w:val="Sottotitolo"/>
    <w:uiPriority w:val="99"/>
    <w:rsid w:val="00AB6715"/>
    <w:rPr>
      <w:rFonts w:ascii="Times New Roman" w:hAnsi="Times New Roman" w:cs="Times New Roman"/>
      <w:b/>
      <w:sz w:val="24"/>
      <w:szCs w:val="24"/>
    </w:rPr>
  </w:style>
  <w:style w:type="paragraph" w:customStyle="1" w:styleId="AuthorList">
    <w:name w:val="Author List"/>
    <w:aliases w:val="Keywords,Abstract"/>
    <w:basedOn w:val="Sottotitolo"/>
    <w:next w:val="Normale"/>
    <w:uiPriority w:val="1"/>
    <w:qFormat/>
    <w:rsid w:val="00AB6715"/>
  </w:style>
  <w:style w:type="paragraph" w:styleId="Testofumetto">
    <w:name w:val="Balloon Text"/>
    <w:basedOn w:val="Normale"/>
    <w:link w:val="TestofumettoCarattere"/>
    <w:uiPriority w:val="99"/>
    <w:semiHidden/>
    <w:unhideWhenUsed/>
    <w:rsid w:val="00AB671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B6715"/>
    <w:rPr>
      <w:rFonts w:ascii="Tahoma" w:hAnsi="Tahoma" w:cs="Tahoma"/>
      <w:sz w:val="16"/>
      <w:szCs w:val="16"/>
    </w:rPr>
  </w:style>
  <w:style w:type="character" w:styleId="Titolodellibro">
    <w:name w:val="Book Title"/>
    <w:basedOn w:val="Carpredefinitoparagrafo"/>
    <w:uiPriority w:val="33"/>
    <w:qFormat/>
    <w:rsid w:val="00AB6715"/>
    <w:rPr>
      <w:rFonts w:ascii="Times New Roman" w:hAnsi="Times New Roman"/>
      <w:b/>
      <w:bCs/>
      <w:i/>
      <w:iCs/>
      <w:spacing w:val="5"/>
    </w:rPr>
  </w:style>
  <w:style w:type="paragraph" w:styleId="Didascalia">
    <w:name w:val="caption"/>
    <w:basedOn w:val="Normale"/>
    <w:next w:val="Nessunaspaziatura"/>
    <w:uiPriority w:val="35"/>
    <w:unhideWhenUsed/>
    <w:qFormat/>
    <w:rsid w:val="00AB6715"/>
    <w:pPr>
      <w:keepNext/>
    </w:pPr>
    <w:rPr>
      <w:rFonts w:cs="Times New Roman"/>
      <w:b/>
      <w:bCs/>
      <w:szCs w:val="24"/>
    </w:rPr>
  </w:style>
  <w:style w:type="paragraph" w:styleId="Nessunaspaziatura">
    <w:name w:val="No Spacing"/>
    <w:uiPriority w:val="99"/>
    <w:unhideWhenUsed/>
    <w:qFormat/>
    <w:rsid w:val="00AB6715"/>
    <w:pPr>
      <w:spacing w:after="0" w:line="240" w:lineRule="auto"/>
    </w:pPr>
    <w:rPr>
      <w:rFonts w:ascii="Times New Roman" w:hAnsi="Times New Roman"/>
      <w:sz w:val="24"/>
    </w:rPr>
  </w:style>
  <w:style w:type="character" w:styleId="Rimandocommento">
    <w:name w:val="annotation reference"/>
    <w:basedOn w:val="Carpredefinitoparagrafo"/>
    <w:uiPriority w:val="99"/>
    <w:semiHidden/>
    <w:unhideWhenUsed/>
    <w:rsid w:val="00AB6715"/>
    <w:rPr>
      <w:sz w:val="16"/>
      <w:szCs w:val="16"/>
    </w:rPr>
  </w:style>
  <w:style w:type="paragraph" w:styleId="Testocommento">
    <w:name w:val="annotation text"/>
    <w:basedOn w:val="Normale"/>
    <w:link w:val="TestocommentoCarattere"/>
    <w:uiPriority w:val="99"/>
    <w:semiHidden/>
    <w:unhideWhenUsed/>
    <w:rsid w:val="00AB6715"/>
    <w:rPr>
      <w:sz w:val="20"/>
      <w:szCs w:val="20"/>
    </w:rPr>
  </w:style>
  <w:style w:type="character" w:customStyle="1" w:styleId="TestocommentoCarattere">
    <w:name w:val="Testo commento Carattere"/>
    <w:basedOn w:val="Carpredefinitoparagrafo"/>
    <w:link w:val="Testocommento"/>
    <w:uiPriority w:val="99"/>
    <w:semiHidden/>
    <w:rsid w:val="00AB6715"/>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AB6715"/>
    <w:rPr>
      <w:b/>
      <w:bCs/>
    </w:rPr>
  </w:style>
  <w:style w:type="character" w:customStyle="1" w:styleId="SoggettocommentoCarattere">
    <w:name w:val="Soggetto commento Carattere"/>
    <w:basedOn w:val="TestocommentoCarattere"/>
    <w:link w:val="Soggettocommento"/>
    <w:uiPriority w:val="99"/>
    <w:semiHidden/>
    <w:rsid w:val="00AB6715"/>
    <w:rPr>
      <w:rFonts w:ascii="Times New Roman" w:hAnsi="Times New Roman"/>
      <w:b/>
      <w:bCs/>
      <w:sz w:val="20"/>
      <w:szCs w:val="20"/>
    </w:rPr>
  </w:style>
  <w:style w:type="character" w:styleId="Enfasicorsivo">
    <w:name w:val="Emphasis"/>
    <w:basedOn w:val="Carpredefinitoparagrafo"/>
    <w:uiPriority w:val="20"/>
    <w:qFormat/>
    <w:rsid w:val="00AB6715"/>
    <w:rPr>
      <w:rFonts w:ascii="Times New Roman" w:hAnsi="Times New Roman"/>
      <w:i/>
      <w:iCs/>
    </w:rPr>
  </w:style>
  <w:style w:type="character" w:styleId="Rimandonotadichiusura">
    <w:name w:val="endnote reference"/>
    <w:basedOn w:val="Carpredefinitoparagrafo"/>
    <w:uiPriority w:val="99"/>
    <w:semiHidden/>
    <w:unhideWhenUsed/>
    <w:rsid w:val="00AB6715"/>
    <w:rPr>
      <w:vertAlign w:val="superscript"/>
    </w:rPr>
  </w:style>
  <w:style w:type="paragraph" w:styleId="Testonotadichiusura">
    <w:name w:val="endnote text"/>
    <w:basedOn w:val="Normale"/>
    <w:link w:val="TestonotadichiusuraCarattere"/>
    <w:uiPriority w:val="99"/>
    <w:semiHidden/>
    <w:unhideWhenUsed/>
    <w:rsid w:val="00AB6715"/>
    <w:pPr>
      <w:spacing w:after="0"/>
    </w:pPr>
    <w:rPr>
      <w:sz w:val="20"/>
      <w:szCs w:val="20"/>
    </w:rPr>
  </w:style>
  <w:style w:type="character" w:customStyle="1" w:styleId="TestonotadichiusuraCarattere">
    <w:name w:val="Testo nota di chiusura Carattere"/>
    <w:basedOn w:val="Carpredefinitoparagrafo"/>
    <w:link w:val="Testonotadichiusura"/>
    <w:uiPriority w:val="99"/>
    <w:semiHidden/>
    <w:rsid w:val="00AB6715"/>
    <w:rPr>
      <w:rFonts w:ascii="Times New Roman" w:hAnsi="Times New Roman"/>
      <w:sz w:val="20"/>
      <w:szCs w:val="20"/>
    </w:rPr>
  </w:style>
  <w:style w:type="character" w:styleId="Collegamentovisitato">
    <w:name w:val="FollowedHyperlink"/>
    <w:basedOn w:val="Carpredefinitoparagrafo"/>
    <w:uiPriority w:val="99"/>
    <w:semiHidden/>
    <w:unhideWhenUsed/>
    <w:rsid w:val="00AB6715"/>
    <w:rPr>
      <w:color w:val="800080" w:themeColor="followedHyperlink"/>
      <w:u w:val="single"/>
    </w:rPr>
  </w:style>
  <w:style w:type="paragraph" w:styleId="Pidipagina">
    <w:name w:val="footer"/>
    <w:basedOn w:val="Normale"/>
    <w:link w:val="PidipaginaCarattere"/>
    <w:uiPriority w:val="99"/>
    <w:unhideWhenUsed/>
    <w:rsid w:val="00AB6715"/>
    <w:pPr>
      <w:tabs>
        <w:tab w:val="center" w:pos="4844"/>
        <w:tab w:val="right" w:pos="9689"/>
      </w:tabs>
      <w:spacing w:after="0"/>
    </w:pPr>
  </w:style>
  <w:style w:type="character" w:customStyle="1" w:styleId="PidipaginaCarattere">
    <w:name w:val="Piè di pagina Carattere"/>
    <w:basedOn w:val="Carpredefinitoparagrafo"/>
    <w:link w:val="Pidipagina"/>
    <w:uiPriority w:val="99"/>
    <w:rsid w:val="00AB6715"/>
    <w:rPr>
      <w:rFonts w:ascii="Times New Roman" w:hAnsi="Times New Roman"/>
      <w:sz w:val="24"/>
    </w:rPr>
  </w:style>
  <w:style w:type="character" w:styleId="Rimandonotaapidipagina">
    <w:name w:val="footnote reference"/>
    <w:basedOn w:val="Carpredefinitoparagrafo"/>
    <w:uiPriority w:val="99"/>
    <w:semiHidden/>
    <w:unhideWhenUsed/>
    <w:rsid w:val="00AB6715"/>
    <w:rPr>
      <w:vertAlign w:val="superscript"/>
    </w:rPr>
  </w:style>
  <w:style w:type="paragraph" w:styleId="Testonotaapidipagina">
    <w:name w:val="footnote text"/>
    <w:basedOn w:val="Normale"/>
    <w:link w:val="TestonotaapidipaginaCarattere"/>
    <w:uiPriority w:val="99"/>
    <w:semiHidden/>
    <w:unhideWhenUsed/>
    <w:rsid w:val="00AB6715"/>
    <w:pPr>
      <w:spacing w:after="0"/>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B6715"/>
    <w:rPr>
      <w:rFonts w:ascii="Times New Roman" w:hAnsi="Times New Roman"/>
      <w:sz w:val="20"/>
      <w:szCs w:val="20"/>
    </w:rPr>
  </w:style>
  <w:style w:type="paragraph" w:styleId="Intestazione">
    <w:name w:val="header"/>
    <w:basedOn w:val="Normale"/>
    <w:link w:val="IntestazioneCarattere"/>
    <w:uiPriority w:val="99"/>
    <w:unhideWhenUsed/>
    <w:rsid w:val="00AB6715"/>
    <w:pPr>
      <w:tabs>
        <w:tab w:val="center" w:pos="4844"/>
        <w:tab w:val="right" w:pos="9689"/>
      </w:tabs>
    </w:pPr>
    <w:rPr>
      <w:b/>
    </w:rPr>
  </w:style>
  <w:style w:type="character" w:customStyle="1" w:styleId="IntestazioneCarattere">
    <w:name w:val="Intestazione Carattere"/>
    <w:basedOn w:val="Carpredefinitoparagrafo"/>
    <w:link w:val="Intestazione"/>
    <w:uiPriority w:val="99"/>
    <w:rsid w:val="00AB6715"/>
    <w:rPr>
      <w:rFonts w:ascii="Times New Roman" w:hAnsi="Times New Roman"/>
      <w:b/>
      <w:sz w:val="24"/>
    </w:rPr>
  </w:style>
  <w:style w:type="paragraph" w:styleId="Paragrafoelenco">
    <w:name w:val="List Paragraph"/>
    <w:basedOn w:val="Normale"/>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Collegamentoipertestuale">
    <w:name w:val="Hyperlink"/>
    <w:basedOn w:val="Carpredefinitoparagrafo"/>
    <w:uiPriority w:val="99"/>
    <w:unhideWhenUsed/>
    <w:rsid w:val="00AB6715"/>
    <w:rPr>
      <w:color w:val="0000FF"/>
      <w:u w:val="single"/>
    </w:rPr>
  </w:style>
  <w:style w:type="character" w:styleId="Enfasiintensa">
    <w:name w:val="Intense Emphasis"/>
    <w:basedOn w:val="Carpredefinitoparagrafo"/>
    <w:uiPriority w:val="21"/>
    <w:unhideWhenUsed/>
    <w:rsid w:val="00AB6715"/>
    <w:rPr>
      <w:rFonts w:ascii="Times New Roman" w:hAnsi="Times New Roman"/>
      <w:i/>
      <w:iCs/>
      <w:color w:val="auto"/>
    </w:rPr>
  </w:style>
  <w:style w:type="character" w:styleId="Riferimentointenso">
    <w:name w:val="Intense Reference"/>
    <w:basedOn w:val="Carpredefinitoparagrafo"/>
    <w:uiPriority w:val="32"/>
    <w:qFormat/>
    <w:rsid w:val="00AB6715"/>
    <w:rPr>
      <w:b/>
      <w:bCs/>
      <w:smallCaps/>
      <w:color w:val="auto"/>
      <w:spacing w:val="5"/>
    </w:rPr>
  </w:style>
  <w:style w:type="character" w:styleId="Numeroriga">
    <w:name w:val="line number"/>
    <w:basedOn w:val="Carpredefinitoparagrafo"/>
    <w:uiPriority w:val="99"/>
    <w:semiHidden/>
    <w:unhideWhenUsed/>
    <w:rsid w:val="00AB6715"/>
  </w:style>
  <w:style w:type="character" w:customStyle="1" w:styleId="Titolo3Carattere">
    <w:name w:val="Titolo 3 Carattere"/>
    <w:basedOn w:val="Carpredefinitoparagrafo"/>
    <w:link w:val="Titolo3"/>
    <w:uiPriority w:val="2"/>
    <w:rsid w:val="00AB6715"/>
    <w:rPr>
      <w:rFonts w:ascii="Times New Roman" w:eastAsiaTheme="majorEastAsia" w:hAnsi="Times New Roman" w:cstheme="majorBidi"/>
      <w:b/>
      <w:sz w:val="24"/>
      <w:szCs w:val="24"/>
    </w:rPr>
  </w:style>
  <w:style w:type="character" w:customStyle="1" w:styleId="Titolo4Carattere">
    <w:name w:val="Titolo 4 Carattere"/>
    <w:basedOn w:val="Carpredefinitoparagrafo"/>
    <w:link w:val="Titolo4"/>
    <w:uiPriority w:val="2"/>
    <w:rsid w:val="00AB6715"/>
    <w:rPr>
      <w:rFonts w:ascii="Times New Roman" w:eastAsiaTheme="majorEastAsia" w:hAnsi="Times New Roman" w:cstheme="majorBidi"/>
      <w:b/>
      <w:iCs/>
      <w:sz w:val="24"/>
      <w:szCs w:val="24"/>
    </w:rPr>
  </w:style>
  <w:style w:type="character" w:customStyle="1" w:styleId="Titolo5Carattere">
    <w:name w:val="Titolo 5 Carattere"/>
    <w:basedOn w:val="Carpredefinitoparagrafo"/>
    <w:link w:val="Titolo5"/>
    <w:uiPriority w:val="2"/>
    <w:rsid w:val="00AB6715"/>
    <w:rPr>
      <w:rFonts w:ascii="Times New Roman" w:eastAsiaTheme="majorEastAsia" w:hAnsi="Times New Roman" w:cstheme="majorBidi"/>
      <w:b/>
      <w:iCs/>
      <w:sz w:val="24"/>
      <w:szCs w:val="24"/>
    </w:rPr>
  </w:style>
  <w:style w:type="paragraph" w:styleId="NormaleWeb">
    <w:name w:val="Normal (Web)"/>
    <w:basedOn w:val="Normale"/>
    <w:uiPriority w:val="99"/>
    <w:unhideWhenUsed/>
    <w:rsid w:val="00AB6715"/>
    <w:pPr>
      <w:spacing w:before="100" w:beforeAutospacing="1" w:after="100" w:afterAutospacing="1"/>
    </w:pPr>
    <w:rPr>
      <w:rFonts w:eastAsia="Times New Roman" w:cs="Times New Roman"/>
      <w:szCs w:val="24"/>
    </w:rPr>
  </w:style>
  <w:style w:type="paragraph" w:styleId="Citazione">
    <w:name w:val="Quote"/>
    <w:basedOn w:val="Normale"/>
    <w:next w:val="Normale"/>
    <w:link w:val="CitazioneCarattere"/>
    <w:uiPriority w:val="29"/>
    <w:qFormat/>
    <w:rsid w:val="00AB6715"/>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AB6715"/>
    <w:rPr>
      <w:rFonts w:ascii="Times New Roman" w:hAnsi="Times New Roman"/>
      <w:i/>
      <w:iCs/>
      <w:color w:val="404040" w:themeColor="text1" w:themeTint="BF"/>
      <w:sz w:val="24"/>
    </w:rPr>
  </w:style>
  <w:style w:type="character" w:styleId="Enfasigrassetto">
    <w:name w:val="Strong"/>
    <w:basedOn w:val="Carpredefinitoparagrafo"/>
    <w:uiPriority w:val="22"/>
    <w:qFormat/>
    <w:rsid w:val="00AB6715"/>
    <w:rPr>
      <w:rFonts w:ascii="Times New Roman" w:hAnsi="Times New Roman"/>
      <w:b/>
      <w:bCs/>
    </w:rPr>
  </w:style>
  <w:style w:type="character" w:styleId="Enfasidelicata">
    <w:name w:val="Subtle Emphasis"/>
    <w:basedOn w:val="Carpredefinitoparagrafo"/>
    <w:uiPriority w:val="19"/>
    <w:qFormat/>
    <w:rsid w:val="00AB6715"/>
    <w:rPr>
      <w:rFonts w:ascii="Times New Roman" w:hAnsi="Times New Roman"/>
      <w:i/>
      <w:iCs/>
      <w:color w:val="404040" w:themeColor="text1" w:themeTint="BF"/>
    </w:rPr>
  </w:style>
  <w:style w:type="table" w:styleId="Grigliatabella">
    <w:name w:val="Table Grid"/>
    <w:basedOn w:val="Tabellanormale"/>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qFormat/>
    <w:rsid w:val="00AB6715"/>
    <w:pPr>
      <w:suppressLineNumbers/>
      <w:spacing w:before="240" w:after="360"/>
      <w:jc w:val="center"/>
    </w:pPr>
    <w:rPr>
      <w:rFonts w:cs="Times New Roman"/>
      <w:b/>
      <w:sz w:val="32"/>
      <w:szCs w:val="32"/>
    </w:rPr>
  </w:style>
  <w:style w:type="character" w:customStyle="1" w:styleId="TitoloCarattere">
    <w:name w:val="Titolo Carattere"/>
    <w:basedOn w:val="Carpredefinitoparagrafo"/>
    <w:link w:val="Titolo"/>
    <w:rsid w:val="00AB6715"/>
    <w:rPr>
      <w:rFonts w:ascii="Times New Roman" w:hAnsi="Times New Roman" w:cs="Times New Roman"/>
      <w:b/>
      <w:sz w:val="32"/>
      <w:szCs w:val="32"/>
    </w:rPr>
  </w:style>
  <w:style w:type="paragraph" w:customStyle="1" w:styleId="SupplementaryMaterial">
    <w:name w:val="Supplementary Material"/>
    <w:basedOn w:val="Titolo"/>
    <w:next w:val="Titolo"/>
    <w:qFormat/>
    <w:rsid w:val="0001436A"/>
    <w:pPr>
      <w:spacing w:after="120"/>
    </w:pPr>
    <w:rPr>
      <w:i/>
    </w:rPr>
  </w:style>
  <w:style w:type="paragraph" w:styleId="Revisione">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chem.ncbi.nlm.nih.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4.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5.xml><?xml version="1.0" encoding="utf-8"?>
<ds:datastoreItem xmlns:ds="http://schemas.openxmlformats.org/officeDocument/2006/customXml" ds:itemID="{8719D807-21B4-484E-B6F0-DCF2F8D25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4</TotalTime>
  <Pages>3</Pages>
  <Words>877</Words>
  <Characters>5002</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Federico Ghiselli - Vetagro</cp:lastModifiedBy>
  <cp:revision>5</cp:revision>
  <cp:lastPrinted>2013-10-03T12:51:00Z</cp:lastPrinted>
  <dcterms:created xsi:type="dcterms:W3CDTF">2024-08-29T11:31:00Z</dcterms:created>
  <dcterms:modified xsi:type="dcterms:W3CDTF">2024-08-29T11:35:00Z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