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81" w:rsidRDefault="009D1181" w:rsidP="009D1181">
      <w:pPr>
        <w:jc w:val="center"/>
      </w:pPr>
      <w:r w:rsidRPr="003F1506">
        <w:rPr>
          <w:rFonts w:cstheme="minorHAnsi"/>
          <w:b/>
          <w:bCs/>
          <w:sz w:val="20"/>
          <w:szCs w:val="20"/>
        </w:rPr>
        <w:t>APPENDIX 1: FISTULOTOMY STUDIES</w:t>
      </w:r>
      <w:r>
        <w:t xml:space="preserve"> </w:t>
      </w:r>
    </w:p>
    <w:tbl>
      <w:tblPr>
        <w:tblStyle w:val="TableGrid"/>
        <w:tblW w:w="10910" w:type="dxa"/>
        <w:jc w:val="center"/>
        <w:tblLook w:val="04A0"/>
      </w:tblPr>
      <w:tblGrid>
        <w:gridCol w:w="385"/>
        <w:gridCol w:w="1584"/>
        <w:gridCol w:w="2846"/>
        <w:gridCol w:w="1200"/>
        <w:gridCol w:w="1918"/>
        <w:gridCol w:w="2977"/>
      </w:tblGrid>
      <w:tr w:rsidR="009D1181" w:rsidRPr="003F1506" w:rsidTr="00834885">
        <w:trPr>
          <w:jc w:val="center"/>
        </w:trPr>
        <w:tc>
          <w:tcPr>
            <w:tcW w:w="385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1584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Author (year)</w:t>
            </w:r>
          </w:p>
        </w:tc>
        <w:tc>
          <w:tcPr>
            <w:tcW w:w="2846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Sample size (groups)</w:t>
            </w:r>
          </w:p>
        </w:tc>
        <w:tc>
          <w:tcPr>
            <w:tcW w:w="1200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Results</w:t>
            </w:r>
          </w:p>
        </w:tc>
        <w:tc>
          <w:tcPr>
            <w:tcW w:w="1918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Adverse events</w:t>
            </w:r>
          </w:p>
        </w:tc>
        <w:tc>
          <w:tcPr>
            <w:tcW w:w="2977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Conclusion</w:t>
            </w:r>
          </w:p>
        </w:tc>
      </w:tr>
      <w:tr w:rsidR="009D1181" w:rsidRPr="003F1506" w:rsidTr="00834885">
        <w:trPr>
          <w:jc w:val="center"/>
        </w:trPr>
        <w:tc>
          <w:tcPr>
            <w:tcW w:w="385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1.</w:t>
            </w:r>
          </w:p>
        </w:tc>
        <w:tc>
          <w:tcPr>
            <w:tcW w:w="1584" w:type="dxa"/>
          </w:tcPr>
          <w:p w:rsidR="00DC7B53" w:rsidRPr="00C86C40" w:rsidRDefault="009D1181" w:rsidP="00DC7B53">
            <w:pPr>
              <w:rPr>
                <w:rFonts w:cs="Arial (Body CS)"/>
                <w:vertAlign w:val="superscript"/>
              </w:rPr>
            </w:pPr>
            <w:r w:rsidRPr="003F1506">
              <w:rPr>
                <w:rFonts w:cstheme="minorHAnsi"/>
                <w:sz w:val="20"/>
                <w:szCs w:val="20"/>
                <w:lang w:val="fr-CA"/>
              </w:rPr>
              <w:t xml:space="preserve">Furuya C.K. et. Al.  </w:t>
            </w:r>
            <w:r w:rsidRPr="003F1506">
              <w:rPr>
                <w:rFonts w:cstheme="minorHAnsi"/>
                <w:sz w:val="20"/>
                <w:szCs w:val="20"/>
                <w:lang w:val="en-CA"/>
              </w:rPr>
              <w:t>(2018</w:t>
            </w:r>
            <w:r w:rsidR="008A1F60">
              <w:rPr>
                <w:rFonts w:cstheme="minorHAnsi"/>
                <w:sz w:val="20"/>
                <w:szCs w:val="20"/>
                <w:lang w:val="en-CA"/>
              </w:rPr>
              <w:t xml:space="preserve">) </w:t>
            </w:r>
            <w:r w:rsidR="00DC7B53" w:rsidRPr="00DC7B53">
              <w:rPr>
                <w:rFonts w:cs="Arial (Body CS)"/>
                <w:sz w:val="20"/>
                <w:szCs w:val="20"/>
                <w:vertAlign w:val="superscript"/>
              </w:rPr>
              <w:t>23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vertAlign w:val="superscript"/>
                <w:lang w:val="en-CA"/>
              </w:rPr>
            </w:pP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Prospective randomized trial</w:t>
            </w:r>
          </w:p>
        </w:tc>
        <w:tc>
          <w:tcPr>
            <w:tcW w:w="2846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N = 102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Papillary Fistulotomy (aka Needle knife fistulotomy) (F: n = 51) vs standard biliary cannulation (S: n = 51)</w:t>
            </w:r>
          </w:p>
        </w:tc>
        <w:tc>
          <w:tcPr>
            <w:tcW w:w="1200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Success rate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F: 100%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S: 76.5%</w:t>
            </w:r>
          </w:p>
        </w:tc>
        <w:tc>
          <w:tcPr>
            <w:tcW w:w="1918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Perforation and pancreatitis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F: N=1 (2%)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S: N=7 (13.7%)</w:t>
            </w:r>
          </w:p>
        </w:tc>
        <w:tc>
          <w:tcPr>
            <w:tcW w:w="2977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Papillary Fistulotomy is more effective than standard cannulation with similar complication rates. </w:t>
            </w:r>
          </w:p>
        </w:tc>
      </w:tr>
      <w:tr w:rsidR="009D1181" w:rsidRPr="003F1506" w:rsidTr="00834885">
        <w:trPr>
          <w:jc w:val="center"/>
        </w:trPr>
        <w:tc>
          <w:tcPr>
            <w:tcW w:w="385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2.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1584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Jin Y-J et. Al. (2016)</w:t>
            </w:r>
            <w:r w:rsidR="00942BD5">
              <w:rPr>
                <w:rFonts w:cstheme="minorHAnsi"/>
                <w:sz w:val="20"/>
                <w:szCs w:val="20"/>
              </w:rPr>
              <w:fldChar w:fldCharType="begin"/>
            </w:r>
            <w:r w:rsidR="008A1F60">
              <w:rPr>
                <w:rFonts w:cstheme="minorHAnsi"/>
                <w:sz w:val="20"/>
                <w:szCs w:val="20"/>
                <w:lang w:val="en-CA"/>
              </w:rPr>
              <w:instrText xml:space="preserve"> ADDIN PAPERS2_CITATIONS &lt;citation&gt;&lt;priority&gt;0&lt;/priority&gt;&lt;uuid&gt;E80FDC4B-3A26-4A47-B342-1EF105A05C42&lt;/uuid&gt;&lt;publications&gt;&lt;publication&gt;&lt;subtype&gt;400&lt;/subtype&gt;&lt;title&gt;Utility of needle-knife fistulotomy as an initial method of biliary cannulation to prevent post-ERCP pancreatitis in a highly selected at-risk group: a single-arm prospective feasibility study.&lt;/title&gt;&lt;url&gt;https://linkinghub.elsevier.com/retrieve/pii/S0016510716300578&lt;/url&gt;&lt;volume&gt;84&lt;/volume&gt;&lt;publication_date&gt;99201611001200000000220000&lt;/publication_date&gt;&lt;uuid&gt;6A9B5227-9D03-449C-9AF3-500BC7EC7405&lt;/uuid&gt;&lt;type&gt;400&lt;/type&gt;&lt;accepted_date&gt;99201604071200000000222000&lt;/accepted_date&gt;&lt;number&gt;5&lt;/number&gt;&lt;submission_date&gt;99201511201200000000222000&lt;/submission_date&gt;&lt;doi&gt;10.1016/j.gie.2016.04.011&lt;/doi&gt;&lt;institution&gt;Digestive Disease Center, Department of Internal Medicine, Inha University Hospital, Inha University School of Medicine, Incheon, South Korea.&lt;/institution&gt;&lt;startpage&gt;808&lt;/startpage&gt;&lt;endpage&gt;813&lt;/endpage&gt;&lt;bundle&gt;&lt;publication&gt;&lt;title&gt;Gastrointestinal endoscopy&lt;/title&gt;&lt;uuid&gt;56DF2199-7DCB-41BC-B26F-F93368A9500F&lt;/uuid&gt;&lt;subtype&gt;-100&lt;/subtype&gt;&lt;type&gt;-100&lt;/type&gt;&lt;/publication&gt;&lt;/bundle&gt;&lt;authors&gt;&lt;author&gt;&lt;lastName&gt;Jin&lt;/lastName&gt;&lt;firstName&gt;Young-Joo&lt;/firstName&gt;&lt;/author&gt;&lt;author&gt;&lt;lastName&gt;Jeong&lt;/lastName&gt;&lt;firstName&gt;Seok&lt;/firstName&gt;&lt;/author&gt;&lt;author&gt;&lt;lastName&gt;Lee&lt;/lastName&gt;&lt;firstName&gt;Don&lt;/firstName&gt;&lt;middleNames&gt;Haeng&lt;/middleNames&gt;&lt;/author&gt;&lt;/authors&gt;&lt;/publication&gt;&lt;/publications&gt;&lt;cites&gt;&lt;/cites&gt;&lt;/citation&gt;</w:instrText>
            </w:r>
            <w:r w:rsidR="00942BD5">
              <w:rPr>
                <w:rFonts w:cstheme="minorHAnsi"/>
                <w:sz w:val="20"/>
                <w:szCs w:val="20"/>
              </w:rPr>
              <w:fldChar w:fldCharType="separate"/>
            </w:r>
            <w:r w:rsidR="008A1F60">
              <w:rPr>
                <w:rFonts w:ascii="Calibri" w:eastAsiaTheme="minorHAnsi" w:hAnsi="Calibri" w:cs="Calibri"/>
                <w:sz w:val="20"/>
                <w:szCs w:val="20"/>
                <w:vertAlign w:val="superscript"/>
              </w:rPr>
              <w:t>21</w:t>
            </w:r>
            <w:r w:rsidR="00942BD5">
              <w:rPr>
                <w:rFonts w:cstheme="minorHAnsi"/>
                <w:sz w:val="20"/>
                <w:szCs w:val="20"/>
              </w:rPr>
              <w:fldChar w:fldCharType="end"/>
            </w: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 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Single arm prospective </w:t>
            </w:r>
          </w:p>
        </w:tc>
        <w:tc>
          <w:tcPr>
            <w:tcW w:w="2846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N = 55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Needle knife fistulotomy (NKF), as initial procedure in high risk patients.</w:t>
            </w:r>
          </w:p>
        </w:tc>
        <w:tc>
          <w:tcPr>
            <w:tcW w:w="1200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Success rate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F: 96.3%</w:t>
            </w:r>
          </w:p>
        </w:tc>
        <w:tc>
          <w:tcPr>
            <w:tcW w:w="1918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Pancreatitis 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N=0 (0%)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Perforation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N= 1 (1.8%)</w:t>
            </w:r>
          </w:p>
        </w:tc>
        <w:tc>
          <w:tcPr>
            <w:tcW w:w="2977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NKF is feasible to be used as an initial procedure</w:t>
            </w:r>
          </w:p>
        </w:tc>
      </w:tr>
      <w:tr w:rsidR="009D1181" w:rsidRPr="003F1506" w:rsidTr="00834885">
        <w:trPr>
          <w:jc w:val="center"/>
        </w:trPr>
        <w:tc>
          <w:tcPr>
            <w:tcW w:w="385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3.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1584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Ayoubi M et. Al. (2012) </w:t>
            </w:r>
            <w:r w:rsidR="00942BD5">
              <w:rPr>
                <w:rFonts w:cstheme="minorHAnsi"/>
                <w:sz w:val="20"/>
                <w:szCs w:val="20"/>
              </w:rPr>
              <w:fldChar w:fldCharType="begin"/>
            </w:r>
            <w:r w:rsidR="008A1F60">
              <w:rPr>
                <w:rFonts w:cstheme="minorHAnsi"/>
                <w:sz w:val="20"/>
                <w:szCs w:val="20"/>
                <w:lang w:val="en-CA"/>
              </w:rPr>
              <w:instrText xml:space="preserve"> ADDIN PAPERS2_CITATIONS &lt;citation&gt;&lt;priority&gt;0&lt;/priority&gt;&lt;uuid&gt;47353C57-C058-4BC1-A076-39C54433DB2B&lt;/uuid&gt;&lt;publications&gt;&lt;publication&gt;&lt;subtype&gt;400&lt;/subtype&gt;&lt;title&gt;Comparison between needle-knife fistulotomy and standard cannulation in ERCP.&lt;/title&gt;&lt;url&gt;http://www.wjgnet.com/1948-5190/full/v4/i9/398.htm&lt;/url&gt;&lt;volume&gt;4&lt;/volume&gt;&lt;revision_date&gt;99201207021200000000222000&lt;/revision_date&gt;&lt;publication_date&gt;99201209161200000000222000&lt;/publication_date&gt;&lt;uuid&gt;B3C4AE5D-6E85-4459-BEEC-67F595C0CA21&lt;/uuid&gt;&lt;type&gt;400&lt;/type&gt;&lt;accepted_date&gt;99201209121200000000222000&lt;/accepted_date&gt;&lt;number&gt;9&lt;/number&gt;&lt;submission_date&gt;99201202011200000000222000&lt;/submission_date&gt;&lt;doi&gt;10.4253/wjge.v4.i9.398&lt;/doi&gt;&lt;institution&gt;Mohammad Ayoubi, Gianni Sansoè, Nicola Leone, Francesca Castellino, Endoscopy unit, Gradenigo Hospital, 10153 Torino, Italy.&lt;/institution&gt;&lt;startpage&gt;398&lt;/startpage&gt;&lt;endpage&gt;404&lt;/endpage&gt;&lt;bundle&gt;&lt;publication&gt;&lt;title&gt;World journal of gastrointestinal endoscopy&lt;/title&gt;&lt;uuid&gt;B6ACC7C8-3A92-4E72-BE66-6AB52E56689A&lt;/uuid&gt;&lt;subtype&gt;-100&lt;/subtype&gt;&lt;type&gt;-100&lt;/type&gt;&lt;/publication&gt;&lt;/bundle&gt;&lt;authors&gt;&lt;author&gt;&lt;lastName&gt;Ayoubi&lt;/lastName&gt;&lt;firstName&gt;Mohammad&lt;/firstName&gt;&lt;/author&gt;&lt;author&gt;&lt;lastName&gt;Sansoè&lt;/lastName&gt;&lt;firstName&gt;Giovanni&lt;/firstName&gt;&lt;/author&gt;&lt;author&gt;&lt;lastName&gt;Leone&lt;/lastName&gt;&lt;firstName&gt;Nicola&lt;/firstName&gt;&lt;/author&gt;&lt;author&gt;&lt;lastName&gt;Castellino&lt;/lastName&gt;&lt;firstName&gt;Francesca&lt;/firstName&gt;&lt;/author&gt;&lt;/authors&gt;&lt;/publication&gt;&lt;/publications&gt;&lt;cites&gt;&lt;/cites&gt;&lt;/citation&gt;</w:instrText>
            </w:r>
            <w:r w:rsidR="00942BD5">
              <w:rPr>
                <w:rFonts w:cstheme="minorHAnsi"/>
                <w:sz w:val="20"/>
                <w:szCs w:val="20"/>
              </w:rPr>
              <w:fldChar w:fldCharType="separate"/>
            </w:r>
            <w:r w:rsidR="008A1F60">
              <w:rPr>
                <w:rFonts w:ascii="Calibri" w:eastAsiaTheme="minorHAnsi" w:hAnsi="Calibri" w:cs="Calibri"/>
                <w:sz w:val="20"/>
                <w:szCs w:val="20"/>
                <w:vertAlign w:val="superscript"/>
              </w:rPr>
              <w:t>20</w:t>
            </w:r>
            <w:r w:rsidR="00942BD5">
              <w:rPr>
                <w:rFonts w:cstheme="minorHAnsi"/>
                <w:sz w:val="20"/>
                <w:szCs w:val="20"/>
              </w:rPr>
              <w:fldChar w:fldCharType="end"/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Retrospective cohort study </w:t>
            </w:r>
          </w:p>
        </w:tc>
        <w:tc>
          <w:tcPr>
            <w:tcW w:w="2846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N = 173 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Standard cannulation (S: n=85) vs Fistulotomy (F: n=88)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If Standard failed, Rescue NKF attempted (R: n=25) </w:t>
            </w:r>
          </w:p>
        </w:tc>
        <w:tc>
          <w:tcPr>
            <w:tcW w:w="1200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Success rate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S: 70.6%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F: 96.5%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R: 84% </w:t>
            </w:r>
          </w:p>
        </w:tc>
        <w:tc>
          <w:tcPr>
            <w:tcW w:w="1918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Hyperamilasemia (F=7.9% vs S=8.2%)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Pancreatitis 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(F=1.1% vs S=5.8%)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Bleeding 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(F=3.4% vs S=3.5%)</w:t>
            </w:r>
          </w:p>
        </w:tc>
        <w:tc>
          <w:tcPr>
            <w:tcW w:w="2977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NKF should be used as a first approach for ERCP or as a rescue following failure of the standard procedure. </w:t>
            </w:r>
          </w:p>
        </w:tc>
      </w:tr>
      <w:tr w:rsidR="009D1181" w:rsidRPr="003F1506" w:rsidTr="00834885">
        <w:trPr>
          <w:jc w:val="center"/>
        </w:trPr>
        <w:tc>
          <w:tcPr>
            <w:tcW w:w="385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4.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1584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Lopes L. et. Al.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(2014) </w:t>
            </w:r>
            <w:r w:rsidR="00942BD5">
              <w:rPr>
                <w:rFonts w:cstheme="minorHAnsi"/>
                <w:sz w:val="20"/>
                <w:szCs w:val="20"/>
              </w:rPr>
              <w:fldChar w:fldCharType="begin"/>
            </w:r>
            <w:r w:rsidR="008A1F60">
              <w:rPr>
                <w:rFonts w:cstheme="minorHAnsi"/>
                <w:sz w:val="20"/>
                <w:szCs w:val="20"/>
                <w:lang w:val="en-CA"/>
              </w:rPr>
              <w:instrText xml:space="preserve"> ADDIN PAPERS2_CITATIONS &lt;citation&gt;&lt;priority&gt;0&lt;/priority&gt;&lt;uuid&gt;681AA84F-1BE7-4D37-96C8-0C685DD235E1&lt;/uuid&gt;&lt;publications&gt;&lt;publication&gt;&lt;subtype&gt;400&lt;/subtype&gt;&lt;title&gt;Early precut fistulotomy for biliary access: time to change the paradigm of "the later, the better"?&lt;/title&gt;&lt;url&gt;https://linkinghub.elsevier.com/retrieve/pii/S0016510714012395&lt;/url&gt;&lt;volume&gt;80&lt;/volume&gt;&lt;publication_date&gt;99201410001200000000220000&lt;/publication_date&gt;&lt;uuid&gt;0FBA8A06-B147-4C26-872A-5C139F7B78C5&lt;/uuid&gt;&lt;type&gt;400&lt;/type&gt;&lt;accepted_date&gt;99201403071200000000222000&lt;/accepted_date&gt;&lt;number&gt;4&lt;/number&gt;&lt;submission_date&gt;99201310021200000000222000&lt;/submission_date&gt;&lt;doi&gt;10.1016/j.gie.2014.03.014&lt;/doi&gt;&lt;institution&gt;Department of Gastroenterology, Hospital of Santa Luzia, Viana do Castelo, Portugal; Life and Health Sciences Research Institute (ICVS), School of Health Sciences, University of Minho, Braga, Portugal; ICVS/3B's, PT Government Associate Laboratory, Guimarães/Braga, Portugal.&lt;/institution&gt;&lt;startpage&gt;634&lt;/startpage&gt;&lt;endpage&gt;641&lt;/endpage&gt;&lt;bundle&gt;&lt;publication&gt;&lt;title&gt;Gastrointestinal endoscopy&lt;/title&gt;&lt;uuid&gt;56DF2199-7DCB-41BC-B26F-F93368A9500F&lt;/uuid&gt;&lt;subtype&gt;-100&lt;/subtype&gt;&lt;type&gt;-100&lt;/type&gt;&lt;/publication&gt;&lt;/bundle&gt;&lt;authors&gt;&lt;author&gt;&lt;lastName&gt;Lopes&lt;/lastName&gt;&lt;firstName&gt;Luís&lt;/firstName&gt;&lt;/author&gt;&lt;author&gt;&lt;lastName&gt;Dinis-Ribeiro&lt;/lastName&gt;&lt;firstName&gt;Mário&lt;/firstName&gt;&lt;/author&gt;&lt;author&gt;&lt;lastName&gt;Rolanda&lt;/lastName&gt;&lt;firstName&gt;Carla&lt;/firstName&gt;&lt;/author&gt;&lt;/authors&gt;&lt;/publication&gt;&lt;/publications&gt;&lt;cites&gt;&lt;/cites&gt;&lt;/citation&gt;</w:instrText>
            </w:r>
            <w:r w:rsidR="00942BD5">
              <w:rPr>
                <w:rFonts w:cstheme="minorHAnsi"/>
                <w:sz w:val="20"/>
                <w:szCs w:val="20"/>
              </w:rPr>
              <w:fldChar w:fldCharType="separate"/>
            </w:r>
            <w:r w:rsidR="008A1F60">
              <w:rPr>
                <w:rFonts w:ascii="Calibri" w:eastAsiaTheme="minorHAnsi" w:hAnsi="Calibri" w:cs="Calibri"/>
                <w:sz w:val="20"/>
                <w:szCs w:val="20"/>
                <w:vertAlign w:val="superscript"/>
              </w:rPr>
              <w:t>19</w:t>
            </w:r>
            <w:r w:rsidR="00942BD5">
              <w:rPr>
                <w:rFonts w:cstheme="minorHAnsi"/>
                <w:sz w:val="20"/>
                <w:szCs w:val="20"/>
              </w:rPr>
              <w:fldChar w:fldCharType="end"/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Retrospective case series</w:t>
            </w:r>
          </w:p>
        </w:tc>
        <w:tc>
          <w:tcPr>
            <w:tcW w:w="2846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N = 1087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Standard cannulation (S, n=883) vs Fistulotomy as rescue (R, n=204) vs needing second ERCP with NKF (n=25) 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1200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Success rate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S: 81%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R: 81%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2</w:t>
            </w:r>
            <w:r w:rsidRPr="003F1506">
              <w:rPr>
                <w:rFonts w:cstheme="minorHAnsi"/>
                <w:sz w:val="20"/>
                <w:szCs w:val="20"/>
                <w:vertAlign w:val="superscript"/>
                <w:lang w:val="en-CA"/>
              </w:rPr>
              <w:t>nd</w:t>
            </w: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 ERCP: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90%</w:t>
            </w:r>
          </w:p>
        </w:tc>
        <w:tc>
          <w:tcPr>
            <w:tcW w:w="1918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(No data for standard cannulation)  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For NKF (n=204):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Pancreatitis (n=13, 6.4%), Bleeding (n=2, 1%), Perforation (n=1, 0.5%). </w:t>
            </w:r>
          </w:p>
        </w:tc>
        <w:tc>
          <w:tcPr>
            <w:tcW w:w="2977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NKF is safe and highly useful in cases of difficult biliary cannulation. Risk of fistulotomy complications higher if CBD &lt; 4mm. </w:t>
            </w:r>
          </w:p>
        </w:tc>
      </w:tr>
      <w:tr w:rsidR="009D1181" w:rsidRPr="003F1506" w:rsidTr="00834885">
        <w:trPr>
          <w:jc w:val="center"/>
        </w:trPr>
        <w:tc>
          <w:tcPr>
            <w:tcW w:w="385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5.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1584" w:type="dxa"/>
          </w:tcPr>
          <w:p w:rsidR="009D1181" w:rsidRPr="00157BE4" w:rsidRDefault="009D1181" w:rsidP="00834885">
            <w:pPr>
              <w:rPr>
                <w:rFonts w:cstheme="minorHAnsi"/>
                <w:sz w:val="20"/>
                <w:szCs w:val="20"/>
                <w:lang w:val="fr-CA"/>
              </w:rPr>
            </w:pPr>
            <w:r w:rsidRPr="00157BE4">
              <w:rPr>
                <w:rFonts w:cstheme="minorHAnsi"/>
                <w:sz w:val="20"/>
                <w:szCs w:val="20"/>
                <w:lang w:val="fr-CA"/>
              </w:rPr>
              <w:t xml:space="preserve">Katsinelos P. et. Al. (2012) </w:t>
            </w:r>
            <w:r w:rsidR="00942BD5">
              <w:rPr>
                <w:rFonts w:cstheme="minorHAnsi"/>
                <w:sz w:val="20"/>
                <w:szCs w:val="20"/>
              </w:rPr>
              <w:fldChar w:fldCharType="begin"/>
            </w:r>
            <w:r w:rsidR="008A1F60" w:rsidRPr="00157BE4">
              <w:rPr>
                <w:rFonts w:cstheme="minorHAnsi"/>
                <w:sz w:val="20"/>
                <w:szCs w:val="20"/>
                <w:lang w:val="fr-CA"/>
              </w:rPr>
              <w:instrText xml:space="preserve"> ADDIN PAPERS2_CITATIONS &lt;citation&gt;&lt;priority&gt;0&lt;/priority&gt;&lt;uuid&gt;A3C69A66-17A0-48BC-B2A2-6F1BF9CE853E&lt;/uuid&gt;&lt;publications&gt;&lt;publication&gt;&lt;subtype&gt;400&lt;/subtype&gt;&lt;title&gt;Comparison of three types of precut technique to achieve common bile duct cannulation: a retrospective analysis of 274 cases.&lt;/title&gt;&lt;url&gt;http://link.springer.com/10.1007/s10620-012-2271-8&lt;/url&gt;&lt;volume&gt;57&lt;/volume&gt;&lt;publication_date&gt;99201212001200000000220000&lt;/publication_date&gt;&lt;uuid&gt;FA5C1C62-1BB6-4EBF-B4EA-67E4F5579B77&lt;/uuid&gt;&lt;type&gt;400&lt;/type&gt;&lt;accepted_date&gt;99201206011200000000222000&lt;/accepted_date&gt;&lt;number&gt;12&lt;/number&gt;&lt;submission_date&gt;99201112221200000000222000&lt;/submission_date&gt;&lt;doi&gt;10.1007/s10620-012-2271-8&lt;/doi&gt;&lt;institution&gt;Department of Endoscopy and Motility Unit, G. Gennimatas General Hospital, School of Medicine, Aristotle University of Thessaloniki, Thessaloniki, Greece.&lt;/institution&gt;&lt;startpage&gt;3286&lt;/startpage&gt;&lt;endpage&gt;3292&lt;/endpage&gt;&lt;bundle&gt;&lt;publication&gt;&lt;title&gt;Digestive diseases and sciences&lt;/title&gt;&lt;uuid&gt;C4AEA4EF-6A17-4B0B-88CD-1B95CA34A748&lt;/uuid&gt;&lt;subtype&gt;-100&lt;/subtype&gt;&lt;type&gt;-100&lt;/type&gt;&lt;/publication&gt;&lt;/bundle&gt;&lt;authors&gt;&lt;author&gt;&lt;lastName&gt;Katsinelos&lt;/lastName&gt;&lt;firstName&gt;Panagiotis&lt;/firstName&gt;&lt;/author&gt;&lt;author&gt;&lt;lastName&gt;Gkagkalis&lt;/lastName&gt;&lt;firstName&gt;Stergios&lt;/firstName&gt;&lt;/author&gt;&lt;author&gt;&lt;lastName&gt;Chatzimavroudis&lt;/lastName&gt;&lt;firstName&gt;Grigoris&lt;/firstName&gt;&lt;/author&gt;&lt;author&gt;&lt;lastName&gt;Beltsis&lt;/lastName&gt;&lt;firstName&gt;Athanasios&lt;/firstName&gt;&lt;/author&gt;&lt;author&gt;&lt;lastName&gt;Terzoudis&lt;/lastName&gt;&lt;firstName&gt;Sotiris&lt;/firstName&gt;&lt;/author&gt;&lt;author&gt;&lt;lastName&gt;Zavos&lt;/lastName&gt;&lt;firstName&gt;Christos&lt;/firstName&gt;&lt;/author&gt;&lt;author&gt;&lt;lastName&gt;Gatopoulou&lt;/lastName&gt;&lt;firstName&gt;Anthi&lt;/firstName&gt;&lt;/author&gt;&lt;author&gt;&lt;lastName&gt;Lazaraki&lt;/lastName&gt;&lt;firstName&gt;Georgia&lt;/firstName&gt;&lt;/author&gt;&lt;author&gt;&lt;lastName&gt;Vasiliadis&lt;/lastName&gt;&lt;firstName&gt;Themistoklis&lt;/firstName&gt;&lt;/author&gt;&lt;author&gt;&lt;lastName&gt;Kountouras&lt;/lastName&gt;&lt;firstName&gt;Jannis&lt;/firstName&gt;&lt;/author&gt;&lt;/authors&gt;&lt;/publication&gt;&lt;/publications&gt;&lt;cites&gt;&lt;/cites&gt;&lt;/citation&gt;</w:instrText>
            </w:r>
            <w:r w:rsidR="00942BD5">
              <w:rPr>
                <w:rFonts w:cstheme="minorHAnsi"/>
                <w:sz w:val="20"/>
                <w:szCs w:val="20"/>
              </w:rPr>
              <w:fldChar w:fldCharType="separate"/>
            </w:r>
            <w:r w:rsidR="008A1F60" w:rsidRPr="00157BE4">
              <w:rPr>
                <w:rFonts w:ascii="Calibri" w:eastAsiaTheme="minorHAnsi" w:hAnsi="Calibri" w:cs="Calibri"/>
                <w:sz w:val="20"/>
                <w:szCs w:val="20"/>
                <w:vertAlign w:val="superscript"/>
                <w:lang w:val="fr-CA"/>
              </w:rPr>
              <w:t>15</w:t>
            </w:r>
            <w:r w:rsidR="00942BD5">
              <w:rPr>
                <w:rFonts w:cstheme="minorHAnsi"/>
                <w:sz w:val="20"/>
                <w:szCs w:val="20"/>
              </w:rPr>
              <w:fldChar w:fldCharType="end"/>
            </w:r>
          </w:p>
          <w:p w:rsidR="009D1181" w:rsidRPr="00157BE4" w:rsidRDefault="009D1181" w:rsidP="00834885">
            <w:pPr>
              <w:rPr>
                <w:rFonts w:cstheme="minorHAnsi"/>
                <w:sz w:val="20"/>
                <w:szCs w:val="20"/>
                <w:lang w:val="fr-CA"/>
              </w:rPr>
            </w:pPr>
          </w:p>
          <w:p w:rsidR="009D1181" w:rsidRPr="00157BE4" w:rsidRDefault="009D1181" w:rsidP="00834885">
            <w:pPr>
              <w:rPr>
                <w:rFonts w:cstheme="minorHAnsi"/>
                <w:sz w:val="20"/>
                <w:szCs w:val="20"/>
                <w:lang w:val="fr-CA"/>
              </w:rPr>
            </w:pPr>
            <w:r w:rsidRPr="00157BE4">
              <w:rPr>
                <w:rFonts w:cstheme="minorHAnsi"/>
                <w:sz w:val="20"/>
                <w:szCs w:val="20"/>
                <w:lang w:val="fr-CA"/>
              </w:rPr>
              <w:t>Retrospective case series</w:t>
            </w:r>
          </w:p>
        </w:tc>
        <w:tc>
          <w:tcPr>
            <w:tcW w:w="2846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N = 274 (done as rescue)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Needle knife papillotomy (NKP) n=129 vs suprapapillary fistulotomy (SPF) n=78 vs transpancreatic sphincterotomy (TPS) n=67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</w:p>
          <w:p w:rsidR="009D1181" w:rsidRPr="003F1506" w:rsidRDefault="009D1181" w:rsidP="00834885">
            <w:pPr>
              <w:rPr>
                <w:rFonts w:cstheme="minorHAnsi"/>
                <w:i/>
                <w:iCs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i/>
                <w:iCs/>
                <w:sz w:val="20"/>
                <w:szCs w:val="20"/>
                <w:lang w:val="en-CA"/>
              </w:rPr>
              <w:t>Complications reported only for rescue techniques (not for standard procedure).</w:t>
            </w:r>
          </w:p>
        </w:tc>
        <w:tc>
          <w:tcPr>
            <w:tcW w:w="1200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Success rates (incl 2</w:t>
            </w:r>
            <w:r w:rsidRPr="003F1506">
              <w:rPr>
                <w:rFonts w:cstheme="minorHAnsi"/>
                <w:sz w:val="20"/>
                <w:szCs w:val="20"/>
                <w:vertAlign w:val="superscript"/>
                <w:lang w:val="en-CA"/>
              </w:rPr>
              <w:t>nd</w:t>
            </w: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 ERCP)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NKP: 97.7%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SPF: 98.7%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TPS: 100%</w:t>
            </w:r>
          </w:p>
        </w:tc>
        <w:tc>
          <w:tcPr>
            <w:tcW w:w="1918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Pancreatitis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NKP: n=27 (21%)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SPF: n=2 (2.6%)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TPS: n=15 (22.4%)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Bleeding 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NKP: n=5 (3.9%)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SPF: n=4 (5.1%)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TPS: n=0 (0%)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Perforation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NKP: 1 (0.8%) vs 0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Death (pancreatitis)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SPF: n=1 (1.3%) vs 0</w:t>
            </w:r>
          </w:p>
        </w:tc>
        <w:tc>
          <w:tcPr>
            <w:tcW w:w="2977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All three types of precut sphincterotomy have similar cannulation rates when used as a rescue. Risk of pancreatitis is lower with SPF. </w:t>
            </w:r>
          </w:p>
        </w:tc>
      </w:tr>
      <w:tr w:rsidR="009D1181" w:rsidRPr="003F1506" w:rsidTr="00834885">
        <w:trPr>
          <w:jc w:val="center"/>
        </w:trPr>
        <w:tc>
          <w:tcPr>
            <w:tcW w:w="385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6.</w:t>
            </w:r>
          </w:p>
        </w:tc>
        <w:tc>
          <w:tcPr>
            <w:tcW w:w="1584" w:type="dxa"/>
          </w:tcPr>
          <w:p w:rsidR="00DC7B53" w:rsidRPr="00C86C40" w:rsidRDefault="009D1181" w:rsidP="00DC7B53">
            <w:pPr>
              <w:rPr>
                <w:rFonts w:cs="Arial (Body CS)"/>
                <w:sz w:val="20"/>
                <w:szCs w:val="20"/>
                <w:vertAlign w:val="superscript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Mavrogiannis C. et. Al. (1999) </w:t>
            </w:r>
            <w:r w:rsidR="00DC7B53" w:rsidRPr="00C86C40">
              <w:rPr>
                <w:rFonts w:cs="Arial (Body CS)"/>
                <w:sz w:val="20"/>
                <w:szCs w:val="20"/>
                <w:vertAlign w:val="superscript"/>
              </w:rPr>
              <w:t>24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Prospective randomised trial</w:t>
            </w:r>
          </w:p>
        </w:tc>
        <w:tc>
          <w:tcPr>
            <w:tcW w:w="2846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N = 153 (failed standard)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Group 1: Needle knife fistulotomy (F: n=74)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Group 2: Pre-cut papillotomy (P: n=78)</w:t>
            </w:r>
          </w:p>
        </w:tc>
        <w:tc>
          <w:tcPr>
            <w:tcW w:w="1200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Success rates: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F: 90.54%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P: 88.6%</w:t>
            </w:r>
          </w:p>
        </w:tc>
        <w:tc>
          <w:tcPr>
            <w:tcW w:w="1918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Bleeding 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F: 6.75% vs P: 5.06%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Perforation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F: 2.7% vs P: 2.53%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Cholangitis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F: 1.35% vs P: 0%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Pancreatitis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F: 0% vs P: 7.59%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Death</w:t>
            </w:r>
          </w:p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>F: 0% vs P: 1.26%</w:t>
            </w:r>
          </w:p>
        </w:tc>
        <w:tc>
          <w:tcPr>
            <w:tcW w:w="2977" w:type="dxa"/>
          </w:tcPr>
          <w:p w:rsidR="009D1181" w:rsidRPr="003F1506" w:rsidRDefault="009D1181" w:rsidP="00834885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3F1506">
              <w:rPr>
                <w:rFonts w:cstheme="minorHAnsi"/>
                <w:sz w:val="20"/>
                <w:szCs w:val="20"/>
                <w:lang w:val="en-CA"/>
              </w:rPr>
              <w:t xml:space="preserve">Needle knife fistulotomy is safer than pre-cut papillotomy with respect to pancreatic complications. </w:t>
            </w:r>
          </w:p>
        </w:tc>
      </w:tr>
    </w:tbl>
    <w:p w:rsidR="008A1F60" w:rsidRDefault="009D1181" w:rsidP="009D1181">
      <w:r>
        <w:t xml:space="preserve"> </w:t>
      </w:r>
      <w:r w:rsidR="00942BD5">
        <w:fldChar w:fldCharType="begin"/>
      </w:r>
      <w:r w:rsidR="0015137D">
        <w:instrText xml:space="preserve"> ADDIN PAPERS2_CITATIONS &lt;papers2_bibliography/&gt;</w:instrText>
      </w:r>
      <w:r w:rsidR="00942BD5">
        <w:fldChar w:fldCharType="end"/>
      </w:r>
    </w:p>
    <w:p w:rsidR="000A5B49" w:rsidRDefault="000A5B49" w:rsidP="000A5B49">
      <w:pPr>
        <w:autoSpaceDE w:val="0"/>
        <w:autoSpaceDN w:val="0"/>
        <w:adjustRightInd w:val="0"/>
        <w:spacing w:after="0" w:line="240" w:lineRule="auto"/>
        <w:rPr>
          <w:rFonts w:ascii="Tahoma" w:eastAsiaTheme="minorHAnsi" w:hAnsi="Tahoma" w:cs="Tahoma"/>
          <w:color w:val="000000"/>
          <w:lang w:val="en-IN"/>
        </w:rPr>
      </w:pPr>
    </w:p>
    <w:p w:rsidR="000A5B49" w:rsidRDefault="000A5B49" w:rsidP="000A5B49">
      <w:pPr>
        <w:autoSpaceDE w:val="0"/>
        <w:autoSpaceDN w:val="0"/>
        <w:adjustRightInd w:val="0"/>
        <w:spacing w:after="0" w:line="240" w:lineRule="auto"/>
        <w:rPr>
          <w:rFonts w:ascii="Tahoma" w:eastAsiaTheme="minorHAnsi" w:hAnsi="Tahoma" w:cs="Tahoma"/>
          <w:sz w:val="20"/>
          <w:szCs w:val="20"/>
          <w:lang w:val="en-IN"/>
        </w:rPr>
      </w:pPr>
      <w:r>
        <w:rPr>
          <w:rFonts w:ascii="Tahoma" w:eastAsiaTheme="minorHAnsi" w:hAnsi="Tahoma" w:cs="Tahoma"/>
          <w:color w:val="000000"/>
          <w:lang w:val="en-IN"/>
        </w:rPr>
        <w:lastRenderedPageBreak/>
        <w:t>23.</w:t>
      </w:r>
      <w:r>
        <w:rPr>
          <w:rFonts w:ascii="Tahoma" w:eastAsiaTheme="minorHAnsi" w:hAnsi="Tahoma" w:cs="Tahoma"/>
          <w:color w:val="000000"/>
          <w:lang w:val="en-IN"/>
        </w:rPr>
        <w:tab/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Furuya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CK, Tavares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Marinho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FR,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Pinhata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Otoch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J, Cheng S,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Lemes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Prudencio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L,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Guimaraes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Hourneaux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de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Moura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E, de Almeida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Artifon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EL. Papillary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fistulotomy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vs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conventional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cannulation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for endoscopic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biliary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access: A prospective randomized trial. World Journal of Gastroenterology. 2018;24(16):1803-11.</w:t>
      </w:r>
    </w:p>
    <w:p w:rsidR="000A5B49" w:rsidRDefault="000A5B49" w:rsidP="000A5B49">
      <w:pPr>
        <w:autoSpaceDE w:val="0"/>
        <w:autoSpaceDN w:val="0"/>
        <w:adjustRightInd w:val="0"/>
        <w:spacing w:after="0" w:line="240" w:lineRule="auto"/>
        <w:rPr>
          <w:rFonts w:ascii="Tahoma" w:eastAsiaTheme="minorHAnsi" w:hAnsi="Tahoma" w:cs="Tahoma"/>
          <w:color w:val="000000"/>
          <w:lang w:val="en-IN"/>
        </w:rPr>
      </w:pPr>
    </w:p>
    <w:p w:rsidR="000A5B49" w:rsidRDefault="000A5B49" w:rsidP="000A5B49">
      <w:pPr>
        <w:autoSpaceDE w:val="0"/>
        <w:autoSpaceDN w:val="0"/>
        <w:adjustRightInd w:val="0"/>
        <w:spacing w:after="0" w:line="240" w:lineRule="auto"/>
        <w:rPr>
          <w:rFonts w:ascii="Tahoma" w:eastAsiaTheme="minorHAnsi" w:hAnsi="Tahoma" w:cs="Tahoma"/>
          <w:color w:val="000000"/>
          <w:lang w:val="en-IN"/>
        </w:rPr>
      </w:pPr>
      <w:r>
        <w:rPr>
          <w:rFonts w:ascii="Tahoma" w:eastAsiaTheme="minorHAnsi" w:hAnsi="Tahoma" w:cs="Tahoma"/>
          <w:color w:val="000000"/>
          <w:lang w:val="en-IN"/>
        </w:rPr>
        <w:t>24.</w:t>
      </w:r>
      <w:r>
        <w:rPr>
          <w:rFonts w:ascii="Tahoma" w:eastAsiaTheme="minorHAnsi" w:hAnsi="Tahoma" w:cs="Tahoma"/>
          <w:color w:val="000000"/>
          <w:lang w:val="en-IN"/>
        </w:rPr>
        <w:tab/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Mavrogiannis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C,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Liatsos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C,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Romanos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A,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Petoumenos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C,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Nakos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A,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Karvountzis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G. Needle-knife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fistlotomy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versus needle-knife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precut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</w:t>
      </w:r>
      <w:proofErr w:type="spellStart"/>
      <w:r>
        <w:rPr>
          <w:rFonts w:ascii="Tahoma" w:eastAsiaTheme="minorHAnsi" w:hAnsi="Tahoma" w:cs="Tahoma"/>
          <w:color w:val="000000"/>
          <w:lang w:val="en-IN"/>
        </w:rPr>
        <w:t>papillotomy</w:t>
      </w:r>
      <w:proofErr w:type="spellEnd"/>
      <w:r>
        <w:rPr>
          <w:rFonts w:ascii="Tahoma" w:eastAsiaTheme="minorHAnsi" w:hAnsi="Tahoma" w:cs="Tahoma"/>
          <w:color w:val="000000"/>
          <w:lang w:val="en-IN"/>
        </w:rPr>
        <w:t xml:space="preserve"> for the treatment of common bile duct stones. Gastrointestinal endoscopy. 1999;50(3):334-9.</w:t>
      </w:r>
    </w:p>
    <w:p w:rsidR="000A5B49" w:rsidRDefault="000A5B49" w:rsidP="000A5B49">
      <w:pPr>
        <w:autoSpaceDE w:val="0"/>
        <w:autoSpaceDN w:val="0"/>
        <w:adjustRightInd w:val="0"/>
        <w:spacing w:after="0" w:line="240" w:lineRule="auto"/>
        <w:rPr>
          <w:rFonts w:ascii="Tahoma" w:eastAsiaTheme="minorHAnsi" w:hAnsi="Tahoma" w:cs="Tahoma"/>
          <w:color w:val="000000"/>
          <w:sz w:val="20"/>
          <w:szCs w:val="20"/>
          <w:lang w:val="en-IN"/>
        </w:rPr>
      </w:pPr>
    </w:p>
    <w:p w:rsidR="000A5B49" w:rsidRDefault="000A5B49" w:rsidP="000A5B49">
      <w:pPr>
        <w:autoSpaceDE w:val="0"/>
        <w:autoSpaceDN w:val="0"/>
        <w:adjustRightInd w:val="0"/>
        <w:spacing w:after="0" w:line="240" w:lineRule="auto"/>
        <w:rPr>
          <w:rFonts w:ascii="Tahoma" w:eastAsiaTheme="minorHAnsi" w:hAnsi="Tahoma" w:cs="Tahoma"/>
          <w:color w:val="000000"/>
          <w:sz w:val="20"/>
          <w:szCs w:val="20"/>
          <w:lang w:val="en-IN"/>
        </w:rPr>
      </w:pPr>
    </w:p>
    <w:p w:rsidR="008A1F60" w:rsidRDefault="008A1F60" w:rsidP="009D1181"/>
    <w:p w:rsidR="000A5B49" w:rsidRDefault="000A5B49" w:rsidP="009D1181"/>
    <w:p w:rsidR="00157BE4" w:rsidRDefault="00157BE4" w:rsidP="009D1181"/>
    <w:p w:rsidR="00157BE4" w:rsidRDefault="00157BE4" w:rsidP="009D1181"/>
    <w:p w:rsidR="00157BE4" w:rsidRDefault="00157BE4" w:rsidP="009D1181"/>
    <w:p w:rsidR="00157BE4" w:rsidRDefault="00157BE4" w:rsidP="009D1181"/>
    <w:p w:rsidR="00157BE4" w:rsidRDefault="00157BE4" w:rsidP="009D1181"/>
    <w:p w:rsidR="00157BE4" w:rsidRDefault="00157BE4" w:rsidP="009D1181"/>
    <w:p w:rsidR="00157BE4" w:rsidRDefault="00157BE4" w:rsidP="009D1181"/>
    <w:p w:rsidR="00157BE4" w:rsidRDefault="00157BE4" w:rsidP="009D1181"/>
    <w:p w:rsidR="00157BE4" w:rsidRDefault="00157BE4" w:rsidP="009D1181"/>
    <w:p w:rsidR="00157BE4" w:rsidRDefault="00157BE4" w:rsidP="009D1181"/>
    <w:p w:rsidR="00157BE4" w:rsidRDefault="00157BE4" w:rsidP="009D1181"/>
    <w:p w:rsidR="00157BE4" w:rsidRDefault="00157BE4" w:rsidP="009D1181"/>
    <w:p w:rsidR="00157BE4" w:rsidRDefault="00157BE4" w:rsidP="009D1181"/>
    <w:p w:rsidR="00157BE4" w:rsidRDefault="00157BE4" w:rsidP="009D1181"/>
    <w:p w:rsidR="00157BE4" w:rsidRDefault="00157BE4" w:rsidP="009D1181"/>
    <w:p w:rsidR="00157BE4" w:rsidRDefault="00157BE4" w:rsidP="009D1181"/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t>References: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t>1.</w:t>
      </w:r>
      <w:r>
        <w:rPr>
          <w:rFonts w:ascii="Calibri" w:eastAsiaTheme="minorHAnsi" w:hAnsi="Calibri" w:cs="Calibri"/>
          <w:lang w:val="en-US"/>
        </w:rPr>
        <w:tab/>
        <w:t xml:space="preserve">DaVee T, Garcia JA, Baron TH. Precut sphincterotomy for selective biliary duct cannulation during endoscopic retrograde cholangiopancreatography. </w:t>
      </w:r>
      <w:r>
        <w:rPr>
          <w:rFonts w:ascii="Calibri" w:eastAsiaTheme="minorHAnsi" w:hAnsi="Calibri" w:cs="Calibri"/>
          <w:i/>
          <w:iCs/>
          <w:lang w:val="en-US"/>
        </w:rPr>
        <w:t>Ann Gastroenterol</w:t>
      </w:r>
      <w:r>
        <w:rPr>
          <w:rFonts w:ascii="Calibri" w:eastAsiaTheme="minorHAnsi" w:hAnsi="Calibri" w:cs="Calibri"/>
          <w:lang w:val="en-US"/>
        </w:rPr>
        <w:t>. 2012;25(4):291-302.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lastRenderedPageBreak/>
        <w:t>2.</w:t>
      </w:r>
      <w:r>
        <w:rPr>
          <w:rFonts w:ascii="Calibri" w:eastAsiaTheme="minorHAnsi" w:hAnsi="Calibri" w:cs="Calibri"/>
          <w:lang w:val="en-US"/>
        </w:rPr>
        <w:tab/>
        <w:t xml:space="preserve">Cotton PB, Lehman G, Vennes J, et al. Endoscopic sphincterotomy complications and their management: an attempt at consensus. </w:t>
      </w:r>
      <w:r>
        <w:rPr>
          <w:rFonts w:ascii="Calibri" w:eastAsiaTheme="minorHAnsi" w:hAnsi="Calibri" w:cs="Calibri"/>
          <w:i/>
          <w:iCs/>
          <w:lang w:val="en-US"/>
        </w:rPr>
        <w:t>Gastrointest Endosc</w:t>
      </w:r>
      <w:r>
        <w:rPr>
          <w:rFonts w:ascii="Calibri" w:eastAsiaTheme="minorHAnsi" w:hAnsi="Calibri" w:cs="Calibri"/>
          <w:lang w:val="en-US"/>
        </w:rPr>
        <w:t>. 1991;37(3):383-393. doi:10.1016/s0016-5107(91)70740-2.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t>3.</w:t>
      </w:r>
      <w:r>
        <w:rPr>
          <w:rFonts w:ascii="Calibri" w:eastAsiaTheme="minorHAnsi" w:hAnsi="Calibri" w:cs="Calibri"/>
          <w:lang w:val="en-US"/>
        </w:rPr>
        <w:tab/>
        <w:t xml:space="preserve">Freeman ML, Guda NM. Prevention of post-ERCP pancreatitis: a comprehensive review. </w:t>
      </w:r>
      <w:r>
        <w:rPr>
          <w:rFonts w:ascii="Calibri" w:eastAsiaTheme="minorHAnsi" w:hAnsi="Calibri" w:cs="Calibri"/>
          <w:i/>
          <w:iCs/>
          <w:lang w:val="en-US"/>
        </w:rPr>
        <w:t>Gastrointest Endosc</w:t>
      </w:r>
      <w:r>
        <w:rPr>
          <w:rFonts w:ascii="Calibri" w:eastAsiaTheme="minorHAnsi" w:hAnsi="Calibri" w:cs="Calibri"/>
          <w:lang w:val="en-US"/>
        </w:rPr>
        <w:t>. 2004;59(7):845-864. doi:10.1016/s0016-5107(04)00353-0.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t>4.</w:t>
      </w:r>
      <w:r>
        <w:rPr>
          <w:rFonts w:ascii="Calibri" w:eastAsiaTheme="minorHAnsi" w:hAnsi="Calibri" w:cs="Calibri"/>
          <w:lang w:val="en-US"/>
        </w:rPr>
        <w:tab/>
        <w:t xml:space="preserve">Masci E, Mariani A, Curioni S, Testoni PA. Risk factors for pancreatitis following endoscopic retrograde cholangiopancreatography: a meta-analysis. </w:t>
      </w:r>
      <w:r>
        <w:rPr>
          <w:rFonts w:ascii="Calibri" w:eastAsiaTheme="minorHAnsi" w:hAnsi="Calibri" w:cs="Calibri"/>
          <w:i/>
          <w:iCs/>
          <w:lang w:val="en-US"/>
        </w:rPr>
        <w:t>Endoscopy</w:t>
      </w:r>
      <w:r>
        <w:rPr>
          <w:rFonts w:ascii="Calibri" w:eastAsiaTheme="minorHAnsi" w:hAnsi="Calibri" w:cs="Calibri"/>
          <w:lang w:val="en-US"/>
        </w:rPr>
        <w:t>. 2003;35(10):830-834. doi:10.1055/s-2003-42614.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t>5.</w:t>
      </w:r>
      <w:r>
        <w:rPr>
          <w:rFonts w:ascii="Calibri" w:eastAsiaTheme="minorHAnsi" w:hAnsi="Calibri" w:cs="Calibri"/>
          <w:lang w:val="en-US"/>
        </w:rPr>
        <w:tab/>
        <w:t xml:space="preserve">Andrade-Dávila VF, Chávez-Tostado M, Dávalos-Cobián C, et al. Rectal indomethacin versus placebo to reduce the incidence of pancreatitis after endoscopic retrograde cholangiopancreatography: results of a controlled clinical trial. </w:t>
      </w:r>
      <w:r>
        <w:rPr>
          <w:rFonts w:ascii="Calibri" w:eastAsiaTheme="minorHAnsi" w:hAnsi="Calibri" w:cs="Calibri"/>
          <w:i/>
          <w:iCs/>
          <w:lang w:val="en-US"/>
        </w:rPr>
        <w:t>BMC Gastroenterol</w:t>
      </w:r>
      <w:r>
        <w:rPr>
          <w:rFonts w:ascii="Calibri" w:eastAsiaTheme="minorHAnsi" w:hAnsi="Calibri" w:cs="Calibri"/>
          <w:lang w:val="en-US"/>
        </w:rPr>
        <w:t>. 2015;15(1):85. doi:10.1186/s12876-015-0314-2.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t>6.</w:t>
      </w:r>
      <w:r>
        <w:rPr>
          <w:rFonts w:ascii="Calibri" w:eastAsiaTheme="minorHAnsi" w:hAnsi="Calibri" w:cs="Calibri"/>
          <w:lang w:val="en-US"/>
        </w:rPr>
        <w:tab/>
        <w:t xml:space="preserve">Buxbaum J, Yan A, Yeh K, Lane C, Nguyen N, Laine L. Aggressive hydration with lactated Ringer's solution reduces pancreatitis after endoscopic retrograde cholangiopancreatography. </w:t>
      </w:r>
      <w:r>
        <w:rPr>
          <w:rFonts w:ascii="Calibri" w:eastAsiaTheme="minorHAnsi" w:hAnsi="Calibri" w:cs="Calibri"/>
          <w:i/>
          <w:iCs/>
          <w:lang w:val="en-US"/>
        </w:rPr>
        <w:t>Clin Gastroenterol Hepatol</w:t>
      </w:r>
      <w:r>
        <w:rPr>
          <w:rFonts w:ascii="Calibri" w:eastAsiaTheme="minorHAnsi" w:hAnsi="Calibri" w:cs="Calibri"/>
          <w:lang w:val="en-US"/>
        </w:rPr>
        <w:t>. 2014;12(2):303–7.e1. doi:10.1016/j.cgh.2013.07.026.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t>7.</w:t>
      </w:r>
      <w:r>
        <w:rPr>
          <w:rFonts w:ascii="Calibri" w:eastAsiaTheme="minorHAnsi" w:hAnsi="Calibri" w:cs="Calibri"/>
          <w:lang w:val="en-US"/>
        </w:rPr>
        <w:tab/>
        <w:t xml:space="preserve">Shaygan-Nejad A, Masjedizadeh AR, Ghavidel A, Ghojazadeh M, Khoshbaten M. Aggressive hydration with Lactated Ringer's solution as the prophylactic intervention for postendoscopic retrograde cholangiopancreatography pancreatitis: A randomized controlled double-blind clinical trial. </w:t>
      </w:r>
      <w:r>
        <w:rPr>
          <w:rFonts w:ascii="Calibri" w:eastAsiaTheme="minorHAnsi" w:hAnsi="Calibri" w:cs="Calibri"/>
          <w:i/>
          <w:iCs/>
          <w:lang w:val="en-US"/>
        </w:rPr>
        <w:t>J Res Med Sci</w:t>
      </w:r>
      <w:r>
        <w:rPr>
          <w:rFonts w:ascii="Calibri" w:eastAsiaTheme="minorHAnsi" w:hAnsi="Calibri" w:cs="Calibri"/>
          <w:lang w:val="en-US"/>
        </w:rPr>
        <w:t>. 2015;20(9):838-843. doi:10.4103/1735-1995.170597.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t>8.</w:t>
      </w:r>
      <w:r>
        <w:rPr>
          <w:rFonts w:ascii="Calibri" w:eastAsiaTheme="minorHAnsi" w:hAnsi="Calibri" w:cs="Calibri"/>
          <w:lang w:val="en-US"/>
        </w:rPr>
        <w:tab/>
        <w:t xml:space="preserve">Cavallini G, Tittobello A, Frulloni L, Masci E, Mariana A, Di Francesco V. Gabexate for the prevention of pancreatic damage related to endoscopic retrograde cholangiopancreatography. Gabexate in digestive endoscopy--Italian Group. </w:t>
      </w:r>
      <w:r>
        <w:rPr>
          <w:rFonts w:ascii="Calibri" w:eastAsiaTheme="minorHAnsi" w:hAnsi="Calibri" w:cs="Calibri"/>
          <w:i/>
          <w:iCs/>
          <w:lang w:val="en-US"/>
        </w:rPr>
        <w:t>N Engl J Med</w:t>
      </w:r>
      <w:r>
        <w:rPr>
          <w:rFonts w:ascii="Calibri" w:eastAsiaTheme="minorHAnsi" w:hAnsi="Calibri" w:cs="Calibri"/>
          <w:lang w:val="en-US"/>
        </w:rPr>
        <w:t>. 1996;335(13):919-923. doi:10.1056/NEJM199609263351302.</w:t>
      </w:r>
    </w:p>
    <w:p w:rsidR="008A1F60" w:rsidRPr="00C525C3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fr-CA"/>
        </w:rPr>
      </w:pPr>
      <w:r>
        <w:rPr>
          <w:rFonts w:ascii="Calibri" w:eastAsiaTheme="minorHAnsi" w:hAnsi="Calibri" w:cs="Calibri"/>
          <w:lang w:val="en-US"/>
        </w:rPr>
        <w:t>9.</w:t>
      </w:r>
      <w:r>
        <w:rPr>
          <w:rFonts w:ascii="Calibri" w:eastAsiaTheme="minorHAnsi" w:hAnsi="Calibri" w:cs="Calibri"/>
          <w:lang w:val="en-US"/>
        </w:rPr>
        <w:tab/>
        <w:t xml:space="preserve">Manes G, Ardizzone S, Lombardi G, Uomo G, Pieramico O, Porro GB. Efficacy of postprocedure administration of gabexate mesylate in the prevention of post-ERCP pancreatitis: a randomized, controlled, multicenter study. </w:t>
      </w:r>
      <w:r w:rsidRPr="00C525C3">
        <w:rPr>
          <w:rFonts w:ascii="Calibri" w:eastAsiaTheme="minorHAnsi" w:hAnsi="Calibri" w:cs="Calibri"/>
          <w:i/>
          <w:iCs/>
          <w:lang w:val="fr-CA"/>
        </w:rPr>
        <w:t>Gastrointest Endosc</w:t>
      </w:r>
      <w:r w:rsidRPr="00C525C3">
        <w:rPr>
          <w:rFonts w:ascii="Calibri" w:eastAsiaTheme="minorHAnsi" w:hAnsi="Calibri" w:cs="Calibri"/>
          <w:lang w:val="fr-CA"/>
        </w:rPr>
        <w:t>. 2007;65(7):982-987. doi:10.1016/j.gie.2007.02.055.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 w:rsidRPr="00157BE4">
        <w:rPr>
          <w:rFonts w:ascii="Calibri" w:eastAsiaTheme="minorHAnsi" w:hAnsi="Calibri" w:cs="Calibri"/>
          <w:lang w:val="fr-CA"/>
        </w:rPr>
        <w:t>10.</w:t>
      </w:r>
      <w:r w:rsidRPr="00157BE4">
        <w:rPr>
          <w:rFonts w:ascii="Calibri" w:eastAsiaTheme="minorHAnsi" w:hAnsi="Calibri" w:cs="Calibri"/>
          <w:lang w:val="fr-CA"/>
        </w:rPr>
        <w:tab/>
        <w:t xml:space="preserve">Andriulli A, Clemente R, Solmi L, et al. </w:t>
      </w:r>
      <w:r>
        <w:rPr>
          <w:rFonts w:ascii="Calibri" w:eastAsiaTheme="minorHAnsi" w:hAnsi="Calibri" w:cs="Calibri"/>
          <w:lang w:val="en-US"/>
        </w:rPr>
        <w:t xml:space="preserve">Gabexate or somatostatin administration before ERCP in patients at high risk for post-ERCP pancreatitis: a multicenter, placebo-controlled, randomized clinical trial. </w:t>
      </w:r>
      <w:r>
        <w:rPr>
          <w:rFonts w:ascii="Calibri" w:eastAsiaTheme="minorHAnsi" w:hAnsi="Calibri" w:cs="Calibri"/>
          <w:i/>
          <w:iCs/>
          <w:lang w:val="en-US"/>
        </w:rPr>
        <w:t>Gastrointest Endosc</w:t>
      </w:r>
      <w:r>
        <w:rPr>
          <w:rFonts w:ascii="Calibri" w:eastAsiaTheme="minorHAnsi" w:hAnsi="Calibri" w:cs="Calibri"/>
          <w:lang w:val="en-US"/>
        </w:rPr>
        <w:t>. 2002;56(4):488-495. doi:10.1067/mge.2002.128130.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t>11.</w:t>
      </w:r>
      <w:r>
        <w:rPr>
          <w:rFonts w:ascii="Calibri" w:eastAsiaTheme="minorHAnsi" w:hAnsi="Calibri" w:cs="Calibri"/>
          <w:lang w:val="en-US"/>
        </w:rPr>
        <w:tab/>
        <w:t xml:space="preserve">Andriulli A, Solmi L, Loperfido S, et al. Prophylaxis of ERCP-related pancreatitis: a randomized, controlled trial of somatostatin and gabexate mesylate. </w:t>
      </w:r>
      <w:r>
        <w:rPr>
          <w:rFonts w:ascii="Calibri" w:eastAsiaTheme="minorHAnsi" w:hAnsi="Calibri" w:cs="Calibri"/>
          <w:i/>
          <w:iCs/>
          <w:lang w:val="en-US"/>
        </w:rPr>
        <w:t>Clin Gastroenterol Hepatol</w:t>
      </w:r>
      <w:r>
        <w:rPr>
          <w:rFonts w:ascii="Calibri" w:eastAsiaTheme="minorHAnsi" w:hAnsi="Calibri" w:cs="Calibri"/>
          <w:lang w:val="en-US"/>
        </w:rPr>
        <w:t>. 2004;2(8):713-718.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t>12.</w:t>
      </w:r>
      <w:r>
        <w:rPr>
          <w:rFonts w:ascii="Calibri" w:eastAsiaTheme="minorHAnsi" w:hAnsi="Calibri" w:cs="Calibri"/>
          <w:lang w:val="en-US"/>
        </w:rPr>
        <w:tab/>
        <w:t xml:space="preserve">Yuhara H, Ogawa M, Kawaguchi Y, Igarashi M, Shimosegawa T, Mine T. Pharmacologic prophylaxis of post-endoscopic retrograde cholangiopancreatography pancreatitis: protease inhibitors and NSAIDs in a meta-analysis. </w:t>
      </w:r>
      <w:r>
        <w:rPr>
          <w:rFonts w:ascii="Calibri" w:eastAsiaTheme="minorHAnsi" w:hAnsi="Calibri" w:cs="Calibri"/>
          <w:i/>
          <w:iCs/>
          <w:lang w:val="en-US"/>
        </w:rPr>
        <w:t>J Gastroenterol</w:t>
      </w:r>
      <w:r>
        <w:rPr>
          <w:rFonts w:ascii="Calibri" w:eastAsiaTheme="minorHAnsi" w:hAnsi="Calibri" w:cs="Calibri"/>
          <w:lang w:val="en-US"/>
        </w:rPr>
        <w:t>. 2014;49(3):388-399. doi:10.1007/s00535-013-0834-x.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lastRenderedPageBreak/>
        <w:t>13.</w:t>
      </w:r>
      <w:r>
        <w:rPr>
          <w:rFonts w:ascii="Calibri" w:eastAsiaTheme="minorHAnsi" w:hAnsi="Calibri" w:cs="Calibri"/>
          <w:lang w:val="en-US"/>
        </w:rPr>
        <w:tab/>
        <w:t xml:space="preserve">Robison LS, Varadarajulu S, Wilcox CM. Safety and success of precut biliary sphincterotomy: Is it linked to experience or expertise? </w:t>
      </w:r>
      <w:r>
        <w:rPr>
          <w:rFonts w:ascii="Calibri" w:eastAsiaTheme="minorHAnsi" w:hAnsi="Calibri" w:cs="Calibri"/>
          <w:i/>
          <w:iCs/>
          <w:lang w:val="en-US"/>
        </w:rPr>
        <w:t>World J Gastroenterol</w:t>
      </w:r>
      <w:r>
        <w:rPr>
          <w:rFonts w:ascii="Calibri" w:eastAsiaTheme="minorHAnsi" w:hAnsi="Calibri" w:cs="Calibri"/>
          <w:lang w:val="en-US"/>
        </w:rPr>
        <w:t>. 2007;13(15):2183-2186. doi:10.3748/wjg.v13.i15.2183.</w:t>
      </w:r>
    </w:p>
    <w:p w:rsidR="008A1F60" w:rsidRPr="00157BE4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fr-CA"/>
        </w:rPr>
      </w:pPr>
      <w:r>
        <w:rPr>
          <w:rFonts w:ascii="Calibri" w:eastAsiaTheme="minorHAnsi" w:hAnsi="Calibri" w:cs="Calibri"/>
          <w:lang w:val="en-US"/>
        </w:rPr>
        <w:t>14.</w:t>
      </w:r>
      <w:r>
        <w:rPr>
          <w:rFonts w:ascii="Calibri" w:eastAsiaTheme="minorHAnsi" w:hAnsi="Calibri" w:cs="Calibri"/>
          <w:lang w:val="en-US"/>
        </w:rPr>
        <w:tab/>
        <w:t xml:space="preserve">Freeman ML, Guda NM. ERCP cannulation: a review of reported techniques. </w:t>
      </w:r>
      <w:r w:rsidRPr="00157BE4">
        <w:rPr>
          <w:rFonts w:ascii="Calibri" w:eastAsiaTheme="minorHAnsi" w:hAnsi="Calibri" w:cs="Calibri"/>
          <w:i/>
          <w:iCs/>
          <w:lang w:val="fr-CA"/>
        </w:rPr>
        <w:t>Gastrointest Endosc</w:t>
      </w:r>
      <w:r w:rsidRPr="00157BE4">
        <w:rPr>
          <w:rFonts w:ascii="Calibri" w:eastAsiaTheme="minorHAnsi" w:hAnsi="Calibri" w:cs="Calibri"/>
          <w:lang w:val="fr-CA"/>
        </w:rPr>
        <w:t>. 2005;61(1):112-125. doi:10.1016/s0016-5107(04)02463-0.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 w:rsidRPr="00157BE4">
        <w:rPr>
          <w:rFonts w:ascii="Calibri" w:eastAsiaTheme="minorHAnsi" w:hAnsi="Calibri" w:cs="Calibri"/>
          <w:lang w:val="fr-CA"/>
        </w:rPr>
        <w:t>15.</w:t>
      </w:r>
      <w:r w:rsidRPr="00157BE4">
        <w:rPr>
          <w:rFonts w:ascii="Calibri" w:eastAsiaTheme="minorHAnsi" w:hAnsi="Calibri" w:cs="Calibri"/>
          <w:lang w:val="fr-CA"/>
        </w:rPr>
        <w:tab/>
        <w:t xml:space="preserve">Katsinelos P, Gkagkalis S, Chatzimavroudis G, et al. </w:t>
      </w:r>
      <w:r>
        <w:rPr>
          <w:rFonts w:ascii="Calibri" w:eastAsiaTheme="minorHAnsi" w:hAnsi="Calibri" w:cs="Calibri"/>
          <w:lang w:val="en-US"/>
        </w:rPr>
        <w:t xml:space="preserve">Comparison of three types of precut technique to achieve common bile duct cannulation: a retrospective analysis of 274 cases. </w:t>
      </w:r>
      <w:r>
        <w:rPr>
          <w:rFonts w:ascii="Calibri" w:eastAsiaTheme="minorHAnsi" w:hAnsi="Calibri" w:cs="Calibri"/>
          <w:i/>
          <w:iCs/>
          <w:lang w:val="en-US"/>
        </w:rPr>
        <w:t>Dig Dis Sci</w:t>
      </w:r>
      <w:r>
        <w:rPr>
          <w:rFonts w:ascii="Calibri" w:eastAsiaTheme="minorHAnsi" w:hAnsi="Calibri" w:cs="Calibri"/>
          <w:lang w:val="en-US"/>
        </w:rPr>
        <w:t>. 2012;57(12):3286-3292. doi:10.1007/s10620-012-2271-8.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t>16.</w:t>
      </w:r>
      <w:r>
        <w:rPr>
          <w:rFonts w:ascii="Calibri" w:eastAsiaTheme="minorHAnsi" w:hAnsi="Calibri" w:cs="Calibri"/>
          <w:lang w:val="en-US"/>
        </w:rPr>
        <w:tab/>
        <w:t xml:space="preserve">Sundaralingam P, Masson P, Bourke MJ. Early Precut Sphincterotomy Does Not Increase Risk During Endoscopic Retrograde Cholangiopancreatography in Patients With Difficult Biliary Access: A Meta-analysis of Randomized Controlled Trials. </w:t>
      </w:r>
      <w:r>
        <w:rPr>
          <w:rFonts w:ascii="Calibri" w:eastAsiaTheme="minorHAnsi" w:hAnsi="Calibri" w:cs="Calibri"/>
          <w:i/>
          <w:iCs/>
          <w:lang w:val="en-US"/>
        </w:rPr>
        <w:t>Clin Gastroenterol Hepatol</w:t>
      </w:r>
      <w:r>
        <w:rPr>
          <w:rFonts w:ascii="Calibri" w:eastAsiaTheme="minorHAnsi" w:hAnsi="Calibri" w:cs="Calibri"/>
          <w:lang w:val="en-US"/>
        </w:rPr>
        <w:t>. 2015;13(10):1722-1729.e1722. doi:10.1016/j.cgh.2015.06.035.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t>17.</w:t>
      </w:r>
      <w:r>
        <w:rPr>
          <w:rFonts w:ascii="Calibri" w:eastAsiaTheme="minorHAnsi" w:hAnsi="Calibri" w:cs="Calibri"/>
          <w:lang w:val="en-US"/>
        </w:rPr>
        <w:tab/>
        <w:t xml:space="preserve">Freeman ML. Adverse outcomes of ERCP. </w:t>
      </w:r>
      <w:r>
        <w:rPr>
          <w:rFonts w:ascii="Calibri" w:eastAsiaTheme="minorHAnsi" w:hAnsi="Calibri" w:cs="Calibri"/>
          <w:i/>
          <w:iCs/>
          <w:lang w:val="en-US"/>
        </w:rPr>
        <w:t>Gastrointest Endosc</w:t>
      </w:r>
      <w:r>
        <w:rPr>
          <w:rFonts w:ascii="Calibri" w:eastAsiaTheme="minorHAnsi" w:hAnsi="Calibri" w:cs="Calibri"/>
          <w:lang w:val="en-US"/>
        </w:rPr>
        <w:t>. 2002;56(6 Suppl):S273-S282. doi:10.1067/mge.2002.129028.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t>18.</w:t>
      </w:r>
      <w:r>
        <w:rPr>
          <w:rFonts w:ascii="Calibri" w:eastAsiaTheme="minorHAnsi" w:hAnsi="Calibri" w:cs="Calibri"/>
          <w:lang w:val="en-US"/>
        </w:rPr>
        <w:tab/>
        <w:t xml:space="preserve">Mariani A, Di Leo M, Giardullo N, et al. Early precut sphincterotomy for difficult biliary access to reduce post-ERCP pancreatitis: a randomized trial. </w:t>
      </w:r>
      <w:r>
        <w:rPr>
          <w:rFonts w:ascii="Calibri" w:eastAsiaTheme="minorHAnsi" w:hAnsi="Calibri" w:cs="Calibri"/>
          <w:i/>
          <w:iCs/>
          <w:lang w:val="en-US"/>
        </w:rPr>
        <w:t>Endoscopy</w:t>
      </w:r>
      <w:r>
        <w:rPr>
          <w:rFonts w:ascii="Calibri" w:eastAsiaTheme="minorHAnsi" w:hAnsi="Calibri" w:cs="Calibri"/>
          <w:lang w:val="en-US"/>
        </w:rPr>
        <w:t>. 2016;48(6):530-535. doi:10.1055/s-0042-102250.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t>19.</w:t>
      </w:r>
      <w:r>
        <w:rPr>
          <w:rFonts w:ascii="Calibri" w:eastAsiaTheme="minorHAnsi" w:hAnsi="Calibri" w:cs="Calibri"/>
          <w:lang w:val="en-US"/>
        </w:rPr>
        <w:tab/>
        <w:t xml:space="preserve">Lopes L, Dinis-Ribeiro M, Rolanda C. Early precut fistulotomy for biliary access: time to change the paradigm of "the later, the better"? </w:t>
      </w:r>
      <w:r>
        <w:rPr>
          <w:rFonts w:ascii="Calibri" w:eastAsiaTheme="minorHAnsi" w:hAnsi="Calibri" w:cs="Calibri"/>
          <w:i/>
          <w:iCs/>
          <w:lang w:val="en-US"/>
        </w:rPr>
        <w:t>Gastrointest Endosc</w:t>
      </w:r>
      <w:r>
        <w:rPr>
          <w:rFonts w:ascii="Calibri" w:eastAsiaTheme="minorHAnsi" w:hAnsi="Calibri" w:cs="Calibri"/>
          <w:lang w:val="en-US"/>
        </w:rPr>
        <w:t>. 2014;80(4):634-641. doi:10.1016/j.gie.2014.03.014.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>
        <w:rPr>
          <w:rFonts w:ascii="Calibri" w:eastAsiaTheme="minorHAnsi" w:hAnsi="Calibri" w:cs="Calibri"/>
          <w:lang w:val="en-US"/>
        </w:rPr>
        <w:t>20.</w:t>
      </w:r>
      <w:r>
        <w:rPr>
          <w:rFonts w:ascii="Calibri" w:eastAsiaTheme="minorHAnsi" w:hAnsi="Calibri" w:cs="Calibri"/>
          <w:lang w:val="en-US"/>
        </w:rPr>
        <w:tab/>
        <w:t xml:space="preserve">Ayoubi M, Sansoè G, Leone N, Castellino F. Comparison between needle-knife fistulotomy and standard cannulation in ERCP. </w:t>
      </w:r>
      <w:r>
        <w:rPr>
          <w:rFonts w:ascii="Calibri" w:eastAsiaTheme="minorHAnsi" w:hAnsi="Calibri" w:cs="Calibri"/>
          <w:i/>
          <w:iCs/>
          <w:lang w:val="en-US"/>
        </w:rPr>
        <w:t>World J Gastrointest Endosc</w:t>
      </w:r>
      <w:r>
        <w:rPr>
          <w:rFonts w:ascii="Calibri" w:eastAsiaTheme="minorHAnsi" w:hAnsi="Calibri" w:cs="Calibri"/>
          <w:lang w:val="en-US"/>
        </w:rPr>
        <w:t>. 2012;4(9):398-404. doi:10.4253/wjge.v4.i9.398.</w:t>
      </w:r>
    </w:p>
    <w:p w:rsidR="008A1F60" w:rsidRPr="00C525C3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fr-CA"/>
        </w:rPr>
      </w:pPr>
      <w:r>
        <w:rPr>
          <w:rFonts w:ascii="Calibri" w:eastAsiaTheme="minorHAnsi" w:hAnsi="Calibri" w:cs="Calibri"/>
          <w:lang w:val="en-US"/>
        </w:rPr>
        <w:t>21.</w:t>
      </w:r>
      <w:r>
        <w:rPr>
          <w:rFonts w:ascii="Calibri" w:eastAsiaTheme="minorHAnsi" w:hAnsi="Calibri" w:cs="Calibri"/>
          <w:lang w:val="en-US"/>
        </w:rPr>
        <w:tab/>
        <w:t xml:space="preserve">Jin Y-J, Jeong S, Lee DH. Utility of needle-knife fistulotomy as an initial method of biliary cannulation to prevent post-ERCP pancreatitis in a highly selected at-risk group: a single-arm prospective feasibility study. </w:t>
      </w:r>
      <w:r w:rsidRPr="00C525C3">
        <w:rPr>
          <w:rFonts w:ascii="Calibri" w:eastAsiaTheme="minorHAnsi" w:hAnsi="Calibri" w:cs="Calibri"/>
          <w:i/>
          <w:iCs/>
          <w:lang w:val="fr-CA"/>
        </w:rPr>
        <w:t>Gastrointest Endosc</w:t>
      </w:r>
      <w:r w:rsidRPr="00C525C3">
        <w:rPr>
          <w:rFonts w:ascii="Calibri" w:eastAsiaTheme="minorHAnsi" w:hAnsi="Calibri" w:cs="Calibri"/>
          <w:lang w:val="fr-CA"/>
        </w:rPr>
        <w:t>. 2016;84(5):808-813. doi:10.1016/j.gie.2016.04.011.</w:t>
      </w: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  <w:r w:rsidRPr="00C525C3">
        <w:rPr>
          <w:rFonts w:ascii="Calibri" w:eastAsiaTheme="minorHAnsi" w:hAnsi="Calibri" w:cs="Calibri"/>
          <w:lang w:val="fr-CA"/>
        </w:rPr>
        <w:t>22.</w:t>
      </w:r>
      <w:r w:rsidRPr="00C525C3">
        <w:rPr>
          <w:rFonts w:ascii="Calibri" w:eastAsiaTheme="minorHAnsi" w:hAnsi="Calibri" w:cs="Calibri"/>
          <w:lang w:val="fr-CA"/>
        </w:rPr>
        <w:tab/>
        <w:t xml:space="preserve">Banks PA, Bollen TL, Dervenis C, et al. </w:t>
      </w:r>
      <w:r>
        <w:rPr>
          <w:rFonts w:ascii="Calibri" w:eastAsiaTheme="minorHAnsi" w:hAnsi="Calibri" w:cs="Calibri"/>
          <w:lang w:val="en-US"/>
        </w:rPr>
        <w:t>Classification of acute pancreatitis--2012: revision of the Atlanta classification and definitions by international consensus. In: Vol 62. 2013:102-111. doi:10.1136/gutjnl-2012-302779.</w:t>
      </w:r>
    </w:p>
    <w:p w:rsidR="0009708D" w:rsidRPr="00912801" w:rsidRDefault="0009708D" w:rsidP="0009708D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noProof/>
        </w:rPr>
      </w:pPr>
      <w:r w:rsidRPr="00912801">
        <w:rPr>
          <w:rFonts w:ascii="Calibri" w:hAnsi="Calibri" w:cs="Calibri"/>
        </w:rPr>
        <w:t>23.</w:t>
      </w:r>
      <w:r w:rsidRPr="00912801">
        <w:rPr>
          <w:rFonts w:ascii="Calibri" w:hAnsi="Calibri" w:cs="Calibri"/>
        </w:rPr>
        <w:tab/>
        <w:t>Furuya CK</w:t>
      </w:r>
      <w:r w:rsidRPr="00912801">
        <w:rPr>
          <w:noProof/>
        </w:rPr>
        <w:t>, Tavares Marinho FR, Pinhata Otoch J, Cheng S, Lemes Prudencio L, Guimaraes Hourneaux de Moura E, de Almeida Artifon EL. Papillary fistulotomy vs conventional cannulation for endoscopic biliary access: A prospective randomized trial. World Journal of Gastroenterology. 2018;24(16):1803-11.</w:t>
      </w:r>
    </w:p>
    <w:p w:rsidR="0009708D" w:rsidRPr="00912801" w:rsidRDefault="0009708D" w:rsidP="0009708D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hAnsi="Calibri" w:cs="Calibri"/>
        </w:rPr>
      </w:pPr>
      <w:r w:rsidRPr="00912801">
        <w:rPr>
          <w:rFonts w:ascii="Calibri" w:hAnsi="Calibri" w:cs="Calibri"/>
        </w:rPr>
        <w:t>24.</w:t>
      </w:r>
      <w:r w:rsidRPr="00912801">
        <w:rPr>
          <w:rFonts w:ascii="Calibri" w:hAnsi="Calibri" w:cs="Calibri"/>
        </w:rPr>
        <w:tab/>
      </w:r>
      <w:r w:rsidRPr="00912801">
        <w:rPr>
          <w:noProof/>
        </w:rPr>
        <w:t>Mavrogiannis C, Liatsos C, Romanos A, Petoumenos C, Nakos A, Karvountzis G. Needle-knife fistlotomy versus needle-knife precut papillotomy for the treatment of common bile duct stones. Gastrointestinal endoscopy. 1999;50(3):334-9.</w:t>
      </w:r>
    </w:p>
    <w:p w:rsidR="0009708D" w:rsidRDefault="0009708D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</w:p>
    <w:p w:rsidR="008A1F60" w:rsidRDefault="008A1F60" w:rsidP="008A1F60">
      <w:pPr>
        <w:tabs>
          <w:tab w:val="left" w:pos="640"/>
        </w:tabs>
        <w:autoSpaceDE w:val="0"/>
        <w:autoSpaceDN w:val="0"/>
        <w:adjustRightInd w:val="0"/>
        <w:spacing w:after="240" w:line="240" w:lineRule="auto"/>
        <w:ind w:left="640" w:hanging="640"/>
        <w:rPr>
          <w:rFonts w:ascii="Calibri" w:eastAsiaTheme="minorHAnsi" w:hAnsi="Calibri" w:cs="Calibri"/>
          <w:lang w:val="en-US"/>
        </w:rPr>
      </w:pPr>
    </w:p>
    <w:p w:rsidR="006E6A2C" w:rsidRPr="00912801" w:rsidRDefault="00942BD5" w:rsidP="009D1181">
      <w:r>
        <w:fldChar w:fldCharType="begin"/>
      </w:r>
      <w:r w:rsidR="008A1F60">
        <w:instrText xml:space="preserve"> ADDIN PAPERS2_CITATIONS &lt;papers2_bibliography/&gt;</w:instrText>
      </w:r>
      <w:r>
        <w:fldChar w:fldCharType="end"/>
      </w:r>
    </w:p>
    <w:sectPr w:rsidR="006E6A2C" w:rsidRPr="00912801" w:rsidSect="00942BD5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A9C" w:rsidRDefault="00400A9C" w:rsidP="00FC7627">
      <w:pPr>
        <w:spacing w:after="0" w:line="240" w:lineRule="auto"/>
      </w:pPr>
      <w:r>
        <w:separator/>
      </w:r>
    </w:p>
  </w:endnote>
  <w:endnote w:type="continuationSeparator" w:id="0">
    <w:p w:rsidR="00400A9C" w:rsidRDefault="00400A9C" w:rsidP="00FC7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Body CS)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261426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5470A" w:rsidRDefault="00942BD5">
        <w:pPr>
          <w:pStyle w:val="Footer"/>
          <w:jc w:val="center"/>
        </w:pPr>
        <w:r>
          <w:fldChar w:fldCharType="begin"/>
        </w:r>
        <w:r w:rsidR="00F5470A">
          <w:instrText xml:space="preserve"> PAGE   \* MERGEFORMAT </w:instrText>
        </w:r>
        <w:r>
          <w:fldChar w:fldCharType="separate"/>
        </w:r>
        <w:r w:rsidR="000A5B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5470A" w:rsidRDefault="00F5470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A9C" w:rsidRDefault="00400A9C" w:rsidP="00FC7627">
      <w:pPr>
        <w:spacing w:after="0" w:line="240" w:lineRule="auto"/>
      </w:pPr>
      <w:r>
        <w:separator/>
      </w:r>
    </w:p>
  </w:footnote>
  <w:footnote w:type="continuationSeparator" w:id="0">
    <w:p w:rsidR="00400A9C" w:rsidRDefault="00400A9C" w:rsidP="00FC76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fr-FR" w:vendorID="64" w:dllVersion="6" w:nlCheck="1" w:checkStyle="0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es-ES_tradnl" w:vendorID="64" w:dllVersion="4096" w:nlCheck="1" w:checkStyle="0"/>
  <w:activeWritingStyle w:appName="MSWord" w:lang="fr-FR" w:vendorID="64" w:dllVersion="4096" w:nlCheck="1" w:checkStyle="0"/>
  <w:activeWritingStyle w:appName="MSWord" w:lang="fr-CA" w:vendorID="64" w:dllVersion="0" w:nlCheck="1" w:checkStyle="0"/>
  <w:activeWritingStyle w:appName="MSWord" w:lang="fr-CA" w:vendorID="64" w:dllVersion="4096" w:nlCheck="1" w:checkStyle="0"/>
  <w:activeWritingStyle w:appName="MSWord" w:lang="en-CA" w:vendorID="64" w:dllVersion="131078" w:nlCheck="1" w:checkStyle="1"/>
  <w:activeWritingStyle w:appName="MSWord" w:lang="fr-CA" w:vendorID="64" w:dllVersion="131078" w:nlCheck="1" w:checkStyle="1"/>
  <w:activeWritingStyle w:appName="MSWord" w:lang="en-US" w:vendorID="64" w:dllVersion="131078" w:nlCheck="1" w:checkStyle="1"/>
  <w:activeWritingStyle w:appName="MSWord" w:lang="en-IN" w:vendorID="64" w:dllVersion="131078" w:nlCheck="1" w:checkStyle="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NDEwMzM3NzIyNDIzMDdX0lEKTi0uzszPAykwqwUA7o7OV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5xwrderrwzaae2fr3v9atmvd9zvatzdzwr&quot;&gt;Fistulotomy references (23)&lt;record-ids&gt;&lt;item&gt;54&lt;/item&gt;&lt;/record-ids&gt;&lt;/item&gt;&lt;/Libraries&gt;"/>
  </w:docVars>
  <w:rsids>
    <w:rsidRoot w:val="00A5425C"/>
    <w:rsid w:val="00003C12"/>
    <w:rsid w:val="000071D7"/>
    <w:rsid w:val="00011D13"/>
    <w:rsid w:val="0001224F"/>
    <w:rsid w:val="000232D7"/>
    <w:rsid w:val="00031508"/>
    <w:rsid w:val="00031B6D"/>
    <w:rsid w:val="000514AE"/>
    <w:rsid w:val="000623EB"/>
    <w:rsid w:val="000677D3"/>
    <w:rsid w:val="000757A5"/>
    <w:rsid w:val="00092FD3"/>
    <w:rsid w:val="00095DC4"/>
    <w:rsid w:val="0009708D"/>
    <w:rsid w:val="000A113B"/>
    <w:rsid w:val="000A5349"/>
    <w:rsid w:val="000A5B49"/>
    <w:rsid w:val="000C2A1E"/>
    <w:rsid w:val="000C3AB2"/>
    <w:rsid w:val="000D37E7"/>
    <w:rsid w:val="00103BF0"/>
    <w:rsid w:val="00115DBC"/>
    <w:rsid w:val="0013642E"/>
    <w:rsid w:val="0015137D"/>
    <w:rsid w:val="00156CCC"/>
    <w:rsid w:val="00157BE4"/>
    <w:rsid w:val="00193B85"/>
    <w:rsid w:val="001A4A0A"/>
    <w:rsid w:val="001B659A"/>
    <w:rsid w:val="001D435B"/>
    <w:rsid w:val="001F3D87"/>
    <w:rsid w:val="001F6D06"/>
    <w:rsid w:val="002108BC"/>
    <w:rsid w:val="00210A14"/>
    <w:rsid w:val="00214FD2"/>
    <w:rsid w:val="00220737"/>
    <w:rsid w:val="00247295"/>
    <w:rsid w:val="00274384"/>
    <w:rsid w:val="002754C6"/>
    <w:rsid w:val="00282E34"/>
    <w:rsid w:val="00293E7C"/>
    <w:rsid w:val="002B1D0F"/>
    <w:rsid w:val="002C4D6F"/>
    <w:rsid w:val="002D0F4B"/>
    <w:rsid w:val="002D5356"/>
    <w:rsid w:val="002D5D85"/>
    <w:rsid w:val="002E2A8A"/>
    <w:rsid w:val="002E6117"/>
    <w:rsid w:val="002F6C79"/>
    <w:rsid w:val="0030356A"/>
    <w:rsid w:val="00326252"/>
    <w:rsid w:val="003371D6"/>
    <w:rsid w:val="00352603"/>
    <w:rsid w:val="0038381C"/>
    <w:rsid w:val="00384551"/>
    <w:rsid w:val="003A6FF9"/>
    <w:rsid w:val="003B7065"/>
    <w:rsid w:val="003C02AC"/>
    <w:rsid w:val="003C19DC"/>
    <w:rsid w:val="003D387A"/>
    <w:rsid w:val="003E1598"/>
    <w:rsid w:val="003F1506"/>
    <w:rsid w:val="003F19F8"/>
    <w:rsid w:val="003F572F"/>
    <w:rsid w:val="00400A9C"/>
    <w:rsid w:val="00401C2E"/>
    <w:rsid w:val="00413D3C"/>
    <w:rsid w:val="00426002"/>
    <w:rsid w:val="00435CF7"/>
    <w:rsid w:val="00436578"/>
    <w:rsid w:val="00437EB4"/>
    <w:rsid w:val="00442A5E"/>
    <w:rsid w:val="004512ED"/>
    <w:rsid w:val="004539BF"/>
    <w:rsid w:val="00460373"/>
    <w:rsid w:val="004629E4"/>
    <w:rsid w:val="004801A0"/>
    <w:rsid w:val="00483896"/>
    <w:rsid w:val="004A0F2F"/>
    <w:rsid w:val="004B7931"/>
    <w:rsid w:val="004C30E4"/>
    <w:rsid w:val="004C615A"/>
    <w:rsid w:val="004F2BB4"/>
    <w:rsid w:val="004F33C5"/>
    <w:rsid w:val="004F4FC2"/>
    <w:rsid w:val="00504E0D"/>
    <w:rsid w:val="00506F36"/>
    <w:rsid w:val="00510EDF"/>
    <w:rsid w:val="00540CAF"/>
    <w:rsid w:val="0054215D"/>
    <w:rsid w:val="00550A83"/>
    <w:rsid w:val="00557FD9"/>
    <w:rsid w:val="00584444"/>
    <w:rsid w:val="0059143C"/>
    <w:rsid w:val="0059398F"/>
    <w:rsid w:val="00596229"/>
    <w:rsid w:val="005A1C46"/>
    <w:rsid w:val="005A6F84"/>
    <w:rsid w:val="005A7DFB"/>
    <w:rsid w:val="005B3E2B"/>
    <w:rsid w:val="005B4B15"/>
    <w:rsid w:val="005C77BA"/>
    <w:rsid w:val="005D5B82"/>
    <w:rsid w:val="005E0334"/>
    <w:rsid w:val="005F64C1"/>
    <w:rsid w:val="00620B4C"/>
    <w:rsid w:val="00624345"/>
    <w:rsid w:val="00665332"/>
    <w:rsid w:val="00676B96"/>
    <w:rsid w:val="006A0019"/>
    <w:rsid w:val="006A0AD8"/>
    <w:rsid w:val="006D0713"/>
    <w:rsid w:val="006E41AE"/>
    <w:rsid w:val="006E6A2C"/>
    <w:rsid w:val="006F51B0"/>
    <w:rsid w:val="006F5883"/>
    <w:rsid w:val="00705820"/>
    <w:rsid w:val="00706CF4"/>
    <w:rsid w:val="007119CB"/>
    <w:rsid w:val="00714775"/>
    <w:rsid w:val="00731C8C"/>
    <w:rsid w:val="00741A07"/>
    <w:rsid w:val="00765E69"/>
    <w:rsid w:val="00772C97"/>
    <w:rsid w:val="00780E48"/>
    <w:rsid w:val="007905BB"/>
    <w:rsid w:val="007A5BDC"/>
    <w:rsid w:val="007B70BA"/>
    <w:rsid w:val="007C1CA9"/>
    <w:rsid w:val="007E1724"/>
    <w:rsid w:val="007E770B"/>
    <w:rsid w:val="007E77A3"/>
    <w:rsid w:val="007F277C"/>
    <w:rsid w:val="007F415E"/>
    <w:rsid w:val="007F4252"/>
    <w:rsid w:val="00823470"/>
    <w:rsid w:val="00825749"/>
    <w:rsid w:val="0087253E"/>
    <w:rsid w:val="008A0B52"/>
    <w:rsid w:val="008A14B9"/>
    <w:rsid w:val="008A1F60"/>
    <w:rsid w:val="008D6107"/>
    <w:rsid w:val="008E59FB"/>
    <w:rsid w:val="008F7382"/>
    <w:rsid w:val="008F7F77"/>
    <w:rsid w:val="009116B3"/>
    <w:rsid w:val="00912092"/>
    <w:rsid w:val="00912801"/>
    <w:rsid w:val="0091779A"/>
    <w:rsid w:val="00931813"/>
    <w:rsid w:val="00942BD5"/>
    <w:rsid w:val="00945060"/>
    <w:rsid w:val="00946957"/>
    <w:rsid w:val="00954DA5"/>
    <w:rsid w:val="00955C8E"/>
    <w:rsid w:val="00970748"/>
    <w:rsid w:val="00981BC7"/>
    <w:rsid w:val="00995C82"/>
    <w:rsid w:val="009B3642"/>
    <w:rsid w:val="009C101F"/>
    <w:rsid w:val="009C5C82"/>
    <w:rsid w:val="009D1181"/>
    <w:rsid w:val="009E7A39"/>
    <w:rsid w:val="009F5ABB"/>
    <w:rsid w:val="00A050E5"/>
    <w:rsid w:val="00A35179"/>
    <w:rsid w:val="00A35D96"/>
    <w:rsid w:val="00A5425C"/>
    <w:rsid w:val="00A5698C"/>
    <w:rsid w:val="00A6091E"/>
    <w:rsid w:val="00A63033"/>
    <w:rsid w:val="00A711B1"/>
    <w:rsid w:val="00A71800"/>
    <w:rsid w:val="00A741AF"/>
    <w:rsid w:val="00A90071"/>
    <w:rsid w:val="00A914EB"/>
    <w:rsid w:val="00AA0570"/>
    <w:rsid w:val="00AA0988"/>
    <w:rsid w:val="00AB2361"/>
    <w:rsid w:val="00AB5009"/>
    <w:rsid w:val="00AB7430"/>
    <w:rsid w:val="00AC1F3A"/>
    <w:rsid w:val="00AD0390"/>
    <w:rsid w:val="00AD7806"/>
    <w:rsid w:val="00AE19BB"/>
    <w:rsid w:val="00AE3744"/>
    <w:rsid w:val="00AF2755"/>
    <w:rsid w:val="00B3320C"/>
    <w:rsid w:val="00B3444A"/>
    <w:rsid w:val="00B47EAD"/>
    <w:rsid w:val="00B73F5E"/>
    <w:rsid w:val="00B80176"/>
    <w:rsid w:val="00B929B2"/>
    <w:rsid w:val="00B935EC"/>
    <w:rsid w:val="00B9534A"/>
    <w:rsid w:val="00B96645"/>
    <w:rsid w:val="00B97944"/>
    <w:rsid w:val="00BB2A6D"/>
    <w:rsid w:val="00BC6282"/>
    <w:rsid w:val="00BC66C2"/>
    <w:rsid w:val="00BC6F59"/>
    <w:rsid w:val="00BD0C7B"/>
    <w:rsid w:val="00BE7898"/>
    <w:rsid w:val="00C203F3"/>
    <w:rsid w:val="00C4328D"/>
    <w:rsid w:val="00C525C3"/>
    <w:rsid w:val="00C615AF"/>
    <w:rsid w:val="00C65A75"/>
    <w:rsid w:val="00C76186"/>
    <w:rsid w:val="00C9253E"/>
    <w:rsid w:val="00CC0D7B"/>
    <w:rsid w:val="00CD57F5"/>
    <w:rsid w:val="00CD6841"/>
    <w:rsid w:val="00D340D0"/>
    <w:rsid w:val="00D43456"/>
    <w:rsid w:val="00D71DB1"/>
    <w:rsid w:val="00DA4999"/>
    <w:rsid w:val="00DA5918"/>
    <w:rsid w:val="00DC7B53"/>
    <w:rsid w:val="00DE3736"/>
    <w:rsid w:val="00DF6BFA"/>
    <w:rsid w:val="00E0214E"/>
    <w:rsid w:val="00E3259D"/>
    <w:rsid w:val="00E44D23"/>
    <w:rsid w:val="00E45FB7"/>
    <w:rsid w:val="00E55E6C"/>
    <w:rsid w:val="00E74276"/>
    <w:rsid w:val="00E80DC9"/>
    <w:rsid w:val="00E80EE6"/>
    <w:rsid w:val="00E85C11"/>
    <w:rsid w:val="00E92186"/>
    <w:rsid w:val="00E935B4"/>
    <w:rsid w:val="00E95AD2"/>
    <w:rsid w:val="00EA51C0"/>
    <w:rsid w:val="00EB2482"/>
    <w:rsid w:val="00EC2531"/>
    <w:rsid w:val="00EC6EFD"/>
    <w:rsid w:val="00ED20AB"/>
    <w:rsid w:val="00EE31E0"/>
    <w:rsid w:val="00EE3FC2"/>
    <w:rsid w:val="00EE7E27"/>
    <w:rsid w:val="00F03B65"/>
    <w:rsid w:val="00F108D2"/>
    <w:rsid w:val="00F20FB5"/>
    <w:rsid w:val="00F219FF"/>
    <w:rsid w:val="00F42155"/>
    <w:rsid w:val="00F5470A"/>
    <w:rsid w:val="00F60291"/>
    <w:rsid w:val="00F62513"/>
    <w:rsid w:val="00FA163D"/>
    <w:rsid w:val="00FA3E1E"/>
    <w:rsid w:val="00FC0BED"/>
    <w:rsid w:val="00FC249D"/>
    <w:rsid w:val="00FC4012"/>
    <w:rsid w:val="00FC7627"/>
    <w:rsid w:val="00FD155E"/>
    <w:rsid w:val="00FE19B3"/>
    <w:rsid w:val="00FF7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BD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A542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425C"/>
    <w:rPr>
      <w:sz w:val="20"/>
      <w:szCs w:val="20"/>
    </w:rPr>
  </w:style>
  <w:style w:type="table" w:styleId="TableGrid">
    <w:name w:val="Table Grid"/>
    <w:basedOn w:val="TableNormal"/>
    <w:uiPriority w:val="39"/>
    <w:rsid w:val="00A5425C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5425C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25C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32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320C"/>
    <w:rPr>
      <w:b/>
      <w:bCs/>
      <w:sz w:val="20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0D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NormalWebChar">
    <w:name w:val="Normal (Web) Char"/>
    <w:basedOn w:val="DefaultParagraphFont"/>
    <w:link w:val="NormalWeb"/>
    <w:uiPriority w:val="99"/>
    <w:rsid w:val="000D37E7"/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FC7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627"/>
  </w:style>
  <w:style w:type="paragraph" w:styleId="Footer">
    <w:name w:val="footer"/>
    <w:basedOn w:val="Normal"/>
    <w:link w:val="FooterChar"/>
    <w:uiPriority w:val="99"/>
    <w:unhideWhenUsed/>
    <w:rsid w:val="00FC7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627"/>
  </w:style>
  <w:style w:type="paragraph" w:styleId="Revision">
    <w:name w:val="Revision"/>
    <w:hidden/>
    <w:uiPriority w:val="99"/>
    <w:semiHidden/>
    <w:rsid w:val="00825749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931813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31813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31813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31813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157BE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7BE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7E096CB-E2C5-4905-9805-FADED1FCD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2328</Words>
  <Characters>13270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Hotel Dieu Hospital</Company>
  <LinksUpToDate>false</LinksUpToDate>
  <CharactersWithSpaces>15567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"taylorc2"</dc:creator>
  <cp:lastModifiedBy>9106023</cp:lastModifiedBy>
  <cp:revision>2</cp:revision>
  <cp:lastPrinted>2020-06-17T03:09:00Z</cp:lastPrinted>
  <dcterms:created xsi:type="dcterms:W3CDTF">2020-08-07T17:52:00Z</dcterms:created>
  <dcterms:modified xsi:type="dcterms:W3CDTF">2020-08-07T17:52:00Z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id="http://www.zotero.org/styles/american-medical-association"/&gt;&lt;format class="21"/&gt;&lt;count citations="21" publications="22"/&gt;&lt;/info&gt;PAPERS2_INFO_END</vt:lpwstr>
  </property>
  <property fmtid="{D5CDD505-2E9C-101B-9397-08002B2CF9AE}" pid="3" name="Mendeley Document_1">
    <vt:lpwstr>True</vt:lpwstr>
  </property>
  <property fmtid="{D5CDD505-2E9C-101B-9397-08002B2CF9AE}" pid="4" name="Mendeley Unique User Id_1">
    <vt:lpwstr>69dd9a61-c804-3527-9185-a60063f14609</vt:lpwstr>
  </property>
  <property fmtid="{D5CDD505-2E9C-101B-9397-08002B2CF9AE}" pid="5" name="Mendeley Citation Style_1">
    <vt:lpwstr>http://www.zotero.org/styles/american-medical-association</vt:lpwstr>
  </property>
  <property fmtid="{D5CDD505-2E9C-101B-9397-08002B2CF9AE}" pid="6" name="Mendeley Recent Style Id 0_1">
    <vt:lpwstr>http://www.zotero.org/styles/american-medical-association</vt:lpwstr>
  </property>
  <property fmtid="{D5CDD505-2E9C-101B-9397-08002B2CF9AE}" pid="7" name="Mendeley Recent Style Name 0_1">
    <vt:lpwstr>American Medical Association</vt:lpwstr>
  </property>
  <property fmtid="{D5CDD505-2E9C-101B-9397-08002B2CF9AE}" pid="8" name="Mendeley Recent Style Id 1_1">
    <vt:lpwstr>http://www.zotero.org/styles/american-political-science-association</vt:lpwstr>
  </property>
  <property fmtid="{D5CDD505-2E9C-101B-9397-08002B2CF9AE}" pid="9" name="Mendeley Recent Style Name 1_1">
    <vt:lpwstr>American Political Science Association</vt:lpwstr>
  </property>
  <property fmtid="{D5CDD505-2E9C-101B-9397-08002B2CF9AE}" pid="10" name="Mendeley Recent Style Id 2_1">
    <vt:lpwstr>http://www.zotero.org/styles/apa</vt:lpwstr>
  </property>
  <property fmtid="{D5CDD505-2E9C-101B-9397-08002B2CF9AE}" pid="11" name="Mendeley Recent Style Name 2_1">
    <vt:lpwstr>American Psychological Association 6th edition</vt:lpwstr>
  </property>
  <property fmtid="{D5CDD505-2E9C-101B-9397-08002B2CF9AE}" pid="12" name="Mendeley Recent Style Id 3_1">
    <vt:lpwstr>http://www.zotero.org/styles/american-sociological-association</vt:lpwstr>
  </property>
  <property fmtid="{D5CDD505-2E9C-101B-9397-08002B2CF9AE}" pid="13" name="Mendeley Recent Style Name 3_1">
    <vt:lpwstr>American Sociological Association</vt:lpwstr>
  </property>
  <property fmtid="{D5CDD505-2E9C-101B-9397-08002B2CF9AE}" pid="14" name="Mendeley Recent Style Id 4_1">
    <vt:lpwstr>http://www.zotero.org/styles/chicago-author-date</vt:lpwstr>
  </property>
  <property fmtid="{D5CDD505-2E9C-101B-9397-08002B2CF9AE}" pid="15" name="Mendeley Recent Style Name 4_1">
    <vt:lpwstr>Chicago Manual of Style 17th edition (author-date)</vt:lpwstr>
  </property>
  <property fmtid="{D5CDD505-2E9C-101B-9397-08002B2CF9AE}" pid="16" name="Mendeley Recent Style Id 5_1">
    <vt:lpwstr>http://www.zotero.org/styles/harvard-cite-them-right</vt:lpwstr>
  </property>
  <property fmtid="{D5CDD505-2E9C-101B-9397-08002B2CF9AE}" pid="17" name="Mendeley Recent Style Name 5_1">
    <vt:lpwstr>Cite Them Right 10th edition - Harvard</vt:lpwstr>
  </property>
  <property fmtid="{D5CDD505-2E9C-101B-9397-08002B2CF9AE}" pid="18" name="Mendeley Recent Style Id 6_1">
    <vt:lpwstr>http://www.zotero.org/styles/ieee</vt:lpwstr>
  </property>
  <property fmtid="{D5CDD505-2E9C-101B-9397-08002B2CF9AE}" pid="19" name="Mendeley Recent Style Name 6_1">
    <vt:lpwstr>IEEE</vt:lpwstr>
  </property>
  <property fmtid="{D5CDD505-2E9C-101B-9397-08002B2CF9AE}" pid="20" name="Mendeley Recent Style Id 7_1">
    <vt:lpwstr>http://www.zotero.org/styles/modern-humanities-research-association</vt:lpwstr>
  </property>
  <property fmtid="{D5CDD505-2E9C-101B-9397-08002B2CF9AE}" pid="21" name="Mendeley Recent Style Name 7_1">
    <vt:lpwstr>Modern Humanities Research Association 3rd edition (note with bibliography)</vt:lpwstr>
  </property>
  <property fmtid="{D5CDD505-2E9C-101B-9397-08002B2CF9AE}" pid="22" name="Mendeley Recent Style Id 8_1">
    <vt:lpwstr>http://www.zotero.org/styles/modern-language-association</vt:lpwstr>
  </property>
  <property fmtid="{D5CDD505-2E9C-101B-9397-08002B2CF9AE}" pid="23" name="Mendeley Recent Style Name 8_1">
    <vt:lpwstr>Modern Language Association 8th edition</vt:lpwstr>
  </property>
  <property fmtid="{D5CDD505-2E9C-101B-9397-08002B2CF9AE}" pid="24" name="Mendeley Recent Style Id 9_1">
    <vt:lpwstr>http://www.zotero.org/styles/nature</vt:lpwstr>
  </property>
  <property fmtid="{D5CDD505-2E9C-101B-9397-08002B2CF9AE}" pid="25" name="Mendeley Recent Style Name 9_1">
    <vt:lpwstr>Nature</vt:lpwstr>
  </property>
</Properties>
</file>