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4431681" w:rsidP="64431681" w:rsidRDefault="2D14892D" w14:paraId="6CA8AD89" w14:textId="1D7EC443">
      <w:pPr>
        <w:rPr>
          <w:rFonts w:ascii="Times New Roman" w:hAnsi="Times New Roman" w:eastAsia="Times New Roman" w:cs="Times New Roman"/>
          <w:b/>
          <w:bCs/>
        </w:rPr>
      </w:pPr>
      <w:r w:rsidRPr="64431681">
        <w:rPr>
          <w:rFonts w:ascii="Times New Roman" w:hAnsi="Times New Roman" w:eastAsia="Times New Roman" w:cs="Times New Roman"/>
          <w:b/>
          <w:bCs/>
        </w:rPr>
        <w:t xml:space="preserve">Supplementary </w:t>
      </w:r>
      <w:r w:rsidRPr="64431681" w:rsidR="3E9E08EF">
        <w:rPr>
          <w:rFonts w:ascii="Times New Roman" w:hAnsi="Times New Roman" w:eastAsia="Times New Roman" w:cs="Times New Roman"/>
          <w:b/>
          <w:bCs/>
        </w:rPr>
        <w:t>Result</w:t>
      </w:r>
      <w:r w:rsidRPr="64431681">
        <w:rPr>
          <w:rFonts w:ascii="Times New Roman" w:hAnsi="Times New Roman" w:eastAsia="Times New Roman" w:cs="Times New Roman"/>
          <w:b/>
          <w:bCs/>
        </w:rPr>
        <w:t>s</w:t>
      </w:r>
    </w:p>
    <w:p w:rsidR="327F9679" w:rsidP="64431681" w:rsidRDefault="42696036" w14:paraId="206F47F9" w14:textId="375DFB01">
      <w:pPr>
        <w:rPr>
          <w:rFonts w:ascii="Times New Roman" w:hAnsi="Times New Roman" w:eastAsia="Times New Roman" w:cs="Times New Roman"/>
          <w:b/>
          <w:bCs/>
        </w:rPr>
      </w:pPr>
      <w:r w:rsidRPr="5B8BDAFF">
        <w:rPr>
          <w:rFonts w:ascii="Times New Roman" w:hAnsi="Times New Roman" w:eastAsia="Times New Roman" w:cs="Times New Roman"/>
          <w:b/>
          <w:bCs/>
        </w:rPr>
        <w:t>Characterization of relatedness</w:t>
      </w:r>
    </w:p>
    <w:p w:rsidR="327F9679" w:rsidP="5B8BDAFF" w:rsidRDefault="42696036" w14:paraId="54D4A2A0" w14:textId="38CC9775">
      <w:pPr>
        <w:spacing w:line="240" w:lineRule="auto"/>
        <w:rPr>
          <w:rFonts w:ascii="Times New Roman" w:hAnsi="Times New Roman" w:eastAsia="Times New Roman" w:cs="Times New Roman"/>
          <w:color w:val="000000" w:themeColor="text1"/>
        </w:rPr>
      </w:pPr>
      <w:r w:rsidRPr="2DA549C4" w:rsidR="42696036">
        <w:rPr>
          <w:rFonts w:ascii="Times New Roman" w:hAnsi="Times New Roman" w:eastAsia="Times New Roman" w:cs="Times New Roman"/>
          <w:color w:val="000000" w:themeColor="text1" w:themeTint="FF" w:themeShade="FF"/>
        </w:rPr>
        <w:t xml:space="preserve">To better understand the generational depth of inherited ancestral segments, we estimated relatedness, predicted </w:t>
      </w:r>
      <w:r w:rsidRPr="2DA549C4" w:rsidR="42696036">
        <w:rPr>
          <w:rFonts w:ascii="Times New Roman" w:hAnsi="Times New Roman" w:eastAsia="Times New Roman" w:cs="Times New Roman"/>
          <w:color w:val="000000" w:themeColor="text1" w:themeTint="FF" w:themeShade="FF"/>
        </w:rPr>
        <w:t>likely pedigrees</w:t>
      </w:r>
      <w:r w:rsidRPr="2DA549C4" w:rsidR="42696036">
        <w:rPr>
          <w:rFonts w:ascii="Times New Roman" w:hAnsi="Times New Roman" w:eastAsia="Times New Roman" w:cs="Times New Roman"/>
          <w:color w:val="000000" w:themeColor="text1" w:themeTint="FF" w:themeShade="FF"/>
        </w:rPr>
        <w:t xml:space="preserve">, and </w:t>
      </w:r>
      <w:r w:rsidRPr="2DA549C4" w:rsidR="42696036">
        <w:rPr>
          <w:rFonts w:ascii="Times New Roman" w:hAnsi="Times New Roman" w:eastAsia="Times New Roman" w:cs="Times New Roman"/>
          <w:color w:val="000000" w:themeColor="text1" w:themeTint="FF" w:themeShade="FF"/>
        </w:rPr>
        <w:t>identified</w:t>
      </w:r>
      <w:r w:rsidRPr="2DA549C4" w:rsidR="42696036">
        <w:rPr>
          <w:rFonts w:ascii="Times New Roman" w:hAnsi="Times New Roman" w:eastAsia="Times New Roman" w:cs="Times New Roman"/>
          <w:color w:val="000000" w:themeColor="text1" w:themeTint="FF" w:themeShade="FF"/>
        </w:rPr>
        <w:t xml:space="preserve"> shared genomic segments in 34,523 participants from the AGD35k cohort (</w:t>
      </w:r>
      <w:r w:rsidRPr="2DA549C4" w:rsidR="42696036">
        <w:rPr>
          <w:rFonts w:ascii="Times New Roman" w:hAnsi="Times New Roman" w:eastAsia="Times New Roman" w:cs="Times New Roman"/>
          <w:color w:val="000000" w:themeColor="text1" w:themeTint="FF" w:themeShade="FF"/>
        </w:rPr>
        <w:t>see Methods</w:t>
      </w:r>
      <w:r w:rsidRPr="2DA549C4" w:rsidR="42696036">
        <w:rPr>
          <w:rFonts w:ascii="Times New Roman" w:hAnsi="Times New Roman" w:eastAsia="Times New Roman" w:cs="Times New Roman"/>
          <w:color w:val="000000" w:themeColor="text1" w:themeTint="FF" w:themeShade="FF"/>
        </w:rPr>
        <w:t>)</w:t>
      </w:r>
      <w:r w:rsidRPr="2DA549C4" w:rsidR="42696036">
        <w:rPr>
          <w:rFonts w:ascii="Times New Roman" w:hAnsi="Times New Roman" w:eastAsia="Times New Roman" w:cs="Times New Roman"/>
          <w:color w:val="000000" w:themeColor="text1" w:themeTint="FF" w:themeShade="FF"/>
        </w:rPr>
        <w:t xml:space="preserve">. </w:t>
      </w:r>
      <w:r w:rsidRPr="2DA549C4" w:rsidR="1196C855">
        <w:rPr>
          <w:rFonts w:ascii="Times New Roman" w:hAnsi="Times New Roman" w:eastAsia="Times New Roman" w:cs="Times New Roman"/>
          <w:color w:val="000000" w:themeColor="text1" w:themeTint="FF" w:themeShade="FF"/>
        </w:rPr>
        <w:t xml:space="preserve">This analysis was completed prior to </w:t>
      </w:r>
      <w:r w:rsidRPr="2DA549C4" w:rsidR="1196C855">
        <w:rPr>
          <w:rFonts w:ascii="Times New Roman" w:hAnsi="Times New Roman" w:eastAsia="Times New Roman" w:cs="Times New Roman"/>
          <w:color w:val="000000" w:themeColor="text1" w:themeTint="FF" w:themeShade="FF"/>
        </w:rPr>
        <w:t>complete</w:t>
      </w:r>
      <w:r w:rsidRPr="2DA549C4" w:rsidR="1196C855">
        <w:rPr>
          <w:rFonts w:ascii="Times New Roman" w:hAnsi="Times New Roman" w:eastAsia="Times New Roman" w:cs="Times New Roman"/>
          <w:color w:val="000000" w:themeColor="text1" w:themeTint="FF" w:themeShade="FF"/>
        </w:rPr>
        <w:t xml:space="preserve"> sequencing of the AGD35k </w:t>
      </w:r>
      <w:r w:rsidRPr="2DA549C4" w:rsidR="57AE15B5">
        <w:rPr>
          <w:rFonts w:ascii="Times New Roman" w:hAnsi="Times New Roman" w:eastAsia="Times New Roman" w:cs="Times New Roman"/>
          <w:color w:val="000000" w:themeColor="text1" w:themeTint="FF" w:themeShade="FF"/>
        </w:rPr>
        <w:t>cohort;</w:t>
      </w:r>
      <w:r w:rsidRPr="2DA549C4" w:rsidR="1196C855">
        <w:rPr>
          <w:rFonts w:ascii="Times New Roman" w:hAnsi="Times New Roman" w:eastAsia="Times New Roman" w:cs="Times New Roman"/>
          <w:color w:val="000000" w:themeColor="text1" w:themeTint="FF" w:themeShade="FF"/>
        </w:rPr>
        <w:t xml:space="preserve"> therefore, </w:t>
      </w:r>
      <w:r w:rsidRPr="2DA549C4" w:rsidR="42696036">
        <w:rPr>
          <w:rFonts w:ascii="Times New Roman" w:hAnsi="Times New Roman" w:eastAsia="Times New Roman" w:cs="Times New Roman"/>
          <w:color w:val="000000" w:themeColor="text1" w:themeTint="FF" w:themeShade="FF"/>
        </w:rPr>
        <w:t xml:space="preserve">501 </w:t>
      </w:r>
      <w:r w:rsidRPr="2DA549C4" w:rsidR="639DFC63">
        <w:rPr>
          <w:rFonts w:ascii="Times New Roman" w:hAnsi="Times New Roman" w:eastAsia="Times New Roman" w:cs="Times New Roman"/>
          <w:color w:val="000000" w:themeColor="text1" w:themeTint="FF" w:themeShade="FF"/>
        </w:rPr>
        <w:t xml:space="preserve">participants </w:t>
      </w:r>
      <w:r w:rsidRPr="2DA549C4" w:rsidR="4D14BD6A">
        <w:rPr>
          <w:rFonts w:ascii="Times New Roman" w:hAnsi="Times New Roman" w:eastAsia="Times New Roman" w:cs="Times New Roman"/>
          <w:color w:val="000000" w:themeColor="text1" w:themeTint="FF" w:themeShade="FF"/>
        </w:rPr>
        <w:t>are missing from t</w:t>
      </w:r>
      <w:r w:rsidRPr="2DA549C4" w:rsidR="4609E86A">
        <w:rPr>
          <w:rFonts w:ascii="Times New Roman" w:hAnsi="Times New Roman" w:eastAsia="Times New Roman" w:cs="Times New Roman"/>
          <w:color w:val="000000" w:themeColor="text1" w:themeTint="FF" w:themeShade="FF"/>
        </w:rPr>
        <w:t>his analysis</w:t>
      </w:r>
      <w:r w:rsidRPr="2DA549C4" w:rsidR="42696036">
        <w:rPr>
          <w:rFonts w:ascii="Times New Roman" w:hAnsi="Times New Roman" w:eastAsia="Times New Roman" w:cs="Times New Roman"/>
          <w:color w:val="000000" w:themeColor="text1" w:themeTint="FF" w:themeShade="FF"/>
        </w:rPr>
        <w:t>.</w:t>
      </w:r>
      <w:r w:rsidRPr="2DA549C4" w:rsidR="42696036">
        <w:rPr>
          <w:rFonts w:ascii="Times New Roman" w:hAnsi="Times New Roman" w:eastAsia="Times New Roman" w:cs="Times New Roman"/>
          <w:color w:val="000000" w:themeColor="text1" w:themeTint="FF" w:themeShade="FF"/>
        </w:rPr>
        <w:t xml:space="preserve"> We determined pair-wise close relatedness (1</w:t>
      </w:r>
      <w:r w:rsidRPr="2DA549C4" w:rsidR="42696036">
        <w:rPr>
          <w:rFonts w:ascii="Times New Roman" w:hAnsi="Times New Roman" w:eastAsia="Times New Roman" w:cs="Times New Roman"/>
          <w:color w:val="000000" w:themeColor="text1" w:themeTint="FF" w:themeShade="FF"/>
          <w:vertAlign w:val="superscript"/>
        </w:rPr>
        <w:t>st</w:t>
      </w:r>
      <w:r w:rsidRPr="2DA549C4" w:rsidR="42696036">
        <w:rPr>
          <w:rFonts w:ascii="Times New Roman" w:hAnsi="Times New Roman" w:eastAsia="Times New Roman" w:cs="Times New Roman"/>
          <w:color w:val="000000" w:themeColor="text1" w:themeTint="FF" w:themeShade="FF"/>
        </w:rPr>
        <w:t xml:space="preserve"> and 2</w:t>
      </w:r>
      <w:r w:rsidRPr="2DA549C4" w:rsidR="42696036">
        <w:rPr>
          <w:rFonts w:ascii="Times New Roman" w:hAnsi="Times New Roman" w:eastAsia="Times New Roman" w:cs="Times New Roman"/>
          <w:color w:val="000000" w:themeColor="text1" w:themeTint="FF" w:themeShade="FF"/>
          <w:vertAlign w:val="superscript"/>
        </w:rPr>
        <w:t>nd</w:t>
      </w:r>
      <w:r w:rsidRPr="2DA549C4" w:rsidR="42696036">
        <w:rPr>
          <w:rFonts w:ascii="Times New Roman" w:hAnsi="Times New Roman" w:eastAsia="Times New Roman" w:cs="Times New Roman"/>
          <w:color w:val="000000" w:themeColor="text1" w:themeTint="FF" w:themeShade="FF"/>
        </w:rPr>
        <w:t xml:space="preserve"> degree) and defined pedigrees using COMPADRE and we also determined pair-wise distant relatedness (3</w:t>
      </w:r>
      <w:r w:rsidRPr="2DA549C4" w:rsidR="42696036">
        <w:rPr>
          <w:rFonts w:ascii="Times New Roman" w:hAnsi="Times New Roman" w:eastAsia="Times New Roman" w:cs="Times New Roman"/>
          <w:color w:val="000000" w:themeColor="text1" w:themeTint="FF" w:themeShade="FF"/>
          <w:vertAlign w:val="superscript"/>
        </w:rPr>
        <w:t>rd</w:t>
      </w:r>
      <w:r w:rsidRPr="2DA549C4" w:rsidR="42696036">
        <w:rPr>
          <w:rFonts w:ascii="Times New Roman" w:hAnsi="Times New Roman" w:eastAsia="Times New Roman" w:cs="Times New Roman"/>
          <w:color w:val="000000" w:themeColor="text1" w:themeTint="FF" w:themeShade="FF"/>
        </w:rPr>
        <w:t xml:space="preserve"> degree and higher) using ERS</w:t>
      </w:r>
      <w:r w:rsidRPr="2DA549C4" w:rsidR="00BC5039">
        <w:rPr>
          <w:rFonts w:ascii="Times New Roman" w:hAnsi="Times New Roman" w:eastAsia="Times New Roman" w:cs="Times New Roman"/>
          <w:color w:val="000000" w:themeColor="text1" w:themeTint="FF" w:themeShade="FF"/>
        </w:rPr>
        <w:t>A</w:t>
      </w:r>
      <w:r w:rsidRPr="2DA549C4">
        <w:rPr>
          <w:rFonts w:ascii="Times New Roman" w:hAnsi="Times New Roman" w:eastAsia="Times New Roman" w:cs="Times New Roman"/>
          <w:color w:val="000000" w:themeColor="text1" w:themeTint="FF" w:themeShade="FF"/>
        </w:rPr>
        <w:fldChar w:fldCharType="begin"/>
      </w:r>
      <w:r w:rsidRPr="2DA549C4">
        <w:rPr>
          <w:rFonts w:ascii="Times New Roman" w:hAnsi="Times New Roman" w:eastAsia="Times New Roman" w:cs="Times New Roman"/>
          <w:color w:val="000000" w:themeColor="text1" w:themeTint="FF" w:themeShade="FF"/>
        </w:rPr>
        <w:instrText xml:space="preserve"> ADDIN ZOTERO_ITEM CSL_CITATION {"citationID":"1RALbdxe","properties":{"formattedCitation":"\\super 1,2\\nosupersub{}","plainCitation":"1,2","noteIndex":0},"citationItems":[{"id":5297,"uris":["http://zotero.org/users/2033222/items/LCTRDZ2N"],"itemData":{"id":5297,"type":"article-journal","abstract":"Accurate estimation of shared ancestry is an important component of many genetic studies; current prediction tools accurately estimate pairwise genetic relationships up to the ninth degree. Pedigree-aware distant-relationship estimation (PADRE) combines relationship likelihoods generated by estimation of recent shared ancestry (ERSA) with likelihoods from family networks reconstructed by pedigree reconstruction and identification of a maximum unrelated set (PRIMUS), improving the power to detect distant relationships between pedigrees. Using PADRE, we estimated relationships from simulated pedigrees and three extended pedigrees, correctly predicting 20% more fourth- through ninth-degree simulated relationships than when using ERSA alone. By leveraging pedigree information, PADRE can even identify genealogical relationships between individuals who are genetically unrelated. For example, although 95% of 13(th)-degree relatives are genetically unrelated, in simulations, PADRE correctly predicted 50% of 13(th)-degree relationships to within one degree of relatedness. The improvement in prediction accuracy was consistent between simulated and actual pedigrees. We also applied PADRE to the HapMap3 CEU samples and report new cryptic relationships and validation of previously described relationships between families. PADRE greatly expands the range of relationships that can be estimated by using genetic data in pedigrees.","container-title":"American Journal of Human Genetics","DOI":"10.1016/j.ajhg.2016.05.020","ISSN":"1537-6605","issue":"1","journalAbbreviation":"Am J Hum Genet","language":"eng","note":"PMID: 27374771\nPMCID: PMC5005450","page":"154-162","source":"PubMed","title":"PADRE: Pedigree-Aware Distant-Relationship Estimation","title-short":"PADRE","volume":"99","author":[{"family":"Staples","given":"Jeffrey"},{"family":"Witherspoon","given":"David J."},{"family":"Jorde","given":"Lynn B."},{"family":"Nickerson","given":"Deborah A."},{"literal":"University of Washington Center for Mendelian Genomics"},{"family":"Below","given":"Jennifer E."},{"family":"Huff","given":"Chad D."}],"issued":{"date-parts":[["2016",7,7]]}}},{"id":5294,"uris":["http://zotero.org/users/2033222/items/FR8P8ACW"],"itemData":{"id":5294,"type":"article-journal","abstract":"Accurate estimation of recent shared ancestry is important for genetics, evolution, medicine, conservation biology, and forensics. Established methods estimate kinship accurately for first-degree through third-degree relatives. We demonstrate that chromosomal segments shared by two individuals due to identity by descent (IBD) provide much additional information about shared ancestry. We developed a maximum-likelihood method for the estimation of recent shared ancestry (ERSA) from the number and lengths of IBD segments derived from high-density SNP or whole-genome sequence data. We used ERSA to estimate relationships from SNP genotypes in 169 individuals from three large, well-defined human pedigrees. ERSA is accurate to within one degree of relationship for 97% of first-degree through fifth-degree relatives and 80% of sixth-degree and seventh-degree relatives. We demonstrate that ERSA's statistical power approaches the maximum theoretical limit imposed by the fact that distant relatives frequently share no DNA through a common ancestor. ERSA greatly expands the range of relationships that can be estimated from genetic data and is implemented in a freely available software package.","container-title":"Genome Research","DOI":"10.1101/gr.115972.110","ISSN":"1549-5469","issue":"5","journalAbbreviation":"Genome Res","language":"eng","note":"PMID: 21324875\nPMCID: PMC3083094","page":"768-774","source":"PubMed","title":"Maximum-likelihood estimation of recent shared ancestry (ERSA)","volume":"21","author":[{"family":"Huff","given":"Chad D."},{"family":"Witherspoon","given":"David J."},{"family":"Simonson","given":"Tatum S."},{"family":"Xing","given":"Jinchuan"},{"family":"Watkins","given":"W. Scott"},{"family":"Zhang","given":"Yuhua"},{"family":"Tuohy","given":"Therese M."},{"family":"Neklason","given":"Deborah W."},{"family":"Burt","given":"Randall W."},{"family":"Guthery","given":"Stephen L."},{"family":"Woodward","given":"Scott R."},{"family":"Jorde","given":"Lynn B."}],"issued":{"date-parts":[["2011",5]]}}}],"schema":"https://github.com/citation-style-language/schema/raw/master/csl-citation.json"} </w:instrText>
      </w:r>
      <w:r w:rsidRPr="2DA549C4">
        <w:rPr>
          <w:rFonts w:ascii="Times New Roman" w:hAnsi="Times New Roman" w:eastAsia="Times New Roman" w:cs="Times New Roman"/>
          <w:color w:val="000000" w:themeColor="text1" w:themeTint="FF" w:themeShade="FF"/>
        </w:rPr>
        <w:fldChar w:fldCharType="separate"/>
      </w:r>
      <w:r w:rsidRPr="2DA549C4" w:rsidR="00BC5039">
        <w:rPr>
          <w:rFonts w:ascii="Times New Roman" w:hAnsi="Times New Roman" w:cs="Times New Roman"/>
          <w:color w:val="000000" w:themeColor="text1" w:themeTint="FF" w:themeShade="FF"/>
          <w:vertAlign w:val="superscript"/>
        </w:rPr>
        <w:t>1,2</w:t>
      </w:r>
      <w:r w:rsidRPr="2DA549C4">
        <w:rPr>
          <w:rFonts w:ascii="Times New Roman" w:hAnsi="Times New Roman" w:eastAsia="Times New Roman" w:cs="Times New Roman"/>
          <w:color w:val="000000" w:themeColor="text1" w:themeTint="FF" w:themeShade="FF"/>
        </w:rPr>
        <w:fldChar w:fldCharType="end"/>
      </w:r>
      <w:r w:rsidRPr="2DA549C4" w:rsidR="42696036">
        <w:rPr>
          <w:rFonts w:ascii="Times New Roman" w:hAnsi="Times New Roman" w:eastAsia="Times New Roman" w:cs="Times New Roman"/>
          <w:color w:val="000000" w:themeColor="text1" w:themeTint="FF" w:themeShade="FF"/>
        </w:rPr>
        <w:t xml:space="preserve">. We identified ~627 million total identity by descent (IBD) segments shared pairwise with length equal to or greater than 2cM among 247,967,491 million pairs of participants. We detected 4,303 </w:t>
      </w:r>
      <w:r w:rsidRPr="2DA549C4" w:rsidR="24AC9806">
        <w:rPr>
          <w:rFonts w:ascii="Times New Roman" w:hAnsi="Times New Roman" w:eastAsia="Times New Roman" w:cs="Times New Roman"/>
          <w:color w:val="000000" w:themeColor="text1" w:themeTint="FF" w:themeShade="FF"/>
        </w:rPr>
        <w:t>1</w:t>
      </w:r>
      <w:r w:rsidRPr="2DA549C4" w:rsidR="24AC9806">
        <w:rPr>
          <w:rFonts w:ascii="Times New Roman" w:hAnsi="Times New Roman" w:eastAsia="Times New Roman" w:cs="Times New Roman"/>
          <w:color w:val="000000" w:themeColor="text1" w:themeTint="FF" w:themeShade="FF"/>
          <w:vertAlign w:val="superscript"/>
        </w:rPr>
        <w:t>st</w:t>
      </w:r>
      <w:r w:rsidRPr="2DA549C4" w:rsidR="24AC9806">
        <w:rPr>
          <w:rFonts w:ascii="Times New Roman" w:hAnsi="Times New Roman" w:eastAsia="Times New Roman" w:cs="Times New Roman"/>
          <w:color w:val="000000" w:themeColor="text1" w:themeTint="FF" w:themeShade="FF"/>
        </w:rPr>
        <w:t xml:space="preserve"> </w:t>
      </w:r>
      <w:r w:rsidRPr="2DA549C4" w:rsidR="42696036">
        <w:rPr>
          <w:rFonts w:ascii="Times New Roman" w:hAnsi="Times New Roman" w:eastAsia="Times New Roman" w:cs="Times New Roman"/>
          <w:color w:val="000000" w:themeColor="text1" w:themeTint="FF" w:themeShade="FF"/>
        </w:rPr>
        <w:t xml:space="preserve">degree relative pairs (parent-offspring or siblings), 4,673 </w:t>
      </w:r>
      <w:r w:rsidRPr="2DA549C4" w:rsidR="2443B870">
        <w:rPr>
          <w:rFonts w:ascii="Times New Roman" w:hAnsi="Times New Roman" w:eastAsia="Times New Roman" w:cs="Times New Roman"/>
          <w:color w:val="000000" w:themeColor="text1" w:themeTint="FF" w:themeShade="FF"/>
        </w:rPr>
        <w:t>2</w:t>
      </w:r>
      <w:r w:rsidRPr="2DA549C4" w:rsidR="2443B870">
        <w:rPr>
          <w:rFonts w:ascii="Times New Roman" w:hAnsi="Times New Roman" w:eastAsia="Times New Roman" w:cs="Times New Roman"/>
          <w:color w:val="000000" w:themeColor="text1" w:themeTint="FF" w:themeShade="FF"/>
          <w:vertAlign w:val="superscript"/>
        </w:rPr>
        <w:t>nd</w:t>
      </w:r>
      <w:r w:rsidRPr="2DA549C4" w:rsidR="2443B870">
        <w:rPr>
          <w:rFonts w:ascii="Times New Roman" w:hAnsi="Times New Roman" w:eastAsia="Times New Roman" w:cs="Times New Roman"/>
          <w:color w:val="000000" w:themeColor="text1" w:themeTint="FF" w:themeShade="FF"/>
        </w:rPr>
        <w:t xml:space="preserve"> </w:t>
      </w:r>
      <w:r w:rsidRPr="2DA549C4" w:rsidR="42696036">
        <w:rPr>
          <w:rFonts w:ascii="Times New Roman" w:hAnsi="Times New Roman" w:eastAsia="Times New Roman" w:cs="Times New Roman"/>
          <w:color w:val="000000" w:themeColor="text1" w:themeTint="FF" w:themeShade="FF"/>
        </w:rPr>
        <w:t>degree relative pairs, and 13,083</w:t>
      </w:r>
      <w:r w:rsidRPr="2DA549C4" w:rsidR="4537E56C">
        <w:rPr>
          <w:rFonts w:ascii="Times New Roman" w:hAnsi="Times New Roman" w:eastAsia="Times New Roman" w:cs="Times New Roman"/>
          <w:color w:val="000000" w:themeColor="text1" w:themeTint="FF" w:themeShade="FF"/>
        </w:rPr>
        <w:t xml:space="preserve"> 3</w:t>
      </w:r>
      <w:r w:rsidRPr="2DA549C4" w:rsidR="4537E56C">
        <w:rPr>
          <w:rFonts w:ascii="Times New Roman" w:hAnsi="Times New Roman" w:eastAsia="Times New Roman" w:cs="Times New Roman"/>
          <w:color w:val="000000" w:themeColor="text1" w:themeTint="FF" w:themeShade="FF"/>
          <w:vertAlign w:val="superscript"/>
        </w:rPr>
        <w:t>rd</w:t>
      </w:r>
      <w:r w:rsidRPr="2DA549C4" w:rsidR="4537E56C">
        <w:rPr>
          <w:rFonts w:ascii="Times New Roman" w:hAnsi="Times New Roman" w:eastAsia="Times New Roman" w:cs="Times New Roman"/>
          <w:color w:val="000000" w:themeColor="text1" w:themeTint="FF" w:themeShade="FF"/>
        </w:rPr>
        <w:t xml:space="preserve"> </w:t>
      </w:r>
      <w:r w:rsidRPr="2DA549C4" w:rsidR="42696036">
        <w:rPr>
          <w:rFonts w:ascii="Times New Roman" w:hAnsi="Times New Roman" w:eastAsia="Times New Roman" w:cs="Times New Roman"/>
          <w:color w:val="000000" w:themeColor="text1" w:themeTint="FF" w:themeShade="FF"/>
        </w:rPr>
        <w:t>degree relative pairs. There were 74,638 pairs related at 4</w:t>
      </w:r>
      <w:r w:rsidRPr="2DA549C4" w:rsidR="42696036">
        <w:rPr>
          <w:rFonts w:ascii="Times New Roman" w:hAnsi="Times New Roman" w:eastAsia="Times New Roman" w:cs="Times New Roman"/>
          <w:color w:val="000000" w:themeColor="text1" w:themeTint="FF" w:themeShade="FF"/>
          <w:vertAlign w:val="superscript"/>
        </w:rPr>
        <w:t>th</w:t>
      </w:r>
      <w:r w:rsidRPr="2DA549C4" w:rsidR="42696036">
        <w:rPr>
          <w:rFonts w:ascii="Times New Roman" w:hAnsi="Times New Roman" w:eastAsia="Times New Roman" w:cs="Times New Roman"/>
          <w:color w:val="000000" w:themeColor="text1" w:themeTint="FF" w:themeShade="FF"/>
        </w:rPr>
        <w:t xml:space="preserve"> or 5</w:t>
      </w:r>
      <w:r w:rsidRPr="2DA549C4" w:rsidR="42696036">
        <w:rPr>
          <w:rFonts w:ascii="Times New Roman" w:hAnsi="Times New Roman" w:eastAsia="Times New Roman" w:cs="Times New Roman"/>
          <w:color w:val="000000" w:themeColor="text1" w:themeTint="FF" w:themeShade="FF"/>
          <w:vertAlign w:val="superscript"/>
        </w:rPr>
        <w:t>th</w:t>
      </w:r>
      <w:r w:rsidRPr="2DA549C4" w:rsidR="42696036">
        <w:rPr>
          <w:rFonts w:ascii="Times New Roman" w:hAnsi="Times New Roman" w:eastAsia="Times New Roman" w:cs="Times New Roman"/>
          <w:color w:val="000000" w:themeColor="text1" w:themeTint="FF" w:themeShade="FF"/>
        </w:rPr>
        <w:t xml:space="preserve"> degree, 299,435 pairs related at 6</w:t>
      </w:r>
      <w:r w:rsidRPr="2DA549C4" w:rsidR="42696036">
        <w:rPr>
          <w:rFonts w:ascii="Times New Roman" w:hAnsi="Times New Roman" w:eastAsia="Times New Roman" w:cs="Times New Roman"/>
          <w:color w:val="000000" w:themeColor="text1" w:themeTint="FF" w:themeShade="FF"/>
          <w:vertAlign w:val="superscript"/>
        </w:rPr>
        <w:t>th</w:t>
      </w:r>
      <w:r w:rsidRPr="2DA549C4" w:rsidR="42696036">
        <w:rPr>
          <w:rFonts w:ascii="Times New Roman" w:hAnsi="Times New Roman" w:eastAsia="Times New Roman" w:cs="Times New Roman"/>
          <w:color w:val="000000" w:themeColor="text1" w:themeTint="FF" w:themeShade="FF"/>
        </w:rPr>
        <w:t xml:space="preserve"> or 7</w:t>
      </w:r>
      <w:r w:rsidRPr="2DA549C4" w:rsidR="42696036">
        <w:rPr>
          <w:rFonts w:ascii="Times New Roman" w:hAnsi="Times New Roman" w:eastAsia="Times New Roman" w:cs="Times New Roman"/>
          <w:color w:val="000000" w:themeColor="text1" w:themeTint="FF" w:themeShade="FF"/>
          <w:vertAlign w:val="superscript"/>
        </w:rPr>
        <w:t>th</w:t>
      </w:r>
      <w:r w:rsidRPr="2DA549C4" w:rsidR="42696036">
        <w:rPr>
          <w:rFonts w:ascii="Times New Roman" w:hAnsi="Times New Roman" w:eastAsia="Times New Roman" w:cs="Times New Roman"/>
          <w:color w:val="000000" w:themeColor="text1" w:themeTint="FF" w:themeShade="FF"/>
        </w:rPr>
        <w:t>, and over six million pairs related at 8</w:t>
      </w:r>
      <w:r w:rsidRPr="2DA549C4" w:rsidR="42696036">
        <w:rPr>
          <w:rFonts w:ascii="Times New Roman" w:hAnsi="Times New Roman" w:eastAsia="Times New Roman" w:cs="Times New Roman"/>
          <w:color w:val="000000" w:themeColor="text1" w:themeTint="FF" w:themeShade="FF"/>
          <w:vertAlign w:val="superscript"/>
        </w:rPr>
        <w:t>th</w:t>
      </w:r>
      <w:r w:rsidRPr="2DA549C4" w:rsidR="42696036">
        <w:rPr>
          <w:rFonts w:ascii="Times New Roman" w:hAnsi="Times New Roman" w:eastAsia="Times New Roman" w:cs="Times New Roman"/>
          <w:color w:val="000000" w:themeColor="text1" w:themeTint="FF" w:themeShade="FF"/>
        </w:rPr>
        <w:t xml:space="preserve"> or 9</w:t>
      </w:r>
      <w:r w:rsidRPr="2DA549C4" w:rsidR="42696036">
        <w:rPr>
          <w:rFonts w:ascii="Times New Roman" w:hAnsi="Times New Roman" w:eastAsia="Times New Roman" w:cs="Times New Roman"/>
          <w:color w:val="000000" w:themeColor="text1" w:themeTint="FF" w:themeShade="FF"/>
          <w:vertAlign w:val="superscript"/>
        </w:rPr>
        <w:t>th</w:t>
      </w:r>
      <w:r w:rsidRPr="2DA549C4" w:rsidR="42696036">
        <w:rPr>
          <w:rFonts w:ascii="Times New Roman" w:hAnsi="Times New Roman" w:eastAsia="Times New Roman" w:cs="Times New Roman"/>
          <w:color w:val="000000" w:themeColor="text1" w:themeTint="FF" w:themeShade="FF"/>
        </w:rPr>
        <w:t xml:space="preserve"> degree. We reconstructed 4,620 pedigrees for participants related at 3</w:t>
      </w:r>
      <w:r w:rsidRPr="2DA549C4" w:rsidR="42696036">
        <w:rPr>
          <w:rFonts w:ascii="Times New Roman" w:hAnsi="Times New Roman" w:eastAsia="Times New Roman" w:cs="Times New Roman"/>
          <w:color w:val="000000" w:themeColor="text1" w:themeTint="FF" w:themeShade="FF"/>
          <w:vertAlign w:val="superscript"/>
        </w:rPr>
        <w:t>rd</w:t>
      </w:r>
      <w:r w:rsidRPr="2DA549C4" w:rsidR="42696036">
        <w:rPr>
          <w:rFonts w:ascii="Times New Roman" w:hAnsi="Times New Roman" w:eastAsia="Times New Roman" w:cs="Times New Roman"/>
          <w:color w:val="000000" w:themeColor="text1" w:themeTint="FF" w:themeShade="FF"/>
        </w:rPr>
        <w:t xml:space="preserve"> degree and closer. Of these pedigrees, 62% had </w:t>
      </w:r>
      <w:r w:rsidRPr="2DA549C4" w:rsidR="589A957F">
        <w:rPr>
          <w:rFonts w:ascii="Times New Roman" w:hAnsi="Times New Roman" w:eastAsia="Times New Roman" w:cs="Times New Roman"/>
          <w:color w:val="000000" w:themeColor="text1" w:themeTint="FF" w:themeShade="FF"/>
        </w:rPr>
        <w:t>two</w:t>
      </w:r>
      <w:r w:rsidRPr="2DA549C4" w:rsidR="42696036">
        <w:rPr>
          <w:rFonts w:ascii="Times New Roman" w:hAnsi="Times New Roman" w:eastAsia="Times New Roman" w:cs="Times New Roman"/>
          <w:color w:val="000000" w:themeColor="text1" w:themeTint="FF" w:themeShade="FF"/>
        </w:rPr>
        <w:t xml:space="preserve"> members, 19% had </w:t>
      </w:r>
      <w:r w:rsidRPr="2DA549C4" w:rsidR="5D8DFEF9">
        <w:rPr>
          <w:rFonts w:ascii="Times New Roman" w:hAnsi="Times New Roman" w:eastAsia="Times New Roman" w:cs="Times New Roman"/>
          <w:color w:val="000000" w:themeColor="text1" w:themeTint="FF" w:themeShade="FF"/>
        </w:rPr>
        <w:t>three</w:t>
      </w:r>
      <w:r w:rsidRPr="2DA549C4" w:rsidR="42696036">
        <w:rPr>
          <w:rFonts w:ascii="Times New Roman" w:hAnsi="Times New Roman" w:eastAsia="Times New Roman" w:cs="Times New Roman"/>
          <w:color w:val="000000" w:themeColor="text1" w:themeTint="FF" w:themeShade="FF"/>
        </w:rPr>
        <w:t xml:space="preserve"> members, 13% had </w:t>
      </w:r>
      <w:r w:rsidRPr="2DA549C4" w:rsidR="716B7F65">
        <w:rPr>
          <w:rFonts w:ascii="Times New Roman" w:hAnsi="Times New Roman" w:eastAsia="Times New Roman" w:cs="Times New Roman"/>
          <w:color w:val="000000" w:themeColor="text1" w:themeTint="FF" w:themeShade="FF"/>
        </w:rPr>
        <w:t>four to five</w:t>
      </w:r>
      <w:r w:rsidRPr="2DA549C4" w:rsidR="42696036">
        <w:rPr>
          <w:rFonts w:ascii="Times New Roman" w:hAnsi="Times New Roman" w:eastAsia="Times New Roman" w:cs="Times New Roman"/>
          <w:color w:val="000000" w:themeColor="text1" w:themeTint="FF" w:themeShade="FF"/>
        </w:rPr>
        <w:t xml:space="preserve"> members, 5% had </w:t>
      </w:r>
      <w:r w:rsidRPr="2DA549C4" w:rsidR="71221C38">
        <w:rPr>
          <w:rFonts w:ascii="Times New Roman" w:hAnsi="Times New Roman" w:eastAsia="Times New Roman" w:cs="Times New Roman"/>
          <w:color w:val="000000" w:themeColor="text1" w:themeTint="FF" w:themeShade="FF"/>
        </w:rPr>
        <w:t>six to ten</w:t>
      </w:r>
      <w:r w:rsidRPr="2DA549C4" w:rsidR="42696036">
        <w:rPr>
          <w:rFonts w:ascii="Times New Roman" w:hAnsi="Times New Roman" w:eastAsia="Times New Roman" w:cs="Times New Roman"/>
          <w:color w:val="000000" w:themeColor="text1" w:themeTint="FF" w:themeShade="FF"/>
        </w:rPr>
        <w:t xml:space="preserve"> members, and</w:t>
      </w:r>
      <w:r w:rsidRPr="2DA549C4" w:rsidR="0B64790A">
        <w:rPr>
          <w:rFonts w:ascii="Times New Roman" w:hAnsi="Times New Roman" w:eastAsia="Times New Roman" w:cs="Times New Roman"/>
          <w:color w:val="000000" w:themeColor="text1" w:themeTint="FF" w:themeShade="FF"/>
        </w:rPr>
        <w:t xml:space="preserve"> </w:t>
      </w:r>
      <w:r w:rsidRPr="2DA549C4" w:rsidR="6C75666A">
        <w:rPr>
          <w:rFonts w:ascii="Times New Roman" w:hAnsi="Times New Roman" w:eastAsia="Times New Roman" w:cs="Times New Roman"/>
          <w:color w:val="000000" w:themeColor="text1" w:themeTint="FF" w:themeShade="FF"/>
        </w:rPr>
        <w:t>&lt;</w:t>
      </w:r>
      <w:r w:rsidRPr="2DA549C4" w:rsidR="42696036">
        <w:rPr>
          <w:rFonts w:ascii="Times New Roman" w:hAnsi="Times New Roman" w:eastAsia="Times New Roman" w:cs="Times New Roman"/>
          <w:color w:val="000000" w:themeColor="text1" w:themeTint="FF" w:themeShade="FF"/>
        </w:rPr>
        <w:t>1% of pedigrees had greater than 10 members</w:t>
      </w:r>
      <w:r w:rsidRPr="2DA549C4" w:rsidR="65CED959">
        <w:rPr>
          <w:rFonts w:ascii="Times New Roman" w:hAnsi="Times New Roman" w:eastAsia="Times New Roman" w:cs="Times New Roman"/>
          <w:color w:val="000000" w:themeColor="text1" w:themeTint="FF" w:themeShade="FF"/>
        </w:rPr>
        <w:t>.</w:t>
      </w:r>
      <w:r w:rsidRPr="2DA549C4" w:rsidR="42696036">
        <w:rPr>
          <w:rFonts w:ascii="Times New Roman" w:hAnsi="Times New Roman" w:eastAsia="Times New Roman" w:cs="Times New Roman"/>
          <w:color w:val="000000" w:themeColor="text1" w:themeTint="FF" w:themeShade="FF"/>
        </w:rPr>
        <w:t xml:space="preserve"> </w:t>
      </w:r>
      <w:r w:rsidRPr="2DA549C4" w:rsidR="077BA053">
        <w:rPr>
          <w:rFonts w:ascii="Times New Roman" w:hAnsi="Times New Roman" w:eastAsia="Times New Roman" w:cs="Times New Roman"/>
          <w:color w:val="000000" w:themeColor="text1" w:themeTint="FF" w:themeShade="FF"/>
        </w:rPr>
        <w:t>T</w:t>
      </w:r>
      <w:r w:rsidRPr="2DA549C4" w:rsidR="42696036">
        <w:rPr>
          <w:rFonts w:ascii="Times New Roman" w:hAnsi="Times New Roman" w:eastAsia="Times New Roman" w:cs="Times New Roman"/>
          <w:color w:val="000000" w:themeColor="text1" w:themeTint="FF" w:themeShade="FF"/>
        </w:rPr>
        <w:t xml:space="preserve">he largest pedigree </w:t>
      </w:r>
      <w:r w:rsidRPr="2DA549C4" w:rsidR="42696036">
        <w:rPr>
          <w:rFonts w:ascii="Times New Roman" w:hAnsi="Times New Roman" w:eastAsia="Times New Roman" w:cs="Times New Roman"/>
          <w:color w:val="000000" w:themeColor="text1" w:themeTint="FF" w:themeShade="FF"/>
        </w:rPr>
        <w:t>contain</w:t>
      </w:r>
      <w:r w:rsidRPr="2DA549C4" w:rsidR="328333C8">
        <w:rPr>
          <w:rFonts w:ascii="Times New Roman" w:hAnsi="Times New Roman" w:eastAsia="Times New Roman" w:cs="Times New Roman"/>
          <w:color w:val="000000" w:themeColor="text1" w:themeTint="FF" w:themeShade="FF"/>
        </w:rPr>
        <w:t>ed</w:t>
      </w:r>
      <w:r w:rsidRPr="2DA549C4" w:rsidR="42696036">
        <w:rPr>
          <w:rFonts w:ascii="Times New Roman" w:hAnsi="Times New Roman" w:eastAsia="Times New Roman" w:cs="Times New Roman"/>
          <w:color w:val="000000" w:themeColor="text1" w:themeTint="FF" w:themeShade="FF"/>
        </w:rPr>
        <w:t xml:space="preserve"> 69 </w:t>
      </w:r>
      <w:r w:rsidRPr="2DA549C4" w:rsidR="42696036">
        <w:rPr>
          <w:rFonts w:ascii="Times New Roman" w:hAnsi="Times New Roman" w:eastAsia="Times New Roman" w:cs="Times New Roman"/>
          <w:color w:val="000000" w:themeColor="text1" w:themeTint="FF" w:themeShade="FF"/>
        </w:rPr>
        <w:t>individuals</w:t>
      </w:r>
      <w:r w:rsidRPr="2DA549C4" w:rsidR="42696036">
        <w:rPr>
          <w:rFonts w:ascii="Times New Roman" w:hAnsi="Times New Roman" w:eastAsia="Times New Roman" w:cs="Times New Roman"/>
          <w:color w:val="000000" w:themeColor="text1" w:themeTint="FF" w:themeShade="FF"/>
        </w:rPr>
        <w:t>.</w:t>
      </w:r>
    </w:p>
    <w:p w:rsidR="64431681" w:rsidP="64431681" w:rsidRDefault="64431681" w14:paraId="3ACB039F" w14:textId="0875CDF9">
      <w:pPr>
        <w:rPr>
          <w:rFonts w:ascii="Times New Roman" w:hAnsi="Times New Roman" w:eastAsia="Times New Roman" w:cs="Times New Roman"/>
          <w:b/>
          <w:bCs/>
        </w:rPr>
      </w:pPr>
    </w:p>
    <w:p w:rsidR="7998E620" w:rsidP="64431681" w:rsidRDefault="7998E620" w14:paraId="67FF891E" w14:textId="06082B94">
      <w:pPr>
        <w:rPr>
          <w:rFonts w:ascii="Times New Roman" w:hAnsi="Times New Roman" w:eastAsia="Times New Roman" w:cs="Times New Roman"/>
          <w:b/>
          <w:bCs/>
        </w:rPr>
      </w:pPr>
      <w:r w:rsidRPr="64431681">
        <w:rPr>
          <w:rFonts w:ascii="Times New Roman" w:hAnsi="Times New Roman" w:eastAsia="Times New Roman" w:cs="Times New Roman"/>
          <w:b/>
          <w:bCs/>
        </w:rPr>
        <w:t>Pheno</w:t>
      </w:r>
      <w:r w:rsidRPr="64431681" w:rsidR="593E2700">
        <w:rPr>
          <w:rFonts w:ascii="Times New Roman" w:hAnsi="Times New Roman" w:eastAsia="Times New Roman" w:cs="Times New Roman"/>
          <w:b/>
          <w:bCs/>
        </w:rPr>
        <w:t>me-wide</w:t>
      </w:r>
      <w:r w:rsidRPr="64431681">
        <w:rPr>
          <w:rFonts w:ascii="Times New Roman" w:hAnsi="Times New Roman" w:eastAsia="Times New Roman" w:cs="Times New Roman"/>
          <w:b/>
          <w:bCs/>
        </w:rPr>
        <w:t xml:space="preserve"> association</w:t>
      </w:r>
      <w:r w:rsidRPr="64431681" w:rsidR="21B91965">
        <w:rPr>
          <w:rFonts w:ascii="Times New Roman" w:hAnsi="Times New Roman" w:eastAsia="Times New Roman" w:cs="Times New Roman"/>
          <w:b/>
          <w:bCs/>
        </w:rPr>
        <w:t xml:space="preserve"> study</w:t>
      </w:r>
      <w:r w:rsidRPr="64431681">
        <w:rPr>
          <w:rFonts w:ascii="Times New Roman" w:hAnsi="Times New Roman" w:eastAsia="Times New Roman" w:cs="Times New Roman"/>
          <w:b/>
          <w:bCs/>
        </w:rPr>
        <w:t xml:space="preserve"> of chr17q21.3 inversion</w:t>
      </w:r>
    </w:p>
    <w:p w:rsidR="7998E620" w:rsidP="5B8BDAFF" w:rsidRDefault="43630010" w14:paraId="171058F7" w14:textId="3E2AB9D5">
      <w:pPr>
        <w:spacing w:after="0" w:line="240" w:lineRule="auto"/>
        <w:rPr>
          <w:rFonts w:ascii="Times New Roman" w:hAnsi="Times New Roman" w:eastAsia="Times New Roman" w:cs="Times New Roman"/>
          <w:color w:val="000000" w:themeColor="text1"/>
        </w:rPr>
      </w:pPr>
      <w:r w:rsidRPr="5B8BDAFF">
        <w:rPr>
          <w:rFonts w:ascii="Times New Roman" w:hAnsi="Times New Roman" w:eastAsia="Times New Roman" w:cs="Times New Roman"/>
          <w:color w:val="000000" w:themeColor="text1"/>
        </w:rPr>
        <w:t>From the class of structural variants, we assessed the prevalence and consequence of a well-documented 900kb inversion at 17q21.3, observed almost exclusively in European and Middle Eastern genetic ancestries</w:t>
      </w:r>
      <w:r w:rsidR="00BC5039">
        <w:rPr>
          <w:rFonts w:ascii="Times New Roman" w:hAnsi="Times New Roman" w:eastAsia="Times New Roman" w:cs="Times New Roman"/>
          <w:color w:val="000000" w:themeColor="text1"/>
        </w:rPr>
        <w:fldChar w:fldCharType="begin"/>
      </w:r>
      <w:r w:rsidR="00BC5039">
        <w:rPr>
          <w:rFonts w:ascii="Times New Roman" w:hAnsi="Times New Roman" w:eastAsia="Times New Roman" w:cs="Times New Roman"/>
          <w:color w:val="000000" w:themeColor="text1"/>
        </w:rPr>
        <w:instrText xml:space="preserve"> ADDIN ZOTERO_ITEM CSL_CITATION {"citationID":"dTucxved","properties":{"formattedCitation":"\\super 3\\nosupersub{}","plainCitation":"3","noteIndex":0},"citationItems":[{"id":5312,"uris":["http://zotero.org/users/2033222/items/X3IG3C8Z"],"itemData":{"id":5312,"type":"article-journal","abstract":"A refined physical map of chromosome 17q21.31 uncovered a 900-kb inversion polymorphism. Chromosomes with the inverted segment in different orientations represent two distinct lineages, H1 and H2, that have diverged for as much as 3 million years and show no evidence of having recombined. The H2 lineage is rare in Africans, almost absent in East Asians but found at a frequency of 20% in Europeans, in whom the haplotype structure is indicative of a history of positive selection. Here we show that the H2 lineage is undergoing positive selection in the Icelandic population, such that carrier females have more children and have higher recombination rates than noncarriers.","container-title":"Nature Genetics","DOI":"10.1038/ng1508","ISSN":"1546-1718","issue":"2","journalAbbreviation":"Nat Genet","language":"en","license":"2005 Springer Nature America, Inc.","note":"publisher: Nature Publishing Group","page":"129-137","source":"www.nature.com","title":"A common inversion under selection in Europeans","volume":"37","author":[{"family":"Stefansson","given":"Hreinn"},{"family":"Helgason","given":"Agnar"},{"family":"Thorleifsson","given":"Gudmar"},{"family":"Steinthorsdottir","given":"Valgerdur"},{"family":"Masson","given":"Gisli"},{"family":"Barnard","given":"John"},{"family":"Baker","given":"Adam"},{"family":"Jonasdottir","given":"Aslaug"},{"family":"Ingason","given":"Andres"},{"family":"Gudnadottir","given":"Vala G."},{"family":"Desnica","given":"Natasa"},{"family":"Hicks","given":"Andrew"},{"family":"Gylfason","given":"Arnaldur"},{"family":"Gudbjartsson","given":"Daniel F."},{"family":"Jonsdottir","given":"Gudrun M."},{"family":"Sainz","given":"Jesus"},{"family":"Agnarsson","given":"Kari"},{"family":"Birgisdottir","given":"Birgitta"},{"family":"Ghosh","given":"Shyamali"},{"family":"Olafsdottir","given":"Adalheidur"},{"family":"Cazier","given":"Jean-Baptiste"},{"family":"Kristjansson","given":"Kristleifur"},{"family":"Frigge","given":"Michael L."},{"family":"Thorgeirsson","given":"Thorgeir E."},{"family":"Gulcher","given":"Jeffrey R."},{"family":"Kong","given":"Augustine"},{"family":"Stefansson","given":"Kari"}],"issued":{"date-parts":[["2005",2]]}}}],"schema":"https://github.com/citation-style-language/schema/raw/master/csl-citation.json"} </w:instrText>
      </w:r>
      <w:r w:rsidR="00BC5039">
        <w:rPr>
          <w:rFonts w:ascii="Times New Roman" w:hAnsi="Times New Roman" w:eastAsia="Times New Roman" w:cs="Times New Roman"/>
          <w:color w:val="000000" w:themeColor="text1"/>
        </w:rPr>
        <w:fldChar w:fldCharType="separate"/>
      </w:r>
      <w:r w:rsidRPr="00BC5039" w:rsidR="00BC5039">
        <w:rPr>
          <w:rFonts w:ascii="Times New Roman" w:hAnsi="Times New Roman" w:cs="Times New Roman"/>
          <w:color w:val="000000"/>
          <w:vertAlign w:val="superscript"/>
        </w:rPr>
        <w:t>3</w:t>
      </w:r>
      <w:r w:rsidR="00BC5039">
        <w:rPr>
          <w:rFonts w:ascii="Times New Roman" w:hAnsi="Times New Roman" w:eastAsia="Times New Roman" w:cs="Times New Roman"/>
          <w:color w:val="000000" w:themeColor="text1"/>
        </w:rPr>
        <w:fldChar w:fldCharType="end"/>
      </w:r>
      <w:r w:rsidRPr="5B8BDAFF">
        <w:rPr>
          <w:rFonts w:ascii="Times New Roman" w:hAnsi="Times New Roman" w:eastAsia="Times New Roman" w:cs="Times New Roman"/>
          <w:color w:val="000000" w:themeColor="text1"/>
        </w:rPr>
        <w:t xml:space="preserve">. The inversion has previously been associated with a wide range of conditions including Parkinson’s disease, Progressive </w:t>
      </w:r>
      <w:r w:rsidRPr="5B8BDAFF" w:rsidR="5B0F6E44">
        <w:rPr>
          <w:rFonts w:ascii="Times New Roman" w:hAnsi="Times New Roman" w:eastAsia="Times New Roman" w:cs="Times New Roman"/>
          <w:color w:val="000000" w:themeColor="text1"/>
        </w:rPr>
        <w:t>S</w:t>
      </w:r>
      <w:r w:rsidRPr="5B8BDAFF">
        <w:rPr>
          <w:rFonts w:ascii="Times New Roman" w:hAnsi="Times New Roman" w:eastAsia="Times New Roman" w:cs="Times New Roman"/>
          <w:color w:val="000000" w:themeColor="text1"/>
        </w:rPr>
        <w:t xml:space="preserve">upranuclear </w:t>
      </w:r>
      <w:r w:rsidRPr="5B8BDAFF" w:rsidR="27E6425C">
        <w:rPr>
          <w:rFonts w:ascii="Times New Roman" w:hAnsi="Times New Roman" w:eastAsia="Times New Roman" w:cs="Times New Roman"/>
          <w:color w:val="000000" w:themeColor="text1"/>
        </w:rPr>
        <w:t>P</w:t>
      </w:r>
      <w:r w:rsidRPr="5B8BDAFF">
        <w:rPr>
          <w:rFonts w:ascii="Times New Roman" w:hAnsi="Times New Roman" w:eastAsia="Times New Roman" w:cs="Times New Roman"/>
          <w:color w:val="000000" w:themeColor="text1"/>
        </w:rPr>
        <w:t>alsy</w:t>
      </w:r>
      <w:r w:rsidRPr="5B8BDAFF" w:rsidR="014E2F60">
        <w:rPr>
          <w:rFonts w:ascii="Times New Roman" w:hAnsi="Times New Roman" w:eastAsia="Times New Roman" w:cs="Times New Roman"/>
          <w:color w:val="000000" w:themeColor="text1"/>
        </w:rPr>
        <w:t xml:space="preserve"> (PSP)</w:t>
      </w:r>
      <w:r w:rsidRPr="5B8BDAFF">
        <w:rPr>
          <w:rFonts w:ascii="Times New Roman" w:hAnsi="Times New Roman" w:eastAsia="Times New Roman" w:cs="Times New Roman"/>
          <w:color w:val="000000" w:themeColor="text1"/>
        </w:rPr>
        <w:t>, blood cell composition, and reduced lung function</w:t>
      </w:r>
      <w:r w:rsidR="00BC5039">
        <w:rPr>
          <w:rFonts w:ascii="Times New Roman" w:hAnsi="Times New Roman" w:eastAsia="Times New Roman" w:cs="Times New Roman"/>
          <w:color w:val="000000" w:themeColor="text1"/>
        </w:rPr>
        <w:fldChar w:fldCharType="begin"/>
      </w:r>
      <w:r w:rsidR="00BC5039">
        <w:rPr>
          <w:rFonts w:ascii="Times New Roman" w:hAnsi="Times New Roman" w:eastAsia="Times New Roman" w:cs="Times New Roman"/>
          <w:color w:val="000000" w:themeColor="text1"/>
        </w:rPr>
        <w:instrText xml:space="preserve"> ADDIN ZOTERO_ITEM CSL_CITATION {"citationID":"zVmCF7kQ","properties":{"formattedCitation":"\\super 4\\nosupersub{}","plainCitation":"4","noteIndex":0},"citationItems":[{"id":5309,"uris":["http://zotero.org/users/2033222/items/GMD3H2AA"],"itemData":{"id":5309,"type":"article-journal","abstract":"Supergenes are involved in adaptation in multiple organisms, but they are little known\nin humans. Genomic inversions are the most common mechanism of supergene generation\nand maintenance. Here, we review the information about two large inversions that are\n...","archive_location":"world","container-title":"Philosophical Transactions of the Royal Society B","DOI":"10.1098/rstb.2021.0209","language":"EN","license":"© 2022 The Authors.","note":"publisher: The Royal Society","source":"royalsocietypublishing.org","title":"Genomic architecture and functional effects of potential human inversion supergenes","URL":"https://royalsocietypublishing.org/doi/10.1098/rstb.2021.0209","author":[{"family":"Campoy","given":"Elena"},{"family":"Puig","given":"Marta"},{"family":"Yakymenko","given":"Illya"},{"family":"Lerga-Jaso","given":"Jon"},{"family":"Cáceres","given":"Mario"}],"accessed":{"date-parts":[["2025",3,21]]},"issued":{"date-parts":[["2022",8,1]]}}}],"schema":"https://github.com/citation-style-language/schema/raw/master/csl-citation.json"} </w:instrText>
      </w:r>
      <w:r w:rsidR="00BC5039">
        <w:rPr>
          <w:rFonts w:ascii="Times New Roman" w:hAnsi="Times New Roman" w:eastAsia="Times New Roman" w:cs="Times New Roman"/>
          <w:color w:val="000000" w:themeColor="text1"/>
        </w:rPr>
        <w:fldChar w:fldCharType="separate"/>
      </w:r>
      <w:r w:rsidRPr="00BC5039" w:rsidR="00BC5039">
        <w:rPr>
          <w:rFonts w:ascii="Times New Roman" w:hAnsi="Times New Roman" w:cs="Times New Roman"/>
          <w:color w:val="000000"/>
          <w:vertAlign w:val="superscript"/>
        </w:rPr>
        <w:t>4</w:t>
      </w:r>
      <w:r w:rsidR="00BC5039">
        <w:rPr>
          <w:rFonts w:ascii="Times New Roman" w:hAnsi="Times New Roman" w:eastAsia="Times New Roman" w:cs="Times New Roman"/>
          <w:color w:val="000000" w:themeColor="text1"/>
        </w:rPr>
        <w:fldChar w:fldCharType="end"/>
      </w:r>
      <w:r w:rsidRPr="5B8BDAFF">
        <w:rPr>
          <w:rFonts w:ascii="Times New Roman" w:hAnsi="Times New Roman" w:eastAsia="Times New Roman" w:cs="Times New Roman"/>
          <w:color w:val="000000" w:themeColor="text1"/>
        </w:rPr>
        <w:t>. Using 10 previously validated marker SNPs</w:t>
      </w:r>
      <w:r w:rsidR="00BC5039">
        <w:rPr>
          <w:rFonts w:ascii="Times New Roman" w:hAnsi="Times New Roman" w:eastAsia="Times New Roman" w:cs="Times New Roman"/>
          <w:color w:val="000000" w:themeColor="text1"/>
        </w:rPr>
        <w:fldChar w:fldCharType="begin"/>
      </w:r>
      <w:r w:rsidR="00BC5039">
        <w:rPr>
          <w:rFonts w:ascii="Times New Roman" w:hAnsi="Times New Roman" w:eastAsia="Times New Roman" w:cs="Times New Roman"/>
          <w:color w:val="000000" w:themeColor="text1"/>
        </w:rPr>
        <w:instrText xml:space="preserve"> ADDIN ZOTERO_ITEM CSL_CITATION {"citationID":"IIh7Igsx","properties":{"formattedCitation":"\\super 5\\nosupersub{}","plainCitation":"5","noteIndex":0},"citationItems":[{"id":5326,"uris":["http://zotero.org/users/2033222/items/2B5YPZPQ"],"itemData":{"id":5326,"type":"article-journal","abstract":"Evan Eichler and colleagues explore the structural diversity and ancestral origins of the 17q21.31 inversion region. They find that complex duplication architectures have arisen independently on both inversion haplotypes and have recently reached high frequencies among Europeans, either through extraordinary genetic drift or selective sweeps.","container-title":"Nature Genetics","DOI":"10.1038/ng.2335","ISSN":"1546-1718","issue":"8","journalAbbreviation":"Nat Genet","language":"en","license":"2012 Springer Nature America, Inc.","note":"publisher: Nature Publishing Group","page":"872-880","source":"www.nature.com","title":"Structural diversity and African origin of the 17q21.31 inversion polymorphism","volume":"44","author":[{"family":"Steinberg","given":"Karyn Meltz"},{"family":"Antonacci","given":"Francesca"},{"family":"Sudmant","given":"Peter H."},{"family":"Kidd","given":"Jeffrey M."},{"family":"Campbell","given":"Catarina D."},{"family":"Vives","given":"Laura"},{"family":"Malig","given":"Maika"},{"family":"Scheinfeldt","given":"Laura"},{"family":"Beggs","given":"William"},{"family":"Ibrahim","given":"Muntaser"},{"family":"Lema","given":"Godfrey"},{"family":"Nyambo","given":"Thomas B."},{"family":"Omar","given":"Sabah A."},{"family":"Bodo","given":"Jean-Marie"},{"family":"Froment","given":"Alain"},{"family":"Donnelly","given":"Michael P."},{"family":"Kidd","given":"Kenneth K."},{"family":"Tishkoff","given":"Sarah A."},{"family":"Eichler","given":"Evan E."}],"issued":{"date-parts":[["2012",8]]}}}],"schema":"https://github.com/citation-style-language/schema/raw/master/csl-citation.json"} </w:instrText>
      </w:r>
      <w:r w:rsidR="00BC5039">
        <w:rPr>
          <w:rFonts w:ascii="Times New Roman" w:hAnsi="Times New Roman" w:eastAsia="Times New Roman" w:cs="Times New Roman"/>
          <w:color w:val="000000" w:themeColor="text1"/>
        </w:rPr>
        <w:fldChar w:fldCharType="separate"/>
      </w:r>
      <w:r w:rsidRPr="00BC5039" w:rsidR="00BC5039">
        <w:rPr>
          <w:rFonts w:ascii="Times New Roman" w:hAnsi="Times New Roman" w:cs="Times New Roman"/>
          <w:color w:val="000000"/>
          <w:vertAlign w:val="superscript"/>
        </w:rPr>
        <w:t>5</w:t>
      </w:r>
      <w:r w:rsidR="00BC5039">
        <w:rPr>
          <w:rFonts w:ascii="Times New Roman" w:hAnsi="Times New Roman" w:eastAsia="Times New Roman" w:cs="Times New Roman"/>
          <w:color w:val="000000" w:themeColor="text1"/>
        </w:rPr>
        <w:fldChar w:fldCharType="end"/>
      </w:r>
      <w:r w:rsidRPr="5B8BDAFF">
        <w:rPr>
          <w:rFonts w:ascii="Times New Roman" w:hAnsi="Times New Roman" w:eastAsia="Times New Roman" w:cs="Times New Roman"/>
          <w:color w:val="000000" w:themeColor="text1"/>
        </w:rPr>
        <w:t>, we tagged participants in the AGD35k cohort as possessing 0, 1, or 2 copies of the inversion. The inversion was present in 13% AGD35k participants, compared to 38% in the UK biobank</w:t>
      </w:r>
      <w:r w:rsidRPr="5B8BDAFF" w:rsidR="1F1D24C6">
        <w:rPr>
          <w:rFonts w:ascii="Times New Roman" w:hAnsi="Times New Roman" w:eastAsia="Times New Roman" w:cs="Times New Roman"/>
          <w:color w:val="000000" w:themeColor="text1"/>
        </w:rPr>
        <w:t xml:space="preserve"> (UKB)</w:t>
      </w:r>
      <w:r w:rsidRPr="5B8BDAFF">
        <w:rPr>
          <w:rFonts w:ascii="Times New Roman" w:hAnsi="Times New Roman" w:eastAsia="Times New Roman" w:cs="Times New Roman"/>
          <w:color w:val="000000" w:themeColor="text1"/>
        </w:rPr>
        <w:t>. Given the hypothesized European origins of this inversion</w:t>
      </w:r>
      <w:r w:rsidR="00BC5039">
        <w:rPr>
          <w:rFonts w:ascii="Times New Roman" w:hAnsi="Times New Roman" w:eastAsia="Times New Roman" w:cs="Times New Roman"/>
          <w:color w:val="000000" w:themeColor="text1"/>
        </w:rPr>
        <w:fldChar w:fldCharType="begin"/>
      </w:r>
      <w:r w:rsidR="00BC5039">
        <w:rPr>
          <w:rFonts w:ascii="Times New Roman" w:hAnsi="Times New Roman" w:eastAsia="Times New Roman" w:cs="Times New Roman"/>
          <w:color w:val="000000" w:themeColor="text1"/>
        </w:rPr>
        <w:instrText xml:space="preserve"> ADDIN ZOTERO_ITEM CSL_CITATION {"citationID":"nuDRyPWn","properties":{"formattedCitation":"\\super 3,6\\nosupersub{}","plainCitation":"3,6","noteIndex":0},"citationItems":[{"id":5312,"uris":["http://zotero.org/users/2033222/items/X3IG3C8Z"],"itemData":{"id":5312,"type":"article-journal","abstract":"A refined physical map of chromosome 17q21.31 uncovered a 900-kb inversion polymorphism. Chromosomes with the inverted segment in different orientations represent two distinct lineages, H1 and H2, that have diverged for as much as 3 million years and show no evidence of having recombined. The H2 lineage is rare in Africans, almost absent in East Asians but found at a frequency of 20% in Europeans, in whom the haplotype structure is indicative of a history of positive selection. Here we show that the H2 lineage is undergoing positive selection in the Icelandic population, such that carrier females have more children and have higher recombination rates than noncarriers.","container-title":"Nature Genetics","DOI":"10.1038/ng1508","ISSN":"1546-1718","issue":"2","journalAbbreviation":"Nat Genet","language":"en","license":"2005 Springer Nature America, Inc.","note":"publisher: Nature Publishing Group","page":"129-137","source":"www.nature.com","title":"A common inversion under selection in Europeans","volume":"37","author":[{"family":"Stefansson","given":"Hreinn"},{"family":"Helgason","given":"Agnar"},{"family":"Thorleifsson","given":"Gudmar"},{"family":"Steinthorsdottir","given":"Valgerdur"},{"family":"Masson","given":"Gisli"},{"family":"Barnard","given":"John"},{"family":"Baker","given":"Adam"},{"family":"Jonasdottir","given":"Aslaug"},{"family":"Ingason","given":"Andres"},{"family":"Gudnadottir","given":"Vala G."},{"family":"Desnica","given":"Natasa"},{"family":"Hicks","given":"Andrew"},{"family":"Gylfason","given":"Arnaldur"},{"family":"Gudbjartsson","given":"Daniel F."},{"family":"Jonsdottir","given":"Gudrun M."},{"family":"Sainz","given":"Jesus"},{"family":"Agnarsson","given":"Kari"},{"family":"Birgisdottir","given":"Birgitta"},{"family":"Ghosh","given":"Shyamali"},{"family":"Olafsdottir","given":"Adalheidur"},{"family":"Cazier","given":"Jean-Baptiste"},{"family":"Kristjansson","given":"Kristleifur"},{"family":"Frigge","given":"Michael L."},{"family":"Thorgeirsson","given":"Thorgeir E."},{"family":"Gulcher","given":"Jeffrey R."},{"family":"Kong","given":"Augustine"},{"family":"Stefansson","given":"Kari"}],"issued":{"date-parts":[["2005",2]]}}},{"id":5314,"uris":["http://zotero.org/users/2033222/items/FR8S6HKU"],"itemData":{"id":5314,"type":"article-journal","container-title":"Cell","DOI":"10.1016/j.cell.2022.04.017","ISSN":"0092-8674, 1097-4172","issue":"11","journalAbbreviation":"Cell","language":"English","note":"publisher: Elsevier\nPMID: 35525246","page":"1986-2005.e26","source":"www.cell.com","title":"Recurrent inversion polymorphisms in humans associate with genetic instability and genomic disorders","volume":"185","author":[{"family":"Porubsky","given":"David"},{"family":"Höps","given":"Wolfram"},{"family":"Ashraf","given":"Hufsah"},{"family":"Hsieh","given":"PingHsun"},{"family":"Rodriguez-Martin","given":"Bernardo"},{"family":"Yilmaz","given":"Feyza"},{"family":"Ebler","given":"Jana"},{"family":"Hallast","given":"Pille"},{"family":"Maggiolini","given":"Flavia Angela Maria"},{"family":"Harvey","given":"William T."},{"family":"Henning","given":"Barbara"},{"family":"Audano","given":"Peter A."},{"family":"Gordon","given":"David S."},{"family":"Ebert","given":"Peter"},{"family":"Hasenfeld","given":"Patrick"},{"family":"Benito","given":"Eva"},{"family":"Zhu","given":"Qihui"},{"family":"Lee","given":"Charles"},{"family":"Antonacci","given":"Francesca"},{"family":"Steinrücken","given":"Matthias"},{"family":"Beck","given":"Christine R."},{"family":"Sanders","given":"Ashley D."},{"family":"Marschall","given":"Tobias"},{"family":"Eichler","given":"Evan E."},{"family":"Korbel","given":"Jan O."}],"issued":{"date-parts":[["2022",5,26]]}}}],"schema":"https://github.com/citation-style-language/schema/raw/master/csl-citation.json"} </w:instrText>
      </w:r>
      <w:r w:rsidR="00BC5039">
        <w:rPr>
          <w:rFonts w:ascii="Times New Roman" w:hAnsi="Times New Roman" w:eastAsia="Times New Roman" w:cs="Times New Roman"/>
          <w:color w:val="000000" w:themeColor="text1"/>
        </w:rPr>
        <w:fldChar w:fldCharType="separate"/>
      </w:r>
      <w:r w:rsidRPr="00BC5039" w:rsidR="00BC5039">
        <w:rPr>
          <w:rFonts w:ascii="Times New Roman" w:hAnsi="Times New Roman" w:cs="Times New Roman"/>
          <w:color w:val="000000"/>
          <w:vertAlign w:val="superscript"/>
        </w:rPr>
        <w:t>3,6</w:t>
      </w:r>
      <w:r w:rsidR="00BC5039">
        <w:rPr>
          <w:rFonts w:ascii="Times New Roman" w:hAnsi="Times New Roman" w:eastAsia="Times New Roman" w:cs="Times New Roman"/>
          <w:color w:val="000000" w:themeColor="text1"/>
        </w:rPr>
        <w:fldChar w:fldCharType="end"/>
      </w:r>
      <w:r w:rsidRPr="5B8BDAFF">
        <w:rPr>
          <w:rFonts w:ascii="Times New Roman" w:hAnsi="Times New Roman" w:eastAsia="Times New Roman" w:cs="Times New Roman"/>
          <w:color w:val="000000" w:themeColor="text1"/>
        </w:rPr>
        <w:t>, we assessed the relationship between European admixture and inversion carrier frequency. For each continental ancestry group, we quantified the mean proportion of European genetic ancestry in inversion carriers against non-carriers</w:t>
      </w:r>
      <w:r w:rsidRPr="5B8BDAFF" w:rsidR="6F3DF23C">
        <w:rPr>
          <w:rFonts w:ascii="Times New Roman" w:hAnsi="Times New Roman" w:eastAsia="Times New Roman" w:cs="Times New Roman"/>
          <w:color w:val="000000" w:themeColor="text1"/>
        </w:rPr>
        <w:t>. We observed</w:t>
      </w:r>
      <w:r w:rsidRPr="5B8BDAFF">
        <w:rPr>
          <w:rFonts w:ascii="Times New Roman" w:hAnsi="Times New Roman" w:eastAsia="Times New Roman" w:cs="Times New Roman"/>
          <w:color w:val="000000" w:themeColor="text1"/>
        </w:rPr>
        <w:t xml:space="preserve"> statistically significant differences in four of the five populations. The direction of the relationships consistently favored higher proportion of European genetic ancestry among inversion carriers.</w:t>
      </w:r>
    </w:p>
    <w:p w:rsidR="7998E620" w:rsidP="5B8BDAFF" w:rsidRDefault="7998E620" w14:paraId="66A85235" w14:textId="3C77CCA6">
      <w:pPr>
        <w:spacing w:after="0" w:line="240" w:lineRule="auto"/>
        <w:rPr>
          <w:rFonts w:ascii="Times New Roman" w:hAnsi="Times New Roman" w:eastAsia="Times New Roman" w:cs="Times New Roman"/>
          <w:color w:val="000000" w:themeColor="text1"/>
        </w:rPr>
      </w:pPr>
    </w:p>
    <w:p w:rsidR="7998E620" w:rsidP="5B8BDAFF" w:rsidRDefault="43630010" w14:paraId="0CDA8209" w14:textId="02CC3A0A">
      <w:pPr>
        <w:spacing w:after="0" w:line="240" w:lineRule="auto"/>
        <w:rPr>
          <w:rFonts w:ascii="Times New Roman" w:hAnsi="Times New Roman" w:eastAsia="Times New Roman" w:cs="Times New Roman"/>
          <w:color w:val="000000" w:themeColor="text1"/>
        </w:rPr>
      </w:pPr>
      <w:r w:rsidRPr="5B8BDAFF">
        <w:rPr>
          <w:rFonts w:ascii="Times New Roman" w:hAnsi="Times New Roman" w:eastAsia="Times New Roman" w:cs="Times New Roman"/>
          <w:color w:val="000000" w:themeColor="text1"/>
        </w:rPr>
        <w:t>Phenome wide association studies (</w:t>
      </w:r>
      <w:proofErr w:type="spellStart"/>
      <w:r w:rsidRPr="5B8BDAFF">
        <w:rPr>
          <w:rFonts w:ascii="Times New Roman" w:hAnsi="Times New Roman" w:eastAsia="Times New Roman" w:cs="Times New Roman"/>
          <w:color w:val="000000" w:themeColor="text1"/>
        </w:rPr>
        <w:t>PheWAS</w:t>
      </w:r>
      <w:proofErr w:type="spellEnd"/>
      <w:r w:rsidRPr="5B8BDAFF">
        <w:rPr>
          <w:rFonts w:ascii="Times New Roman" w:hAnsi="Times New Roman" w:eastAsia="Times New Roman" w:cs="Times New Roman"/>
          <w:color w:val="000000" w:themeColor="text1"/>
        </w:rPr>
        <w:t xml:space="preserve">) of the inversion did not identify statistically significant results in either European or African ancestry cohorts. Previous </w:t>
      </w:r>
      <w:proofErr w:type="spellStart"/>
      <w:r w:rsidRPr="5B8BDAFF">
        <w:rPr>
          <w:rFonts w:ascii="Times New Roman" w:hAnsi="Times New Roman" w:eastAsia="Times New Roman" w:cs="Times New Roman"/>
          <w:color w:val="000000" w:themeColor="text1"/>
        </w:rPr>
        <w:t>PheWAS</w:t>
      </w:r>
      <w:proofErr w:type="spellEnd"/>
      <w:r w:rsidRPr="5B8BDAFF">
        <w:rPr>
          <w:rFonts w:ascii="Times New Roman" w:hAnsi="Times New Roman" w:eastAsia="Times New Roman" w:cs="Times New Roman"/>
          <w:color w:val="000000" w:themeColor="text1"/>
        </w:rPr>
        <w:t xml:space="preserve"> of the inversion have been conducted by screening the GWAS catalog for associations with a single inversion tagging SNP and reporting the most significant phenotypes</w:t>
      </w:r>
      <w:r w:rsidR="00BC5039">
        <w:rPr>
          <w:rFonts w:ascii="Times New Roman" w:hAnsi="Times New Roman" w:eastAsia="Times New Roman" w:cs="Times New Roman"/>
          <w:color w:val="000000" w:themeColor="text1"/>
        </w:rPr>
        <w:fldChar w:fldCharType="begin"/>
      </w:r>
      <w:r w:rsidR="00BC5039">
        <w:rPr>
          <w:rFonts w:ascii="Times New Roman" w:hAnsi="Times New Roman" w:eastAsia="Times New Roman" w:cs="Times New Roman"/>
          <w:color w:val="000000" w:themeColor="text1"/>
        </w:rPr>
        <w:instrText xml:space="preserve"> ADDIN ZOTERO_ITEM CSL_CITATION {"citationID":"3QCwiJpA","properties":{"formattedCitation":"\\super 4,7,8\\nosupersub{}","plainCitation":"4,7,8","noteIndex":0},"citationItems":[{"id":5309,"uris":["http://zotero.org/users/2033222/items/GMD3H2AA"],"itemData":{"id":5309,"type":"article-journal","abstract":"Supergenes are involved in adaptation in multiple organisms, but they are little known\nin humans. Genomic inversions are the most common mechanism of supergene generation\nand maintenance. Here, we review the information about two large inversions that are\n...","archive_location":"world","container-title":"Philosophical Transactions of the Royal Society B","DOI":"10.1098/rstb.2021.0209","language":"EN","license":"© 2022 The Authors.","note":"publisher: The Royal Society","source":"royalsocietypublishing.org","title":"Genomic architecture and functional effects of potential human inversion supergenes","URL":"https://royalsocietypublishing.org/doi/10.1098/rstb.2021.0209","author":[{"family":"Campoy","given":"Elena"},{"family":"Puig","given":"Marta"},{"family":"Yakymenko","given":"Illya"},{"family":"Lerga-Jaso","given":"Jon"},{"family":"Cáceres","given":"Mario"}],"accessed":{"date-parts":[["2025",3,21]]},"issued":{"date-parts":[["2022",8,1]]}}},{"id":5320,"uris":["http://zotero.org/users/2033222/items/6MUYPHXA"],"itemData":{"id":5320,"type":"article-journal","abstract":"A ~ 1 Mb inversion polymorphism exists within the 17q21.31 locus of the human genome as direct (H1) and inverted (H2) haplotype clades. This inversion region demonstrates high linkage disequilibrium, but the frequency of each haplotype differs across ancestries. While the H1 haplotype exists in all populations and shows a normal pattern of genetic variability and recombination, the H2 haplotype is enriched in European ancestry populations, is less frequent in African ancestry populations, and nearly absent in East Asian ancestry populations. H1 is a known risk factor for several neurodegenerative diseases, and has been associated with many other traits, suggesting its importance in cellular phenotypes of the brain and entire body. Conversely, H2 is protective for these diseases, but is associated with predisposition to recurrent microdeletion syndromes and neurodevelopmental disorders such as autism. Many single nucleotide variants and copy number variants define H1/H2 haplotypes and sub-haplotypes, but identifying the causal variant(s) for specific diseases and phenotypes is complex due to the extended linkage equilibrium. In this review, we assess the current knowledge of this inversion region regarding genomic structure, gene expression, cellular phenotypes, and disease association. We discuss recent discoveries and challenges, evaluate gaps in knowledge, and highlight the importance of understanding the effect of the 17q21.31 haplotypes to promote advances in precision medicine and drug discovery for several diseases.","container-title":"Molecular Neurodegeneration","DOI":"10.1186/s13024-024-00731-x","ISSN":"1750-1326","issue":"1","journalAbbreviation":"Molecular Neurodegeneration","page":"43","source":"BioMed Central","title":"Unraveling the complex role of MAPT-containing H1 and H2 haplotypes in neurodegenerative diseases","volume":"19","author":[{"family":"Pedicone","given":"Chiara"},{"family":"Weitzman","given":"Sarah A."},{"family":"Renton","given":"Alan E."},{"family":"Goate","given":"Alison M."}],"issued":{"date-parts":[["2024",5,29]]}}},{"id":5317,"uris":["http://zotero.org/users/2033222/items/G6XIS7BH"],"itemData":{"id":5317,"type":"article-journal","abstract":"Despite the interest in characterizing genomic variation, the presence of large repeats at the breakpoints hinders the analysis of many structural variants. This is especially problematic for inversions, since there is typically no gain or loss of DNA. Here, we tested novel linkage-based droplet digital PCR (ddPCR) assays to study 20 inversions ranging from 3.1 to 742 kb flanked by inverted repeats (IRs) up to 134 kb long. Of those, we validated 13 inversions predicted by different genome-wide techniques. In addition, we obtained new experimental human population information across 95 African, European, and East Asian individuals for 16 inversions, including four already validated variants without high-throughput genotyping methods. Through comparison with previous data, independent replicates and both inversion breakpoints, we demonstrate that the technique is highly accurate and reproducible. Most studied inversions are widespread across continents, and their frequency is negatively correlated with genetic length. Moreover, all except two show clear signs of being recurrent, and we could better define the factors affecting recurrence levels and estimate the inversion rate across the genome. Finally, the generated genotypes have allowed us to check inversion functional effects, validating gene expression differences reported before for two inversions and finding new candidate associations. Therefore, the developed methodology makes it possible to screen these and other complex genomic variants quickly in a large number of samples for the first time, highlighting the importance of direct genotyping to assess their potential consequences and clinical implications.","container-title":"Genome Research","DOI":"10.1101/gr.255273.119","ISSN":"1549-5469","issue":"5","journalAbbreviation":"Genome Res","language":"eng","note":"PMID: 32424072\nPMCID: PMC7263195","page":"724-735","source":"PubMed","title":"Determining the impact of uncharacterized inversions in the human genome by droplet digital PCR","volume":"30","author":[{"family":"Puig","given":"Marta"},{"family":"Lerga-Jaso","given":"Jon"},{"family":"Giner-Delgado","given":"Carla"},{"family":"Pacheco","given":"Sarai"},{"family":"Izquierdo","given":"David"},{"family":"Delprat","given":"Alejandra"},{"family":"Gayà-Vidal","given":"Magdalena"},{"family":"Regan","given":"Jack F."},{"family":"Karlin-Neumann","given":"George"},{"family":"Cáceres","given":"Mario"}],"issued":{"date-parts":[["2020",5]]}}}],"schema":"https://github.com/citation-style-language/schema/raw/master/csl-citation.json"} </w:instrText>
      </w:r>
      <w:r w:rsidR="00BC5039">
        <w:rPr>
          <w:rFonts w:ascii="Times New Roman" w:hAnsi="Times New Roman" w:eastAsia="Times New Roman" w:cs="Times New Roman"/>
          <w:color w:val="000000" w:themeColor="text1"/>
        </w:rPr>
        <w:fldChar w:fldCharType="separate"/>
      </w:r>
      <w:r w:rsidRPr="00BC5039" w:rsidR="00BC5039">
        <w:rPr>
          <w:rFonts w:ascii="Times New Roman" w:hAnsi="Times New Roman" w:cs="Times New Roman"/>
          <w:color w:val="000000"/>
          <w:vertAlign w:val="superscript"/>
        </w:rPr>
        <w:t>4,7,8</w:t>
      </w:r>
      <w:r w:rsidR="00BC5039">
        <w:rPr>
          <w:rFonts w:ascii="Times New Roman" w:hAnsi="Times New Roman" w:eastAsia="Times New Roman" w:cs="Times New Roman"/>
          <w:color w:val="000000" w:themeColor="text1"/>
        </w:rPr>
        <w:fldChar w:fldCharType="end"/>
      </w:r>
      <w:r w:rsidRPr="5B8BDAFF">
        <w:rPr>
          <w:rFonts w:ascii="Times New Roman" w:hAnsi="Times New Roman" w:eastAsia="Times New Roman" w:cs="Times New Roman"/>
          <w:color w:val="000000" w:themeColor="text1"/>
        </w:rPr>
        <w:t>. An analysis using SNP profiling across the inversion region in the UKB identified associations with hip arthrosis, hemorrhoids, Parkinson’s disease, digit deformities, anal fissures, and pulmonary diseases</w:t>
      </w:r>
      <w:r w:rsidR="00BC5039">
        <w:rPr>
          <w:rFonts w:ascii="Times New Roman" w:hAnsi="Times New Roman" w:eastAsia="Times New Roman" w:cs="Times New Roman"/>
          <w:color w:val="000000" w:themeColor="text1"/>
        </w:rPr>
        <w:fldChar w:fldCharType="begin"/>
      </w:r>
      <w:r w:rsidR="00BC5039">
        <w:rPr>
          <w:rFonts w:ascii="Times New Roman" w:hAnsi="Times New Roman" w:eastAsia="Times New Roman" w:cs="Times New Roman"/>
          <w:color w:val="000000" w:themeColor="text1"/>
        </w:rPr>
        <w:instrText xml:space="preserve"> ADDIN ZOTERO_ITEM CSL_CITATION {"citationID":"1ocf08O0","properties":{"formattedCitation":"\\super 9\\nosupersub{}","plainCitation":"9","noteIndex":0},"citationItems":[{"id":5323,"uris":["http://zotero.org/users/2033222/items/VJXU8PEB"],"itemData":{"id":5323,"type":"article-journal","abstract":"Genome-wide association studies (GWAS) have been remarkably successful in identifying associations between genetic variants and imaging-derived phenotypes. To date, the main focus of these analyses has been on established, clinically-used imaging features. We sought to investigate if deep learning approaches can detect more nuanced patterns of image variability.We used an autoencoder to represent retinal optical coherence tomography (OCT) images from 31 135 UK Biobank participants. For each subject, we obtained a 64-dimensional vector representing features of retinal structure. GWAS of these autoencoder-derived imaging parameters identified 118 statistically significant loci; 41 of these associations were also significant in a replication study. These loci encompassed variants previously linked with retinal thickness measurements, ophthalmic disorders, and/or neurodegenerative conditions. Notably, the generated retinal phenotypes were found to contribute to predictive models for glaucoma and cardiovascular disorders. Overall, we demonstrate that self-supervised phenotyping of OCT images enhances the discoverability of genetic factors influencing retinal morphology and provides epidemiologically informative biomarkers.Code and data links available at https://github.com/tf2/autoencoder-oct.","container-title":"Bioinformatics","DOI":"10.1093/bioinformatics/btae732","ISSN":"1367-4811","issue":"1","journalAbbreviation":"Bioinformatics","page":"btae732","source":"Silverchair","title":"Autoencoder-based phenotyping of ophthalmic images highlights genetic loci influencing retinal morphology and provides informative biomarkers","volume":"41","author":[{"family":"Sergouniotis","given":"Panagiotis I"},{"family":"Diakite","given":"Adam"},{"family":"Gaurav","given":"Kumar"},{"literal":"UK Biobank Eye and Vision Consortium"},{"family":"Birney","given":"Ewan"},{"family":"Fitzgerald","given":"Tomas"}],"issued":{"date-parts":[["2025",1,1]]}}}],"schema":"https://github.com/citation-style-language/schema/raw/master/csl-citation.json"} </w:instrText>
      </w:r>
      <w:r w:rsidR="00BC5039">
        <w:rPr>
          <w:rFonts w:ascii="Times New Roman" w:hAnsi="Times New Roman" w:eastAsia="Times New Roman" w:cs="Times New Roman"/>
          <w:color w:val="000000" w:themeColor="text1"/>
        </w:rPr>
        <w:fldChar w:fldCharType="separate"/>
      </w:r>
      <w:r w:rsidRPr="00BC5039" w:rsidR="00BC5039">
        <w:rPr>
          <w:rFonts w:ascii="Times New Roman" w:hAnsi="Times New Roman" w:cs="Times New Roman"/>
          <w:color w:val="000000"/>
          <w:vertAlign w:val="superscript"/>
        </w:rPr>
        <w:t>9</w:t>
      </w:r>
      <w:r w:rsidR="00BC5039">
        <w:rPr>
          <w:rFonts w:ascii="Times New Roman" w:hAnsi="Times New Roman" w:eastAsia="Times New Roman" w:cs="Times New Roman"/>
          <w:color w:val="000000" w:themeColor="text1"/>
        </w:rPr>
        <w:fldChar w:fldCharType="end"/>
      </w:r>
      <w:r w:rsidRPr="5B8BDAFF">
        <w:rPr>
          <w:rFonts w:ascii="Times New Roman" w:hAnsi="Times New Roman" w:eastAsia="Times New Roman" w:cs="Times New Roman"/>
          <w:color w:val="000000" w:themeColor="text1"/>
        </w:rPr>
        <w:t xml:space="preserve">. We were unable to replicate the accompanying </w:t>
      </w:r>
      <w:proofErr w:type="spellStart"/>
      <w:r w:rsidRPr="5B8BDAFF" w:rsidR="67EE6FD5">
        <w:rPr>
          <w:rFonts w:ascii="Times New Roman" w:hAnsi="Times New Roman" w:eastAsia="Times New Roman" w:cs="Times New Roman"/>
          <w:color w:val="000000" w:themeColor="text1"/>
        </w:rPr>
        <w:t>p</w:t>
      </w:r>
      <w:r w:rsidRPr="5B8BDAFF">
        <w:rPr>
          <w:rFonts w:ascii="Times New Roman" w:hAnsi="Times New Roman" w:eastAsia="Times New Roman" w:cs="Times New Roman"/>
          <w:color w:val="000000" w:themeColor="text1"/>
        </w:rPr>
        <w:t>he</w:t>
      </w:r>
      <w:r w:rsidRPr="5B8BDAFF" w:rsidR="2F5B0053">
        <w:rPr>
          <w:rFonts w:ascii="Times New Roman" w:hAnsi="Times New Roman" w:eastAsia="Times New Roman" w:cs="Times New Roman"/>
          <w:color w:val="000000" w:themeColor="text1"/>
        </w:rPr>
        <w:t>c</w:t>
      </w:r>
      <w:r w:rsidRPr="5B8BDAFF">
        <w:rPr>
          <w:rFonts w:ascii="Times New Roman" w:hAnsi="Times New Roman" w:eastAsia="Times New Roman" w:cs="Times New Roman"/>
          <w:color w:val="000000" w:themeColor="text1"/>
        </w:rPr>
        <w:t>ode</w:t>
      </w:r>
      <w:proofErr w:type="spellEnd"/>
      <w:r w:rsidRPr="5B8BDAFF">
        <w:rPr>
          <w:rFonts w:ascii="Times New Roman" w:hAnsi="Times New Roman" w:eastAsia="Times New Roman" w:cs="Times New Roman"/>
          <w:color w:val="000000" w:themeColor="text1"/>
        </w:rPr>
        <w:t xml:space="preserve"> associations in the subset of AGD35k with &gt;50% African genetic ancestry.</w:t>
      </w:r>
    </w:p>
    <w:p w:rsidR="64431681" w:rsidP="64431681" w:rsidRDefault="64431681" w14:paraId="2AA0E533" w14:textId="28EA1DF8">
      <w:pPr>
        <w:rPr>
          <w:rFonts w:ascii="Times New Roman" w:hAnsi="Times New Roman" w:eastAsia="Times New Roman" w:cs="Times New Roman"/>
          <w:b/>
          <w:bCs/>
        </w:rPr>
      </w:pPr>
    </w:p>
    <w:p w:rsidR="076F59B3" w:rsidP="5B8BDAFF" w:rsidRDefault="65868C5B" w14:paraId="6D99915A" w14:textId="1A0F41BA">
      <w:pPr>
        <w:rPr>
          <w:rFonts w:ascii="Times New Roman" w:hAnsi="Times New Roman" w:eastAsia="Times New Roman" w:cs="Times New Roman"/>
          <w:b/>
          <w:bCs/>
        </w:rPr>
      </w:pPr>
      <w:r w:rsidRPr="5B8BDAFF">
        <w:rPr>
          <w:rFonts w:ascii="Times New Roman" w:hAnsi="Times New Roman" w:eastAsia="Times New Roman" w:cs="Times New Roman"/>
          <w:b/>
          <w:bCs/>
        </w:rPr>
        <w:t>Supplementary Methods</w:t>
      </w:r>
    </w:p>
    <w:p w:rsidR="2C499156" w:rsidP="4738A9C4" w:rsidRDefault="65868C5B" w14:paraId="58443094" w14:textId="2B55326D">
      <w:pPr>
        <w:jc w:val="both"/>
      </w:pPr>
      <w:r w:rsidRPr="5B8BDAFF">
        <w:rPr>
          <w:rFonts w:ascii="Times New Roman" w:hAnsi="Times New Roman" w:eastAsia="Times New Roman" w:cs="Times New Roman"/>
          <w:b/>
          <w:bCs/>
        </w:rPr>
        <w:t>Inversion tagging</w:t>
      </w:r>
      <w:r w:rsidRPr="5B8BDAFF" w:rsidR="41F60B7A">
        <w:rPr>
          <w:rFonts w:ascii="Times New Roman" w:hAnsi="Times New Roman" w:eastAsia="Times New Roman" w:cs="Times New Roman"/>
          <w:b/>
          <w:bCs/>
        </w:rPr>
        <w:t xml:space="preserve"> of chr17q21.3</w:t>
      </w:r>
    </w:p>
    <w:p w:rsidR="2C499156" w:rsidP="5B8BDAFF" w:rsidRDefault="65868C5B" w14:paraId="2996E184" w14:textId="104E5959">
      <w:pPr>
        <w:rPr>
          <w:rFonts w:ascii="Times New Roman" w:hAnsi="Times New Roman" w:eastAsia="Times New Roman" w:cs="Times New Roman"/>
        </w:rPr>
      </w:pPr>
      <w:r w:rsidRPr="5B8BDAFF">
        <w:rPr>
          <w:rFonts w:ascii="Times New Roman" w:hAnsi="Times New Roman" w:eastAsia="Times New Roman" w:cs="Times New Roman"/>
        </w:rPr>
        <w:t xml:space="preserve">The presence of the </w:t>
      </w:r>
      <w:r w:rsidRPr="5B8BDAFF" w:rsidR="63A8B10C">
        <w:rPr>
          <w:rFonts w:ascii="Times New Roman" w:hAnsi="Times New Roman" w:eastAsia="Times New Roman" w:cs="Times New Roman"/>
        </w:rPr>
        <w:t>chr</w:t>
      </w:r>
      <w:r w:rsidRPr="5B8BDAFF">
        <w:rPr>
          <w:rFonts w:ascii="Times New Roman" w:hAnsi="Times New Roman" w:eastAsia="Times New Roman" w:cs="Times New Roman"/>
        </w:rPr>
        <w:t xml:space="preserve">17q21.3 inversion was assessed using SNP-based tagging of the inversion-carrying H2 haplotype. </w:t>
      </w:r>
      <w:r w:rsidRPr="5B8BDAFF" w:rsidR="4342C976">
        <w:rPr>
          <w:rFonts w:ascii="Times New Roman" w:hAnsi="Times New Roman" w:eastAsia="Times New Roman" w:cs="Times New Roman"/>
        </w:rPr>
        <w:t>W</w:t>
      </w:r>
      <w:r w:rsidRPr="5B8BDAFF">
        <w:rPr>
          <w:rFonts w:ascii="Times New Roman" w:hAnsi="Times New Roman" w:eastAsia="Times New Roman" w:cs="Times New Roman"/>
        </w:rPr>
        <w:t xml:space="preserve">e identified 12 </w:t>
      </w:r>
      <w:r w:rsidRPr="5B8BDAFF" w:rsidR="17BF1924">
        <w:rPr>
          <w:rFonts w:ascii="Times New Roman" w:hAnsi="Times New Roman" w:eastAsia="Times New Roman" w:cs="Times New Roman"/>
        </w:rPr>
        <w:t xml:space="preserve">inversion-tagging SNPs </w:t>
      </w:r>
      <w:r w:rsidRPr="5B8BDAFF">
        <w:rPr>
          <w:rFonts w:ascii="Times New Roman" w:hAnsi="Times New Roman" w:eastAsia="Times New Roman" w:cs="Times New Roman"/>
        </w:rPr>
        <w:t xml:space="preserve">from the literature that demonstrate perfect linkage disequilibrium with the H2 haplotype in independent populations. Because these reference populations are of European descent, it is possible that the tag SNPs may have arisen independently outside the context of the inversion in non-European populations. We assessed the frequency of these tag SNPs in populations of African genetic ancestries using the 1000 genomes reference data set. Prior work has estimated the frequency of the inversion in these populations as below 2%. Accordingly, we excluded tag SNPs with allele frequencies greater than this threshold. </w:t>
      </w:r>
    </w:p>
    <w:p w:rsidR="2C499156" w:rsidP="5B8BDAFF" w:rsidRDefault="26583C3C" w14:paraId="1906084E" w14:textId="1B400031">
      <w:pPr>
        <w:rPr>
          <w:rFonts w:ascii="Times New Roman" w:hAnsi="Times New Roman" w:eastAsia="Times New Roman" w:cs="Times New Roman"/>
        </w:rPr>
      </w:pPr>
      <w:r w:rsidRPr="5B8BDAFF">
        <w:rPr>
          <w:rFonts w:ascii="Times New Roman" w:hAnsi="Times New Roman" w:eastAsia="Times New Roman" w:cs="Times New Roman"/>
        </w:rPr>
        <w:t>W</w:t>
      </w:r>
      <w:r w:rsidRPr="5B8BDAFF" w:rsidR="65868C5B">
        <w:rPr>
          <w:rFonts w:ascii="Times New Roman" w:hAnsi="Times New Roman" w:eastAsia="Times New Roman" w:cs="Times New Roman"/>
        </w:rPr>
        <w:t>e used whole genome sequencing data to identify the number of inversion</w:t>
      </w:r>
      <w:r w:rsidRPr="5B8BDAFF" w:rsidR="3642C522">
        <w:rPr>
          <w:rFonts w:ascii="Times New Roman" w:hAnsi="Times New Roman" w:eastAsia="Times New Roman" w:cs="Times New Roman"/>
        </w:rPr>
        <w:t>-</w:t>
      </w:r>
      <w:r w:rsidRPr="5B8BDAFF" w:rsidR="65868C5B">
        <w:rPr>
          <w:rFonts w:ascii="Times New Roman" w:hAnsi="Times New Roman" w:eastAsia="Times New Roman" w:cs="Times New Roman"/>
        </w:rPr>
        <w:t xml:space="preserve">tagging SNPs carried by each </w:t>
      </w:r>
      <w:r w:rsidRPr="5B8BDAFF" w:rsidR="5F856D7C">
        <w:rPr>
          <w:rFonts w:ascii="Times New Roman" w:hAnsi="Times New Roman" w:eastAsia="Times New Roman" w:cs="Times New Roman"/>
        </w:rPr>
        <w:t xml:space="preserve">participant </w:t>
      </w:r>
      <w:r w:rsidRPr="5B8BDAFF" w:rsidR="404C5C8A">
        <w:rPr>
          <w:rFonts w:ascii="Times New Roman" w:hAnsi="Times New Roman" w:eastAsia="Times New Roman" w:cs="Times New Roman"/>
        </w:rPr>
        <w:t>in the AGD35k population</w:t>
      </w:r>
      <w:r w:rsidRPr="5B8BDAFF" w:rsidR="65868C5B">
        <w:rPr>
          <w:rFonts w:ascii="Times New Roman" w:hAnsi="Times New Roman" w:eastAsia="Times New Roman" w:cs="Times New Roman"/>
        </w:rPr>
        <w:t xml:space="preserve">. We classify inversion carriers as those </w:t>
      </w:r>
      <w:r w:rsidRPr="5B8BDAFF" w:rsidR="79FF237B">
        <w:rPr>
          <w:rFonts w:ascii="Times New Roman" w:hAnsi="Times New Roman" w:eastAsia="Times New Roman" w:cs="Times New Roman"/>
        </w:rPr>
        <w:t xml:space="preserve">participants </w:t>
      </w:r>
      <w:r w:rsidRPr="5B8BDAFF" w:rsidR="65868C5B">
        <w:rPr>
          <w:rFonts w:ascii="Times New Roman" w:hAnsi="Times New Roman" w:eastAsia="Times New Roman" w:cs="Times New Roman"/>
        </w:rPr>
        <w:t xml:space="preserve">with an inversion-tagging SNP at ≥ 80% of the tested loci.  </w:t>
      </w:r>
    </w:p>
    <w:p w:rsidR="4738A9C4" w:rsidP="4738A9C4" w:rsidRDefault="4738A9C4" w14:paraId="5331AF4E" w14:textId="696D2E53">
      <w:pPr>
        <w:rPr>
          <w:rFonts w:ascii="Times New Roman" w:hAnsi="Times New Roman" w:eastAsia="Times New Roman" w:cs="Times New Roman"/>
        </w:rPr>
      </w:pPr>
    </w:p>
    <w:p w:rsidR="6D178C76" w:rsidP="5B8BDAFF" w:rsidRDefault="0BA9A4D3" w14:paraId="158060A3" w14:textId="42BEC1A7">
      <w:pPr>
        <w:rPr>
          <w:rFonts w:ascii="Times New Roman" w:hAnsi="Times New Roman" w:eastAsia="Times New Roman" w:cs="Times New Roman"/>
          <w:b/>
          <w:bCs/>
        </w:rPr>
      </w:pPr>
      <w:proofErr w:type="spellStart"/>
      <w:r w:rsidRPr="5B8BDAFF">
        <w:rPr>
          <w:rFonts w:ascii="Times New Roman" w:hAnsi="Times New Roman" w:eastAsia="Times New Roman" w:cs="Times New Roman"/>
          <w:b/>
          <w:bCs/>
        </w:rPr>
        <w:t>PheWAS</w:t>
      </w:r>
      <w:proofErr w:type="spellEnd"/>
      <w:r w:rsidRPr="5B8BDAFF">
        <w:rPr>
          <w:rFonts w:ascii="Times New Roman" w:hAnsi="Times New Roman" w:eastAsia="Times New Roman" w:cs="Times New Roman"/>
          <w:b/>
          <w:bCs/>
        </w:rPr>
        <w:t xml:space="preserve"> of the chr17q21.3 inversion </w:t>
      </w:r>
    </w:p>
    <w:p w:rsidR="4738A9C4" w:rsidP="4738A9C4" w:rsidRDefault="2F00B74E" w14:paraId="2F09A366" w14:textId="5076110B">
      <w:pPr>
        <w:rPr>
          <w:rFonts w:ascii="Times New Roman" w:hAnsi="Times New Roman" w:eastAsia="Times New Roman" w:cs="Times New Roman"/>
        </w:rPr>
      </w:pPr>
      <w:r w:rsidRPr="5B8BDAFF">
        <w:rPr>
          <w:rFonts w:ascii="Times New Roman" w:hAnsi="Times New Roman" w:eastAsia="Times New Roman" w:cs="Times New Roman"/>
        </w:rPr>
        <w:t xml:space="preserve">We performed </w:t>
      </w:r>
      <w:r w:rsidRPr="5B8BDAFF" w:rsidR="0042E434">
        <w:rPr>
          <w:rFonts w:ascii="Times New Roman" w:hAnsi="Times New Roman" w:eastAsia="Times New Roman" w:cs="Times New Roman"/>
        </w:rPr>
        <w:t>a</w:t>
      </w:r>
      <w:r w:rsidRPr="5B8BDAFF">
        <w:rPr>
          <w:rFonts w:ascii="Times New Roman" w:hAnsi="Times New Roman" w:eastAsia="Times New Roman" w:cs="Times New Roman"/>
        </w:rPr>
        <w:t xml:space="preserve"> </w:t>
      </w:r>
      <w:proofErr w:type="spellStart"/>
      <w:r w:rsidRPr="5B8BDAFF">
        <w:rPr>
          <w:rFonts w:ascii="Times New Roman" w:hAnsi="Times New Roman" w:eastAsia="Times New Roman" w:cs="Times New Roman"/>
        </w:rPr>
        <w:t>PheWAS</w:t>
      </w:r>
      <w:proofErr w:type="spellEnd"/>
      <w:r w:rsidRPr="5B8BDAFF">
        <w:rPr>
          <w:rFonts w:ascii="Times New Roman" w:hAnsi="Times New Roman" w:eastAsia="Times New Roman" w:cs="Times New Roman"/>
        </w:rPr>
        <w:t xml:space="preserve"> </w:t>
      </w:r>
      <w:r w:rsidRPr="5B8BDAFF" w:rsidR="4D7A1382">
        <w:rPr>
          <w:rFonts w:ascii="Times New Roman" w:hAnsi="Times New Roman" w:eastAsia="Times New Roman" w:cs="Times New Roman"/>
        </w:rPr>
        <w:t xml:space="preserve">of the chr17q21.3 inversion </w:t>
      </w:r>
      <w:r w:rsidRPr="5B8BDAFF">
        <w:rPr>
          <w:rFonts w:ascii="Times New Roman" w:hAnsi="Times New Roman" w:eastAsia="Times New Roman" w:cs="Times New Roman"/>
        </w:rPr>
        <w:t xml:space="preserve">in parallel between cohorts from the AGD35k and the UKB. </w:t>
      </w:r>
      <w:r w:rsidRPr="5B8BDAFF" w:rsidR="5B2AF4B0">
        <w:rPr>
          <w:rFonts w:ascii="Times New Roman" w:hAnsi="Times New Roman" w:eastAsia="Times New Roman" w:cs="Times New Roman"/>
        </w:rPr>
        <w:t xml:space="preserve">These </w:t>
      </w:r>
      <w:proofErr w:type="spellStart"/>
      <w:r w:rsidRPr="5B8BDAFF" w:rsidR="5B2AF4B0">
        <w:rPr>
          <w:rFonts w:ascii="Times New Roman" w:hAnsi="Times New Roman" w:eastAsia="Times New Roman" w:cs="Times New Roman"/>
        </w:rPr>
        <w:t>PheWAS</w:t>
      </w:r>
      <w:proofErr w:type="spellEnd"/>
      <w:r w:rsidRPr="5B8BDAFF" w:rsidR="5B2AF4B0">
        <w:rPr>
          <w:rFonts w:ascii="Times New Roman" w:hAnsi="Times New Roman" w:eastAsia="Times New Roman" w:cs="Times New Roman"/>
        </w:rPr>
        <w:t xml:space="preserve"> included </w:t>
      </w:r>
      <w:proofErr w:type="spellStart"/>
      <w:r w:rsidRPr="5B8BDAFF" w:rsidR="5B2AF4B0">
        <w:rPr>
          <w:rFonts w:ascii="Times New Roman" w:hAnsi="Times New Roman" w:eastAsia="Times New Roman" w:cs="Times New Roman"/>
        </w:rPr>
        <w:t>phecodes</w:t>
      </w:r>
      <w:proofErr w:type="spellEnd"/>
      <w:r w:rsidRPr="5B8BDAFF" w:rsidR="5B2AF4B0">
        <w:rPr>
          <w:rFonts w:ascii="Times New Roman" w:hAnsi="Times New Roman" w:eastAsia="Times New Roman" w:cs="Times New Roman"/>
        </w:rPr>
        <w:t>, aggregates of clinical billing codes, as the outcome variables</w:t>
      </w:r>
      <w:r w:rsidRPr="5B8BDAFF" w:rsidR="7C881643">
        <w:rPr>
          <w:rFonts w:ascii="Times New Roman" w:hAnsi="Times New Roman" w:eastAsia="Times New Roman" w:cs="Times New Roman"/>
        </w:rPr>
        <w:t xml:space="preserve"> and </w:t>
      </w:r>
      <w:r w:rsidRPr="5B8BDAFF" w:rsidR="418ABF18">
        <w:rPr>
          <w:rFonts w:ascii="Times New Roman" w:hAnsi="Times New Roman" w:eastAsia="Times New Roman" w:cs="Times New Roman"/>
        </w:rPr>
        <w:t xml:space="preserve">the chr17q21.3 inversion as the predictor. We used </w:t>
      </w:r>
      <w:r w:rsidRPr="5B8BDAFF">
        <w:rPr>
          <w:rFonts w:ascii="Times New Roman" w:hAnsi="Times New Roman" w:eastAsia="Times New Roman" w:cs="Times New Roman"/>
        </w:rPr>
        <w:t xml:space="preserve">our muti-SNP marker method to classify </w:t>
      </w:r>
      <w:r w:rsidRPr="5B8BDAFF" w:rsidR="41F1A16C">
        <w:rPr>
          <w:rFonts w:ascii="Times New Roman" w:hAnsi="Times New Roman" w:eastAsia="Times New Roman" w:cs="Times New Roman"/>
        </w:rPr>
        <w:t xml:space="preserve">participants </w:t>
      </w:r>
      <w:r w:rsidRPr="5B8BDAFF">
        <w:rPr>
          <w:rFonts w:ascii="Times New Roman" w:hAnsi="Times New Roman" w:eastAsia="Times New Roman" w:cs="Times New Roman"/>
        </w:rPr>
        <w:t>according to the number of H2 inversion haplotypes present (0, 1, or 2).</w:t>
      </w:r>
      <w:r w:rsidRPr="5B8BDAFF" w:rsidR="09E52A87">
        <w:rPr>
          <w:rFonts w:ascii="Times New Roman" w:hAnsi="Times New Roman" w:eastAsia="Times New Roman" w:cs="Times New Roman"/>
        </w:rPr>
        <w:t xml:space="preserve"> </w:t>
      </w:r>
      <w:r w:rsidRPr="5B8BDAFF">
        <w:rPr>
          <w:rFonts w:ascii="Times New Roman" w:hAnsi="Times New Roman" w:eastAsia="Times New Roman" w:cs="Times New Roman"/>
        </w:rPr>
        <w:t xml:space="preserve"> </w:t>
      </w:r>
      <w:r w:rsidRPr="5B8BDAFF" w:rsidR="716ACB40">
        <w:rPr>
          <w:rFonts w:ascii="Times New Roman" w:hAnsi="Times New Roman" w:eastAsia="Times New Roman" w:cs="Times New Roman"/>
        </w:rPr>
        <w:t>Analyses were adjusted for standard</w:t>
      </w:r>
      <w:r w:rsidRPr="5B8BDAFF">
        <w:rPr>
          <w:rFonts w:ascii="Times New Roman" w:hAnsi="Times New Roman" w:eastAsia="Times New Roman" w:cs="Times New Roman"/>
        </w:rPr>
        <w:t xml:space="preserve"> covariates includ</w:t>
      </w:r>
      <w:r w:rsidRPr="5B8BDAFF" w:rsidR="4944E1BE">
        <w:rPr>
          <w:rFonts w:ascii="Times New Roman" w:hAnsi="Times New Roman" w:eastAsia="Times New Roman" w:cs="Times New Roman"/>
        </w:rPr>
        <w:t>ing</w:t>
      </w:r>
      <w:r w:rsidRPr="5B8BDAFF">
        <w:rPr>
          <w:rFonts w:ascii="Times New Roman" w:hAnsi="Times New Roman" w:eastAsia="Times New Roman" w:cs="Times New Roman"/>
        </w:rPr>
        <w:t xml:space="preserve"> age, age</w:t>
      </w:r>
      <w:r w:rsidRPr="5B8BDAFF" w:rsidR="79D28190">
        <w:rPr>
          <w:rFonts w:ascii="Times New Roman" w:hAnsi="Times New Roman" w:eastAsia="Times New Roman" w:cs="Times New Roman"/>
        </w:rPr>
        <w:t>-</w:t>
      </w:r>
      <w:r w:rsidRPr="5B8BDAFF">
        <w:rPr>
          <w:rFonts w:ascii="Times New Roman" w:hAnsi="Times New Roman" w:eastAsia="Times New Roman" w:cs="Times New Roman"/>
        </w:rPr>
        <w:t xml:space="preserve">squared, and the first 20 principal components (PCs). We subset the AGD cohort into subcategories of individuals with &gt;50% African ancestry and individuals with &gt;50% European ancestry for each analysis. Bonferroni correction was used to adjust for multiple testing. </w:t>
      </w:r>
    </w:p>
    <w:p w:rsidRPr="00BC5039" w:rsidR="00BC5039" w:rsidP="4738A9C4" w:rsidRDefault="00BC5039" w14:paraId="1B43AE29" w14:textId="1C9A74A0">
      <w:pPr>
        <w:rPr>
          <w:rFonts w:ascii="Times New Roman" w:hAnsi="Times New Roman" w:eastAsia="Times New Roman" w:cs="Times New Roman"/>
          <w:b/>
          <w:bCs/>
        </w:rPr>
      </w:pPr>
      <w:r w:rsidRPr="00BC5039">
        <w:rPr>
          <w:rFonts w:ascii="Times New Roman" w:hAnsi="Times New Roman" w:eastAsia="Times New Roman" w:cs="Times New Roman"/>
          <w:b/>
          <w:bCs/>
        </w:rPr>
        <w:t>Supplementary References</w:t>
      </w:r>
    </w:p>
    <w:p w:rsidRPr="00BC5039" w:rsidR="00BC5039" w:rsidP="00BC5039" w:rsidRDefault="00BC5039" w14:paraId="5CC51644" w14:textId="77777777">
      <w:pPr>
        <w:pStyle w:val="Bibliography"/>
        <w:spacing w:line="240" w:lineRule="auto"/>
        <w:rPr>
          <w:rFonts w:ascii="Times New Roman" w:hAnsi="Times New Roman" w:cs="Times New Roman"/>
        </w:rPr>
      </w:pPr>
      <w:r w:rsidRPr="00BC5039">
        <w:rPr>
          <w:rFonts w:ascii="Times New Roman" w:hAnsi="Times New Roman" w:eastAsia="Times New Roman" w:cs="Times New Roman"/>
        </w:rPr>
        <w:fldChar w:fldCharType="begin"/>
      </w:r>
      <w:r w:rsidRPr="00BC5039">
        <w:rPr>
          <w:rFonts w:ascii="Times New Roman" w:hAnsi="Times New Roman" w:eastAsia="Times New Roman" w:cs="Times New Roman"/>
        </w:rPr>
        <w:instrText xml:space="preserve"> ADDIN ZOTERO_BIBL {"uncited":[],"omitted":[],"custom":[]} CSL_BIBLIOGRAPHY </w:instrText>
      </w:r>
      <w:r w:rsidRPr="00BC5039">
        <w:rPr>
          <w:rFonts w:ascii="Times New Roman" w:hAnsi="Times New Roman" w:eastAsia="Times New Roman" w:cs="Times New Roman"/>
        </w:rPr>
        <w:fldChar w:fldCharType="separate"/>
      </w:r>
      <w:r w:rsidRPr="00BC5039">
        <w:rPr>
          <w:rFonts w:ascii="Times New Roman" w:hAnsi="Times New Roman" w:cs="Times New Roman"/>
        </w:rPr>
        <w:t>1.</w:t>
      </w:r>
      <w:r w:rsidRPr="00BC5039">
        <w:rPr>
          <w:rFonts w:ascii="Times New Roman" w:hAnsi="Times New Roman" w:cs="Times New Roman"/>
        </w:rPr>
        <w:tab/>
      </w:r>
      <w:r w:rsidRPr="00BC5039">
        <w:rPr>
          <w:rFonts w:ascii="Times New Roman" w:hAnsi="Times New Roman" w:cs="Times New Roman"/>
        </w:rPr>
        <w:t xml:space="preserve">Staples, J. </w:t>
      </w:r>
      <w:r w:rsidRPr="00BC5039">
        <w:rPr>
          <w:rFonts w:ascii="Times New Roman" w:hAnsi="Times New Roman" w:cs="Times New Roman"/>
          <w:i/>
          <w:iCs/>
        </w:rPr>
        <w:t>et al.</w:t>
      </w:r>
      <w:r w:rsidRPr="00BC5039">
        <w:rPr>
          <w:rFonts w:ascii="Times New Roman" w:hAnsi="Times New Roman" w:cs="Times New Roman"/>
        </w:rPr>
        <w:t xml:space="preserve"> PADRE: Pedigree-Aware Distant-Relationship Estimation. </w:t>
      </w:r>
      <w:r w:rsidRPr="00BC5039">
        <w:rPr>
          <w:rFonts w:ascii="Times New Roman" w:hAnsi="Times New Roman" w:cs="Times New Roman"/>
          <w:i/>
          <w:iCs/>
        </w:rPr>
        <w:t>Am. J. Hum. Genet.</w:t>
      </w:r>
      <w:r w:rsidRPr="00BC5039">
        <w:rPr>
          <w:rFonts w:ascii="Times New Roman" w:hAnsi="Times New Roman" w:cs="Times New Roman"/>
        </w:rPr>
        <w:t xml:space="preserve"> </w:t>
      </w:r>
      <w:r w:rsidRPr="00BC5039">
        <w:rPr>
          <w:rFonts w:ascii="Times New Roman" w:hAnsi="Times New Roman" w:cs="Times New Roman"/>
          <w:b/>
          <w:bCs/>
        </w:rPr>
        <w:t>99</w:t>
      </w:r>
      <w:r w:rsidRPr="00BC5039">
        <w:rPr>
          <w:rFonts w:ascii="Times New Roman" w:hAnsi="Times New Roman" w:cs="Times New Roman"/>
        </w:rPr>
        <w:t>, 154–162 (2016).</w:t>
      </w:r>
    </w:p>
    <w:p w:rsidRPr="00BC5039" w:rsidR="00BC5039" w:rsidP="00BC5039" w:rsidRDefault="00BC5039" w14:paraId="0FF416B5" w14:textId="77777777">
      <w:pPr>
        <w:pStyle w:val="Bibliography"/>
        <w:spacing w:line="240" w:lineRule="auto"/>
        <w:rPr>
          <w:rFonts w:ascii="Times New Roman" w:hAnsi="Times New Roman" w:cs="Times New Roman"/>
        </w:rPr>
      </w:pPr>
      <w:r w:rsidRPr="00BC5039">
        <w:rPr>
          <w:rFonts w:ascii="Times New Roman" w:hAnsi="Times New Roman" w:cs="Times New Roman"/>
        </w:rPr>
        <w:t>2.</w:t>
      </w:r>
      <w:r w:rsidRPr="00BC5039">
        <w:rPr>
          <w:rFonts w:ascii="Times New Roman" w:hAnsi="Times New Roman" w:cs="Times New Roman"/>
        </w:rPr>
        <w:tab/>
      </w:r>
      <w:r w:rsidRPr="00BC5039">
        <w:rPr>
          <w:rFonts w:ascii="Times New Roman" w:hAnsi="Times New Roman" w:cs="Times New Roman"/>
        </w:rPr>
        <w:t xml:space="preserve">Huff, C. D. </w:t>
      </w:r>
      <w:r w:rsidRPr="00BC5039">
        <w:rPr>
          <w:rFonts w:ascii="Times New Roman" w:hAnsi="Times New Roman" w:cs="Times New Roman"/>
          <w:i/>
          <w:iCs/>
        </w:rPr>
        <w:t>et al.</w:t>
      </w:r>
      <w:r w:rsidRPr="00BC5039">
        <w:rPr>
          <w:rFonts w:ascii="Times New Roman" w:hAnsi="Times New Roman" w:cs="Times New Roman"/>
        </w:rPr>
        <w:t xml:space="preserve"> Maximum-likelihood estimation of recent shared ancestry (ERSA). </w:t>
      </w:r>
      <w:r w:rsidRPr="00BC5039">
        <w:rPr>
          <w:rFonts w:ascii="Times New Roman" w:hAnsi="Times New Roman" w:cs="Times New Roman"/>
          <w:i/>
          <w:iCs/>
        </w:rPr>
        <w:t>Genome Res.</w:t>
      </w:r>
      <w:r w:rsidRPr="00BC5039">
        <w:rPr>
          <w:rFonts w:ascii="Times New Roman" w:hAnsi="Times New Roman" w:cs="Times New Roman"/>
        </w:rPr>
        <w:t xml:space="preserve"> </w:t>
      </w:r>
      <w:r w:rsidRPr="00BC5039">
        <w:rPr>
          <w:rFonts w:ascii="Times New Roman" w:hAnsi="Times New Roman" w:cs="Times New Roman"/>
          <w:b/>
          <w:bCs/>
        </w:rPr>
        <w:t>21</w:t>
      </w:r>
      <w:r w:rsidRPr="00BC5039">
        <w:rPr>
          <w:rFonts w:ascii="Times New Roman" w:hAnsi="Times New Roman" w:cs="Times New Roman"/>
        </w:rPr>
        <w:t>, 768–774 (2011).</w:t>
      </w:r>
    </w:p>
    <w:p w:rsidRPr="00BC5039" w:rsidR="00BC5039" w:rsidP="00BC5039" w:rsidRDefault="00BC5039" w14:paraId="2217D5BA" w14:textId="77777777">
      <w:pPr>
        <w:pStyle w:val="Bibliography"/>
        <w:spacing w:line="240" w:lineRule="auto"/>
        <w:rPr>
          <w:rFonts w:ascii="Times New Roman" w:hAnsi="Times New Roman" w:cs="Times New Roman"/>
        </w:rPr>
      </w:pPr>
      <w:r w:rsidRPr="00BC5039">
        <w:rPr>
          <w:rFonts w:ascii="Times New Roman" w:hAnsi="Times New Roman" w:cs="Times New Roman"/>
        </w:rPr>
        <w:t>3.</w:t>
      </w:r>
      <w:r w:rsidRPr="00BC5039">
        <w:rPr>
          <w:rFonts w:ascii="Times New Roman" w:hAnsi="Times New Roman" w:cs="Times New Roman"/>
        </w:rPr>
        <w:tab/>
      </w:r>
      <w:r w:rsidRPr="00BC5039">
        <w:rPr>
          <w:rFonts w:ascii="Times New Roman" w:hAnsi="Times New Roman" w:cs="Times New Roman"/>
        </w:rPr>
        <w:t xml:space="preserve">Stefansson, H. </w:t>
      </w:r>
      <w:r w:rsidRPr="00BC5039">
        <w:rPr>
          <w:rFonts w:ascii="Times New Roman" w:hAnsi="Times New Roman" w:cs="Times New Roman"/>
          <w:i/>
          <w:iCs/>
        </w:rPr>
        <w:t>et al.</w:t>
      </w:r>
      <w:r w:rsidRPr="00BC5039">
        <w:rPr>
          <w:rFonts w:ascii="Times New Roman" w:hAnsi="Times New Roman" w:cs="Times New Roman"/>
        </w:rPr>
        <w:t xml:space="preserve"> A common inversion under selection in Europeans. </w:t>
      </w:r>
      <w:r w:rsidRPr="00BC5039">
        <w:rPr>
          <w:rFonts w:ascii="Times New Roman" w:hAnsi="Times New Roman" w:cs="Times New Roman"/>
          <w:i/>
          <w:iCs/>
        </w:rPr>
        <w:t>Nat. Genet.</w:t>
      </w:r>
      <w:r w:rsidRPr="00BC5039">
        <w:rPr>
          <w:rFonts w:ascii="Times New Roman" w:hAnsi="Times New Roman" w:cs="Times New Roman"/>
        </w:rPr>
        <w:t xml:space="preserve"> </w:t>
      </w:r>
      <w:r w:rsidRPr="00BC5039">
        <w:rPr>
          <w:rFonts w:ascii="Times New Roman" w:hAnsi="Times New Roman" w:cs="Times New Roman"/>
          <w:b/>
          <w:bCs/>
        </w:rPr>
        <w:t>37</w:t>
      </w:r>
      <w:r w:rsidRPr="00BC5039">
        <w:rPr>
          <w:rFonts w:ascii="Times New Roman" w:hAnsi="Times New Roman" w:cs="Times New Roman"/>
        </w:rPr>
        <w:t>, 129–137 (2005).</w:t>
      </w:r>
    </w:p>
    <w:p w:rsidRPr="00BC5039" w:rsidR="00BC5039" w:rsidP="00BC5039" w:rsidRDefault="00BC5039" w14:paraId="076F0E5A" w14:textId="77777777">
      <w:pPr>
        <w:pStyle w:val="Bibliography"/>
        <w:spacing w:line="240" w:lineRule="auto"/>
        <w:rPr>
          <w:rFonts w:ascii="Times New Roman" w:hAnsi="Times New Roman" w:cs="Times New Roman"/>
        </w:rPr>
      </w:pPr>
      <w:r w:rsidRPr="00BC5039">
        <w:rPr>
          <w:rFonts w:ascii="Times New Roman" w:hAnsi="Times New Roman" w:cs="Times New Roman"/>
        </w:rPr>
        <w:t>4.</w:t>
      </w:r>
      <w:r w:rsidRPr="00BC5039">
        <w:rPr>
          <w:rFonts w:ascii="Times New Roman" w:hAnsi="Times New Roman" w:cs="Times New Roman"/>
        </w:rPr>
        <w:tab/>
      </w:r>
      <w:r w:rsidRPr="00BC5039">
        <w:rPr>
          <w:rFonts w:ascii="Times New Roman" w:hAnsi="Times New Roman" w:cs="Times New Roman"/>
        </w:rPr>
        <w:t xml:space="preserve">Campoy, E., Puig, M., </w:t>
      </w:r>
      <w:proofErr w:type="spellStart"/>
      <w:r w:rsidRPr="00BC5039">
        <w:rPr>
          <w:rFonts w:ascii="Times New Roman" w:hAnsi="Times New Roman" w:cs="Times New Roman"/>
        </w:rPr>
        <w:t>Yakymenko</w:t>
      </w:r>
      <w:proofErr w:type="spellEnd"/>
      <w:r w:rsidRPr="00BC5039">
        <w:rPr>
          <w:rFonts w:ascii="Times New Roman" w:hAnsi="Times New Roman" w:cs="Times New Roman"/>
        </w:rPr>
        <w:t xml:space="preserve">, I., </w:t>
      </w:r>
      <w:proofErr w:type="spellStart"/>
      <w:r w:rsidRPr="00BC5039">
        <w:rPr>
          <w:rFonts w:ascii="Times New Roman" w:hAnsi="Times New Roman" w:cs="Times New Roman"/>
        </w:rPr>
        <w:t>Lerga</w:t>
      </w:r>
      <w:proofErr w:type="spellEnd"/>
      <w:r w:rsidRPr="00BC5039">
        <w:rPr>
          <w:rFonts w:ascii="Times New Roman" w:hAnsi="Times New Roman" w:cs="Times New Roman"/>
        </w:rPr>
        <w:t xml:space="preserve">-Jaso, J. &amp; Cáceres, M. Genomic architecture and functional effects of potential human inversion supergenes. </w:t>
      </w:r>
      <w:r w:rsidRPr="00BC5039">
        <w:rPr>
          <w:rFonts w:ascii="Times New Roman" w:hAnsi="Times New Roman" w:cs="Times New Roman"/>
          <w:i/>
          <w:iCs/>
        </w:rPr>
        <w:t>Philos. Trans. R. Soc. B</w:t>
      </w:r>
      <w:r w:rsidRPr="00BC5039">
        <w:rPr>
          <w:rFonts w:ascii="Times New Roman" w:hAnsi="Times New Roman" w:cs="Times New Roman"/>
        </w:rPr>
        <w:t xml:space="preserve"> (2022) doi:10.1098/rstb.2021.0209.</w:t>
      </w:r>
    </w:p>
    <w:p w:rsidRPr="00BC5039" w:rsidR="00BC5039" w:rsidP="00BC5039" w:rsidRDefault="00BC5039" w14:paraId="4A8634A3" w14:textId="77777777">
      <w:pPr>
        <w:pStyle w:val="Bibliography"/>
        <w:spacing w:line="240" w:lineRule="auto"/>
        <w:rPr>
          <w:rFonts w:ascii="Times New Roman" w:hAnsi="Times New Roman" w:cs="Times New Roman"/>
        </w:rPr>
      </w:pPr>
      <w:r w:rsidRPr="00BC5039">
        <w:rPr>
          <w:rFonts w:ascii="Times New Roman" w:hAnsi="Times New Roman" w:cs="Times New Roman"/>
        </w:rPr>
        <w:t>5.</w:t>
      </w:r>
      <w:r w:rsidRPr="00BC5039">
        <w:rPr>
          <w:rFonts w:ascii="Times New Roman" w:hAnsi="Times New Roman" w:cs="Times New Roman"/>
        </w:rPr>
        <w:tab/>
      </w:r>
      <w:r w:rsidRPr="00BC5039">
        <w:rPr>
          <w:rFonts w:ascii="Times New Roman" w:hAnsi="Times New Roman" w:cs="Times New Roman"/>
        </w:rPr>
        <w:t xml:space="preserve">Steinberg, K. M. </w:t>
      </w:r>
      <w:r w:rsidRPr="00BC5039">
        <w:rPr>
          <w:rFonts w:ascii="Times New Roman" w:hAnsi="Times New Roman" w:cs="Times New Roman"/>
          <w:i/>
          <w:iCs/>
        </w:rPr>
        <w:t>et al.</w:t>
      </w:r>
      <w:r w:rsidRPr="00BC5039">
        <w:rPr>
          <w:rFonts w:ascii="Times New Roman" w:hAnsi="Times New Roman" w:cs="Times New Roman"/>
        </w:rPr>
        <w:t xml:space="preserve"> Structural diversity and African origin of the 17q21.31 inversion polymorphism. </w:t>
      </w:r>
      <w:r w:rsidRPr="00BC5039">
        <w:rPr>
          <w:rFonts w:ascii="Times New Roman" w:hAnsi="Times New Roman" w:cs="Times New Roman"/>
          <w:i/>
          <w:iCs/>
        </w:rPr>
        <w:t>Nat. Genet.</w:t>
      </w:r>
      <w:r w:rsidRPr="00BC5039">
        <w:rPr>
          <w:rFonts w:ascii="Times New Roman" w:hAnsi="Times New Roman" w:cs="Times New Roman"/>
        </w:rPr>
        <w:t xml:space="preserve"> </w:t>
      </w:r>
      <w:r w:rsidRPr="00BC5039">
        <w:rPr>
          <w:rFonts w:ascii="Times New Roman" w:hAnsi="Times New Roman" w:cs="Times New Roman"/>
          <w:b/>
          <w:bCs/>
        </w:rPr>
        <w:t>44</w:t>
      </w:r>
      <w:r w:rsidRPr="00BC5039">
        <w:rPr>
          <w:rFonts w:ascii="Times New Roman" w:hAnsi="Times New Roman" w:cs="Times New Roman"/>
        </w:rPr>
        <w:t>, 872–880 (2012).</w:t>
      </w:r>
    </w:p>
    <w:p w:rsidRPr="00BC5039" w:rsidR="00BC5039" w:rsidP="00BC5039" w:rsidRDefault="00BC5039" w14:paraId="199E35EC" w14:textId="77777777">
      <w:pPr>
        <w:pStyle w:val="Bibliography"/>
        <w:spacing w:line="240" w:lineRule="auto"/>
        <w:rPr>
          <w:rFonts w:ascii="Times New Roman" w:hAnsi="Times New Roman" w:cs="Times New Roman"/>
        </w:rPr>
      </w:pPr>
      <w:r w:rsidRPr="00BC5039">
        <w:rPr>
          <w:rFonts w:ascii="Times New Roman" w:hAnsi="Times New Roman" w:cs="Times New Roman"/>
        </w:rPr>
        <w:t>6.</w:t>
      </w:r>
      <w:r w:rsidRPr="00BC5039">
        <w:rPr>
          <w:rFonts w:ascii="Times New Roman" w:hAnsi="Times New Roman" w:cs="Times New Roman"/>
        </w:rPr>
        <w:tab/>
      </w:r>
      <w:r w:rsidRPr="00BC5039">
        <w:rPr>
          <w:rFonts w:ascii="Times New Roman" w:hAnsi="Times New Roman" w:cs="Times New Roman"/>
        </w:rPr>
        <w:t xml:space="preserve">Porubsky, D. </w:t>
      </w:r>
      <w:r w:rsidRPr="00BC5039">
        <w:rPr>
          <w:rFonts w:ascii="Times New Roman" w:hAnsi="Times New Roman" w:cs="Times New Roman"/>
          <w:i/>
          <w:iCs/>
        </w:rPr>
        <w:t>et al.</w:t>
      </w:r>
      <w:r w:rsidRPr="00BC5039">
        <w:rPr>
          <w:rFonts w:ascii="Times New Roman" w:hAnsi="Times New Roman" w:cs="Times New Roman"/>
        </w:rPr>
        <w:t xml:space="preserve"> Recurrent inversion polymorphisms in humans associate with genetic instability and genomic disorders. </w:t>
      </w:r>
      <w:r w:rsidRPr="00BC5039">
        <w:rPr>
          <w:rFonts w:ascii="Times New Roman" w:hAnsi="Times New Roman" w:cs="Times New Roman"/>
          <w:i/>
          <w:iCs/>
        </w:rPr>
        <w:t>Cell</w:t>
      </w:r>
      <w:r w:rsidRPr="00BC5039">
        <w:rPr>
          <w:rFonts w:ascii="Times New Roman" w:hAnsi="Times New Roman" w:cs="Times New Roman"/>
        </w:rPr>
        <w:t xml:space="preserve"> </w:t>
      </w:r>
      <w:r w:rsidRPr="00BC5039">
        <w:rPr>
          <w:rFonts w:ascii="Times New Roman" w:hAnsi="Times New Roman" w:cs="Times New Roman"/>
          <w:b/>
          <w:bCs/>
        </w:rPr>
        <w:t>185</w:t>
      </w:r>
      <w:r w:rsidRPr="00BC5039">
        <w:rPr>
          <w:rFonts w:ascii="Times New Roman" w:hAnsi="Times New Roman" w:cs="Times New Roman"/>
        </w:rPr>
        <w:t>, 1986-2005.e26 (2022).</w:t>
      </w:r>
    </w:p>
    <w:p w:rsidRPr="00BC5039" w:rsidR="00BC5039" w:rsidP="00BC5039" w:rsidRDefault="00BC5039" w14:paraId="65875701" w14:textId="77777777">
      <w:pPr>
        <w:pStyle w:val="Bibliography"/>
        <w:spacing w:line="240" w:lineRule="auto"/>
        <w:rPr>
          <w:rFonts w:ascii="Times New Roman" w:hAnsi="Times New Roman" w:cs="Times New Roman"/>
        </w:rPr>
      </w:pPr>
      <w:r w:rsidRPr="00BC5039">
        <w:rPr>
          <w:rFonts w:ascii="Times New Roman" w:hAnsi="Times New Roman" w:cs="Times New Roman"/>
        </w:rPr>
        <w:t>7.</w:t>
      </w:r>
      <w:r w:rsidRPr="00BC5039">
        <w:rPr>
          <w:rFonts w:ascii="Times New Roman" w:hAnsi="Times New Roman" w:cs="Times New Roman"/>
        </w:rPr>
        <w:tab/>
      </w:r>
      <w:r w:rsidRPr="00BC5039">
        <w:rPr>
          <w:rFonts w:ascii="Times New Roman" w:hAnsi="Times New Roman" w:cs="Times New Roman"/>
        </w:rPr>
        <w:t xml:space="preserve">Pedicone, C., Weitzman, S. A., Renton, A. E. &amp; Goate, A. M. Unraveling the complex role of MAPT-containing H1 and H2 haplotypes in neurodegenerative diseases. </w:t>
      </w:r>
      <w:r w:rsidRPr="00BC5039">
        <w:rPr>
          <w:rFonts w:ascii="Times New Roman" w:hAnsi="Times New Roman" w:cs="Times New Roman"/>
          <w:i/>
          <w:iCs/>
        </w:rPr>
        <w:t xml:space="preserve">Mol. </w:t>
      </w:r>
      <w:proofErr w:type="spellStart"/>
      <w:r w:rsidRPr="00BC5039">
        <w:rPr>
          <w:rFonts w:ascii="Times New Roman" w:hAnsi="Times New Roman" w:cs="Times New Roman"/>
          <w:i/>
          <w:iCs/>
        </w:rPr>
        <w:t>Neurodegener</w:t>
      </w:r>
      <w:proofErr w:type="spellEnd"/>
      <w:r w:rsidRPr="00BC5039">
        <w:rPr>
          <w:rFonts w:ascii="Times New Roman" w:hAnsi="Times New Roman" w:cs="Times New Roman"/>
          <w:i/>
          <w:iCs/>
        </w:rPr>
        <w:t>.</w:t>
      </w:r>
      <w:r w:rsidRPr="00BC5039">
        <w:rPr>
          <w:rFonts w:ascii="Times New Roman" w:hAnsi="Times New Roman" w:cs="Times New Roman"/>
        </w:rPr>
        <w:t xml:space="preserve"> </w:t>
      </w:r>
      <w:r w:rsidRPr="00BC5039">
        <w:rPr>
          <w:rFonts w:ascii="Times New Roman" w:hAnsi="Times New Roman" w:cs="Times New Roman"/>
          <w:b/>
          <w:bCs/>
        </w:rPr>
        <w:t>19</w:t>
      </w:r>
      <w:r w:rsidRPr="00BC5039">
        <w:rPr>
          <w:rFonts w:ascii="Times New Roman" w:hAnsi="Times New Roman" w:cs="Times New Roman"/>
        </w:rPr>
        <w:t>, 43 (2024).</w:t>
      </w:r>
    </w:p>
    <w:p w:rsidRPr="00BC5039" w:rsidR="00BC5039" w:rsidP="00BC5039" w:rsidRDefault="00BC5039" w14:paraId="1421AB04" w14:textId="77777777">
      <w:pPr>
        <w:pStyle w:val="Bibliography"/>
        <w:spacing w:line="240" w:lineRule="auto"/>
        <w:rPr>
          <w:rFonts w:ascii="Times New Roman" w:hAnsi="Times New Roman" w:cs="Times New Roman"/>
        </w:rPr>
      </w:pPr>
      <w:r w:rsidRPr="00BC5039">
        <w:rPr>
          <w:rFonts w:ascii="Times New Roman" w:hAnsi="Times New Roman" w:cs="Times New Roman"/>
        </w:rPr>
        <w:t>8.</w:t>
      </w:r>
      <w:r w:rsidRPr="00BC5039">
        <w:rPr>
          <w:rFonts w:ascii="Times New Roman" w:hAnsi="Times New Roman" w:cs="Times New Roman"/>
        </w:rPr>
        <w:tab/>
      </w:r>
      <w:r w:rsidRPr="00BC5039">
        <w:rPr>
          <w:rFonts w:ascii="Times New Roman" w:hAnsi="Times New Roman" w:cs="Times New Roman"/>
        </w:rPr>
        <w:t xml:space="preserve">Puig, M. </w:t>
      </w:r>
      <w:r w:rsidRPr="00BC5039">
        <w:rPr>
          <w:rFonts w:ascii="Times New Roman" w:hAnsi="Times New Roman" w:cs="Times New Roman"/>
          <w:i/>
          <w:iCs/>
        </w:rPr>
        <w:t>et al.</w:t>
      </w:r>
      <w:r w:rsidRPr="00BC5039">
        <w:rPr>
          <w:rFonts w:ascii="Times New Roman" w:hAnsi="Times New Roman" w:cs="Times New Roman"/>
        </w:rPr>
        <w:t xml:space="preserve"> Determining the impact of uncharacterized inversions in the human genome by droplet digital PCR. </w:t>
      </w:r>
      <w:r w:rsidRPr="00BC5039">
        <w:rPr>
          <w:rFonts w:ascii="Times New Roman" w:hAnsi="Times New Roman" w:cs="Times New Roman"/>
          <w:i/>
          <w:iCs/>
        </w:rPr>
        <w:t>Genome Res.</w:t>
      </w:r>
      <w:r w:rsidRPr="00BC5039">
        <w:rPr>
          <w:rFonts w:ascii="Times New Roman" w:hAnsi="Times New Roman" w:cs="Times New Roman"/>
        </w:rPr>
        <w:t xml:space="preserve"> </w:t>
      </w:r>
      <w:r w:rsidRPr="00BC5039">
        <w:rPr>
          <w:rFonts w:ascii="Times New Roman" w:hAnsi="Times New Roman" w:cs="Times New Roman"/>
          <w:b/>
          <w:bCs/>
        </w:rPr>
        <w:t>30</w:t>
      </w:r>
      <w:r w:rsidRPr="00BC5039">
        <w:rPr>
          <w:rFonts w:ascii="Times New Roman" w:hAnsi="Times New Roman" w:cs="Times New Roman"/>
        </w:rPr>
        <w:t>, 724–735 (2020).</w:t>
      </w:r>
    </w:p>
    <w:p w:rsidRPr="00BC5039" w:rsidR="00BC5039" w:rsidP="00BC5039" w:rsidRDefault="00BC5039" w14:paraId="6AAA7046" w14:textId="77777777">
      <w:pPr>
        <w:pStyle w:val="Bibliography"/>
        <w:spacing w:line="240" w:lineRule="auto"/>
        <w:rPr>
          <w:rFonts w:ascii="Times New Roman" w:hAnsi="Times New Roman" w:cs="Times New Roman"/>
        </w:rPr>
      </w:pPr>
      <w:r w:rsidRPr="00BC5039">
        <w:rPr>
          <w:rFonts w:ascii="Times New Roman" w:hAnsi="Times New Roman" w:cs="Times New Roman"/>
        </w:rPr>
        <w:t>9.</w:t>
      </w:r>
      <w:r w:rsidRPr="00BC5039">
        <w:rPr>
          <w:rFonts w:ascii="Times New Roman" w:hAnsi="Times New Roman" w:cs="Times New Roman"/>
        </w:rPr>
        <w:tab/>
      </w:r>
      <w:proofErr w:type="spellStart"/>
      <w:r w:rsidRPr="00BC5039">
        <w:rPr>
          <w:rFonts w:ascii="Times New Roman" w:hAnsi="Times New Roman" w:cs="Times New Roman"/>
        </w:rPr>
        <w:t>Sergouniotis</w:t>
      </w:r>
      <w:proofErr w:type="spellEnd"/>
      <w:r w:rsidRPr="00BC5039">
        <w:rPr>
          <w:rFonts w:ascii="Times New Roman" w:hAnsi="Times New Roman" w:cs="Times New Roman"/>
        </w:rPr>
        <w:t xml:space="preserve">, P. I. </w:t>
      </w:r>
      <w:r w:rsidRPr="00BC5039">
        <w:rPr>
          <w:rFonts w:ascii="Times New Roman" w:hAnsi="Times New Roman" w:cs="Times New Roman"/>
          <w:i/>
          <w:iCs/>
        </w:rPr>
        <w:t>et al.</w:t>
      </w:r>
      <w:r w:rsidRPr="00BC5039">
        <w:rPr>
          <w:rFonts w:ascii="Times New Roman" w:hAnsi="Times New Roman" w:cs="Times New Roman"/>
        </w:rPr>
        <w:t xml:space="preserve"> Autoencoder-based phenotyping of ophthalmic images highlights genetic loci influencing retinal morphology and provides informative biomarkers. </w:t>
      </w:r>
      <w:r w:rsidRPr="00BC5039">
        <w:rPr>
          <w:rFonts w:ascii="Times New Roman" w:hAnsi="Times New Roman" w:cs="Times New Roman"/>
          <w:i/>
          <w:iCs/>
        </w:rPr>
        <w:t>Bioinformatics</w:t>
      </w:r>
      <w:r w:rsidRPr="00BC5039">
        <w:rPr>
          <w:rFonts w:ascii="Times New Roman" w:hAnsi="Times New Roman" w:cs="Times New Roman"/>
        </w:rPr>
        <w:t xml:space="preserve"> </w:t>
      </w:r>
      <w:r w:rsidRPr="00BC5039">
        <w:rPr>
          <w:rFonts w:ascii="Times New Roman" w:hAnsi="Times New Roman" w:cs="Times New Roman"/>
          <w:b/>
          <w:bCs/>
        </w:rPr>
        <w:t>41</w:t>
      </w:r>
      <w:r w:rsidRPr="00BC5039">
        <w:rPr>
          <w:rFonts w:ascii="Times New Roman" w:hAnsi="Times New Roman" w:cs="Times New Roman"/>
        </w:rPr>
        <w:t>, btae732 (2025).</w:t>
      </w:r>
    </w:p>
    <w:p w:rsidR="00BC5039" w:rsidP="00BC5039" w:rsidRDefault="00BC5039" w14:paraId="6FF614A9" w14:textId="27A213A2">
      <w:pPr>
        <w:spacing w:line="240" w:lineRule="auto"/>
        <w:rPr>
          <w:rFonts w:ascii="Times New Roman" w:hAnsi="Times New Roman" w:eastAsia="Times New Roman" w:cs="Times New Roman"/>
        </w:rPr>
      </w:pPr>
      <w:r w:rsidRPr="00BC5039">
        <w:rPr>
          <w:rFonts w:ascii="Times New Roman" w:hAnsi="Times New Roman" w:eastAsia="Times New Roman" w:cs="Times New Roman"/>
        </w:rPr>
        <w:fldChar w:fldCharType="end"/>
      </w:r>
    </w:p>
    <w:sectPr w:rsidR="00BC5039">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2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009A87"/>
    <w:rsid w:val="001A108B"/>
    <w:rsid w:val="0042E434"/>
    <w:rsid w:val="00523C42"/>
    <w:rsid w:val="00543341"/>
    <w:rsid w:val="00BC5039"/>
    <w:rsid w:val="014E2F60"/>
    <w:rsid w:val="01D9C041"/>
    <w:rsid w:val="038052DE"/>
    <w:rsid w:val="03E632C2"/>
    <w:rsid w:val="076F59B3"/>
    <w:rsid w:val="077BA053"/>
    <w:rsid w:val="088D3ECD"/>
    <w:rsid w:val="09E52A87"/>
    <w:rsid w:val="0B64790A"/>
    <w:rsid w:val="0BA9A4D3"/>
    <w:rsid w:val="0E18A637"/>
    <w:rsid w:val="0E21631D"/>
    <w:rsid w:val="0E5F1B69"/>
    <w:rsid w:val="0F42C830"/>
    <w:rsid w:val="0F9DD75B"/>
    <w:rsid w:val="10009A87"/>
    <w:rsid w:val="1091E280"/>
    <w:rsid w:val="1196C855"/>
    <w:rsid w:val="11C53E35"/>
    <w:rsid w:val="16F0D123"/>
    <w:rsid w:val="1746B4F8"/>
    <w:rsid w:val="17BF1924"/>
    <w:rsid w:val="1A2669B1"/>
    <w:rsid w:val="1A96D10E"/>
    <w:rsid w:val="1A9C00A4"/>
    <w:rsid w:val="1C2A03A1"/>
    <w:rsid w:val="1CE75D5D"/>
    <w:rsid w:val="1DA09E7C"/>
    <w:rsid w:val="1F1D24C6"/>
    <w:rsid w:val="212037EC"/>
    <w:rsid w:val="21B91965"/>
    <w:rsid w:val="21E8EC83"/>
    <w:rsid w:val="2443B870"/>
    <w:rsid w:val="2450C5E2"/>
    <w:rsid w:val="24AC9806"/>
    <w:rsid w:val="26583C3C"/>
    <w:rsid w:val="27E6425C"/>
    <w:rsid w:val="29C3C2B9"/>
    <w:rsid w:val="2C499156"/>
    <w:rsid w:val="2C760524"/>
    <w:rsid w:val="2D14892D"/>
    <w:rsid w:val="2DA549C4"/>
    <w:rsid w:val="2F00B74E"/>
    <w:rsid w:val="2F5B0053"/>
    <w:rsid w:val="2FE1BC01"/>
    <w:rsid w:val="327F9679"/>
    <w:rsid w:val="328333C8"/>
    <w:rsid w:val="32D13EB0"/>
    <w:rsid w:val="34191372"/>
    <w:rsid w:val="34C0E3E9"/>
    <w:rsid w:val="35972E15"/>
    <w:rsid w:val="3642C522"/>
    <w:rsid w:val="368331BF"/>
    <w:rsid w:val="37ED06BF"/>
    <w:rsid w:val="39CEBC85"/>
    <w:rsid w:val="3B72FF29"/>
    <w:rsid w:val="3D296692"/>
    <w:rsid w:val="3D7ECB74"/>
    <w:rsid w:val="3E9E08EF"/>
    <w:rsid w:val="3EBA93C8"/>
    <w:rsid w:val="3F2F4F57"/>
    <w:rsid w:val="404C5C8A"/>
    <w:rsid w:val="410EB080"/>
    <w:rsid w:val="418ABF18"/>
    <w:rsid w:val="41F1A16C"/>
    <w:rsid w:val="41F60B7A"/>
    <w:rsid w:val="42696036"/>
    <w:rsid w:val="4342C976"/>
    <w:rsid w:val="43630010"/>
    <w:rsid w:val="4537E56C"/>
    <w:rsid w:val="455D3E7D"/>
    <w:rsid w:val="4609E86A"/>
    <w:rsid w:val="4738A9C4"/>
    <w:rsid w:val="4944E1BE"/>
    <w:rsid w:val="498F9526"/>
    <w:rsid w:val="49C6E32B"/>
    <w:rsid w:val="4B9E1AA0"/>
    <w:rsid w:val="4BA0F757"/>
    <w:rsid w:val="4BFED892"/>
    <w:rsid w:val="4C988BF4"/>
    <w:rsid w:val="4D14BD6A"/>
    <w:rsid w:val="4D7A1382"/>
    <w:rsid w:val="4DB096D8"/>
    <w:rsid w:val="4F79A141"/>
    <w:rsid w:val="51C01141"/>
    <w:rsid w:val="53F2F631"/>
    <w:rsid w:val="5780F728"/>
    <w:rsid w:val="57AE15B5"/>
    <w:rsid w:val="589A957F"/>
    <w:rsid w:val="593E2700"/>
    <w:rsid w:val="5A058EDD"/>
    <w:rsid w:val="5B05DD05"/>
    <w:rsid w:val="5B0F6E44"/>
    <w:rsid w:val="5B2AF4B0"/>
    <w:rsid w:val="5B8BDAFF"/>
    <w:rsid w:val="5CC43D67"/>
    <w:rsid w:val="5D8DFEF9"/>
    <w:rsid w:val="5E150CC8"/>
    <w:rsid w:val="5E1ACB8C"/>
    <w:rsid w:val="5E6205EF"/>
    <w:rsid w:val="5F856D7C"/>
    <w:rsid w:val="608AE4DA"/>
    <w:rsid w:val="62647C7A"/>
    <w:rsid w:val="639DFC63"/>
    <w:rsid w:val="63A8B10C"/>
    <w:rsid w:val="64431681"/>
    <w:rsid w:val="65091594"/>
    <w:rsid w:val="65868C5B"/>
    <w:rsid w:val="65CED959"/>
    <w:rsid w:val="66B7A0BA"/>
    <w:rsid w:val="66DE0E64"/>
    <w:rsid w:val="67EE6FD5"/>
    <w:rsid w:val="68991743"/>
    <w:rsid w:val="698E9A7D"/>
    <w:rsid w:val="6C75666A"/>
    <w:rsid w:val="6D178C76"/>
    <w:rsid w:val="6E9A0CDE"/>
    <w:rsid w:val="6F3DF23C"/>
    <w:rsid w:val="708A9DBB"/>
    <w:rsid w:val="71221C38"/>
    <w:rsid w:val="716ACB40"/>
    <w:rsid w:val="716B7F65"/>
    <w:rsid w:val="718A8306"/>
    <w:rsid w:val="7238ADA8"/>
    <w:rsid w:val="72A786BF"/>
    <w:rsid w:val="738B0376"/>
    <w:rsid w:val="753349C4"/>
    <w:rsid w:val="76C80DBE"/>
    <w:rsid w:val="79071CAA"/>
    <w:rsid w:val="7998E620"/>
    <w:rsid w:val="79D28190"/>
    <w:rsid w:val="79FF237B"/>
    <w:rsid w:val="7A6556DB"/>
    <w:rsid w:val="7C881643"/>
    <w:rsid w:val="7CAB7104"/>
    <w:rsid w:val="7DF28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09A87"/>
  <w15:chartTrackingRefBased/>
  <w15:docId w15:val="{E25F5F1C-99E3-48F1-ADC3-39D192F343B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ibliography">
    <w:name w:val="Bibliography"/>
    <w:basedOn w:val="Normal"/>
    <w:next w:val="Normal"/>
    <w:uiPriority w:val="37"/>
    <w:unhideWhenUsed/>
    <w:rsid w:val="00BC5039"/>
    <w:pPr>
      <w:tabs>
        <w:tab w:val="left" w:pos="260"/>
      </w:tabs>
      <w:spacing w:after="0"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theme" Target="theme/theme1.xml" Id="rId13" /><Relationship Type="http://schemas.openxmlformats.org/officeDocument/2006/relationships/customXml" Target="../customXml/item3.xml" Id="rId3" /><Relationship Type="http://schemas.microsoft.com/office/2011/relationships/people" Target="peop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styles" Target="styles.xml" Id="rId4" /><Relationship Type="http://schemas.microsoft.com/office/2016/09/relationships/commentsIds" Target="commentsId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0C088267721A4BAC4DDCD6A49921D2" ma:contentTypeVersion="14" ma:contentTypeDescription="Create a new document." ma:contentTypeScope="" ma:versionID="118cda4ca7c45c38f4329143402def63">
  <xsd:schema xmlns:xsd="http://www.w3.org/2001/XMLSchema" xmlns:xs="http://www.w3.org/2001/XMLSchema" xmlns:p="http://schemas.microsoft.com/office/2006/metadata/properties" xmlns:ns2="6b1dc362-3d0a-4975-8a95-370f62842730" xmlns:ns3="3762d52c-be36-4a6b-9485-4d7d6be35a36" targetNamespace="http://schemas.microsoft.com/office/2006/metadata/properties" ma:root="true" ma:fieldsID="ce911e807795b9f29d1dedf4da213f07" ns2:_="" ns3:_="">
    <xsd:import namespace="6b1dc362-3d0a-4975-8a95-370f62842730"/>
    <xsd:import namespace="3762d52c-be36-4a6b-9485-4d7d6be35a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dc362-3d0a-4975-8a95-370f628427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07b1ff-87ca-41ea-8f42-2e31685bcc0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62d52c-be36-4a6b-9485-4d7d6be35a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67bb1e2-0976-4116-9359-deec20f340a4}" ma:internalName="TaxCatchAll" ma:showField="CatchAllData" ma:web="3762d52c-be36-4a6b-9485-4d7d6be35a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762d52c-be36-4a6b-9485-4d7d6be35a36" xsi:nil="true"/>
    <lcf76f155ced4ddcb4097134ff3c332f xmlns="6b1dc362-3d0a-4975-8a95-370f6284273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57FB67-5E66-493F-A819-92CD95B57273}">
  <ds:schemaRefs>
    <ds:schemaRef ds:uri="http://schemas.microsoft.com/sharepoint/v3/contenttype/forms"/>
  </ds:schemaRefs>
</ds:datastoreItem>
</file>

<file path=customXml/itemProps2.xml><?xml version="1.0" encoding="utf-8"?>
<ds:datastoreItem xmlns:ds="http://schemas.openxmlformats.org/officeDocument/2006/customXml" ds:itemID="{7E79BE19-F6FA-4876-944F-1C67C23D4B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dc362-3d0a-4975-8a95-370f62842730"/>
    <ds:schemaRef ds:uri="3762d52c-be36-4a6b-9485-4d7d6be35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94E9DE9-467A-4817-8C86-9E3F6DE0FCFD}">
  <ds:schemaRefs>
    <ds:schemaRef ds:uri="http://schemas.microsoft.com/office/2006/metadata/properties"/>
    <ds:schemaRef ds:uri="http://schemas.microsoft.com/office/infopath/2007/PartnerControls"/>
    <ds:schemaRef ds:uri="3762d52c-be36-4a6b-9485-4d7d6be35a36"/>
    <ds:schemaRef ds:uri="6b1dc362-3d0a-4975-8a95-370f6284273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Ruderfer, Douglas M</dc:creator>
  <keywords/>
  <dc:description/>
  <lastModifiedBy>Baker, James</lastModifiedBy>
  <revision>3</revision>
  <dcterms:created xsi:type="dcterms:W3CDTF">2025-03-17T11:48:00.0000000Z</dcterms:created>
  <dcterms:modified xsi:type="dcterms:W3CDTF">2025-06-05T21:58:31.3841927Z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0x010100880C088267721A4BAC4DDCD6A49921D2</vt:lpwstr>
  </property>
  <property fmtid="{D5CDD505-2E9C-101B-9397-08002B2CF9AE}" pid="3" name="MediaServiceImageTags">
    <vt:lpwstr/>
  </property>
  <property fmtid="{D5CDD505-2E9C-101B-9397-08002B2CF9AE}" pid="4" name="ZOTERO_PREF_1">
    <vt:lpwstr>&lt;data data-version="3" zotero-version="7.0.11"&gt;&lt;session id="YZE72yF7"/&gt;&lt;style id="http://www.zotero.org/styles/nature" hasBibliography="1" bibliographyStyleHasBeenSet="1"/&gt;&lt;prefs&gt;&lt;pref name="fieldType" value="Field"/&gt;&lt;pref name="automaticJournalAbbreviati</vt:lpwstr>
  </property>
  <property fmtid="{D5CDD505-2E9C-101B-9397-08002B2CF9AE}" pid="5" name="ZOTERO_PREF_2">
    <vt:lpwstr>ons" value="true"/&gt;&lt;/prefs&gt;&lt;/data&gt;</vt:lpwstr>
  </property>
</Properties>
</file>