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28542" w14:textId="77777777" w:rsidR="003F28CF" w:rsidRDefault="003F28CF" w:rsidP="003F28CF">
      <w:pPr>
        <w:tabs>
          <w:tab w:val="left" w:pos="1455"/>
        </w:tabs>
        <w:spacing w:after="0"/>
        <w:jc w:val="center"/>
        <w:rPr>
          <w:rFonts w:ascii="Arial" w:eastAsia="Arial" w:hAnsi="Arial" w:cs="Arial"/>
          <w:b/>
          <w:sz w:val="28"/>
          <w:szCs w:val="28"/>
        </w:rPr>
      </w:pPr>
      <w:r>
        <w:rPr>
          <w:rFonts w:ascii="Arial" w:eastAsia="Arial" w:hAnsi="Arial" w:cs="Arial"/>
          <w:b/>
          <w:sz w:val="28"/>
          <w:szCs w:val="28"/>
        </w:rPr>
        <w:t>Systematic identification of rare disease patients in electronic health records enables evaluation of clinical outcomes</w:t>
      </w:r>
    </w:p>
    <w:p w14:paraId="73AF3E78" w14:textId="77777777" w:rsidR="003F28CF" w:rsidRDefault="003F28CF" w:rsidP="003F28CF">
      <w:pPr>
        <w:tabs>
          <w:tab w:val="left" w:pos="1455"/>
        </w:tabs>
        <w:spacing w:after="0"/>
        <w:jc w:val="center"/>
        <w:rPr>
          <w:rFonts w:ascii="Arial" w:eastAsia="Arial" w:hAnsi="Arial" w:cs="Arial"/>
          <w:sz w:val="24"/>
          <w:szCs w:val="24"/>
        </w:rPr>
      </w:pPr>
      <w:r>
        <w:rPr>
          <w:rFonts w:ascii="Arial" w:eastAsia="Arial" w:hAnsi="Arial" w:cs="Arial"/>
          <w:sz w:val="24"/>
          <w:szCs w:val="24"/>
        </w:rPr>
        <w:t>Arjun S. Yadaw</w:t>
      </w:r>
      <w:r>
        <w:rPr>
          <w:rFonts w:ascii="Arial" w:eastAsia="Arial" w:hAnsi="Arial" w:cs="Arial"/>
          <w:sz w:val="24"/>
          <w:szCs w:val="24"/>
          <w:vertAlign w:val="superscript"/>
        </w:rPr>
        <w:t>1</w:t>
      </w:r>
      <w:r>
        <w:rPr>
          <w:rFonts w:ascii="Arial" w:eastAsia="Arial" w:hAnsi="Arial" w:cs="Arial"/>
          <w:sz w:val="24"/>
          <w:szCs w:val="24"/>
        </w:rPr>
        <w:t>, Eric Sid</w:t>
      </w:r>
      <w:r>
        <w:rPr>
          <w:rFonts w:ascii="Arial" w:eastAsia="Arial" w:hAnsi="Arial" w:cs="Arial"/>
          <w:sz w:val="24"/>
          <w:szCs w:val="24"/>
          <w:vertAlign w:val="superscript"/>
        </w:rPr>
        <w:t>2</w:t>
      </w:r>
      <w:r>
        <w:rPr>
          <w:rFonts w:ascii="Arial" w:eastAsia="Arial" w:hAnsi="Arial" w:cs="Arial"/>
          <w:sz w:val="24"/>
          <w:szCs w:val="24"/>
        </w:rPr>
        <w:t>, Hythem Sidky</w:t>
      </w:r>
      <w:r>
        <w:rPr>
          <w:rFonts w:ascii="Arial" w:eastAsia="Arial" w:hAnsi="Arial" w:cs="Arial"/>
          <w:sz w:val="24"/>
          <w:szCs w:val="24"/>
          <w:vertAlign w:val="superscript"/>
        </w:rPr>
        <w:t>1</w:t>
      </w:r>
      <w:r>
        <w:rPr>
          <w:rFonts w:ascii="Arial" w:eastAsia="Arial" w:hAnsi="Arial" w:cs="Arial"/>
          <w:sz w:val="24"/>
          <w:szCs w:val="24"/>
        </w:rPr>
        <w:t xml:space="preserve">, </w:t>
      </w:r>
      <w:r>
        <w:rPr>
          <w:rFonts w:ascii="Arial" w:eastAsia="Arial" w:hAnsi="Arial" w:cs="Arial"/>
          <w:color w:val="1D1C1D"/>
          <w:sz w:val="23"/>
          <w:szCs w:val="23"/>
          <w:shd w:val="clear" w:color="auto" w:fill="F8F8F8"/>
        </w:rPr>
        <w:t>Chenjie Zeng</w:t>
      </w:r>
      <w:r>
        <w:rPr>
          <w:rFonts w:ascii="Arial" w:eastAsia="Arial" w:hAnsi="Arial" w:cs="Arial"/>
          <w:sz w:val="24"/>
          <w:szCs w:val="24"/>
          <w:vertAlign w:val="superscript"/>
        </w:rPr>
        <w:t>3</w:t>
      </w:r>
      <w:r>
        <w:rPr>
          <w:rFonts w:ascii="Arial" w:eastAsia="Arial" w:hAnsi="Arial" w:cs="Arial"/>
          <w:sz w:val="24"/>
          <w:szCs w:val="24"/>
        </w:rPr>
        <w:t>, Qian Zhu</w:t>
      </w:r>
      <w:r>
        <w:rPr>
          <w:rFonts w:ascii="Arial" w:eastAsia="Arial" w:hAnsi="Arial" w:cs="Arial"/>
          <w:sz w:val="24"/>
          <w:szCs w:val="24"/>
          <w:vertAlign w:val="superscript"/>
        </w:rPr>
        <w:t>1</w:t>
      </w:r>
      <w:r>
        <w:rPr>
          <w:rFonts w:ascii="Arial" w:eastAsia="Arial" w:hAnsi="Arial" w:cs="Arial"/>
          <w:sz w:val="24"/>
          <w:szCs w:val="24"/>
        </w:rPr>
        <w:t>, Ewy A. Mathé</w:t>
      </w:r>
      <w:r>
        <w:rPr>
          <w:rFonts w:ascii="Arial" w:eastAsia="Arial" w:hAnsi="Arial" w:cs="Arial"/>
          <w:sz w:val="24"/>
          <w:szCs w:val="24"/>
          <w:vertAlign w:val="superscript"/>
        </w:rPr>
        <w:t>1</w:t>
      </w:r>
      <w:r>
        <w:rPr>
          <w:rFonts w:ascii="Arial" w:eastAsia="Arial" w:hAnsi="Arial" w:cs="Arial"/>
          <w:sz w:val="24"/>
          <w:szCs w:val="24"/>
        </w:rPr>
        <w:t>,</w:t>
      </w:r>
      <w:r w:rsidRPr="00EA3ADB">
        <w:rPr>
          <w:rFonts w:ascii="Segoe UI" w:hAnsi="Segoe UI" w:cs="Segoe UI"/>
          <w:sz w:val="18"/>
          <w:szCs w:val="18"/>
        </w:rPr>
        <w:t xml:space="preserve"> </w:t>
      </w:r>
      <w:r>
        <w:rPr>
          <w:rFonts w:ascii="Arial" w:eastAsia="Arial" w:hAnsi="Arial" w:cs="Arial"/>
          <w:sz w:val="24"/>
          <w:szCs w:val="24"/>
        </w:rPr>
        <w:t>On behalf th</w:t>
      </w:r>
      <w:r w:rsidRPr="00EA3ADB">
        <w:rPr>
          <w:rFonts w:ascii="Arial" w:eastAsia="Arial" w:hAnsi="Arial" w:cs="Arial"/>
          <w:sz w:val="24"/>
          <w:szCs w:val="24"/>
        </w:rPr>
        <w:t>e N3C Consortium</w:t>
      </w:r>
    </w:p>
    <w:p w14:paraId="24FC676C" w14:textId="77777777" w:rsidR="003F28CF" w:rsidRDefault="003F28CF" w:rsidP="003F28CF">
      <w:pPr>
        <w:tabs>
          <w:tab w:val="left" w:pos="1455"/>
        </w:tabs>
        <w:spacing w:after="0"/>
        <w:jc w:val="center"/>
        <w:rPr>
          <w:rFonts w:ascii="Arial" w:eastAsia="Arial" w:hAnsi="Arial" w:cs="Arial"/>
          <w:sz w:val="24"/>
          <w:szCs w:val="24"/>
        </w:rPr>
      </w:pPr>
      <w:r>
        <w:rPr>
          <w:rFonts w:ascii="Arial" w:eastAsia="Arial" w:hAnsi="Arial" w:cs="Arial"/>
          <w:sz w:val="24"/>
          <w:szCs w:val="24"/>
          <w:vertAlign w:val="superscript"/>
        </w:rPr>
        <w:t>1</w:t>
      </w:r>
      <w:r>
        <w:rPr>
          <w:rFonts w:ascii="Arial" w:eastAsia="Arial" w:hAnsi="Arial" w:cs="Arial"/>
          <w:sz w:val="24"/>
          <w:szCs w:val="24"/>
        </w:rPr>
        <w:t xml:space="preserve">National Center for Advancing Translational Sciences (NCATS), NIH, Rockville, MD, USA </w:t>
      </w:r>
    </w:p>
    <w:p w14:paraId="02186E62" w14:textId="77777777" w:rsidR="003F28CF" w:rsidRDefault="003F28CF" w:rsidP="003F28CF">
      <w:pPr>
        <w:tabs>
          <w:tab w:val="left" w:pos="1455"/>
        </w:tabs>
        <w:spacing w:after="0"/>
        <w:rPr>
          <w:rFonts w:ascii="Arial" w:eastAsia="Arial" w:hAnsi="Arial" w:cs="Arial"/>
          <w:sz w:val="24"/>
          <w:szCs w:val="24"/>
        </w:rPr>
      </w:pPr>
      <w:r>
        <w:rPr>
          <w:rFonts w:ascii="Arial" w:eastAsia="Arial" w:hAnsi="Arial" w:cs="Arial"/>
          <w:sz w:val="24"/>
          <w:szCs w:val="24"/>
        </w:rPr>
        <w:t xml:space="preserve">         </w:t>
      </w:r>
      <w:r>
        <w:rPr>
          <w:rFonts w:ascii="Arial" w:eastAsia="Arial" w:hAnsi="Arial" w:cs="Arial"/>
          <w:sz w:val="24"/>
          <w:szCs w:val="24"/>
          <w:vertAlign w:val="superscript"/>
        </w:rPr>
        <w:t>2</w:t>
      </w:r>
      <w:r w:rsidRPr="00D07152">
        <w:rPr>
          <w:rFonts w:ascii="Arial" w:eastAsia="Arial" w:hAnsi="Arial" w:cs="Arial"/>
          <w:sz w:val="24"/>
          <w:szCs w:val="24"/>
        </w:rPr>
        <w:t xml:space="preserve">Division of Rare Diseases Research Innovation, National Center for Advancing Translational </w:t>
      </w:r>
      <w:r>
        <w:rPr>
          <w:rFonts w:ascii="Arial" w:eastAsia="Arial" w:hAnsi="Arial" w:cs="Arial"/>
          <w:sz w:val="24"/>
          <w:szCs w:val="24"/>
        </w:rPr>
        <w:t xml:space="preserve">   </w:t>
      </w:r>
    </w:p>
    <w:p w14:paraId="7E4F5866" w14:textId="77777777" w:rsidR="003F28CF" w:rsidRDefault="003F28CF" w:rsidP="003F28CF">
      <w:pPr>
        <w:tabs>
          <w:tab w:val="left" w:pos="1455"/>
        </w:tabs>
        <w:spacing w:after="0"/>
        <w:rPr>
          <w:rFonts w:ascii="Arial" w:eastAsia="Arial" w:hAnsi="Arial" w:cs="Arial"/>
          <w:sz w:val="24"/>
          <w:szCs w:val="24"/>
        </w:rPr>
      </w:pPr>
      <w:r>
        <w:rPr>
          <w:rFonts w:ascii="Arial" w:eastAsia="Arial" w:hAnsi="Arial" w:cs="Arial"/>
          <w:sz w:val="24"/>
          <w:szCs w:val="24"/>
        </w:rPr>
        <w:t xml:space="preserve">          </w:t>
      </w:r>
      <w:r w:rsidRPr="00D07152">
        <w:rPr>
          <w:rFonts w:ascii="Arial" w:eastAsia="Arial" w:hAnsi="Arial" w:cs="Arial"/>
          <w:sz w:val="24"/>
          <w:szCs w:val="24"/>
        </w:rPr>
        <w:t>Sciences (NCATS), National Institutes of Health, Bethesda, MD 20892, USA.</w:t>
      </w:r>
    </w:p>
    <w:p w14:paraId="44FF471B" w14:textId="77777777" w:rsidR="003F28CF" w:rsidRDefault="003F28CF" w:rsidP="003F28CF">
      <w:pPr>
        <w:tabs>
          <w:tab w:val="left" w:pos="1455"/>
        </w:tabs>
        <w:spacing w:after="0"/>
        <w:jc w:val="center"/>
        <w:rPr>
          <w:rFonts w:ascii="Arial" w:eastAsia="Arial" w:hAnsi="Arial" w:cs="Arial"/>
          <w:sz w:val="24"/>
          <w:szCs w:val="24"/>
        </w:rPr>
      </w:pPr>
      <w:r>
        <w:rPr>
          <w:rFonts w:ascii="Arial" w:eastAsia="Arial" w:hAnsi="Arial" w:cs="Arial"/>
          <w:sz w:val="24"/>
          <w:szCs w:val="24"/>
          <w:vertAlign w:val="superscript"/>
        </w:rPr>
        <w:t xml:space="preserve">     3</w:t>
      </w:r>
      <w:r>
        <w:rPr>
          <w:rFonts w:ascii="Arial" w:eastAsia="Arial" w:hAnsi="Arial" w:cs="Arial"/>
          <w:sz w:val="24"/>
          <w:szCs w:val="24"/>
        </w:rPr>
        <w:t>Precision Health Informatics Section, National Human Genome Research Institute, National Institutes of Health, Bethesda, MD, 20814</w:t>
      </w:r>
    </w:p>
    <w:p w14:paraId="2295FA88" w14:textId="77777777" w:rsidR="00DF34E5" w:rsidRDefault="00DF34E5"/>
    <w:p w14:paraId="6EB8FDBC" w14:textId="77777777" w:rsidR="00DF34E5" w:rsidRDefault="00DF34E5"/>
    <w:p w14:paraId="49EAF654" w14:textId="77777777" w:rsidR="00DF34E5" w:rsidRDefault="00000000">
      <w:pPr>
        <w:jc w:val="both"/>
        <w:rPr>
          <w:rFonts w:ascii="Arial" w:eastAsia="Arial" w:hAnsi="Arial" w:cs="Arial"/>
          <w:b/>
          <w:sz w:val="24"/>
          <w:szCs w:val="24"/>
        </w:rPr>
      </w:pPr>
      <w:r>
        <w:rPr>
          <w:rFonts w:ascii="Arial" w:eastAsia="Arial" w:hAnsi="Arial" w:cs="Arial"/>
          <w:b/>
          <w:sz w:val="24"/>
          <w:szCs w:val="24"/>
        </w:rPr>
        <w:t>Method (mapping rare disease patients in EHR systems):</w:t>
      </w:r>
    </w:p>
    <w:p w14:paraId="55F8D70C" w14:textId="77777777" w:rsidR="00DF34E5" w:rsidRDefault="00000000">
      <w:pPr>
        <w:jc w:val="both"/>
        <w:rPr>
          <w:rFonts w:ascii="Arial" w:eastAsia="Arial" w:hAnsi="Arial" w:cs="Arial"/>
          <w:color w:val="000000"/>
          <w:sz w:val="24"/>
          <w:szCs w:val="24"/>
        </w:rPr>
      </w:pPr>
      <w:r>
        <w:rPr>
          <w:rFonts w:ascii="Arial" w:eastAsia="Arial" w:hAnsi="Arial" w:cs="Arial"/>
          <w:sz w:val="24"/>
          <w:szCs w:val="24"/>
        </w:rPr>
        <w:t>We constructed a cohort of COVID-19 infected individuals that had a rare disease (RDs) diagnosis prior to COVID-19 infection (</w:t>
      </w:r>
      <w:r>
        <w:rPr>
          <w:rFonts w:ascii="Arial" w:eastAsia="Arial" w:hAnsi="Arial" w:cs="Arial"/>
          <w:b/>
          <w:sz w:val="24"/>
          <w:szCs w:val="24"/>
        </w:rPr>
        <w:t>Supplementary Figure 2</w:t>
      </w:r>
      <w:r>
        <w:rPr>
          <w:rFonts w:ascii="Arial" w:eastAsia="Arial" w:hAnsi="Arial" w:cs="Arial"/>
          <w:sz w:val="24"/>
          <w:szCs w:val="24"/>
        </w:rPr>
        <w:t xml:space="preserve">). To accomplish this, we created a curated list of unique rare diseases, defined by 12,003 GARD IDs. These GARD IDs were mapped with </w:t>
      </w:r>
      <w:r>
        <w:rPr>
          <w:rFonts w:ascii="Arial" w:eastAsia="Arial" w:hAnsi="Arial" w:cs="Arial"/>
          <w:color w:val="000000"/>
          <w:sz w:val="24"/>
          <w:szCs w:val="24"/>
        </w:rPr>
        <w:t>ORPHANET (July 2023 version) which mapped 9,369 rare diseases with GARD IDs and 2,</w:t>
      </w:r>
      <w:r>
        <w:rPr>
          <w:rFonts w:ascii="Arial" w:eastAsia="Arial" w:hAnsi="Arial" w:cs="Arial"/>
          <w:sz w:val="24"/>
          <w:szCs w:val="24"/>
        </w:rPr>
        <w:t>634</w:t>
      </w:r>
      <w:r>
        <w:rPr>
          <w:rFonts w:ascii="Arial" w:eastAsia="Arial" w:hAnsi="Arial" w:cs="Arial"/>
          <w:color w:val="000000"/>
          <w:sz w:val="24"/>
          <w:szCs w:val="24"/>
        </w:rPr>
        <w:t xml:space="preserve"> GARD IDs excluded due to no mapping to ORPHANET.  Of the 9,369 GARD IDs mapping to ORPHANET, were represented by 6,55</w:t>
      </w:r>
      <w:r>
        <w:rPr>
          <w:rFonts w:ascii="Arial" w:eastAsia="Arial" w:hAnsi="Arial" w:cs="Arial"/>
          <w:sz w:val="24"/>
          <w:szCs w:val="24"/>
        </w:rPr>
        <w:t>3</w:t>
      </w:r>
      <w:r>
        <w:rPr>
          <w:rFonts w:ascii="Arial" w:eastAsia="Arial" w:hAnsi="Arial" w:cs="Arial"/>
          <w:color w:val="000000"/>
          <w:sz w:val="24"/>
          <w:szCs w:val="24"/>
        </w:rPr>
        <w:t xml:space="preserve"> SNOMED-CT and 5</w:t>
      </w:r>
      <w:r>
        <w:rPr>
          <w:rFonts w:ascii="Arial" w:eastAsia="Arial" w:hAnsi="Arial" w:cs="Arial"/>
          <w:sz w:val="24"/>
          <w:szCs w:val="24"/>
        </w:rPr>
        <w:t>64</w:t>
      </w:r>
      <w:r>
        <w:rPr>
          <w:rFonts w:ascii="Arial" w:eastAsia="Arial" w:hAnsi="Arial" w:cs="Arial"/>
          <w:color w:val="000000"/>
          <w:sz w:val="24"/>
          <w:szCs w:val="24"/>
        </w:rPr>
        <w:t xml:space="preserve"> ICD-10 codes.  We note that </w:t>
      </w:r>
      <w:r>
        <w:rPr>
          <w:rFonts w:ascii="Arial" w:eastAsia="Arial" w:hAnsi="Arial" w:cs="Arial"/>
          <w:sz w:val="24"/>
          <w:szCs w:val="24"/>
        </w:rPr>
        <w:t xml:space="preserve">ICD-10 codes represent single diseases with no </w:t>
      </w:r>
      <w:r w:rsidR="003B39CE">
        <w:rPr>
          <w:rFonts w:ascii="Arial" w:eastAsia="Arial" w:hAnsi="Arial" w:cs="Arial"/>
          <w:sz w:val="24"/>
          <w:szCs w:val="24"/>
        </w:rPr>
        <w:t>descendants</w:t>
      </w:r>
      <w:r>
        <w:rPr>
          <w:rFonts w:ascii="Arial" w:eastAsia="Arial" w:hAnsi="Arial" w:cs="Arial"/>
          <w:sz w:val="24"/>
          <w:szCs w:val="24"/>
        </w:rPr>
        <w:t xml:space="preserve">.  </w:t>
      </w:r>
    </w:p>
    <w:p w14:paraId="465EBBBB" w14:textId="77777777" w:rsidR="00DF34E5" w:rsidRDefault="00000000">
      <w:pPr>
        <w:jc w:val="both"/>
        <w:rPr>
          <w:rFonts w:ascii="Arial" w:eastAsia="Arial" w:hAnsi="Arial" w:cs="Arial"/>
          <w:color w:val="000000"/>
          <w:sz w:val="24"/>
          <w:szCs w:val="24"/>
        </w:rPr>
      </w:pPr>
      <w:r>
        <w:rPr>
          <w:rFonts w:ascii="Arial" w:eastAsia="Arial" w:hAnsi="Arial" w:cs="Arial"/>
          <w:color w:val="000000"/>
          <w:sz w:val="24"/>
          <w:szCs w:val="24"/>
        </w:rPr>
        <w:t xml:space="preserve">The remaining GARD IDs were subject to a series of exclusion criteria and filters: </w:t>
      </w:r>
    </w:p>
    <w:p w14:paraId="3B54BCA4" w14:textId="77777777" w:rsidR="00DF34E5" w:rsidRDefault="00000000">
      <w:pPr>
        <w:numPr>
          <w:ilvl w:val="0"/>
          <w:numId w:val="1"/>
        </w:numPr>
        <w:pBdr>
          <w:top w:val="nil"/>
          <w:left w:val="nil"/>
          <w:bottom w:val="nil"/>
          <w:right w:val="nil"/>
          <w:between w:val="nil"/>
        </w:pBdr>
        <w:spacing w:after="0"/>
        <w:jc w:val="both"/>
        <w:rPr>
          <w:rFonts w:ascii="Arial" w:eastAsia="Arial" w:hAnsi="Arial" w:cs="Arial"/>
          <w:color w:val="000000"/>
          <w:sz w:val="24"/>
          <w:szCs w:val="24"/>
        </w:rPr>
      </w:pPr>
      <w:r>
        <w:rPr>
          <w:rFonts w:ascii="Arial" w:eastAsia="Arial" w:hAnsi="Arial" w:cs="Arial"/>
          <w:color w:val="000000"/>
          <w:sz w:val="24"/>
          <w:szCs w:val="24"/>
        </w:rPr>
        <w:t>Groups of disorder exclusion: 6,55</w:t>
      </w:r>
      <w:r>
        <w:rPr>
          <w:rFonts w:ascii="Arial" w:eastAsia="Arial" w:hAnsi="Arial" w:cs="Arial"/>
          <w:sz w:val="24"/>
          <w:szCs w:val="24"/>
        </w:rPr>
        <w:t>3</w:t>
      </w:r>
      <w:r>
        <w:rPr>
          <w:rFonts w:ascii="Arial" w:eastAsia="Arial" w:hAnsi="Arial" w:cs="Arial"/>
          <w:color w:val="000000"/>
          <w:sz w:val="24"/>
          <w:szCs w:val="24"/>
        </w:rPr>
        <w:t xml:space="preserve"> rare diseases mapped from ORPHANET to SNOEMD-CT and 575 rare diseases mapped from ORPHANET to ICD-10 codes. There </w:t>
      </w:r>
      <w:r w:rsidR="003B39CE">
        <w:rPr>
          <w:rFonts w:ascii="Arial" w:eastAsia="Arial" w:hAnsi="Arial" w:cs="Arial"/>
          <w:sz w:val="24"/>
          <w:szCs w:val="24"/>
        </w:rPr>
        <w:t>is</w:t>
      </w:r>
      <w:r>
        <w:rPr>
          <w:rFonts w:ascii="Arial" w:eastAsia="Arial" w:hAnsi="Arial" w:cs="Arial"/>
          <w:sz w:val="24"/>
          <w:szCs w:val="24"/>
        </w:rPr>
        <w:t xml:space="preserve"> 226</w:t>
      </w:r>
      <w:r>
        <w:rPr>
          <w:rFonts w:ascii="Arial" w:eastAsia="Arial" w:hAnsi="Arial" w:cs="Arial"/>
          <w:color w:val="000000"/>
          <w:sz w:val="24"/>
          <w:szCs w:val="24"/>
        </w:rPr>
        <w:t xml:space="preserve"> SNOMED-CT RDs excluded and 101 ICD-10 RDs excluded due to the group of disorders</w:t>
      </w:r>
      <w:r>
        <w:rPr>
          <w:rFonts w:ascii="Arial" w:eastAsia="Arial" w:hAnsi="Arial" w:cs="Arial"/>
          <w:sz w:val="24"/>
          <w:szCs w:val="24"/>
        </w:rPr>
        <w:t xml:space="preserve"> which results in 6,327 SNOMED-CT codes and 463 ICD-10 codes.</w:t>
      </w:r>
    </w:p>
    <w:p w14:paraId="3CD5B2E6" w14:textId="77777777" w:rsidR="00DF34E5" w:rsidRDefault="00DF34E5">
      <w:pPr>
        <w:pBdr>
          <w:top w:val="nil"/>
          <w:left w:val="nil"/>
          <w:bottom w:val="nil"/>
          <w:right w:val="nil"/>
          <w:between w:val="nil"/>
        </w:pBdr>
        <w:spacing w:after="0"/>
        <w:ind w:left="720"/>
        <w:rPr>
          <w:rFonts w:ascii="Arial" w:eastAsia="Arial" w:hAnsi="Arial" w:cs="Arial"/>
          <w:color w:val="000000"/>
          <w:sz w:val="24"/>
          <w:szCs w:val="24"/>
        </w:rPr>
      </w:pPr>
    </w:p>
    <w:p w14:paraId="6D3CFACB" w14:textId="77777777" w:rsidR="00DF34E5" w:rsidRDefault="00000000">
      <w:pPr>
        <w:numPr>
          <w:ilvl w:val="0"/>
          <w:numId w:val="1"/>
        </w:numPr>
        <w:pBdr>
          <w:top w:val="nil"/>
          <w:left w:val="nil"/>
          <w:bottom w:val="nil"/>
          <w:right w:val="nil"/>
          <w:between w:val="nil"/>
        </w:pBdr>
        <w:spacing w:after="0"/>
        <w:jc w:val="both"/>
        <w:rPr>
          <w:rFonts w:ascii="Arial" w:eastAsia="Arial" w:hAnsi="Arial" w:cs="Arial"/>
          <w:color w:val="000000"/>
          <w:sz w:val="24"/>
          <w:szCs w:val="24"/>
        </w:rPr>
      </w:pPr>
      <w:r>
        <w:rPr>
          <w:rFonts w:ascii="Arial" w:eastAsia="Arial" w:hAnsi="Arial" w:cs="Arial"/>
          <w:color w:val="000000"/>
          <w:sz w:val="24"/>
          <w:szCs w:val="24"/>
        </w:rPr>
        <w:t>SNOMED-CT mapping to OHDSI: 6,327 RDs with SNOMED-CT codes mapped to OHDSI atlas which brought a total of 1</w:t>
      </w:r>
      <w:r>
        <w:rPr>
          <w:rFonts w:ascii="Arial" w:eastAsia="Arial" w:hAnsi="Arial" w:cs="Arial"/>
          <w:sz w:val="24"/>
          <w:szCs w:val="24"/>
        </w:rPr>
        <w:t>2</w:t>
      </w:r>
      <w:r>
        <w:rPr>
          <w:rFonts w:ascii="Arial" w:eastAsia="Arial" w:hAnsi="Arial" w:cs="Arial"/>
          <w:color w:val="000000"/>
          <w:sz w:val="24"/>
          <w:szCs w:val="24"/>
        </w:rPr>
        <w:t>,</w:t>
      </w:r>
      <w:r>
        <w:rPr>
          <w:rFonts w:ascii="Arial" w:eastAsia="Arial" w:hAnsi="Arial" w:cs="Arial"/>
          <w:sz w:val="24"/>
          <w:szCs w:val="24"/>
        </w:rPr>
        <w:t>569</w:t>
      </w:r>
      <w:r>
        <w:rPr>
          <w:rFonts w:ascii="Arial" w:eastAsia="Arial" w:hAnsi="Arial" w:cs="Arial"/>
          <w:color w:val="000000"/>
          <w:sz w:val="24"/>
          <w:szCs w:val="24"/>
        </w:rPr>
        <w:t xml:space="preserve"> descendent concept ids along with parent disease node with </w:t>
      </w:r>
      <w:r>
        <w:rPr>
          <w:rFonts w:ascii="Arial" w:eastAsia="Arial" w:hAnsi="Arial" w:cs="Arial"/>
          <w:sz w:val="24"/>
          <w:szCs w:val="24"/>
        </w:rPr>
        <w:t>v</w:t>
      </w:r>
      <w:r>
        <w:rPr>
          <w:rFonts w:ascii="Arial" w:eastAsia="Arial" w:hAnsi="Arial" w:cs="Arial"/>
          <w:color w:val="000000"/>
          <w:sz w:val="24"/>
          <w:szCs w:val="24"/>
        </w:rPr>
        <w:t xml:space="preserve">ocabulary: SNOMED and domain: Condition </w:t>
      </w:r>
      <w:r>
        <w:rPr>
          <w:rFonts w:ascii="Arial" w:eastAsia="Arial" w:hAnsi="Arial" w:cs="Arial"/>
          <w:sz w:val="24"/>
          <w:szCs w:val="24"/>
        </w:rPr>
        <w:t>criteria</w:t>
      </w:r>
      <w:r>
        <w:rPr>
          <w:rFonts w:ascii="Arial" w:eastAsia="Arial" w:hAnsi="Arial" w:cs="Arial"/>
          <w:color w:val="000000"/>
          <w:sz w:val="24"/>
          <w:szCs w:val="24"/>
        </w:rPr>
        <w:t xml:space="preserve">. </w:t>
      </w:r>
    </w:p>
    <w:p w14:paraId="576E2466" w14:textId="77777777" w:rsidR="00DF34E5" w:rsidRDefault="00DF34E5">
      <w:pPr>
        <w:pBdr>
          <w:top w:val="nil"/>
          <w:left w:val="nil"/>
          <w:bottom w:val="nil"/>
          <w:right w:val="nil"/>
          <w:between w:val="nil"/>
        </w:pBdr>
        <w:spacing w:after="0"/>
        <w:ind w:left="720"/>
        <w:jc w:val="both"/>
        <w:rPr>
          <w:rFonts w:ascii="Arial" w:eastAsia="Arial" w:hAnsi="Arial" w:cs="Arial"/>
          <w:color w:val="000000"/>
          <w:sz w:val="24"/>
          <w:szCs w:val="24"/>
        </w:rPr>
      </w:pPr>
    </w:p>
    <w:p w14:paraId="37773133" w14:textId="77777777" w:rsidR="00DF34E5" w:rsidRDefault="00000000">
      <w:pPr>
        <w:numPr>
          <w:ilvl w:val="0"/>
          <w:numId w:val="1"/>
        </w:numPr>
        <w:pBdr>
          <w:top w:val="nil"/>
          <w:left w:val="nil"/>
          <w:bottom w:val="nil"/>
          <w:right w:val="nil"/>
          <w:between w:val="nil"/>
        </w:pBdr>
        <w:spacing w:after="0"/>
        <w:jc w:val="both"/>
        <w:rPr>
          <w:rFonts w:ascii="Arial" w:eastAsia="Arial" w:hAnsi="Arial" w:cs="Arial"/>
          <w:color w:val="000000"/>
          <w:sz w:val="24"/>
          <w:szCs w:val="24"/>
        </w:rPr>
      </w:pPr>
      <w:r>
        <w:rPr>
          <w:rFonts w:ascii="Arial" w:eastAsia="Arial" w:hAnsi="Arial" w:cs="Arial"/>
          <w:color w:val="000000"/>
          <w:sz w:val="24"/>
          <w:szCs w:val="24"/>
        </w:rPr>
        <w:t xml:space="preserve">Phenotype Filter: are associated with rare disease with descendent concepts phenotype mapping for SNOMED-CT and ICD-10 codes mapping with HPO. There are </w:t>
      </w:r>
      <w:r>
        <w:rPr>
          <w:rFonts w:ascii="Arial" w:eastAsia="Arial" w:hAnsi="Arial" w:cs="Arial"/>
          <w:sz w:val="24"/>
          <w:szCs w:val="24"/>
        </w:rPr>
        <w:t>10</w:t>
      </w:r>
      <w:r>
        <w:rPr>
          <w:rFonts w:ascii="Arial" w:eastAsia="Arial" w:hAnsi="Arial" w:cs="Arial"/>
          <w:color w:val="000000"/>
          <w:sz w:val="24"/>
          <w:szCs w:val="24"/>
        </w:rPr>
        <w:t xml:space="preserve">6 ICD-10 </w:t>
      </w:r>
      <w:r w:rsidR="003B39CE">
        <w:rPr>
          <w:rFonts w:ascii="Arial" w:eastAsia="Arial" w:hAnsi="Arial" w:cs="Arial"/>
          <w:color w:val="000000"/>
          <w:sz w:val="24"/>
          <w:szCs w:val="24"/>
        </w:rPr>
        <w:t>codes,</w:t>
      </w:r>
      <w:r>
        <w:rPr>
          <w:rFonts w:ascii="Arial" w:eastAsia="Arial" w:hAnsi="Arial" w:cs="Arial"/>
          <w:color w:val="000000"/>
          <w:sz w:val="24"/>
          <w:szCs w:val="24"/>
        </w:rPr>
        <w:t xml:space="preserve"> and 4</w:t>
      </w:r>
      <w:r>
        <w:rPr>
          <w:rFonts w:ascii="Arial" w:eastAsia="Arial" w:hAnsi="Arial" w:cs="Arial"/>
          <w:sz w:val="24"/>
          <w:szCs w:val="24"/>
        </w:rPr>
        <w:t>8</w:t>
      </w:r>
      <w:r>
        <w:rPr>
          <w:rFonts w:ascii="Arial" w:eastAsia="Arial" w:hAnsi="Arial" w:cs="Arial"/>
          <w:color w:val="000000"/>
          <w:sz w:val="24"/>
          <w:szCs w:val="24"/>
        </w:rPr>
        <w:t>8 SNOMED-CT codes excluded due to phenotype mapping. Now remaining diseases with ICD-10/SNOMED-CT codes mapped at N3C enclave. Fi</w:t>
      </w:r>
      <w:r>
        <w:rPr>
          <w:rFonts w:ascii="Arial" w:eastAsia="Arial" w:hAnsi="Arial" w:cs="Arial"/>
          <w:sz w:val="24"/>
          <w:szCs w:val="24"/>
        </w:rPr>
        <w:t xml:space="preserve">nally, 12,081 SNOMED-CT codes and 357 ICD-10 codes for further classification </w:t>
      </w:r>
      <w:r>
        <w:rPr>
          <w:rFonts w:ascii="Arial" w:eastAsia="Arial" w:hAnsi="Arial" w:cs="Arial"/>
          <w:b/>
          <w:sz w:val="24"/>
          <w:szCs w:val="24"/>
        </w:rPr>
        <w:t>(Figure2)</w:t>
      </w:r>
      <w:r>
        <w:rPr>
          <w:rFonts w:ascii="Arial" w:eastAsia="Arial" w:hAnsi="Arial" w:cs="Arial"/>
          <w:sz w:val="24"/>
          <w:szCs w:val="24"/>
        </w:rPr>
        <w:t>.</w:t>
      </w:r>
    </w:p>
    <w:p w14:paraId="72A74AB0" w14:textId="77777777" w:rsidR="00DF34E5" w:rsidRDefault="00DF34E5">
      <w:pPr>
        <w:pBdr>
          <w:top w:val="nil"/>
          <w:left w:val="nil"/>
          <w:bottom w:val="nil"/>
          <w:right w:val="nil"/>
          <w:between w:val="nil"/>
        </w:pBdr>
        <w:spacing w:after="0"/>
        <w:ind w:left="720"/>
        <w:jc w:val="both"/>
        <w:rPr>
          <w:rFonts w:ascii="Arial" w:eastAsia="Arial" w:hAnsi="Arial" w:cs="Arial"/>
          <w:sz w:val="24"/>
          <w:szCs w:val="24"/>
        </w:rPr>
      </w:pPr>
    </w:p>
    <w:p w14:paraId="16E947FD" w14:textId="7EF7CE37" w:rsidR="00DF34E5" w:rsidRDefault="00000000">
      <w:pPr>
        <w:numPr>
          <w:ilvl w:val="0"/>
          <w:numId w:val="1"/>
        </w:numPr>
        <w:pBdr>
          <w:top w:val="nil"/>
          <w:left w:val="nil"/>
          <w:bottom w:val="nil"/>
          <w:right w:val="nil"/>
          <w:between w:val="nil"/>
        </w:pBdr>
        <w:spacing w:after="0"/>
        <w:jc w:val="both"/>
        <w:rPr>
          <w:rFonts w:ascii="Arial" w:eastAsia="Arial" w:hAnsi="Arial" w:cs="Arial"/>
          <w:sz w:val="24"/>
          <w:szCs w:val="24"/>
        </w:rPr>
      </w:pPr>
      <w:r>
        <w:rPr>
          <w:rFonts w:ascii="Arial" w:eastAsia="Arial" w:hAnsi="Arial" w:cs="Arial"/>
          <w:sz w:val="24"/>
          <w:szCs w:val="24"/>
        </w:rPr>
        <w:t>Orphanet Linearization: To avoid the principle of polyhierarchy, rare diseases in the Orphanet database are sorted by medical specialty, ensuring that each disease belongs to only one specialty. We created rare disease classes based on ORPHANET linearization which classified rare diseases into 30 rare disease classes (</w:t>
      </w:r>
      <w:r>
        <w:rPr>
          <w:rFonts w:ascii="Arial" w:eastAsia="Arial" w:hAnsi="Arial" w:cs="Arial"/>
          <w:b/>
          <w:sz w:val="24"/>
          <w:szCs w:val="24"/>
        </w:rPr>
        <w:t xml:space="preserve">Supplementary </w:t>
      </w:r>
      <w:r w:rsidR="00962DFB">
        <w:rPr>
          <w:rFonts w:ascii="Arial" w:eastAsia="Arial" w:hAnsi="Arial" w:cs="Arial"/>
          <w:b/>
          <w:sz w:val="24"/>
          <w:szCs w:val="24"/>
        </w:rPr>
        <w:t>Table</w:t>
      </w:r>
      <w:r>
        <w:rPr>
          <w:rFonts w:ascii="Arial" w:eastAsia="Arial" w:hAnsi="Arial" w:cs="Arial"/>
          <w:b/>
          <w:sz w:val="24"/>
          <w:szCs w:val="24"/>
        </w:rPr>
        <w:t xml:space="preserve"> 4</w:t>
      </w:r>
      <w:r>
        <w:rPr>
          <w:rFonts w:ascii="Arial" w:eastAsia="Arial" w:hAnsi="Arial" w:cs="Arial"/>
          <w:sz w:val="24"/>
          <w:szCs w:val="24"/>
        </w:rPr>
        <w:t>). Each rare disease class follows the same mapping flow which is described in flow diagram figure (</w:t>
      </w:r>
      <w:r>
        <w:rPr>
          <w:rFonts w:ascii="Arial" w:eastAsia="Arial" w:hAnsi="Arial" w:cs="Arial"/>
          <w:b/>
          <w:sz w:val="24"/>
          <w:szCs w:val="24"/>
        </w:rPr>
        <w:t>Figure2</w:t>
      </w:r>
      <w:r>
        <w:rPr>
          <w:rFonts w:ascii="Arial" w:eastAsia="Arial" w:hAnsi="Arial" w:cs="Arial"/>
          <w:sz w:val="24"/>
          <w:szCs w:val="24"/>
        </w:rPr>
        <w:t>) to get final concept IDs based on ICD-10 code and/or SNOMED-CT codes. Each rare disease with GARD IDs and ORPHACode mapped with SNOMED-CT /ICD-10 codes are linearized into 30 classes (listed in (</w:t>
      </w:r>
      <w:r>
        <w:rPr>
          <w:rFonts w:ascii="Arial" w:eastAsia="Arial" w:hAnsi="Arial" w:cs="Arial"/>
          <w:b/>
          <w:sz w:val="24"/>
          <w:szCs w:val="24"/>
        </w:rPr>
        <w:t>Supplementary Table 2 &amp; 3</w:t>
      </w:r>
      <w:r w:rsidR="003B39CE">
        <w:rPr>
          <w:rFonts w:ascii="Arial" w:eastAsia="Arial" w:hAnsi="Arial" w:cs="Arial"/>
          <w:sz w:val="24"/>
          <w:szCs w:val="24"/>
        </w:rPr>
        <w:t>). Rare</w:t>
      </w:r>
      <w:r>
        <w:rPr>
          <w:rFonts w:ascii="Arial" w:eastAsia="Arial" w:hAnsi="Arial" w:cs="Arial"/>
          <w:sz w:val="24"/>
          <w:szCs w:val="24"/>
        </w:rPr>
        <w:t xml:space="preserve"> genetic disease (ORPHA98053) must not be used as a linearization parent. When a disease is included in multiple classifications corresponding to various medical specialties, </w:t>
      </w:r>
      <w:r w:rsidR="003B39CE">
        <w:rPr>
          <w:rFonts w:ascii="Arial" w:eastAsia="Arial" w:hAnsi="Arial" w:cs="Arial"/>
          <w:sz w:val="24"/>
          <w:szCs w:val="24"/>
        </w:rPr>
        <w:t>priority</w:t>
      </w:r>
      <w:r>
        <w:rPr>
          <w:rFonts w:ascii="Arial" w:eastAsia="Arial" w:hAnsi="Arial" w:cs="Arial"/>
          <w:sz w:val="24"/>
          <w:szCs w:val="24"/>
        </w:rPr>
        <w:t xml:space="preserve"> is given to the specialty:</w:t>
      </w:r>
    </w:p>
    <w:p w14:paraId="0E7B66BE" w14:textId="77777777" w:rsidR="00DF34E5" w:rsidRDefault="00000000">
      <w:pPr>
        <w:numPr>
          <w:ilvl w:val="0"/>
          <w:numId w:val="2"/>
        </w:numPr>
        <w:spacing w:after="0"/>
        <w:jc w:val="both"/>
        <w:rPr>
          <w:rFonts w:ascii="Arial" w:eastAsia="Arial" w:hAnsi="Arial" w:cs="Arial"/>
          <w:sz w:val="24"/>
          <w:szCs w:val="24"/>
        </w:rPr>
      </w:pPr>
      <w:r>
        <w:rPr>
          <w:rFonts w:ascii="Arial" w:eastAsia="Arial" w:hAnsi="Arial" w:cs="Arial"/>
          <w:sz w:val="24"/>
          <w:szCs w:val="24"/>
        </w:rPr>
        <w:lastRenderedPageBreak/>
        <w:t>corresponding to the most severely affected body system.</w:t>
      </w:r>
    </w:p>
    <w:p w14:paraId="2F21327C" w14:textId="77777777" w:rsidR="00DF34E5" w:rsidRDefault="00000000">
      <w:pPr>
        <w:numPr>
          <w:ilvl w:val="0"/>
          <w:numId w:val="2"/>
        </w:numPr>
        <w:spacing w:after="0"/>
        <w:jc w:val="both"/>
        <w:rPr>
          <w:rFonts w:ascii="Arial" w:eastAsia="Arial" w:hAnsi="Arial" w:cs="Arial"/>
          <w:sz w:val="24"/>
          <w:szCs w:val="24"/>
        </w:rPr>
      </w:pPr>
      <w:r>
        <w:rPr>
          <w:rFonts w:ascii="Arial" w:eastAsia="Arial" w:hAnsi="Arial" w:cs="Arial"/>
          <w:sz w:val="24"/>
          <w:szCs w:val="24"/>
        </w:rPr>
        <w:t>corresponding with the most determining involvement for the prognosis.</w:t>
      </w:r>
    </w:p>
    <w:p w14:paraId="279A8003" w14:textId="77777777" w:rsidR="00DF34E5" w:rsidRDefault="00000000">
      <w:pPr>
        <w:numPr>
          <w:ilvl w:val="0"/>
          <w:numId w:val="2"/>
        </w:numPr>
        <w:spacing w:after="0"/>
        <w:jc w:val="both"/>
        <w:rPr>
          <w:rFonts w:ascii="Arial" w:eastAsia="Arial" w:hAnsi="Arial" w:cs="Arial"/>
          <w:sz w:val="24"/>
          <w:szCs w:val="24"/>
        </w:rPr>
      </w:pPr>
      <w:r>
        <w:rPr>
          <w:rFonts w:ascii="Arial" w:eastAsia="Arial" w:hAnsi="Arial" w:cs="Arial"/>
          <w:sz w:val="24"/>
          <w:szCs w:val="24"/>
        </w:rPr>
        <w:t>corresponding with the specialist most likely to be relied on for the management of the disease.</w:t>
      </w:r>
    </w:p>
    <w:p w14:paraId="6D2DB912" w14:textId="77777777" w:rsidR="00DF34E5" w:rsidRDefault="00DF34E5">
      <w:pPr>
        <w:spacing w:after="0"/>
        <w:ind w:left="720"/>
        <w:rPr>
          <w:rFonts w:ascii="Arial" w:eastAsia="Arial" w:hAnsi="Arial" w:cs="Arial"/>
          <w:sz w:val="24"/>
          <w:szCs w:val="24"/>
        </w:rPr>
      </w:pPr>
    </w:p>
    <w:p w14:paraId="0E21DA68" w14:textId="77777777" w:rsidR="00DF34E5" w:rsidRDefault="00000000">
      <w:pPr>
        <w:numPr>
          <w:ilvl w:val="0"/>
          <w:numId w:val="1"/>
        </w:numPr>
        <w:spacing w:after="0"/>
        <w:jc w:val="both"/>
        <w:rPr>
          <w:rFonts w:ascii="Arial" w:eastAsia="Arial" w:hAnsi="Arial" w:cs="Arial"/>
          <w:sz w:val="24"/>
          <w:szCs w:val="24"/>
        </w:rPr>
      </w:pPr>
      <w:r>
        <w:rPr>
          <w:rFonts w:ascii="Arial" w:eastAsia="Arial" w:hAnsi="Arial" w:cs="Arial"/>
          <w:sz w:val="24"/>
          <w:szCs w:val="24"/>
        </w:rPr>
        <w:t xml:space="preserve">Rare surgical cardiac disease and rare genetic disease class dropped due to no ICD-10 mapping and either no SNOMED-CT code or SNOMED-CT code mapped to phenotype filtering. Also, rare infertility </w:t>
      </w:r>
      <w:r w:rsidR="003B39CE">
        <w:rPr>
          <w:rFonts w:ascii="Arial" w:eastAsia="Arial" w:hAnsi="Arial" w:cs="Arial"/>
          <w:sz w:val="24"/>
          <w:szCs w:val="24"/>
        </w:rPr>
        <w:t>diseases have</w:t>
      </w:r>
      <w:r>
        <w:rPr>
          <w:rFonts w:ascii="Arial" w:eastAsia="Arial" w:hAnsi="Arial" w:cs="Arial"/>
          <w:sz w:val="24"/>
          <w:szCs w:val="24"/>
        </w:rPr>
        <w:t xml:space="preserve"> no patient mapping at N3C enclave. </w:t>
      </w:r>
    </w:p>
    <w:p w14:paraId="43C48CCA" w14:textId="77777777" w:rsidR="00DF34E5" w:rsidRDefault="00DF34E5">
      <w:pPr>
        <w:spacing w:after="0"/>
        <w:ind w:left="720"/>
        <w:jc w:val="both"/>
        <w:rPr>
          <w:rFonts w:ascii="Arial" w:eastAsia="Arial" w:hAnsi="Arial" w:cs="Arial"/>
          <w:sz w:val="24"/>
          <w:szCs w:val="24"/>
        </w:rPr>
      </w:pPr>
    </w:p>
    <w:p w14:paraId="665A0662" w14:textId="4AF157AA" w:rsidR="00DF34E5" w:rsidRDefault="00000000">
      <w:pPr>
        <w:numPr>
          <w:ilvl w:val="0"/>
          <w:numId w:val="1"/>
        </w:numPr>
        <w:spacing w:after="0"/>
        <w:jc w:val="both"/>
        <w:rPr>
          <w:rFonts w:ascii="Arial" w:eastAsia="Arial" w:hAnsi="Arial" w:cs="Arial"/>
          <w:sz w:val="24"/>
          <w:szCs w:val="24"/>
        </w:rPr>
      </w:pPr>
      <w:r>
        <w:rPr>
          <w:rFonts w:ascii="Arial" w:eastAsia="Arial" w:hAnsi="Arial" w:cs="Arial"/>
          <w:sz w:val="24"/>
          <w:szCs w:val="24"/>
        </w:rPr>
        <w:t>Four rare disease classes 1) “rare disease due to toxic affect” removed because concepts under this class were associated with uncommon toxic exposures (e.g., Cyanide, Snake Venom etc.). 2) rare transplantation disease, are directly a comorbidity or complication of having had transplantation etc. 3) “rare odontologic disease” (37 patients) with no mortality; 4)</w:t>
      </w:r>
      <w:r w:rsidR="00962DFB">
        <w:rPr>
          <w:rFonts w:ascii="Arial" w:eastAsia="Arial" w:hAnsi="Arial" w:cs="Arial"/>
          <w:sz w:val="24"/>
          <w:szCs w:val="24"/>
        </w:rPr>
        <w:t xml:space="preserve"> </w:t>
      </w:r>
      <w:r>
        <w:rPr>
          <w:rFonts w:ascii="Arial" w:eastAsia="Arial" w:hAnsi="Arial" w:cs="Arial"/>
          <w:sz w:val="24"/>
          <w:szCs w:val="24"/>
        </w:rPr>
        <w:t xml:space="preserve">“rare abdominal surgical diseases” (4 </w:t>
      </w:r>
      <w:r w:rsidR="00962DFB">
        <w:rPr>
          <w:rFonts w:ascii="Arial" w:eastAsia="Arial" w:hAnsi="Arial" w:cs="Arial"/>
          <w:sz w:val="24"/>
          <w:szCs w:val="24"/>
        </w:rPr>
        <w:t>patients) with</w:t>
      </w:r>
      <w:r>
        <w:rPr>
          <w:rFonts w:ascii="Arial" w:eastAsia="Arial" w:hAnsi="Arial" w:cs="Arial"/>
          <w:sz w:val="24"/>
          <w:szCs w:val="24"/>
        </w:rPr>
        <w:t xml:space="preserve"> no mortality. </w:t>
      </w:r>
      <w:r w:rsidR="00962DFB">
        <w:rPr>
          <w:rFonts w:ascii="Arial" w:eastAsia="Arial" w:hAnsi="Arial" w:cs="Arial"/>
          <w:sz w:val="24"/>
          <w:szCs w:val="24"/>
        </w:rPr>
        <w:t>So,</w:t>
      </w:r>
      <w:r>
        <w:rPr>
          <w:rFonts w:ascii="Arial" w:eastAsia="Arial" w:hAnsi="Arial" w:cs="Arial"/>
          <w:sz w:val="24"/>
          <w:szCs w:val="24"/>
        </w:rPr>
        <w:t xml:space="preserve"> </w:t>
      </w:r>
      <w:r w:rsidR="003B39CE">
        <w:rPr>
          <w:rFonts w:ascii="Arial" w:eastAsia="Arial" w:hAnsi="Arial" w:cs="Arial"/>
          <w:sz w:val="24"/>
          <w:szCs w:val="24"/>
        </w:rPr>
        <w:t>a total of</w:t>
      </w:r>
      <w:r>
        <w:rPr>
          <w:rFonts w:ascii="Arial" w:eastAsia="Arial" w:hAnsi="Arial" w:cs="Arial"/>
          <w:sz w:val="24"/>
          <w:szCs w:val="24"/>
        </w:rPr>
        <w:t xml:space="preserve"> seven rare disease classes were not considered for further study out of 30 classes.</w:t>
      </w:r>
    </w:p>
    <w:p w14:paraId="26B3D81C" w14:textId="77777777" w:rsidR="00DF34E5" w:rsidRDefault="00DF34E5">
      <w:pPr>
        <w:spacing w:after="0"/>
        <w:ind w:left="720"/>
        <w:rPr>
          <w:rFonts w:ascii="Arial" w:eastAsia="Arial" w:hAnsi="Arial" w:cs="Arial"/>
          <w:sz w:val="24"/>
          <w:szCs w:val="24"/>
        </w:rPr>
      </w:pPr>
    </w:p>
    <w:p w14:paraId="5C768356" w14:textId="77777777" w:rsidR="00DF34E5" w:rsidRDefault="00000000">
      <w:pPr>
        <w:numPr>
          <w:ilvl w:val="0"/>
          <w:numId w:val="1"/>
        </w:numPr>
        <w:spacing w:after="0"/>
        <w:jc w:val="both"/>
        <w:rPr>
          <w:rFonts w:ascii="Arial" w:eastAsia="Arial" w:hAnsi="Arial" w:cs="Arial"/>
          <w:sz w:val="24"/>
          <w:szCs w:val="24"/>
        </w:rPr>
      </w:pPr>
      <w:r>
        <w:rPr>
          <w:rFonts w:ascii="Arial" w:eastAsia="Arial" w:hAnsi="Arial" w:cs="Arial"/>
          <w:sz w:val="24"/>
          <w:szCs w:val="24"/>
        </w:rPr>
        <w:t>Finally, there are 23 rare disease classes considered for further study of COVID-19 positive cohorts with preexisting rare diseases.</w:t>
      </w:r>
    </w:p>
    <w:p w14:paraId="499959ED" w14:textId="77777777" w:rsidR="00DF34E5" w:rsidRDefault="00DF34E5">
      <w:pPr>
        <w:pBdr>
          <w:top w:val="nil"/>
          <w:left w:val="nil"/>
          <w:bottom w:val="nil"/>
          <w:right w:val="nil"/>
          <w:between w:val="nil"/>
        </w:pBdr>
        <w:spacing w:after="0"/>
        <w:ind w:left="720"/>
        <w:jc w:val="both"/>
        <w:rPr>
          <w:rFonts w:ascii="Arial" w:eastAsia="Arial" w:hAnsi="Arial" w:cs="Arial"/>
          <w:sz w:val="24"/>
          <w:szCs w:val="24"/>
        </w:rPr>
      </w:pPr>
    </w:p>
    <w:p w14:paraId="1B1BB137" w14:textId="77777777" w:rsidR="00DF34E5" w:rsidRDefault="00DF34E5">
      <w:pPr>
        <w:pBdr>
          <w:top w:val="nil"/>
          <w:left w:val="nil"/>
          <w:bottom w:val="nil"/>
          <w:right w:val="nil"/>
          <w:between w:val="nil"/>
        </w:pBdr>
        <w:spacing w:after="0"/>
        <w:ind w:left="720"/>
        <w:rPr>
          <w:rFonts w:ascii="Arial" w:eastAsia="Arial" w:hAnsi="Arial" w:cs="Arial"/>
          <w:color w:val="000000"/>
          <w:sz w:val="24"/>
          <w:szCs w:val="24"/>
        </w:rPr>
      </w:pPr>
    </w:p>
    <w:p w14:paraId="106A55D6" w14:textId="15EC3753" w:rsidR="00DF34E5" w:rsidRDefault="00000000">
      <w:pPr>
        <w:numPr>
          <w:ilvl w:val="0"/>
          <w:numId w:val="1"/>
        </w:numPr>
        <w:pBdr>
          <w:top w:val="nil"/>
          <w:left w:val="nil"/>
          <w:bottom w:val="nil"/>
          <w:right w:val="nil"/>
          <w:between w:val="nil"/>
        </w:pBdr>
        <w:spacing w:after="0"/>
        <w:jc w:val="both"/>
        <w:rPr>
          <w:rFonts w:ascii="Arial" w:eastAsia="Arial" w:hAnsi="Arial" w:cs="Arial"/>
          <w:color w:val="000000"/>
          <w:sz w:val="24"/>
          <w:szCs w:val="24"/>
        </w:rPr>
      </w:pPr>
      <w:r>
        <w:rPr>
          <w:rFonts w:ascii="Arial" w:eastAsia="Arial" w:hAnsi="Arial" w:cs="Arial"/>
          <w:color w:val="000000"/>
          <w:sz w:val="24"/>
          <w:szCs w:val="24"/>
        </w:rPr>
        <w:t xml:space="preserve">Incidence Filter: Is </w:t>
      </w:r>
      <w:sdt>
        <w:sdtPr>
          <w:tag w:val="goog_rdk_0"/>
          <w:id w:val="1190804975"/>
        </w:sdtPr>
        <w:sdtContent/>
      </w:sdt>
      <w:sdt>
        <w:sdtPr>
          <w:tag w:val="goog_rdk_1"/>
          <w:id w:val="1582874009"/>
        </w:sdtPr>
        <w:sdtContent/>
      </w:sdt>
      <w:r>
        <w:rPr>
          <w:rFonts w:ascii="Arial" w:eastAsia="Arial" w:hAnsi="Arial" w:cs="Arial"/>
          <w:color w:val="000000"/>
          <w:sz w:val="24"/>
          <w:szCs w:val="24"/>
        </w:rPr>
        <w:t xml:space="preserve">the incidence of each disease (with ICD-10 and/or SNOMED-CT) &gt; 6/10,000?  If not, then corresponding ICD-10 and SNOMED-CTs are retained.  If yes, then diseases are excluded. There are </w:t>
      </w:r>
      <w:r>
        <w:rPr>
          <w:rFonts w:ascii="Arial" w:eastAsia="Arial" w:hAnsi="Arial" w:cs="Arial"/>
          <w:sz w:val="24"/>
          <w:szCs w:val="24"/>
        </w:rPr>
        <w:t>7</w:t>
      </w:r>
      <w:r>
        <w:rPr>
          <w:rFonts w:ascii="Arial" w:eastAsia="Arial" w:hAnsi="Arial" w:cs="Arial"/>
          <w:color w:val="000000"/>
          <w:sz w:val="24"/>
          <w:szCs w:val="24"/>
        </w:rPr>
        <w:t xml:space="preserve"> &amp; </w:t>
      </w:r>
      <w:r>
        <w:rPr>
          <w:rFonts w:ascii="Arial" w:eastAsia="Arial" w:hAnsi="Arial" w:cs="Arial"/>
          <w:sz w:val="24"/>
          <w:szCs w:val="24"/>
        </w:rPr>
        <w:t>18</w:t>
      </w:r>
      <w:r>
        <w:rPr>
          <w:rFonts w:ascii="Arial" w:eastAsia="Arial" w:hAnsi="Arial" w:cs="Arial"/>
          <w:color w:val="000000"/>
          <w:sz w:val="24"/>
          <w:szCs w:val="24"/>
        </w:rPr>
        <w:t xml:space="preserve"> diseases dropped due to common/categorical from ICD-10/SNOMED-CT mapping and rest retained </w:t>
      </w:r>
      <w:r>
        <w:rPr>
          <w:rFonts w:ascii="Arial" w:eastAsia="Arial" w:hAnsi="Arial" w:cs="Arial"/>
          <w:sz w:val="24"/>
          <w:szCs w:val="24"/>
        </w:rPr>
        <w:t>in the rare</w:t>
      </w:r>
      <w:r>
        <w:rPr>
          <w:rFonts w:ascii="Arial" w:eastAsia="Arial" w:hAnsi="Arial" w:cs="Arial"/>
          <w:color w:val="000000"/>
          <w:sz w:val="24"/>
          <w:szCs w:val="24"/>
        </w:rPr>
        <w:t xml:space="preserve"> disease cohort (</w:t>
      </w:r>
      <w:r>
        <w:rPr>
          <w:rFonts w:ascii="Arial" w:eastAsia="Arial" w:hAnsi="Arial" w:cs="Arial"/>
          <w:b/>
          <w:sz w:val="24"/>
          <w:szCs w:val="24"/>
        </w:rPr>
        <w:t>Supplementary Figure 4</w:t>
      </w:r>
      <w:r>
        <w:rPr>
          <w:rFonts w:ascii="Arial" w:eastAsia="Arial" w:hAnsi="Arial" w:cs="Arial"/>
          <w:color w:val="000000"/>
          <w:sz w:val="24"/>
          <w:szCs w:val="24"/>
        </w:rPr>
        <w:t>). Finally, 35</w:t>
      </w:r>
      <w:r>
        <w:rPr>
          <w:rFonts w:ascii="Arial" w:eastAsia="Arial" w:hAnsi="Arial" w:cs="Arial"/>
          <w:sz w:val="24"/>
          <w:szCs w:val="24"/>
        </w:rPr>
        <w:t>0</w:t>
      </w:r>
      <w:r>
        <w:rPr>
          <w:rFonts w:ascii="Arial" w:eastAsia="Arial" w:hAnsi="Arial" w:cs="Arial"/>
          <w:color w:val="000000"/>
          <w:sz w:val="24"/>
          <w:szCs w:val="24"/>
        </w:rPr>
        <w:t xml:space="preserve"> rare diseases with ICD-10 codes (</w:t>
      </w:r>
      <w:r>
        <w:rPr>
          <w:rFonts w:ascii="Arial" w:eastAsia="Arial" w:hAnsi="Arial" w:cs="Arial"/>
          <w:b/>
          <w:sz w:val="24"/>
          <w:szCs w:val="24"/>
        </w:rPr>
        <w:t xml:space="preserve">Supplementary Table </w:t>
      </w:r>
      <w:r w:rsidR="00962DFB">
        <w:rPr>
          <w:rFonts w:ascii="Arial" w:eastAsia="Arial" w:hAnsi="Arial" w:cs="Arial"/>
          <w:b/>
          <w:sz w:val="24"/>
          <w:szCs w:val="24"/>
        </w:rPr>
        <w:t>3</w:t>
      </w:r>
      <w:r w:rsidR="009D429F">
        <w:rPr>
          <w:rFonts w:ascii="Arial" w:eastAsia="Arial" w:hAnsi="Arial" w:cs="Arial"/>
          <w:color w:val="000000"/>
          <w:sz w:val="24"/>
          <w:szCs w:val="24"/>
        </w:rPr>
        <w:t xml:space="preserve">) </w:t>
      </w:r>
      <w:r w:rsidR="009D429F">
        <w:rPr>
          <w:rFonts w:ascii="Arial" w:eastAsia="Arial" w:hAnsi="Arial" w:cs="Arial"/>
          <w:sz w:val="24"/>
          <w:szCs w:val="24"/>
        </w:rPr>
        <w:t>and</w:t>
      </w:r>
      <w:r>
        <w:rPr>
          <w:rFonts w:ascii="Arial" w:eastAsia="Arial" w:hAnsi="Arial" w:cs="Arial"/>
          <w:color w:val="000000"/>
          <w:sz w:val="24"/>
          <w:szCs w:val="24"/>
        </w:rPr>
        <w:t xml:space="preserve"> 1</w:t>
      </w:r>
      <w:r>
        <w:rPr>
          <w:rFonts w:ascii="Arial" w:eastAsia="Arial" w:hAnsi="Arial" w:cs="Arial"/>
          <w:sz w:val="24"/>
          <w:szCs w:val="24"/>
        </w:rPr>
        <w:t>2</w:t>
      </w:r>
      <w:r>
        <w:rPr>
          <w:rFonts w:ascii="Arial" w:eastAsia="Arial" w:hAnsi="Arial" w:cs="Arial"/>
          <w:color w:val="000000"/>
          <w:sz w:val="24"/>
          <w:szCs w:val="24"/>
        </w:rPr>
        <w:t>,</w:t>
      </w:r>
      <w:r>
        <w:rPr>
          <w:rFonts w:ascii="Arial" w:eastAsia="Arial" w:hAnsi="Arial" w:cs="Arial"/>
          <w:sz w:val="24"/>
          <w:szCs w:val="24"/>
        </w:rPr>
        <w:t>063</w:t>
      </w:r>
      <w:r>
        <w:rPr>
          <w:rFonts w:ascii="Arial" w:eastAsia="Arial" w:hAnsi="Arial" w:cs="Arial"/>
          <w:color w:val="000000"/>
          <w:sz w:val="24"/>
          <w:szCs w:val="24"/>
        </w:rPr>
        <w:t xml:space="preserve"> rare diseases (or its </w:t>
      </w:r>
      <w:r w:rsidR="009D429F">
        <w:rPr>
          <w:rFonts w:ascii="Arial" w:eastAsia="Arial" w:hAnsi="Arial" w:cs="Arial"/>
          <w:sz w:val="24"/>
          <w:szCs w:val="24"/>
        </w:rPr>
        <w:t>descendants</w:t>
      </w:r>
      <w:r>
        <w:rPr>
          <w:rFonts w:ascii="Arial" w:eastAsia="Arial" w:hAnsi="Arial" w:cs="Arial"/>
          <w:color w:val="000000"/>
          <w:sz w:val="24"/>
          <w:szCs w:val="24"/>
        </w:rPr>
        <w:t xml:space="preserve">) with SNOMED-CT codes will be mapped </w:t>
      </w:r>
      <w:r>
        <w:rPr>
          <w:rFonts w:ascii="Arial" w:eastAsia="Arial" w:hAnsi="Arial" w:cs="Arial"/>
          <w:sz w:val="24"/>
          <w:szCs w:val="24"/>
        </w:rPr>
        <w:t>to the OMOP</w:t>
      </w:r>
      <w:r>
        <w:rPr>
          <w:rFonts w:ascii="Arial" w:eastAsia="Arial" w:hAnsi="Arial" w:cs="Arial"/>
          <w:color w:val="000000"/>
          <w:sz w:val="24"/>
          <w:szCs w:val="24"/>
        </w:rPr>
        <w:t xml:space="preserve"> concept table at N3C enclave</w:t>
      </w:r>
      <w:r>
        <w:rPr>
          <w:rFonts w:ascii="Arial" w:eastAsia="Arial" w:hAnsi="Arial" w:cs="Arial"/>
          <w:sz w:val="24"/>
          <w:szCs w:val="24"/>
        </w:rPr>
        <w:t xml:space="preserve"> (</w:t>
      </w:r>
      <w:r>
        <w:rPr>
          <w:rFonts w:ascii="Arial" w:eastAsia="Arial" w:hAnsi="Arial" w:cs="Arial"/>
          <w:b/>
          <w:sz w:val="24"/>
          <w:szCs w:val="24"/>
        </w:rPr>
        <w:t>Supplementary Table 2</w:t>
      </w:r>
      <w:r>
        <w:rPr>
          <w:rFonts w:ascii="Arial" w:eastAsia="Arial" w:hAnsi="Arial" w:cs="Arial"/>
          <w:color w:val="000000"/>
          <w:sz w:val="24"/>
          <w:szCs w:val="24"/>
        </w:rPr>
        <w:t>).</w:t>
      </w:r>
    </w:p>
    <w:p w14:paraId="5A6BB7D3" w14:textId="77777777" w:rsidR="00DF34E5" w:rsidRDefault="00DF34E5">
      <w:pPr>
        <w:pBdr>
          <w:top w:val="nil"/>
          <w:left w:val="nil"/>
          <w:bottom w:val="nil"/>
          <w:right w:val="nil"/>
          <w:between w:val="nil"/>
        </w:pBdr>
        <w:rPr>
          <w:rFonts w:ascii="Arial" w:eastAsia="Arial" w:hAnsi="Arial" w:cs="Arial"/>
          <w:color w:val="000000"/>
          <w:sz w:val="24"/>
          <w:szCs w:val="24"/>
        </w:rPr>
      </w:pPr>
    </w:p>
    <w:p w14:paraId="7178059F" w14:textId="77777777" w:rsidR="00DF34E5" w:rsidRDefault="00000000">
      <w:pPr>
        <w:ind w:left="360"/>
        <w:jc w:val="both"/>
        <w:rPr>
          <w:rFonts w:ascii="Arial" w:eastAsia="Arial" w:hAnsi="Arial" w:cs="Arial"/>
          <w:sz w:val="24"/>
          <w:szCs w:val="24"/>
        </w:rPr>
      </w:pPr>
      <w:r>
        <w:rPr>
          <w:rFonts w:ascii="Arial" w:eastAsia="Arial" w:hAnsi="Arial" w:cs="Arial"/>
          <w:sz w:val="24"/>
          <w:szCs w:val="24"/>
        </w:rPr>
        <w:t>After application of these filters and exclusion criteria, we created different classes of rare disease cohorts by following the same filtering and exclusion criteria which brought a total of 404,735 rare disease patients for 23 rare disease classes.</w:t>
      </w:r>
    </w:p>
    <w:p w14:paraId="622C7403" w14:textId="77777777" w:rsidR="009D429F" w:rsidRDefault="009D429F">
      <w:pPr>
        <w:ind w:left="360"/>
        <w:jc w:val="both"/>
        <w:rPr>
          <w:rFonts w:ascii="Arial" w:eastAsia="Arial" w:hAnsi="Arial" w:cs="Arial"/>
          <w:sz w:val="24"/>
          <w:szCs w:val="24"/>
        </w:rPr>
      </w:pPr>
    </w:p>
    <w:p w14:paraId="5B6DA568" w14:textId="77777777" w:rsidR="009D429F" w:rsidRDefault="009D429F">
      <w:pPr>
        <w:ind w:left="360"/>
        <w:jc w:val="both"/>
        <w:rPr>
          <w:rFonts w:ascii="Arial" w:eastAsia="Arial" w:hAnsi="Arial" w:cs="Arial"/>
          <w:sz w:val="24"/>
          <w:szCs w:val="24"/>
        </w:rPr>
      </w:pPr>
    </w:p>
    <w:p w14:paraId="062AAACC" w14:textId="77777777" w:rsidR="009D429F" w:rsidRDefault="009D429F">
      <w:pPr>
        <w:ind w:left="360"/>
        <w:jc w:val="both"/>
        <w:rPr>
          <w:rFonts w:ascii="Arial" w:eastAsia="Arial" w:hAnsi="Arial" w:cs="Arial"/>
          <w:sz w:val="24"/>
          <w:szCs w:val="24"/>
        </w:rPr>
      </w:pPr>
    </w:p>
    <w:p w14:paraId="124BE07B" w14:textId="77777777" w:rsidR="009D429F" w:rsidRDefault="009D429F">
      <w:pPr>
        <w:ind w:left="360"/>
        <w:jc w:val="both"/>
        <w:rPr>
          <w:rFonts w:ascii="Arial" w:eastAsia="Arial" w:hAnsi="Arial" w:cs="Arial"/>
          <w:sz w:val="24"/>
          <w:szCs w:val="24"/>
        </w:rPr>
      </w:pPr>
    </w:p>
    <w:p w14:paraId="14C902EF" w14:textId="77777777" w:rsidR="009D429F" w:rsidRDefault="009D429F">
      <w:pPr>
        <w:ind w:left="360"/>
        <w:jc w:val="both"/>
        <w:rPr>
          <w:rFonts w:ascii="Arial" w:eastAsia="Arial" w:hAnsi="Arial" w:cs="Arial"/>
          <w:sz w:val="24"/>
          <w:szCs w:val="24"/>
        </w:rPr>
      </w:pPr>
    </w:p>
    <w:p w14:paraId="6701519B" w14:textId="77777777" w:rsidR="009D429F" w:rsidRDefault="009D429F">
      <w:pPr>
        <w:ind w:left="360"/>
        <w:jc w:val="both"/>
        <w:rPr>
          <w:rFonts w:ascii="Arial" w:eastAsia="Arial" w:hAnsi="Arial" w:cs="Arial"/>
          <w:sz w:val="24"/>
          <w:szCs w:val="24"/>
        </w:rPr>
      </w:pPr>
    </w:p>
    <w:p w14:paraId="1DD833FE" w14:textId="77777777" w:rsidR="009D429F" w:rsidRDefault="009D429F">
      <w:pPr>
        <w:ind w:left="360"/>
        <w:jc w:val="both"/>
        <w:rPr>
          <w:rFonts w:ascii="Arial" w:eastAsia="Arial" w:hAnsi="Arial" w:cs="Arial"/>
          <w:sz w:val="24"/>
          <w:szCs w:val="24"/>
        </w:rPr>
      </w:pPr>
    </w:p>
    <w:p w14:paraId="1F273719" w14:textId="77777777" w:rsidR="009D429F" w:rsidRDefault="009D429F">
      <w:pPr>
        <w:ind w:left="360"/>
        <w:jc w:val="both"/>
        <w:rPr>
          <w:rFonts w:ascii="Arial" w:eastAsia="Arial" w:hAnsi="Arial" w:cs="Arial"/>
          <w:sz w:val="24"/>
          <w:szCs w:val="24"/>
        </w:rPr>
      </w:pPr>
    </w:p>
    <w:p w14:paraId="53BD5500" w14:textId="77777777" w:rsidR="009D429F" w:rsidRDefault="009D429F">
      <w:pPr>
        <w:ind w:left="360"/>
        <w:jc w:val="both"/>
        <w:rPr>
          <w:rFonts w:ascii="Arial" w:eastAsia="Arial" w:hAnsi="Arial" w:cs="Arial"/>
          <w:sz w:val="24"/>
          <w:szCs w:val="24"/>
        </w:rPr>
      </w:pPr>
    </w:p>
    <w:p w14:paraId="4959DD12" w14:textId="77777777" w:rsidR="009D429F" w:rsidRDefault="009D429F">
      <w:pPr>
        <w:ind w:left="360"/>
        <w:jc w:val="both"/>
        <w:rPr>
          <w:rFonts w:ascii="Arial" w:eastAsia="Arial" w:hAnsi="Arial" w:cs="Arial"/>
          <w:sz w:val="24"/>
          <w:szCs w:val="24"/>
        </w:rPr>
      </w:pPr>
    </w:p>
    <w:p w14:paraId="119CB7C6" w14:textId="77777777" w:rsidR="009D429F" w:rsidRDefault="009D429F">
      <w:pPr>
        <w:ind w:left="360"/>
        <w:jc w:val="both"/>
        <w:rPr>
          <w:rFonts w:ascii="Arial" w:eastAsia="Arial" w:hAnsi="Arial" w:cs="Arial"/>
          <w:sz w:val="24"/>
          <w:szCs w:val="24"/>
        </w:rPr>
      </w:pPr>
    </w:p>
    <w:p w14:paraId="56EC34FB" w14:textId="77777777" w:rsidR="009D429F" w:rsidRDefault="009D429F">
      <w:pPr>
        <w:ind w:left="360"/>
        <w:jc w:val="both"/>
        <w:rPr>
          <w:rFonts w:ascii="Arial" w:eastAsia="Arial" w:hAnsi="Arial" w:cs="Arial"/>
          <w:sz w:val="24"/>
          <w:szCs w:val="24"/>
        </w:rPr>
      </w:pPr>
    </w:p>
    <w:p w14:paraId="0E5D1625" w14:textId="489B54E1" w:rsidR="009D429F" w:rsidRDefault="009D429F">
      <w:pPr>
        <w:ind w:left="360"/>
        <w:jc w:val="both"/>
        <w:rPr>
          <w:rFonts w:ascii="Arial" w:eastAsia="Arial" w:hAnsi="Arial" w:cs="Arial"/>
          <w:sz w:val="24"/>
          <w:szCs w:val="24"/>
        </w:rPr>
      </w:pPr>
      <w:r>
        <w:rPr>
          <w:rFonts w:ascii="Arial" w:eastAsia="Arial" w:hAnsi="Arial" w:cs="Arial"/>
          <w:noProof/>
          <w:sz w:val="24"/>
          <w:szCs w:val="24"/>
        </w:rPr>
        <w:drawing>
          <wp:inline distT="0" distB="0" distL="0" distR="0" wp14:anchorId="2799FD4A" wp14:editId="753B4338">
            <wp:extent cx="6838950" cy="6934200"/>
            <wp:effectExtent l="0" t="0" r="0" b="0"/>
            <wp:docPr id="7430391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838950" cy="6934200"/>
                    </a:xfrm>
                    <a:prstGeom prst="rect">
                      <a:avLst/>
                    </a:prstGeom>
                    <a:noFill/>
                    <a:ln>
                      <a:noFill/>
                    </a:ln>
                  </pic:spPr>
                </pic:pic>
              </a:graphicData>
            </a:graphic>
          </wp:inline>
        </w:drawing>
      </w:r>
    </w:p>
    <w:p w14:paraId="3357EB85" w14:textId="77777777" w:rsidR="009D429F" w:rsidRPr="00A43D6B" w:rsidRDefault="009D429F" w:rsidP="009D429F">
      <w:pPr>
        <w:rPr>
          <w:rFonts w:ascii="Arial" w:eastAsia="Arial" w:hAnsi="Arial" w:cs="Arial"/>
          <w:sz w:val="24"/>
          <w:szCs w:val="24"/>
        </w:rPr>
      </w:pPr>
      <w:r>
        <w:rPr>
          <w:rFonts w:ascii="Arial" w:eastAsia="Arial" w:hAnsi="Arial" w:cs="Arial"/>
          <w:b/>
          <w:sz w:val="24"/>
          <w:szCs w:val="24"/>
        </w:rPr>
        <w:t>Supplementary Figure 1: Evolution of semi-automated approaches of rare disease extraction from EHR systems by using ICD-10 and SMOCED-CT codes.</w:t>
      </w:r>
      <w:r>
        <w:rPr>
          <w:b/>
        </w:rPr>
        <w:t xml:space="preserve"> </w:t>
      </w:r>
      <w:r w:rsidRPr="00A43D6B">
        <w:rPr>
          <w:rFonts w:ascii="Arial" w:eastAsia="Arial" w:hAnsi="Arial" w:cs="Arial"/>
          <w:sz w:val="24"/>
          <w:szCs w:val="24"/>
        </w:rPr>
        <w:t xml:space="preserve">This approach started with 12,003 rare disease GARD IDs and followed approaches 1,2,3 and final approach to find SNOMED-CT and ICD-10 codes which minimized group of disorders and phenotype diseases. </w:t>
      </w:r>
    </w:p>
    <w:p w14:paraId="13A8CEE5" w14:textId="77777777" w:rsidR="009D429F" w:rsidRDefault="009D429F">
      <w:pPr>
        <w:ind w:left="360"/>
        <w:jc w:val="both"/>
        <w:rPr>
          <w:rFonts w:ascii="Arial" w:eastAsia="Arial" w:hAnsi="Arial" w:cs="Arial"/>
          <w:sz w:val="24"/>
          <w:szCs w:val="24"/>
        </w:rPr>
      </w:pPr>
    </w:p>
    <w:p w14:paraId="392A7002" w14:textId="77777777" w:rsidR="009D429F" w:rsidRDefault="009D429F">
      <w:pPr>
        <w:ind w:left="360"/>
        <w:jc w:val="both"/>
        <w:rPr>
          <w:rFonts w:ascii="Arial" w:eastAsia="Arial" w:hAnsi="Arial" w:cs="Arial"/>
          <w:sz w:val="24"/>
          <w:szCs w:val="24"/>
        </w:rPr>
      </w:pPr>
    </w:p>
    <w:p w14:paraId="247C9B27" w14:textId="77777777" w:rsidR="00DF34E5" w:rsidRDefault="00000000">
      <w:pPr>
        <w:ind w:left="2250"/>
        <w:jc w:val="both"/>
        <w:rPr>
          <w:rFonts w:ascii="Arial" w:eastAsia="Arial" w:hAnsi="Arial" w:cs="Arial"/>
          <w:sz w:val="24"/>
          <w:szCs w:val="24"/>
        </w:rPr>
      </w:pPr>
      <w:r>
        <w:rPr>
          <w:rFonts w:ascii="Arial" w:eastAsia="Arial" w:hAnsi="Arial" w:cs="Arial"/>
          <w:noProof/>
          <w:sz w:val="24"/>
          <w:szCs w:val="24"/>
        </w:rPr>
        <w:lastRenderedPageBreak/>
        <w:drawing>
          <wp:inline distT="114300" distB="114300" distL="114300" distR="114300" wp14:anchorId="09851AA9" wp14:editId="525C77F8">
            <wp:extent cx="4798755" cy="7396163"/>
            <wp:effectExtent l="0" t="0" r="0" b="0"/>
            <wp:docPr id="180960875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
                    <a:srcRect/>
                    <a:stretch>
                      <a:fillRect/>
                    </a:stretch>
                  </pic:blipFill>
                  <pic:spPr>
                    <a:xfrm>
                      <a:off x="0" y="0"/>
                      <a:ext cx="4798755" cy="7396163"/>
                    </a:xfrm>
                    <a:prstGeom prst="rect">
                      <a:avLst/>
                    </a:prstGeom>
                    <a:ln/>
                  </pic:spPr>
                </pic:pic>
              </a:graphicData>
            </a:graphic>
          </wp:inline>
        </w:drawing>
      </w:r>
    </w:p>
    <w:p w14:paraId="5B58DA58" w14:textId="3C07BF19" w:rsidR="00DF34E5" w:rsidRDefault="00000000">
      <w:pPr>
        <w:jc w:val="both"/>
        <w:rPr>
          <w:rFonts w:ascii="Arial" w:eastAsia="Arial" w:hAnsi="Arial" w:cs="Arial"/>
          <w:sz w:val="24"/>
          <w:szCs w:val="24"/>
        </w:rPr>
      </w:pPr>
      <w:r>
        <w:rPr>
          <w:rFonts w:ascii="Arial" w:eastAsia="Arial" w:hAnsi="Arial" w:cs="Arial"/>
          <w:b/>
          <w:sz w:val="24"/>
          <w:szCs w:val="24"/>
        </w:rPr>
        <w:t xml:space="preserve">Supplementary Figure </w:t>
      </w:r>
      <w:r w:rsidR="009D429F">
        <w:rPr>
          <w:rFonts w:ascii="Arial" w:eastAsia="Arial" w:hAnsi="Arial" w:cs="Arial"/>
          <w:b/>
          <w:sz w:val="24"/>
          <w:szCs w:val="24"/>
        </w:rPr>
        <w:t>2</w:t>
      </w:r>
      <w:r>
        <w:rPr>
          <w:rFonts w:ascii="Arial" w:eastAsia="Arial" w:hAnsi="Arial" w:cs="Arial"/>
          <w:b/>
          <w:sz w:val="24"/>
          <w:szCs w:val="24"/>
        </w:rPr>
        <w:t>: Workflow to define COVID-19 patients with and without RD in N3C.</w:t>
      </w:r>
      <w:r>
        <w:rPr>
          <w:rFonts w:ascii="Arial" w:eastAsia="Arial" w:hAnsi="Arial" w:cs="Arial"/>
          <w:sz w:val="24"/>
          <w:szCs w:val="24"/>
        </w:rPr>
        <w:t xml:space="preserve"> Of the 21,704,702 patients in the N3C enclave release version V154, 4,835,718 were defined as COVID-19 positive between 2020-01-01 to 2024-01-04, as confirmed by a RT-PCR or Antigen test or diagnosis test.  This subset also passed the following filters: non missing values for age and sex, at least one encounter </w:t>
      </w:r>
      <w:r w:rsidR="003B5515">
        <w:rPr>
          <w:rFonts w:ascii="Arial" w:eastAsia="Arial" w:hAnsi="Arial" w:cs="Arial"/>
          <w:sz w:val="24"/>
          <w:szCs w:val="24"/>
        </w:rPr>
        <w:t>visits</w:t>
      </w:r>
      <w:r>
        <w:rPr>
          <w:rFonts w:ascii="Arial" w:eastAsia="Arial" w:hAnsi="Arial" w:cs="Arial"/>
          <w:sz w:val="24"/>
          <w:szCs w:val="24"/>
        </w:rPr>
        <w:t xml:space="preserve"> before or after covid diagnosis date, incomplete data from data partners. See supplementary methods on detailed inclusion or exclusion criteria for cohort building. Lastly, patients with COVID-19 were stratified into two groups, those with and without RDs, based on our generated SNOMED-CT and ICD-10 codes.</w:t>
      </w:r>
    </w:p>
    <w:p w14:paraId="5CFA3D2D" w14:textId="77777777" w:rsidR="003B5515" w:rsidRDefault="003B5515">
      <w:pPr>
        <w:jc w:val="both"/>
        <w:rPr>
          <w:rFonts w:ascii="Arial" w:eastAsia="Arial" w:hAnsi="Arial" w:cs="Arial"/>
          <w:sz w:val="24"/>
          <w:szCs w:val="24"/>
        </w:rPr>
      </w:pPr>
    </w:p>
    <w:p w14:paraId="1C565F56" w14:textId="77777777" w:rsidR="003B5515" w:rsidRDefault="003B5515">
      <w:pPr>
        <w:jc w:val="both"/>
        <w:rPr>
          <w:rFonts w:ascii="Arial" w:eastAsia="Arial" w:hAnsi="Arial" w:cs="Arial"/>
          <w:sz w:val="24"/>
          <w:szCs w:val="24"/>
        </w:rPr>
      </w:pPr>
    </w:p>
    <w:p w14:paraId="26A562C2" w14:textId="77777777" w:rsidR="003B5515" w:rsidRDefault="003B5515">
      <w:pPr>
        <w:jc w:val="both"/>
        <w:rPr>
          <w:rFonts w:ascii="Arial" w:eastAsia="Arial" w:hAnsi="Arial" w:cs="Arial"/>
          <w:sz w:val="24"/>
          <w:szCs w:val="24"/>
        </w:rPr>
      </w:pPr>
    </w:p>
    <w:p w14:paraId="3C489FE2" w14:textId="77777777" w:rsidR="003B5515" w:rsidRDefault="003B5515">
      <w:pPr>
        <w:jc w:val="both"/>
        <w:rPr>
          <w:rFonts w:ascii="Arial" w:eastAsia="Arial" w:hAnsi="Arial" w:cs="Arial"/>
          <w:sz w:val="24"/>
          <w:szCs w:val="24"/>
        </w:rPr>
      </w:pPr>
    </w:p>
    <w:p w14:paraId="33DA447F" w14:textId="757A6454" w:rsidR="003B5515" w:rsidRDefault="003B5515">
      <w:pPr>
        <w:jc w:val="both"/>
        <w:rPr>
          <w:rFonts w:ascii="Arial" w:eastAsia="Arial" w:hAnsi="Arial" w:cs="Arial"/>
          <w:sz w:val="24"/>
          <w:szCs w:val="24"/>
        </w:rPr>
      </w:pPr>
      <w:r>
        <w:rPr>
          <w:rFonts w:ascii="Arial" w:eastAsia="Arial" w:hAnsi="Arial" w:cs="Arial"/>
          <w:noProof/>
        </w:rPr>
        <w:drawing>
          <wp:inline distT="114300" distB="114300" distL="114300" distR="114300" wp14:anchorId="7367E35F" wp14:editId="25A84F8F">
            <wp:extent cx="6858000" cy="2743200"/>
            <wp:effectExtent l="0" t="0" r="0" b="0"/>
            <wp:docPr id="1809608751" name="image4.png"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1809608751" name="image4.png" descr="A screenshot of a computer&#10;&#10;AI-generated content may be incorrect."/>
                    <pic:cNvPicPr preferRelativeResize="0"/>
                  </pic:nvPicPr>
                  <pic:blipFill>
                    <a:blip r:embed="rId8"/>
                    <a:srcRect/>
                    <a:stretch>
                      <a:fillRect/>
                    </a:stretch>
                  </pic:blipFill>
                  <pic:spPr>
                    <a:xfrm>
                      <a:off x="0" y="0"/>
                      <a:ext cx="6858000" cy="2743200"/>
                    </a:xfrm>
                    <a:prstGeom prst="rect">
                      <a:avLst/>
                    </a:prstGeom>
                    <a:ln/>
                  </pic:spPr>
                </pic:pic>
              </a:graphicData>
            </a:graphic>
          </wp:inline>
        </w:drawing>
      </w:r>
    </w:p>
    <w:p w14:paraId="72D1866C" w14:textId="18811644" w:rsidR="003B5515" w:rsidRPr="00A43D6B" w:rsidRDefault="003B5515" w:rsidP="003B5515">
      <w:pPr>
        <w:rPr>
          <w:rFonts w:ascii="Arial" w:eastAsia="Arial" w:hAnsi="Arial" w:cs="Arial"/>
          <w:sz w:val="24"/>
          <w:szCs w:val="24"/>
        </w:rPr>
      </w:pPr>
      <w:r w:rsidRPr="00A43D6B">
        <w:rPr>
          <w:rFonts w:ascii="Arial" w:eastAsia="Arial" w:hAnsi="Arial" w:cs="Arial"/>
          <w:b/>
          <w:sz w:val="24"/>
          <w:szCs w:val="24"/>
        </w:rPr>
        <w:t>Supplementary Figure 3: Upset plots of different approaches (ICD-10 and SNOMED-CT codes).</w:t>
      </w:r>
      <w:r w:rsidRPr="00A43D6B">
        <w:rPr>
          <w:rFonts w:ascii="Arial" w:eastAsia="Arial" w:hAnsi="Arial" w:cs="Arial"/>
          <w:sz w:val="24"/>
          <w:szCs w:val="24"/>
        </w:rPr>
        <w:t xml:space="preserve"> A) Upset plot shows number of ICD-10 codes common in all approaches where approach-1,2 &amp; 3 had few redundant codes which were dropped due to group of disorders. B) Similarly for SNOMED-CD code more than 4500 SNOMED-CT codes are common amongst approaches-1,2,3 &amp; final approach and many redundant codes were existing in approaches-1,2 &amp; 3 due to groups of disorders or due to phenotype.</w:t>
      </w:r>
    </w:p>
    <w:p w14:paraId="2B82FF31" w14:textId="77777777" w:rsidR="003B5515" w:rsidRDefault="003B5515">
      <w:pPr>
        <w:jc w:val="both"/>
        <w:rPr>
          <w:rFonts w:ascii="Arial" w:eastAsia="Arial" w:hAnsi="Arial" w:cs="Arial"/>
          <w:sz w:val="24"/>
          <w:szCs w:val="24"/>
        </w:rPr>
      </w:pPr>
    </w:p>
    <w:p w14:paraId="10A7F738" w14:textId="77777777" w:rsidR="003B5515" w:rsidRDefault="003B5515">
      <w:pPr>
        <w:jc w:val="both"/>
        <w:rPr>
          <w:rFonts w:ascii="Arial" w:eastAsia="Arial" w:hAnsi="Arial" w:cs="Arial"/>
          <w:sz w:val="24"/>
          <w:szCs w:val="24"/>
        </w:rPr>
      </w:pPr>
    </w:p>
    <w:p w14:paraId="74DFACE7" w14:textId="77777777" w:rsidR="003B5515" w:rsidRDefault="003B5515">
      <w:pPr>
        <w:jc w:val="both"/>
        <w:rPr>
          <w:rFonts w:ascii="Arial" w:eastAsia="Arial" w:hAnsi="Arial" w:cs="Arial"/>
          <w:sz w:val="24"/>
          <w:szCs w:val="24"/>
        </w:rPr>
      </w:pPr>
    </w:p>
    <w:p w14:paraId="43D10703" w14:textId="77777777" w:rsidR="003B5515" w:rsidRDefault="003B5515">
      <w:pPr>
        <w:jc w:val="both"/>
        <w:rPr>
          <w:rFonts w:ascii="Arial" w:eastAsia="Arial" w:hAnsi="Arial" w:cs="Arial"/>
          <w:sz w:val="24"/>
          <w:szCs w:val="24"/>
        </w:rPr>
      </w:pPr>
    </w:p>
    <w:p w14:paraId="331DB10E" w14:textId="77777777" w:rsidR="003B5515" w:rsidRDefault="003B5515">
      <w:pPr>
        <w:jc w:val="both"/>
        <w:rPr>
          <w:rFonts w:ascii="Arial" w:eastAsia="Arial" w:hAnsi="Arial" w:cs="Arial"/>
          <w:sz w:val="24"/>
          <w:szCs w:val="24"/>
        </w:rPr>
      </w:pPr>
    </w:p>
    <w:p w14:paraId="442E1CC7" w14:textId="77777777" w:rsidR="003B5515" w:rsidRDefault="003B5515">
      <w:pPr>
        <w:jc w:val="both"/>
        <w:rPr>
          <w:rFonts w:ascii="Arial" w:eastAsia="Arial" w:hAnsi="Arial" w:cs="Arial"/>
          <w:sz w:val="24"/>
          <w:szCs w:val="24"/>
        </w:rPr>
      </w:pPr>
    </w:p>
    <w:p w14:paraId="47CEECF1" w14:textId="77777777" w:rsidR="003B5515" w:rsidRDefault="003B5515">
      <w:pPr>
        <w:jc w:val="both"/>
        <w:rPr>
          <w:rFonts w:ascii="Arial" w:eastAsia="Arial" w:hAnsi="Arial" w:cs="Arial"/>
          <w:sz w:val="24"/>
          <w:szCs w:val="24"/>
        </w:rPr>
      </w:pPr>
    </w:p>
    <w:p w14:paraId="7D031550" w14:textId="77777777" w:rsidR="003B5515" w:rsidRDefault="003B5515">
      <w:pPr>
        <w:jc w:val="both"/>
        <w:rPr>
          <w:rFonts w:ascii="Arial" w:eastAsia="Arial" w:hAnsi="Arial" w:cs="Arial"/>
          <w:sz w:val="24"/>
          <w:szCs w:val="24"/>
        </w:rPr>
      </w:pPr>
    </w:p>
    <w:p w14:paraId="3FBF9E62" w14:textId="77777777" w:rsidR="003B5515" w:rsidRDefault="003B5515">
      <w:pPr>
        <w:jc w:val="both"/>
        <w:rPr>
          <w:rFonts w:ascii="Arial" w:eastAsia="Arial" w:hAnsi="Arial" w:cs="Arial"/>
          <w:sz w:val="24"/>
          <w:szCs w:val="24"/>
        </w:rPr>
      </w:pPr>
    </w:p>
    <w:p w14:paraId="6EB9344F" w14:textId="77777777" w:rsidR="003B5515" w:rsidRDefault="003B5515">
      <w:pPr>
        <w:jc w:val="both"/>
        <w:rPr>
          <w:rFonts w:ascii="Arial" w:eastAsia="Arial" w:hAnsi="Arial" w:cs="Arial"/>
          <w:sz w:val="24"/>
          <w:szCs w:val="24"/>
        </w:rPr>
      </w:pPr>
    </w:p>
    <w:p w14:paraId="1A1D3DCA" w14:textId="77777777" w:rsidR="003B5515" w:rsidRDefault="003B5515">
      <w:pPr>
        <w:jc w:val="both"/>
        <w:rPr>
          <w:rFonts w:ascii="Arial" w:eastAsia="Arial" w:hAnsi="Arial" w:cs="Arial"/>
          <w:sz w:val="24"/>
          <w:szCs w:val="24"/>
        </w:rPr>
      </w:pPr>
    </w:p>
    <w:p w14:paraId="744A2A15" w14:textId="77777777" w:rsidR="003B5515" w:rsidRDefault="003B5515">
      <w:pPr>
        <w:jc w:val="both"/>
        <w:rPr>
          <w:rFonts w:ascii="Arial" w:eastAsia="Arial" w:hAnsi="Arial" w:cs="Arial"/>
          <w:sz w:val="24"/>
          <w:szCs w:val="24"/>
        </w:rPr>
      </w:pPr>
    </w:p>
    <w:p w14:paraId="3A242F5E" w14:textId="77777777" w:rsidR="003B5515" w:rsidRDefault="003B5515">
      <w:pPr>
        <w:jc w:val="both"/>
        <w:rPr>
          <w:rFonts w:ascii="Arial" w:eastAsia="Arial" w:hAnsi="Arial" w:cs="Arial"/>
          <w:sz w:val="24"/>
          <w:szCs w:val="24"/>
        </w:rPr>
      </w:pPr>
    </w:p>
    <w:p w14:paraId="62A2894B" w14:textId="77777777" w:rsidR="003B5515" w:rsidRDefault="003B5515">
      <w:pPr>
        <w:jc w:val="both"/>
        <w:rPr>
          <w:rFonts w:ascii="Arial" w:eastAsia="Arial" w:hAnsi="Arial" w:cs="Arial"/>
          <w:sz w:val="24"/>
          <w:szCs w:val="24"/>
        </w:rPr>
      </w:pPr>
    </w:p>
    <w:p w14:paraId="327DB5CE" w14:textId="77777777" w:rsidR="003B5515" w:rsidRDefault="003B5515">
      <w:pPr>
        <w:jc w:val="both"/>
        <w:rPr>
          <w:rFonts w:ascii="Arial" w:eastAsia="Arial" w:hAnsi="Arial" w:cs="Arial"/>
          <w:sz w:val="24"/>
          <w:szCs w:val="24"/>
        </w:rPr>
      </w:pPr>
    </w:p>
    <w:p w14:paraId="7ABD3E21" w14:textId="77777777" w:rsidR="00DF34E5" w:rsidRDefault="00000000">
      <w:pPr>
        <w:ind w:left="360"/>
        <w:jc w:val="both"/>
        <w:rPr>
          <w:rFonts w:ascii="Arial" w:eastAsia="Arial" w:hAnsi="Arial" w:cs="Arial"/>
          <w:sz w:val="24"/>
          <w:szCs w:val="24"/>
        </w:rPr>
      </w:pPr>
      <w:r>
        <w:rPr>
          <w:rFonts w:ascii="Arial" w:eastAsia="Arial" w:hAnsi="Arial" w:cs="Arial"/>
          <w:noProof/>
          <w:sz w:val="24"/>
          <w:szCs w:val="24"/>
        </w:rPr>
        <w:drawing>
          <wp:inline distT="114300" distB="114300" distL="114300" distR="114300" wp14:anchorId="4073563C" wp14:editId="38613145">
            <wp:extent cx="5086350" cy="5514975"/>
            <wp:effectExtent l="0" t="0" r="0" b="9525"/>
            <wp:docPr id="180960874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086350" cy="5514975"/>
                    </a:xfrm>
                    <a:prstGeom prst="rect">
                      <a:avLst/>
                    </a:prstGeom>
                    <a:ln/>
                  </pic:spPr>
                </pic:pic>
              </a:graphicData>
            </a:graphic>
          </wp:inline>
        </w:drawing>
      </w:r>
    </w:p>
    <w:p w14:paraId="490561DD" w14:textId="38C547C1" w:rsidR="00DF34E5" w:rsidRDefault="00000000">
      <w:pPr>
        <w:ind w:left="360"/>
        <w:jc w:val="both"/>
        <w:rPr>
          <w:rFonts w:ascii="Arial" w:eastAsia="Arial" w:hAnsi="Arial" w:cs="Arial"/>
          <w:sz w:val="24"/>
          <w:szCs w:val="24"/>
        </w:rPr>
      </w:pPr>
      <w:r>
        <w:rPr>
          <w:rFonts w:ascii="Arial" w:eastAsia="Arial" w:hAnsi="Arial" w:cs="Arial"/>
          <w:b/>
          <w:sz w:val="24"/>
          <w:szCs w:val="24"/>
        </w:rPr>
        <w:t xml:space="preserve">Supplementary Figure </w:t>
      </w:r>
      <w:r w:rsidR="003B5515">
        <w:rPr>
          <w:rFonts w:ascii="Arial" w:eastAsia="Arial" w:hAnsi="Arial" w:cs="Arial"/>
          <w:b/>
          <w:sz w:val="24"/>
          <w:szCs w:val="24"/>
        </w:rPr>
        <w:t>4</w:t>
      </w:r>
      <w:r>
        <w:rPr>
          <w:rFonts w:ascii="Arial" w:eastAsia="Arial" w:hAnsi="Arial" w:cs="Arial"/>
          <w:b/>
          <w:sz w:val="24"/>
          <w:szCs w:val="24"/>
        </w:rPr>
        <w:t>:</w:t>
      </w:r>
      <w:r>
        <w:rPr>
          <w:rFonts w:ascii="Arial" w:eastAsia="Arial" w:hAnsi="Arial" w:cs="Arial"/>
          <w:sz w:val="24"/>
          <w:szCs w:val="24"/>
        </w:rPr>
        <w:t xml:space="preserve"> </w:t>
      </w:r>
      <w:r>
        <w:rPr>
          <w:rFonts w:ascii="Arial" w:eastAsia="Arial" w:hAnsi="Arial" w:cs="Arial"/>
          <w:b/>
          <w:sz w:val="24"/>
          <w:szCs w:val="24"/>
        </w:rPr>
        <w:t xml:space="preserve">Incidence filter based on RD phenotyping Algorithm codes at N3C enclave. </w:t>
      </w:r>
      <w:r>
        <w:rPr>
          <w:rFonts w:ascii="Arial" w:eastAsia="Arial" w:hAnsi="Arial" w:cs="Arial"/>
          <w:sz w:val="24"/>
          <w:szCs w:val="24"/>
        </w:rPr>
        <w:t xml:space="preserve"> A semi-automated algorithm was built to define RD-specific ICD-10 and SNOMED-CT codes. As a result, 350 ICD-10 codes and 12,063 SNOMED-CT codes are </w:t>
      </w:r>
      <w:r w:rsidR="003B5515">
        <w:rPr>
          <w:rFonts w:ascii="Arial" w:eastAsia="Arial" w:hAnsi="Arial" w:cs="Arial"/>
          <w:sz w:val="24"/>
          <w:szCs w:val="24"/>
        </w:rPr>
        <w:t>produced</w:t>
      </w:r>
      <w:r>
        <w:rPr>
          <w:rFonts w:ascii="Arial" w:eastAsia="Arial" w:hAnsi="Arial" w:cs="Arial"/>
          <w:sz w:val="24"/>
          <w:szCs w:val="24"/>
        </w:rPr>
        <w:t xml:space="preserve"> by phenotyping algorithm.  These codes were then used to identify RD specific concept ids at OMOP concept table and then mapped to condition occurrence table at N3C enclave which produced RDs with associated patients. We used an additional filter based on </w:t>
      </w:r>
      <w:r w:rsidR="003B5515">
        <w:rPr>
          <w:rFonts w:ascii="Arial" w:eastAsia="Arial" w:hAnsi="Arial" w:cs="Arial"/>
          <w:sz w:val="24"/>
          <w:szCs w:val="24"/>
        </w:rPr>
        <w:t>the incidence</w:t>
      </w:r>
      <w:r>
        <w:rPr>
          <w:rFonts w:ascii="Arial" w:eastAsia="Arial" w:hAnsi="Arial" w:cs="Arial"/>
          <w:sz w:val="24"/>
          <w:szCs w:val="24"/>
        </w:rPr>
        <w:t xml:space="preserve"> of RD patients in N3C to exclude diseases that had a higher-than-expected incidence in the enclave.</w:t>
      </w:r>
    </w:p>
    <w:p w14:paraId="6E882816" w14:textId="77777777" w:rsidR="00DF34E5" w:rsidRDefault="00DF34E5"/>
    <w:p w14:paraId="7876B4CC" w14:textId="1F2E5C7F" w:rsidR="00DF34E5" w:rsidRDefault="007A2289">
      <w:r>
        <w:rPr>
          <w:noProof/>
        </w:rPr>
        <w:lastRenderedPageBreak/>
        <w:drawing>
          <wp:inline distT="0" distB="0" distL="0" distR="0" wp14:anchorId="54C8534A" wp14:editId="72B72D7C">
            <wp:extent cx="6848475" cy="3019425"/>
            <wp:effectExtent l="0" t="0" r="9525" b="9525"/>
            <wp:docPr id="111267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6173" b="15555"/>
                    <a:stretch/>
                  </pic:blipFill>
                  <pic:spPr bwMode="auto">
                    <a:xfrm>
                      <a:off x="0" y="0"/>
                      <a:ext cx="6848475" cy="3019425"/>
                    </a:xfrm>
                    <a:prstGeom prst="rect">
                      <a:avLst/>
                    </a:prstGeom>
                    <a:noFill/>
                    <a:ln>
                      <a:noFill/>
                    </a:ln>
                    <a:extLst>
                      <a:ext uri="{53640926-AAD7-44D8-BBD7-CCE9431645EC}">
                        <a14:shadowObscured xmlns:a14="http://schemas.microsoft.com/office/drawing/2010/main"/>
                      </a:ext>
                    </a:extLst>
                  </pic:spPr>
                </pic:pic>
              </a:graphicData>
            </a:graphic>
          </wp:inline>
        </w:drawing>
      </w:r>
    </w:p>
    <w:p w14:paraId="7D02EA05" w14:textId="0253FAE8" w:rsidR="00DF34E5" w:rsidRPr="003B5515" w:rsidRDefault="00000000">
      <w:pPr>
        <w:rPr>
          <w:rFonts w:ascii="Arial" w:hAnsi="Arial" w:cs="Arial"/>
          <w:sz w:val="24"/>
          <w:szCs w:val="24"/>
        </w:rPr>
      </w:pPr>
      <w:r w:rsidRPr="003B5515">
        <w:rPr>
          <w:rFonts w:ascii="Arial" w:hAnsi="Arial" w:cs="Arial"/>
          <w:b/>
          <w:sz w:val="24"/>
          <w:szCs w:val="24"/>
        </w:rPr>
        <w:t xml:space="preserve">Supplementary Figure </w:t>
      </w:r>
      <w:r w:rsidR="003B5515" w:rsidRPr="003B5515">
        <w:rPr>
          <w:rFonts w:ascii="Arial" w:hAnsi="Arial" w:cs="Arial"/>
          <w:b/>
          <w:sz w:val="24"/>
          <w:szCs w:val="24"/>
        </w:rPr>
        <w:t>5</w:t>
      </w:r>
      <w:r w:rsidRPr="003B5515">
        <w:rPr>
          <w:rFonts w:ascii="Arial" w:hAnsi="Arial" w:cs="Arial"/>
          <w:b/>
          <w:sz w:val="24"/>
          <w:szCs w:val="24"/>
        </w:rPr>
        <w:t>: Description of patients with preexisting RD identified in the N3C COVID-19 cohort.</w:t>
      </w:r>
      <w:r w:rsidRPr="003B5515">
        <w:rPr>
          <w:rFonts w:ascii="Arial" w:hAnsi="Arial" w:cs="Arial"/>
          <w:sz w:val="24"/>
          <w:szCs w:val="24"/>
        </w:rPr>
        <w:t xml:space="preserve"> A) Number of patients per RD class for RD patients identified within our N3C COVID-19 cohort. B and C</w:t>
      </w:r>
      <w:r w:rsidR="003B5515" w:rsidRPr="003B5515">
        <w:rPr>
          <w:rFonts w:ascii="Arial" w:hAnsi="Arial" w:cs="Arial"/>
          <w:sz w:val="24"/>
          <w:szCs w:val="24"/>
        </w:rPr>
        <w:t>):</w:t>
      </w:r>
      <w:r w:rsidRPr="003B5515">
        <w:rPr>
          <w:rFonts w:ascii="Arial" w:hAnsi="Arial" w:cs="Arial"/>
          <w:sz w:val="24"/>
          <w:szCs w:val="24"/>
        </w:rPr>
        <w:t xml:space="preserve"> Distribution of the number of RD patients with a COVID-19 diagnosis stratified by COVID-19 related mortality and hospitalization, respectively.</w:t>
      </w:r>
    </w:p>
    <w:p w14:paraId="73D8C204" w14:textId="77777777" w:rsidR="00DF34E5" w:rsidRDefault="00000000">
      <w:r>
        <w:rPr>
          <w:noProof/>
        </w:rPr>
        <w:drawing>
          <wp:inline distT="114300" distB="114300" distL="114300" distR="114300" wp14:anchorId="67827C93" wp14:editId="13F2042C">
            <wp:extent cx="6858000" cy="3860800"/>
            <wp:effectExtent l="0" t="0" r="0" b="0"/>
            <wp:docPr id="180960874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6858000" cy="3860800"/>
                    </a:xfrm>
                    <a:prstGeom prst="rect">
                      <a:avLst/>
                    </a:prstGeom>
                    <a:ln/>
                  </pic:spPr>
                </pic:pic>
              </a:graphicData>
            </a:graphic>
          </wp:inline>
        </w:drawing>
      </w:r>
    </w:p>
    <w:p w14:paraId="169FBF93" w14:textId="3475CF90" w:rsidR="00DF34E5" w:rsidRPr="002422B9" w:rsidRDefault="00000000">
      <w:pPr>
        <w:rPr>
          <w:rFonts w:ascii="Arial" w:hAnsi="Arial" w:cs="Arial"/>
          <w:sz w:val="24"/>
          <w:szCs w:val="24"/>
        </w:rPr>
      </w:pPr>
      <w:r w:rsidRPr="003B5515">
        <w:rPr>
          <w:rFonts w:ascii="Arial" w:hAnsi="Arial" w:cs="Arial"/>
          <w:b/>
          <w:sz w:val="24"/>
          <w:szCs w:val="24"/>
        </w:rPr>
        <w:t xml:space="preserve">Supplementary Figure </w:t>
      </w:r>
      <w:r w:rsidR="003B5515" w:rsidRPr="003B5515">
        <w:rPr>
          <w:rFonts w:ascii="Arial" w:hAnsi="Arial" w:cs="Arial"/>
          <w:b/>
          <w:sz w:val="24"/>
          <w:szCs w:val="24"/>
        </w:rPr>
        <w:t>6</w:t>
      </w:r>
      <w:r w:rsidRPr="003B5515">
        <w:rPr>
          <w:rFonts w:ascii="Arial" w:hAnsi="Arial" w:cs="Arial"/>
          <w:b/>
          <w:sz w:val="24"/>
          <w:szCs w:val="24"/>
        </w:rPr>
        <w:t>: Distribution of the number of patients with preexisting RD that have suffered COVID-19 related death or hospitalization, stratified by age and sex.</w:t>
      </w:r>
      <w:r w:rsidRPr="003B5515">
        <w:rPr>
          <w:rFonts w:ascii="Arial" w:hAnsi="Arial" w:cs="Arial"/>
          <w:sz w:val="24"/>
          <w:szCs w:val="24"/>
        </w:rPr>
        <w:t xml:space="preserve">  A, B) Breakdown of COVID-19 patients' mortality with/without preexisting RD by sex male and female, respectively. (</w:t>
      </w:r>
      <w:r w:rsidR="009D429F" w:rsidRPr="003B5515">
        <w:rPr>
          <w:rFonts w:ascii="Arial" w:hAnsi="Arial" w:cs="Arial"/>
          <w:sz w:val="24"/>
          <w:szCs w:val="24"/>
        </w:rPr>
        <w:t>C, D</w:t>
      </w:r>
      <w:r w:rsidRPr="003B5515">
        <w:rPr>
          <w:rFonts w:ascii="Arial" w:hAnsi="Arial" w:cs="Arial"/>
          <w:sz w:val="24"/>
          <w:szCs w:val="24"/>
        </w:rPr>
        <w:t>) Breakdown of COVID-19 patients' hospitalization with/without preexisting RD by sex male and female, respectively.</w:t>
      </w:r>
    </w:p>
    <w:sectPr w:rsidR="00DF34E5" w:rsidRPr="002422B9">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1" w:fontKey="{5014E53E-B836-4DA3-94B4-E81749AA43A3}"/>
    <w:embedBold r:id="rId2" w:fontKey="{01F98418-7F13-426A-9741-A1F8008FB438}"/>
    <w:embedItalic r:id="rId3" w:fontKey="{68D5D566-554D-49A2-8BD4-2E472F92C578}"/>
  </w:font>
  <w:font w:name="Aptos Display">
    <w:charset w:val="00"/>
    <w:family w:val="swiss"/>
    <w:pitch w:val="variable"/>
    <w:sig w:usb0="20000287" w:usb1="00000003" w:usb2="00000000" w:usb3="00000000" w:csb0="0000019F" w:csb1="00000000"/>
    <w:embedRegular r:id="rId4" w:fontKey="{AF8B14B8-77D5-4C23-9052-09C2FA963189}"/>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D8BEDD9D-A1EB-4349-8EC6-4BB32BF8201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AD6739"/>
    <w:multiLevelType w:val="multilevel"/>
    <w:tmpl w:val="64C20046"/>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DA93847"/>
    <w:multiLevelType w:val="multilevel"/>
    <w:tmpl w:val="79C865AC"/>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num w:numId="1" w16cid:durableId="1943759464">
    <w:abstractNumId w:val="0"/>
  </w:num>
  <w:num w:numId="2" w16cid:durableId="19276923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4E5"/>
    <w:rsid w:val="002422B9"/>
    <w:rsid w:val="002C1E2E"/>
    <w:rsid w:val="003B39CE"/>
    <w:rsid w:val="003B5515"/>
    <w:rsid w:val="003F28CF"/>
    <w:rsid w:val="00525DC5"/>
    <w:rsid w:val="0059727A"/>
    <w:rsid w:val="007969D8"/>
    <w:rsid w:val="007A2289"/>
    <w:rsid w:val="00962DFB"/>
    <w:rsid w:val="009965F4"/>
    <w:rsid w:val="009D429F"/>
    <w:rsid w:val="00A43D6B"/>
    <w:rsid w:val="00A965D1"/>
    <w:rsid w:val="00CD727F"/>
    <w:rsid w:val="00DF34E5"/>
    <w:rsid w:val="00EA7A82"/>
    <w:rsid w:val="00F225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252A"/>
  <w15:docId w15:val="{1D9D9578-0BC1-48C8-84FE-494E63433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519"/>
  </w:style>
  <w:style w:type="paragraph" w:styleId="Heading1">
    <w:name w:val="heading 1"/>
    <w:basedOn w:val="Normal"/>
    <w:next w:val="Normal"/>
    <w:link w:val="Heading1Char"/>
    <w:uiPriority w:val="9"/>
    <w:qFormat/>
    <w:rsid w:val="005E05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05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05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05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05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05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05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05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05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E05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5E05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05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05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05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05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05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05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05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0519"/>
    <w:rPr>
      <w:rFonts w:eastAsiaTheme="majorEastAsia" w:cstheme="majorBidi"/>
      <w:color w:val="272727" w:themeColor="text1" w:themeTint="D8"/>
    </w:rPr>
  </w:style>
  <w:style w:type="character" w:customStyle="1" w:styleId="TitleChar">
    <w:name w:val="Title Char"/>
    <w:basedOn w:val="DefaultParagraphFont"/>
    <w:link w:val="Title"/>
    <w:uiPriority w:val="10"/>
    <w:rsid w:val="005E05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5E05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0519"/>
    <w:pPr>
      <w:spacing w:before="160"/>
      <w:jc w:val="center"/>
    </w:pPr>
    <w:rPr>
      <w:i/>
      <w:iCs/>
      <w:color w:val="404040" w:themeColor="text1" w:themeTint="BF"/>
    </w:rPr>
  </w:style>
  <w:style w:type="character" w:customStyle="1" w:styleId="QuoteChar">
    <w:name w:val="Quote Char"/>
    <w:basedOn w:val="DefaultParagraphFont"/>
    <w:link w:val="Quote"/>
    <w:uiPriority w:val="29"/>
    <w:rsid w:val="005E0519"/>
    <w:rPr>
      <w:i/>
      <w:iCs/>
      <w:color w:val="404040" w:themeColor="text1" w:themeTint="BF"/>
    </w:rPr>
  </w:style>
  <w:style w:type="paragraph" w:styleId="ListParagraph">
    <w:name w:val="List Paragraph"/>
    <w:basedOn w:val="Normal"/>
    <w:uiPriority w:val="34"/>
    <w:qFormat/>
    <w:rsid w:val="005E0519"/>
    <w:pPr>
      <w:ind w:left="720"/>
      <w:contextualSpacing/>
    </w:pPr>
  </w:style>
  <w:style w:type="character" w:styleId="IntenseEmphasis">
    <w:name w:val="Intense Emphasis"/>
    <w:basedOn w:val="DefaultParagraphFont"/>
    <w:uiPriority w:val="21"/>
    <w:qFormat/>
    <w:rsid w:val="005E0519"/>
    <w:rPr>
      <w:i/>
      <w:iCs/>
      <w:color w:val="0F4761" w:themeColor="accent1" w:themeShade="BF"/>
    </w:rPr>
  </w:style>
  <w:style w:type="paragraph" w:styleId="IntenseQuote">
    <w:name w:val="Intense Quote"/>
    <w:basedOn w:val="Normal"/>
    <w:next w:val="Normal"/>
    <w:link w:val="IntenseQuoteChar"/>
    <w:uiPriority w:val="30"/>
    <w:qFormat/>
    <w:rsid w:val="005E05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0519"/>
    <w:rPr>
      <w:i/>
      <w:iCs/>
      <w:color w:val="0F4761" w:themeColor="accent1" w:themeShade="BF"/>
    </w:rPr>
  </w:style>
  <w:style w:type="character" w:styleId="IntenseReference">
    <w:name w:val="Intense Reference"/>
    <w:basedOn w:val="DefaultParagraphFont"/>
    <w:uiPriority w:val="32"/>
    <w:qFormat/>
    <w:rsid w:val="005E0519"/>
    <w:rPr>
      <w:b/>
      <w:bCs/>
      <w:smallCaps/>
      <w:color w:val="0F4761" w:themeColor="accent1" w:themeShade="BF"/>
      <w:spacing w:val="5"/>
    </w:rPr>
  </w:style>
  <w:style w:type="paragraph" w:styleId="NormalWeb">
    <w:name w:val="Normal (Web)"/>
    <w:basedOn w:val="Normal"/>
    <w:uiPriority w:val="99"/>
    <w:semiHidden/>
    <w:unhideWhenUsed/>
    <w:rsid w:val="000525A1"/>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D36355"/>
    <w:rPr>
      <w:sz w:val="16"/>
      <w:szCs w:val="16"/>
    </w:rPr>
  </w:style>
  <w:style w:type="paragraph" w:styleId="CommentText">
    <w:name w:val="annotation text"/>
    <w:basedOn w:val="Normal"/>
    <w:link w:val="CommentTextChar"/>
    <w:uiPriority w:val="99"/>
    <w:semiHidden/>
    <w:unhideWhenUsed/>
    <w:rsid w:val="00D36355"/>
    <w:pPr>
      <w:spacing w:line="240" w:lineRule="auto"/>
    </w:pPr>
    <w:rPr>
      <w:sz w:val="20"/>
      <w:szCs w:val="20"/>
    </w:rPr>
  </w:style>
  <w:style w:type="character" w:customStyle="1" w:styleId="CommentTextChar">
    <w:name w:val="Comment Text Char"/>
    <w:basedOn w:val="DefaultParagraphFont"/>
    <w:link w:val="CommentText"/>
    <w:uiPriority w:val="99"/>
    <w:semiHidden/>
    <w:rsid w:val="00D36355"/>
    <w:rPr>
      <w:kern w:val="0"/>
      <w:sz w:val="20"/>
      <w:szCs w:val="20"/>
    </w:rPr>
  </w:style>
  <w:style w:type="paragraph" w:styleId="CommentSubject">
    <w:name w:val="annotation subject"/>
    <w:basedOn w:val="CommentText"/>
    <w:next w:val="CommentText"/>
    <w:link w:val="CommentSubjectChar"/>
    <w:uiPriority w:val="99"/>
    <w:semiHidden/>
    <w:unhideWhenUsed/>
    <w:rsid w:val="00D36355"/>
    <w:rPr>
      <w:b/>
      <w:bCs/>
    </w:rPr>
  </w:style>
  <w:style w:type="character" w:customStyle="1" w:styleId="CommentSubjectChar">
    <w:name w:val="Comment Subject Char"/>
    <w:basedOn w:val="CommentTextChar"/>
    <w:link w:val="CommentSubject"/>
    <w:uiPriority w:val="99"/>
    <w:semiHidden/>
    <w:rsid w:val="00D36355"/>
    <w:rPr>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gc7QBu4ukxOL7941Ko5RMipvMg==">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Pages>
  <Words>1213</Words>
  <Characters>6917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Yadaw, Arjun Singh (NIH/NCATS) [C]</dc:creator>
  <cp:lastModifiedBy>Arjun Yadaw</cp:lastModifiedBy>
  <cp:revision>13</cp:revision>
  <dcterms:created xsi:type="dcterms:W3CDTF">2024-07-09T13:37:00Z</dcterms:created>
  <dcterms:modified xsi:type="dcterms:W3CDTF">2025-04-29T15:42:00Z</dcterms:modified>
</cp:coreProperties>
</file>