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CB64F" w14:textId="6867449B" w:rsidR="00112380" w:rsidRPr="00677925" w:rsidRDefault="009C6884">
      <w:pPr>
        <w:rPr>
          <w:rFonts w:ascii="Times New Roman" w:hAnsi="Times New Roman" w:cs="Times New Roman"/>
          <w:sz w:val="20"/>
          <w:szCs w:val="20"/>
        </w:rPr>
      </w:pPr>
      <w:bookmarkStart w:id="0" w:name="_GoBack"/>
      <w:bookmarkEnd w:id="0"/>
      <w:r w:rsidRPr="00677925">
        <w:rPr>
          <w:rFonts w:ascii="Times New Roman" w:hAnsi="Times New Roman" w:cs="Times New Roman"/>
          <w:sz w:val="20"/>
          <w:szCs w:val="20"/>
        </w:rPr>
        <w:t>Supplemental Table 1</w:t>
      </w:r>
      <w:r w:rsidR="00851939" w:rsidRPr="00677925">
        <w:rPr>
          <w:rFonts w:ascii="Times New Roman" w:hAnsi="Times New Roman" w:cs="Times New Roman"/>
          <w:sz w:val="20"/>
          <w:szCs w:val="20"/>
        </w:rPr>
        <w:t xml:space="preserve">. </w:t>
      </w:r>
      <w:r w:rsidRPr="00677925">
        <w:rPr>
          <w:rFonts w:ascii="Times New Roman" w:hAnsi="Times New Roman" w:cs="Times New Roman"/>
          <w:sz w:val="20"/>
          <w:szCs w:val="20"/>
        </w:rPr>
        <w:t>Summary of</w:t>
      </w:r>
      <w:r w:rsidR="00C74A8F" w:rsidRPr="00677925">
        <w:rPr>
          <w:rFonts w:ascii="Times New Roman" w:hAnsi="Times New Roman" w:cs="Times New Roman"/>
          <w:sz w:val="20"/>
          <w:szCs w:val="20"/>
        </w:rPr>
        <w:t xml:space="preserve"> main findings </w:t>
      </w:r>
      <w:r w:rsidRPr="00677925">
        <w:rPr>
          <w:rFonts w:ascii="Times New Roman" w:hAnsi="Times New Roman" w:cs="Times New Roman"/>
          <w:sz w:val="20"/>
          <w:szCs w:val="20"/>
        </w:rPr>
        <w:t xml:space="preserve">for </w:t>
      </w:r>
      <w:r w:rsidR="0094014E" w:rsidRPr="00677925">
        <w:rPr>
          <w:rFonts w:ascii="Times New Roman" w:hAnsi="Times New Roman" w:cs="Times New Roman"/>
          <w:sz w:val="20"/>
          <w:szCs w:val="20"/>
        </w:rPr>
        <w:t>studies</w:t>
      </w:r>
      <w:r w:rsidR="00C74A8F" w:rsidRPr="00677925">
        <w:rPr>
          <w:rFonts w:ascii="Times New Roman" w:hAnsi="Times New Roman" w:cs="Times New Roman"/>
          <w:sz w:val="20"/>
          <w:szCs w:val="20"/>
        </w:rPr>
        <w:t xml:space="preserve"> </w:t>
      </w:r>
      <w:r w:rsidR="00D32108" w:rsidRPr="00677925">
        <w:rPr>
          <w:rFonts w:ascii="Times New Roman" w:hAnsi="Times New Roman" w:cs="Times New Roman"/>
          <w:sz w:val="20"/>
          <w:szCs w:val="20"/>
        </w:rPr>
        <w:t>included</w:t>
      </w:r>
      <w:r w:rsidR="00C74A8F" w:rsidRPr="00677925">
        <w:rPr>
          <w:rFonts w:ascii="Times New Roman" w:hAnsi="Times New Roman" w:cs="Times New Roman"/>
          <w:sz w:val="20"/>
          <w:szCs w:val="20"/>
        </w:rPr>
        <w:t xml:space="preserve"> in review</w:t>
      </w:r>
    </w:p>
    <w:tbl>
      <w:tblPr>
        <w:tblStyle w:val="TableGrid"/>
        <w:tblW w:w="10165" w:type="dxa"/>
        <w:tblLayout w:type="fixed"/>
        <w:tblLook w:val="04A0" w:firstRow="1" w:lastRow="0" w:firstColumn="1" w:lastColumn="0" w:noHBand="0" w:noVBand="1"/>
      </w:tblPr>
      <w:tblGrid>
        <w:gridCol w:w="2065"/>
        <w:gridCol w:w="8100"/>
      </w:tblGrid>
      <w:tr w:rsidR="005A574F" w:rsidRPr="00677925" w14:paraId="3B1F2AEA" w14:textId="77777777" w:rsidTr="005A574F">
        <w:tc>
          <w:tcPr>
            <w:tcW w:w="2065" w:type="dxa"/>
            <w:vAlign w:val="bottom"/>
          </w:tcPr>
          <w:p w14:paraId="1ABAD9EE" w14:textId="77777777" w:rsidR="005A574F" w:rsidRPr="00677925" w:rsidRDefault="005A574F" w:rsidP="00851939">
            <w:pPr>
              <w:rPr>
                <w:rFonts w:ascii="Times New Roman" w:hAnsi="Times New Roman" w:cs="Times New Roman"/>
                <w:sz w:val="20"/>
                <w:szCs w:val="20"/>
              </w:rPr>
            </w:pPr>
            <w:r w:rsidRPr="00677925">
              <w:rPr>
                <w:rFonts w:ascii="Times New Roman" w:hAnsi="Times New Roman" w:cs="Times New Roman"/>
                <w:sz w:val="20"/>
                <w:szCs w:val="20"/>
              </w:rPr>
              <w:t>Authors (Year)</w:t>
            </w:r>
          </w:p>
        </w:tc>
        <w:tc>
          <w:tcPr>
            <w:tcW w:w="8100" w:type="dxa"/>
            <w:vAlign w:val="bottom"/>
          </w:tcPr>
          <w:p w14:paraId="14FCA3A8" w14:textId="77777777" w:rsidR="005A574F" w:rsidRPr="00677925" w:rsidRDefault="005A574F" w:rsidP="00851939">
            <w:pPr>
              <w:rPr>
                <w:rFonts w:ascii="Times New Roman" w:hAnsi="Times New Roman" w:cs="Times New Roman"/>
                <w:sz w:val="20"/>
                <w:szCs w:val="20"/>
              </w:rPr>
            </w:pPr>
            <w:r w:rsidRPr="00677925">
              <w:rPr>
                <w:rFonts w:ascii="Times New Roman" w:hAnsi="Times New Roman" w:cs="Times New Roman"/>
                <w:sz w:val="20"/>
                <w:szCs w:val="20"/>
              </w:rPr>
              <w:t>Main findings</w:t>
            </w:r>
          </w:p>
        </w:tc>
      </w:tr>
      <w:tr w:rsidR="005A574F" w:rsidRPr="00677925" w14:paraId="3856F8DF" w14:textId="77777777" w:rsidTr="00C43162">
        <w:tc>
          <w:tcPr>
            <w:tcW w:w="10165" w:type="dxa"/>
            <w:gridSpan w:val="2"/>
            <w:vAlign w:val="bottom"/>
          </w:tcPr>
          <w:p w14:paraId="4138BA7C" w14:textId="4C8DB4FE" w:rsidR="005A574F" w:rsidRPr="00677925" w:rsidRDefault="005A574F" w:rsidP="00891D22">
            <w:pPr>
              <w:rPr>
                <w:rFonts w:ascii="Times New Roman" w:hAnsi="Times New Roman" w:cs="Times New Roman"/>
                <w:sz w:val="20"/>
                <w:szCs w:val="20"/>
              </w:rPr>
            </w:pPr>
            <w:r>
              <w:rPr>
                <w:rFonts w:ascii="Times New Roman" w:hAnsi="Times New Roman" w:cs="Times New Roman"/>
                <w:i/>
                <w:iCs/>
                <w:sz w:val="20"/>
                <w:szCs w:val="20"/>
              </w:rPr>
              <w:t>Longitudinal Studies (presented alphabetically)</w:t>
            </w:r>
          </w:p>
        </w:tc>
      </w:tr>
      <w:tr w:rsidR="005A574F" w:rsidRPr="00677925" w14:paraId="192CA9C3" w14:textId="77777777" w:rsidTr="005A574F">
        <w:tc>
          <w:tcPr>
            <w:tcW w:w="2065" w:type="dxa"/>
            <w:vAlign w:val="bottom"/>
          </w:tcPr>
          <w:p w14:paraId="02497DD8" w14:textId="1AC9D5E5" w:rsidR="005A574F" w:rsidRPr="00A519DC"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Anderson et al. (20</w:t>
            </w:r>
            <w:r w:rsidR="00A519DC">
              <w:rPr>
                <w:rFonts w:ascii="Times New Roman" w:hAnsi="Times New Roman" w:cs="Times New Roman"/>
                <w:sz w:val="20"/>
                <w:szCs w:val="20"/>
              </w:rPr>
              <w:t>1</w:t>
            </w:r>
            <w:r w:rsidRPr="00677925">
              <w:rPr>
                <w:rFonts w:ascii="Times New Roman" w:hAnsi="Times New Roman" w:cs="Times New Roman"/>
                <w:sz w:val="20"/>
                <w:szCs w:val="20"/>
              </w:rPr>
              <w:t>5)</w:t>
            </w:r>
            <w:r w:rsidR="00EA36F4">
              <w:rPr>
                <w:rFonts w:ascii="Times New Roman" w:hAnsi="Times New Roman" w:cs="Times New Roman"/>
                <w:sz w:val="20"/>
                <w:szCs w:val="20"/>
                <w:vertAlign w:val="superscript"/>
              </w:rPr>
              <w:t xml:space="preserve"> 81</w:t>
            </w:r>
          </w:p>
        </w:tc>
        <w:tc>
          <w:tcPr>
            <w:tcW w:w="8100" w:type="dxa"/>
          </w:tcPr>
          <w:p w14:paraId="25F3E889"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Motives for positive reinforcement from marijuana were assessed in mid to late adolescence predicted greater use-related problems in emerging adulthood. Motives to abstain also moderated the influence of negative reinforcement motives on marijuana-related problems at age 25, with a buffering effect only occurring for youth with the greatest number of motives to abstain (i.e., 7–10 reasons).</w:t>
            </w:r>
          </w:p>
        </w:tc>
      </w:tr>
      <w:tr w:rsidR="005A574F" w:rsidRPr="00677925" w14:paraId="113E6556" w14:textId="77777777" w:rsidTr="005A574F">
        <w:tc>
          <w:tcPr>
            <w:tcW w:w="2065" w:type="dxa"/>
            <w:vAlign w:val="bottom"/>
          </w:tcPr>
          <w:p w14:paraId="7FC304D8" w14:textId="4C1F7F71" w:rsidR="005A574F" w:rsidRPr="00A519DC"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Brown et al. (2021)</w:t>
            </w:r>
            <w:r w:rsidR="00F75324">
              <w:rPr>
                <w:rFonts w:ascii="Times New Roman" w:hAnsi="Times New Roman" w:cs="Times New Roman"/>
                <w:sz w:val="20"/>
                <w:szCs w:val="20"/>
                <w:vertAlign w:val="superscript"/>
              </w:rPr>
              <w:t xml:space="preserve"> 33</w:t>
            </w:r>
          </w:p>
        </w:tc>
        <w:tc>
          <w:tcPr>
            <w:tcW w:w="8100" w:type="dxa"/>
            <w:vAlign w:val="bottom"/>
          </w:tcPr>
          <w:p w14:paraId="5225DA8E"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Schizotypy features were associated with cannabis problems at baseline, as well as 4-, 7- and 10-month follow up assessments. Interpersonal and Cognitive-Perceptual Deficit subscales were inconsistently associated with cannabis problems, being significant and positively associated at baseline and 4-months follow up. However, Disorganization was a significant and robust predictor of cannabis problem at all assessment periods. Cannabis use frequency was largely unassociated with experiences of cannabis use problems.</w:t>
            </w:r>
          </w:p>
        </w:tc>
      </w:tr>
      <w:tr w:rsidR="005A574F" w:rsidRPr="00677925" w14:paraId="5B51AB6F" w14:textId="77777777" w:rsidTr="005A574F">
        <w:trPr>
          <w:trHeight w:val="170"/>
        </w:trPr>
        <w:tc>
          <w:tcPr>
            <w:tcW w:w="2065" w:type="dxa"/>
            <w:vAlign w:val="bottom"/>
          </w:tcPr>
          <w:p w14:paraId="49EFFB9E" w14:textId="6F68F64D" w:rsidR="005A574F" w:rsidRPr="001E7B3B"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D'Amico et al. (2020)</w:t>
            </w:r>
            <w:r w:rsidR="00A544A2">
              <w:rPr>
                <w:rFonts w:ascii="Times New Roman" w:hAnsi="Times New Roman" w:cs="Times New Roman"/>
                <w:sz w:val="20"/>
                <w:szCs w:val="20"/>
                <w:vertAlign w:val="superscript"/>
              </w:rPr>
              <w:t xml:space="preserve"> 101</w:t>
            </w:r>
          </w:p>
        </w:tc>
        <w:tc>
          <w:tcPr>
            <w:tcW w:w="8100" w:type="dxa"/>
            <w:vAlign w:val="bottom"/>
          </w:tcPr>
          <w:p w14:paraId="41B51775"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Males reported slightly more cannabis consequences (2.7 vs 2.2). Those with a medical marijuana card reported slightly more cannabis consequences (2.3 vs 2.9). With regard to CUDIT scores, males and those with a card not only had significantly higher scores than their counterparts, they also met the threshold (score &gt;2) for likely cannabis use disorder (CUD). Increases in the number of total cannabis sources (medical dispensary, recreational retailer, family or friend, stranger or dealer) were significantly associated with increases in consequences and CUDIT scores. Compared to those obtaining cannabis from family or friends, total number of consequences was 1.3 times greater for those getting cannabis from medical cannabis dispensaries or recreation dispensary retailers, and 1.8 times greater for those getting cannabis from strangers/dealers. Compared to those purchasing cannabis from family or friends, CUDIT scores were 2.9 times higher for those obtaining it from medical cannabis dispensaries, 2.1 times higher when obtaining from recreational cannabis retailers, and 3 times higher when obtaining from strangers/dealers, with those obtaining it from medical cannabis dispensaries or from strangers/dealers exceeding the threshold for likely CUD.</w:t>
            </w:r>
          </w:p>
        </w:tc>
      </w:tr>
      <w:tr w:rsidR="005A574F" w:rsidRPr="00677925" w14:paraId="743ED125" w14:textId="77777777" w:rsidTr="005A574F">
        <w:tc>
          <w:tcPr>
            <w:tcW w:w="2065" w:type="dxa"/>
            <w:vAlign w:val="bottom"/>
          </w:tcPr>
          <w:p w14:paraId="672AA98C" w14:textId="28BDE987" w:rsidR="005A574F" w:rsidRPr="001E7B3B" w:rsidRDefault="005A574F" w:rsidP="00891D22">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Dyar</w:t>
            </w:r>
            <w:proofErr w:type="spellEnd"/>
            <w:r w:rsidRPr="00677925">
              <w:rPr>
                <w:rFonts w:ascii="Times New Roman" w:hAnsi="Times New Roman" w:cs="Times New Roman"/>
                <w:sz w:val="20"/>
                <w:szCs w:val="20"/>
              </w:rPr>
              <w:t xml:space="preserve"> et al. (2021)</w:t>
            </w:r>
            <w:r w:rsidR="00A544A2">
              <w:rPr>
                <w:rFonts w:ascii="Times New Roman" w:hAnsi="Times New Roman" w:cs="Times New Roman"/>
                <w:sz w:val="20"/>
                <w:szCs w:val="20"/>
                <w:vertAlign w:val="superscript"/>
              </w:rPr>
              <w:t xml:space="preserve"> 107</w:t>
            </w:r>
          </w:p>
        </w:tc>
        <w:tc>
          <w:tcPr>
            <w:tcW w:w="8100" w:type="dxa"/>
            <w:vAlign w:val="bottom"/>
          </w:tcPr>
          <w:p w14:paraId="29D53AD5"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Gender did not significantly moderate any of the within-person associations between the sexual orientations and genders of cannabis use companions and problematic cannabis use. When participants reported using with sexual minority women or non-binary individuals at one wave, they experienced an increase in problematic use at the next wave. However, using with sexual minority men, heterosexual women, and heterosexual men were not significantly associated with changes in problematic cannabis use. Age, sexual identity, and race/ethnicity were not significantly associated with average problematic cannabis use across waves.</w:t>
            </w:r>
          </w:p>
        </w:tc>
      </w:tr>
      <w:tr w:rsidR="005A574F" w:rsidRPr="00677925" w14:paraId="56600303" w14:textId="77777777" w:rsidTr="005A574F">
        <w:tc>
          <w:tcPr>
            <w:tcW w:w="2065" w:type="dxa"/>
            <w:vAlign w:val="bottom"/>
          </w:tcPr>
          <w:p w14:paraId="40E2D8B6" w14:textId="6E8ED250" w:rsidR="005A574F" w:rsidRPr="003073B4" w:rsidRDefault="005A574F" w:rsidP="00891D22">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Goodhines</w:t>
            </w:r>
            <w:proofErr w:type="spellEnd"/>
            <w:r w:rsidRPr="00677925">
              <w:rPr>
                <w:rFonts w:ascii="Times New Roman" w:hAnsi="Times New Roman" w:cs="Times New Roman"/>
                <w:sz w:val="20"/>
                <w:szCs w:val="20"/>
              </w:rPr>
              <w:t xml:space="preserve"> et al.</w:t>
            </w:r>
            <w:r>
              <w:rPr>
                <w:rFonts w:ascii="Times New Roman" w:hAnsi="Times New Roman" w:cs="Times New Roman"/>
                <w:sz w:val="20"/>
                <w:szCs w:val="20"/>
              </w:rPr>
              <w:t xml:space="preserve"> (2022)</w:t>
            </w:r>
            <w:r w:rsidR="003073B4">
              <w:rPr>
                <w:rFonts w:ascii="Times New Roman" w:hAnsi="Times New Roman" w:cs="Times New Roman"/>
                <w:sz w:val="20"/>
                <w:szCs w:val="20"/>
                <w:vertAlign w:val="superscript"/>
              </w:rPr>
              <w:t>35</w:t>
            </w:r>
          </w:p>
        </w:tc>
        <w:tc>
          <w:tcPr>
            <w:tcW w:w="8100" w:type="dxa"/>
            <w:vAlign w:val="bottom"/>
          </w:tcPr>
          <w:p w14:paraId="73CE8F65"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 xml:space="preserve">Across the 14-day diary period, sleep aid users reported higher levels of negative cannabis consequences compared to nonusers. Daily cannabis sleep aid use was not associated with negative cannabis consequences either the following day or the day after that. Days of greater cannabis frequency were associated with shorter sleep onset latency and greater next-day negative cannabis consequences. </w:t>
            </w:r>
          </w:p>
        </w:tc>
      </w:tr>
      <w:tr w:rsidR="005A574F" w:rsidRPr="00677925" w14:paraId="6DC2A36C" w14:textId="77777777" w:rsidTr="005A574F">
        <w:tc>
          <w:tcPr>
            <w:tcW w:w="2065" w:type="dxa"/>
            <w:vAlign w:val="bottom"/>
          </w:tcPr>
          <w:p w14:paraId="5EB2DF8D" w14:textId="18B495C5" w:rsidR="005A574F" w:rsidRPr="00EA59AF" w:rsidRDefault="005A574F" w:rsidP="00CD5FB5">
            <w:pPr>
              <w:rPr>
                <w:rFonts w:ascii="Times New Roman" w:hAnsi="Times New Roman" w:cs="Times New Roman"/>
                <w:sz w:val="20"/>
                <w:szCs w:val="20"/>
                <w:vertAlign w:val="superscript"/>
              </w:rPr>
            </w:pPr>
            <w:r w:rsidRPr="00677925">
              <w:rPr>
                <w:rFonts w:ascii="Times New Roman" w:hAnsi="Times New Roman" w:cs="Times New Roman"/>
                <w:sz w:val="20"/>
                <w:szCs w:val="20"/>
              </w:rPr>
              <w:t>Hines et al. (2020)</w:t>
            </w:r>
            <w:r w:rsidR="00F75324">
              <w:rPr>
                <w:rFonts w:ascii="Times New Roman" w:hAnsi="Times New Roman" w:cs="Times New Roman"/>
                <w:sz w:val="20"/>
                <w:szCs w:val="20"/>
                <w:vertAlign w:val="superscript"/>
              </w:rPr>
              <w:t xml:space="preserve"> 47</w:t>
            </w:r>
          </w:p>
        </w:tc>
        <w:tc>
          <w:tcPr>
            <w:tcW w:w="8100" w:type="dxa"/>
            <w:vAlign w:val="bottom"/>
          </w:tcPr>
          <w:p w14:paraId="3111451A" w14:textId="77777777" w:rsidR="005A574F" w:rsidRPr="00677925" w:rsidRDefault="005A574F" w:rsidP="00CD5FB5">
            <w:pPr>
              <w:rPr>
                <w:rFonts w:ascii="Times New Roman" w:hAnsi="Times New Roman" w:cs="Times New Roman"/>
                <w:sz w:val="20"/>
                <w:szCs w:val="20"/>
              </w:rPr>
            </w:pPr>
            <w:r w:rsidRPr="00677925">
              <w:rPr>
                <w:rFonts w:ascii="Times New Roman" w:hAnsi="Times New Roman" w:cs="Times New Roman"/>
                <w:sz w:val="20"/>
                <w:szCs w:val="20"/>
              </w:rPr>
              <w:t>There was an unadjusted association between the use of high-potency cannabis and experiencing recent cannabis problems that was attenuated by adjustment for age at onset of cannabis use and frequency of cannabis use; however, those reporting use of high-potency cannabis were more</w:t>
            </w:r>
          </w:p>
          <w:p w14:paraId="6A161F7B" w14:textId="7E94CD49" w:rsidR="005A574F" w:rsidRPr="00677925" w:rsidRDefault="005A574F" w:rsidP="00CD5FB5">
            <w:pPr>
              <w:rPr>
                <w:rFonts w:ascii="Times New Roman" w:hAnsi="Times New Roman" w:cs="Times New Roman"/>
                <w:sz w:val="20"/>
                <w:szCs w:val="20"/>
              </w:rPr>
            </w:pPr>
            <w:r w:rsidRPr="00677925">
              <w:rPr>
                <w:rFonts w:ascii="Times New Roman" w:hAnsi="Times New Roman" w:cs="Times New Roman"/>
                <w:sz w:val="20"/>
                <w:szCs w:val="20"/>
              </w:rPr>
              <w:t>than 4 times as likely to report having recently experienced problems associated with their cannabis use.</w:t>
            </w:r>
          </w:p>
        </w:tc>
      </w:tr>
      <w:tr w:rsidR="005A574F" w:rsidRPr="00677925" w14:paraId="20DF52CF" w14:textId="77777777" w:rsidTr="005A574F">
        <w:tc>
          <w:tcPr>
            <w:tcW w:w="2065" w:type="dxa"/>
            <w:vAlign w:val="bottom"/>
          </w:tcPr>
          <w:p w14:paraId="123E4239" w14:textId="62E2631B" w:rsidR="005A574F" w:rsidRPr="00EA59AF"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Kogan et al.</w:t>
            </w:r>
            <w:r>
              <w:rPr>
                <w:rFonts w:ascii="Times New Roman" w:hAnsi="Times New Roman" w:cs="Times New Roman"/>
                <w:sz w:val="20"/>
                <w:szCs w:val="20"/>
              </w:rPr>
              <w:t xml:space="preserve"> (2017)</w:t>
            </w:r>
            <w:r w:rsidR="00A544A2">
              <w:rPr>
                <w:rFonts w:ascii="Times New Roman" w:hAnsi="Times New Roman" w:cs="Times New Roman"/>
                <w:sz w:val="20"/>
                <w:szCs w:val="20"/>
                <w:vertAlign w:val="superscript"/>
              </w:rPr>
              <w:t xml:space="preserve"> 113</w:t>
            </w:r>
          </w:p>
        </w:tc>
        <w:tc>
          <w:tcPr>
            <w:tcW w:w="8100" w:type="dxa"/>
            <w:vAlign w:val="bottom"/>
          </w:tcPr>
          <w:p w14:paraId="19F32BAD"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In the context of high levels of community disadvantage, marijuana use was associated significantly with increases in substance use-related problems across the 3-year study period. Marijuana use influenced substance use problems indirectly via increases in social disengagement. The conditional indirect effect linking marijuana use to substance use-related problems via social disengagement was significant in the context of elevated community disadvantage.</w:t>
            </w:r>
          </w:p>
        </w:tc>
      </w:tr>
      <w:tr w:rsidR="005A574F" w:rsidRPr="00677925" w14:paraId="5A066426" w14:textId="77777777" w:rsidTr="005A574F">
        <w:tc>
          <w:tcPr>
            <w:tcW w:w="2065" w:type="dxa"/>
            <w:vAlign w:val="bottom"/>
          </w:tcPr>
          <w:p w14:paraId="54B0EACA" w14:textId="2200FA06" w:rsidR="005A574F" w:rsidRPr="00AD33AF" w:rsidRDefault="005A574F" w:rsidP="00891D22">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Metrik</w:t>
            </w:r>
            <w:proofErr w:type="spellEnd"/>
            <w:r w:rsidRPr="00677925">
              <w:rPr>
                <w:rFonts w:ascii="Times New Roman" w:hAnsi="Times New Roman" w:cs="Times New Roman"/>
                <w:sz w:val="20"/>
                <w:szCs w:val="20"/>
              </w:rPr>
              <w:t xml:space="preserve"> et al. (2022)</w:t>
            </w:r>
            <w:r w:rsidR="00F75324">
              <w:rPr>
                <w:rFonts w:ascii="Times New Roman" w:hAnsi="Times New Roman" w:cs="Times New Roman"/>
                <w:sz w:val="20"/>
                <w:szCs w:val="20"/>
                <w:vertAlign w:val="superscript"/>
              </w:rPr>
              <w:t xml:space="preserve"> 34</w:t>
            </w:r>
          </w:p>
        </w:tc>
        <w:tc>
          <w:tcPr>
            <w:tcW w:w="8100" w:type="dxa"/>
            <w:vAlign w:val="bottom"/>
          </w:tcPr>
          <w:p w14:paraId="066B3614"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 xml:space="preserve">In a longitudinal analysis with a veteran sample, baseline PTSD was associated with subsequent CUD at 12 months, but reverse associations were not statistically significant. Baseline, 6 months, and </w:t>
            </w:r>
            <w:proofErr w:type="gramStart"/>
            <w:r w:rsidRPr="00677925">
              <w:rPr>
                <w:rFonts w:ascii="Times New Roman" w:hAnsi="Times New Roman" w:cs="Times New Roman"/>
                <w:sz w:val="20"/>
                <w:szCs w:val="20"/>
              </w:rPr>
              <w:t>12 month</w:t>
            </w:r>
            <w:proofErr w:type="gramEnd"/>
            <w:r w:rsidRPr="00677925">
              <w:rPr>
                <w:rFonts w:ascii="Times New Roman" w:hAnsi="Times New Roman" w:cs="Times New Roman"/>
                <w:sz w:val="20"/>
                <w:szCs w:val="20"/>
              </w:rPr>
              <w:t xml:space="preserve"> depression and anxiety scores were significantly correlated with CUD at 12 months.</w:t>
            </w:r>
          </w:p>
        </w:tc>
      </w:tr>
      <w:tr w:rsidR="005A574F" w:rsidRPr="00677925" w14:paraId="62A21A53" w14:textId="77777777" w:rsidTr="005A574F">
        <w:tc>
          <w:tcPr>
            <w:tcW w:w="2065" w:type="dxa"/>
            <w:vAlign w:val="bottom"/>
          </w:tcPr>
          <w:p w14:paraId="345024A1" w14:textId="1A846B49" w:rsidR="005A574F" w:rsidRPr="000016C6"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Oesterle et al.</w:t>
            </w:r>
            <w:r>
              <w:rPr>
                <w:rFonts w:ascii="Times New Roman" w:hAnsi="Times New Roman" w:cs="Times New Roman"/>
                <w:sz w:val="20"/>
                <w:szCs w:val="20"/>
              </w:rPr>
              <w:t xml:space="preserve"> (2011)</w:t>
            </w:r>
            <w:r w:rsidR="00A544A2">
              <w:rPr>
                <w:rFonts w:ascii="Times New Roman" w:hAnsi="Times New Roman" w:cs="Times New Roman"/>
                <w:sz w:val="20"/>
                <w:szCs w:val="20"/>
                <w:vertAlign w:val="superscript"/>
              </w:rPr>
              <w:t xml:space="preserve"> 112</w:t>
            </w:r>
          </w:p>
        </w:tc>
        <w:tc>
          <w:tcPr>
            <w:tcW w:w="8100" w:type="dxa"/>
            <w:vAlign w:val="bottom"/>
          </w:tcPr>
          <w:p w14:paraId="16CA1C08"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Nicotine dependence was nearly twice as high for men and women on the unmarried pathways compared with postsecondary-educated men and women--who had the lowest rates overall. Among men, the pathway described as unmarried with limited postsecondary education was associated with the highest rates of marijuana abuse or dependence between ages 18 and 33. Rates on this pathway were about twice as high as for men on the other pathways, which did not differ from each other. More frequent substance use before age 18 was strongly and positively associated with substance misuse at age 18 and later.</w:t>
            </w:r>
          </w:p>
        </w:tc>
      </w:tr>
      <w:tr w:rsidR="005A574F" w:rsidRPr="00677925" w14:paraId="1E7E7B18" w14:textId="77777777" w:rsidTr="005A574F">
        <w:trPr>
          <w:trHeight w:val="1070"/>
        </w:trPr>
        <w:tc>
          <w:tcPr>
            <w:tcW w:w="2065" w:type="dxa"/>
            <w:vAlign w:val="bottom"/>
          </w:tcPr>
          <w:p w14:paraId="63F71AF1" w14:textId="65147E59" w:rsidR="005A574F" w:rsidRPr="000016C6"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Pacheco-Colon et al. (2022)</w:t>
            </w:r>
            <w:r w:rsidR="00A544A2">
              <w:rPr>
                <w:rFonts w:ascii="Times New Roman" w:hAnsi="Times New Roman" w:cs="Times New Roman"/>
                <w:sz w:val="20"/>
                <w:szCs w:val="20"/>
                <w:vertAlign w:val="superscript"/>
              </w:rPr>
              <w:t xml:space="preserve"> 94</w:t>
            </w:r>
          </w:p>
        </w:tc>
        <w:tc>
          <w:tcPr>
            <w:tcW w:w="8100" w:type="dxa"/>
            <w:vAlign w:val="bottom"/>
          </w:tcPr>
          <w:p w14:paraId="531317A2"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 xml:space="preserve">Delayed memory did not predict onset of cannabis use disorder (abuse or dependence). </w:t>
            </w:r>
          </w:p>
        </w:tc>
      </w:tr>
      <w:tr w:rsidR="005A574F" w:rsidRPr="00677925" w14:paraId="7DC9B364" w14:textId="77777777" w:rsidTr="005A574F">
        <w:trPr>
          <w:trHeight w:val="1070"/>
        </w:trPr>
        <w:tc>
          <w:tcPr>
            <w:tcW w:w="2065" w:type="dxa"/>
            <w:vAlign w:val="bottom"/>
          </w:tcPr>
          <w:p w14:paraId="455375FE" w14:textId="5E400A53" w:rsidR="005A574F" w:rsidRPr="00644F2D"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Patterson et al.</w:t>
            </w:r>
            <w:r>
              <w:rPr>
                <w:rFonts w:ascii="Times New Roman" w:hAnsi="Times New Roman" w:cs="Times New Roman"/>
                <w:sz w:val="20"/>
                <w:szCs w:val="20"/>
              </w:rPr>
              <w:t xml:space="preserve"> (2020)</w:t>
            </w:r>
            <w:r w:rsidR="00EA36F4">
              <w:rPr>
                <w:rFonts w:ascii="Times New Roman" w:hAnsi="Times New Roman" w:cs="Times New Roman"/>
                <w:sz w:val="20"/>
                <w:szCs w:val="20"/>
                <w:vertAlign w:val="superscript"/>
              </w:rPr>
              <w:t>74</w:t>
            </w:r>
          </w:p>
        </w:tc>
        <w:tc>
          <w:tcPr>
            <w:tcW w:w="8100" w:type="dxa"/>
            <w:vAlign w:val="bottom"/>
          </w:tcPr>
          <w:p w14:paraId="6EEFBA44"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Bivariate relationships were evident for all substance use e (social, coping, self-enhancement, and expansion) with marijuana use problems at time 6. Multivariable results indicated that greater Expansion marijuana use motives predicted problem marijuana use at time 6. When individual subscales were entered into the model, all marijuana use motives subscales except Conformity were significant predictors, with the greatest amount of variance accounted for by Expansion followed by Self-enhancement. Other predictors included being male and a student from a historically black college or university. Of note, too few participants reported using marijuana only so analyses were completed using students reporting both alcohol and marijuana use (n=195).</w:t>
            </w:r>
          </w:p>
        </w:tc>
      </w:tr>
      <w:tr w:rsidR="005A574F" w:rsidRPr="00677925" w14:paraId="5929FDA4" w14:textId="77777777" w:rsidTr="005A574F">
        <w:trPr>
          <w:trHeight w:val="1277"/>
        </w:trPr>
        <w:tc>
          <w:tcPr>
            <w:tcW w:w="2065" w:type="dxa"/>
            <w:vAlign w:val="bottom"/>
          </w:tcPr>
          <w:p w14:paraId="67A99678" w14:textId="59D904DE" w:rsidR="005A574F" w:rsidRPr="00E36C5E"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Ramirez et al. (2020)</w:t>
            </w:r>
            <w:r w:rsidR="00A544A2">
              <w:rPr>
                <w:rFonts w:ascii="Times New Roman" w:hAnsi="Times New Roman" w:cs="Times New Roman"/>
                <w:sz w:val="20"/>
                <w:szCs w:val="20"/>
                <w:vertAlign w:val="superscript"/>
              </w:rPr>
              <w:t xml:space="preserve"> 96</w:t>
            </w:r>
          </w:p>
        </w:tc>
        <w:tc>
          <w:tcPr>
            <w:tcW w:w="8100" w:type="dxa"/>
            <w:vAlign w:val="bottom"/>
          </w:tcPr>
          <w:p w14:paraId="673E3952"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In a zero-inflated negative binominal regression model, implicit association test (IAT) scores were significant concurrent predictors of both the full range of CUDIT scores (count portion) and the odds of having no risk of a CUD (inflate portion). Marijuana-harm IAT scores did not significantly predict changes in CUDIT scores at 12 months.</w:t>
            </w:r>
          </w:p>
        </w:tc>
      </w:tr>
      <w:tr w:rsidR="005A574F" w:rsidRPr="00677925" w14:paraId="13E1BE62" w14:textId="77777777" w:rsidTr="005A574F">
        <w:tc>
          <w:tcPr>
            <w:tcW w:w="2065" w:type="dxa"/>
            <w:vAlign w:val="bottom"/>
          </w:tcPr>
          <w:p w14:paraId="694A30DB" w14:textId="759C9602" w:rsidR="005A574F" w:rsidRPr="00E36C5E" w:rsidRDefault="005A574F" w:rsidP="005A7505">
            <w:pPr>
              <w:rPr>
                <w:rFonts w:ascii="Times New Roman" w:hAnsi="Times New Roman" w:cs="Times New Roman"/>
                <w:sz w:val="20"/>
                <w:szCs w:val="20"/>
                <w:vertAlign w:val="superscript"/>
              </w:rPr>
            </w:pPr>
            <w:r w:rsidRPr="00677925">
              <w:rPr>
                <w:rFonts w:ascii="Times New Roman" w:hAnsi="Times New Roman" w:cs="Times New Roman"/>
                <w:sz w:val="20"/>
                <w:szCs w:val="20"/>
              </w:rPr>
              <w:t>Simpson et al. (2021)</w:t>
            </w:r>
            <w:r w:rsidR="00F75324">
              <w:rPr>
                <w:rFonts w:ascii="Times New Roman" w:hAnsi="Times New Roman" w:cs="Times New Roman"/>
                <w:sz w:val="20"/>
                <w:szCs w:val="20"/>
                <w:vertAlign w:val="superscript"/>
              </w:rPr>
              <w:t xml:space="preserve"> 52</w:t>
            </w:r>
          </w:p>
        </w:tc>
        <w:tc>
          <w:tcPr>
            <w:tcW w:w="8100" w:type="dxa"/>
            <w:vAlign w:val="bottom"/>
          </w:tcPr>
          <w:p w14:paraId="1BAB40CD" w14:textId="18DB8560" w:rsidR="005A574F" w:rsidRPr="00677925" w:rsidRDefault="005A574F" w:rsidP="005A7505">
            <w:pPr>
              <w:rPr>
                <w:rFonts w:ascii="Times New Roman" w:hAnsi="Times New Roman" w:cs="Times New Roman"/>
                <w:sz w:val="20"/>
                <w:szCs w:val="20"/>
              </w:rPr>
            </w:pPr>
            <w:r w:rsidRPr="00677925">
              <w:rPr>
                <w:rFonts w:ascii="Times New Roman" w:hAnsi="Times New Roman" w:cs="Times New Roman"/>
                <w:sz w:val="20"/>
                <w:szCs w:val="20"/>
              </w:rPr>
              <w:t>Current frequent use of combustible cannabis (vs. non-current use) was associated with greater odds of being classified in the moderate use problems and severe problems classes. Semi-frequent (vs. non-current) use of edible cannabis was associated with more than twice the odds of being in each symptomatic dependence class (vs. non-symptomatic class). Concentrate use was associated with elevated, but statistically non-significant ORs for each association, except for infrequent use with severe symptoms. Blunt use was associated with membership in all problems classes. Frequency of use of each type of cannabis product was associated with membership in each class relative to the non-symptomatic class.</w:t>
            </w:r>
          </w:p>
        </w:tc>
      </w:tr>
      <w:tr w:rsidR="005A574F" w:rsidRPr="00677925" w14:paraId="3170003B" w14:textId="77777777" w:rsidTr="005A574F">
        <w:trPr>
          <w:trHeight w:val="1070"/>
        </w:trPr>
        <w:tc>
          <w:tcPr>
            <w:tcW w:w="2065" w:type="dxa"/>
            <w:vAlign w:val="bottom"/>
          </w:tcPr>
          <w:p w14:paraId="56F54F84" w14:textId="1333B102" w:rsidR="005A574F" w:rsidRPr="005D014A"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Steers et al.</w:t>
            </w:r>
            <w:r>
              <w:rPr>
                <w:rFonts w:ascii="Times New Roman" w:hAnsi="Times New Roman" w:cs="Times New Roman"/>
                <w:sz w:val="20"/>
                <w:szCs w:val="20"/>
              </w:rPr>
              <w:t xml:space="preserve"> (2015)</w:t>
            </w:r>
            <w:r w:rsidRPr="00677925">
              <w:rPr>
                <w:rFonts w:ascii="Times New Roman" w:hAnsi="Times New Roman" w:cs="Times New Roman"/>
                <w:sz w:val="20"/>
                <w:szCs w:val="20"/>
              </w:rPr>
              <w:t>- Study 2</w:t>
            </w:r>
            <w:r w:rsidR="00A544A2">
              <w:rPr>
                <w:rFonts w:ascii="Times New Roman" w:hAnsi="Times New Roman" w:cs="Times New Roman"/>
                <w:sz w:val="20"/>
                <w:szCs w:val="20"/>
                <w:vertAlign w:val="superscript"/>
              </w:rPr>
              <w:t xml:space="preserve"> 97</w:t>
            </w:r>
          </w:p>
        </w:tc>
        <w:tc>
          <w:tcPr>
            <w:tcW w:w="8100" w:type="dxa"/>
            <w:vAlign w:val="bottom"/>
          </w:tcPr>
          <w:p w14:paraId="3D1D8B26" w14:textId="7E02B09A"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 xml:space="preserve">Respondents scored an average of 2.94 for negative marijuana-related consequences on the RMPI. Students reported experiencing an average of 3.23 marijuana-related consequences an average of 6–10 times in the previous 90 days. On average, students reported more harmonious than obsession passion for marijuana use. </w:t>
            </w:r>
          </w:p>
        </w:tc>
      </w:tr>
      <w:tr w:rsidR="005A574F" w:rsidRPr="00677925" w14:paraId="175993CF" w14:textId="77777777" w:rsidTr="005A574F">
        <w:trPr>
          <w:trHeight w:val="1070"/>
        </w:trPr>
        <w:tc>
          <w:tcPr>
            <w:tcW w:w="2065" w:type="dxa"/>
            <w:vAlign w:val="bottom"/>
          </w:tcPr>
          <w:p w14:paraId="249D8A81" w14:textId="411A4AF4" w:rsidR="005A574F" w:rsidRPr="005D014A"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 xml:space="preserve">Swann et al. </w:t>
            </w:r>
            <w:r>
              <w:rPr>
                <w:rFonts w:ascii="Times New Roman" w:hAnsi="Times New Roman" w:cs="Times New Roman"/>
                <w:sz w:val="20"/>
                <w:szCs w:val="20"/>
              </w:rPr>
              <w:t>(2017)</w:t>
            </w:r>
            <w:r w:rsidR="00F75324">
              <w:rPr>
                <w:rFonts w:ascii="Times New Roman" w:hAnsi="Times New Roman" w:cs="Times New Roman"/>
                <w:sz w:val="20"/>
                <w:szCs w:val="20"/>
                <w:vertAlign w:val="superscript"/>
              </w:rPr>
              <w:t xml:space="preserve"> 55</w:t>
            </w:r>
          </w:p>
        </w:tc>
        <w:tc>
          <w:tcPr>
            <w:tcW w:w="8100" w:type="dxa"/>
            <w:vAlign w:val="bottom"/>
          </w:tcPr>
          <w:p w14:paraId="07B3CA03" w14:textId="3E7481A6"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In a latent growth model, higher marijuana intercepts, 17–</w:t>
            </w:r>
            <w:proofErr w:type="gramStart"/>
            <w:r w:rsidRPr="00677925">
              <w:rPr>
                <w:rFonts w:ascii="Times New Roman" w:hAnsi="Times New Roman" w:cs="Times New Roman"/>
                <w:sz w:val="20"/>
                <w:szCs w:val="20"/>
              </w:rPr>
              <w:t xml:space="preserve">21 </w:t>
            </w:r>
            <w:r>
              <w:rPr>
                <w:rFonts w:ascii="Times New Roman" w:hAnsi="Times New Roman" w:cs="Times New Roman"/>
                <w:sz w:val="20"/>
                <w:szCs w:val="20"/>
              </w:rPr>
              <w:t>year</w:t>
            </w:r>
            <w:proofErr w:type="gramEnd"/>
            <w:r>
              <w:rPr>
                <w:rFonts w:ascii="Times New Roman" w:hAnsi="Times New Roman" w:cs="Times New Roman"/>
                <w:sz w:val="20"/>
                <w:szCs w:val="20"/>
              </w:rPr>
              <w:t xml:space="preserve"> </w:t>
            </w:r>
            <w:r w:rsidRPr="00677925">
              <w:rPr>
                <w:rFonts w:ascii="Times New Roman" w:hAnsi="Times New Roman" w:cs="Times New Roman"/>
                <w:sz w:val="20"/>
                <w:szCs w:val="20"/>
              </w:rPr>
              <w:t xml:space="preserve">slopes, and 22–24 </w:t>
            </w:r>
            <w:r>
              <w:rPr>
                <w:rFonts w:ascii="Times New Roman" w:hAnsi="Times New Roman" w:cs="Times New Roman"/>
                <w:sz w:val="20"/>
                <w:szCs w:val="20"/>
              </w:rPr>
              <w:t xml:space="preserve">year </w:t>
            </w:r>
            <w:r w:rsidRPr="00677925">
              <w:rPr>
                <w:rFonts w:ascii="Times New Roman" w:hAnsi="Times New Roman" w:cs="Times New Roman"/>
                <w:sz w:val="20"/>
                <w:szCs w:val="20"/>
              </w:rPr>
              <w:t>slopes were associated with higher CUDIT scores. None of the other substance use factors were significantly associated with CUDIT scores. There were no significant race/ethnicity or sexual orientation differences on the CUDIT.</w:t>
            </w:r>
          </w:p>
        </w:tc>
      </w:tr>
      <w:tr w:rsidR="005A574F" w:rsidRPr="00677925" w14:paraId="7FCAA605" w14:textId="77777777" w:rsidTr="005A574F">
        <w:tc>
          <w:tcPr>
            <w:tcW w:w="2065" w:type="dxa"/>
            <w:vAlign w:val="bottom"/>
          </w:tcPr>
          <w:p w14:paraId="4B9DBF10" w14:textId="28BA5972" w:rsidR="005A574F" w:rsidRPr="005D014A" w:rsidRDefault="005A574F" w:rsidP="0075141B">
            <w:pPr>
              <w:rPr>
                <w:rFonts w:ascii="Times New Roman" w:hAnsi="Times New Roman" w:cs="Times New Roman"/>
                <w:sz w:val="20"/>
                <w:szCs w:val="20"/>
                <w:highlight w:val="green"/>
                <w:vertAlign w:val="superscript"/>
              </w:rPr>
            </w:pPr>
            <w:r w:rsidRPr="00FB26D4">
              <w:rPr>
                <w:rFonts w:ascii="Times New Roman" w:hAnsi="Times New Roman" w:cs="Times New Roman"/>
                <w:sz w:val="20"/>
                <w:szCs w:val="20"/>
              </w:rPr>
              <w:t>Tucker et al. (2019)</w:t>
            </w:r>
            <w:r w:rsidR="00F75324">
              <w:rPr>
                <w:rFonts w:ascii="Times New Roman" w:hAnsi="Times New Roman" w:cs="Times New Roman"/>
                <w:sz w:val="20"/>
                <w:szCs w:val="20"/>
                <w:vertAlign w:val="superscript"/>
              </w:rPr>
              <w:t xml:space="preserve"> 53</w:t>
            </w:r>
          </w:p>
        </w:tc>
        <w:tc>
          <w:tcPr>
            <w:tcW w:w="8100" w:type="dxa"/>
            <w:vAlign w:val="bottom"/>
          </w:tcPr>
          <w:p w14:paraId="7692FB96" w14:textId="63F408A9"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On the CUDIT-SF, the sequential coadministration group (using one product right after the other) reported the highest mean CUDIT-SF score, which was higher than the cutoff score of 2—indicative of cannabis use disorder. For marijuana-related consequences, the three co-use groups that used cannabis and tobacco/nicotine products on the same occasion reported greater consequences than the cannabis-only group. The sequential coadministration group reported more consequences than the sequential-only, coadministration-only, and concurrent-only groups. In turn, the sequential-only and coadministration-only groups reported more consequences than the concurrent-only group. </w:t>
            </w:r>
          </w:p>
        </w:tc>
      </w:tr>
      <w:tr w:rsidR="005A574F" w:rsidRPr="00677925" w14:paraId="5B3226B9" w14:textId="77777777" w:rsidTr="005A574F">
        <w:tc>
          <w:tcPr>
            <w:tcW w:w="2065" w:type="dxa"/>
            <w:vAlign w:val="bottom"/>
          </w:tcPr>
          <w:p w14:paraId="0D6204BB" w14:textId="100625FC" w:rsidR="005A574F" w:rsidRPr="005D014A" w:rsidRDefault="005A574F" w:rsidP="0075141B">
            <w:pPr>
              <w:rPr>
                <w:rFonts w:ascii="Times New Roman" w:hAnsi="Times New Roman" w:cs="Times New Roman"/>
                <w:sz w:val="20"/>
                <w:szCs w:val="20"/>
                <w:highlight w:val="green"/>
                <w:vertAlign w:val="superscript"/>
              </w:rPr>
            </w:pPr>
            <w:r w:rsidRPr="00FB26D4">
              <w:rPr>
                <w:rFonts w:ascii="Times New Roman" w:hAnsi="Times New Roman" w:cs="Times New Roman"/>
                <w:sz w:val="20"/>
                <w:szCs w:val="20"/>
              </w:rPr>
              <w:t>Tucker et al. (2019)</w:t>
            </w:r>
            <w:r w:rsidR="00A544A2">
              <w:rPr>
                <w:rFonts w:ascii="Times New Roman" w:hAnsi="Times New Roman" w:cs="Times New Roman"/>
                <w:sz w:val="20"/>
                <w:szCs w:val="20"/>
                <w:vertAlign w:val="superscript"/>
              </w:rPr>
              <w:t xml:space="preserve"> 104</w:t>
            </w:r>
          </w:p>
        </w:tc>
        <w:tc>
          <w:tcPr>
            <w:tcW w:w="8100" w:type="dxa"/>
            <w:vAlign w:val="bottom"/>
          </w:tcPr>
          <w:p w14:paraId="5CFC6EC3" w14:textId="2FA6EF2C"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Those with an MM (medical marijuana) card had 12% higher odds of trying to cut down or quit in the past 3-months compared to those without an MM card. MM cardholders had 12% greater odds of experiencing marijuana negative consequences and 20% greater odds of selling marijuana or </w:t>
            </w:r>
            <w:r w:rsidRPr="00677925">
              <w:rPr>
                <w:rFonts w:ascii="Times New Roman" w:hAnsi="Times New Roman" w:cs="Times New Roman"/>
                <w:sz w:val="20"/>
                <w:szCs w:val="20"/>
              </w:rPr>
              <w:lastRenderedPageBreak/>
              <w:t xml:space="preserve">hashish in the past year. MM cardholders were marginally more likely than those without an MM card to have driven a vehicle after using marijuana in the past year. </w:t>
            </w:r>
          </w:p>
        </w:tc>
      </w:tr>
      <w:tr w:rsidR="005A574F" w:rsidRPr="00677925" w14:paraId="6B534489" w14:textId="77777777" w:rsidTr="005A574F">
        <w:trPr>
          <w:trHeight w:val="1070"/>
        </w:trPr>
        <w:tc>
          <w:tcPr>
            <w:tcW w:w="2065" w:type="dxa"/>
            <w:vAlign w:val="bottom"/>
          </w:tcPr>
          <w:p w14:paraId="2B6C2639" w14:textId="4365CCAB" w:rsidR="005A574F" w:rsidRPr="005D014A"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White et al.</w:t>
            </w:r>
            <w:r>
              <w:rPr>
                <w:rFonts w:ascii="Times New Roman" w:hAnsi="Times New Roman" w:cs="Times New Roman"/>
                <w:sz w:val="20"/>
                <w:szCs w:val="20"/>
              </w:rPr>
              <w:t xml:space="preserve"> (2005)</w:t>
            </w:r>
            <w:r w:rsidR="005D014A">
              <w:rPr>
                <w:rFonts w:ascii="Times New Roman" w:hAnsi="Times New Roman" w:cs="Times New Roman"/>
                <w:sz w:val="20"/>
                <w:szCs w:val="20"/>
                <w:vertAlign w:val="superscript"/>
              </w:rPr>
              <w:t>11</w:t>
            </w:r>
          </w:p>
        </w:tc>
        <w:tc>
          <w:tcPr>
            <w:tcW w:w="8100" w:type="dxa"/>
            <w:vAlign w:val="bottom"/>
          </w:tcPr>
          <w:p w14:paraId="54CA2DFE" w14:textId="5CF4ADDC"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College students compared to noncollege students reported lower levels of marijuana problems at age 18, increased more rapidly from age 18 to age 21, and decelerated faster from age 21 to age 30. Gender by college status analyses showed that noncollege males reported the highest mean levels of marijuana problems at ages 18, 21, and 30.</w:t>
            </w:r>
          </w:p>
        </w:tc>
      </w:tr>
      <w:tr w:rsidR="005A574F" w:rsidRPr="00677925" w14:paraId="6865353A" w14:textId="77777777" w:rsidTr="005A4CA0">
        <w:tc>
          <w:tcPr>
            <w:tcW w:w="10165" w:type="dxa"/>
            <w:gridSpan w:val="2"/>
            <w:vAlign w:val="bottom"/>
          </w:tcPr>
          <w:p w14:paraId="12949001" w14:textId="7C3B0B3E" w:rsidR="005A574F" w:rsidRPr="00677925" w:rsidRDefault="005A574F" w:rsidP="00B54DFB">
            <w:pPr>
              <w:rPr>
                <w:rFonts w:ascii="Times New Roman" w:hAnsi="Times New Roman" w:cs="Times New Roman"/>
                <w:sz w:val="20"/>
                <w:szCs w:val="20"/>
              </w:rPr>
            </w:pPr>
            <w:r>
              <w:rPr>
                <w:rFonts w:ascii="Times New Roman" w:hAnsi="Times New Roman" w:cs="Times New Roman"/>
                <w:i/>
                <w:iCs/>
                <w:sz w:val="20"/>
                <w:szCs w:val="20"/>
              </w:rPr>
              <w:t>Follow-up Studies (presented alphabetically)</w:t>
            </w:r>
          </w:p>
        </w:tc>
      </w:tr>
      <w:tr w:rsidR="005A574F" w:rsidRPr="00677925" w14:paraId="1F36C15D" w14:textId="77777777" w:rsidTr="005A574F">
        <w:tc>
          <w:tcPr>
            <w:tcW w:w="2065" w:type="dxa"/>
            <w:vAlign w:val="bottom"/>
          </w:tcPr>
          <w:p w14:paraId="78AE8BFF" w14:textId="56EBF788" w:rsidR="005A574F" w:rsidRPr="005D014A" w:rsidRDefault="005A574F" w:rsidP="00B54DFB">
            <w:pPr>
              <w:rPr>
                <w:rFonts w:ascii="Times New Roman" w:hAnsi="Times New Roman" w:cs="Times New Roman"/>
                <w:sz w:val="20"/>
                <w:szCs w:val="20"/>
                <w:vertAlign w:val="superscript"/>
              </w:rPr>
            </w:pPr>
            <w:proofErr w:type="spellStart"/>
            <w:r w:rsidRPr="005D014A">
              <w:rPr>
                <w:rFonts w:ascii="Times New Roman" w:hAnsi="Times New Roman" w:cs="Times New Roman"/>
                <w:sz w:val="20"/>
                <w:szCs w:val="20"/>
              </w:rPr>
              <w:t>Goodhines</w:t>
            </w:r>
            <w:proofErr w:type="spellEnd"/>
            <w:r w:rsidRPr="005D014A">
              <w:rPr>
                <w:rFonts w:ascii="Times New Roman" w:hAnsi="Times New Roman" w:cs="Times New Roman"/>
                <w:sz w:val="20"/>
                <w:szCs w:val="20"/>
              </w:rPr>
              <w:t xml:space="preserve"> et al. (2019)</w:t>
            </w:r>
            <w:r w:rsidR="00F75324">
              <w:rPr>
                <w:rFonts w:ascii="Times New Roman" w:hAnsi="Times New Roman" w:cs="Times New Roman"/>
                <w:sz w:val="20"/>
                <w:szCs w:val="20"/>
                <w:vertAlign w:val="superscript"/>
              </w:rPr>
              <w:t xml:space="preserve"> 92</w:t>
            </w:r>
          </w:p>
        </w:tc>
        <w:tc>
          <w:tcPr>
            <w:tcW w:w="8100" w:type="dxa"/>
            <w:vAlign w:val="bottom"/>
          </w:tcPr>
          <w:p w14:paraId="164CE696" w14:textId="52EE305C" w:rsidR="005A574F" w:rsidRPr="007F2F59" w:rsidRDefault="007F2F59" w:rsidP="00B54DFB">
            <w:pPr>
              <w:rPr>
                <w:rFonts w:ascii="Times New Roman" w:hAnsi="Times New Roman" w:cs="Times New Roman"/>
                <w:sz w:val="20"/>
                <w:szCs w:val="20"/>
              </w:rPr>
            </w:pPr>
            <w:r>
              <w:rPr>
                <w:rFonts w:ascii="Times New Roman" w:hAnsi="Times New Roman" w:cs="Times New Roman"/>
                <w:sz w:val="20"/>
                <w:szCs w:val="20"/>
              </w:rPr>
              <w:t>W</w:t>
            </w:r>
            <w:r w:rsidRPr="007F2F59">
              <w:rPr>
                <w:rFonts w:ascii="Times New Roman" w:hAnsi="Times New Roman" w:cs="Times New Roman"/>
                <w:sz w:val="20"/>
                <w:szCs w:val="20"/>
              </w:rPr>
              <w:t>ithin-person findings indicated that daily cannabis sleep aid use was not associated with negative cannabis consequences either the following day or the day after</w:t>
            </w:r>
            <w:r>
              <w:rPr>
                <w:rFonts w:ascii="Times New Roman" w:hAnsi="Times New Roman" w:cs="Times New Roman"/>
                <w:sz w:val="20"/>
                <w:szCs w:val="20"/>
              </w:rPr>
              <w:t>.</w:t>
            </w:r>
          </w:p>
        </w:tc>
      </w:tr>
      <w:tr w:rsidR="005A574F" w:rsidRPr="00677925" w14:paraId="76DB03F1" w14:textId="77777777" w:rsidTr="005A574F">
        <w:tc>
          <w:tcPr>
            <w:tcW w:w="2065" w:type="dxa"/>
            <w:vAlign w:val="bottom"/>
          </w:tcPr>
          <w:p w14:paraId="59CA011F" w14:textId="35840515" w:rsidR="005A574F" w:rsidRPr="007F2F59" w:rsidRDefault="005A574F" w:rsidP="00B54DFB">
            <w:pPr>
              <w:rPr>
                <w:rFonts w:ascii="Times New Roman" w:hAnsi="Times New Roman" w:cs="Times New Roman"/>
                <w:sz w:val="20"/>
                <w:szCs w:val="20"/>
                <w:vertAlign w:val="superscript"/>
              </w:rPr>
            </w:pPr>
            <w:proofErr w:type="spellStart"/>
            <w:r>
              <w:rPr>
                <w:rFonts w:ascii="Times New Roman" w:hAnsi="Times New Roman" w:cs="Times New Roman"/>
                <w:sz w:val="20"/>
                <w:szCs w:val="20"/>
              </w:rPr>
              <w:t>Moitra</w:t>
            </w:r>
            <w:proofErr w:type="spellEnd"/>
            <w:r>
              <w:rPr>
                <w:rFonts w:ascii="Times New Roman" w:hAnsi="Times New Roman" w:cs="Times New Roman"/>
                <w:sz w:val="20"/>
                <w:szCs w:val="20"/>
              </w:rPr>
              <w:t xml:space="preserve"> et al. (2021)</w:t>
            </w:r>
            <w:r w:rsidR="00EA36F4">
              <w:rPr>
                <w:rFonts w:ascii="Times New Roman" w:hAnsi="Times New Roman" w:cs="Times New Roman"/>
                <w:sz w:val="20"/>
                <w:szCs w:val="20"/>
                <w:vertAlign w:val="superscript"/>
              </w:rPr>
              <w:t xml:space="preserve"> 79</w:t>
            </w:r>
          </w:p>
        </w:tc>
        <w:tc>
          <w:tcPr>
            <w:tcW w:w="8100" w:type="dxa"/>
            <w:vAlign w:val="bottom"/>
          </w:tcPr>
          <w:p w14:paraId="387B8CF2" w14:textId="16B20AB6" w:rsidR="005A574F" w:rsidRPr="00677925" w:rsidRDefault="005A574F" w:rsidP="00B42029">
            <w:pPr>
              <w:rPr>
                <w:rFonts w:ascii="Times New Roman" w:hAnsi="Times New Roman" w:cs="Times New Roman"/>
                <w:sz w:val="20"/>
                <w:szCs w:val="20"/>
              </w:rPr>
            </w:pPr>
            <w:r>
              <w:rPr>
                <w:rFonts w:ascii="Times New Roman" w:hAnsi="Times New Roman" w:cs="Times New Roman"/>
                <w:sz w:val="20"/>
                <w:szCs w:val="20"/>
              </w:rPr>
              <w:t>M</w:t>
            </w:r>
            <w:r w:rsidRPr="00B42029">
              <w:rPr>
                <w:rFonts w:ascii="Times New Roman" w:hAnsi="Times New Roman" w:cs="Times New Roman"/>
                <w:sz w:val="20"/>
                <w:szCs w:val="20"/>
              </w:rPr>
              <w:t>arijuana problem severity scores were</w:t>
            </w:r>
            <w:r>
              <w:rPr>
                <w:rFonts w:ascii="Times New Roman" w:hAnsi="Times New Roman" w:cs="Times New Roman"/>
                <w:sz w:val="20"/>
                <w:szCs w:val="20"/>
              </w:rPr>
              <w:t xml:space="preserve"> </w:t>
            </w:r>
            <w:r w:rsidRPr="00B42029">
              <w:rPr>
                <w:rFonts w:ascii="Times New Roman" w:hAnsi="Times New Roman" w:cs="Times New Roman"/>
                <w:sz w:val="20"/>
                <w:szCs w:val="20"/>
              </w:rPr>
              <w:t>associated positively with between subject differences</w:t>
            </w:r>
            <w:r>
              <w:rPr>
                <w:rFonts w:ascii="Times New Roman" w:hAnsi="Times New Roman" w:cs="Times New Roman"/>
                <w:sz w:val="20"/>
                <w:szCs w:val="20"/>
              </w:rPr>
              <w:t xml:space="preserve"> </w:t>
            </w:r>
            <w:r w:rsidRPr="00B42029">
              <w:rPr>
                <w:rFonts w:ascii="Times New Roman" w:hAnsi="Times New Roman" w:cs="Times New Roman"/>
                <w:sz w:val="20"/>
                <w:szCs w:val="20"/>
              </w:rPr>
              <w:t>and within</w:t>
            </w:r>
            <w:r>
              <w:rPr>
                <w:rFonts w:ascii="Times New Roman" w:hAnsi="Times New Roman" w:cs="Times New Roman"/>
                <w:sz w:val="20"/>
                <w:szCs w:val="20"/>
              </w:rPr>
              <w:t xml:space="preserve"> </w:t>
            </w:r>
            <w:r w:rsidRPr="00B42029">
              <w:rPr>
                <w:rFonts w:ascii="Times New Roman" w:hAnsi="Times New Roman" w:cs="Times New Roman"/>
                <w:sz w:val="20"/>
                <w:szCs w:val="20"/>
              </w:rPr>
              <w:t>subject changes over time in use of marijuana to cope.</w:t>
            </w:r>
          </w:p>
        </w:tc>
      </w:tr>
      <w:tr w:rsidR="003B4004" w:rsidRPr="00677925" w14:paraId="63128728" w14:textId="77777777" w:rsidTr="00AD628E">
        <w:tc>
          <w:tcPr>
            <w:tcW w:w="10165" w:type="dxa"/>
            <w:gridSpan w:val="2"/>
            <w:vAlign w:val="bottom"/>
          </w:tcPr>
          <w:p w14:paraId="317B5256" w14:textId="1E65923A" w:rsidR="003B4004" w:rsidRPr="00677925" w:rsidRDefault="003B4004" w:rsidP="0075141B">
            <w:pPr>
              <w:rPr>
                <w:rFonts w:ascii="Times New Roman" w:hAnsi="Times New Roman" w:cs="Times New Roman"/>
                <w:sz w:val="20"/>
                <w:szCs w:val="20"/>
              </w:rPr>
            </w:pPr>
            <w:r>
              <w:rPr>
                <w:rFonts w:ascii="Times New Roman" w:hAnsi="Times New Roman" w:cs="Times New Roman"/>
                <w:i/>
                <w:iCs/>
                <w:sz w:val="20"/>
                <w:szCs w:val="20"/>
              </w:rPr>
              <w:t>Cross-sectional Studies (presented alphabetically)</w:t>
            </w:r>
          </w:p>
        </w:tc>
      </w:tr>
      <w:tr w:rsidR="005A574F" w:rsidRPr="00677925" w14:paraId="3278391E" w14:textId="77777777" w:rsidTr="005A574F">
        <w:tc>
          <w:tcPr>
            <w:tcW w:w="2065" w:type="dxa"/>
            <w:vAlign w:val="bottom"/>
          </w:tcPr>
          <w:p w14:paraId="35BE2667" w14:textId="24C3C6F4" w:rsidR="005A574F" w:rsidRPr="000679C9"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Amiet</w:t>
            </w:r>
            <w:proofErr w:type="spellEnd"/>
            <w:r w:rsidRPr="00677925">
              <w:rPr>
                <w:rFonts w:ascii="Times New Roman" w:hAnsi="Times New Roman" w:cs="Times New Roman"/>
                <w:sz w:val="20"/>
                <w:szCs w:val="20"/>
              </w:rPr>
              <w:t xml:space="preserve"> et al. (2020)</w:t>
            </w:r>
            <w:r w:rsidR="00EA36F4">
              <w:rPr>
                <w:rFonts w:ascii="Times New Roman" w:hAnsi="Times New Roman" w:cs="Times New Roman"/>
                <w:sz w:val="20"/>
                <w:szCs w:val="20"/>
                <w:vertAlign w:val="superscript"/>
              </w:rPr>
              <w:t xml:space="preserve"> 83</w:t>
            </w:r>
          </w:p>
        </w:tc>
        <w:tc>
          <w:tcPr>
            <w:tcW w:w="8100" w:type="dxa"/>
          </w:tcPr>
          <w:p w14:paraId="63042E7C"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Motives and expectancies were used to derive latent classes where class one was ‘low motives and expectancies’ and class two was ‘high motives and expectancies.’ A higher proportion of class one cannabis users met the criteria for a cannabis use disorder compared to class two users though the majority of both exceeded the cut-off score. On the CUPIT, Class 2 scored significantly higher than Class 1 on the total score and both subscales, indicating worse problematic cannabis use and impaired control.</w:t>
            </w:r>
          </w:p>
        </w:tc>
      </w:tr>
      <w:tr w:rsidR="005A574F" w:rsidRPr="00677925" w14:paraId="5B9CB4A9" w14:textId="77777777" w:rsidTr="005A574F">
        <w:trPr>
          <w:trHeight w:val="1898"/>
        </w:trPr>
        <w:tc>
          <w:tcPr>
            <w:tcW w:w="2065" w:type="dxa"/>
            <w:vAlign w:val="bottom"/>
          </w:tcPr>
          <w:p w14:paraId="0E79739D" w14:textId="05B44DB2" w:rsidR="005A574F" w:rsidRPr="000679C9"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Arias-de la Torre et al. (2021)</w:t>
            </w:r>
            <w:r w:rsidR="00A544A2">
              <w:rPr>
                <w:rFonts w:ascii="Times New Roman" w:hAnsi="Times New Roman" w:cs="Times New Roman"/>
                <w:sz w:val="20"/>
                <w:szCs w:val="20"/>
                <w:vertAlign w:val="superscript"/>
              </w:rPr>
              <w:t xml:space="preserve"> 110</w:t>
            </w:r>
          </w:p>
        </w:tc>
        <w:tc>
          <w:tcPr>
            <w:tcW w:w="8100" w:type="dxa"/>
          </w:tcPr>
          <w:p w14:paraId="03688400"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Problematic cannabis use was more frequent in men than women. Education level and employment status was also significantly related to problematic consumption among both genders but stronger for men. For women, only perceived risk was associated problematic cannabis use. Availability and exposure to consumption situations were significantly related to problematic use among men. Among women, a higher risk of problematic use was observed among those that do not perceive “any problems” related to cannabis use.</w:t>
            </w:r>
          </w:p>
        </w:tc>
      </w:tr>
      <w:tr w:rsidR="005A574F" w:rsidRPr="00677925" w14:paraId="4687B225" w14:textId="77777777" w:rsidTr="005A574F">
        <w:trPr>
          <w:trHeight w:val="2150"/>
        </w:trPr>
        <w:tc>
          <w:tcPr>
            <w:tcW w:w="2065" w:type="dxa"/>
            <w:vAlign w:val="bottom"/>
          </w:tcPr>
          <w:p w14:paraId="099B27F7" w14:textId="71154AFA" w:rsidR="005A574F" w:rsidRPr="000679C9" w:rsidRDefault="005A574F" w:rsidP="00891D22">
            <w:pPr>
              <w:rPr>
                <w:rFonts w:ascii="Times New Roman" w:hAnsi="Times New Roman" w:cs="Times New Roman"/>
                <w:sz w:val="20"/>
                <w:szCs w:val="20"/>
                <w:vertAlign w:val="superscript"/>
              </w:rPr>
            </w:pPr>
            <w:r w:rsidRPr="00677925">
              <w:rPr>
                <w:rFonts w:ascii="Times New Roman" w:hAnsi="Times New Roman" w:cs="Times New Roman"/>
                <w:sz w:val="20"/>
                <w:szCs w:val="20"/>
              </w:rPr>
              <w:t>Brackenbury et al. (2016)</w:t>
            </w:r>
            <w:r w:rsidR="00EA36F4">
              <w:rPr>
                <w:rFonts w:ascii="Times New Roman" w:hAnsi="Times New Roman" w:cs="Times New Roman"/>
                <w:sz w:val="20"/>
                <w:szCs w:val="20"/>
                <w:vertAlign w:val="superscript"/>
              </w:rPr>
              <w:t xml:space="preserve"> 82</w:t>
            </w:r>
          </w:p>
        </w:tc>
        <w:tc>
          <w:tcPr>
            <w:tcW w:w="8100" w:type="dxa"/>
            <w:vAlign w:val="bottom"/>
          </w:tcPr>
          <w:p w14:paraId="0F7CEC73" w14:textId="77777777" w:rsidR="005A574F" w:rsidRPr="00677925" w:rsidRDefault="005A574F" w:rsidP="00891D22">
            <w:pPr>
              <w:rPr>
                <w:rFonts w:ascii="Times New Roman" w:hAnsi="Times New Roman" w:cs="Times New Roman"/>
                <w:sz w:val="20"/>
                <w:szCs w:val="20"/>
              </w:rPr>
            </w:pPr>
            <w:r w:rsidRPr="00677925">
              <w:rPr>
                <w:rFonts w:ascii="Times New Roman" w:hAnsi="Times New Roman" w:cs="Times New Roman"/>
                <w:sz w:val="20"/>
                <w:szCs w:val="20"/>
              </w:rPr>
              <w:t xml:space="preserve">Greater Global CEQ (cessation expectancy questionnaire) scores predicted greater problems on the DAST. Greater Social CEQ scores predicted fewer problems on the DAST. Greater Positive MEEQ-B (Marijuana Effect Expectancy Questionnaire-Brief) scores predicted higher DAST score. </w:t>
            </w:r>
          </w:p>
        </w:tc>
      </w:tr>
      <w:tr w:rsidR="005A574F" w:rsidRPr="00677925" w14:paraId="69345AE4" w14:textId="77777777" w:rsidTr="005A574F">
        <w:tc>
          <w:tcPr>
            <w:tcW w:w="2065" w:type="dxa"/>
            <w:vAlign w:val="bottom"/>
          </w:tcPr>
          <w:p w14:paraId="25CBAE3C" w14:textId="2E46F0E1"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Bravo et al.</w:t>
            </w:r>
            <w:r>
              <w:rPr>
                <w:rFonts w:ascii="Times New Roman" w:hAnsi="Times New Roman" w:cs="Times New Roman"/>
                <w:sz w:val="20"/>
                <w:szCs w:val="20"/>
              </w:rPr>
              <w:t xml:space="preserve"> (2017)</w:t>
            </w:r>
            <w:r w:rsidR="00EA36F4">
              <w:rPr>
                <w:rFonts w:ascii="Times New Roman" w:hAnsi="Times New Roman" w:cs="Times New Roman"/>
                <w:sz w:val="20"/>
                <w:szCs w:val="20"/>
                <w:vertAlign w:val="superscript"/>
              </w:rPr>
              <w:t xml:space="preserve"> 73</w:t>
            </w:r>
          </w:p>
        </w:tc>
        <w:tc>
          <w:tcPr>
            <w:tcW w:w="8100" w:type="dxa"/>
            <w:vAlign w:val="bottom"/>
          </w:tcPr>
          <w:p w14:paraId="76EC7AEA"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PBS use was shown to be a robust predictor of lower marijuana use frequency and experiencing fewer consequences (main effect). Significant interaction between premeditation and PBS use shows that premeditation was significantly negatively related to consequences among individuals with very low use of PBS and significantly positively related to consequences among individuals with relatively high use of PBS. For individuals with an average level of PBS use, male gender and coping motives were risk factors associated with higher marijuana-related consequences. Negative urgency was predictive of higher consequences. Sensation seeking was significantly, negatively related to consequences among individuals with relatively low use of PBS.</w:t>
            </w:r>
          </w:p>
        </w:tc>
      </w:tr>
      <w:tr w:rsidR="005A574F" w:rsidRPr="00677925" w14:paraId="24C16A4A" w14:textId="77777777" w:rsidTr="005A574F">
        <w:tc>
          <w:tcPr>
            <w:tcW w:w="2065" w:type="dxa"/>
            <w:vAlign w:val="bottom"/>
          </w:tcPr>
          <w:p w14:paraId="188FCEA6" w14:textId="7293C2D9" w:rsidR="005A574F" w:rsidRPr="004055E4"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Bravo et al.</w:t>
            </w:r>
            <w:r>
              <w:rPr>
                <w:rFonts w:ascii="Times New Roman" w:hAnsi="Times New Roman" w:cs="Times New Roman"/>
                <w:sz w:val="20"/>
                <w:szCs w:val="20"/>
              </w:rPr>
              <w:t xml:space="preserve"> (2017)</w:t>
            </w:r>
            <w:r w:rsidR="00F75324">
              <w:rPr>
                <w:rFonts w:ascii="Times New Roman" w:hAnsi="Times New Roman" w:cs="Times New Roman"/>
                <w:sz w:val="20"/>
                <w:szCs w:val="20"/>
                <w:vertAlign w:val="superscript"/>
              </w:rPr>
              <w:t xml:space="preserve"> 38</w:t>
            </w:r>
          </w:p>
        </w:tc>
        <w:tc>
          <w:tcPr>
            <w:tcW w:w="8100" w:type="dxa"/>
            <w:vAlign w:val="bottom"/>
          </w:tcPr>
          <w:p w14:paraId="060C6668"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PBS were negatively associated with marijuana use frequency and marijuana-related consequences, and marijuana use frequency was positively associated with marijuana-related consequences. Females reported lower marijuana use frequency and consequences. Age at first use did not have a significant direct association with marijuana-related consequences when examined in the comprehensive model. Coping and conformity motives were positively associated with marijuana-related consequences. </w:t>
            </w:r>
          </w:p>
        </w:tc>
      </w:tr>
      <w:tr w:rsidR="004055E4" w:rsidRPr="00677925" w14:paraId="576AC6F2" w14:textId="77777777" w:rsidTr="00B54DFB">
        <w:tc>
          <w:tcPr>
            <w:tcW w:w="2065" w:type="dxa"/>
            <w:vAlign w:val="bottom"/>
          </w:tcPr>
          <w:p w14:paraId="2F79C447" w14:textId="29A6FA3E" w:rsidR="004055E4" w:rsidRPr="00677925" w:rsidRDefault="004055E4" w:rsidP="00B54DFB">
            <w:pPr>
              <w:rPr>
                <w:rFonts w:ascii="Times New Roman" w:hAnsi="Times New Roman" w:cs="Times New Roman"/>
                <w:sz w:val="20"/>
                <w:szCs w:val="20"/>
              </w:rPr>
            </w:pPr>
            <w:r w:rsidRPr="00677925">
              <w:rPr>
                <w:rFonts w:ascii="Times New Roman" w:hAnsi="Times New Roman" w:cs="Times New Roman"/>
                <w:sz w:val="20"/>
                <w:szCs w:val="20"/>
              </w:rPr>
              <w:t>Buckner et al.</w:t>
            </w:r>
            <w:r>
              <w:rPr>
                <w:rFonts w:ascii="Times New Roman" w:hAnsi="Times New Roman" w:cs="Times New Roman"/>
                <w:sz w:val="20"/>
                <w:szCs w:val="20"/>
              </w:rPr>
              <w:t xml:space="preserve"> (2007)</w:t>
            </w:r>
            <w:r w:rsidR="00EA36F4">
              <w:rPr>
                <w:rFonts w:ascii="Times New Roman" w:hAnsi="Times New Roman" w:cs="Times New Roman"/>
                <w:sz w:val="20"/>
                <w:szCs w:val="20"/>
                <w:vertAlign w:val="superscript"/>
              </w:rPr>
              <w:t xml:space="preserve"> 66</w:t>
            </w:r>
            <w:r w:rsidRPr="00677925">
              <w:rPr>
                <w:rFonts w:ascii="Times New Roman" w:hAnsi="Times New Roman" w:cs="Times New Roman"/>
                <w:sz w:val="20"/>
                <w:szCs w:val="20"/>
              </w:rPr>
              <w:t xml:space="preserve"> </w:t>
            </w:r>
          </w:p>
        </w:tc>
        <w:tc>
          <w:tcPr>
            <w:tcW w:w="8100" w:type="dxa"/>
            <w:vAlign w:val="bottom"/>
          </w:tcPr>
          <w:p w14:paraId="6D6BB0CE" w14:textId="77777777" w:rsidR="004055E4" w:rsidRPr="00677925" w:rsidRDefault="004055E4" w:rsidP="00B54DFB">
            <w:pPr>
              <w:rPr>
                <w:rFonts w:ascii="Times New Roman" w:hAnsi="Times New Roman" w:cs="Times New Roman"/>
                <w:sz w:val="20"/>
                <w:szCs w:val="20"/>
              </w:rPr>
            </w:pPr>
            <w:r w:rsidRPr="00677925">
              <w:rPr>
                <w:rFonts w:ascii="Times New Roman" w:hAnsi="Times New Roman" w:cs="Times New Roman"/>
                <w:sz w:val="20"/>
                <w:szCs w:val="20"/>
              </w:rPr>
              <w:t>Social anxiety was significantly correlated with number of cannabis problems. Social and solitary cannabis use contexts were significantly associated with cannabis outcomes. Social anxiety was indirectly (via solitary use frequency) related to cannabis use frequency and cannabis-related problems.</w:t>
            </w:r>
          </w:p>
        </w:tc>
      </w:tr>
      <w:tr w:rsidR="005A574F" w:rsidRPr="00677925" w14:paraId="430BA5DE" w14:textId="77777777" w:rsidTr="005A574F">
        <w:tc>
          <w:tcPr>
            <w:tcW w:w="2065" w:type="dxa"/>
            <w:vAlign w:val="bottom"/>
          </w:tcPr>
          <w:p w14:paraId="6E746D36" w14:textId="05DAD64C" w:rsidR="005A574F" w:rsidRPr="004055E4"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Buckner et al.</w:t>
            </w:r>
            <w:r>
              <w:rPr>
                <w:rFonts w:ascii="Times New Roman" w:hAnsi="Times New Roman" w:cs="Times New Roman"/>
                <w:sz w:val="20"/>
                <w:szCs w:val="20"/>
              </w:rPr>
              <w:t xml:space="preserve"> (2016)</w:t>
            </w:r>
            <w:r w:rsidR="00F75324">
              <w:rPr>
                <w:rFonts w:ascii="Times New Roman" w:hAnsi="Times New Roman" w:cs="Times New Roman"/>
                <w:sz w:val="20"/>
                <w:szCs w:val="20"/>
                <w:vertAlign w:val="superscript"/>
              </w:rPr>
              <w:t>60</w:t>
            </w:r>
          </w:p>
        </w:tc>
        <w:tc>
          <w:tcPr>
            <w:tcW w:w="8100" w:type="dxa"/>
          </w:tcPr>
          <w:p w14:paraId="326AB76D"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Depression was related to cannabis problems but was unrelated to cannabis frequency, and discomfort intolerance. Distress tolerance was related to fewer cannabis problems. Those with low discomfort intolerance and depression showed the greatest risk cannabis problems. Distress tolerance mediated the relation between depression and cannabis problems.</w:t>
            </w:r>
          </w:p>
        </w:tc>
      </w:tr>
      <w:tr w:rsidR="005A574F" w:rsidRPr="00677925" w14:paraId="43846520" w14:textId="77777777" w:rsidTr="005A574F">
        <w:tc>
          <w:tcPr>
            <w:tcW w:w="2065" w:type="dxa"/>
            <w:vAlign w:val="bottom"/>
          </w:tcPr>
          <w:p w14:paraId="34B188E1" w14:textId="375BD6CF" w:rsidR="005A574F" w:rsidRPr="006745FF"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Buckner et al. (2021)</w:t>
            </w:r>
            <w:r w:rsidR="00F75324">
              <w:rPr>
                <w:rFonts w:ascii="Times New Roman" w:hAnsi="Times New Roman" w:cs="Times New Roman"/>
                <w:sz w:val="20"/>
                <w:szCs w:val="20"/>
                <w:vertAlign w:val="superscript"/>
              </w:rPr>
              <w:t xml:space="preserve"> 61</w:t>
            </w:r>
          </w:p>
        </w:tc>
        <w:tc>
          <w:tcPr>
            <w:tcW w:w="8100" w:type="dxa"/>
            <w:vAlign w:val="bottom"/>
          </w:tcPr>
          <w:p w14:paraId="07E050B2"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Using a mediational framework, social anxiety was indirectly related to cannabis problems via PBS underutilization. In a second sequential model, social anxiety was indirectly related to more cannabis problems through the serial effect of PBS and cannabis frequency, but not via PBS or cannabis frequency. In a final sequential model, social anxiety was indirectly related to more cannabis problems through the serial effect of PBS and peak cannabis quantity, but not via PBS or peak quantity alone. Reverse association tests were not supported.</w:t>
            </w:r>
          </w:p>
        </w:tc>
      </w:tr>
      <w:tr w:rsidR="005A574F" w:rsidRPr="00677925" w14:paraId="58159DC9" w14:textId="77777777" w:rsidTr="005A574F">
        <w:tc>
          <w:tcPr>
            <w:tcW w:w="2065" w:type="dxa"/>
            <w:vAlign w:val="bottom"/>
          </w:tcPr>
          <w:p w14:paraId="492859C3" w14:textId="594C9BB0" w:rsidR="005A574F" w:rsidRPr="006745FF"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Bujarski</w:t>
            </w:r>
            <w:proofErr w:type="spellEnd"/>
            <w:r w:rsidRPr="00677925">
              <w:rPr>
                <w:rFonts w:ascii="Times New Roman" w:hAnsi="Times New Roman" w:cs="Times New Roman"/>
                <w:sz w:val="20"/>
                <w:szCs w:val="20"/>
              </w:rPr>
              <w:t xml:space="preserve"> et al. (2012)</w:t>
            </w:r>
            <w:r w:rsidR="00EA36F4">
              <w:rPr>
                <w:rFonts w:ascii="Times New Roman" w:hAnsi="Times New Roman" w:cs="Times New Roman"/>
                <w:sz w:val="20"/>
                <w:szCs w:val="20"/>
                <w:vertAlign w:val="superscript"/>
              </w:rPr>
              <w:t>80</w:t>
            </w:r>
          </w:p>
        </w:tc>
        <w:tc>
          <w:tcPr>
            <w:tcW w:w="8100" w:type="dxa"/>
            <w:vAlign w:val="bottom"/>
          </w:tcPr>
          <w:p w14:paraId="0FD4217E"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The interaction between distress tolerance scores total scores and gender on CPQ scores was marginally significant. In mediated moderation models, both distress intolerant men and women reported more cannabis use-related problems, but coping motives had a more powerful mediation effect for women than men. </w:t>
            </w:r>
          </w:p>
        </w:tc>
      </w:tr>
      <w:tr w:rsidR="005A574F" w:rsidRPr="00677925" w14:paraId="675FA2A8" w14:textId="77777777" w:rsidTr="005A574F">
        <w:tc>
          <w:tcPr>
            <w:tcW w:w="2065" w:type="dxa"/>
            <w:vAlign w:val="bottom"/>
          </w:tcPr>
          <w:p w14:paraId="50531F01" w14:textId="6AFD9CA1" w:rsidR="005A574F" w:rsidRPr="006745FF" w:rsidRDefault="005A574F" w:rsidP="0075141B">
            <w:pPr>
              <w:rPr>
                <w:rFonts w:ascii="Times New Roman" w:hAnsi="Times New Roman" w:cs="Times New Roman"/>
                <w:sz w:val="20"/>
                <w:szCs w:val="20"/>
                <w:vertAlign w:val="superscript"/>
              </w:rPr>
            </w:pPr>
            <w:proofErr w:type="spellStart"/>
            <w:r w:rsidRPr="006B03F5">
              <w:rPr>
                <w:rFonts w:ascii="Times New Roman" w:hAnsi="Times New Roman" w:cs="Times New Roman"/>
                <w:sz w:val="20"/>
                <w:szCs w:val="20"/>
              </w:rPr>
              <w:t>Caldeira</w:t>
            </w:r>
            <w:proofErr w:type="spellEnd"/>
            <w:r w:rsidRPr="006B03F5">
              <w:rPr>
                <w:rFonts w:ascii="Times New Roman" w:hAnsi="Times New Roman" w:cs="Times New Roman"/>
                <w:sz w:val="20"/>
                <w:szCs w:val="20"/>
              </w:rPr>
              <w:t xml:space="preserve"> et al. (2008)</w:t>
            </w:r>
            <w:r w:rsidR="00F75324">
              <w:rPr>
                <w:rFonts w:ascii="Times New Roman" w:hAnsi="Times New Roman" w:cs="Times New Roman"/>
                <w:sz w:val="20"/>
                <w:szCs w:val="20"/>
                <w:vertAlign w:val="superscript"/>
              </w:rPr>
              <w:t xml:space="preserve"> 54</w:t>
            </w:r>
          </w:p>
        </w:tc>
        <w:tc>
          <w:tcPr>
            <w:tcW w:w="8100" w:type="dxa"/>
            <w:vAlign w:val="bottom"/>
          </w:tcPr>
          <w:p w14:paraId="20654047"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Those meeting cannabis use disorder criteria reported the most problems. Diagnostic orphans were significantly different from CUD cases in five of the ten comparisons, but they were similar to non-problematic cases in nearly all comparisons. Compared with non-problematic cases, diagnostic orphans used a significantly greater number of other illicit drugs in the past year, on average, and they were significantly more likely to oversleep and miss class after using cannabis. Cannabis dependence was considerably higher among cigarette-smoking cannabis users than among their non-cigarette-smoking counterparts. Cannabis-related concentration problems and driving while high were also significantly more prevalent among cigarette-smoking cannabis users than non-cigarette-smoking cannabis users.</w:t>
            </w:r>
          </w:p>
        </w:tc>
      </w:tr>
      <w:tr w:rsidR="003677BE" w:rsidRPr="00677925" w14:paraId="60020949" w14:textId="77777777" w:rsidTr="00B54DFB">
        <w:tc>
          <w:tcPr>
            <w:tcW w:w="2065" w:type="dxa"/>
            <w:vAlign w:val="bottom"/>
          </w:tcPr>
          <w:p w14:paraId="4476759D" w14:textId="1E6EC9B2" w:rsidR="003677BE" w:rsidRPr="00142077" w:rsidRDefault="003677BE" w:rsidP="00B54DFB">
            <w:pPr>
              <w:rPr>
                <w:rFonts w:ascii="Times New Roman" w:hAnsi="Times New Roman" w:cs="Times New Roman"/>
                <w:sz w:val="20"/>
                <w:szCs w:val="20"/>
                <w:vertAlign w:val="superscript"/>
              </w:rPr>
            </w:pPr>
            <w:r>
              <w:rPr>
                <w:rFonts w:ascii="Times New Roman" w:hAnsi="Times New Roman" w:cs="Times New Roman"/>
                <w:sz w:val="20"/>
                <w:szCs w:val="20"/>
              </w:rPr>
              <w:t>Callaghan et al. (2020)</w:t>
            </w:r>
            <w:r w:rsidR="00F75324">
              <w:rPr>
                <w:rFonts w:ascii="Times New Roman" w:hAnsi="Times New Roman" w:cs="Times New Roman"/>
                <w:sz w:val="20"/>
                <w:szCs w:val="20"/>
                <w:vertAlign w:val="superscript"/>
              </w:rPr>
              <w:t xml:space="preserve"> 50</w:t>
            </w:r>
          </w:p>
        </w:tc>
        <w:tc>
          <w:tcPr>
            <w:tcW w:w="8100" w:type="dxa"/>
            <w:vAlign w:val="bottom"/>
          </w:tcPr>
          <w:p w14:paraId="0F8AEF11" w14:textId="3BA8AA45" w:rsidR="003677BE" w:rsidRPr="003677BE" w:rsidRDefault="003677BE" w:rsidP="00B54DFB">
            <w:pPr>
              <w:rPr>
                <w:rFonts w:ascii="Times New Roman" w:hAnsi="Times New Roman" w:cs="Times New Roman"/>
                <w:sz w:val="20"/>
                <w:szCs w:val="20"/>
              </w:rPr>
            </w:pPr>
            <w:r w:rsidRPr="003677BE">
              <w:rPr>
                <w:rFonts w:ascii="Times New Roman" w:hAnsi="Times New Roman" w:cs="Times New Roman"/>
                <w:sz w:val="20"/>
                <w:szCs w:val="20"/>
              </w:rPr>
              <w:t>Quantity-by-frequency interaction terms showed that the relative effect of quantity on cannabis-use disorders and cannabis-related problems decreased as frequency increased, and vice versa.</w:t>
            </w:r>
          </w:p>
        </w:tc>
      </w:tr>
      <w:tr w:rsidR="005A574F" w:rsidRPr="00677925" w14:paraId="0B6D320A" w14:textId="77777777" w:rsidTr="005A574F">
        <w:tc>
          <w:tcPr>
            <w:tcW w:w="2065" w:type="dxa"/>
            <w:vAlign w:val="bottom"/>
          </w:tcPr>
          <w:p w14:paraId="5AEFF014" w14:textId="1B3C7939" w:rsidR="005A574F" w:rsidRPr="00677925"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 xml:space="preserve">Cavalli &amp; </w:t>
            </w:r>
            <w:proofErr w:type="spellStart"/>
            <w:r w:rsidRPr="00677925">
              <w:rPr>
                <w:rFonts w:ascii="Times New Roman" w:hAnsi="Times New Roman" w:cs="Times New Roman"/>
                <w:sz w:val="20"/>
                <w:szCs w:val="20"/>
              </w:rPr>
              <w:t>Cservenka</w:t>
            </w:r>
            <w:proofErr w:type="spellEnd"/>
            <w:r w:rsidRPr="00677925">
              <w:rPr>
                <w:rFonts w:ascii="Times New Roman" w:hAnsi="Times New Roman" w:cs="Times New Roman"/>
                <w:sz w:val="20"/>
                <w:szCs w:val="20"/>
              </w:rPr>
              <w:t xml:space="preserve"> (2021)</w:t>
            </w:r>
            <w:r w:rsidR="00F75324">
              <w:rPr>
                <w:rFonts w:ascii="Times New Roman" w:hAnsi="Times New Roman" w:cs="Times New Roman"/>
                <w:sz w:val="20"/>
                <w:szCs w:val="20"/>
                <w:vertAlign w:val="superscript"/>
              </w:rPr>
              <w:t xml:space="preserve"> 56</w:t>
            </w:r>
          </w:p>
        </w:tc>
        <w:tc>
          <w:tcPr>
            <w:tcW w:w="8100" w:type="dxa"/>
            <w:vAlign w:val="bottom"/>
          </w:tcPr>
          <w:p w14:paraId="5E7D63DE"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Emotion dysregulation, stressful life events, and their interaction were significantly associated with problematic cannabis use. Specifically, the relationship between stressful life events and problematic cannabis use strengthens as emotion dysregulation increases. In a second model, Emotion dysregulation, perceived stress, and their interaction were significantly associated with problematic cannabis use. In particular, the relationship between perceived stress and problematic cannabis use weakens as emotion dysregulation decreases.</w:t>
            </w:r>
          </w:p>
        </w:tc>
      </w:tr>
      <w:tr w:rsidR="005A574F" w:rsidRPr="00677925" w14:paraId="408B1CE0" w14:textId="77777777" w:rsidTr="005A574F">
        <w:tc>
          <w:tcPr>
            <w:tcW w:w="2065" w:type="dxa"/>
            <w:vAlign w:val="bottom"/>
          </w:tcPr>
          <w:p w14:paraId="77255CCE" w14:textId="7A034516" w:rsidR="005A574F" w:rsidRPr="00142077" w:rsidRDefault="005A574F" w:rsidP="0075141B">
            <w:pPr>
              <w:rPr>
                <w:rFonts w:ascii="Times New Roman" w:hAnsi="Times New Roman" w:cs="Times New Roman"/>
                <w:sz w:val="20"/>
                <w:szCs w:val="20"/>
                <w:highlight w:val="green"/>
                <w:vertAlign w:val="superscript"/>
              </w:rPr>
            </w:pPr>
            <w:r w:rsidRPr="002D3610">
              <w:rPr>
                <w:rFonts w:ascii="Times New Roman" w:hAnsi="Times New Roman" w:cs="Times New Roman"/>
                <w:sz w:val="20"/>
                <w:szCs w:val="20"/>
              </w:rPr>
              <w:t>Cohen et al. (2016)</w:t>
            </w:r>
            <w:r w:rsidR="00A544A2">
              <w:rPr>
                <w:rFonts w:ascii="Times New Roman" w:hAnsi="Times New Roman" w:cs="Times New Roman"/>
                <w:sz w:val="20"/>
                <w:szCs w:val="20"/>
                <w:vertAlign w:val="superscript"/>
              </w:rPr>
              <w:t xml:space="preserve"> 106</w:t>
            </w:r>
          </w:p>
        </w:tc>
        <w:tc>
          <w:tcPr>
            <w:tcW w:w="8100" w:type="dxa"/>
            <w:vAlign w:val="bottom"/>
          </w:tcPr>
          <w:p w14:paraId="0613CC23"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Individuals who used cannabis for chronic pain had fewer cannabis use problems compared with those who did not use it for chronic pain. Among participants who reported cannabis use for chronic pain, average pain in the past week was not correlated with cannabis use problems. Individuals who preferred indica strain reported significantly lower levels of cannabis use problems than individuals who preferred hybrids. Although individuals who used cannabis for chronic pain reported a longer use history, they did not use it in greater quantities or frequencies or experience more negative consequences from using cannabis than did individuals not using it for pain.</w:t>
            </w:r>
          </w:p>
        </w:tc>
      </w:tr>
      <w:tr w:rsidR="005A574F" w:rsidRPr="00677925" w14:paraId="2ABC2F3D" w14:textId="77777777" w:rsidTr="005A574F">
        <w:tc>
          <w:tcPr>
            <w:tcW w:w="2065" w:type="dxa"/>
            <w:vAlign w:val="bottom"/>
          </w:tcPr>
          <w:p w14:paraId="453719F0" w14:textId="6A7E64D6" w:rsidR="005A574F" w:rsidRPr="00677925"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 xml:space="preserve">Davis &amp; </w:t>
            </w:r>
            <w:proofErr w:type="spellStart"/>
            <w:r w:rsidRPr="00677925">
              <w:rPr>
                <w:rFonts w:ascii="Times New Roman" w:hAnsi="Times New Roman" w:cs="Times New Roman"/>
                <w:sz w:val="20"/>
                <w:szCs w:val="20"/>
              </w:rPr>
              <w:t>Arterberry</w:t>
            </w:r>
            <w:proofErr w:type="spellEnd"/>
            <w:r w:rsidRPr="00677925">
              <w:rPr>
                <w:rFonts w:ascii="Times New Roman" w:hAnsi="Times New Roman" w:cs="Times New Roman"/>
                <w:sz w:val="20"/>
                <w:szCs w:val="20"/>
              </w:rPr>
              <w:t xml:space="preserve"> (2019)</w:t>
            </w:r>
            <w:r w:rsidR="00EA36F4">
              <w:rPr>
                <w:rFonts w:ascii="Times New Roman" w:hAnsi="Times New Roman" w:cs="Times New Roman"/>
                <w:sz w:val="20"/>
                <w:szCs w:val="20"/>
                <w:vertAlign w:val="superscript"/>
              </w:rPr>
              <w:t xml:space="preserve"> 90</w:t>
            </w:r>
          </w:p>
        </w:tc>
        <w:tc>
          <w:tcPr>
            <w:tcW w:w="8100" w:type="dxa"/>
            <w:vAlign w:val="bottom"/>
          </w:tcPr>
          <w:p w14:paraId="54C87EFA"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Harmonious passion was weakly correlated with negative consequences, whereas obsessive passion and refusal self-efficacy was moderately to strongly associated with negative consequences. Lower refusal self-efficacy and greater obsessive passion was associated with greater marijuana consequences. Greater harmonious passion was associated with greater marijuana use but fewer consequences.</w:t>
            </w:r>
          </w:p>
        </w:tc>
      </w:tr>
      <w:tr w:rsidR="005A574F" w:rsidRPr="00677925" w14:paraId="034CD35F" w14:textId="77777777" w:rsidTr="005A574F">
        <w:trPr>
          <w:trHeight w:val="1709"/>
        </w:trPr>
        <w:tc>
          <w:tcPr>
            <w:tcW w:w="2065" w:type="dxa"/>
            <w:vAlign w:val="bottom"/>
          </w:tcPr>
          <w:p w14:paraId="106CF8A7" w14:textId="0DEF4BB9" w:rsidR="005A574F" w:rsidRPr="00142077"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Destree</w:t>
            </w:r>
            <w:proofErr w:type="spellEnd"/>
            <w:r w:rsidRPr="00677925">
              <w:rPr>
                <w:rFonts w:ascii="Times New Roman" w:hAnsi="Times New Roman" w:cs="Times New Roman"/>
                <w:sz w:val="20"/>
                <w:szCs w:val="20"/>
              </w:rPr>
              <w:t xml:space="preserve"> et al. (2018)</w:t>
            </w:r>
            <w:r w:rsidR="00EA36F4">
              <w:rPr>
                <w:rFonts w:ascii="Times New Roman" w:hAnsi="Times New Roman" w:cs="Times New Roman"/>
                <w:sz w:val="20"/>
                <w:szCs w:val="20"/>
                <w:vertAlign w:val="superscript"/>
              </w:rPr>
              <w:t xml:space="preserve"> 69</w:t>
            </w:r>
          </w:p>
        </w:tc>
        <w:tc>
          <w:tcPr>
            <w:tcW w:w="8100" w:type="dxa"/>
            <w:vAlign w:val="bottom"/>
          </w:tcPr>
          <w:p w14:paraId="79B72D2B"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Impulsivity, legalization status, and their interaction explained 8% and 17% of the variance in problematic cannabis use when using ‘Impaired Control’ and ‘Problems’ subscales as the dependent variables, respectively. After adjusting for demographics, impulsivity predicted ‘Impaired Control’ as well as ‘Problems’. However, the interaction between impulsivity and legalization status was not significant in both models suggesting that the relationship between impulsivity and problematic cannabis use was not different depending on legalization status.</w:t>
            </w:r>
          </w:p>
        </w:tc>
      </w:tr>
      <w:tr w:rsidR="005A574F" w:rsidRPr="00677925" w14:paraId="6D1C001A" w14:textId="77777777" w:rsidTr="005A574F">
        <w:tc>
          <w:tcPr>
            <w:tcW w:w="2065" w:type="dxa"/>
            <w:vAlign w:val="bottom"/>
          </w:tcPr>
          <w:p w14:paraId="582E40B3" w14:textId="3038B3DA" w:rsidR="005A574F" w:rsidRPr="00142077" w:rsidRDefault="005A574F" w:rsidP="0075141B">
            <w:pPr>
              <w:rPr>
                <w:rFonts w:ascii="Times New Roman" w:hAnsi="Times New Roman" w:cs="Times New Roman"/>
                <w:sz w:val="20"/>
                <w:szCs w:val="20"/>
                <w:vertAlign w:val="superscript"/>
              </w:rPr>
            </w:pPr>
            <w:r>
              <w:rPr>
                <w:rFonts w:ascii="Times New Roman" w:hAnsi="Times New Roman" w:cs="Times New Roman"/>
                <w:sz w:val="20"/>
                <w:szCs w:val="20"/>
              </w:rPr>
              <w:t>Dias et al. (2022)</w:t>
            </w:r>
            <w:r w:rsidR="00A544A2">
              <w:rPr>
                <w:rFonts w:ascii="Times New Roman" w:hAnsi="Times New Roman" w:cs="Times New Roman"/>
                <w:sz w:val="20"/>
                <w:szCs w:val="20"/>
                <w:vertAlign w:val="superscript"/>
              </w:rPr>
              <w:t xml:space="preserve"> 102</w:t>
            </w:r>
          </w:p>
        </w:tc>
        <w:tc>
          <w:tcPr>
            <w:tcW w:w="8100" w:type="dxa"/>
            <w:vAlign w:val="bottom"/>
          </w:tcPr>
          <w:p w14:paraId="04272751" w14:textId="695AD042" w:rsidR="005A574F" w:rsidRPr="00677925" w:rsidRDefault="005A574F" w:rsidP="00B22677">
            <w:pPr>
              <w:rPr>
                <w:rFonts w:ascii="Times New Roman" w:hAnsi="Times New Roman" w:cs="Times New Roman"/>
                <w:sz w:val="20"/>
                <w:szCs w:val="20"/>
              </w:rPr>
            </w:pPr>
            <w:r>
              <w:rPr>
                <w:rFonts w:ascii="Times New Roman" w:hAnsi="Times New Roman" w:cs="Times New Roman"/>
                <w:sz w:val="20"/>
                <w:szCs w:val="20"/>
              </w:rPr>
              <w:t>M</w:t>
            </w:r>
            <w:r w:rsidRPr="00B22677">
              <w:rPr>
                <w:rFonts w:ascii="Times New Roman" w:hAnsi="Times New Roman" w:cs="Times New Roman"/>
                <w:sz w:val="20"/>
                <w:szCs w:val="20"/>
              </w:rPr>
              <w:t>ales reported higher cannabis abuse than females.</w:t>
            </w:r>
            <w:r>
              <w:rPr>
                <w:rFonts w:ascii="Times New Roman" w:hAnsi="Times New Roman" w:cs="Times New Roman"/>
                <w:sz w:val="20"/>
                <w:szCs w:val="20"/>
              </w:rPr>
              <w:t xml:space="preserve"> </w:t>
            </w:r>
            <w:r w:rsidRPr="00B22677">
              <w:rPr>
                <w:rFonts w:ascii="Times New Roman" w:hAnsi="Times New Roman" w:cs="Times New Roman"/>
                <w:sz w:val="20"/>
                <w:szCs w:val="20"/>
              </w:rPr>
              <w:t>Age at onset of cannabis use was negatively related to the number of friends using cannabis,</w:t>
            </w:r>
            <w:r>
              <w:rPr>
                <w:rFonts w:ascii="Times New Roman" w:hAnsi="Times New Roman" w:cs="Times New Roman"/>
                <w:sz w:val="20"/>
                <w:szCs w:val="20"/>
              </w:rPr>
              <w:t xml:space="preserve"> </w:t>
            </w:r>
            <w:r w:rsidRPr="00B22677">
              <w:rPr>
                <w:rFonts w:ascii="Times New Roman" w:hAnsi="Times New Roman" w:cs="Times New Roman"/>
                <w:sz w:val="20"/>
                <w:szCs w:val="20"/>
              </w:rPr>
              <w:t xml:space="preserve">while the number of friends using cannabis had a positive relationship with cannabis abuse. </w:t>
            </w:r>
            <w:r>
              <w:rPr>
                <w:rFonts w:ascii="Times New Roman" w:hAnsi="Times New Roman" w:cs="Times New Roman"/>
                <w:sz w:val="20"/>
                <w:szCs w:val="20"/>
              </w:rPr>
              <w:t>The</w:t>
            </w:r>
            <w:r w:rsidRPr="00B22677">
              <w:rPr>
                <w:rFonts w:ascii="Times New Roman" w:hAnsi="Times New Roman" w:cs="Times New Roman"/>
                <w:sz w:val="20"/>
                <w:szCs w:val="20"/>
              </w:rPr>
              <w:t xml:space="preserve"> number of friends using cannabis </w:t>
            </w:r>
            <w:r>
              <w:rPr>
                <w:rFonts w:ascii="Times New Roman" w:hAnsi="Times New Roman" w:cs="Times New Roman"/>
                <w:sz w:val="20"/>
                <w:szCs w:val="20"/>
              </w:rPr>
              <w:t>mediated</w:t>
            </w:r>
            <w:r w:rsidRPr="00B22677">
              <w:rPr>
                <w:rFonts w:ascii="Times New Roman" w:hAnsi="Times New Roman" w:cs="Times New Roman"/>
                <w:sz w:val="20"/>
                <w:szCs w:val="20"/>
              </w:rPr>
              <w:t xml:space="preserve"> the </w:t>
            </w:r>
            <w:r w:rsidRPr="00B22677">
              <w:rPr>
                <w:rFonts w:ascii="Times New Roman" w:hAnsi="Times New Roman" w:cs="Times New Roman"/>
                <w:sz w:val="20"/>
                <w:szCs w:val="20"/>
              </w:rPr>
              <w:lastRenderedPageBreak/>
              <w:t>relationship between cannabis</w:t>
            </w:r>
            <w:r>
              <w:rPr>
                <w:rFonts w:ascii="Times New Roman" w:hAnsi="Times New Roman" w:cs="Times New Roman"/>
                <w:sz w:val="20"/>
                <w:szCs w:val="20"/>
              </w:rPr>
              <w:t xml:space="preserve"> </w:t>
            </w:r>
            <w:r w:rsidRPr="00B22677">
              <w:rPr>
                <w:rFonts w:ascii="Times New Roman" w:hAnsi="Times New Roman" w:cs="Times New Roman"/>
                <w:sz w:val="20"/>
                <w:szCs w:val="20"/>
              </w:rPr>
              <w:t xml:space="preserve">onset age use and cannabis abuse. </w:t>
            </w:r>
            <w:r>
              <w:rPr>
                <w:rFonts w:ascii="Times New Roman" w:hAnsi="Times New Roman" w:cs="Times New Roman"/>
                <w:sz w:val="20"/>
                <w:szCs w:val="20"/>
              </w:rPr>
              <w:t>Observed relationships did not appear to vary between males and females</w:t>
            </w:r>
            <w:r w:rsidRPr="00B22677">
              <w:rPr>
                <w:rFonts w:ascii="Times New Roman" w:hAnsi="Times New Roman" w:cs="Times New Roman"/>
                <w:sz w:val="20"/>
                <w:szCs w:val="20"/>
              </w:rPr>
              <w:t xml:space="preserve">. </w:t>
            </w:r>
          </w:p>
        </w:tc>
      </w:tr>
      <w:tr w:rsidR="005A574F" w:rsidRPr="00677925" w14:paraId="76140DBF" w14:textId="77777777" w:rsidTr="005A574F">
        <w:tc>
          <w:tcPr>
            <w:tcW w:w="2065" w:type="dxa"/>
            <w:vAlign w:val="bottom"/>
          </w:tcPr>
          <w:p w14:paraId="355583A8" w14:textId="0A587C27"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Di Blasi et al. (2017)</w:t>
            </w:r>
            <w:r w:rsidR="00F75324">
              <w:rPr>
                <w:rFonts w:ascii="Times New Roman" w:hAnsi="Times New Roman" w:cs="Times New Roman"/>
                <w:sz w:val="20"/>
                <w:szCs w:val="20"/>
                <w:vertAlign w:val="superscript"/>
              </w:rPr>
              <w:t xml:space="preserve"> 57</w:t>
            </w:r>
          </w:p>
        </w:tc>
        <w:tc>
          <w:tcPr>
            <w:tcW w:w="8100" w:type="dxa"/>
            <w:vAlign w:val="bottom"/>
          </w:tcPr>
          <w:p w14:paraId="3888E05C"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SA (Social 2) was negatively associated with CUPIT scores. Global negative effects (GNE) was negatively associated with CUPIT when included as a mediator. The results further indicated that the direct effect of SA on CUPIT became non-significant when controlling for GNE suggesting full mediation.</w:t>
            </w:r>
          </w:p>
        </w:tc>
      </w:tr>
      <w:tr w:rsidR="005A574F" w:rsidRPr="00677925" w14:paraId="6409C88C" w14:textId="77777777" w:rsidTr="005A574F">
        <w:tc>
          <w:tcPr>
            <w:tcW w:w="2065" w:type="dxa"/>
            <w:vAlign w:val="bottom"/>
          </w:tcPr>
          <w:p w14:paraId="7A6060E7" w14:textId="7F9FA25B" w:rsidR="005A574F" w:rsidRPr="00142077"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color w:val="000000"/>
                <w:sz w:val="20"/>
                <w:szCs w:val="20"/>
              </w:rPr>
              <w:t>Drazdowski</w:t>
            </w:r>
            <w:proofErr w:type="spellEnd"/>
            <w:r w:rsidRPr="00677925">
              <w:rPr>
                <w:rFonts w:ascii="Times New Roman" w:hAnsi="Times New Roman" w:cs="Times New Roman"/>
                <w:color w:val="000000"/>
                <w:sz w:val="20"/>
                <w:szCs w:val="20"/>
              </w:rPr>
              <w:t xml:space="preserve"> et al. (2021)</w:t>
            </w:r>
            <w:r w:rsidR="00EA36F4">
              <w:rPr>
                <w:rFonts w:ascii="Times New Roman" w:hAnsi="Times New Roman" w:cs="Times New Roman"/>
                <w:color w:val="000000"/>
                <w:sz w:val="20"/>
                <w:szCs w:val="20"/>
                <w:vertAlign w:val="superscript"/>
              </w:rPr>
              <w:t xml:space="preserve"> 91</w:t>
            </w:r>
          </w:p>
        </w:tc>
        <w:tc>
          <w:tcPr>
            <w:tcW w:w="8100" w:type="dxa"/>
            <w:vAlign w:val="bottom"/>
          </w:tcPr>
          <w:p w14:paraId="37160D52"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Compared to women men reported more past year and past month marijuana use problems. No differences were observed by race (comparing white and nonwhite participants). Using marijuana as a sleep aid was significantly associated with past year and past month marijuana use problems with patterns of association similar between males and females as well as whites and nonwhite participants.</w:t>
            </w:r>
          </w:p>
        </w:tc>
      </w:tr>
      <w:tr w:rsidR="005A574F" w:rsidRPr="00677925" w14:paraId="4AE2FEDA" w14:textId="77777777" w:rsidTr="005A574F">
        <w:tc>
          <w:tcPr>
            <w:tcW w:w="2065" w:type="dxa"/>
            <w:vAlign w:val="bottom"/>
          </w:tcPr>
          <w:p w14:paraId="2EDDD799" w14:textId="2A24741F" w:rsidR="005A574F" w:rsidRPr="00142077" w:rsidRDefault="005A574F" w:rsidP="0075141B">
            <w:pPr>
              <w:rPr>
                <w:rFonts w:ascii="Times New Roman" w:hAnsi="Times New Roman" w:cs="Times New Roman"/>
                <w:sz w:val="20"/>
                <w:szCs w:val="20"/>
                <w:highlight w:val="green"/>
                <w:vertAlign w:val="superscript"/>
              </w:rPr>
            </w:pPr>
            <w:r w:rsidRPr="00357B5B">
              <w:rPr>
                <w:rFonts w:ascii="Times New Roman" w:hAnsi="Times New Roman" w:cs="Times New Roman"/>
                <w:sz w:val="20"/>
                <w:szCs w:val="20"/>
              </w:rPr>
              <w:t>Ecker &amp; Buckner (2014)</w:t>
            </w:r>
            <w:r w:rsidR="00F75324">
              <w:rPr>
                <w:rFonts w:ascii="Times New Roman" w:hAnsi="Times New Roman" w:cs="Times New Roman"/>
                <w:sz w:val="20"/>
                <w:szCs w:val="20"/>
                <w:vertAlign w:val="superscript"/>
              </w:rPr>
              <w:t xml:space="preserve"> 59</w:t>
            </w:r>
          </w:p>
        </w:tc>
        <w:tc>
          <w:tcPr>
            <w:tcW w:w="8100" w:type="dxa"/>
            <w:vAlign w:val="bottom"/>
          </w:tcPr>
          <w:p w14:paraId="57B4B726"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Gender, depression, and cannabis use frequency were associated with cannabis use problems in step 1 of the hierarchical linear model. Including descriptive norms and covariates, social anxiety and norms (friends) were significantly associated with cannabis use problems. For injunctive norms, only social anxiety and the interaction of social anxiety*norms (parents) were significant predictors of cannabis use problems. </w:t>
            </w:r>
          </w:p>
        </w:tc>
      </w:tr>
      <w:tr w:rsidR="005A574F" w:rsidRPr="00677925" w14:paraId="7481DCB0" w14:textId="77777777" w:rsidTr="005A574F">
        <w:tc>
          <w:tcPr>
            <w:tcW w:w="2065" w:type="dxa"/>
            <w:vAlign w:val="bottom"/>
          </w:tcPr>
          <w:p w14:paraId="0157C711" w14:textId="538794DD" w:rsidR="005A574F" w:rsidRPr="00142077" w:rsidRDefault="005A574F" w:rsidP="0075141B">
            <w:pPr>
              <w:rPr>
                <w:rFonts w:ascii="Times New Roman" w:hAnsi="Times New Roman" w:cs="Times New Roman"/>
                <w:sz w:val="20"/>
                <w:szCs w:val="20"/>
                <w:highlight w:val="green"/>
                <w:vertAlign w:val="superscript"/>
              </w:rPr>
            </w:pPr>
            <w:r w:rsidRPr="00357B5B">
              <w:rPr>
                <w:rFonts w:ascii="Times New Roman" w:hAnsi="Times New Roman" w:cs="Times New Roman"/>
                <w:sz w:val="20"/>
                <w:szCs w:val="20"/>
              </w:rPr>
              <w:t>Ecker et al. (2019)</w:t>
            </w:r>
            <w:r w:rsidR="00A544A2">
              <w:rPr>
                <w:rFonts w:ascii="Times New Roman" w:hAnsi="Times New Roman" w:cs="Times New Roman"/>
                <w:sz w:val="20"/>
                <w:szCs w:val="20"/>
                <w:vertAlign w:val="superscript"/>
              </w:rPr>
              <w:t xml:space="preserve"> 103</w:t>
            </w:r>
          </w:p>
        </w:tc>
        <w:tc>
          <w:tcPr>
            <w:tcW w:w="8100" w:type="dxa"/>
            <w:vAlign w:val="bottom"/>
          </w:tcPr>
          <w:p w14:paraId="4FDD3688"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Race moderated the relationship between injunctive norms regarding parents and cannabis-related problem severity such that among African American students (but not White students), endorsement of more permissive perceived parental injunctive norms was related to greater severity of cannabis-related problem severity (but not cannabis use frequency). Interactions were not significant between race and descriptive norms or between race and peer injunctive norms. </w:t>
            </w:r>
          </w:p>
        </w:tc>
      </w:tr>
      <w:tr w:rsidR="005A574F" w:rsidRPr="00677925" w14:paraId="3369130D" w14:textId="77777777" w:rsidTr="005A574F">
        <w:tc>
          <w:tcPr>
            <w:tcW w:w="2065" w:type="dxa"/>
            <w:vAlign w:val="bottom"/>
          </w:tcPr>
          <w:p w14:paraId="34FC519C" w14:textId="1366C6B1" w:rsidR="005A574F" w:rsidRPr="00142077"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Estoup</w:t>
            </w:r>
            <w:proofErr w:type="spellEnd"/>
            <w:r w:rsidRPr="00677925">
              <w:rPr>
                <w:rFonts w:ascii="Times New Roman" w:hAnsi="Times New Roman" w:cs="Times New Roman"/>
                <w:sz w:val="20"/>
                <w:szCs w:val="20"/>
              </w:rPr>
              <w:t xml:space="preserve"> et al.</w:t>
            </w:r>
            <w:r>
              <w:rPr>
                <w:rFonts w:ascii="Times New Roman" w:hAnsi="Times New Roman" w:cs="Times New Roman"/>
                <w:sz w:val="20"/>
                <w:szCs w:val="20"/>
              </w:rPr>
              <w:t xml:space="preserve"> (2016)</w:t>
            </w:r>
            <w:r w:rsidR="00A544A2">
              <w:rPr>
                <w:rFonts w:ascii="Times New Roman" w:hAnsi="Times New Roman" w:cs="Times New Roman"/>
                <w:sz w:val="20"/>
                <w:szCs w:val="20"/>
                <w:vertAlign w:val="superscript"/>
              </w:rPr>
              <w:t xml:space="preserve"> 109</w:t>
            </w:r>
          </w:p>
        </w:tc>
        <w:tc>
          <w:tcPr>
            <w:tcW w:w="8100" w:type="dxa"/>
            <w:vAlign w:val="bottom"/>
          </w:tcPr>
          <w:p w14:paraId="78BE30F5"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There was a significant relationship between marijuana legalization and reported consequences by the sample. Mediational models showed 22% of the variance in marijuana use consequences were accounted for by legalization and perceived risk. The total indirect effect of marijuana legalization status to consequences of use through perceived risk was statistically significant. </w:t>
            </w:r>
          </w:p>
        </w:tc>
      </w:tr>
      <w:tr w:rsidR="005A574F" w:rsidRPr="00677925" w14:paraId="3C464A6A" w14:textId="77777777" w:rsidTr="005A574F">
        <w:tc>
          <w:tcPr>
            <w:tcW w:w="2065" w:type="dxa"/>
            <w:vAlign w:val="bottom"/>
          </w:tcPr>
          <w:p w14:paraId="610CB0DD" w14:textId="68E1370F"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Farris et al.</w:t>
            </w:r>
            <w:r>
              <w:rPr>
                <w:rFonts w:ascii="Times New Roman" w:hAnsi="Times New Roman" w:cs="Times New Roman"/>
                <w:sz w:val="20"/>
                <w:szCs w:val="20"/>
              </w:rPr>
              <w:t xml:space="preserve"> (2016)</w:t>
            </w:r>
            <w:r w:rsidR="00EA36F4">
              <w:rPr>
                <w:rFonts w:ascii="Times New Roman" w:hAnsi="Times New Roman" w:cs="Times New Roman"/>
                <w:sz w:val="20"/>
                <w:szCs w:val="20"/>
                <w:vertAlign w:val="superscript"/>
              </w:rPr>
              <w:t xml:space="preserve"> 64</w:t>
            </w:r>
          </w:p>
        </w:tc>
        <w:tc>
          <w:tcPr>
            <w:tcW w:w="8100" w:type="dxa"/>
            <w:vAlign w:val="bottom"/>
          </w:tcPr>
          <w:p w14:paraId="1296BFBC"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Cannabis coping motives were significantly positively associated with all three criterion variables (anxiety, stress, and breath holding). Anxiety sensitivity was positively and significantly associated cannabis problems and cannabis dependence symptoms (medium-sized associations). Only distress intolerance significantly and negatively predicted number of cannabis dependence symptoms and number of cannabis problems which was accounted for by cannabis coping motives in mediation models.</w:t>
            </w:r>
          </w:p>
        </w:tc>
      </w:tr>
      <w:tr w:rsidR="005A574F" w:rsidRPr="00677925" w14:paraId="21BCB802" w14:textId="77777777" w:rsidTr="005A574F">
        <w:tc>
          <w:tcPr>
            <w:tcW w:w="2065" w:type="dxa"/>
            <w:vAlign w:val="bottom"/>
          </w:tcPr>
          <w:p w14:paraId="6FA1AA68" w14:textId="230A3496"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Feingold et al. (2020)</w:t>
            </w:r>
            <w:r w:rsidR="00F75324">
              <w:rPr>
                <w:rFonts w:ascii="Times New Roman" w:hAnsi="Times New Roman" w:cs="Times New Roman"/>
                <w:sz w:val="20"/>
                <w:szCs w:val="20"/>
                <w:vertAlign w:val="superscript"/>
              </w:rPr>
              <w:t xml:space="preserve"> 39</w:t>
            </w:r>
          </w:p>
        </w:tc>
        <w:tc>
          <w:tcPr>
            <w:tcW w:w="8100" w:type="dxa"/>
            <w:vAlign w:val="bottom"/>
          </w:tcPr>
          <w:p w14:paraId="4CD1A53B"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Among the lifetime cannabis users, lifetime probability of transition to CUD was approximately 27%. A higher probability of transition from cannabis use to CUD was observed among male participants belonging to an ethnic minority group, early-onset cannabis users, and individuals who reported experiencing three or more childhood adverse events.</w:t>
            </w:r>
          </w:p>
        </w:tc>
      </w:tr>
      <w:tr w:rsidR="005A574F" w:rsidRPr="00677925" w14:paraId="4521B7C5" w14:textId="77777777" w:rsidTr="005A574F">
        <w:tc>
          <w:tcPr>
            <w:tcW w:w="2065" w:type="dxa"/>
            <w:vAlign w:val="bottom"/>
          </w:tcPr>
          <w:p w14:paraId="5FEBDA99" w14:textId="599014D0" w:rsidR="005A574F" w:rsidRPr="00142077" w:rsidRDefault="005A574F" w:rsidP="0075141B">
            <w:pPr>
              <w:rPr>
                <w:rFonts w:ascii="Times New Roman" w:hAnsi="Times New Roman" w:cs="Times New Roman"/>
                <w:sz w:val="20"/>
                <w:szCs w:val="20"/>
                <w:vertAlign w:val="superscript"/>
              </w:rPr>
            </w:pPr>
            <w:r w:rsidRPr="00677925">
              <w:rPr>
                <w:rFonts w:ascii="Times New Roman" w:eastAsia="Times New Roman" w:hAnsi="Times New Roman" w:cs="Times New Roman"/>
                <w:sz w:val="20"/>
                <w:szCs w:val="20"/>
              </w:rPr>
              <w:t>Feinstein &amp; Newcomb (2016)</w:t>
            </w:r>
            <w:r w:rsidR="00A544A2">
              <w:rPr>
                <w:rFonts w:ascii="Times New Roman" w:eastAsia="Times New Roman" w:hAnsi="Times New Roman" w:cs="Times New Roman"/>
                <w:sz w:val="20"/>
                <w:szCs w:val="20"/>
                <w:vertAlign w:val="superscript"/>
              </w:rPr>
              <w:t xml:space="preserve"> 98</w:t>
            </w:r>
          </w:p>
        </w:tc>
        <w:tc>
          <w:tcPr>
            <w:tcW w:w="8100" w:type="dxa"/>
            <w:vAlign w:val="bottom"/>
          </w:tcPr>
          <w:p w14:paraId="6B3AAD92"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Higher community involvement was associated with higher DAST scores for bisexual women, but the association was not significant for lesbian or queer women. Higher outness was associated with higher DAST scores for bisexual women, but the associations were not significant for lesbians or queer women. Outness and community involvement were risk factors for DAST scores for bisexual women, but they were not significantly associated for lesbians and queer women. Bisexual women who are more involved in the LGBT community are likely to perceive more discrimination, which in turn contributed to their higher DAST scores.</w:t>
            </w:r>
          </w:p>
        </w:tc>
      </w:tr>
      <w:tr w:rsidR="005A574F" w:rsidRPr="00677925" w14:paraId="4D1FC7C3" w14:textId="77777777" w:rsidTr="005A574F">
        <w:tc>
          <w:tcPr>
            <w:tcW w:w="2065" w:type="dxa"/>
            <w:vAlign w:val="bottom"/>
          </w:tcPr>
          <w:p w14:paraId="3993D29D" w14:textId="077B63DB"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Fond et al. (2021)</w:t>
            </w:r>
            <w:r w:rsidR="00A544A2">
              <w:rPr>
                <w:rFonts w:ascii="Times New Roman" w:hAnsi="Times New Roman" w:cs="Times New Roman"/>
                <w:sz w:val="20"/>
                <w:szCs w:val="20"/>
                <w:vertAlign w:val="superscript"/>
              </w:rPr>
              <w:t xml:space="preserve"> 99</w:t>
            </w:r>
          </w:p>
        </w:tc>
        <w:tc>
          <w:tcPr>
            <w:tcW w:w="8100" w:type="dxa"/>
            <w:vAlign w:val="bottom"/>
          </w:tcPr>
          <w:p w14:paraId="17B9C74E" w14:textId="1054DAA5"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In a sample of French medical students, compared to women, men were at three-time higher risk of scoring 3 or higher on the CAST. In a multivariate analysis, CAST scores of 3 or more was independently associated with </w:t>
            </w:r>
            <w:r>
              <w:rPr>
                <w:rFonts w:ascii="Times New Roman" w:hAnsi="Times New Roman" w:cs="Times New Roman"/>
                <w:sz w:val="20"/>
                <w:szCs w:val="20"/>
              </w:rPr>
              <w:t>male</w:t>
            </w:r>
            <w:r w:rsidRPr="00677925">
              <w:rPr>
                <w:rFonts w:ascii="Times New Roman" w:hAnsi="Times New Roman" w:cs="Times New Roman"/>
                <w:sz w:val="20"/>
                <w:szCs w:val="20"/>
              </w:rPr>
              <w:t xml:space="preserve"> sex, alcohol use disorder, tobacco smoking, hypnotic consumption, psychiatric follow-up, parents’ divorce, history of sexual and physical assault and lower than full-time (40 hours/week) work.</w:t>
            </w:r>
          </w:p>
        </w:tc>
      </w:tr>
      <w:tr w:rsidR="005A574F" w:rsidRPr="00677925" w14:paraId="3B306F24" w14:textId="77777777" w:rsidTr="005A574F">
        <w:tc>
          <w:tcPr>
            <w:tcW w:w="2065" w:type="dxa"/>
            <w:vAlign w:val="bottom"/>
          </w:tcPr>
          <w:p w14:paraId="35E69D82" w14:textId="23B27871" w:rsidR="005A574F" w:rsidRPr="00142077" w:rsidRDefault="005A574F" w:rsidP="0075141B">
            <w:pPr>
              <w:rPr>
                <w:rFonts w:ascii="Times New Roman" w:hAnsi="Times New Roman" w:cs="Times New Roman"/>
                <w:sz w:val="20"/>
                <w:szCs w:val="20"/>
                <w:vertAlign w:val="superscript"/>
              </w:rPr>
            </w:pPr>
            <w:r w:rsidRPr="00B22677">
              <w:rPr>
                <w:rFonts w:ascii="Times New Roman" w:hAnsi="Times New Roman" w:cs="Times New Roman"/>
                <w:sz w:val="20"/>
                <w:szCs w:val="20"/>
              </w:rPr>
              <w:t>Gunn et al.</w:t>
            </w:r>
            <w:r>
              <w:rPr>
                <w:rFonts w:ascii="Times New Roman" w:hAnsi="Times New Roman" w:cs="Times New Roman"/>
                <w:sz w:val="20"/>
                <w:szCs w:val="20"/>
              </w:rPr>
              <w:t xml:space="preserve"> (2020)</w:t>
            </w:r>
            <w:r w:rsidR="00F75324">
              <w:rPr>
                <w:rFonts w:ascii="Times New Roman" w:hAnsi="Times New Roman" w:cs="Times New Roman"/>
                <w:sz w:val="20"/>
                <w:szCs w:val="20"/>
                <w:vertAlign w:val="superscript"/>
              </w:rPr>
              <w:t xml:space="preserve"> 37</w:t>
            </w:r>
          </w:p>
        </w:tc>
        <w:tc>
          <w:tcPr>
            <w:tcW w:w="8100" w:type="dxa"/>
            <w:vAlign w:val="bottom"/>
          </w:tcPr>
          <w:p w14:paraId="68E52E5C" w14:textId="16BFCA7A"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Class 1 (high-frequency users most likely to use all-products and more than four modes, with lower likelihood of being high more than 4 hours per day) reported the highest number of consequences, followed by class 2 (high-frequency users most likely to use plant, also moderately likely to use concentrates and edibles, more likely to use a low number of modes, and had the lowest likelihood of spending more than four hours high per day). Class 1 also reported the highest CUDIT-R scores followed by class 2, class 3</w:t>
            </w:r>
            <w:r>
              <w:rPr>
                <w:rFonts w:ascii="Times New Roman" w:hAnsi="Times New Roman" w:cs="Times New Roman"/>
                <w:sz w:val="20"/>
                <w:szCs w:val="20"/>
              </w:rPr>
              <w:t xml:space="preserve"> </w:t>
            </w:r>
            <w:r w:rsidRPr="00677925">
              <w:rPr>
                <w:rFonts w:ascii="Times New Roman" w:hAnsi="Times New Roman" w:cs="Times New Roman"/>
                <w:sz w:val="20"/>
                <w:szCs w:val="20"/>
              </w:rPr>
              <w:t>(moderate-frequency users most likely to use plant and edibles, but also moderately likely to use concentrates, moderately likely to use a high number of modes, and most likely to spend more than 4 hours high per day), class 5 (ow-</w:t>
            </w:r>
            <w:r w:rsidRPr="00677925">
              <w:rPr>
                <w:rFonts w:ascii="Times New Roman" w:hAnsi="Times New Roman" w:cs="Times New Roman"/>
                <w:sz w:val="20"/>
                <w:szCs w:val="20"/>
              </w:rPr>
              <w:lastRenderedPageBreak/>
              <w:t>frequency, primarily edible users, moderately likely to use concentrates, least likely to use a high number of modes, and more likely to spend more than four hours per day high) and class 4 (low-frequency, mostly plant users moderately likely to use edibles, a low number of modes, and to spend more than 4 hours per day high). Only classes 4 and 5 did not differ on average CUDIT-R scores. Heavy users reported higher CUDIT-R scores relative to light users.</w:t>
            </w:r>
          </w:p>
        </w:tc>
      </w:tr>
      <w:tr w:rsidR="005A574F" w:rsidRPr="00677925" w14:paraId="464E6C47" w14:textId="77777777" w:rsidTr="005A574F">
        <w:tc>
          <w:tcPr>
            <w:tcW w:w="2065" w:type="dxa"/>
            <w:vAlign w:val="bottom"/>
          </w:tcPr>
          <w:p w14:paraId="4C248B40" w14:textId="10C33D27" w:rsidR="005A574F" w:rsidRPr="00142077"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lastRenderedPageBreak/>
              <w:t>Hamonniere</w:t>
            </w:r>
            <w:proofErr w:type="spellEnd"/>
            <w:r w:rsidRPr="00677925">
              <w:rPr>
                <w:rFonts w:ascii="Times New Roman" w:hAnsi="Times New Roman" w:cs="Times New Roman"/>
                <w:sz w:val="20"/>
                <w:szCs w:val="20"/>
              </w:rPr>
              <w:t xml:space="preserve"> et al. (2022)</w:t>
            </w:r>
            <w:r w:rsidR="00A544A2">
              <w:rPr>
                <w:rFonts w:ascii="Times New Roman" w:hAnsi="Times New Roman" w:cs="Times New Roman"/>
                <w:sz w:val="20"/>
                <w:szCs w:val="20"/>
                <w:vertAlign w:val="superscript"/>
              </w:rPr>
              <w:t xml:space="preserve"> 95</w:t>
            </w:r>
          </w:p>
        </w:tc>
        <w:tc>
          <w:tcPr>
            <w:tcW w:w="8100" w:type="dxa"/>
            <w:vAlign w:val="bottom"/>
          </w:tcPr>
          <w:p w14:paraId="053E68FD"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Repetitive negative thinking dimensions were not significantly correlated with problematic cannabis use severity or cannabis-related problems when controlling for age, gender, and negative affect. However, metacognitive beliefs accounted for a significant unique variance in problematic cannabis use severity. Cognitive confidence, beliefs about the need to control thoughts, and cognitive self-consciousness emerged as the only metacognitive beliefs that contributed to a significant 6% increase in the variance of problematic cannabis use and cannabis-related problem severity. In a moderated model, capture mental resources was a significant predictor of cannabis-related problem severity only for people with low levels of negative beliefs about thoughts concerning uncontrollability and danger.</w:t>
            </w:r>
          </w:p>
        </w:tc>
      </w:tr>
      <w:tr w:rsidR="005A574F" w:rsidRPr="00677925" w14:paraId="4920C65E" w14:textId="77777777" w:rsidTr="00EB6F01">
        <w:trPr>
          <w:trHeight w:val="944"/>
        </w:trPr>
        <w:tc>
          <w:tcPr>
            <w:tcW w:w="2065" w:type="dxa"/>
            <w:vAlign w:val="bottom"/>
          </w:tcPr>
          <w:p w14:paraId="6475DCD9" w14:textId="2D0DBA31"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Holliday &amp; Pedersen</w:t>
            </w:r>
            <w:r>
              <w:rPr>
                <w:rFonts w:ascii="Times New Roman" w:hAnsi="Times New Roman" w:cs="Times New Roman"/>
                <w:sz w:val="20"/>
                <w:szCs w:val="20"/>
              </w:rPr>
              <w:t xml:space="preserve"> (2017)</w:t>
            </w:r>
            <w:r w:rsidR="00A544A2">
              <w:rPr>
                <w:rFonts w:ascii="Times New Roman" w:hAnsi="Times New Roman" w:cs="Times New Roman"/>
                <w:sz w:val="20"/>
                <w:szCs w:val="20"/>
                <w:vertAlign w:val="superscript"/>
              </w:rPr>
              <w:t xml:space="preserve"> 114</w:t>
            </w:r>
          </w:p>
        </w:tc>
        <w:tc>
          <w:tcPr>
            <w:tcW w:w="8100" w:type="dxa"/>
            <w:vAlign w:val="bottom"/>
          </w:tcPr>
          <w:p w14:paraId="16FB7E16"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A greater proportion of veterans who received a general discharge, compared to other than honorable discharge, screened positive for hazardous cannabis use. There was a significant negative correlation between age and cannabis misuse. Ethnicity and income were also significantly related to cannabis misuse though specific associations were not presented.</w:t>
            </w:r>
          </w:p>
        </w:tc>
      </w:tr>
      <w:tr w:rsidR="005A574F" w:rsidRPr="00677925" w14:paraId="5B71F632" w14:textId="77777777" w:rsidTr="005A574F">
        <w:trPr>
          <w:trHeight w:val="70"/>
        </w:trPr>
        <w:tc>
          <w:tcPr>
            <w:tcW w:w="2065" w:type="dxa"/>
            <w:vAlign w:val="bottom"/>
          </w:tcPr>
          <w:p w14:paraId="0966DCB8" w14:textId="02ACA60C"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Horvath et al. (2022)</w:t>
            </w:r>
            <w:r w:rsidR="00EA36F4">
              <w:rPr>
                <w:rFonts w:ascii="Times New Roman" w:hAnsi="Times New Roman" w:cs="Times New Roman"/>
                <w:sz w:val="20"/>
                <w:szCs w:val="20"/>
                <w:vertAlign w:val="superscript"/>
              </w:rPr>
              <w:t xml:space="preserve"> 75</w:t>
            </w:r>
          </w:p>
        </w:tc>
        <w:tc>
          <w:tcPr>
            <w:tcW w:w="8100" w:type="dxa"/>
            <w:vAlign w:val="bottom"/>
          </w:tcPr>
          <w:p w14:paraId="41E3CE66"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Cannabis use problems were significantly, positively but weakly associated with hostility, anger rumination (AR), and conformity and coping motives. In mediation models, higher levels of hostility were associated with cannabis use problems via increased rates of AR, higher levels of coping motives, and higher levels of conformity motives. These relationships were described as partial mediation due to the significant direct effect of hostility on cannabis use problems across paths.</w:t>
            </w:r>
          </w:p>
        </w:tc>
      </w:tr>
      <w:tr w:rsidR="005A574F" w:rsidRPr="00677925" w14:paraId="05633BB2" w14:textId="77777777" w:rsidTr="005A574F">
        <w:tc>
          <w:tcPr>
            <w:tcW w:w="2065" w:type="dxa"/>
            <w:vAlign w:val="bottom"/>
          </w:tcPr>
          <w:p w14:paraId="3DFEBF85" w14:textId="346ACF56" w:rsidR="005A574F" w:rsidRPr="00142077" w:rsidRDefault="005A574F" w:rsidP="0075141B">
            <w:pPr>
              <w:rPr>
                <w:rFonts w:ascii="Times New Roman" w:hAnsi="Times New Roman" w:cs="Times New Roman"/>
                <w:sz w:val="20"/>
                <w:szCs w:val="20"/>
                <w:vertAlign w:val="superscript"/>
              </w:rPr>
            </w:pPr>
            <w:r w:rsidRPr="00677925">
              <w:rPr>
                <w:rFonts w:ascii="Times New Roman" w:hAnsi="Times New Roman" w:cs="Times New Roman"/>
                <w:sz w:val="20"/>
                <w:szCs w:val="20"/>
              </w:rPr>
              <w:t>Jordan et al. (2020)</w:t>
            </w:r>
            <w:r w:rsidR="00A544A2">
              <w:rPr>
                <w:rFonts w:ascii="Times New Roman" w:hAnsi="Times New Roman" w:cs="Times New Roman"/>
                <w:sz w:val="20"/>
                <w:szCs w:val="20"/>
                <w:vertAlign w:val="superscript"/>
              </w:rPr>
              <w:t xml:space="preserve"> 100</w:t>
            </w:r>
          </w:p>
        </w:tc>
        <w:tc>
          <w:tcPr>
            <w:tcW w:w="8100" w:type="dxa"/>
            <w:vAlign w:val="bottom"/>
          </w:tcPr>
          <w:p w14:paraId="704633B8"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PBS use significantly mediated the associations between PTSD symptoms and CRNCs. In double-mediated models, higher PTSD symptoms were associated with lower PBS use, which in turn was associated with higher marijuana use frequency/quantity, which in turn was associated with more CUD symptoms and marijuana-related problems. When accounting for the effects of PBS and</w:t>
            </w:r>
          </w:p>
          <w:p w14:paraId="503B1360"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marijuana use quantity/frequency, there still remained significant positive direct effects between PTSD symptoms and both CUD symptoms and marijuana-related problems.</w:t>
            </w:r>
          </w:p>
        </w:tc>
      </w:tr>
      <w:tr w:rsidR="005A574F" w:rsidRPr="00677925" w14:paraId="1E2103D1" w14:textId="77777777" w:rsidTr="005A574F">
        <w:tc>
          <w:tcPr>
            <w:tcW w:w="2065" w:type="dxa"/>
            <w:vAlign w:val="bottom"/>
          </w:tcPr>
          <w:p w14:paraId="4AF5CBC5" w14:textId="00A0D9D6" w:rsidR="005A574F" w:rsidRPr="00142077" w:rsidRDefault="005A574F" w:rsidP="0075141B">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Kentopp</w:t>
            </w:r>
            <w:proofErr w:type="spellEnd"/>
            <w:r w:rsidRPr="00677925">
              <w:rPr>
                <w:rFonts w:ascii="Times New Roman" w:hAnsi="Times New Roman" w:cs="Times New Roman"/>
                <w:sz w:val="20"/>
                <w:szCs w:val="20"/>
              </w:rPr>
              <w:t xml:space="preserve"> et al.</w:t>
            </w:r>
            <w:r>
              <w:rPr>
                <w:rFonts w:ascii="Times New Roman" w:hAnsi="Times New Roman" w:cs="Times New Roman"/>
                <w:sz w:val="20"/>
                <w:szCs w:val="20"/>
              </w:rPr>
              <w:t xml:space="preserve"> (2019)</w:t>
            </w:r>
            <w:r w:rsidR="00EA36F4">
              <w:rPr>
                <w:rFonts w:ascii="Times New Roman" w:hAnsi="Times New Roman" w:cs="Times New Roman"/>
                <w:sz w:val="20"/>
                <w:szCs w:val="20"/>
                <w:vertAlign w:val="superscript"/>
              </w:rPr>
              <w:t xml:space="preserve"> 72</w:t>
            </w:r>
          </w:p>
        </w:tc>
        <w:tc>
          <w:tcPr>
            <w:tcW w:w="8100" w:type="dxa"/>
            <w:vAlign w:val="bottom"/>
          </w:tcPr>
          <w:p w14:paraId="7ECD1EBC" w14:textId="77777777" w:rsidR="005A574F" w:rsidRPr="00677925" w:rsidRDefault="005A574F" w:rsidP="0075141B">
            <w:pPr>
              <w:rPr>
                <w:rFonts w:ascii="Times New Roman" w:hAnsi="Times New Roman" w:cs="Times New Roman"/>
                <w:sz w:val="20"/>
                <w:szCs w:val="20"/>
              </w:rPr>
            </w:pPr>
            <w:r w:rsidRPr="00677925">
              <w:rPr>
                <w:rFonts w:ascii="Times New Roman" w:hAnsi="Times New Roman" w:cs="Times New Roman"/>
                <w:sz w:val="20"/>
                <w:szCs w:val="20"/>
              </w:rPr>
              <w:t xml:space="preserve">There is a significant positive association between risk seeking and cannabis-related consequences. A one-unit increase in the average risk seeking item response results in a 19.1% increase in expected number of cannabis-related consequences. A significant negative association between experience seeking and cannabis-related consequences suggests a one standard deviation increase in the average experience seeking item response results in an 8.8% decrease in expected number of cannabis-related consequences. A significant positive association between emotion dysregulation and cannabis-related consequences showed a one standard deviation increase in the average emotion dysregulation item response results in a 16.5% increase in expected number of cannabis-related consequences. A significant interaction between risk seeking and emotion dysregulation on cannabis-related consequences was observed. </w:t>
            </w:r>
          </w:p>
        </w:tc>
      </w:tr>
      <w:tr w:rsidR="005A574F" w:rsidRPr="00677925" w14:paraId="71779580" w14:textId="77777777" w:rsidTr="00EB6F01">
        <w:trPr>
          <w:trHeight w:val="881"/>
        </w:trPr>
        <w:tc>
          <w:tcPr>
            <w:tcW w:w="2065" w:type="dxa"/>
            <w:vAlign w:val="center"/>
          </w:tcPr>
          <w:p w14:paraId="28068309" w14:textId="35D184B7" w:rsidR="005A574F" w:rsidRPr="00683086" w:rsidRDefault="005A574F" w:rsidP="00390094">
            <w:pPr>
              <w:rPr>
                <w:rFonts w:ascii="Times New Roman" w:hAnsi="Times New Roman" w:cs="Times New Roman"/>
                <w:sz w:val="20"/>
                <w:szCs w:val="20"/>
                <w:vertAlign w:val="superscript"/>
              </w:rPr>
            </w:pPr>
            <w:r>
              <w:rPr>
                <w:rFonts w:ascii="Times New Roman" w:eastAsia="Times New Roman" w:hAnsi="Times New Roman" w:cs="Times New Roman"/>
                <w:sz w:val="20"/>
                <w:szCs w:val="20"/>
              </w:rPr>
              <w:t>Lawn et al. (2022</w:t>
            </w:r>
            <w:proofErr w:type="gramStart"/>
            <w:r>
              <w:rPr>
                <w:rFonts w:ascii="Times New Roman" w:eastAsia="Times New Roman" w:hAnsi="Times New Roman" w:cs="Times New Roman"/>
                <w:sz w:val="20"/>
                <w:szCs w:val="20"/>
              </w:rPr>
              <w:t xml:space="preserve">) </w:t>
            </w:r>
            <w:r w:rsidR="00F75324">
              <w:rPr>
                <w:rFonts w:ascii="Times New Roman" w:eastAsia="Times New Roman" w:hAnsi="Times New Roman" w:cs="Times New Roman"/>
                <w:sz w:val="20"/>
                <w:szCs w:val="20"/>
                <w:vertAlign w:val="superscript"/>
              </w:rPr>
              <w:t xml:space="preserve"> 43</w:t>
            </w:r>
            <w:proofErr w:type="gramEnd"/>
          </w:p>
        </w:tc>
        <w:tc>
          <w:tcPr>
            <w:tcW w:w="8100" w:type="dxa"/>
            <w:vAlign w:val="center"/>
          </w:tcPr>
          <w:p w14:paraId="70546A1C" w14:textId="721805E3" w:rsidR="005A574F" w:rsidRPr="00677925" w:rsidRDefault="005A574F" w:rsidP="006F3682">
            <w:pPr>
              <w:rPr>
                <w:rFonts w:ascii="Times New Roman" w:hAnsi="Times New Roman" w:cs="Times New Roman"/>
                <w:sz w:val="20"/>
                <w:szCs w:val="20"/>
              </w:rPr>
            </w:pPr>
            <w:r w:rsidRPr="006F3682">
              <w:rPr>
                <w:rFonts w:ascii="Times New Roman" w:hAnsi="Times New Roman" w:cs="Times New Roman"/>
                <w:sz w:val="20"/>
                <w:szCs w:val="20"/>
              </w:rPr>
              <w:t>Within users, adolescent-status predicted likelihood of having</w:t>
            </w:r>
            <w:r>
              <w:rPr>
                <w:rFonts w:ascii="Times New Roman" w:hAnsi="Times New Roman" w:cs="Times New Roman"/>
                <w:sz w:val="20"/>
                <w:szCs w:val="20"/>
              </w:rPr>
              <w:t xml:space="preserve"> </w:t>
            </w:r>
            <w:r w:rsidRPr="006F3682">
              <w:rPr>
                <w:rFonts w:ascii="Times New Roman" w:hAnsi="Times New Roman" w:cs="Times New Roman"/>
                <w:sz w:val="20"/>
                <w:szCs w:val="20"/>
              </w:rPr>
              <w:t>severe CUD</w:t>
            </w:r>
            <w:r>
              <w:rPr>
                <w:rFonts w:ascii="Times New Roman" w:hAnsi="Times New Roman" w:cs="Times New Roman"/>
                <w:sz w:val="20"/>
                <w:szCs w:val="20"/>
              </w:rPr>
              <w:t xml:space="preserve"> after adjusting for demographic covariates.</w:t>
            </w:r>
          </w:p>
        </w:tc>
      </w:tr>
      <w:tr w:rsidR="005A574F" w:rsidRPr="00677925" w14:paraId="69639474" w14:textId="77777777" w:rsidTr="005A574F">
        <w:trPr>
          <w:trHeight w:val="1340"/>
        </w:trPr>
        <w:tc>
          <w:tcPr>
            <w:tcW w:w="2065" w:type="dxa"/>
            <w:vAlign w:val="center"/>
          </w:tcPr>
          <w:p w14:paraId="5691BA20" w14:textId="41DD2D22"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Lee et al. (2007)</w:t>
            </w:r>
            <w:r w:rsidR="00EA36F4">
              <w:rPr>
                <w:rFonts w:ascii="Times New Roman" w:hAnsi="Times New Roman" w:cs="Times New Roman"/>
                <w:sz w:val="20"/>
                <w:szCs w:val="20"/>
                <w:vertAlign w:val="superscript"/>
              </w:rPr>
              <w:t xml:space="preserve"> 76</w:t>
            </w:r>
          </w:p>
        </w:tc>
        <w:tc>
          <w:tcPr>
            <w:tcW w:w="8100" w:type="dxa"/>
            <w:vAlign w:val="center"/>
          </w:tcPr>
          <w:p w14:paraId="46E20EEE"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Neither sex nor ethnicity accounted for unique variance over and above marijuana use motives. Experimentation motives accounted for the largest unique proportion of variance followed by, coping, habit, altered perception, enjoyment, and activity enhancement. Days used accounted for 29% of the variance in problem use. Experimentation, activity enhancement, rebellion, and relaxation were all significant predictors of use and/or problems. </w:t>
            </w:r>
          </w:p>
        </w:tc>
      </w:tr>
      <w:tr w:rsidR="005A574F" w:rsidRPr="00677925" w14:paraId="761C621F" w14:textId="77777777" w:rsidTr="005A574F">
        <w:tc>
          <w:tcPr>
            <w:tcW w:w="2065" w:type="dxa"/>
            <w:vAlign w:val="bottom"/>
          </w:tcPr>
          <w:p w14:paraId="2C4317BC" w14:textId="5D194FAF"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Luba et al.</w:t>
            </w:r>
            <w:r>
              <w:rPr>
                <w:rFonts w:ascii="Times New Roman" w:hAnsi="Times New Roman" w:cs="Times New Roman"/>
                <w:sz w:val="20"/>
                <w:szCs w:val="20"/>
              </w:rPr>
              <w:t xml:space="preserve"> </w:t>
            </w:r>
            <w:r w:rsidRPr="00677925">
              <w:rPr>
                <w:rFonts w:ascii="Times New Roman" w:hAnsi="Times New Roman" w:cs="Times New Roman"/>
                <w:sz w:val="20"/>
                <w:szCs w:val="20"/>
              </w:rPr>
              <w:t>(2020)</w:t>
            </w:r>
            <w:r w:rsidR="00F75324">
              <w:rPr>
                <w:rFonts w:ascii="Times New Roman" w:hAnsi="Times New Roman" w:cs="Times New Roman"/>
                <w:sz w:val="20"/>
                <w:szCs w:val="20"/>
                <w:vertAlign w:val="superscript"/>
              </w:rPr>
              <w:t xml:space="preserve"> 46</w:t>
            </w:r>
          </w:p>
        </w:tc>
        <w:tc>
          <w:tcPr>
            <w:tcW w:w="8100" w:type="dxa"/>
            <w:vAlign w:val="bottom"/>
          </w:tcPr>
          <w:p w14:paraId="0CCB80E4"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Marijuana-related problems were positively correlated to marijuana use and negatively correlated with level of savoring. Results from moderation analyses showed that as savoring decreases, the association between frequency of use and marijuana use problems increases. Gender was not a significant predictor of problems and did not have any interaction with frequency of use or savoring on marijuana related problems.</w:t>
            </w:r>
          </w:p>
        </w:tc>
      </w:tr>
      <w:tr w:rsidR="005A574F" w:rsidRPr="00677925" w14:paraId="564A1123" w14:textId="77777777" w:rsidTr="005A574F">
        <w:tc>
          <w:tcPr>
            <w:tcW w:w="2065" w:type="dxa"/>
            <w:vAlign w:val="bottom"/>
          </w:tcPr>
          <w:p w14:paraId="7A20BE8E" w14:textId="2F12E0B7"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Meier (</w:t>
            </w:r>
            <w:r>
              <w:rPr>
                <w:rFonts w:ascii="Times New Roman" w:hAnsi="Times New Roman" w:cs="Times New Roman"/>
                <w:sz w:val="20"/>
                <w:szCs w:val="20"/>
              </w:rPr>
              <w:t>2017</w:t>
            </w:r>
            <w:r w:rsidRPr="00677925">
              <w:rPr>
                <w:rFonts w:ascii="Times New Roman" w:hAnsi="Times New Roman" w:cs="Times New Roman"/>
                <w:sz w:val="20"/>
                <w:szCs w:val="20"/>
              </w:rPr>
              <w:t>)</w:t>
            </w:r>
            <w:r w:rsidR="00F75324">
              <w:rPr>
                <w:rFonts w:ascii="Times New Roman" w:hAnsi="Times New Roman" w:cs="Times New Roman"/>
                <w:sz w:val="20"/>
                <w:szCs w:val="20"/>
                <w:vertAlign w:val="superscript"/>
              </w:rPr>
              <w:t xml:space="preserve"> 48</w:t>
            </w:r>
          </w:p>
        </w:tc>
        <w:tc>
          <w:tcPr>
            <w:tcW w:w="8100" w:type="dxa"/>
            <w:vAlign w:val="bottom"/>
          </w:tcPr>
          <w:p w14:paraId="15220C99"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For every standard deviation increase in frequency of BHO (butane hashish oil) use, there was an 80% increase in the risk of experiencing an additional physical dependence symptom. Prior to matching, BHO users had higher levels of cannabis-related problems on five of the eight MACQ scales. After matching, BHO users had higher levels of cannabis-related problems only on the physical dependence scale, consistent with results of the covariate control approach.</w:t>
            </w:r>
          </w:p>
        </w:tc>
      </w:tr>
      <w:tr w:rsidR="005A574F" w:rsidRPr="00677925" w14:paraId="41DB5792" w14:textId="77777777" w:rsidTr="005A574F">
        <w:tc>
          <w:tcPr>
            <w:tcW w:w="2065" w:type="dxa"/>
            <w:vAlign w:val="bottom"/>
          </w:tcPr>
          <w:p w14:paraId="4593A807" w14:textId="024394CA"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Millar et al. (2021)</w:t>
            </w:r>
            <w:r w:rsidR="00F75324">
              <w:rPr>
                <w:rFonts w:ascii="Times New Roman" w:hAnsi="Times New Roman" w:cs="Times New Roman"/>
                <w:sz w:val="20"/>
                <w:szCs w:val="20"/>
                <w:vertAlign w:val="superscript"/>
              </w:rPr>
              <w:t xml:space="preserve"> 42</w:t>
            </w:r>
          </w:p>
        </w:tc>
        <w:tc>
          <w:tcPr>
            <w:tcW w:w="8100" w:type="dxa"/>
            <w:vAlign w:val="bottom"/>
          </w:tcPr>
          <w:p w14:paraId="0DEFC167"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No associations were observed between age at first use of alcohol, tobacco or cannabis and CUD when adjusting for covariates. However, the odds of having a CUD were found to be reduced by 14% and 11% for each year of delayed tobacco and cannabis use onset respectively in analyses which examined younger survey participants.</w:t>
            </w:r>
          </w:p>
        </w:tc>
      </w:tr>
      <w:tr w:rsidR="005A574F" w:rsidRPr="00677925" w14:paraId="699F0E89" w14:textId="77777777" w:rsidTr="00EB6F01">
        <w:trPr>
          <w:trHeight w:val="1871"/>
        </w:trPr>
        <w:tc>
          <w:tcPr>
            <w:tcW w:w="2065" w:type="dxa"/>
            <w:vAlign w:val="bottom"/>
          </w:tcPr>
          <w:p w14:paraId="16BB5D00" w14:textId="75AFC7B8"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Montes &amp; Napper</w:t>
            </w:r>
            <w:r>
              <w:rPr>
                <w:rFonts w:ascii="Times New Roman" w:hAnsi="Times New Roman" w:cs="Times New Roman"/>
                <w:sz w:val="20"/>
                <w:szCs w:val="20"/>
              </w:rPr>
              <w:t xml:space="preserve"> (2019)</w:t>
            </w:r>
            <w:r w:rsidR="00EA36F4">
              <w:rPr>
                <w:rFonts w:ascii="Times New Roman" w:hAnsi="Times New Roman" w:cs="Times New Roman"/>
                <w:sz w:val="20"/>
                <w:szCs w:val="20"/>
                <w:vertAlign w:val="superscript"/>
              </w:rPr>
              <w:t xml:space="preserve"> 89</w:t>
            </w:r>
          </w:p>
        </w:tc>
        <w:tc>
          <w:tcPr>
            <w:tcW w:w="8100" w:type="dxa"/>
            <w:vAlign w:val="bottom"/>
          </w:tcPr>
          <w:p w14:paraId="521E25DA"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A one SD increase in negative affect was associated with a 1% increase in the rate of experiencing marijuana consequences. A one SD increase in past-year marijuana frequency was associated with a 57% increase in the rate of experiencing marijuana consequences. Marijuana identity moderated the relationship between injunctive norms and consequences. Among students for whom marijuana use was central to their identity, injunctive norms were positively associated with consequences. Descriptive norms were positively associated with consequences for those with a weak marijuana identity, but descriptive norms were negatively associated with consequences for those with a strong marijuana identity.</w:t>
            </w:r>
          </w:p>
        </w:tc>
      </w:tr>
      <w:tr w:rsidR="005A574F" w:rsidRPr="00677925" w14:paraId="77D69C68" w14:textId="77777777" w:rsidTr="005A574F">
        <w:tc>
          <w:tcPr>
            <w:tcW w:w="2065" w:type="dxa"/>
            <w:vAlign w:val="bottom"/>
          </w:tcPr>
          <w:p w14:paraId="15FD7EA8" w14:textId="738DE2D7"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Montes et al. (2021)</w:t>
            </w:r>
            <w:r w:rsidR="00EA36F4">
              <w:rPr>
                <w:rFonts w:ascii="Times New Roman" w:hAnsi="Times New Roman" w:cs="Times New Roman"/>
                <w:sz w:val="20"/>
                <w:szCs w:val="20"/>
                <w:vertAlign w:val="superscript"/>
              </w:rPr>
              <w:t xml:space="preserve"> 88</w:t>
            </w:r>
          </w:p>
        </w:tc>
        <w:tc>
          <w:tcPr>
            <w:tcW w:w="8100" w:type="dxa"/>
            <w:vAlign w:val="bottom"/>
          </w:tcPr>
          <w:p w14:paraId="6BDF7D4B"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Marijuana PBS were found to be a statistically significant mediator of the relationship between marijuana identity and marijuana-related consequences (Study 2) where higher levels of self-identification as a marijuana user were associated with lower levels of marijuana PBS, which in turn, was associated with higher levels of consequences.</w:t>
            </w:r>
          </w:p>
        </w:tc>
      </w:tr>
      <w:tr w:rsidR="005A574F" w:rsidRPr="00677925" w14:paraId="0BD94990" w14:textId="77777777" w:rsidTr="005A574F">
        <w:tc>
          <w:tcPr>
            <w:tcW w:w="2065" w:type="dxa"/>
            <w:vAlign w:val="bottom"/>
          </w:tcPr>
          <w:p w14:paraId="7F3B2CDA" w14:textId="254452C2"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Mueller et al. (2021)</w:t>
            </w:r>
            <w:r w:rsidR="00EA36F4">
              <w:rPr>
                <w:rFonts w:ascii="Times New Roman" w:hAnsi="Times New Roman" w:cs="Times New Roman"/>
                <w:sz w:val="20"/>
                <w:szCs w:val="20"/>
                <w:vertAlign w:val="superscript"/>
              </w:rPr>
              <w:t xml:space="preserve"> 63</w:t>
            </w:r>
          </w:p>
        </w:tc>
        <w:tc>
          <w:tcPr>
            <w:tcW w:w="8100" w:type="dxa"/>
            <w:vAlign w:val="bottom"/>
          </w:tcPr>
          <w:p w14:paraId="411DD4F0"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Marijuana use problems were positively correlated with social anxiety, safety behavior use, and generalized anxiety. Social anxiety and safety behavior use were both predictors of marijuana use problems in regression models. In a subsequent hierarchical model, social anxiety symptoms, safety behavior use and gender were all significant predictors of marijuana use problems, as was the interaction between the symptoms and gender where the effect was stronger for men compared to women (but significant for both). A subsequent path analysis model showed the</w:t>
            </w:r>
          </w:p>
          <w:p w14:paraId="307ECF09"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indirect effect of safety behavior use on the relationship between social anxiety symptoms and marijuana use problems was significant. Moderated mediation models evidenced gender moderating the relationship between social anxiety symptoms and marijuana use problems and the relationship between social anxiety symptoms and frequency of safety behavior use where the indirect effect was significant for men but not significant for women.</w:t>
            </w:r>
          </w:p>
        </w:tc>
      </w:tr>
      <w:tr w:rsidR="005A574F" w:rsidRPr="00677925" w14:paraId="29FC03C6" w14:textId="77777777" w:rsidTr="005A574F">
        <w:tc>
          <w:tcPr>
            <w:tcW w:w="2065" w:type="dxa"/>
            <w:vAlign w:val="bottom"/>
          </w:tcPr>
          <w:p w14:paraId="29E7E31E" w14:textId="4927B1AB"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Neugebauer et al.</w:t>
            </w:r>
            <w:r>
              <w:rPr>
                <w:rFonts w:ascii="Times New Roman" w:hAnsi="Times New Roman" w:cs="Times New Roman"/>
                <w:sz w:val="20"/>
                <w:szCs w:val="20"/>
              </w:rPr>
              <w:t xml:space="preserve"> (2019)</w:t>
            </w:r>
            <w:r w:rsidR="00EA36F4">
              <w:rPr>
                <w:rFonts w:ascii="Times New Roman" w:hAnsi="Times New Roman" w:cs="Times New Roman"/>
                <w:sz w:val="20"/>
                <w:szCs w:val="20"/>
                <w:vertAlign w:val="superscript"/>
              </w:rPr>
              <w:t xml:space="preserve"> 84</w:t>
            </w:r>
          </w:p>
        </w:tc>
        <w:tc>
          <w:tcPr>
            <w:tcW w:w="8100" w:type="dxa"/>
            <w:vAlign w:val="bottom"/>
          </w:tcPr>
          <w:p w14:paraId="72BBCEDE"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Risk seeking and experience seeking had direct, opposing effects on MRC (marijuana-related consequences). PBS negatively predicted MRC. Indirect effects of risk seeking on MRC through PBS were significant, as were indirect effects of experience seeking on MRC through PBS. PBS use mediated 48% of the effect of risk seeking on MRC and 52% of the effect of experience seeking on MRC.</w:t>
            </w:r>
          </w:p>
        </w:tc>
      </w:tr>
      <w:tr w:rsidR="005A574F" w:rsidRPr="00677925" w14:paraId="18238E93" w14:textId="77777777" w:rsidTr="005A574F">
        <w:trPr>
          <w:trHeight w:val="70"/>
        </w:trPr>
        <w:tc>
          <w:tcPr>
            <w:tcW w:w="2065" w:type="dxa"/>
            <w:vAlign w:val="bottom"/>
          </w:tcPr>
          <w:p w14:paraId="31838018" w14:textId="12D7DB1E" w:rsidR="005A574F" w:rsidRPr="00683086"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Parnes</w:t>
            </w:r>
            <w:proofErr w:type="spellEnd"/>
            <w:r w:rsidRPr="00677925">
              <w:rPr>
                <w:rFonts w:ascii="Times New Roman" w:hAnsi="Times New Roman" w:cs="Times New Roman"/>
                <w:sz w:val="20"/>
                <w:szCs w:val="20"/>
              </w:rPr>
              <w:t xml:space="preserve"> et al.</w:t>
            </w:r>
            <w:r>
              <w:rPr>
                <w:rFonts w:ascii="Times New Roman" w:hAnsi="Times New Roman" w:cs="Times New Roman"/>
                <w:sz w:val="20"/>
                <w:szCs w:val="20"/>
              </w:rPr>
              <w:t xml:space="preserve"> (2018)</w:t>
            </w:r>
            <w:r w:rsidR="00EA36F4">
              <w:rPr>
                <w:rFonts w:ascii="Times New Roman" w:hAnsi="Times New Roman" w:cs="Times New Roman"/>
                <w:sz w:val="20"/>
                <w:szCs w:val="20"/>
                <w:vertAlign w:val="superscript"/>
              </w:rPr>
              <w:t xml:space="preserve"> 85</w:t>
            </w:r>
          </w:p>
        </w:tc>
        <w:tc>
          <w:tcPr>
            <w:tcW w:w="8100" w:type="dxa"/>
            <w:vAlign w:val="bottom"/>
          </w:tcPr>
          <w:p w14:paraId="471F5598"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For men, both sexual orientation and SO</w:t>
            </w:r>
            <w:r w:rsidRPr="00677925">
              <w:rPr>
                <w:rFonts w:ascii="Times New Roman" w:hAnsi="Times New Roman" w:cs="Times New Roman"/>
                <w:sz w:val="20"/>
                <w:szCs w:val="20"/>
                <w:vertAlign w:val="superscript"/>
              </w:rPr>
              <w:t>2</w:t>
            </w:r>
            <w:r w:rsidRPr="00677925">
              <w:rPr>
                <w:rFonts w:ascii="Times New Roman" w:hAnsi="Times New Roman" w:cs="Times New Roman"/>
                <w:sz w:val="20"/>
                <w:szCs w:val="20"/>
              </w:rPr>
              <w:t xml:space="preserve"> were significantly associated with marijuana related consequences. Estimated consequences are highest among men who did not respond with an “exclusive” sexual orientation. For women, neither sexual orientation nor SO2 were associated with consequences. Sexual orientation was found to quadratically relate to PBS and PBS negatively predicted consequences. Marijuana PBS negatively predicted marijuana consequences. PBS mediated the relation between sexual orientation and consequences among men. Among women, PBS negatively predicted consequences.</w:t>
            </w:r>
          </w:p>
        </w:tc>
      </w:tr>
      <w:tr w:rsidR="005A574F" w:rsidRPr="00677925" w14:paraId="5EE0221E" w14:textId="77777777" w:rsidTr="005A574F">
        <w:tc>
          <w:tcPr>
            <w:tcW w:w="2065" w:type="dxa"/>
            <w:vAlign w:val="bottom"/>
          </w:tcPr>
          <w:p w14:paraId="40748140" w14:textId="7DFDDA3F"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Pearson</w:t>
            </w:r>
            <w:r w:rsidR="00683086">
              <w:rPr>
                <w:rFonts w:ascii="Times New Roman" w:hAnsi="Times New Roman" w:cs="Times New Roman"/>
                <w:sz w:val="20"/>
                <w:szCs w:val="20"/>
              </w:rPr>
              <w:t xml:space="preserve"> </w:t>
            </w:r>
            <w:r w:rsidRPr="00677925">
              <w:rPr>
                <w:rFonts w:ascii="Times New Roman" w:hAnsi="Times New Roman" w:cs="Times New Roman"/>
                <w:sz w:val="20"/>
                <w:szCs w:val="20"/>
              </w:rPr>
              <w:t xml:space="preserve">et al. </w:t>
            </w:r>
            <w:r>
              <w:rPr>
                <w:rFonts w:ascii="Times New Roman" w:hAnsi="Times New Roman" w:cs="Times New Roman"/>
                <w:sz w:val="20"/>
                <w:szCs w:val="20"/>
              </w:rPr>
              <w:t>(2019)</w:t>
            </w:r>
            <w:r w:rsidR="00EA36F4">
              <w:rPr>
                <w:rFonts w:ascii="Times New Roman" w:hAnsi="Times New Roman" w:cs="Times New Roman"/>
                <w:sz w:val="20"/>
                <w:szCs w:val="20"/>
                <w:vertAlign w:val="superscript"/>
              </w:rPr>
              <w:t xml:space="preserve"> 86</w:t>
            </w:r>
          </w:p>
        </w:tc>
        <w:tc>
          <w:tcPr>
            <w:tcW w:w="8100" w:type="dxa"/>
            <w:vAlign w:val="bottom"/>
          </w:tcPr>
          <w:p w14:paraId="7A2E5782"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Participants reported reaching peak subjective intoxication most of the time experienced 3– 4 negative consequences in the past month. Marijuana PBS and refusal self-efficacy had small to moderate correlations with negative consequences and was negatively associated with consequences in multivariate models which explained 18-19% of the variance in negative consequences. </w:t>
            </w:r>
          </w:p>
        </w:tc>
      </w:tr>
      <w:tr w:rsidR="005A574F" w:rsidRPr="00677925" w14:paraId="7E8E9E02" w14:textId="77777777" w:rsidTr="00EB6F01">
        <w:trPr>
          <w:trHeight w:val="1277"/>
        </w:trPr>
        <w:tc>
          <w:tcPr>
            <w:tcW w:w="2065" w:type="dxa"/>
            <w:vAlign w:val="bottom"/>
          </w:tcPr>
          <w:p w14:paraId="5789B788" w14:textId="0EAAA69D"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Pearson</w:t>
            </w:r>
            <w:r w:rsidR="00683086">
              <w:rPr>
                <w:rFonts w:ascii="Times New Roman" w:hAnsi="Times New Roman" w:cs="Times New Roman"/>
                <w:sz w:val="20"/>
                <w:szCs w:val="20"/>
              </w:rPr>
              <w:t xml:space="preserve"> </w:t>
            </w:r>
            <w:r w:rsidRPr="00677925">
              <w:rPr>
                <w:rFonts w:ascii="Times New Roman" w:hAnsi="Times New Roman" w:cs="Times New Roman"/>
                <w:sz w:val="20"/>
                <w:szCs w:val="20"/>
              </w:rPr>
              <w:t>et al.</w:t>
            </w:r>
            <w:r>
              <w:rPr>
                <w:rFonts w:ascii="Times New Roman" w:hAnsi="Times New Roman" w:cs="Times New Roman"/>
                <w:sz w:val="20"/>
                <w:szCs w:val="20"/>
              </w:rPr>
              <w:t xml:space="preserve"> (2017)</w:t>
            </w:r>
            <w:r w:rsidR="00F75324">
              <w:rPr>
                <w:rFonts w:ascii="Times New Roman" w:hAnsi="Times New Roman" w:cs="Times New Roman"/>
                <w:sz w:val="20"/>
                <w:szCs w:val="20"/>
                <w:vertAlign w:val="superscript"/>
              </w:rPr>
              <w:t xml:space="preserve"> 51</w:t>
            </w:r>
          </w:p>
        </w:tc>
        <w:tc>
          <w:tcPr>
            <w:tcW w:w="8100" w:type="dxa"/>
            <w:vAlign w:val="bottom"/>
          </w:tcPr>
          <w:p w14:paraId="00D821A0"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On average, marijuana users experienced approximately eight distinct negative consequences from marijuana use in the past 30 days. Among past month marijuana users, 9.2% reported experiencing no consequences, 24.2% reported experiencing 1 – 3 consequences, 30.1% reported experiencing 4–8 consequences, 26.9% reported experiencing 9–18 consequences, and 9.6% reported experiencing 19 or more consequences in the past 30 days. </w:t>
            </w:r>
          </w:p>
        </w:tc>
      </w:tr>
      <w:tr w:rsidR="005A574F" w:rsidRPr="00677925" w14:paraId="500BF3AE" w14:textId="77777777" w:rsidTr="005A574F">
        <w:tc>
          <w:tcPr>
            <w:tcW w:w="2065" w:type="dxa"/>
            <w:vAlign w:val="bottom"/>
          </w:tcPr>
          <w:p w14:paraId="4050BD58" w14:textId="43C69519"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lastRenderedPageBreak/>
              <w:t>Pearson</w:t>
            </w:r>
            <w:r w:rsidR="00683086">
              <w:rPr>
                <w:rFonts w:ascii="Times New Roman" w:hAnsi="Times New Roman" w:cs="Times New Roman"/>
                <w:sz w:val="20"/>
                <w:szCs w:val="20"/>
              </w:rPr>
              <w:t xml:space="preserve"> </w:t>
            </w:r>
            <w:r w:rsidRPr="00677925">
              <w:rPr>
                <w:rFonts w:ascii="Times New Roman" w:hAnsi="Times New Roman" w:cs="Times New Roman"/>
                <w:sz w:val="20"/>
                <w:szCs w:val="20"/>
              </w:rPr>
              <w:t>et al.</w:t>
            </w:r>
            <w:r>
              <w:rPr>
                <w:rFonts w:ascii="Times New Roman" w:hAnsi="Times New Roman" w:cs="Times New Roman"/>
                <w:sz w:val="20"/>
                <w:szCs w:val="20"/>
              </w:rPr>
              <w:t xml:space="preserve"> (2018)</w:t>
            </w:r>
            <w:r w:rsidR="00EA36F4">
              <w:rPr>
                <w:rFonts w:ascii="Times New Roman" w:hAnsi="Times New Roman" w:cs="Times New Roman"/>
                <w:sz w:val="20"/>
                <w:szCs w:val="20"/>
                <w:vertAlign w:val="superscript"/>
              </w:rPr>
              <w:t xml:space="preserve"> 70</w:t>
            </w:r>
            <w:r w:rsidRPr="00677925">
              <w:rPr>
                <w:rFonts w:ascii="Times New Roman" w:hAnsi="Times New Roman" w:cs="Times New Roman"/>
                <w:sz w:val="20"/>
                <w:szCs w:val="20"/>
              </w:rPr>
              <w:t xml:space="preserve"> </w:t>
            </w:r>
          </w:p>
        </w:tc>
        <w:tc>
          <w:tcPr>
            <w:tcW w:w="8100" w:type="dxa"/>
            <w:vAlign w:val="bottom"/>
          </w:tcPr>
          <w:p w14:paraId="65FDAE13"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On average, participants reported experiencing approximately eight negative marijuana-related consequences during the past month. Hopelessness, impulsivity, and internalization of college marijuana use culture had unique </w:t>
            </w:r>
            <w:r w:rsidRPr="00677925">
              <w:rPr>
                <w:rFonts w:ascii="Times New Roman" w:hAnsi="Times New Roman" w:cs="Times New Roman"/>
                <w:i/>
                <w:iCs/>
                <w:sz w:val="20"/>
                <w:szCs w:val="20"/>
              </w:rPr>
              <w:t>positive</w:t>
            </w:r>
            <w:r w:rsidRPr="00677925">
              <w:rPr>
                <w:rFonts w:ascii="Times New Roman" w:hAnsi="Times New Roman" w:cs="Times New Roman"/>
                <w:sz w:val="20"/>
                <w:szCs w:val="20"/>
              </w:rPr>
              <w:t xml:space="preserve"> direct effects on marijuana consequences; and descriptive norms and injunctive norms had unique </w:t>
            </w:r>
            <w:r w:rsidRPr="00677925">
              <w:rPr>
                <w:rFonts w:ascii="Times New Roman" w:hAnsi="Times New Roman" w:cs="Times New Roman"/>
                <w:i/>
                <w:iCs/>
                <w:sz w:val="20"/>
                <w:szCs w:val="20"/>
              </w:rPr>
              <w:t>negative</w:t>
            </w:r>
            <w:r w:rsidRPr="00677925">
              <w:rPr>
                <w:rFonts w:ascii="Times New Roman" w:hAnsi="Times New Roman" w:cs="Times New Roman"/>
                <w:sz w:val="20"/>
                <w:szCs w:val="20"/>
              </w:rPr>
              <w:t xml:space="preserve"> direct effects on marijuana consequences. Findings indicated that internalization of college marijuana use culture mediated the effect of sensation seeking and impulsivity with a direct effect on marijuana-related negative consequences. </w:t>
            </w:r>
          </w:p>
        </w:tc>
      </w:tr>
      <w:tr w:rsidR="005A574F" w:rsidRPr="00677925" w14:paraId="12FCD569" w14:textId="77777777" w:rsidTr="005A574F">
        <w:tc>
          <w:tcPr>
            <w:tcW w:w="2065" w:type="dxa"/>
            <w:vAlign w:val="bottom"/>
          </w:tcPr>
          <w:p w14:paraId="75903FD0" w14:textId="3452C589" w:rsidR="005A574F" w:rsidRPr="00683086" w:rsidRDefault="005A574F" w:rsidP="00390094">
            <w:pPr>
              <w:rPr>
                <w:rFonts w:ascii="Times New Roman" w:hAnsi="Times New Roman" w:cs="Times New Roman"/>
                <w:sz w:val="20"/>
                <w:szCs w:val="20"/>
                <w:vertAlign w:val="superscript"/>
              </w:rPr>
            </w:pPr>
            <w:proofErr w:type="gramStart"/>
            <w:r w:rsidRPr="00677925">
              <w:rPr>
                <w:rFonts w:ascii="Times New Roman" w:hAnsi="Times New Roman" w:cs="Times New Roman"/>
                <w:sz w:val="20"/>
                <w:szCs w:val="20"/>
              </w:rPr>
              <w:t>Pearson</w:t>
            </w:r>
            <w:r w:rsidR="00683086">
              <w:rPr>
                <w:rFonts w:ascii="Times New Roman" w:hAnsi="Times New Roman" w:cs="Times New Roman"/>
                <w:sz w:val="20"/>
                <w:szCs w:val="20"/>
              </w:rPr>
              <w:t xml:space="preserve"> </w:t>
            </w:r>
            <w:r w:rsidRPr="00677925">
              <w:rPr>
                <w:rFonts w:ascii="Times New Roman" w:hAnsi="Times New Roman" w:cs="Times New Roman"/>
                <w:sz w:val="20"/>
                <w:szCs w:val="20"/>
              </w:rPr>
              <w:t xml:space="preserve"> et al.</w:t>
            </w:r>
            <w:proofErr w:type="gramEnd"/>
            <w:r>
              <w:rPr>
                <w:rFonts w:ascii="Times New Roman" w:hAnsi="Times New Roman" w:cs="Times New Roman"/>
                <w:sz w:val="20"/>
                <w:szCs w:val="20"/>
              </w:rPr>
              <w:t xml:space="preserve"> (2020)</w:t>
            </w:r>
            <w:r w:rsidR="00EA36F4">
              <w:rPr>
                <w:rFonts w:ascii="Times New Roman" w:hAnsi="Times New Roman" w:cs="Times New Roman"/>
                <w:sz w:val="20"/>
                <w:szCs w:val="20"/>
                <w:vertAlign w:val="superscript"/>
              </w:rPr>
              <w:t xml:space="preserve"> 78</w:t>
            </w:r>
          </w:p>
        </w:tc>
        <w:tc>
          <w:tcPr>
            <w:tcW w:w="8100" w:type="dxa"/>
            <w:vAlign w:val="bottom"/>
          </w:tcPr>
          <w:p w14:paraId="4BC656CD"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At the within-subject level, four motives (coping, conformity, enhancement, and social) were associated with more negative consequences, but no single protective behavioral strategy (PBS) item was significantly associated with fewer negative consequences. At the between-subject level, marijuana PBS use (total score) was not significantly associated with marijuana-related consequences, but two items were significantly associated with fewer negative consequences (Items 5 [“Avoid mixing marijuana with other drugs”] and 6 [“Stop using marijuana if you become anxious or paranoid”]).</w:t>
            </w:r>
          </w:p>
        </w:tc>
      </w:tr>
      <w:tr w:rsidR="005A574F" w:rsidRPr="00677925" w14:paraId="16F0787E" w14:textId="77777777" w:rsidTr="005A574F">
        <w:tc>
          <w:tcPr>
            <w:tcW w:w="2065" w:type="dxa"/>
            <w:vAlign w:val="bottom"/>
          </w:tcPr>
          <w:p w14:paraId="0893D5F2" w14:textId="6670F05C"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Petrucci et al. (2020)</w:t>
            </w:r>
            <w:r w:rsidR="00EA36F4">
              <w:rPr>
                <w:rFonts w:ascii="Times New Roman" w:hAnsi="Times New Roman" w:cs="Times New Roman"/>
                <w:sz w:val="20"/>
                <w:szCs w:val="20"/>
                <w:vertAlign w:val="superscript"/>
              </w:rPr>
              <w:t xml:space="preserve"> 67</w:t>
            </w:r>
          </w:p>
        </w:tc>
        <w:tc>
          <w:tcPr>
            <w:tcW w:w="8100" w:type="dxa"/>
            <w:vAlign w:val="bottom"/>
          </w:tcPr>
          <w:p w14:paraId="69345011"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Problematic cannabis use was associated with decreased self-efficacy, mastery approach, and performance as well as with higher levels of apathy and sensitivity to punishment in a pairwise correlation model. Results of the partial correlation analyses (controlling for depression) indicated that depression may account for the relationships between problematic cannabis use and self-efficacy and problematic cannabis use with sensitivity to punishment, as these correlations were no longer significant after controlling for depression. Results of the partial correlation analyses (controlling for alcohol and other drug use) accounted for the association between problematic cannabis use and performance.</w:t>
            </w:r>
          </w:p>
        </w:tc>
      </w:tr>
      <w:tr w:rsidR="005A574F" w:rsidRPr="00677925" w14:paraId="2B708A12" w14:textId="77777777" w:rsidTr="005A574F">
        <w:tc>
          <w:tcPr>
            <w:tcW w:w="2065" w:type="dxa"/>
            <w:vAlign w:val="bottom"/>
          </w:tcPr>
          <w:p w14:paraId="224B24DC" w14:textId="15C1E03A"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Phillips et al.</w:t>
            </w:r>
            <w:r>
              <w:rPr>
                <w:rFonts w:ascii="Times New Roman" w:hAnsi="Times New Roman" w:cs="Times New Roman"/>
                <w:sz w:val="20"/>
                <w:szCs w:val="20"/>
              </w:rPr>
              <w:t xml:space="preserve"> (2018)</w:t>
            </w:r>
            <w:r w:rsidR="00F75324">
              <w:rPr>
                <w:rFonts w:ascii="Times New Roman" w:hAnsi="Times New Roman" w:cs="Times New Roman"/>
                <w:sz w:val="20"/>
                <w:szCs w:val="20"/>
                <w:vertAlign w:val="superscript"/>
              </w:rPr>
              <w:t xml:space="preserve"> 58</w:t>
            </w:r>
          </w:p>
        </w:tc>
        <w:tc>
          <w:tcPr>
            <w:tcW w:w="8100" w:type="dxa"/>
            <w:vAlign w:val="bottom"/>
          </w:tcPr>
          <w:p w14:paraId="40F5A966"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Male sex, greater impulsivity, and depression were significantly associated with more problem marijuana use. There was no association between openness to experience, general anxiety, or social anxiety and problem marijuana use. </w:t>
            </w:r>
          </w:p>
        </w:tc>
      </w:tr>
      <w:tr w:rsidR="005A574F" w:rsidRPr="00677925" w14:paraId="7FB54256" w14:textId="77777777" w:rsidTr="005A574F">
        <w:tc>
          <w:tcPr>
            <w:tcW w:w="2065" w:type="dxa"/>
            <w:vAlign w:val="bottom"/>
          </w:tcPr>
          <w:p w14:paraId="13C3285A" w14:textId="49C3CCA3"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Schuster et al.</w:t>
            </w:r>
            <w:r>
              <w:rPr>
                <w:rFonts w:ascii="Times New Roman" w:hAnsi="Times New Roman" w:cs="Times New Roman"/>
                <w:sz w:val="20"/>
                <w:szCs w:val="20"/>
              </w:rPr>
              <w:t xml:space="preserve"> (2019)</w:t>
            </w:r>
            <w:r w:rsidR="00F75324">
              <w:rPr>
                <w:rFonts w:ascii="Times New Roman" w:hAnsi="Times New Roman" w:cs="Times New Roman"/>
                <w:sz w:val="20"/>
                <w:szCs w:val="20"/>
                <w:vertAlign w:val="superscript"/>
              </w:rPr>
              <w:t xml:space="preserve"> 40</w:t>
            </w:r>
          </w:p>
        </w:tc>
        <w:tc>
          <w:tcPr>
            <w:tcW w:w="8100" w:type="dxa"/>
            <w:vAlign w:val="bottom"/>
          </w:tcPr>
          <w:p w14:paraId="3F858111"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Significant multivariable correlates of CUD severity included more frequent cannabis use, greater expectancies that cannabis causes cognitive and behavioral impairment, greater self-reported metacognitive deficits, greater anxiety, and less reaction time variability on a computerized sustained attention task. Lower extraversion scores were associated with higher CUD severity. The model explained 52% of the variance in CUD severity, with frequency of use explaining 20% of the variance. Frequent cannabis use, particularly when initiated earlier in life, is associated with greater risk for development of a CUD; however, most regular users did not evidence dependence.</w:t>
            </w:r>
          </w:p>
        </w:tc>
      </w:tr>
      <w:tr w:rsidR="005A574F" w:rsidRPr="00677925" w14:paraId="25503F8D" w14:textId="77777777" w:rsidTr="005A574F">
        <w:tc>
          <w:tcPr>
            <w:tcW w:w="2065" w:type="dxa"/>
            <w:vAlign w:val="bottom"/>
          </w:tcPr>
          <w:p w14:paraId="67BEE349" w14:textId="2ECDE6FD"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Simons et al.</w:t>
            </w:r>
            <w:r>
              <w:rPr>
                <w:rFonts w:ascii="Times New Roman" w:hAnsi="Times New Roman" w:cs="Times New Roman"/>
                <w:sz w:val="20"/>
                <w:szCs w:val="20"/>
              </w:rPr>
              <w:t xml:space="preserve"> (2005)</w:t>
            </w:r>
            <w:r w:rsidR="00F75324">
              <w:rPr>
                <w:rFonts w:ascii="Times New Roman" w:hAnsi="Times New Roman" w:cs="Times New Roman"/>
                <w:sz w:val="20"/>
                <w:szCs w:val="20"/>
                <w:vertAlign w:val="superscript"/>
              </w:rPr>
              <w:t xml:space="preserve"> 44</w:t>
            </w:r>
          </w:p>
        </w:tc>
        <w:tc>
          <w:tcPr>
            <w:tcW w:w="8100" w:type="dxa"/>
            <w:vAlign w:val="bottom"/>
          </w:tcPr>
          <w:p w14:paraId="2A875839"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Coping motives were directly associated with marijuana use problems, whereas enhancement motives were indirectly associated with problems through use. Impulsivity was directly associated with problems. Negative affect was a stronger predictor of coping motives in the alcohol and marijuana group than the alcohol-only group. Use was a stronger predictor of problems in the alcohol and marijuana group than in the alcohol-only group.</w:t>
            </w:r>
          </w:p>
        </w:tc>
      </w:tr>
      <w:tr w:rsidR="005A574F" w:rsidRPr="00677925" w14:paraId="2083B96F" w14:textId="77777777" w:rsidTr="005A574F">
        <w:tc>
          <w:tcPr>
            <w:tcW w:w="2065" w:type="dxa"/>
            <w:vAlign w:val="bottom"/>
          </w:tcPr>
          <w:p w14:paraId="5E5AE94F" w14:textId="2C23484F"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Spradlin et al.</w:t>
            </w:r>
            <w:r>
              <w:rPr>
                <w:rFonts w:ascii="Times New Roman" w:hAnsi="Times New Roman" w:cs="Times New Roman"/>
                <w:sz w:val="20"/>
                <w:szCs w:val="20"/>
              </w:rPr>
              <w:t xml:space="preserve"> (2017)</w:t>
            </w:r>
            <w:r w:rsidR="00EA36F4">
              <w:rPr>
                <w:rFonts w:ascii="Times New Roman" w:hAnsi="Times New Roman" w:cs="Times New Roman"/>
                <w:sz w:val="20"/>
                <w:szCs w:val="20"/>
                <w:vertAlign w:val="superscript"/>
              </w:rPr>
              <w:t xml:space="preserve"> 65</w:t>
            </w:r>
            <w:r w:rsidRPr="00677925">
              <w:rPr>
                <w:rFonts w:ascii="Times New Roman" w:hAnsi="Times New Roman" w:cs="Times New Roman"/>
                <w:sz w:val="20"/>
                <w:szCs w:val="20"/>
              </w:rPr>
              <w:t xml:space="preserve"> </w:t>
            </w:r>
          </w:p>
        </w:tc>
        <w:tc>
          <w:tcPr>
            <w:tcW w:w="8100" w:type="dxa"/>
            <w:vAlign w:val="bottom"/>
          </w:tcPr>
          <w:p w14:paraId="006AE945"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There was a positive relationship between total OCD scores and cannabis problems after parceling out the influence of anxiety, depression, and stress. OCD total scores significantly predicted CUD symptoms. Obsessing was the only specific feature of OCD that predicted a significant portion of unique variance in cannabis problems and CUD symptoms. OCD symptoms significantly predicted increased cannabis problems indirectly through increased coping motives accounting for 28% of the total effect. OCD symptoms were found to predict significantly increased CUD symptoms indirectly through coping motives, explaining 42% of the total effect of OCD on cannabis problems. </w:t>
            </w:r>
          </w:p>
        </w:tc>
      </w:tr>
      <w:tr w:rsidR="005A574F" w:rsidRPr="00677925" w14:paraId="56819595" w14:textId="77777777" w:rsidTr="005A574F">
        <w:tc>
          <w:tcPr>
            <w:tcW w:w="2065" w:type="dxa"/>
            <w:vAlign w:val="bottom"/>
          </w:tcPr>
          <w:p w14:paraId="786DA818" w14:textId="6099D4B7" w:rsidR="005A574F" w:rsidRPr="00683086"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Stautz</w:t>
            </w:r>
            <w:proofErr w:type="spellEnd"/>
            <w:r w:rsidRPr="00677925">
              <w:rPr>
                <w:rFonts w:ascii="Times New Roman" w:hAnsi="Times New Roman" w:cs="Times New Roman"/>
                <w:sz w:val="20"/>
                <w:szCs w:val="20"/>
              </w:rPr>
              <w:t xml:space="preserve"> et al.</w:t>
            </w:r>
            <w:r>
              <w:rPr>
                <w:rFonts w:ascii="Times New Roman" w:hAnsi="Times New Roman" w:cs="Times New Roman"/>
                <w:sz w:val="20"/>
                <w:szCs w:val="20"/>
              </w:rPr>
              <w:t xml:space="preserve"> (2017)</w:t>
            </w:r>
            <w:r w:rsidRPr="00677925">
              <w:rPr>
                <w:rFonts w:ascii="Times New Roman" w:hAnsi="Times New Roman" w:cs="Times New Roman"/>
                <w:sz w:val="20"/>
                <w:szCs w:val="20"/>
              </w:rPr>
              <w:t xml:space="preserve"> - Study 3</w:t>
            </w:r>
            <w:r w:rsidR="00A544A2">
              <w:rPr>
                <w:rFonts w:ascii="Times New Roman" w:hAnsi="Times New Roman" w:cs="Times New Roman"/>
                <w:sz w:val="20"/>
                <w:szCs w:val="20"/>
                <w:vertAlign w:val="superscript"/>
              </w:rPr>
              <w:t xml:space="preserve"> 115</w:t>
            </w:r>
          </w:p>
        </w:tc>
        <w:tc>
          <w:tcPr>
            <w:tcW w:w="8100" w:type="dxa"/>
            <w:vAlign w:val="bottom"/>
          </w:tcPr>
          <w:p w14:paraId="4E4C0C52"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In a hurdle analysis, males had a higher odds of cannabis use consequences and rash impulsiveness was a significant predictor of experiencing negative cannabis use consequences. In a count model, positive urgency was an additional significant predictor of increased negative consequences experienced from cannabis use, and the gender difference was no longer observed. </w:t>
            </w:r>
          </w:p>
        </w:tc>
      </w:tr>
      <w:tr w:rsidR="005A574F" w:rsidRPr="00677925" w14:paraId="6018BACF" w14:textId="77777777" w:rsidTr="005A574F">
        <w:tc>
          <w:tcPr>
            <w:tcW w:w="2065" w:type="dxa"/>
            <w:vAlign w:val="bottom"/>
          </w:tcPr>
          <w:p w14:paraId="44544F45" w14:textId="08825E67" w:rsidR="005A574F" w:rsidRPr="00683086"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Steeger</w:t>
            </w:r>
            <w:proofErr w:type="spellEnd"/>
            <w:r w:rsidRPr="00677925">
              <w:rPr>
                <w:rFonts w:ascii="Times New Roman" w:hAnsi="Times New Roman" w:cs="Times New Roman"/>
                <w:sz w:val="20"/>
                <w:szCs w:val="20"/>
              </w:rPr>
              <w:t xml:space="preserve"> et al. (2021)</w:t>
            </w:r>
            <w:r w:rsidR="00F75324">
              <w:rPr>
                <w:rFonts w:ascii="Times New Roman" w:hAnsi="Times New Roman" w:cs="Times New Roman"/>
                <w:sz w:val="20"/>
                <w:szCs w:val="20"/>
                <w:vertAlign w:val="superscript"/>
              </w:rPr>
              <w:t xml:space="preserve"> 49</w:t>
            </w:r>
          </w:p>
        </w:tc>
        <w:tc>
          <w:tcPr>
            <w:tcW w:w="8100" w:type="dxa"/>
            <w:vAlign w:val="bottom"/>
          </w:tcPr>
          <w:p w14:paraId="6EAF8F48"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Marijuana dependence scores were associated with frequency of flower use, but not edible or concentrate use. There were no observed correlations between the potency of flower used, edibles used, or concentrate used with dependence scores.</w:t>
            </w:r>
          </w:p>
        </w:tc>
      </w:tr>
      <w:tr w:rsidR="005A574F" w:rsidRPr="00677925" w14:paraId="513AD918" w14:textId="77777777" w:rsidTr="005A574F">
        <w:tc>
          <w:tcPr>
            <w:tcW w:w="2065" w:type="dxa"/>
            <w:vAlign w:val="bottom"/>
          </w:tcPr>
          <w:p w14:paraId="1E145934" w14:textId="0C6C5ACE"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Struble et al.</w:t>
            </w:r>
            <w:r>
              <w:rPr>
                <w:rFonts w:ascii="Times New Roman" w:hAnsi="Times New Roman" w:cs="Times New Roman"/>
                <w:sz w:val="20"/>
                <w:szCs w:val="20"/>
              </w:rPr>
              <w:t xml:space="preserve"> (2019)</w:t>
            </w:r>
            <w:r w:rsidR="00F75324">
              <w:rPr>
                <w:rFonts w:ascii="Times New Roman" w:hAnsi="Times New Roman" w:cs="Times New Roman"/>
                <w:sz w:val="20"/>
                <w:szCs w:val="20"/>
                <w:vertAlign w:val="superscript"/>
              </w:rPr>
              <w:t xml:space="preserve"> 41</w:t>
            </w:r>
          </w:p>
        </w:tc>
        <w:tc>
          <w:tcPr>
            <w:tcW w:w="8100" w:type="dxa"/>
            <w:vAlign w:val="bottom"/>
          </w:tcPr>
          <w:p w14:paraId="78B19F58"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Higher endorsement of psychological consequences was significantly predicted by identifying as a woman, lower educational attainment, and a treatment‐seeking history for cannabis use or abuse. Follow‐up analyses examined sex differences at the item‐level within this five‐item </w:t>
            </w:r>
            <w:r w:rsidRPr="00677925">
              <w:rPr>
                <w:rFonts w:ascii="Times New Roman" w:hAnsi="Times New Roman" w:cs="Times New Roman"/>
                <w:sz w:val="20"/>
                <w:szCs w:val="20"/>
              </w:rPr>
              <w:lastRenderedPageBreak/>
              <w:t xml:space="preserve">component. Significant differences were found for “mood swings/irritability” and “memory problems”, with a greater proportion of women endorsing these items than men. Greater cannabis withdrawal was significantly predicted by more </w:t>
            </w:r>
            <w:proofErr w:type="gramStart"/>
            <w:r w:rsidRPr="00677925">
              <w:rPr>
                <w:rFonts w:ascii="Times New Roman" w:hAnsi="Times New Roman" w:cs="Times New Roman"/>
                <w:sz w:val="20"/>
                <w:szCs w:val="20"/>
              </w:rPr>
              <w:t>quit</w:t>
            </w:r>
            <w:proofErr w:type="gramEnd"/>
            <w:r w:rsidRPr="00677925">
              <w:rPr>
                <w:rFonts w:ascii="Times New Roman" w:hAnsi="Times New Roman" w:cs="Times New Roman"/>
                <w:sz w:val="20"/>
                <w:szCs w:val="20"/>
              </w:rPr>
              <w:t xml:space="preserve"> attempts and a treatment‐seeking history. Earlier initiation of frequent but not initial use is associated with greater functional consequences.</w:t>
            </w:r>
          </w:p>
        </w:tc>
      </w:tr>
      <w:tr w:rsidR="005A574F" w:rsidRPr="00677925" w14:paraId="5302FD72" w14:textId="77777777" w:rsidTr="005A574F">
        <w:tc>
          <w:tcPr>
            <w:tcW w:w="2065" w:type="dxa"/>
            <w:vAlign w:val="bottom"/>
          </w:tcPr>
          <w:p w14:paraId="12A45183" w14:textId="33E44BF5" w:rsidR="005A574F" w:rsidRPr="00683086"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lastRenderedPageBreak/>
              <w:t>Swan et al. (2021)</w:t>
            </w:r>
            <w:r w:rsidR="00F75324">
              <w:rPr>
                <w:rFonts w:ascii="Times New Roman" w:hAnsi="Times New Roman" w:cs="Times New Roman"/>
                <w:sz w:val="20"/>
                <w:szCs w:val="20"/>
                <w:vertAlign w:val="superscript"/>
              </w:rPr>
              <w:t xml:space="preserve"> 36</w:t>
            </w:r>
          </w:p>
        </w:tc>
        <w:tc>
          <w:tcPr>
            <w:tcW w:w="8100" w:type="dxa"/>
            <w:vAlign w:val="bottom"/>
          </w:tcPr>
          <w:p w14:paraId="1FB7FA37"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Bong users also had higher mean levels of cannabis harm than joint users, and more dependency symptoms (assessed using CUDIT-R) than joint users. In unadjusted models, those who used bongs/water pipes as their primary mode reported significantly more cannabis related harms and were at higher risk for cannabis misuse, but these associations were no longer significant after adjusting for sex, age and cannabis frequency. Higher cannabis use frequency was associated with</w:t>
            </w:r>
          </w:p>
          <w:p w14:paraId="7006E16D"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higher levels of cannabis harms and misuse and females reported fewer cannabis misuse symptoms compared to males.</w:t>
            </w:r>
          </w:p>
        </w:tc>
      </w:tr>
      <w:tr w:rsidR="005A574F" w:rsidRPr="00677925" w14:paraId="37B72CC6" w14:textId="77777777" w:rsidTr="005A574F">
        <w:tc>
          <w:tcPr>
            <w:tcW w:w="2065" w:type="dxa"/>
            <w:vAlign w:val="bottom"/>
          </w:tcPr>
          <w:p w14:paraId="34C1D927" w14:textId="5842B58B" w:rsidR="005A574F" w:rsidRPr="009441A4" w:rsidRDefault="005A574F" w:rsidP="00390094">
            <w:pPr>
              <w:rPr>
                <w:rFonts w:ascii="Times New Roman" w:hAnsi="Times New Roman" w:cs="Times New Roman"/>
                <w:sz w:val="20"/>
                <w:szCs w:val="20"/>
                <w:vertAlign w:val="superscript"/>
              </w:rPr>
            </w:pPr>
            <w:r w:rsidRPr="00A10F43">
              <w:rPr>
                <w:rFonts w:ascii="Times New Roman" w:hAnsi="Times New Roman" w:cs="Times New Roman"/>
                <w:sz w:val="20"/>
                <w:szCs w:val="20"/>
              </w:rPr>
              <w:t>Thomsen et al.</w:t>
            </w:r>
            <w:r>
              <w:rPr>
                <w:rFonts w:ascii="Times New Roman" w:hAnsi="Times New Roman" w:cs="Times New Roman"/>
                <w:sz w:val="20"/>
                <w:szCs w:val="20"/>
              </w:rPr>
              <w:t xml:space="preserve"> </w:t>
            </w:r>
            <w:r w:rsidRPr="00A10F43">
              <w:rPr>
                <w:rFonts w:ascii="Times New Roman" w:hAnsi="Times New Roman" w:cs="Times New Roman"/>
                <w:sz w:val="20"/>
                <w:szCs w:val="20"/>
              </w:rPr>
              <w:t>(2018</w:t>
            </w:r>
            <w:r>
              <w:rPr>
                <w:rFonts w:ascii="Times New Roman" w:hAnsi="Times New Roman" w:cs="Times New Roman"/>
                <w:sz w:val="20"/>
                <w:szCs w:val="20"/>
              </w:rPr>
              <w:t>)</w:t>
            </w:r>
            <w:r w:rsidR="00EA36F4">
              <w:rPr>
                <w:rFonts w:ascii="Times New Roman" w:hAnsi="Times New Roman" w:cs="Times New Roman"/>
                <w:sz w:val="20"/>
                <w:szCs w:val="20"/>
                <w:vertAlign w:val="superscript"/>
              </w:rPr>
              <w:t xml:space="preserve"> 71</w:t>
            </w:r>
          </w:p>
        </w:tc>
        <w:tc>
          <w:tcPr>
            <w:tcW w:w="8100" w:type="dxa"/>
            <w:vAlign w:val="bottom"/>
          </w:tcPr>
          <w:p w14:paraId="1A4A8403"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Urgency was positively associated with CUDIT scores. After entering UPPS scales, female gender remained associated with lower scores on the CUDIT. Urgency and lack of perseverance were positively associated with DUDIT scores. After adjusting for all study variables, lack of perseverance remained significantly associated with DUDIT scores. </w:t>
            </w:r>
          </w:p>
        </w:tc>
      </w:tr>
      <w:tr w:rsidR="005A574F" w:rsidRPr="00677925" w14:paraId="015CF54D" w14:textId="77777777" w:rsidTr="005A574F">
        <w:tc>
          <w:tcPr>
            <w:tcW w:w="2065" w:type="dxa"/>
            <w:vAlign w:val="bottom"/>
          </w:tcPr>
          <w:p w14:paraId="093D7EED" w14:textId="123B7089" w:rsidR="005A574F" w:rsidRPr="009441A4"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Tra</w:t>
            </w:r>
            <w:r w:rsidR="00A544A2">
              <w:rPr>
                <w:rFonts w:ascii="Times New Roman" w:hAnsi="Times New Roman" w:cs="Times New Roman"/>
                <w:sz w:val="20"/>
                <w:szCs w:val="20"/>
              </w:rPr>
              <w:t>n</w:t>
            </w:r>
            <w:r w:rsidRPr="00677925">
              <w:rPr>
                <w:rFonts w:ascii="Times New Roman" w:hAnsi="Times New Roman" w:cs="Times New Roman"/>
                <w:sz w:val="20"/>
                <w:szCs w:val="20"/>
              </w:rPr>
              <w:t>genstein</w:t>
            </w:r>
            <w:proofErr w:type="spellEnd"/>
            <w:r w:rsidRPr="00677925">
              <w:rPr>
                <w:rFonts w:ascii="Times New Roman" w:hAnsi="Times New Roman" w:cs="Times New Roman"/>
                <w:sz w:val="20"/>
                <w:szCs w:val="20"/>
              </w:rPr>
              <w:t xml:space="preserve"> et al. (2021</w:t>
            </w:r>
            <w:r w:rsidR="009441A4">
              <w:rPr>
                <w:rFonts w:ascii="Times New Roman" w:hAnsi="Times New Roman" w:cs="Times New Roman"/>
                <w:sz w:val="20"/>
                <w:szCs w:val="20"/>
              </w:rPr>
              <w:t>)</w:t>
            </w:r>
            <w:r w:rsidR="00A544A2">
              <w:rPr>
                <w:rFonts w:ascii="Times New Roman" w:hAnsi="Times New Roman" w:cs="Times New Roman"/>
                <w:sz w:val="20"/>
                <w:szCs w:val="20"/>
                <w:vertAlign w:val="superscript"/>
              </w:rPr>
              <w:t xml:space="preserve"> 111</w:t>
            </w:r>
          </w:p>
        </w:tc>
        <w:tc>
          <w:tcPr>
            <w:tcW w:w="8100" w:type="dxa"/>
            <w:vAlign w:val="bottom"/>
          </w:tcPr>
          <w:p w14:paraId="6234097D" w14:textId="0379C698"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Compared to lifetime adolescent cannabis users who never saw cannabis billboards, those who saw them rarely/sometimes and most of the time/always had increased odds of CUD after adjusting for demographics and poly-cannabis use. Reporting a favorite cannabis brand was uniquely associated with 2.7 times the odds of CUD.</w:t>
            </w:r>
          </w:p>
        </w:tc>
      </w:tr>
      <w:tr w:rsidR="005A574F" w:rsidRPr="00677925" w14:paraId="2084D1EB" w14:textId="77777777" w:rsidTr="005A574F">
        <w:tc>
          <w:tcPr>
            <w:tcW w:w="2065" w:type="dxa"/>
            <w:vAlign w:val="bottom"/>
          </w:tcPr>
          <w:p w14:paraId="43722CF5" w14:textId="0D5905D9" w:rsidR="005A574F" w:rsidRPr="009441A4"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Walukevich-Diesnst</w:t>
            </w:r>
            <w:proofErr w:type="spellEnd"/>
            <w:r w:rsidRPr="00677925">
              <w:rPr>
                <w:rFonts w:ascii="Times New Roman" w:hAnsi="Times New Roman" w:cs="Times New Roman"/>
                <w:sz w:val="20"/>
                <w:szCs w:val="20"/>
              </w:rPr>
              <w:t xml:space="preserve"> et al. (2020)</w:t>
            </w:r>
            <w:r w:rsidR="00EA36F4">
              <w:rPr>
                <w:rFonts w:ascii="Times New Roman" w:hAnsi="Times New Roman" w:cs="Times New Roman"/>
                <w:sz w:val="20"/>
                <w:szCs w:val="20"/>
                <w:vertAlign w:val="superscript"/>
              </w:rPr>
              <w:t xml:space="preserve"> 62</w:t>
            </w:r>
          </w:p>
        </w:tc>
        <w:tc>
          <w:tcPr>
            <w:tcW w:w="8100" w:type="dxa"/>
            <w:vAlign w:val="bottom"/>
          </w:tcPr>
          <w:p w14:paraId="0B3C39DF"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Accounting for negative affect (NA), the direct effect of social anxiety on cannabis problems was no longer significant. In a sequential mediation model, the social anxiety to use to decrease NA in social situations to cannabis use frequency to cannabis problems pathway and the social anxiety to use to decrease NA in social situations to cannabis problems pathway were significant. In a second model, greater social anxiety was predictive of more cannabis problems indirectly via use to increase positive affect (PA) in social situations and the sequential effects of use to increase PA in social situations and more frequent cannabis use.</w:t>
            </w:r>
          </w:p>
        </w:tc>
      </w:tr>
      <w:tr w:rsidR="005A574F" w:rsidRPr="00677925" w14:paraId="70E70C7C" w14:textId="77777777" w:rsidTr="005A574F">
        <w:tc>
          <w:tcPr>
            <w:tcW w:w="2065" w:type="dxa"/>
            <w:vAlign w:val="bottom"/>
          </w:tcPr>
          <w:p w14:paraId="2275D6CD" w14:textId="2B4213A6" w:rsidR="005A574F" w:rsidRPr="009441A4"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Wardell et al.</w:t>
            </w:r>
            <w:r>
              <w:rPr>
                <w:rFonts w:ascii="Times New Roman" w:hAnsi="Times New Roman" w:cs="Times New Roman"/>
                <w:sz w:val="20"/>
                <w:szCs w:val="20"/>
              </w:rPr>
              <w:t xml:space="preserve"> (2016)</w:t>
            </w:r>
            <w:r w:rsidR="00F75324">
              <w:rPr>
                <w:rFonts w:ascii="Times New Roman" w:hAnsi="Times New Roman" w:cs="Times New Roman"/>
                <w:sz w:val="20"/>
                <w:szCs w:val="20"/>
                <w:vertAlign w:val="superscript"/>
              </w:rPr>
              <w:t xml:space="preserve"> 45</w:t>
            </w:r>
          </w:p>
        </w:tc>
        <w:tc>
          <w:tcPr>
            <w:tcW w:w="8100" w:type="dxa"/>
            <w:vAlign w:val="bottom"/>
          </w:tcPr>
          <w:p w14:paraId="26AA5E0E"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When frequency of marijuana use was not included, negative urgency was a significant, unique predictor of cannabis problems. Sensation seeking also predicted unique variance in cannabis problems, whereas childhood maltreatment did not have a significant direct association with cannabis problems (unlike the alcohol problems model). When frequency of cannabis use was included in the model, the unique association between sensation seeking and cannabis problems was no longer statistically significant. The specific indirect association between childhood maltreatment and cannabis problems via negative urgency was statistically significant whereas other indirect associations were not.</w:t>
            </w:r>
          </w:p>
        </w:tc>
      </w:tr>
      <w:tr w:rsidR="005A574F" w:rsidRPr="00677925" w14:paraId="221C1F14" w14:textId="77777777" w:rsidTr="005A574F">
        <w:tc>
          <w:tcPr>
            <w:tcW w:w="2065" w:type="dxa"/>
            <w:vAlign w:val="bottom"/>
          </w:tcPr>
          <w:p w14:paraId="6AD6E33C" w14:textId="6CFD5E1F" w:rsidR="005A574F" w:rsidRPr="009441A4"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W</w:t>
            </w:r>
            <w:r w:rsidR="009441A4">
              <w:rPr>
                <w:rFonts w:ascii="Times New Roman" w:hAnsi="Times New Roman" w:cs="Times New Roman"/>
                <w:sz w:val="20"/>
                <w:szCs w:val="20"/>
              </w:rPr>
              <w:t>is</w:t>
            </w:r>
            <w:r w:rsidR="00EA36F4">
              <w:rPr>
                <w:rFonts w:ascii="Times New Roman" w:hAnsi="Times New Roman" w:cs="Times New Roman"/>
                <w:sz w:val="20"/>
                <w:szCs w:val="20"/>
              </w:rPr>
              <w:t>e</w:t>
            </w:r>
            <w:r w:rsidRPr="00677925">
              <w:rPr>
                <w:rFonts w:ascii="Times New Roman" w:hAnsi="Times New Roman" w:cs="Times New Roman"/>
                <w:sz w:val="20"/>
                <w:szCs w:val="20"/>
              </w:rPr>
              <w:t>ner</w:t>
            </w:r>
            <w:proofErr w:type="spellEnd"/>
            <w:r w:rsidRPr="00677925">
              <w:rPr>
                <w:rFonts w:ascii="Times New Roman" w:hAnsi="Times New Roman" w:cs="Times New Roman"/>
                <w:sz w:val="20"/>
                <w:szCs w:val="20"/>
              </w:rPr>
              <w:t xml:space="preserve"> &amp; Khoury </w:t>
            </w:r>
            <w:r>
              <w:rPr>
                <w:rFonts w:ascii="Times New Roman" w:hAnsi="Times New Roman" w:cs="Times New Roman"/>
                <w:sz w:val="20"/>
                <w:szCs w:val="20"/>
              </w:rPr>
              <w:t>(2021)</w:t>
            </w:r>
            <w:r w:rsidRPr="00677925">
              <w:rPr>
                <w:rFonts w:ascii="Times New Roman" w:hAnsi="Times New Roman" w:cs="Times New Roman"/>
                <w:sz w:val="20"/>
                <w:szCs w:val="20"/>
              </w:rPr>
              <w:t xml:space="preserve"> - Study 2</w:t>
            </w:r>
            <w:r w:rsidR="00EA36F4">
              <w:rPr>
                <w:rFonts w:ascii="Times New Roman" w:hAnsi="Times New Roman" w:cs="Times New Roman"/>
                <w:sz w:val="20"/>
                <w:szCs w:val="20"/>
                <w:vertAlign w:val="superscript"/>
              </w:rPr>
              <w:t xml:space="preserve"> 77</w:t>
            </w:r>
          </w:p>
        </w:tc>
        <w:tc>
          <w:tcPr>
            <w:tcW w:w="8100" w:type="dxa"/>
            <w:vAlign w:val="bottom"/>
          </w:tcPr>
          <w:p w14:paraId="0882EF1F"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Higher dispositional self-compassion was not associated with fewer marijuana use problems. Coping-motivated marijuana use was statistically, significantly associated with marijuana use problems when controlling for self-compassion. There was a significant indirect effect of self-compassion on marijuana-related problems via coping-motivated marijuana use. The non-significant total effect suggests self-compassion was negatively associated with coping-motivated marijuana use, which in turn was associated with fewer marijuana-related problems when controlling for self-compassion.</w:t>
            </w:r>
          </w:p>
        </w:tc>
      </w:tr>
      <w:tr w:rsidR="005A574F" w:rsidRPr="00677925" w14:paraId="06811A2F" w14:textId="77777777" w:rsidTr="005A574F">
        <w:tc>
          <w:tcPr>
            <w:tcW w:w="2065" w:type="dxa"/>
            <w:vAlign w:val="bottom"/>
          </w:tcPr>
          <w:p w14:paraId="71408298" w14:textId="4F10CA44" w:rsidR="005A574F" w:rsidRPr="007F4CDF"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Wilson et al. (2018)</w:t>
            </w:r>
            <w:r w:rsidR="00EA36F4">
              <w:rPr>
                <w:rFonts w:ascii="Times New Roman" w:hAnsi="Times New Roman" w:cs="Times New Roman"/>
                <w:sz w:val="20"/>
                <w:szCs w:val="20"/>
                <w:vertAlign w:val="superscript"/>
              </w:rPr>
              <w:t xml:space="preserve"> 87</w:t>
            </w:r>
          </w:p>
        </w:tc>
        <w:tc>
          <w:tcPr>
            <w:tcW w:w="8100" w:type="dxa"/>
            <w:vAlign w:val="bottom"/>
          </w:tcPr>
          <w:p w14:paraId="71E8AEA6"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Participants who used in 5 or fewer time periods/week experienced 6.06 consequences, on average. Participants who used in 6 or more time periods/week experienced, on average, 12.2 consequences. Those scoring greater than 4.24 on marijuana PBS fall into the lowest of all risk categories (average = 4.75 consequences) and those scoring less than 4.24 averaged 8.24 consequences. Participants with positive urgency scores below 2.56 averaged 11.1 consequences, and those above 2.56 averaged 17.87 consequences. Those who reported negative urgency scores on the UPPS-P below 3.09 averaged 14.9 consequences and those above 3.09 averaged 24.85 consequences.</w:t>
            </w:r>
          </w:p>
        </w:tc>
      </w:tr>
      <w:tr w:rsidR="005A574F" w:rsidRPr="00677925" w14:paraId="2AEBA489" w14:textId="77777777" w:rsidTr="005A574F">
        <w:tc>
          <w:tcPr>
            <w:tcW w:w="2065" w:type="dxa"/>
            <w:vAlign w:val="bottom"/>
          </w:tcPr>
          <w:p w14:paraId="4B90ABF7" w14:textId="522C680C" w:rsidR="005A574F" w:rsidRPr="007F4CDF" w:rsidRDefault="005A574F" w:rsidP="00390094">
            <w:pPr>
              <w:rPr>
                <w:rFonts w:ascii="Times New Roman" w:hAnsi="Times New Roman" w:cs="Times New Roman"/>
                <w:sz w:val="20"/>
                <w:szCs w:val="20"/>
                <w:vertAlign w:val="superscript"/>
              </w:rPr>
            </w:pPr>
            <w:r w:rsidRPr="00677925">
              <w:rPr>
                <w:rFonts w:ascii="Times New Roman" w:hAnsi="Times New Roman" w:cs="Times New Roman"/>
                <w:sz w:val="20"/>
                <w:szCs w:val="20"/>
              </w:rPr>
              <w:t>Wong et al. (2021)</w:t>
            </w:r>
            <w:r w:rsidR="00A544A2">
              <w:rPr>
                <w:rFonts w:ascii="Times New Roman" w:hAnsi="Times New Roman" w:cs="Times New Roman"/>
                <w:sz w:val="20"/>
                <w:szCs w:val="20"/>
                <w:vertAlign w:val="superscript"/>
              </w:rPr>
              <w:t xml:space="preserve"> 108</w:t>
            </w:r>
          </w:p>
        </w:tc>
        <w:tc>
          <w:tcPr>
            <w:tcW w:w="8100" w:type="dxa"/>
            <w:vAlign w:val="bottom"/>
          </w:tcPr>
          <w:p w14:paraId="5F1E5D3C"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Men self-reported significantly higher DSM-5 and SDS symptoms for cannabis dependence compared to women. Self-approval of cannabis use was significantly associated with lower DSM-5 and SDS symptoms. Individuals in the </w:t>
            </w:r>
            <w:r w:rsidRPr="00677925">
              <w:rPr>
                <w:rFonts w:ascii="Times New Roman" w:hAnsi="Times New Roman" w:cs="Times New Roman"/>
                <w:i/>
                <w:iCs/>
                <w:sz w:val="20"/>
                <w:szCs w:val="20"/>
              </w:rPr>
              <w:t>Impacted</w:t>
            </w:r>
            <w:r w:rsidRPr="00677925">
              <w:rPr>
                <w:rFonts w:ascii="Times New Roman" w:hAnsi="Times New Roman" w:cs="Times New Roman"/>
                <w:sz w:val="20"/>
                <w:szCs w:val="20"/>
              </w:rPr>
              <w:t xml:space="preserve"> class (those who mostly agreed that legalization impacted both their attitude and beliefs about their use behaviors) reported the highest SDS and DSM-5 symptoms for cannabis dependence. The </w:t>
            </w:r>
            <w:r w:rsidRPr="00677925">
              <w:rPr>
                <w:rFonts w:ascii="Times New Roman" w:hAnsi="Times New Roman" w:cs="Times New Roman"/>
                <w:i/>
                <w:iCs/>
                <w:sz w:val="20"/>
                <w:szCs w:val="20"/>
              </w:rPr>
              <w:t>Partially-Impacted</w:t>
            </w:r>
            <w:r w:rsidRPr="00677925">
              <w:rPr>
                <w:rFonts w:ascii="Times New Roman" w:hAnsi="Times New Roman" w:cs="Times New Roman"/>
                <w:sz w:val="20"/>
                <w:szCs w:val="20"/>
              </w:rPr>
              <w:t xml:space="preserve"> class reported the </w:t>
            </w:r>
            <w:r w:rsidRPr="00677925">
              <w:rPr>
                <w:rFonts w:ascii="Times New Roman" w:hAnsi="Times New Roman" w:cs="Times New Roman"/>
                <w:sz w:val="20"/>
                <w:szCs w:val="20"/>
              </w:rPr>
              <w:lastRenderedPageBreak/>
              <w:t xml:space="preserve">lowest mean number DSM-5 symptoms of dependence. The </w:t>
            </w:r>
            <w:r w:rsidRPr="00677925">
              <w:rPr>
                <w:rFonts w:ascii="Times New Roman" w:hAnsi="Times New Roman" w:cs="Times New Roman"/>
                <w:i/>
                <w:iCs/>
                <w:sz w:val="20"/>
                <w:szCs w:val="20"/>
              </w:rPr>
              <w:t>Neutral</w:t>
            </w:r>
            <w:r w:rsidRPr="00677925">
              <w:rPr>
                <w:rFonts w:ascii="Times New Roman" w:hAnsi="Times New Roman" w:cs="Times New Roman"/>
                <w:sz w:val="20"/>
                <w:szCs w:val="20"/>
              </w:rPr>
              <w:t xml:space="preserve"> users had the lowest mean SDS score.</w:t>
            </w:r>
          </w:p>
        </w:tc>
      </w:tr>
      <w:tr w:rsidR="005A574F" w:rsidRPr="00677925" w14:paraId="63B67E49" w14:textId="77777777" w:rsidTr="005A574F">
        <w:tc>
          <w:tcPr>
            <w:tcW w:w="2065" w:type="dxa"/>
            <w:vAlign w:val="bottom"/>
          </w:tcPr>
          <w:p w14:paraId="2D13D82A" w14:textId="0CA069EE" w:rsidR="005A574F" w:rsidRPr="007F4CDF" w:rsidRDefault="005A574F" w:rsidP="00390094">
            <w:pPr>
              <w:rPr>
                <w:rFonts w:ascii="Times New Roman" w:hAnsi="Times New Roman" w:cs="Times New Roman"/>
                <w:sz w:val="20"/>
                <w:szCs w:val="20"/>
                <w:vertAlign w:val="superscript"/>
              </w:rPr>
            </w:pPr>
            <w:r w:rsidRPr="005E2A2C">
              <w:rPr>
                <w:rFonts w:ascii="Times New Roman" w:hAnsi="Times New Roman" w:cs="Times New Roman"/>
                <w:sz w:val="20"/>
                <w:szCs w:val="20"/>
              </w:rPr>
              <w:lastRenderedPageBreak/>
              <w:t>Woodruff &amp; Shillington (2016)</w:t>
            </w:r>
            <w:r w:rsidR="00A544A2">
              <w:rPr>
                <w:rFonts w:ascii="Times New Roman" w:hAnsi="Times New Roman" w:cs="Times New Roman"/>
                <w:sz w:val="20"/>
                <w:szCs w:val="20"/>
                <w:vertAlign w:val="superscript"/>
              </w:rPr>
              <w:t xml:space="preserve"> 105</w:t>
            </w:r>
          </w:p>
        </w:tc>
        <w:tc>
          <w:tcPr>
            <w:tcW w:w="8100" w:type="dxa"/>
            <w:vAlign w:val="bottom"/>
          </w:tcPr>
          <w:p w14:paraId="3A3D7B78" w14:textId="77777777"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 xml:space="preserve">Four composite ASI problem severity scores in areas often influenced by drug misuse, 23 particularly drug use severity and alcohol use severity, differed by type of user. Medical marijuana users had higher severity scores for drug use, medical problems, and psychiatric problems. Medical users reported spending more money on marijuana, reported lower readiness to change use of marijuana, and reported more days of psychological problems compared to non-medical users. However, they also reported lower frequency of drug problems and tended to be low risk versus moderate/severe risk users relative to non-medical users. </w:t>
            </w:r>
          </w:p>
        </w:tc>
      </w:tr>
      <w:tr w:rsidR="005A574F" w:rsidRPr="00677925" w14:paraId="34FB9E2D" w14:textId="77777777" w:rsidTr="005A574F">
        <w:tc>
          <w:tcPr>
            <w:tcW w:w="2065" w:type="dxa"/>
            <w:vAlign w:val="bottom"/>
          </w:tcPr>
          <w:p w14:paraId="6B17B299" w14:textId="010C9393" w:rsidR="005A574F" w:rsidRPr="007F4CDF" w:rsidRDefault="005A574F" w:rsidP="00390094">
            <w:pPr>
              <w:rPr>
                <w:rFonts w:ascii="Times New Roman" w:hAnsi="Times New Roman" w:cs="Times New Roman"/>
                <w:sz w:val="20"/>
                <w:szCs w:val="20"/>
                <w:vertAlign w:val="superscript"/>
              </w:rPr>
            </w:pPr>
            <w:proofErr w:type="spellStart"/>
            <w:r w:rsidRPr="00677925">
              <w:rPr>
                <w:rFonts w:ascii="Times New Roman" w:hAnsi="Times New Roman" w:cs="Times New Roman"/>
                <w:sz w:val="20"/>
                <w:szCs w:val="20"/>
              </w:rPr>
              <w:t>Yurasek</w:t>
            </w:r>
            <w:proofErr w:type="spellEnd"/>
            <w:r w:rsidRPr="00677925">
              <w:rPr>
                <w:rFonts w:ascii="Times New Roman" w:hAnsi="Times New Roman" w:cs="Times New Roman"/>
                <w:sz w:val="20"/>
                <w:szCs w:val="20"/>
              </w:rPr>
              <w:t xml:space="preserve"> et al. (2020)</w:t>
            </w:r>
            <w:r w:rsidR="00A544A2">
              <w:rPr>
                <w:rFonts w:ascii="Times New Roman" w:hAnsi="Times New Roman" w:cs="Times New Roman"/>
                <w:sz w:val="20"/>
                <w:szCs w:val="20"/>
                <w:vertAlign w:val="superscript"/>
              </w:rPr>
              <w:t xml:space="preserve"> 93</w:t>
            </w:r>
          </w:p>
        </w:tc>
        <w:tc>
          <w:tcPr>
            <w:tcW w:w="8100" w:type="dxa"/>
            <w:vAlign w:val="bottom"/>
          </w:tcPr>
          <w:p w14:paraId="39BA23C9" w14:textId="252D8145" w:rsidR="005A574F" w:rsidRPr="00677925" w:rsidRDefault="005A574F" w:rsidP="00390094">
            <w:pPr>
              <w:rPr>
                <w:rFonts w:ascii="Times New Roman" w:hAnsi="Times New Roman" w:cs="Times New Roman"/>
                <w:sz w:val="20"/>
                <w:szCs w:val="20"/>
              </w:rPr>
            </w:pPr>
            <w:r w:rsidRPr="00677925">
              <w:rPr>
                <w:rFonts w:ascii="Times New Roman" w:hAnsi="Times New Roman" w:cs="Times New Roman"/>
                <w:sz w:val="20"/>
                <w:szCs w:val="20"/>
              </w:rPr>
              <w:t>There was also a positive association between negative mood and marijuana problems, and sex significantly moderated this association where negative mood was associated more strongly with marijuana problems among men than women. insomnia symptoms were associated directly with marijuana problems among women, but not men. Negative mood explained more of the association between insomnia severity and marijuana problems among men than women. Possible bidirectional associations were noted.</w:t>
            </w:r>
          </w:p>
        </w:tc>
      </w:tr>
    </w:tbl>
    <w:p w14:paraId="33EFFB1E" w14:textId="77777777" w:rsidR="00851939" w:rsidRPr="00677925" w:rsidRDefault="00851939">
      <w:pPr>
        <w:rPr>
          <w:rFonts w:ascii="Times New Roman" w:hAnsi="Times New Roman" w:cs="Times New Roman"/>
          <w:sz w:val="20"/>
          <w:szCs w:val="20"/>
        </w:rPr>
      </w:pPr>
    </w:p>
    <w:sectPr w:rsidR="00851939" w:rsidRPr="00677925" w:rsidSect="007F12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83BBF" w14:textId="77777777" w:rsidR="00FC6BB8" w:rsidRDefault="00FC6BB8" w:rsidP="005C7F1C">
      <w:r>
        <w:separator/>
      </w:r>
    </w:p>
  </w:endnote>
  <w:endnote w:type="continuationSeparator" w:id="0">
    <w:p w14:paraId="31300AE4" w14:textId="77777777" w:rsidR="00FC6BB8" w:rsidRDefault="00FC6BB8" w:rsidP="005C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7A77B" w14:textId="77777777" w:rsidR="00FC6BB8" w:rsidRDefault="00FC6BB8" w:rsidP="005C7F1C">
      <w:r>
        <w:separator/>
      </w:r>
    </w:p>
  </w:footnote>
  <w:footnote w:type="continuationSeparator" w:id="0">
    <w:p w14:paraId="0B4DCCE9" w14:textId="77777777" w:rsidR="00FC6BB8" w:rsidRDefault="00FC6BB8" w:rsidP="005C7F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39"/>
    <w:rsid w:val="000016C6"/>
    <w:rsid w:val="00023F47"/>
    <w:rsid w:val="00026D37"/>
    <w:rsid w:val="00027BA9"/>
    <w:rsid w:val="00032A0D"/>
    <w:rsid w:val="00035790"/>
    <w:rsid w:val="00046752"/>
    <w:rsid w:val="00053BA1"/>
    <w:rsid w:val="00062037"/>
    <w:rsid w:val="00064C57"/>
    <w:rsid w:val="000679C9"/>
    <w:rsid w:val="000822ED"/>
    <w:rsid w:val="00084099"/>
    <w:rsid w:val="00087FBC"/>
    <w:rsid w:val="00093546"/>
    <w:rsid w:val="000C4513"/>
    <w:rsid w:val="000C51D5"/>
    <w:rsid w:val="000D0C8B"/>
    <w:rsid w:val="000D2F20"/>
    <w:rsid w:val="000E218B"/>
    <w:rsid w:val="000E2329"/>
    <w:rsid w:val="000E3FA0"/>
    <w:rsid w:val="000E5C04"/>
    <w:rsid w:val="000F4070"/>
    <w:rsid w:val="000F6C63"/>
    <w:rsid w:val="00101361"/>
    <w:rsid w:val="00102304"/>
    <w:rsid w:val="00104150"/>
    <w:rsid w:val="00112380"/>
    <w:rsid w:val="00113A96"/>
    <w:rsid w:val="00115E87"/>
    <w:rsid w:val="00132595"/>
    <w:rsid w:val="001328E1"/>
    <w:rsid w:val="00134839"/>
    <w:rsid w:val="00142077"/>
    <w:rsid w:val="00145A91"/>
    <w:rsid w:val="00161945"/>
    <w:rsid w:val="00175DA8"/>
    <w:rsid w:val="00180F17"/>
    <w:rsid w:val="001909F9"/>
    <w:rsid w:val="00190F08"/>
    <w:rsid w:val="00197D2B"/>
    <w:rsid w:val="00197F55"/>
    <w:rsid w:val="001A7B7B"/>
    <w:rsid w:val="001B2E6E"/>
    <w:rsid w:val="001C188A"/>
    <w:rsid w:val="001D4F4F"/>
    <w:rsid w:val="001D53E7"/>
    <w:rsid w:val="001E0820"/>
    <w:rsid w:val="001E11C1"/>
    <w:rsid w:val="001E7B3B"/>
    <w:rsid w:val="001F3A2D"/>
    <w:rsid w:val="001F3E47"/>
    <w:rsid w:val="001F60EB"/>
    <w:rsid w:val="001F6B71"/>
    <w:rsid w:val="0021459E"/>
    <w:rsid w:val="00215A20"/>
    <w:rsid w:val="00216EFA"/>
    <w:rsid w:val="00217DE8"/>
    <w:rsid w:val="0022112E"/>
    <w:rsid w:val="002236C9"/>
    <w:rsid w:val="0022637C"/>
    <w:rsid w:val="00233CEE"/>
    <w:rsid w:val="002415F7"/>
    <w:rsid w:val="0024176E"/>
    <w:rsid w:val="00245C1B"/>
    <w:rsid w:val="00255E14"/>
    <w:rsid w:val="002660AB"/>
    <w:rsid w:val="00267B07"/>
    <w:rsid w:val="00267D89"/>
    <w:rsid w:val="00270EAB"/>
    <w:rsid w:val="00271C6B"/>
    <w:rsid w:val="0027314A"/>
    <w:rsid w:val="0028796A"/>
    <w:rsid w:val="002A14CD"/>
    <w:rsid w:val="002A5D70"/>
    <w:rsid w:val="002C550C"/>
    <w:rsid w:val="002D3610"/>
    <w:rsid w:val="002D4DE6"/>
    <w:rsid w:val="002E34E9"/>
    <w:rsid w:val="002E4FB6"/>
    <w:rsid w:val="002F12D4"/>
    <w:rsid w:val="002F71ED"/>
    <w:rsid w:val="0030267F"/>
    <w:rsid w:val="003060DE"/>
    <w:rsid w:val="003073B4"/>
    <w:rsid w:val="003206F6"/>
    <w:rsid w:val="00322EBE"/>
    <w:rsid w:val="003231F6"/>
    <w:rsid w:val="00324E5C"/>
    <w:rsid w:val="00325CA8"/>
    <w:rsid w:val="00327800"/>
    <w:rsid w:val="00331062"/>
    <w:rsid w:val="003337EE"/>
    <w:rsid w:val="00334A9A"/>
    <w:rsid w:val="00337CE5"/>
    <w:rsid w:val="00341583"/>
    <w:rsid w:val="00342716"/>
    <w:rsid w:val="00343F9B"/>
    <w:rsid w:val="00357B5B"/>
    <w:rsid w:val="00365A13"/>
    <w:rsid w:val="00366C37"/>
    <w:rsid w:val="003677BE"/>
    <w:rsid w:val="00367F28"/>
    <w:rsid w:val="00372312"/>
    <w:rsid w:val="00381206"/>
    <w:rsid w:val="00390094"/>
    <w:rsid w:val="003917D0"/>
    <w:rsid w:val="00392438"/>
    <w:rsid w:val="00393B28"/>
    <w:rsid w:val="0039484F"/>
    <w:rsid w:val="00395B25"/>
    <w:rsid w:val="003A6EB7"/>
    <w:rsid w:val="003B1B8B"/>
    <w:rsid w:val="003B3880"/>
    <w:rsid w:val="003B4004"/>
    <w:rsid w:val="003B4080"/>
    <w:rsid w:val="003B5347"/>
    <w:rsid w:val="003C11FA"/>
    <w:rsid w:val="003C3459"/>
    <w:rsid w:val="003C5FB2"/>
    <w:rsid w:val="003D521B"/>
    <w:rsid w:val="003D6C8C"/>
    <w:rsid w:val="003E6C32"/>
    <w:rsid w:val="004055E4"/>
    <w:rsid w:val="004151DD"/>
    <w:rsid w:val="00417055"/>
    <w:rsid w:val="004235FA"/>
    <w:rsid w:val="00435ADE"/>
    <w:rsid w:val="00446A27"/>
    <w:rsid w:val="00454D38"/>
    <w:rsid w:val="004561A0"/>
    <w:rsid w:val="00461D56"/>
    <w:rsid w:val="00466129"/>
    <w:rsid w:val="00493D54"/>
    <w:rsid w:val="004A487D"/>
    <w:rsid w:val="004C6DD3"/>
    <w:rsid w:val="004C7308"/>
    <w:rsid w:val="004F336A"/>
    <w:rsid w:val="0051096D"/>
    <w:rsid w:val="00514002"/>
    <w:rsid w:val="00514510"/>
    <w:rsid w:val="0051475F"/>
    <w:rsid w:val="005366A8"/>
    <w:rsid w:val="005435F9"/>
    <w:rsid w:val="005436E4"/>
    <w:rsid w:val="005455DD"/>
    <w:rsid w:val="0055181C"/>
    <w:rsid w:val="005639EF"/>
    <w:rsid w:val="0058288C"/>
    <w:rsid w:val="00593D34"/>
    <w:rsid w:val="005944E6"/>
    <w:rsid w:val="005A440F"/>
    <w:rsid w:val="005A4BC4"/>
    <w:rsid w:val="005A574F"/>
    <w:rsid w:val="005A60B2"/>
    <w:rsid w:val="005A7505"/>
    <w:rsid w:val="005C2AC0"/>
    <w:rsid w:val="005C7F1C"/>
    <w:rsid w:val="005D014A"/>
    <w:rsid w:val="005D2462"/>
    <w:rsid w:val="005D677C"/>
    <w:rsid w:val="005E2A2C"/>
    <w:rsid w:val="005E30DC"/>
    <w:rsid w:val="005E4AA6"/>
    <w:rsid w:val="005E5BB9"/>
    <w:rsid w:val="005E61C7"/>
    <w:rsid w:val="00603356"/>
    <w:rsid w:val="00605779"/>
    <w:rsid w:val="006070AA"/>
    <w:rsid w:val="006107D2"/>
    <w:rsid w:val="00620F63"/>
    <w:rsid w:val="0062384A"/>
    <w:rsid w:val="006371FF"/>
    <w:rsid w:val="00644F2D"/>
    <w:rsid w:val="006523A9"/>
    <w:rsid w:val="0066010E"/>
    <w:rsid w:val="00664CC0"/>
    <w:rsid w:val="0067161A"/>
    <w:rsid w:val="0067400D"/>
    <w:rsid w:val="006745FF"/>
    <w:rsid w:val="00677925"/>
    <w:rsid w:val="00682335"/>
    <w:rsid w:val="00683086"/>
    <w:rsid w:val="0069678C"/>
    <w:rsid w:val="006A1C7F"/>
    <w:rsid w:val="006B03F5"/>
    <w:rsid w:val="006B5749"/>
    <w:rsid w:val="006B7B36"/>
    <w:rsid w:val="006C12AE"/>
    <w:rsid w:val="006C2031"/>
    <w:rsid w:val="006C49A4"/>
    <w:rsid w:val="006C744B"/>
    <w:rsid w:val="006D3791"/>
    <w:rsid w:val="006F287E"/>
    <w:rsid w:val="006F3682"/>
    <w:rsid w:val="006F629D"/>
    <w:rsid w:val="006F62D4"/>
    <w:rsid w:val="00715379"/>
    <w:rsid w:val="00717E63"/>
    <w:rsid w:val="007228E3"/>
    <w:rsid w:val="00723986"/>
    <w:rsid w:val="007378D6"/>
    <w:rsid w:val="007413B0"/>
    <w:rsid w:val="00750FCF"/>
    <w:rsid w:val="0075141B"/>
    <w:rsid w:val="00752FDB"/>
    <w:rsid w:val="00754E74"/>
    <w:rsid w:val="007618D7"/>
    <w:rsid w:val="00763049"/>
    <w:rsid w:val="00765C3E"/>
    <w:rsid w:val="00766AEF"/>
    <w:rsid w:val="00770737"/>
    <w:rsid w:val="00776813"/>
    <w:rsid w:val="00780733"/>
    <w:rsid w:val="007976AE"/>
    <w:rsid w:val="007976C6"/>
    <w:rsid w:val="007A0D01"/>
    <w:rsid w:val="007B65D2"/>
    <w:rsid w:val="007B7F59"/>
    <w:rsid w:val="007C3CF7"/>
    <w:rsid w:val="007D0541"/>
    <w:rsid w:val="007D2763"/>
    <w:rsid w:val="007D2924"/>
    <w:rsid w:val="007D4675"/>
    <w:rsid w:val="007D4814"/>
    <w:rsid w:val="007F1256"/>
    <w:rsid w:val="007F18AD"/>
    <w:rsid w:val="007F2F59"/>
    <w:rsid w:val="007F4025"/>
    <w:rsid w:val="007F4CDF"/>
    <w:rsid w:val="007F66F8"/>
    <w:rsid w:val="00804FBE"/>
    <w:rsid w:val="00805539"/>
    <w:rsid w:val="00805DA1"/>
    <w:rsid w:val="00811E14"/>
    <w:rsid w:val="00813B3E"/>
    <w:rsid w:val="008164DA"/>
    <w:rsid w:val="008203FB"/>
    <w:rsid w:val="00824A1C"/>
    <w:rsid w:val="00842FC5"/>
    <w:rsid w:val="00851939"/>
    <w:rsid w:val="00853306"/>
    <w:rsid w:val="0086726E"/>
    <w:rsid w:val="008674D0"/>
    <w:rsid w:val="008757C2"/>
    <w:rsid w:val="00876355"/>
    <w:rsid w:val="00887CF1"/>
    <w:rsid w:val="00890718"/>
    <w:rsid w:val="008950D3"/>
    <w:rsid w:val="008A25E4"/>
    <w:rsid w:val="008B03D6"/>
    <w:rsid w:val="008B2773"/>
    <w:rsid w:val="008B58A7"/>
    <w:rsid w:val="008B67F5"/>
    <w:rsid w:val="00907D2C"/>
    <w:rsid w:val="0091044E"/>
    <w:rsid w:val="0091073F"/>
    <w:rsid w:val="00913387"/>
    <w:rsid w:val="0091397E"/>
    <w:rsid w:val="00924908"/>
    <w:rsid w:val="00927BE3"/>
    <w:rsid w:val="00934F3C"/>
    <w:rsid w:val="00935BE2"/>
    <w:rsid w:val="0094014E"/>
    <w:rsid w:val="009441A4"/>
    <w:rsid w:val="00944A02"/>
    <w:rsid w:val="00945C83"/>
    <w:rsid w:val="00946F52"/>
    <w:rsid w:val="00950596"/>
    <w:rsid w:val="009568CF"/>
    <w:rsid w:val="00957FFB"/>
    <w:rsid w:val="00965AFD"/>
    <w:rsid w:val="009869A1"/>
    <w:rsid w:val="00995C3C"/>
    <w:rsid w:val="00996108"/>
    <w:rsid w:val="0099747A"/>
    <w:rsid w:val="009A4E07"/>
    <w:rsid w:val="009A75DD"/>
    <w:rsid w:val="009C0D58"/>
    <w:rsid w:val="009C2980"/>
    <w:rsid w:val="009C47AA"/>
    <w:rsid w:val="009C6884"/>
    <w:rsid w:val="009C6ED4"/>
    <w:rsid w:val="009D1897"/>
    <w:rsid w:val="009E1806"/>
    <w:rsid w:val="009E2C24"/>
    <w:rsid w:val="009E2EAC"/>
    <w:rsid w:val="009E6468"/>
    <w:rsid w:val="00A0484B"/>
    <w:rsid w:val="00A06A79"/>
    <w:rsid w:val="00A10F43"/>
    <w:rsid w:val="00A11398"/>
    <w:rsid w:val="00A2222A"/>
    <w:rsid w:val="00A22A0B"/>
    <w:rsid w:val="00A242BC"/>
    <w:rsid w:val="00A263F1"/>
    <w:rsid w:val="00A42362"/>
    <w:rsid w:val="00A43604"/>
    <w:rsid w:val="00A519DC"/>
    <w:rsid w:val="00A544A2"/>
    <w:rsid w:val="00A6406D"/>
    <w:rsid w:val="00A66C98"/>
    <w:rsid w:val="00A7281B"/>
    <w:rsid w:val="00A85D44"/>
    <w:rsid w:val="00A924A4"/>
    <w:rsid w:val="00AA19F8"/>
    <w:rsid w:val="00AA5BC8"/>
    <w:rsid w:val="00AB0B96"/>
    <w:rsid w:val="00AC75B1"/>
    <w:rsid w:val="00AD33AF"/>
    <w:rsid w:val="00AD3DF3"/>
    <w:rsid w:val="00AE26B5"/>
    <w:rsid w:val="00AE359B"/>
    <w:rsid w:val="00AE465C"/>
    <w:rsid w:val="00AF351B"/>
    <w:rsid w:val="00AF4ABF"/>
    <w:rsid w:val="00AF4F0E"/>
    <w:rsid w:val="00AF55EA"/>
    <w:rsid w:val="00AF5C6E"/>
    <w:rsid w:val="00AF6FF5"/>
    <w:rsid w:val="00B15E61"/>
    <w:rsid w:val="00B160DA"/>
    <w:rsid w:val="00B216C3"/>
    <w:rsid w:val="00B22677"/>
    <w:rsid w:val="00B255C1"/>
    <w:rsid w:val="00B304D7"/>
    <w:rsid w:val="00B42029"/>
    <w:rsid w:val="00B45E32"/>
    <w:rsid w:val="00B55C72"/>
    <w:rsid w:val="00B604E1"/>
    <w:rsid w:val="00B625B6"/>
    <w:rsid w:val="00B761ED"/>
    <w:rsid w:val="00B86AB2"/>
    <w:rsid w:val="00B903E7"/>
    <w:rsid w:val="00B90B09"/>
    <w:rsid w:val="00BA2D6B"/>
    <w:rsid w:val="00BA4C3F"/>
    <w:rsid w:val="00BA7128"/>
    <w:rsid w:val="00BB09FC"/>
    <w:rsid w:val="00BB0BE3"/>
    <w:rsid w:val="00BB1962"/>
    <w:rsid w:val="00BB1E2F"/>
    <w:rsid w:val="00BB375C"/>
    <w:rsid w:val="00BC5609"/>
    <w:rsid w:val="00BC7700"/>
    <w:rsid w:val="00BD74E4"/>
    <w:rsid w:val="00BE0664"/>
    <w:rsid w:val="00BE202F"/>
    <w:rsid w:val="00BF0433"/>
    <w:rsid w:val="00C0074E"/>
    <w:rsid w:val="00C00D13"/>
    <w:rsid w:val="00C0749E"/>
    <w:rsid w:val="00C2111F"/>
    <w:rsid w:val="00C415C2"/>
    <w:rsid w:val="00C42E32"/>
    <w:rsid w:val="00C46AA7"/>
    <w:rsid w:val="00C55A21"/>
    <w:rsid w:val="00C572F0"/>
    <w:rsid w:val="00C74A8F"/>
    <w:rsid w:val="00C7564C"/>
    <w:rsid w:val="00C83AFF"/>
    <w:rsid w:val="00CA325B"/>
    <w:rsid w:val="00CA7199"/>
    <w:rsid w:val="00CC2532"/>
    <w:rsid w:val="00CC2C3C"/>
    <w:rsid w:val="00CC389B"/>
    <w:rsid w:val="00CD5FB5"/>
    <w:rsid w:val="00CD7290"/>
    <w:rsid w:val="00CD7A81"/>
    <w:rsid w:val="00CE0AD8"/>
    <w:rsid w:val="00CE0FE5"/>
    <w:rsid w:val="00CF39B8"/>
    <w:rsid w:val="00D11BA3"/>
    <w:rsid w:val="00D1556A"/>
    <w:rsid w:val="00D1761C"/>
    <w:rsid w:val="00D2006C"/>
    <w:rsid w:val="00D32108"/>
    <w:rsid w:val="00D36CB3"/>
    <w:rsid w:val="00D433F0"/>
    <w:rsid w:val="00D4413B"/>
    <w:rsid w:val="00D5013F"/>
    <w:rsid w:val="00D52E4C"/>
    <w:rsid w:val="00D531E3"/>
    <w:rsid w:val="00D57FD7"/>
    <w:rsid w:val="00D6195C"/>
    <w:rsid w:val="00D66377"/>
    <w:rsid w:val="00D6649C"/>
    <w:rsid w:val="00D82668"/>
    <w:rsid w:val="00D92E5D"/>
    <w:rsid w:val="00D93637"/>
    <w:rsid w:val="00D939F1"/>
    <w:rsid w:val="00D97C55"/>
    <w:rsid w:val="00DA3E13"/>
    <w:rsid w:val="00DA43BA"/>
    <w:rsid w:val="00DA62E7"/>
    <w:rsid w:val="00DB32D3"/>
    <w:rsid w:val="00DC1571"/>
    <w:rsid w:val="00DD0C7C"/>
    <w:rsid w:val="00DD382C"/>
    <w:rsid w:val="00DE135A"/>
    <w:rsid w:val="00DE13C6"/>
    <w:rsid w:val="00DE5769"/>
    <w:rsid w:val="00E11A06"/>
    <w:rsid w:val="00E12A49"/>
    <w:rsid w:val="00E16EA2"/>
    <w:rsid w:val="00E211A0"/>
    <w:rsid w:val="00E31411"/>
    <w:rsid w:val="00E33214"/>
    <w:rsid w:val="00E34431"/>
    <w:rsid w:val="00E36C5E"/>
    <w:rsid w:val="00E40098"/>
    <w:rsid w:val="00E41853"/>
    <w:rsid w:val="00E41A95"/>
    <w:rsid w:val="00E42BFD"/>
    <w:rsid w:val="00E4382D"/>
    <w:rsid w:val="00E44F38"/>
    <w:rsid w:val="00E46C95"/>
    <w:rsid w:val="00E50882"/>
    <w:rsid w:val="00E55A48"/>
    <w:rsid w:val="00E56CE4"/>
    <w:rsid w:val="00E64FE2"/>
    <w:rsid w:val="00E6784C"/>
    <w:rsid w:val="00E72344"/>
    <w:rsid w:val="00E80D39"/>
    <w:rsid w:val="00E8208C"/>
    <w:rsid w:val="00E837A2"/>
    <w:rsid w:val="00E84802"/>
    <w:rsid w:val="00E977C1"/>
    <w:rsid w:val="00EA09E9"/>
    <w:rsid w:val="00EA0D92"/>
    <w:rsid w:val="00EA36F4"/>
    <w:rsid w:val="00EA59AF"/>
    <w:rsid w:val="00EA64A7"/>
    <w:rsid w:val="00EA670A"/>
    <w:rsid w:val="00EB6F01"/>
    <w:rsid w:val="00EC15E0"/>
    <w:rsid w:val="00ED71C2"/>
    <w:rsid w:val="00EE2C92"/>
    <w:rsid w:val="00EE3981"/>
    <w:rsid w:val="00EE69B5"/>
    <w:rsid w:val="00EF00A4"/>
    <w:rsid w:val="00F04EDE"/>
    <w:rsid w:val="00F13AE1"/>
    <w:rsid w:val="00F16883"/>
    <w:rsid w:val="00F24B2F"/>
    <w:rsid w:val="00F4265C"/>
    <w:rsid w:val="00F50AC7"/>
    <w:rsid w:val="00F660CD"/>
    <w:rsid w:val="00F75324"/>
    <w:rsid w:val="00F76EB0"/>
    <w:rsid w:val="00F81999"/>
    <w:rsid w:val="00F872B2"/>
    <w:rsid w:val="00F91277"/>
    <w:rsid w:val="00F949C3"/>
    <w:rsid w:val="00F94D57"/>
    <w:rsid w:val="00F95F5B"/>
    <w:rsid w:val="00F96BF5"/>
    <w:rsid w:val="00FA13AB"/>
    <w:rsid w:val="00FA6659"/>
    <w:rsid w:val="00FB1BC1"/>
    <w:rsid w:val="00FB26D4"/>
    <w:rsid w:val="00FB2AAE"/>
    <w:rsid w:val="00FB5606"/>
    <w:rsid w:val="00FB78AC"/>
    <w:rsid w:val="00FC1B1F"/>
    <w:rsid w:val="00FC49BC"/>
    <w:rsid w:val="00FC5745"/>
    <w:rsid w:val="00FC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CEA02"/>
  <w15:chartTrackingRefBased/>
  <w15:docId w15:val="{351145AB-5FCB-CB48-ADD1-9692F843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1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4A8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4A8F"/>
    <w:rPr>
      <w:rFonts w:ascii="Times New Roman" w:hAnsi="Times New Roman" w:cs="Times New Roman"/>
      <w:sz w:val="18"/>
      <w:szCs w:val="18"/>
    </w:rPr>
  </w:style>
  <w:style w:type="character" w:styleId="Emphasis">
    <w:name w:val="Emphasis"/>
    <w:basedOn w:val="DefaultParagraphFont"/>
    <w:uiPriority w:val="20"/>
    <w:qFormat/>
    <w:rsid w:val="00DE5769"/>
    <w:rPr>
      <w:i/>
      <w:iCs/>
    </w:rPr>
  </w:style>
  <w:style w:type="paragraph" w:styleId="Revision">
    <w:name w:val="Revision"/>
    <w:hidden/>
    <w:uiPriority w:val="99"/>
    <w:semiHidden/>
    <w:rsid w:val="0091044E"/>
  </w:style>
  <w:style w:type="paragraph" w:styleId="Header">
    <w:name w:val="header"/>
    <w:basedOn w:val="Normal"/>
    <w:link w:val="HeaderChar"/>
    <w:uiPriority w:val="99"/>
    <w:unhideWhenUsed/>
    <w:rsid w:val="005C7F1C"/>
    <w:pPr>
      <w:tabs>
        <w:tab w:val="center" w:pos="4680"/>
        <w:tab w:val="right" w:pos="9360"/>
      </w:tabs>
    </w:pPr>
  </w:style>
  <w:style w:type="character" w:customStyle="1" w:styleId="HeaderChar">
    <w:name w:val="Header Char"/>
    <w:basedOn w:val="DefaultParagraphFont"/>
    <w:link w:val="Header"/>
    <w:uiPriority w:val="99"/>
    <w:rsid w:val="005C7F1C"/>
  </w:style>
  <w:style w:type="paragraph" w:styleId="Footer">
    <w:name w:val="footer"/>
    <w:basedOn w:val="Normal"/>
    <w:link w:val="FooterChar"/>
    <w:uiPriority w:val="99"/>
    <w:unhideWhenUsed/>
    <w:rsid w:val="005C7F1C"/>
    <w:pPr>
      <w:tabs>
        <w:tab w:val="center" w:pos="4680"/>
        <w:tab w:val="right" w:pos="9360"/>
      </w:tabs>
    </w:pPr>
  </w:style>
  <w:style w:type="character" w:customStyle="1" w:styleId="FooterChar">
    <w:name w:val="Footer Char"/>
    <w:basedOn w:val="DefaultParagraphFont"/>
    <w:link w:val="Footer"/>
    <w:uiPriority w:val="99"/>
    <w:rsid w:val="005C7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76950">
      <w:bodyDiv w:val="1"/>
      <w:marLeft w:val="0"/>
      <w:marRight w:val="0"/>
      <w:marTop w:val="0"/>
      <w:marBottom w:val="0"/>
      <w:divBdr>
        <w:top w:val="none" w:sz="0" w:space="0" w:color="auto"/>
        <w:left w:val="none" w:sz="0" w:space="0" w:color="auto"/>
        <w:bottom w:val="none" w:sz="0" w:space="0" w:color="auto"/>
        <w:right w:val="none" w:sz="0" w:space="0" w:color="auto"/>
      </w:divBdr>
    </w:div>
    <w:div w:id="213664702">
      <w:bodyDiv w:val="1"/>
      <w:marLeft w:val="0"/>
      <w:marRight w:val="0"/>
      <w:marTop w:val="0"/>
      <w:marBottom w:val="0"/>
      <w:divBdr>
        <w:top w:val="none" w:sz="0" w:space="0" w:color="auto"/>
        <w:left w:val="none" w:sz="0" w:space="0" w:color="auto"/>
        <w:bottom w:val="none" w:sz="0" w:space="0" w:color="auto"/>
        <w:right w:val="none" w:sz="0" w:space="0" w:color="auto"/>
      </w:divBdr>
    </w:div>
    <w:div w:id="394938064">
      <w:bodyDiv w:val="1"/>
      <w:marLeft w:val="0"/>
      <w:marRight w:val="0"/>
      <w:marTop w:val="0"/>
      <w:marBottom w:val="0"/>
      <w:divBdr>
        <w:top w:val="none" w:sz="0" w:space="0" w:color="auto"/>
        <w:left w:val="none" w:sz="0" w:space="0" w:color="auto"/>
        <w:bottom w:val="none" w:sz="0" w:space="0" w:color="auto"/>
        <w:right w:val="none" w:sz="0" w:space="0" w:color="auto"/>
      </w:divBdr>
    </w:div>
    <w:div w:id="481895754">
      <w:bodyDiv w:val="1"/>
      <w:marLeft w:val="0"/>
      <w:marRight w:val="0"/>
      <w:marTop w:val="0"/>
      <w:marBottom w:val="0"/>
      <w:divBdr>
        <w:top w:val="none" w:sz="0" w:space="0" w:color="auto"/>
        <w:left w:val="none" w:sz="0" w:space="0" w:color="auto"/>
        <w:bottom w:val="none" w:sz="0" w:space="0" w:color="auto"/>
        <w:right w:val="none" w:sz="0" w:space="0" w:color="auto"/>
      </w:divBdr>
    </w:div>
    <w:div w:id="483202600">
      <w:bodyDiv w:val="1"/>
      <w:marLeft w:val="0"/>
      <w:marRight w:val="0"/>
      <w:marTop w:val="0"/>
      <w:marBottom w:val="0"/>
      <w:divBdr>
        <w:top w:val="none" w:sz="0" w:space="0" w:color="auto"/>
        <w:left w:val="none" w:sz="0" w:space="0" w:color="auto"/>
        <w:bottom w:val="none" w:sz="0" w:space="0" w:color="auto"/>
        <w:right w:val="none" w:sz="0" w:space="0" w:color="auto"/>
      </w:divBdr>
    </w:div>
    <w:div w:id="590049521">
      <w:bodyDiv w:val="1"/>
      <w:marLeft w:val="0"/>
      <w:marRight w:val="0"/>
      <w:marTop w:val="0"/>
      <w:marBottom w:val="0"/>
      <w:divBdr>
        <w:top w:val="none" w:sz="0" w:space="0" w:color="auto"/>
        <w:left w:val="none" w:sz="0" w:space="0" w:color="auto"/>
        <w:bottom w:val="none" w:sz="0" w:space="0" w:color="auto"/>
        <w:right w:val="none" w:sz="0" w:space="0" w:color="auto"/>
      </w:divBdr>
    </w:div>
    <w:div w:id="716051511">
      <w:bodyDiv w:val="1"/>
      <w:marLeft w:val="0"/>
      <w:marRight w:val="0"/>
      <w:marTop w:val="0"/>
      <w:marBottom w:val="0"/>
      <w:divBdr>
        <w:top w:val="none" w:sz="0" w:space="0" w:color="auto"/>
        <w:left w:val="none" w:sz="0" w:space="0" w:color="auto"/>
        <w:bottom w:val="none" w:sz="0" w:space="0" w:color="auto"/>
        <w:right w:val="none" w:sz="0" w:space="0" w:color="auto"/>
      </w:divBdr>
    </w:div>
    <w:div w:id="735399864">
      <w:bodyDiv w:val="1"/>
      <w:marLeft w:val="0"/>
      <w:marRight w:val="0"/>
      <w:marTop w:val="0"/>
      <w:marBottom w:val="0"/>
      <w:divBdr>
        <w:top w:val="none" w:sz="0" w:space="0" w:color="auto"/>
        <w:left w:val="none" w:sz="0" w:space="0" w:color="auto"/>
        <w:bottom w:val="none" w:sz="0" w:space="0" w:color="auto"/>
        <w:right w:val="none" w:sz="0" w:space="0" w:color="auto"/>
      </w:divBdr>
    </w:div>
    <w:div w:id="831916663">
      <w:bodyDiv w:val="1"/>
      <w:marLeft w:val="0"/>
      <w:marRight w:val="0"/>
      <w:marTop w:val="0"/>
      <w:marBottom w:val="0"/>
      <w:divBdr>
        <w:top w:val="none" w:sz="0" w:space="0" w:color="auto"/>
        <w:left w:val="none" w:sz="0" w:space="0" w:color="auto"/>
        <w:bottom w:val="none" w:sz="0" w:space="0" w:color="auto"/>
        <w:right w:val="none" w:sz="0" w:space="0" w:color="auto"/>
      </w:divBdr>
    </w:div>
    <w:div w:id="901599058">
      <w:bodyDiv w:val="1"/>
      <w:marLeft w:val="0"/>
      <w:marRight w:val="0"/>
      <w:marTop w:val="0"/>
      <w:marBottom w:val="0"/>
      <w:divBdr>
        <w:top w:val="none" w:sz="0" w:space="0" w:color="auto"/>
        <w:left w:val="none" w:sz="0" w:space="0" w:color="auto"/>
        <w:bottom w:val="none" w:sz="0" w:space="0" w:color="auto"/>
        <w:right w:val="none" w:sz="0" w:space="0" w:color="auto"/>
      </w:divBdr>
    </w:div>
    <w:div w:id="1064140707">
      <w:bodyDiv w:val="1"/>
      <w:marLeft w:val="0"/>
      <w:marRight w:val="0"/>
      <w:marTop w:val="0"/>
      <w:marBottom w:val="0"/>
      <w:divBdr>
        <w:top w:val="none" w:sz="0" w:space="0" w:color="auto"/>
        <w:left w:val="none" w:sz="0" w:space="0" w:color="auto"/>
        <w:bottom w:val="none" w:sz="0" w:space="0" w:color="auto"/>
        <w:right w:val="none" w:sz="0" w:space="0" w:color="auto"/>
      </w:divBdr>
    </w:div>
    <w:div w:id="1189682127">
      <w:bodyDiv w:val="1"/>
      <w:marLeft w:val="0"/>
      <w:marRight w:val="0"/>
      <w:marTop w:val="0"/>
      <w:marBottom w:val="0"/>
      <w:divBdr>
        <w:top w:val="none" w:sz="0" w:space="0" w:color="auto"/>
        <w:left w:val="none" w:sz="0" w:space="0" w:color="auto"/>
        <w:bottom w:val="none" w:sz="0" w:space="0" w:color="auto"/>
        <w:right w:val="none" w:sz="0" w:space="0" w:color="auto"/>
      </w:divBdr>
    </w:div>
    <w:div w:id="1297225379">
      <w:bodyDiv w:val="1"/>
      <w:marLeft w:val="0"/>
      <w:marRight w:val="0"/>
      <w:marTop w:val="0"/>
      <w:marBottom w:val="0"/>
      <w:divBdr>
        <w:top w:val="none" w:sz="0" w:space="0" w:color="auto"/>
        <w:left w:val="none" w:sz="0" w:space="0" w:color="auto"/>
        <w:bottom w:val="none" w:sz="0" w:space="0" w:color="auto"/>
        <w:right w:val="none" w:sz="0" w:space="0" w:color="auto"/>
      </w:divBdr>
    </w:div>
    <w:div w:id="1386876584">
      <w:bodyDiv w:val="1"/>
      <w:marLeft w:val="0"/>
      <w:marRight w:val="0"/>
      <w:marTop w:val="0"/>
      <w:marBottom w:val="0"/>
      <w:divBdr>
        <w:top w:val="none" w:sz="0" w:space="0" w:color="auto"/>
        <w:left w:val="none" w:sz="0" w:space="0" w:color="auto"/>
        <w:bottom w:val="none" w:sz="0" w:space="0" w:color="auto"/>
        <w:right w:val="none" w:sz="0" w:space="0" w:color="auto"/>
      </w:divBdr>
    </w:div>
    <w:div w:id="1465461026">
      <w:bodyDiv w:val="1"/>
      <w:marLeft w:val="0"/>
      <w:marRight w:val="0"/>
      <w:marTop w:val="0"/>
      <w:marBottom w:val="0"/>
      <w:divBdr>
        <w:top w:val="none" w:sz="0" w:space="0" w:color="auto"/>
        <w:left w:val="none" w:sz="0" w:space="0" w:color="auto"/>
        <w:bottom w:val="none" w:sz="0" w:space="0" w:color="auto"/>
        <w:right w:val="none" w:sz="0" w:space="0" w:color="auto"/>
      </w:divBdr>
    </w:div>
    <w:div w:id="1627540532">
      <w:bodyDiv w:val="1"/>
      <w:marLeft w:val="0"/>
      <w:marRight w:val="0"/>
      <w:marTop w:val="0"/>
      <w:marBottom w:val="0"/>
      <w:divBdr>
        <w:top w:val="none" w:sz="0" w:space="0" w:color="auto"/>
        <w:left w:val="none" w:sz="0" w:space="0" w:color="auto"/>
        <w:bottom w:val="none" w:sz="0" w:space="0" w:color="auto"/>
        <w:right w:val="none" w:sz="0" w:space="0" w:color="auto"/>
      </w:divBdr>
    </w:div>
    <w:div w:id="1657759284">
      <w:bodyDiv w:val="1"/>
      <w:marLeft w:val="0"/>
      <w:marRight w:val="0"/>
      <w:marTop w:val="0"/>
      <w:marBottom w:val="0"/>
      <w:divBdr>
        <w:top w:val="none" w:sz="0" w:space="0" w:color="auto"/>
        <w:left w:val="none" w:sz="0" w:space="0" w:color="auto"/>
        <w:bottom w:val="none" w:sz="0" w:space="0" w:color="auto"/>
        <w:right w:val="none" w:sz="0" w:space="0" w:color="auto"/>
      </w:divBdr>
    </w:div>
    <w:div w:id="1729769357">
      <w:bodyDiv w:val="1"/>
      <w:marLeft w:val="0"/>
      <w:marRight w:val="0"/>
      <w:marTop w:val="0"/>
      <w:marBottom w:val="0"/>
      <w:divBdr>
        <w:top w:val="none" w:sz="0" w:space="0" w:color="auto"/>
        <w:left w:val="none" w:sz="0" w:space="0" w:color="auto"/>
        <w:bottom w:val="none" w:sz="0" w:space="0" w:color="auto"/>
        <w:right w:val="none" w:sz="0" w:space="0" w:color="auto"/>
      </w:divBdr>
    </w:div>
    <w:div w:id="1847596744">
      <w:bodyDiv w:val="1"/>
      <w:marLeft w:val="0"/>
      <w:marRight w:val="0"/>
      <w:marTop w:val="0"/>
      <w:marBottom w:val="0"/>
      <w:divBdr>
        <w:top w:val="none" w:sz="0" w:space="0" w:color="auto"/>
        <w:left w:val="none" w:sz="0" w:space="0" w:color="auto"/>
        <w:bottom w:val="none" w:sz="0" w:space="0" w:color="auto"/>
        <w:right w:val="none" w:sz="0" w:space="0" w:color="auto"/>
      </w:divBdr>
    </w:div>
    <w:div w:id="1906837324">
      <w:bodyDiv w:val="1"/>
      <w:marLeft w:val="0"/>
      <w:marRight w:val="0"/>
      <w:marTop w:val="0"/>
      <w:marBottom w:val="0"/>
      <w:divBdr>
        <w:top w:val="none" w:sz="0" w:space="0" w:color="auto"/>
        <w:left w:val="none" w:sz="0" w:space="0" w:color="auto"/>
        <w:bottom w:val="none" w:sz="0" w:space="0" w:color="auto"/>
        <w:right w:val="none" w:sz="0" w:space="0" w:color="auto"/>
      </w:divBdr>
    </w:div>
    <w:div w:id="1914126228">
      <w:bodyDiv w:val="1"/>
      <w:marLeft w:val="0"/>
      <w:marRight w:val="0"/>
      <w:marTop w:val="0"/>
      <w:marBottom w:val="0"/>
      <w:divBdr>
        <w:top w:val="none" w:sz="0" w:space="0" w:color="auto"/>
        <w:left w:val="none" w:sz="0" w:space="0" w:color="auto"/>
        <w:bottom w:val="none" w:sz="0" w:space="0" w:color="auto"/>
        <w:right w:val="none" w:sz="0" w:space="0" w:color="auto"/>
      </w:divBdr>
    </w:div>
    <w:div w:id="1932885744">
      <w:bodyDiv w:val="1"/>
      <w:marLeft w:val="0"/>
      <w:marRight w:val="0"/>
      <w:marTop w:val="0"/>
      <w:marBottom w:val="0"/>
      <w:divBdr>
        <w:top w:val="none" w:sz="0" w:space="0" w:color="auto"/>
        <w:left w:val="none" w:sz="0" w:space="0" w:color="auto"/>
        <w:bottom w:val="none" w:sz="0" w:space="0" w:color="auto"/>
        <w:right w:val="none" w:sz="0" w:space="0" w:color="auto"/>
      </w:divBdr>
    </w:div>
    <w:div w:id="20497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6507</Words>
  <Characters>37093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Lopez</dc:creator>
  <cp:keywords/>
  <dc:description/>
  <cp:lastModifiedBy>Piyano Rema</cp:lastModifiedBy>
  <cp:revision>3</cp:revision>
  <cp:lastPrinted>2023-02-03T21:43:00Z</cp:lastPrinted>
  <dcterms:created xsi:type="dcterms:W3CDTF">2023-03-10T21:17:00Z</dcterms:created>
  <dcterms:modified xsi:type="dcterms:W3CDTF">2023-03-14T16:04:00Z</dcterms:modified>
</cp:coreProperties>
</file>