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16B76" w14:textId="77777777" w:rsidR="00E0178D" w:rsidRPr="00E0178D" w:rsidRDefault="00E0178D" w:rsidP="00E0178D">
      <w:pPr>
        <w:spacing w:line="240" w:lineRule="auto"/>
        <w:ind w:left="810" w:hanging="360"/>
        <w:jc w:val="center"/>
        <w:rPr>
          <w:b/>
          <w:bCs/>
          <w:i w:val="0"/>
          <w:iCs/>
        </w:rPr>
      </w:pPr>
      <w:r w:rsidRPr="00E0178D">
        <w:rPr>
          <w:b/>
          <w:bCs/>
          <w:i w:val="0"/>
          <w:iCs/>
        </w:rPr>
        <w:t>Systematic Literature Search Methodology</w:t>
      </w:r>
    </w:p>
    <w:p w14:paraId="10378960" w14:textId="77777777" w:rsidR="00E0178D" w:rsidRPr="00E0178D" w:rsidRDefault="00E0178D" w:rsidP="00E0178D">
      <w:pPr>
        <w:spacing w:line="240" w:lineRule="auto"/>
        <w:ind w:left="810" w:hanging="360"/>
        <w:jc w:val="center"/>
        <w:rPr>
          <w:i w:val="0"/>
          <w:iCs/>
        </w:rPr>
      </w:pPr>
    </w:p>
    <w:p w14:paraId="1AA4AF72" w14:textId="77777777" w:rsidR="00E0178D" w:rsidRPr="007C3B47" w:rsidRDefault="00E0178D" w:rsidP="00E0178D">
      <w:pPr>
        <w:pStyle w:val="ListParagraph"/>
        <w:numPr>
          <w:ilvl w:val="0"/>
          <w:numId w:val="1"/>
        </w:numPr>
        <w:spacing w:line="240" w:lineRule="auto"/>
        <w:jc w:val="both"/>
        <w:rPr>
          <w:rFonts w:asciiTheme="majorBidi" w:eastAsia="Times New Roman" w:hAnsiTheme="majorBidi" w:cstheme="majorBidi"/>
          <w:b/>
          <w:bCs/>
          <w:i w:val="0"/>
          <w:iCs/>
          <w:kern w:val="0"/>
          <w:sz w:val="28"/>
          <w:szCs w:val="28"/>
          <w14:ligatures w14:val="none"/>
        </w:rPr>
      </w:pPr>
      <w:r w:rsidRPr="007C3B47">
        <w:rPr>
          <w:rFonts w:asciiTheme="majorBidi" w:eastAsia="Times New Roman" w:hAnsiTheme="majorBidi" w:cstheme="majorBidi"/>
          <w:b/>
          <w:bCs/>
          <w:i w:val="0"/>
          <w:iCs/>
          <w:kern w:val="0"/>
          <w:sz w:val="28"/>
          <w:szCs w:val="28"/>
          <w14:ligatures w14:val="none"/>
        </w:rPr>
        <w:t>Methodology</w:t>
      </w:r>
    </w:p>
    <w:p w14:paraId="3AEB6A34" w14:textId="77777777" w:rsidR="00E0178D" w:rsidRPr="00DD2151" w:rsidRDefault="00E0178D" w:rsidP="00E0178D">
      <w:pPr>
        <w:pStyle w:val="ListParagraph"/>
        <w:spacing w:line="240" w:lineRule="auto"/>
        <w:ind w:left="0"/>
        <w:jc w:val="both"/>
        <w:rPr>
          <w:rFonts w:asciiTheme="majorBidi" w:hAnsiTheme="majorBidi" w:cstheme="majorBidi"/>
          <w:i w:val="0"/>
          <w:iCs/>
        </w:rPr>
      </w:pPr>
      <w:r w:rsidRPr="00DD2151">
        <w:rPr>
          <w:rFonts w:asciiTheme="majorBidi" w:hAnsiTheme="majorBidi" w:cstheme="majorBidi"/>
          <w:i w:val="0"/>
          <w:iCs/>
        </w:rPr>
        <w:t>A systematic literature search methodology was employed for this review to ensure comprehensive coverage, analytical transparency, and reproducibility. The general principles of systematic scientific reviewing were adapted for the specific context of forensic and analytical toxicology research. The process involved four key stages: (1) literature search and identification, (2) screening and selection based on inclusion/exclusion criteria, (3) data extraction and synthesis, and (4) quality assessment.</w:t>
      </w:r>
    </w:p>
    <w:p w14:paraId="745612CC" w14:textId="77777777" w:rsidR="00E0178D" w:rsidRPr="00DD2151" w:rsidRDefault="00E0178D" w:rsidP="00E0178D">
      <w:pPr>
        <w:pStyle w:val="ListParagraph"/>
        <w:spacing w:line="240" w:lineRule="auto"/>
        <w:ind w:left="810"/>
        <w:rPr>
          <w:rFonts w:asciiTheme="majorBidi" w:hAnsiTheme="majorBidi" w:cstheme="majorBidi"/>
          <w:i w:val="0"/>
          <w:iCs/>
        </w:rPr>
      </w:pPr>
    </w:p>
    <w:p w14:paraId="251C0802" w14:textId="0326F604" w:rsidR="00E0178D" w:rsidRPr="009747B2" w:rsidRDefault="00E0178D" w:rsidP="00E0178D">
      <w:pPr>
        <w:pStyle w:val="ListParagraph"/>
        <w:spacing w:line="240" w:lineRule="auto"/>
        <w:ind w:left="360" w:firstLine="90"/>
        <w:rPr>
          <w:rFonts w:asciiTheme="majorBidi" w:hAnsiTheme="majorBidi" w:cstheme="majorBidi"/>
          <w:b/>
          <w:bCs/>
          <w:i w:val="0"/>
          <w:iCs/>
        </w:rPr>
      </w:pPr>
      <w:r>
        <w:rPr>
          <w:rFonts w:asciiTheme="majorBidi" w:hAnsiTheme="majorBidi" w:cstheme="majorBidi"/>
          <w:b/>
          <w:bCs/>
          <w:i w:val="0"/>
          <w:iCs/>
        </w:rPr>
        <w:t>1</w:t>
      </w:r>
      <w:r w:rsidRPr="009747B2">
        <w:rPr>
          <w:rFonts w:asciiTheme="majorBidi" w:hAnsiTheme="majorBidi" w:cstheme="majorBidi"/>
          <w:b/>
          <w:bCs/>
          <w:i w:val="0"/>
          <w:iCs/>
        </w:rPr>
        <w:t>.1. Literature Search Strategy</w:t>
      </w:r>
    </w:p>
    <w:p w14:paraId="3F6BFDC8" w14:textId="77777777" w:rsidR="00E0178D" w:rsidRPr="00DD2151" w:rsidRDefault="00E0178D" w:rsidP="00E0178D">
      <w:pPr>
        <w:pStyle w:val="ListParagraph"/>
        <w:spacing w:line="240" w:lineRule="auto"/>
        <w:ind w:left="810"/>
        <w:rPr>
          <w:rFonts w:asciiTheme="majorBidi" w:hAnsiTheme="majorBidi" w:cstheme="majorBidi"/>
          <w:i w:val="0"/>
          <w:iCs/>
        </w:rPr>
      </w:pPr>
    </w:p>
    <w:p w14:paraId="2CF3BF51" w14:textId="77777777" w:rsidR="00E0178D" w:rsidRPr="009747B2" w:rsidRDefault="00E0178D" w:rsidP="00E0178D">
      <w:pPr>
        <w:pStyle w:val="ListParagraph"/>
        <w:spacing w:line="240" w:lineRule="auto"/>
        <w:ind w:left="0"/>
        <w:jc w:val="both"/>
        <w:rPr>
          <w:rFonts w:asciiTheme="majorBidi" w:hAnsiTheme="majorBidi" w:cstheme="majorBidi"/>
          <w:i w:val="0"/>
          <w:iCs/>
        </w:rPr>
      </w:pPr>
      <w:r w:rsidRPr="00DD2151">
        <w:rPr>
          <w:rFonts w:asciiTheme="majorBidi" w:hAnsiTheme="majorBidi" w:cstheme="majorBidi"/>
          <w:i w:val="0"/>
          <w:iCs/>
        </w:rPr>
        <w:t xml:space="preserve">A systematic search of the scientific literature was conducted to identify relevant peer-reviewed articles published between </w:t>
      </w:r>
      <w:r>
        <w:rPr>
          <w:rFonts w:asciiTheme="majorBidi" w:hAnsiTheme="majorBidi" w:cstheme="majorBidi"/>
          <w:i w:val="0"/>
          <w:iCs/>
        </w:rPr>
        <w:t>2011</w:t>
      </w:r>
      <w:r w:rsidRPr="00DD2151">
        <w:rPr>
          <w:rFonts w:asciiTheme="majorBidi" w:hAnsiTheme="majorBidi" w:cstheme="majorBidi"/>
          <w:i w:val="0"/>
          <w:iCs/>
        </w:rPr>
        <w:t xml:space="preserve"> and</w:t>
      </w:r>
      <w:r>
        <w:rPr>
          <w:rFonts w:asciiTheme="majorBidi" w:hAnsiTheme="majorBidi" w:cstheme="majorBidi"/>
          <w:i w:val="0"/>
          <w:iCs/>
        </w:rPr>
        <w:t xml:space="preserve"> 2025</w:t>
      </w:r>
      <w:r w:rsidRPr="00DD2151">
        <w:rPr>
          <w:rFonts w:asciiTheme="majorBidi" w:hAnsiTheme="majorBidi" w:cstheme="majorBidi"/>
          <w:i w:val="0"/>
          <w:iCs/>
        </w:rPr>
        <w:t xml:space="preserve"> This timeframe was selected to capture the most recent advancements in analytical toxicology, particularly the rise of new psychoactive substances (NPS). The primary electronic databases utilized were PubMed, Scopus, Web of Science, and Google Scholar. The search strategy combined keywords and Boolean operators (AND, OR) to target the core themes of the review. Sample search strings included:</w:t>
      </w:r>
    </w:p>
    <w:p w14:paraId="1DFF6237" w14:textId="77777777" w:rsidR="00E0178D" w:rsidRPr="009747B2" w:rsidRDefault="00E0178D" w:rsidP="00E0178D">
      <w:pPr>
        <w:pStyle w:val="ListParagraph"/>
        <w:numPr>
          <w:ilvl w:val="1"/>
          <w:numId w:val="2"/>
        </w:numPr>
        <w:spacing w:line="240" w:lineRule="auto"/>
        <w:ind w:left="1080"/>
        <w:jc w:val="both"/>
        <w:rPr>
          <w:rFonts w:asciiTheme="majorBidi" w:hAnsiTheme="majorBidi" w:cstheme="majorBidi"/>
          <w:i w:val="0"/>
          <w:iCs/>
        </w:rPr>
      </w:pPr>
      <w:r w:rsidRPr="00DD2151">
        <w:rPr>
          <w:rFonts w:asciiTheme="majorBidi" w:hAnsiTheme="majorBidi" w:cstheme="majorBidi"/>
          <w:i w:val="0"/>
          <w:iCs/>
        </w:rPr>
        <w:t>("LSD" OR "lysergic acid diethylamide") AND ("detection" OR "analysis" OR "LC-MS" OR "GC-MS" OR "electrochemical sensor")</w:t>
      </w:r>
    </w:p>
    <w:p w14:paraId="69679F03" w14:textId="77777777" w:rsidR="00E0178D" w:rsidRPr="009747B2" w:rsidRDefault="00E0178D" w:rsidP="00E0178D">
      <w:pPr>
        <w:pStyle w:val="ListParagraph"/>
        <w:numPr>
          <w:ilvl w:val="1"/>
          <w:numId w:val="2"/>
        </w:numPr>
        <w:spacing w:line="240" w:lineRule="auto"/>
        <w:ind w:left="1080"/>
        <w:jc w:val="both"/>
        <w:rPr>
          <w:rFonts w:asciiTheme="majorBidi" w:hAnsiTheme="majorBidi" w:cstheme="majorBidi"/>
          <w:i w:val="0"/>
          <w:iCs/>
        </w:rPr>
      </w:pPr>
      <w:r w:rsidRPr="00DD2151">
        <w:rPr>
          <w:rFonts w:asciiTheme="majorBidi" w:hAnsiTheme="majorBidi" w:cstheme="majorBidi"/>
          <w:i w:val="0"/>
          <w:iCs/>
        </w:rPr>
        <w:t xml:space="preserve">("synthetic cathinones" OR "bath salts" OR "cathinone derivatives") </w:t>
      </w:r>
      <w:r>
        <w:rPr>
          <w:rFonts w:asciiTheme="majorBidi" w:hAnsiTheme="majorBidi" w:cstheme="majorBidi"/>
          <w:i w:val="0"/>
          <w:iCs/>
        </w:rPr>
        <w:t>and</w:t>
      </w:r>
      <w:r w:rsidRPr="00DD2151">
        <w:rPr>
          <w:rFonts w:asciiTheme="majorBidi" w:hAnsiTheme="majorBidi" w:cstheme="majorBidi"/>
          <w:i w:val="0"/>
          <w:iCs/>
        </w:rPr>
        <w:t xml:space="preserve"> ("forensic toxicology" OR "mass spectrometry" OR "biosensor")</w:t>
      </w:r>
    </w:p>
    <w:p w14:paraId="474C176C" w14:textId="77777777" w:rsidR="00E0178D" w:rsidRPr="009747B2" w:rsidRDefault="00E0178D" w:rsidP="00E0178D">
      <w:pPr>
        <w:pStyle w:val="ListParagraph"/>
        <w:numPr>
          <w:ilvl w:val="1"/>
          <w:numId w:val="2"/>
        </w:numPr>
        <w:spacing w:line="240" w:lineRule="auto"/>
        <w:ind w:left="1080"/>
        <w:jc w:val="both"/>
        <w:rPr>
          <w:rFonts w:asciiTheme="majorBidi" w:hAnsiTheme="majorBidi" w:cstheme="majorBidi"/>
          <w:i w:val="0"/>
          <w:iCs/>
        </w:rPr>
      </w:pPr>
      <w:r w:rsidRPr="00DD2151">
        <w:rPr>
          <w:rFonts w:asciiTheme="majorBidi" w:hAnsiTheme="majorBidi" w:cstheme="majorBidi"/>
          <w:i w:val="0"/>
          <w:iCs/>
        </w:rPr>
        <w:t>("synthetic cannabinoids" OR "Spice" OR "K2") AND ("urine analysis" OR "hair analysis" OR "immunoassay" OR "colorimetric")</w:t>
      </w:r>
    </w:p>
    <w:p w14:paraId="4D2B6233" w14:textId="77777777" w:rsidR="00E0178D" w:rsidRDefault="00E0178D" w:rsidP="00E0178D">
      <w:pPr>
        <w:pStyle w:val="ListParagraph"/>
        <w:numPr>
          <w:ilvl w:val="1"/>
          <w:numId w:val="2"/>
        </w:numPr>
        <w:spacing w:line="240" w:lineRule="auto"/>
        <w:ind w:left="1080"/>
        <w:jc w:val="both"/>
        <w:rPr>
          <w:rFonts w:asciiTheme="majorBidi" w:hAnsiTheme="majorBidi" w:cstheme="majorBidi"/>
          <w:i w:val="0"/>
          <w:iCs/>
        </w:rPr>
      </w:pPr>
      <w:r w:rsidRPr="00DD2151">
        <w:rPr>
          <w:rFonts w:asciiTheme="majorBidi" w:hAnsiTheme="majorBidi" w:cstheme="majorBidi"/>
          <w:i w:val="0"/>
          <w:iCs/>
        </w:rPr>
        <w:t>("psilocybin" OR "psilocin" OR "magic mushrooms") AND ("quantification" OR "HPLC" OR "forensic evidence")</w:t>
      </w:r>
    </w:p>
    <w:p w14:paraId="146321CF" w14:textId="77777777" w:rsidR="00E0178D" w:rsidRDefault="00E0178D" w:rsidP="00E0178D">
      <w:pPr>
        <w:pStyle w:val="ListParagraph"/>
        <w:numPr>
          <w:ilvl w:val="1"/>
          <w:numId w:val="2"/>
        </w:numPr>
        <w:spacing w:line="240" w:lineRule="auto"/>
        <w:ind w:left="1080"/>
        <w:jc w:val="both"/>
        <w:rPr>
          <w:rFonts w:asciiTheme="majorBidi" w:hAnsiTheme="majorBidi" w:cstheme="majorBidi"/>
          <w:i w:val="0"/>
          <w:iCs/>
        </w:rPr>
      </w:pPr>
      <w:r w:rsidRPr="009747B2">
        <w:rPr>
          <w:rFonts w:asciiTheme="majorBidi" w:hAnsiTheme="majorBidi" w:cstheme="majorBidi"/>
          <w:i w:val="0"/>
          <w:iCs/>
        </w:rPr>
        <w:t xml:space="preserve">("MDMA" OR "ecstasy" OR "3,4-methylenedioxymethamphetamine") </w:t>
      </w:r>
      <w:r>
        <w:rPr>
          <w:rFonts w:asciiTheme="majorBidi" w:hAnsiTheme="majorBidi" w:cstheme="majorBidi"/>
          <w:i w:val="0"/>
          <w:iCs/>
        </w:rPr>
        <w:t xml:space="preserve">and </w:t>
      </w:r>
      <w:r w:rsidRPr="009747B2">
        <w:rPr>
          <w:rFonts w:asciiTheme="majorBidi" w:hAnsiTheme="majorBidi" w:cstheme="majorBidi"/>
          <w:i w:val="0"/>
          <w:iCs/>
        </w:rPr>
        <w:t>("seized materials" OR "oral fluid" OR "portable device")</w:t>
      </w:r>
    </w:p>
    <w:p w14:paraId="3A14CF87" w14:textId="77777777" w:rsidR="00E0178D" w:rsidRPr="00DD4A97" w:rsidRDefault="00E0178D" w:rsidP="00E0178D">
      <w:pPr>
        <w:pStyle w:val="ListParagraph"/>
        <w:numPr>
          <w:ilvl w:val="1"/>
          <w:numId w:val="2"/>
        </w:numPr>
        <w:spacing w:line="240" w:lineRule="auto"/>
        <w:ind w:left="1080"/>
        <w:jc w:val="both"/>
        <w:rPr>
          <w:rFonts w:asciiTheme="majorBidi" w:hAnsiTheme="majorBidi" w:cstheme="majorBidi"/>
          <w:i w:val="0"/>
          <w:iCs/>
        </w:rPr>
      </w:pPr>
      <w:r w:rsidRPr="00DD4A97">
        <w:rPr>
          <w:rFonts w:asciiTheme="majorBidi" w:hAnsiTheme="majorBidi" w:cstheme="majorBidi"/>
          <w:i w:val="0"/>
          <w:iCs/>
        </w:rPr>
        <w:t>("methamphetamine" OR "crystal meth") AND ("on-site testing" OR "surface-enhanced Raman spectroscopy" OR "SERS")</w:t>
      </w:r>
    </w:p>
    <w:p w14:paraId="4B6A32E7" w14:textId="77777777" w:rsidR="00E0178D" w:rsidRPr="00DD2151" w:rsidRDefault="00E0178D" w:rsidP="00E0178D">
      <w:pPr>
        <w:pStyle w:val="ListParagraph"/>
        <w:spacing w:line="240" w:lineRule="auto"/>
        <w:ind w:left="810"/>
        <w:jc w:val="both"/>
        <w:rPr>
          <w:rFonts w:asciiTheme="majorBidi" w:hAnsiTheme="majorBidi" w:cstheme="majorBidi"/>
          <w:i w:val="0"/>
          <w:iCs/>
        </w:rPr>
      </w:pPr>
    </w:p>
    <w:p w14:paraId="442F9EFC" w14:textId="172E6625" w:rsidR="00E0178D" w:rsidRPr="00140CB7" w:rsidRDefault="00E0178D" w:rsidP="00926F96">
      <w:pPr>
        <w:pStyle w:val="ListParagraph"/>
        <w:spacing w:line="240" w:lineRule="auto"/>
        <w:ind w:left="360"/>
        <w:jc w:val="both"/>
        <w:rPr>
          <w:rFonts w:asciiTheme="majorBidi" w:hAnsiTheme="majorBidi" w:cstheme="majorBidi"/>
          <w:i w:val="0"/>
        </w:rPr>
      </w:pPr>
      <w:r w:rsidRPr="00DD2151">
        <w:rPr>
          <w:rFonts w:asciiTheme="majorBidi" w:hAnsiTheme="majorBidi" w:cstheme="majorBidi"/>
          <w:i w:val="0"/>
          <w:iCs/>
        </w:rPr>
        <w:t>The reference lists of key review articles and eligible primary studies were also manually screened to identify additional relevant publications that may have been missed in the database searches.</w:t>
      </w:r>
      <w:r w:rsidR="00926F96">
        <w:rPr>
          <w:rFonts w:asciiTheme="majorBidi" w:hAnsiTheme="majorBidi" w:cstheme="majorBidi"/>
          <w:i w:val="0"/>
          <w:iCs/>
        </w:rPr>
        <w:t xml:space="preserve"> </w:t>
      </w:r>
      <w:r w:rsidR="00926F96" w:rsidRPr="00140CB7">
        <w:rPr>
          <w:rFonts w:asciiTheme="majorBidi" w:hAnsiTheme="majorBidi" w:cstheme="majorBidi"/>
          <w:i w:val="0"/>
        </w:rPr>
        <w:t xml:space="preserve">The substances discussed were selected based on their high prevalence in forensic casework and the specific analytical challenges they present. While a significant emphasis is placed on New Psychoactive Substances (NPS), such as synthetic cannabinoids and cathinones, the review also encompasses widely used synthetic and semi-synthetic controlled substances, including LSD, MDMA, and methamphetamine. These "classic" synthetics were included because they remain primary targets for innovation in portable sensing and high-resolution mass spectrometry. Natural products like marijuana and cocaine were excluded to maintain a focused discussion on the evolving chemical profiles of synthetic and semi-synthetic drug classes. The selection of specific biological matrices, including blood, urine, hair, and oral fluid was determined by the pharmacokinetic properties and detection windows of the analytes. For example, hair analysis is prioritized for chronic exposure and retrospective monitoring of substances like MDMA, whereas oral fluid is highlighted for its utility in </w:t>
      </w:r>
      <w:r w:rsidR="00926F96" w:rsidRPr="00140CB7">
        <w:rPr>
          <w:rFonts w:asciiTheme="majorBidi" w:hAnsiTheme="majorBidi" w:cstheme="majorBidi"/>
          <w:i w:val="0"/>
        </w:rPr>
        <w:lastRenderedPageBreak/>
        <w:t>detecting recent impairment and its suitability for on-site electrochemical screening. Furthermore, the search strategy was designed to bridge the gap between clinical toxicology and forensic chemistry by including studies on both biological specimens and non-biological matrices. Consequently, this review provides a comprehensive overview of the analytical pipeline, detailing the detection of drugs in human fluids as well as in seized materials such as powders, tablets, herbal blends, and blotter papers.</w:t>
      </w:r>
    </w:p>
    <w:p w14:paraId="71F305EE" w14:textId="77777777" w:rsidR="00E0178D" w:rsidRPr="00DD2151" w:rsidRDefault="00E0178D" w:rsidP="00E0178D">
      <w:pPr>
        <w:pStyle w:val="ListParagraph"/>
        <w:spacing w:line="240" w:lineRule="auto"/>
        <w:ind w:left="810"/>
        <w:jc w:val="both"/>
        <w:rPr>
          <w:rFonts w:asciiTheme="majorBidi" w:hAnsiTheme="majorBidi" w:cstheme="majorBidi"/>
          <w:i w:val="0"/>
          <w:iCs/>
        </w:rPr>
      </w:pPr>
    </w:p>
    <w:p w14:paraId="13377A3E" w14:textId="2E574B96" w:rsidR="00E0178D" w:rsidRPr="00DD4A97" w:rsidRDefault="00E0178D" w:rsidP="00E0178D">
      <w:pPr>
        <w:pStyle w:val="ListParagraph"/>
        <w:spacing w:line="240" w:lineRule="auto"/>
        <w:ind w:left="810"/>
        <w:jc w:val="both"/>
        <w:rPr>
          <w:rFonts w:asciiTheme="majorBidi" w:hAnsiTheme="majorBidi" w:cstheme="majorBidi"/>
          <w:b/>
          <w:bCs/>
          <w:i w:val="0"/>
          <w:iCs/>
        </w:rPr>
      </w:pPr>
      <w:r>
        <w:rPr>
          <w:rFonts w:asciiTheme="majorBidi" w:hAnsiTheme="majorBidi" w:cstheme="majorBidi"/>
          <w:b/>
          <w:bCs/>
          <w:i w:val="0"/>
          <w:iCs/>
        </w:rPr>
        <w:t>1</w:t>
      </w:r>
      <w:r w:rsidRPr="00DD4A97">
        <w:rPr>
          <w:rFonts w:asciiTheme="majorBidi" w:hAnsiTheme="majorBidi" w:cstheme="majorBidi"/>
          <w:b/>
          <w:bCs/>
          <w:i w:val="0"/>
          <w:iCs/>
        </w:rPr>
        <w:t>.2. Inclusion and Exclusion Criteria</w:t>
      </w:r>
    </w:p>
    <w:p w14:paraId="52595CE3" w14:textId="77777777" w:rsidR="00E0178D" w:rsidRPr="00DD2151" w:rsidRDefault="00E0178D" w:rsidP="00E0178D">
      <w:pPr>
        <w:pStyle w:val="ListParagraph"/>
        <w:spacing w:line="240" w:lineRule="auto"/>
        <w:ind w:left="810"/>
        <w:jc w:val="both"/>
        <w:rPr>
          <w:rFonts w:asciiTheme="majorBidi" w:hAnsiTheme="majorBidi" w:cstheme="majorBidi"/>
          <w:i w:val="0"/>
          <w:iCs/>
        </w:rPr>
      </w:pPr>
    </w:p>
    <w:p w14:paraId="494D4B6D" w14:textId="77777777" w:rsidR="00E0178D" w:rsidRPr="00DD2151" w:rsidRDefault="00E0178D" w:rsidP="00E0178D">
      <w:pPr>
        <w:pStyle w:val="ListParagraph"/>
        <w:spacing w:line="240" w:lineRule="auto"/>
        <w:ind w:left="450"/>
        <w:jc w:val="both"/>
        <w:rPr>
          <w:rFonts w:asciiTheme="majorBidi" w:hAnsiTheme="majorBidi" w:cstheme="majorBidi"/>
          <w:i w:val="0"/>
          <w:iCs/>
        </w:rPr>
      </w:pPr>
      <w:r w:rsidRPr="00DD2151">
        <w:rPr>
          <w:rFonts w:asciiTheme="majorBidi" w:hAnsiTheme="majorBidi" w:cstheme="majorBidi"/>
          <w:i w:val="0"/>
          <w:iCs/>
        </w:rPr>
        <w:t>Studies were assessed for eligibility based on the following pre-defined criteria:</w:t>
      </w:r>
    </w:p>
    <w:p w14:paraId="35538212" w14:textId="77777777" w:rsidR="00E0178D" w:rsidRPr="00DD4A97" w:rsidRDefault="00E0178D" w:rsidP="00E0178D">
      <w:pPr>
        <w:pStyle w:val="ListParagraph"/>
        <w:spacing w:line="240" w:lineRule="auto"/>
        <w:ind w:left="450"/>
        <w:jc w:val="both"/>
        <w:rPr>
          <w:rFonts w:asciiTheme="majorBidi" w:hAnsiTheme="majorBidi" w:cstheme="majorBidi"/>
          <w:b/>
          <w:bCs/>
          <w:i w:val="0"/>
          <w:iCs/>
        </w:rPr>
      </w:pPr>
      <w:r w:rsidRPr="00DD4A97">
        <w:rPr>
          <w:rFonts w:asciiTheme="majorBidi" w:hAnsiTheme="majorBidi" w:cstheme="majorBidi"/>
          <w:b/>
          <w:bCs/>
          <w:i w:val="0"/>
          <w:iCs/>
        </w:rPr>
        <w:t>Inclusion Criteria:</w:t>
      </w:r>
    </w:p>
    <w:p w14:paraId="5FB1AE79" w14:textId="77777777" w:rsidR="00E0178D" w:rsidRDefault="00E0178D" w:rsidP="00E0178D">
      <w:pPr>
        <w:pStyle w:val="ListParagraph"/>
        <w:spacing w:line="240" w:lineRule="auto"/>
        <w:ind w:left="450"/>
        <w:jc w:val="both"/>
        <w:rPr>
          <w:rFonts w:asciiTheme="majorBidi" w:hAnsiTheme="majorBidi" w:cstheme="majorBidi"/>
          <w:i w:val="0"/>
          <w:iCs/>
        </w:rPr>
      </w:pPr>
      <w:r>
        <w:rPr>
          <w:rFonts w:asciiTheme="majorBidi" w:hAnsiTheme="majorBidi" w:cstheme="majorBidi"/>
          <w:i w:val="0"/>
          <w:iCs/>
        </w:rPr>
        <w:t xml:space="preserve">Studies were included if they: </w:t>
      </w:r>
    </w:p>
    <w:p w14:paraId="3E7F522A" w14:textId="77777777" w:rsidR="00E0178D" w:rsidRPr="00DD4A97" w:rsidRDefault="00E0178D" w:rsidP="00E0178D">
      <w:pPr>
        <w:pStyle w:val="ListParagraph"/>
        <w:numPr>
          <w:ilvl w:val="1"/>
          <w:numId w:val="2"/>
        </w:numPr>
        <w:spacing w:line="240" w:lineRule="auto"/>
        <w:ind w:left="1080"/>
        <w:jc w:val="both"/>
        <w:rPr>
          <w:rFonts w:asciiTheme="majorBidi" w:hAnsiTheme="majorBidi" w:cstheme="majorBidi"/>
          <w:i w:val="0"/>
          <w:iCs/>
        </w:rPr>
      </w:pPr>
      <w:r w:rsidRPr="00DD4A97">
        <w:rPr>
          <w:rFonts w:asciiTheme="majorBidi" w:hAnsiTheme="majorBidi" w:cstheme="majorBidi"/>
          <w:i w:val="0"/>
          <w:iCs/>
        </w:rPr>
        <w:t>Described the development, optimization, or validation of analytical techniques for identifying illicit drugs or their metabolites in biological (e.g., blood, urine, hair, oral fluid) or non-biological (e.g., seized materials, blotters) matrices.</w:t>
      </w:r>
    </w:p>
    <w:p w14:paraId="357FF8EA" w14:textId="77777777" w:rsidR="00E0178D" w:rsidRPr="00DD2151" w:rsidRDefault="00E0178D" w:rsidP="00E0178D">
      <w:pPr>
        <w:pStyle w:val="ListParagraph"/>
        <w:spacing w:line="240" w:lineRule="auto"/>
        <w:ind w:left="1080"/>
        <w:jc w:val="both"/>
        <w:rPr>
          <w:rFonts w:asciiTheme="majorBidi" w:hAnsiTheme="majorBidi" w:cstheme="majorBidi"/>
          <w:i w:val="0"/>
          <w:iCs/>
        </w:rPr>
      </w:pPr>
    </w:p>
    <w:p w14:paraId="097CF2D1" w14:textId="77777777" w:rsidR="00E0178D" w:rsidRPr="00DD2151" w:rsidRDefault="00E0178D" w:rsidP="00E0178D">
      <w:pPr>
        <w:pStyle w:val="ListParagraph"/>
        <w:numPr>
          <w:ilvl w:val="1"/>
          <w:numId w:val="2"/>
        </w:numPr>
        <w:spacing w:line="240" w:lineRule="auto"/>
        <w:ind w:left="1080"/>
        <w:jc w:val="both"/>
        <w:rPr>
          <w:rFonts w:asciiTheme="majorBidi" w:hAnsiTheme="majorBidi" w:cstheme="majorBidi"/>
          <w:i w:val="0"/>
          <w:iCs/>
        </w:rPr>
      </w:pPr>
      <w:r w:rsidRPr="00DD2151">
        <w:rPr>
          <w:rFonts w:asciiTheme="majorBidi" w:hAnsiTheme="majorBidi" w:cstheme="majorBidi"/>
          <w:i w:val="0"/>
          <w:iCs/>
        </w:rPr>
        <w:t>Provided quantitative performance metrics, including limits of detection (LOD), limits of quantification (LOQ), accuracy, precision, recovery, and selectivity/specificity.</w:t>
      </w:r>
    </w:p>
    <w:p w14:paraId="197BEC2F" w14:textId="77777777" w:rsidR="00E0178D" w:rsidRPr="00DD2151" w:rsidRDefault="00E0178D" w:rsidP="00E0178D">
      <w:pPr>
        <w:pStyle w:val="ListParagraph"/>
        <w:spacing w:line="240" w:lineRule="auto"/>
        <w:ind w:left="1080"/>
        <w:jc w:val="both"/>
        <w:rPr>
          <w:rFonts w:asciiTheme="majorBidi" w:hAnsiTheme="majorBidi" w:cstheme="majorBidi"/>
          <w:i w:val="0"/>
          <w:iCs/>
        </w:rPr>
      </w:pPr>
    </w:p>
    <w:p w14:paraId="422079A7" w14:textId="77777777" w:rsidR="00E0178D" w:rsidRPr="00DD2151" w:rsidRDefault="00E0178D" w:rsidP="00E0178D">
      <w:pPr>
        <w:pStyle w:val="ListParagraph"/>
        <w:numPr>
          <w:ilvl w:val="1"/>
          <w:numId w:val="2"/>
        </w:numPr>
        <w:spacing w:line="240" w:lineRule="auto"/>
        <w:ind w:left="1080"/>
        <w:jc w:val="both"/>
        <w:rPr>
          <w:rFonts w:asciiTheme="majorBidi" w:hAnsiTheme="majorBidi" w:cstheme="majorBidi"/>
          <w:i w:val="0"/>
          <w:iCs/>
        </w:rPr>
      </w:pPr>
      <w:r w:rsidRPr="00DD2151">
        <w:rPr>
          <w:rFonts w:asciiTheme="majorBidi" w:hAnsiTheme="majorBidi" w:cstheme="majorBidi"/>
          <w:i w:val="0"/>
          <w:iCs/>
        </w:rPr>
        <w:t>Were published in English-language, peer-reviewed scientific journals.</w:t>
      </w:r>
    </w:p>
    <w:p w14:paraId="72E7C672" w14:textId="77777777" w:rsidR="00E0178D" w:rsidRPr="00DD2151" w:rsidRDefault="00E0178D" w:rsidP="00E0178D">
      <w:pPr>
        <w:pStyle w:val="ListParagraph"/>
        <w:spacing w:line="240" w:lineRule="auto"/>
        <w:ind w:left="1080"/>
        <w:jc w:val="both"/>
        <w:rPr>
          <w:rFonts w:asciiTheme="majorBidi" w:hAnsiTheme="majorBidi" w:cstheme="majorBidi"/>
          <w:i w:val="0"/>
          <w:iCs/>
        </w:rPr>
      </w:pPr>
    </w:p>
    <w:p w14:paraId="40B4E7E5" w14:textId="77777777" w:rsidR="00E0178D" w:rsidRPr="00DD2151" w:rsidRDefault="00E0178D" w:rsidP="00E0178D">
      <w:pPr>
        <w:pStyle w:val="ListParagraph"/>
        <w:numPr>
          <w:ilvl w:val="1"/>
          <w:numId w:val="2"/>
        </w:numPr>
        <w:spacing w:line="240" w:lineRule="auto"/>
        <w:ind w:left="1080"/>
        <w:jc w:val="both"/>
        <w:rPr>
          <w:rFonts w:asciiTheme="majorBidi" w:hAnsiTheme="majorBidi" w:cstheme="majorBidi"/>
          <w:i w:val="0"/>
          <w:iCs/>
        </w:rPr>
      </w:pPr>
      <w:r w:rsidRPr="00DD2151">
        <w:rPr>
          <w:rFonts w:asciiTheme="majorBidi" w:hAnsiTheme="majorBidi" w:cstheme="majorBidi"/>
          <w:i w:val="0"/>
          <w:iCs/>
        </w:rPr>
        <w:t>Focused on techniques with clear applicability to forensic, clinical, or environmental toxicology.</w:t>
      </w:r>
    </w:p>
    <w:p w14:paraId="773105FE" w14:textId="77777777" w:rsidR="00E0178D" w:rsidRPr="00DD2151" w:rsidRDefault="00E0178D" w:rsidP="00E0178D">
      <w:pPr>
        <w:pStyle w:val="ListParagraph"/>
        <w:spacing w:line="240" w:lineRule="auto"/>
        <w:ind w:left="1080"/>
        <w:rPr>
          <w:rFonts w:asciiTheme="majorBidi" w:hAnsiTheme="majorBidi" w:cstheme="majorBidi"/>
          <w:i w:val="0"/>
          <w:iCs/>
        </w:rPr>
      </w:pPr>
    </w:p>
    <w:p w14:paraId="2EBFDE41" w14:textId="77777777" w:rsidR="00E0178D" w:rsidRPr="00DD4A97" w:rsidRDefault="00E0178D" w:rsidP="00E0178D">
      <w:pPr>
        <w:pStyle w:val="ListParagraph"/>
        <w:spacing w:line="240" w:lineRule="auto"/>
        <w:ind w:left="450"/>
        <w:rPr>
          <w:rFonts w:asciiTheme="majorBidi" w:hAnsiTheme="majorBidi" w:cstheme="majorBidi"/>
          <w:b/>
          <w:bCs/>
          <w:i w:val="0"/>
          <w:iCs/>
        </w:rPr>
      </w:pPr>
      <w:r w:rsidRPr="00DD4A97">
        <w:rPr>
          <w:rFonts w:asciiTheme="majorBidi" w:hAnsiTheme="majorBidi" w:cstheme="majorBidi"/>
          <w:b/>
          <w:bCs/>
          <w:i w:val="0"/>
          <w:iCs/>
        </w:rPr>
        <w:t>Exclusion Criteria:</w:t>
      </w:r>
    </w:p>
    <w:p w14:paraId="11BE3C8E" w14:textId="77777777" w:rsidR="00E0178D" w:rsidRPr="00DD2151" w:rsidRDefault="00E0178D" w:rsidP="00E0178D">
      <w:pPr>
        <w:pStyle w:val="ListParagraph"/>
        <w:spacing w:line="240" w:lineRule="auto"/>
        <w:ind w:left="450"/>
        <w:rPr>
          <w:rFonts w:asciiTheme="majorBidi" w:hAnsiTheme="majorBidi" w:cstheme="majorBidi"/>
          <w:i w:val="0"/>
          <w:iCs/>
        </w:rPr>
      </w:pPr>
      <w:r w:rsidRPr="00DD2151">
        <w:rPr>
          <w:rFonts w:asciiTheme="majorBidi" w:hAnsiTheme="majorBidi" w:cstheme="majorBidi"/>
          <w:i w:val="0"/>
          <w:iCs/>
        </w:rPr>
        <w:t>The following were excluded:</w:t>
      </w:r>
    </w:p>
    <w:p w14:paraId="4A25DE5D" w14:textId="77777777" w:rsidR="00E0178D" w:rsidRPr="00DD2151" w:rsidRDefault="00E0178D" w:rsidP="00E0178D">
      <w:pPr>
        <w:pStyle w:val="ListParagraph"/>
        <w:spacing w:line="240" w:lineRule="auto"/>
        <w:ind w:left="810"/>
        <w:rPr>
          <w:rFonts w:asciiTheme="majorBidi" w:hAnsiTheme="majorBidi" w:cstheme="majorBidi"/>
          <w:i w:val="0"/>
          <w:iCs/>
        </w:rPr>
      </w:pPr>
    </w:p>
    <w:p w14:paraId="29D07A44" w14:textId="77777777" w:rsidR="00E0178D" w:rsidRPr="00DD2151" w:rsidRDefault="00E0178D" w:rsidP="00E0178D">
      <w:pPr>
        <w:pStyle w:val="ListParagraph"/>
        <w:numPr>
          <w:ilvl w:val="1"/>
          <w:numId w:val="2"/>
        </w:numPr>
        <w:spacing w:line="240" w:lineRule="auto"/>
        <w:ind w:left="1170" w:hanging="450"/>
        <w:rPr>
          <w:rFonts w:asciiTheme="majorBidi" w:hAnsiTheme="majorBidi" w:cstheme="majorBidi"/>
          <w:i w:val="0"/>
          <w:iCs/>
        </w:rPr>
      </w:pPr>
      <w:r w:rsidRPr="00DD2151">
        <w:rPr>
          <w:rFonts w:asciiTheme="majorBidi" w:hAnsiTheme="majorBidi" w:cstheme="majorBidi"/>
          <w:i w:val="0"/>
          <w:iCs/>
        </w:rPr>
        <w:t>Articles with insufficient methodological detail or validation data.</w:t>
      </w:r>
    </w:p>
    <w:p w14:paraId="3DEF4C6F" w14:textId="77777777" w:rsidR="00E0178D" w:rsidRPr="00DD2151" w:rsidRDefault="00E0178D" w:rsidP="00E0178D">
      <w:pPr>
        <w:pStyle w:val="ListParagraph"/>
        <w:spacing w:line="240" w:lineRule="auto"/>
        <w:ind w:left="1170" w:hanging="450"/>
        <w:rPr>
          <w:rFonts w:asciiTheme="majorBidi" w:hAnsiTheme="majorBidi" w:cstheme="majorBidi"/>
          <w:i w:val="0"/>
          <w:iCs/>
        </w:rPr>
      </w:pPr>
    </w:p>
    <w:p w14:paraId="20540DFA" w14:textId="77777777" w:rsidR="00E0178D" w:rsidRPr="00DD2151" w:rsidRDefault="00E0178D" w:rsidP="00E0178D">
      <w:pPr>
        <w:pStyle w:val="ListParagraph"/>
        <w:numPr>
          <w:ilvl w:val="1"/>
          <w:numId w:val="2"/>
        </w:numPr>
        <w:spacing w:line="240" w:lineRule="auto"/>
        <w:ind w:left="1170" w:hanging="450"/>
        <w:rPr>
          <w:rFonts w:asciiTheme="majorBidi" w:hAnsiTheme="majorBidi" w:cstheme="majorBidi"/>
          <w:i w:val="0"/>
          <w:iCs/>
        </w:rPr>
      </w:pPr>
      <w:r w:rsidRPr="00DD2151">
        <w:rPr>
          <w:rFonts w:asciiTheme="majorBidi" w:hAnsiTheme="majorBidi" w:cstheme="majorBidi"/>
          <w:i w:val="0"/>
          <w:iCs/>
        </w:rPr>
        <w:t>Conference abstracts, editorials, non-peer-reviewed reports, and unpublished theses.</w:t>
      </w:r>
    </w:p>
    <w:p w14:paraId="53A8E684" w14:textId="77777777" w:rsidR="00E0178D" w:rsidRPr="00DD2151" w:rsidRDefault="00E0178D" w:rsidP="00E0178D">
      <w:pPr>
        <w:pStyle w:val="ListParagraph"/>
        <w:spacing w:line="240" w:lineRule="auto"/>
        <w:ind w:left="1170" w:hanging="450"/>
        <w:rPr>
          <w:rFonts w:asciiTheme="majorBidi" w:hAnsiTheme="majorBidi" w:cstheme="majorBidi"/>
          <w:i w:val="0"/>
          <w:iCs/>
        </w:rPr>
      </w:pPr>
    </w:p>
    <w:p w14:paraId="11A046B9" w14:textId="77777777" w:rsidR="00E0178D" w:rsidRPr="00DD2151" w:rsidRDefault="00E0178D" w:rsidP="00E0178D">
      <w:pPr>
        <w:pStyle w:val="ListParagraph"/>
        <w:numPr>
          <w:ilvl w:val="1"/>
          <w:numId w:val="2"/>
        </w:numPr>
        <w:spacing w:line="240" w:lineRule="auto"/>
        <w:ind w:left="1170" w:hanging="450"/>
        <w:rPr>
          <w:rFonts w:asciiTheme="majorBidi" w:hAnsiTheme="majorBidi" w:cstheme="majorBidi"/>
          <w:i w:val="0"/>
          <w:iCs/>
        </w:rPr>
      </w:pPr>
      <w:r>
        <w:rPr>
          <w:rFonts w:asciiTheme="majorBidi" w:hAnsiTheme="majorBidi" w:cstheme="majorBidi"/>
          <w:i w:val="0"/>
          <w:iCs/>
        </w:rPr>
        <w:t xml:space="preserve"> </w:t>
      </w:r>
      <w:r w:rsidRPr="00DD2151">
        <w:rPr>
          <w:rFonts w:asciiTheme="majorBidi" w:hAnsiTheme="majorBidi" w:cstheme="majorBidi"/>
          <w:i w:val="0"/>
          <w:iCs/>
        </w:rPr>
        <w:t>Studies that were solely behavioral, pharmacological, or clinical in nature without a primary focus on analytical method development or application.</w:t>
      </w:r>
    </w:p>
    <w:p w14:paraId="4CC5E8D8" w14:textId="77777777" w:rsidR="00E0178D" w:rsidRPr="00DD2151" w:rsidRDefault="00E0178D" w:rsidP="00E0178D">
      <w:pPr>
        <w:pStyle w:val="ListParagraph"/>
        <w:spacing w:line="240" w:lineRule="auto"/>
        <w:ind w:left="1170" w:hanging="450"/>
        <w:rPr>
          <w:rFonts w:asciiTheme="majorBidi" w:hAnsiTheme="majorBidi" w:cstheme="majorBidi"/>
          <w:i w:val="0"/>
          <w:iCs/>
        </w:rPr>
      </w:pPr>
    </w:p>
    <w:p w14:paraId="5F8284CD" w14:textId="77777777" w:rsidR="00E0178D" w:rsidRPr="00DD2151" w:rsidRDefault="00E0178D" w:rsidP="00E0178D">
      <w:pPr>
        <w:pStyle w:val="ListParagraph"/>
        <w:numPr>
          <w:ilvl w:val="1"/>
          <w:numId w:val="2"/>
        </w:numPr>
        <w:spacing w:line="240" w:lineRule="auto"/>
        <w:ind w:left="1170" w:hanging="450"/>
        <w:rPr>
          <w:rFonts w:asciiTheme="majorBidi" w:hAnsiTheme="majorBidi" w:cstheme="majorBidi"/>
          <w:i w:val="0"/>
          <w:iCs/>
        </w:rPr>
      </w:pPr>
      <w:r w:rsidRPr="00DD2151">
        <w:rPr>
          <w:rFonts w:asciiTheme="majorBidi" w:hAnsiTheme="majorBidi" w:cstheme="majorBidi"/>
          <w:i w:val="0"/>
          <w:iCs/>
        </w:rPr>
        <w:t>Duplicate publications or studies superseded by more comprehensive work from the same research group.</w:t>
      </w:r>
    </w:p>
    <w:p w14:paraId="2D2DA09D" w14:textId="77777777" w:rsidR="00E0178D" w:rsidRPr="00DD2151" w:rsidRDefault="00E0178D" w:rsidP="00E0178D">
      <w:pPr>
        <w:pStyle w:val="ListParagraph"/>
        <w:spacing w:line="240" w:lineRule="auto"/>
        <w:ind w:left="1170" w:hanging="450"/>
        <w:rPr>
          <w:rFonts w:asciiTheme="majorBidi" w:hAnsiTheme="majorBidi" w:cstheme="majorBidi"/>
          <w:i w:val="0"/>
          <w:iCs/>
        </w:rPr>
      </w:pPr>
    </w:p>
    <w:p w14:paraId="4A776F57" w14:textId="7DEE097B" w:rsidR="00E0178D" w:rsidRPr="00DD4A97" w:rsidRDefault="00E0178D" w:rsidP="00E0178D">
      <w:pPr>
        <w:pStyle w:val="ListParagraph"/>
        <w:spacing w:line="240" w:lineRule="auto"/>
        <w:ind w:left="810"/>
        <w:rPr>
          <w:rFonts w:asciiTheme="majorBidi" w:hAnsiTheme="majorBidi" w:cstheme="majorBidi"/>
          <w:b/>
          <w:bCs/>
          <w:i w:val="0"/>
          <w:iCs/>
        </w:rPr>
      </w:pPr>
      <w:r>
        <w:rPr>
          <w:rFonts w:asciiTheme="majorBidi" w:hAnsiTheme="majorBidi" w:cstheme="majorBidi"/>
          <w:b/>
          <w:bCs/>
          <w:i w:val="0"/>
          <w:iCs/>
        </w:rPr>
        <w:t>1</w:t>
      </w:r>
      <w:r w:rsidRPr="00DD4A97">
        <w:rPr>
          <w:rFonts w:asciiTheme="majorBidi" w:hAnsiTheme="majorBidi" w:cstheme="majorBidi"/>
          <w:b/>
          <w:bCs/>
          <w:i w:val="0"/>
          <w:iCs/>
        </w:rPr>
        <w:t xml:space="preserve">.3. Data Extraction </w:t>
      </w:r>
    </w:p>
    <w:p w14:paraId="62F7414F" w14:textId="77777777" w:rsidR="00E0178D" w:rsidRPr="007C3B47" w:rsidRDefault="00E0178D" w:rsidP="00E0178D">
      <w:pPr>
        <w:spacing w:after="0" w:line="240" w:lineRule="auto"/>
        <w:rPr>
          <w:rFonts w:asciiTheme="majorBidi" w:eastAsia="Times New Roman" w:hAnsiTheme="majorBidi" w:cstheme="majorBidi"/>
          <w:i w:val="0"/>
          <w:iCs/>
          <w:kern w:val="0"/>
          <w14:ligatures w14:val="none"/>
        </w:rPr>
      </w:pPr>
      <w:r w:rsidRPr="007C3B47">
        <w:rPr>
          <w:rFonts w:asciiTheme="majorBidi" w:eastAsia="Times New Roman" w:hAnsiTheme="majorBidi" w:cstheme="majorBidi"/>
          <w:i w:val="0"/>
          <w:iCs/>
          <w:kern w:val="0"/>
          <w14:ligatures w14:val="none"/>
        </w:rPr>
        <w:t>Data was methodically extracted for every study that qualified in terms of:</w:t>
      </w:r>
    </w:p>
    <w:p w14:paraId="42915255" w14:textId="77777777" w:rsidR="00E0178D" w:rsidRPr="007C3B47" w:rsidRDefault="00E0178D" w:rsidP="00E0178D">
      <w:pPr>
        <w:pStyle w:val="ListParagraph"/>
        <w:spacing w:line="240" w:lineRule="auto"/>
        <w:rPr>
          <w:rFonts w:asciiTheme="majorBidi" w:eastAsia="Times New Roman" w:hAnsiTheme="majorBidi" w:cstheme="majorBidi"/>
          <w:i w:val="0"/>
          <w:iCs/>
          <w:kern w:val="0"/>
          <w14:ligatures w14:val="none"/>
        </w:rPr>
      </w:pPr>
    </w:p>
    <w:p w14:paraId="5C107087" w14:textId="77777777" w:rsidR="00E0178D" w:rsidRDefault="00E0178D" w:rsidP="00E0178D">
      <w:pPr>
        <w:pStyle w:val="ListParagraph"/>
        <w:numPr>
          <w:ilvl w:val="1"/>
          <w:numId w:val="2"/>
        </w:numPr>
        <w:spacing w:after="0" w:line="240" w:lineRule="auto"/>
        <w:ind w:left="1080"/>
        <w:rPr>
          <w:rFonts w:asciiTheme="majorBidi" w:eastAsia="Times New Roman" w:hAnsiTheme="majorBidi" w:cstheme="majorBidi"/>
          <w:i w:val="0"/>
          <w:iCs/>
          <w:kern w:val="0"/>
          <w14:ligatures w14:val="none"/>
        </w:rPr>
      </w:pPr>
      <w:r w:rsidRPr="007C3B47">
        <w:rPr>
          <w:rFonts w:asciiTheme="majorBidi" w:eastAsia="Times New Roman" w:hAnsiTheme="majorBidi" w:cstheme="majorBidi"/>
          <w:i w:val="0"/>
          <w:iCs/>
          <w:kern w:val="0"/>
          <w14:ligatures w14:val="none"/>
        </w:rPr>
        <w:t>The analytical method used (e.g., spectroscopic platform, electrochemical sensor, GC-MS, LC-MS/MS).</w:t>
      </w:r>
    </w:p>
    <w:p w14:paraId="7DB9C939" w14:textId="77777777" w:rsidR="00E0178D" w:rsidRDefault="00E0178D" w:rsidP="00E0178D">
      <w:pPr>
        <w:pStyle w:val="ListParagraph"/>
        <w:numPr>
          <w:ilvl w:val="1"/>
          <w:numId w:val="2"/>
        </w:numPr>
        <w:spacing w:after="0" w:line="240" w:lineRule="auto"/>
        <w:ind w:left="1080"/>
        <w:rPr>
          <w:rFonts w:asciiTheme="majorBidi" w:eastAsia="Times New Roman" w:hAnsiTheme="majorBidi" w:cstheme="majorBidi"/>
          <w:i w:val="0"/>
          <w:iCs/>
          <w:kern w:val="0"/>
          <w14:ligatures w14:val="none"/>
        </w:rPr>
      </w:pPr>
      <w:r w:rsidRPr="00660599">
        <w:rPr>
          <w:rFonts w:asciiTheme="majorBidi" w:eastAsia="Times New Roman" w:hAnsiTheme="majorBidi" w:cstheme="majorBidi"/>
          <w:i w:val="0"/>
          <w:iCs/>
          <w:kern w:val="0"/>
          <w14:ligatures w14:val="none"/>
        </w:rPr>
        <w:t>The matrices (blood, urine, saliva, hair, seized materials, etc.) were examined.</w:t>
      </w:r>
    </w:p>
    <w:p w14:paraId="5B699C45" w14:textId="77777777" w:rsidR="00E0178D" w:rsidRDefault="00E0178D" w:rsidP="00E0178D">
      <w:pPr>
        <w:pStyle w:val="ListParagraph"/>
        <w:numPr>
          <w:ilvl w:val="1"/>
          <w:numId w:val="2"/>
        </w:numPr>
        <w:spacing w:after="0" w:line="240" w:lineRule="auto"/>
        <w:ind w:left="1080"/>
        <w:rPr>
          <w:rFonts w:asciiTheme="majorBidi" w:eastAsia="Times New Roman" w:hAnsiTheme="majorBidi" w:cstheme="majorBidi"/>
          <w:i w:val="0"/>
          <w:iCs/>
          <w:kern w:val="0"/>
          <w14:ligatures w14:val="none"/>
        </w:rPr>
      </w:pPr>
      <w:r w:rsidRPr="00660599">
        <w:rPr>
          <w:rFonts w:asciiTheme="majorBidi" w:eastAsia="Times New Roman" w:hAnsiTheme="majorBidi" w:cstheme="majorBidi"/>
          <w:i w:val="0"/>
          <w:iCs/>
          <w:kern w:val="0"/>
          <w14:ligatures w14:val="none"/>
        </w:rPr>
        <w:t>Method performance metrics (reproducibility, precision, selectivity, LOD, and LQ).</w:t>
      </w:r>
    </w:p>
    <w:p w14:paraId="7D9CF9F9" w14:textId="77777777" w:rsidR="00E0178D" w:rsidRDefault="00E0178D" w:rsidP="00E0178D">
      <w:pPr>
        <w:pStyle w:val="ListParagraph"/>
        <w:numPr>
          <w:ilvl w:val="1"/>
          <w:numId w:val="2"/>
        </w:numPr>
        <w:spacing w:after="0" w:line="240" w:lineRule="auto"/>
        <w:ind w:left="990" w:hanging="270"/>
        <w:rPr>
          <w:rFonts w:asciiTheme="majorBidi" w:eastAsia="Times New Roman" w:hAnsiTheme="majorBidi" w:cstheme="majorBidi"/>
          <w:i w:val="0"/>
          <w:iCs/>
          <w:kern w:val="0"/>
          <w14:ligatures w14:val="none"/>
        </w:rPr>
      </w:pPr>
      <w:r w:rsidRPr="00660599">
        <w:rPr>
          <w:rFonts w:asciiTheme="majorBidi" w:eastAsia="Times New Roman" w:hAnsiTheme="majorBidi" w:cstheme="majorBidi"/>
          <w:i w:val="0"/>
          <w:iCs/>
          <w:kern w:val="0"/>
          <w14:ligatures w14:val="none"/>
        </w:rPr>
        <w:lastRenderedPageBreak/>
        <w:t>Reported benefits, drawbacks, and suitability for forensic use.</w:t>
      </w:r>
      <w:r w:rsidRPr="00660599">
        <w:rPr>
          <w:rFonts w:asciiTheme="majorBidi" w:eastAsia="Times New Roman" w:hAnsiTheme="majorBidi" w:cstheme="majorBidi"/>
          <w:i w:val="0"/>
          <w:iCs/>
          <w:kern w:val="0"/>
          <w14:ligatures w14:val="none"/>
        </w:rPr>
        <w:br/>
      </w:r>
      <w:r w:rsidRPr="00660599">
        <w:rPr>
          <w:rFonts w:asciiTheme="majorBidi" w:eastAsia="Times New Roman" w:hAnsiTheme="majorBidi" w:cstheme="majorBidi"/>
          <w:i w:val="0"/>
          <w:iCs/>
          <w:kern w:val="0"/>
          <w14:ligatures w14:val="none"/>
        </w:rPr>
        <w:br/>
      </w:r>
    </w:p>
    <w:p w14:paraId="0A2ECFC7" w14:textId="77777777" w:rsidR="00E0178D" w:rsidRPr="00660599" w:rsidRDefault="00E0178D" w:rsidP="00E0178D">
      <w:pPr>
        <w:pStyle w:val="ListParagraph"/>
        <w:spacing w:after="0" w:line="240" w:lineRule="auto"/>
        <w:ind w:left="0"/>
        <w:rPr>
          <w:rFonts w:asciiTheme="majorBidi" w:eastAsia="Times New Roman" w:hAnsiTheme="majorBidi" w:cstheme="majorBidi"/>
          <w:i w:val="0"/>
          <w:iCs/>
          <w:kern w:val="0"/>
          <w14:ligatures w14:val="none"/>
        </w:rPr>
      </w:pPr>
      <w:r w:rsidRPr="00660599">
        <w:rPr>
          <w:rFonts w:asciiTheme="majorBidi" w:eastAsia="Times New Roman" w:hAnsiTheme="majorBidi" w:cstheme="majorBidi"/>
          <w:i w:val="0"/>
          <w:iCs/>
          <w:kern w:val="0"/>
          <w14:ligatures w14:val="none"/>
        </w:rPr>
        <w:t>Data were tabulated and categorized by drug class (e.g., MDMA, methamphetamine, psilocybin, LSD, cathinones, and cannabinoids). Trends in matrix specificity, portability, and analytical capability were the main topics of comparative analysis.</w:t>
      </w:r>
    </w:p>
    <w:p w14:paraId="40E5C4C2" w14:textId="77777777" w:rsidR="00E0178D" w:rsidRPr="00DD2151" w:rsidRDefault="00E0178D" w:rsidP="00E0178D">
      <w:pPr>
        <w:pStyle w:val="ListParagraph"/>
        <w:spacing w:line="240" w:lineRule="auto"/>
        <w:ind w:left="810"/>
        <w:rPr>
          <w:rFonts w:asciiTheme="majorBidi" w:hAnsiTheme="majorBidi" w:cstheme="majorBidi"/>
          <w:i w:val="0"/>
          <w:iCs/>
        </w:rPr>
      </w:pPr>
    </w:p>
    <w:p w14:paraId="49BA1A8C" w14:textId="71F3CE98" w:rsidR="00E0178D" w:rsidRPr="00DD4A97" w:rsidRDefault="00E0178D" w:rsidP="00E0178D">
      <w:pPr>
        <w:pStyle w:val="ListParagraph"/>
        <w:spacing w:line="240" w:lineRule="auto"/>
        <w:ind w:left="0"/>
        <w:rPr>
          <w:rFonts w:asciiTheme="majorBidi" w:hAnsiTheme="majorBidi" w:cstheme="majorBidi"/>
          <w:b/>
          <w:bCs/>
          <w:i w:val="0"/>
          <w:iCs/>
        </w:rPr>
      </w:pPr>
      <w:r>
        <w:rPr>
          <w:rFonts w:asciiTheme="majorBidi" w:hAnsiTheme="majorBidi" w:cstheme="majorBidi"/>
          <w:b/>
          <w:bCs/>
          <w:i w:val="0"/>
          <w:iCs/>
        </w:rPr>
        <w:t>1</w:t>
      </w:r>
      <w:r w:rsidRPr="00DD4A97">
        <w:rPr>
          <w:rFonts w:asciiTheme="majorBidi" w:hAnsiTheme="majorBidi" w:cstheme="majorBidi"/>
          <w:b/>
          <w:bCs/>
          <w:i w:val="0"/>
          <w:iCs/>
        </w:rPr>
        <w:t>.4. Quality Assessment</w:t>
      </w:r>
    </w:p>
    <w:p w14:paraId="03993F0F" w14:textId="77777777" w:rsidR="00E0178D" w:rsidRPr="00DD2151" w:rsidRDefault="00E0178D" w:rsidP="00E0178D">
      <w:pPr>
        <w:pStyle w:val="ListParagraph"/>
        <w:spacing w:line="240" w:lineRule="auto"/>
        <w:ind w:left="810"/>
        <w:rPr>
          <w:rFonts w:asciiTheme="majorBidi" w:hAnsiTheme="majorBidi" w:cstheme="majorBidi"/>
          <w:i w:val="0"/>
          <w:iCs/>
        </w:rPr>
      </w:pPr>
    </w:p>
    <w:p w14:paraId="2914DFE4" w14:textId="77777777" w:rsidR="00E0178D" w:rsidRPr="00DD2151" w:rsidRDefault="00E0178D" w:rsidP="00E0178D">
      <w:pPr>
        <w:pStyle w:val="ListParagraph"/>
        <w:spacing w:line="240" w:lineRule="auto"/>
        <w:ind w:left="0"/>
        <w:rPr>
          <w:rFonts w:asciiTheme="majorBidi" w:hAnsiTheme="majorBidi" w:cstheme="majorBidi"/>
          <w:i w:val="0"/>
          <w:iCs/>
        </w:rPr>
      </w:pPr>
      <w:r w:rsidRPr="00DD2151">
        <w:rPr>
          <w:rFonts w:asciiTheme="majorBidi" w:hAnsiTheme="majorBidi" w:cstheme="majorBidi"/>
          <w:i w:val="0"/>
          <w:iCs/>
        </w:rPr>
        <w:t>The methodological robustness of each included study was critically evaluated. This assessment considered several factors:</w:t>
      </w:r>
    </w:p>
    <w:p w14:paraId="20DE0592" w14:textId="77777777" w:rsidR="00E0178D" w:rsidRPr="00DD2151" w:rsidRDefault="00E0178D" w:rsidP="00E0178D">
      <w:pPr>
        <w:pStyle w:val="ListParagraph"/>
        <w:spacing w:line="240" w:lineRule="auto"/>
        <w:ind w:left="810"/>
        <w:rPr>
          <w:rFonts w:asciiTheme="majorBidi" w:hAnsiTheme="majorBidi" w:cstheme="majorBidi"/>
          <w:i w:val="0"/>
          <w:iCs/>
        </w:rPr>
      </w:pPr>
    </w:p>
    <w:p w14:paraId="0088806B" w14:textId="77777777" w:rsidR="00E0178D" w:rsidRPr="00DD2151" w:rsidRDefault="00E0178D" w:rsidP="00E0178D">
      <w:pPr>
        <w:pStyle w:val="ListParagraph"/>
        <w:numPr>
          <w:ilvl w:val="1"/>
          <w:numId w:val="2"/>
        </w:numPr>
        <w:spacing w:line="240" w:lineRule="auto"/>
        <w:ind w:left="1080" w:hanging="450"/>
        <w:rPr>
          <w:rFonts w:asciiTheme="majorBidi" w:hAnsiTheme="majorBidi" w:cstheme="majorBidi"/>
          <w:i w:val="0"/>
          <w:iCs/>
        </w:rPr>
      </w:pPr>
      <w:r w:rsidRPr="00DD2151">
        <w:rPr>
          <w:rFonts w:asciiTheme="majorBidi" w:hAnsiTheme="majorBidi" w:cstheme="majorBidi"/>
          <w:i w:val="0"/>
          <w:iCs/>
        </w:rPr>
        <w:t>Validation Rigor: Adherence to internationally recognized validation guidelines (e.g., SWGTOX, FDA Bioanalytical Method Validation, EMA guidelines).</w:t>
      </w:r>
    </w:p>
    <w:p w14:paraId="0FB33C33" w14:textId="77777777" w:rsidR="00E0178D" w:rsidRPr="00DD2151" w:rsidRDefault="00E0178D" w:rsidP="00E0178D">
      <w:pPr>
        <w:pStyle w:val="ListParagraph"/>
        <w:spacing w:line="240" w:lineRule="auto"/>
        <w:ind w:left="1080" w:hanging="450"/>
        <w:rPr>
          <w:rFonts w:asciiTheme="majorBidi" w:hAnsiTheme="majorBidi" w:cstheme="majorBidi"/>
          <w:i w:val="0"/>
          <w:iCs/>
        </w:rPr>
      </w:pPr>
    </w:p>
    <w:p w14:paraId="6A193443" w14:textId="77777777" w:rsidR="00E0178D" w:rsidRPr="00DD2151" w:rsidRDefault="00E0178D" w:rsidP="00E0178D">
      <w:pPr>
        <w:pStyle w:val="ListParagraph"/>
        <w:numPr>
          <w:ilvl w:val="1"/>
          <w:numId w:val="2"/>
        </w:numPr>
        <w:spacing w:line="240" w:lineRule="auto"/>
        <w:ind w:left="1080" w:hanging="450"/>
        <w:rPr>
          <w:rFonts w:asciiTheme="majorBidi" w:hAnsiTheme="majorBidi" w:cstheme="majorBidi"/>
          <w:i w:val="0"/>
          <w:iCs/>
        </w:rPr>
      </w:pPr>
      <w:r w:rsidRPr="00DD2151">
        <w:rPr>
          <w:rFonts w:asciiTheme="majorBidi" w:hAnsiTheme="majorBidi" w:cstheme="majorBidi"/>
          <w:i w:val="0"/>
          <w:iCs/>
        </w:rPr>
        <w:t>Matrix Effect Evaluation: Whether and how the study addressed potential matrix interferences.</w:t>
      </w:r>
    </w:p>
    <w:p w14:paraId="63F6DB79" w14:textId="77777777" w:rsidR="00E0178D" w:rsidRPr="00DD2151" w:rsidRDefault="00E0178D" w:rsidP="00E0178D">
      <w:pPr>
        <w:pStyle w:val="ListParagraph"/>
        <w:spacing w:line="240" w:lineRule="auto"/>
        <w:ind w:left="1080" w:hanging="450"/>
        <w:rPr>
          <w:rFonts w:asciiTheme="majorBidi" w:hAnsiTheme="majorBidi" w:cstheme="majorBidi"/>
          <w:i w:val="0"/>
          <w:iCs/>
        </w:rPr>
      </w:pPr>
    </w:p>
    <w:p w14:paraId="104E8D1F" w14:textId="77777777" w:rsidR="00E0178D" w:rsidRPr="00DD2151" w:rsidRDefault="00E0178D" w:rsidP="00E0178D">
      <w:pPr>
        <w:pStyle w:val="ListParagraph"/>
        <w:numPr>
          <w:ilvl w:val="1"/>
          <w:numId w:val="2"/>
        </w:numPr>
        <w:spacing w:line="240" w:lineRule="auto"/>
        <w:ind w:left="1080" w:hanging="450"/>
        <w:rPr>
          <w:rFonts w:asciiTheme="majorBidi" w:hAnsiTheme="majorBidi" w:cstheme="majorBidi"/>
          <w:i w:val="0"/>
          <w:iCs/>
        </w:rPr>
      </w:pPr>
      <w:r w:rsidRPr="00DD2151">
        <w:rPr>
          <w:rFonts w:asciiTheme="majorBidi" w:hAnsiTheme="majorBidi" w:cstheme="majorBidi"/>
          <w:i w:val="0"/>
          <w:iCs/>
        </w:rPr>
        <w:t>Calibration Strategy: The use of appropriate internal standards and calibration models.</w:t>
      </w:r>
    </w:p>
    <w:p w14:paraId="3088A1C6" w14:textId="77777777" w:rsidR="00E0178D" w:rsidRPr="00DD2151" w:rsidRDefault="00E0178D" w:rsidP="00E0178D">
      <w:pPr>
        <w:pStyle w:val="ListParagraph"/>
        <w:spacing w:line="240" w:lineRule="auto"/>
        <w:ind w:left="1080" w:hanging="450"/>
        <w:rPr>
          <w:rFonts w:asciiTheme="majorBidi" w:hAnsiTheme="majorBidi" w:cstheme="majorBidi"/>
          <w:i w:val="0"/>
          <w:iCs/>
        </w:rPr>
      </w:pPr>
    </w:p>
    <w:p w14:paraId="04B2F5A9" w14:textId="77777777" w:rsidR="00E0178D" w:rsidRPr="00DD2151" w:rsidRDefault="00E0178D" w:rsidP="00E0178D">
      <w:pPr>
        <w:pStyle w:val="ListParagraph"/>
        <w:numPr>
          <w:ilvl w:val="1"/>
          <w:numId w:val="2"/>
        </w:numPr>
        <w:spacing w:line="240" w:lineRule="auto"/>
        <w:ind w:left="1080" w:hanging="450"/>
        <w:rPr>
          <w:rFonts w:asciiTheme="majorBidi" w:hAnsiTheme="majorBidi" w:cstheme="majorBidi"/>
          <w:i w:val="0"/>
          <w:iCs/>
        </w:rPr>
      </w:pPr>
      <w:r w:rsidRPr="00DD2151">
        <w:rPr>
          <w:rFonts w:asciiTheme="majorBidi" w:hAnsiTheme="majorBidi" w:cstheme="majorBidi"/>
          <w:i w:val="0"/>
          <w:iCs/>
        </w:rPr>
        <w:t>Selectivity and Specificity: The demonstration of the method's ability to distinguish the target analyte from potentially interfering substances.</w:t>
      </w:r>
    </w:p>
    <w:p w14:paraId="608707DE" w14:textId="77777777" w:rsidR="00E0178D" w:rsidRPr="00DD2151" w:rsidRDefault="00E0178D" w:rsidP="00E0178D">
      <w:pPr>
        <w:pStyle w:val="ListParagraph"/>
        <w:spacing w:line="240" w:lineRule="auto"/>
        <w:ind w:left="810"/>
        <w:rPr>
          <w:rFonts w:asciiTheme="majorBidi" w:hAnsiTheme="majorBidi" w:cstheme="majorBidi"/>
          <w:i w:val="0"/>
          <w:iCs/>
        </w:rPr>
      </w:pPr>
    </w:p>
    <w:p w14:paraId="3745C7AF" w14:textId="77777777" w:rsidR="00E0178D" w:rsidRPr="007C3B47" w:rsidRDefault="00E0178D" w:rsidP="00E0178D">
      <w:pPr>
        <w:pStyle w:val="ListParagraph"/>
        <w:spacing w:line="240" w:lineRule="auto"/>
        <w:ind w:left="0"/>
        <w:jc w:val="both"/>
        <w:rPr>
          <w:rFonts w:asciiTheme="majorBidi" w:hAnsiTheme="majorBidi" w:cstheme="majorBidi"/>
          <w:i w:val="0"/>
          <w:iCs/>
        </w:rPr>
      </w:pPr>
      <w:r w:rsidRPr="00DD2151">
        <w:rPr>
          <w:rFonts w:asciiTheme="majorBidi" w:hAnsiTheme="majorBidi" w:cstheme="majorBidi"/>
          <w:i w:val="0"/>
          <w:iCs/>
        </w:rPr>
        <w:t>The relative merits and limitations of field-deployable techniques versus laboratory-based methods were evaluated to provide a balanced perspective on the current state of detection technologies. This critical appraisal aimed to ensure that the review's conclusions are based on analytically sound and forensically relevant data.</w:t>
      </w:r>
    </w:p>
    <w:p w14:paraId="27EBDC0A" w14:textId="77777777" w:rsidR="00410B35" w:rsidRDefault="00410B35"/>
    <w:sectPr w:rsidR="00410B35" w:rsidSect="00140CB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AA39D" w14:textId="77777777" w:rsidR="00AC078D" w:rsidRDefault="00AC078D" w:rsidP="00EE7A23">
      <w:pPr>
        <w:spacing w:after="0" w:line="240" w:lineRule="auto"/>
      </w:pPr>
      <w:r>
        <w:separator/>
      </w:r>
    </w:p>
  </w:endnote>
  <w:endnote w:type="continuationSeparator" w:id="0">
    <w:p w14:paraId="5BAAD371" w14:textId="77777777" w:rsidR="00AC078D" w:rsidRDefault="00AC078D" w:rsidP="00EE7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1172290"/>
      <w:docPartObj>
        <w:docPartGallery w:val="Page Numbers (Bottom of Page)"/>
        <w:docPartUnique/>
      </w:docPartObj>
    </w:sdtPr>
    <w:sdtEndPr>
      <w:rPr>
        <w:noProof/>
      </w:rPr>
    </w:sdtEndPr>
    <w:sdtContent>
      <w:p w14:paraId="2FA73065" w14:textId="481DAC26" w:rsidR="00EE7A23" w:rsidRDefault="00EE7A23">
        <w:pPr>
          <w:pStyle w:val="Footer"/>
        </w:pPr>
        <w:r>
          <w:fldChar w:fldCharType="begin"/>
        </w:r>
        <w:r>
          <w:instrText xml:space="preserve"> PAGE   \* MERGEFORMAT </w:instrText>
        </w:r>
        <w:r>
          <w:fldChar w:fldCharType="separate"/>
        </w:r>
        <w:r>
          <w:rPr>
            <w:noProof/>
          </w:rPr>
          <w:t>2</w:t>
        </w:r>
        <w:r>
          <w:rPr>
            <w:noProof/>
          </w:rPr>
          <w:fldChar w:fldCharType="end"/>
        </w:r>
      </w:p>
    </w:sdtContent>
  </w:sdt>
  <w:p w14:paraId="2FE20E1C" w14:textId="77777777" w:rsidR="00EE7A23" w:rsidRDefault="00EE7A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720F4" w14:textId="77777777" w:rsidR="00AC078D" w:rsidRDefault="00AC078D" w:rsidP="00EE7A23">
      <w:pPr>
        <w:spacing w:after="0" w:line="240" w:lineRule="auto"/>
      </w:pPr>
      <w:r>
        <w:separator/>
      </w:r>
    </w:p>
  </w:footnote>
  <w:footnote w:type="continuationSeparator" w:id="0">
    <w:p w14:paraId="57F3FC55" w14:textId="77777777" w:rsidR="00AC078D" w:rsidRDefault="00AC078D" w:rsidP="00EE7A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7F3CE0"/>
    <w:multiLevelType w:val="multilevel"/>
    <w:tmpl w:val="62666870"/>
    <w:lvl w:ilvl="0">
      <w:start w:val="1"/>
      <w:numFmt w:val="decimal"/>
      <w:lvlText w:val="%1."/>
      <w:lvlJc w:val="left"/>
      <w:pPr>
        <w:tabs>
          <w:tab w:val="num" w:pos="720"/>
        </w:tabs>
        <w:ind w:left="720" w:hanging="360"/>
      </w:pPr>
    </w:lvl>
    <w:lvl w:ilvl="1">
      <w:start w:val="2"/>
      <w:numFmt w:val="bullet"/>
      <w:lvlText w:val="-"/>
      <w:lvlJc w:val="left"/>
      <w:pPr>
        <w:ind w:left="1440" w:hanging="360"/>
      </w:pPr>
      <w:rPr>
        <w:rFonts w:ascii="Times New Roman" w:eastAsiaTheme="minorHAns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E293581"/>
    <w:multiLevelType w:val="multilevel"/>
    <w:tmpl w:val="EEC21748"/>
    <w:lvl w:ilvl="0">
      <w:start w:val="1"/>
      <w:numFmt w:val="decimal"/>
      <w:lvlText w:val="%1."/>
      <w:lvlJc w:val="left"/>
      <w:pPr>
        <w:ind w:left="810" w:hanging="360"/>
      </w:pPr>
      <w:rPr>
        <w:b/>
        <w:bCs/>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61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510" w:hanging="1440"/>
      </w:pPr>
      <w:rPr>
        <w:rFonts w:hint="default"/>
      </w:rPr>
    </w:lvl>
    <w:lvl w:ilvl="7">
      <w:start w:val="1"/>
      <w:numFmt w:val="decimal"/>
      <w:isLgl/>
      <w:lvlText w:val="%1.%2.%3.%4.%5.%6.%7.%8"/>
      <w:lvlJc w:val="left"/>
      <w:pPr>
        <w:ind w:left="3780" w:hanging="1440"/>
      </w:pPr>
      <w:rPr>
        <w:rFonts w:hint="default"/>
      </w:rPr>
    </w:lvl>
    <w:lvl w:ilvl="8">
      <w:start w:val="1"/>
      <w:numFmt w:val="decimal"/>
      <w:isLgl/>
      <w:lvlText w:val="%1.%2.%3.%4.%5.%6.%7.%8.%9"/>
      <w:lvlJc w:val="left"/>
      <w:pPr>
        <w:ind w:left="4410" w:hanging="1800"/>
      </w:pPr>
      <w:rPr>
        <w:rFonts w:hint="default"/>
      </w:rPr>
    </w:lvl>
  </w:abstractNum>
  <w:num w:numId="1" w16cid:durableId="2005430508">
    <w:abstractNumId w:val="1"/>
  </w:num>
  <w:num w:numId="2" w16cid:durableId="1098215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U3MTQxtLA0MTQ3NjVV0lEKTi0uzszPAykwrAUAEFj4nywAAAA="/>
  </w:docVars>
  <w:rsids>
    <w:rsidRoot w:val="00E0178D"/>
    <w:rsid w:val="00140CB7"/>
    <w:rsid w:val="00157701"/>
    <w:rsid w:val="00406A77"/>
    <w:rsid w:val="00410B35"/>
    <w:rsid w:val="00776DC9"/>
    <w:rsid w:val="007E7C91"/>
    <w:rsid w:val="008F6368"/>
    <w:rsid w:val="00926F96"/>
    <w:rsid w:val="00A56578"/>
    <w:rsid w:val="00AC078D"/>
    <w:rsid w:val="00C07576"/>
    <w:rsid w:val="00C47E13"/>
    <w:rsid w:val="00D21685"/>
    <w:rsid w:val="00E0178D"/>
    <w:rsid w:val="00EA28C1"/>
    <w:rsid w:val="00EE7A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98425"/>
  <w15:chartTrackingRefBased/>
  <w15:docId w15:val="{93B0E1C1-BE3D-4778-A07E-95C0D7BD3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78D"/>
    <w:rPr>
      <w:rFonts w:ascii="Times New Roman" w:hAnsi="Times New Roman"/>
      <w:i/>
    </w:rPr>
  </w:style>
  <w:style w:type="paragraph" w:styleId="Heading1">
    <w:name w:val="heading 1"/>
    <w:basedOn w:val="Normal"/>
    <w:next w:val="Normal"/>
    <w:link w:val="Heading1Char"/>
    <w:uiPriority w:val="9"/>
    <w:qFormat/>
    <w:rsid w:val="00E017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17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17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178D"/>
    <w:pPr>
      <w:keepNext/>
      <w:keepLines/>
      <w:spacing w:before="80" w:after="40"/>
      <w:outlineLvl w:val="3"/>
    </w:pPr>
    <w:rPr>
      <w:rFonts w:eastAsiaTheme="majorEastAsia" w:cstheme="majorBidi"/>
      <w:i w:val="0"/>
      <w:iCs/>
      <w:color w:val="0F4761" w:themeColor="accent1" w:themeShade="BF"/>
    </w:rPr>
  </w:style>
  <w:style w:type="paragraph" w:styleId="Heading5">
    <w:name w:val="heading 5"/>
    <w:basedOn w:val="Normal"/>
    <w:next w:val="Normal"/>
    <w:link w:val="Heading5Char"/>
    <w:uiPriority w:val="9"/>
    <w:semiHidden/>
    <w:unhideWhenUsed/>
    <w:qFormat/>
    <w:rsid w:val="00E017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178D"/>
    <w:pPr>
      <w:keepNext/>
      <w:keepLines/>
      <w:spacing w:before="40" w:after="0"/>
      <w:outlineLvl w:val="5"/>
    </w:pPr>
    <w:rPr>
      <w:rFonts w:eastAsiaTheme="majorEastAsia" w:cstheme="majorBidi"/>
      <w:i w:val="0"/>
      <w:iCs/>
      <w:color w:val="595959" w:themeColor="text1" w:themeTint="A6"/>
    </w:rPr>
  </w:style>
  <w:style w:type="paragraph" w:styleId="Heading7">
    <w:name w:val="heading 7"/>
    <w:basedOn w:val="Normal"/>
    <w:next w:val="Normal"/>
    <w:link w:val="Heading7Char"/>
    <w:uiPriority w:val="9"/>
    <w:semiHidden/>
    <w:unhideWhenUsed/>
    <w:qFormat/>
    <w:rsid w:val="00E017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178D"/>
    <w:pPr>
      <w:keepNext/>
      <w:keepLines/>
      <w:spacing w:after="0"/>
      <w:outlineLvl w:val="7"/>
    </w:pPr>
    <w:rPr>
      <w:rFonts w:eastAsiaTheme="majorEastAsia" w:cstheme="majorBidi"/>
      <w:i w:val="0"/>
      <w:iCs/>
      <w:color w:val="272727" w:themeColor="text1" w:themeTint="D8"/>
    </w:rPr>
  </w:style>
  <w:style w:type="paragraph" w:styleId="Heading9">
    <w:name w:val="heading 9"/>
    <w:basedOn w:val="Normal"/>
    <w:next w:val="Normal"/>
    <w:link w:val="Heading9Char"/>
    <w:uiPriority w:val="9"/>
    <w:semiHidden/>
    <w:unhideWhenUsed/>
    <w:qFormat/>
    <w:rsid w:val="00E017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17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17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17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17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17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17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17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17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178D"/>
    <w:rPr>
      <w:rFonts w:eastAsiaTheme="majorEastAsia" w:cstheme="majorBidi"/>
      <w:color w:val="272727" w:themeColor="text1" w:themeTint="D8"/>
    </w:rPr>
  </w:style>
  <w:style w:type="paragraph" w:styleId="Title">
    <w:name w:val="Title"/>
    <w:basedOn w:val="Normal"/>
    <w:next w:val="Normal"/>
    <w:link w:val="TitleChar"/>
    <w:uiPriority w:val="10"/>
    <w:qFormat/>
    <w:rsid w:val="00E017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17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17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17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178D"/>
    <w:pPr>
      <w:spacing w:before="160"/>
      <w:jc w:val="center"/>
    </w:pPr>
    <w:rPr>
      <w:i w:val="0"/>
      <w:iCs/>
      <w:color w:val="404040" w:themeColor="text1" w:themeTint="BF"/>
    </w:rPr>
  </w:style>
  <w:style w:type="character" w:customStyle="1" w:styleId="QuoteChar">
    <w:name w:val="Quote Char"/>
    <w:basedOn w:val="DefaultParagraphFont"/>
    <w:link w:val="Quote"/>
    <w:uiPriority w:val="29"/>
    <w:rsid w:val="00E0178D"/>
    <w:rPr>
      <w:i/>
      <w:iCs/>
      <w:color w:val="404040" w:themeColor="text1" w:themeTint="BF"/>
    </w:rPr>
  </w:style>
  <w:style w:type="paragraph" w:styleId="ListParagraph">
    <w:name w:val="List Paragraph"/>
    <w:basedOn w:val="Normal"/>
    <w:uiPriority w:val="34"/>
    <w:qFormat/>
    <w:rsid w:val="00E0178D"/>
    <w:pPr>
      <w:ind w:left="720"/>
      <w:contextualSpacing/>
    </w:pPr>
  </w:style>
  <w:style w:type="character" w:styleId="IntenseEmphasis">
    <w:name w:val="Intense Emphasis"/>
    <w:basedOn w:val="DefaultParagraphFont"/>
    <w:uiPriority w:val="21"/>
    <w:qFormat/>
    <w:rsid w:val="00E0178D"/>
    <w:rPr>
      <w:i/>
      <w:iCs/>
      <w:color w:val="0F4761" w:themeColor="accent1" w:themeShade="BF"/>
    </w:rPr>
  </w:style>
  <w:style w:type="paragraph" w:styleId="IntenseQuote">
    <w:name w:val="Intense Quote"/>
    <w:basedOn w:val="Normal"/>
    <w:next w:val="Normal"/>
    <w:link w:val="IntenseQuoteChar"/>
    <w:uiPriority w:val="30"/>
    <w:qFormat/>
    <w:rsid w:val="00E0178D"/>
    <w:pPr>
      <w:pBdr>
        <w:top w:val="single" w:sz="4" w:space="10" w:color="0F4761" w:themeColor="accent1" w:themeShade="BF"/>
        <w:bottom w:val="single" w:sz="4" w:space="10" w:color="0F4761" w:themeColor="accent1" w:themeShade="BF"/>
      </w:pBdr>
      <w:spacing w:before="360" w:after="360"/>
      <w:ind w:left="864" w:right="864"/>
      <w:jc w:val="center"/>
    </w:pPr>
    <w:rPr>
      <w:i w:val="0"/>
      <w:iCs/>
      <w:color w:val="0F4761" w:themeColor="accent1" w:themeShade="BF"/>
    </w:rPr>
  </w:style>
  <w:style w:type="character" w:customStyle="1" w:styleId="IntenseQuoteChar">
    <w:name w:val="Intense Quote Char"/>
    <w:basedOn w:val="DefaultParagraphFont"/>
    <w:link w:val="IntenseQuote"/>
    <w:uiPriority w:val="30"/>
    <w:rsid w:val="00E0178D"/>
    <w:rPr>
      <w:i/>
      <w:iCs/>
      <w:color w:val="0F4761" w:themeColor="accent1" w:themeShade="BF"/>
    </w:rPr>
  </w:style>
  <w:style w:type="character" w:styleId="IntenseReference">
    <w:name w:val="Intense Reference"/>
    <w:basedOn w:val="DefaultParagraphFont"/>
    <w:uiPriority w:val="32"/>
    <w:qFormat/>
    <w:rsid w:val="00E0178D"/>
    <w:rPr>
      <w:b/>
      <w:bCs/>
      <w:smallCaps/>
      <w:color w:val="0F4761" w:themeColor="accent1" w:themeShade="BF"/>
      <w:spacing w:val="5"/>
    </w:rPr>
  </w:style>
  <w:style w:type="paragraph" w:styleId="Revision">
    <w:name w:val="Revision"/>
    <w:hidden/>
    <w:uiPriority w:val="99"/>
    <w:semiHidden/>
    <w:rsid w:val="00926F96"/>
    <w:pPr>
      <w:spacing w:after="0" w:line="240" w:lineRule="auto"/>
    </w:pPr>
    <w:rPr>
      <w:rFonts w:ascii="Times New Roman" w:hAnsi="Times New Roman"/>
      <w:i/>
    </w:rPr>
  </w:style>
  <w:style w:type="paragraph" w:styleId="Header">
    <w:name w:val="header"/>
    <w:basedOn w:val="Normal"/>
    <w:link w:val="HeaderChar"/>
    <w:uiPriority w:val="99"/>
    <w:unhideWhenUsed/>
    <w:rsid w:val="00EE7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A23"/>
    <w:rPr>
      <w:rFonts w:ascii="Times New Roman" w:hAnsi="Times New Roman"/>
      <w:i/>
    </w:rPr>
  </w:style>
  <w:style w:type="paragraph" w:styleId="Footer">
    <w:name w:val="footer"/>
    <w:basedOn w:val="Normal"/>
    <w:link w:val="FooterChar"/>
    <w:uiPriority w:val="99"/>
    <w:unhideWhenUsed/>
    <w:rsid w:val="00EE7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A23"/>
    <w:rPr>
      <w:rFonts w:ascii="Times New Roman" w:hAnsi="Times New Roman"/>
      <w:i/>
    </w:rPr>
  </w:style>
  <w:style w:type="character" w:styleId="LineNumber">
    <w:name w:val="line number"/>
    <w:basedOn w:val="DefaultParagraphFont"/>
    <w:uiPriority w:val="99"/>
    <w:semiHidden/>
    <w:unhideWhenUsed/>
    <w:rsid w:val="00EE7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969</Words>
  <Characters>5525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Nagwa Hashem</dc:creator>
  <cp:keywords/>
  <dc:description/>
  <cp:lastModifiedBy>Francesca Brentegani</cp:lastModifiedBy>
  <cp:revision>4</cp:revision>
  <dcterms:created xsi:type="dcterms:W3CDTF">2026-06-12T12:50:00Z</dcterms:created>
  <dcterms:modified xsi:type="dcterms:W3CDTF">2026-06-19T14:47:00Z</dcterms:modified>
</cp:coreProperties>
</file>