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5CC" w:rsidRPr="000C45CC" w:rsidRDefault="000C45CC" w:rsidP="000C45CC">
      <w:pPr>
        <w:rPr>
          <w:b/>
          <w:sz w:val="24"/>
          <w:szCs w:val="24"/>
        </w:rPr>
      </w:pPr>
      <w:r w:rsidRPr="000C45CC">
        <w:rPr>
          <w:b/>
          <w:sz w:val="24"/>
          <w:szCs w:val="24"/>
        </w:rPr>
        <w:t>Supplementary Figure S1</w:t>
      </w:r>
    </w:p>
    <w:p w:rsidR="000C45CC" w:rsidRPr="000C45CC" w:rsidRDefault="000C45CC" w:rsidP="000C45CC">
      <w:pPr>
        <w:rPr>
          <w:b/>
          <w:sz w:val="24"/>
          <w:szCs w:val="24"/>
        </w:rPr>
      </w:pPr>
    </w:p>
    <w:p w:rsidR="000C45CC" w:rsidRDefault="003B2CCC" w:rsidP="00A64E26">
      <w:pPr>
        <w:spacing w:line="480" w:lineRule="auto"/>
        <w:rPr>
          <w:rFonts w:cs="Arial"/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19311938" wp14:editId="0BA141E1">
            <wp:simplePos x="0" y="0"/>
            <wp:positionH relativeFrom="column">
              <wp:posOffset>1905</wp:posOffset>
            </wp:positionH>
            <wp:positionV relativeFrom="paragraph">
              <wp:posOffset>-635</wp:posOffset>
            </wp:positionV>
            <wp:extent cx="3301200" cy="6339600"/>
            <wp:effectExtent l="0" t="0" r="0" b="4445"/>
            <wp:wrapSquare wrapText="bothSides"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Fig 1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1200" cy="633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45CC" w:rsidRPr="000C45CC">
        <w:rPr>
          <w:rFonts w:cs="Arial"/>
          <w:b/>
          <w:sz w:val="24"/>
          <w:szCs w:val="24"/>
        </w:rPr>
        <w:t xml:space="preserve">Representative blots of </w:t>
      </w:r>
      <w:r w:rsidR="000C45CC">
        <w:rPr>
          <w:rFonts w:cs="Arial"/>
          <w:b/>
          <w:sz w:val="24"/>
          <w:szCs w:val="24"/>
        </w:rPr>
        <w:t xml:space="preserve">direct </w:t>
      </w:r>
      <w:r w:rsidR="00A64E26">
        <w:rPr>
          <w:rFonts w:cs="Arial"/>
          <w:b/>
          <w:sz w:val="24"/>
          <w:szCs w:val="24"/>
        </w:rPr>
        <w:t xml:space="preserve">detection </w:t>
      </w:r>
      <w:r>
        <w:rPr>
          <w:rFonts w:cs="Arial"/>
          <w:b/>
          <w:sz w:val="24"/>
          <w:szCs w:val="24"/>
        </w:rPr>
        <w:t>(</w:t>
      </w:r>
      <w:proofErr w:type="gramStart"/>
      <w:r>
        <w:rPr>
          <w:rFonts w:cs="Arial"/>
          <w:b/>
          <w:sz w:val="24"/>
          <w:szCs w:val="24"/>
        </w:rPr>
        <w:t>a &amp;</w:t>
      </w:r>
      <w:proofErr w:type="gramEnd"/>
      <w:r>
        <w:rPr>
          <w:rFonts w:cs="Arial"/>
          <w:b/>
          <w:sz w:val="24"/>
          <w:szCs w:val="24"/>
        </w:rPr>
        <w:t xml:space="preserve"> b) </w:t>
      </w:r>
      <w:r w:rsidR="000C45CC">
        <w:rPr>
          <w:rFonts w:cs="Arial"/>
          <w:b/>
          <w:sz w:val="24"/>
          <w:szCs w:val="24"/>
        </w:rPr>
        <w:t>and GPCR-mediated co-precipitation of proteins</w:t>
      </w:r>
      <w:r>
        <w:rPr>
          <w:rFonts w:cs="Arial"/>
          <w:b/>
          <w:sz w:val="24"/>
          <w:szCs w:val="24"/>
        </w:rPr>
        <w:t xml:space="preserve"> (c)</w:t>
      </w:r>
      <w:r w:rsidR="000C45CC">
        <w:rPr>
          <w:rFonts w:cs="Arial"/>
          <w:b/>
          <w:sz w:val="24"/>
          <w:szCs w:val="24"/>
        </w:rPr>
        <w:t xml:space="preserve"> from human </w:t>
      </w:r>
      <w:r w:rsidR="000C45CC" w:rsidRPr="000C45CC">
        <w:rPr>
          <w:rFonts w:cs="Arial"/>
          <w:b/>
          <w:sz w:val="24"/>
          <w:szCs w:val="24"/>
        </w:rPr>
        <w:t xml:space="preserve">prefrontal cortical </w:t>
      </w:r>
      <w:r w:rsidR="000C45CC">
        <w:rPr>
          <w:rFonts w:cs="Arial"/>
          <w:b/>
          <w:sz w:val="24"/>
          <w:szCs w:val="24"/>
        </w:rPr>
        <w:t>synaptosomes</w:t>
      </w:r>
      <w:r w:rsidR="000C45CC" w:rsidRPr="000C45CC">
        <w:rPr>
          <w:rFonts w:cs="Arial"/>
          <w:b/>
          <w:sz w:val="24"/>
          <w:szCs w:val="24"/>
        </w:rPr>
        <w:t xml:space="preserve">. </w:t>
      </w:r>
    </w:p>
    <w:p w:rsidR="000C45CC" w:rsidRPr="000C45CC" w:rsidRDefault="00050A9D" w:rsidP="00A64E26">
      <w:pPr>
        <w:spacing w:line="480" w:lineRule="auto"/>
        <w:jc w:val="both"/>
        <w:rPr>
          <w:sz w:val="24"/>
          <w:szCs w:val="24"/>
        </w:rPr>
      </w:pPr>
      <w:r>
        <w:rPr>
          <w:rFonts w:cs="Arial"/>
          <w:sz w:val="24"/>
          <w:szCs w:val="24"/>
        </w:rPr>
        <w:t>With the aim of obtaining reliable data</w:t>
      </w:r>
      <w:r w:rsidR="00FD2B46">
        <w:rPr>
          <w:rFonts w:cs="Arial"/>
          <w:sz w:val="24"/>
          <w:szCs w:val="24"/>
        </w:rPr>
        <w:t>,</w:t>
      </w:r>
      <w:r>
        <w:rPr>
          <w:rFonts w:cs="Arial"/>
          <w:sz w:val="24"/>
          <w:szCs w:val="24"/>
        </w:rPr>
        <w:t xml:space="preserve"> the blots were used only for a single determination, with the exception of </w:t>
      </w:r>
      <w:r w:rsidRPr="000C45CC">
        <w:rPr>
          <w:sz w:val="24"/>
          <w:szCs w:val="24"/>
        </w:rPr>
        <w:t>α-tubulin</w:t>
      </w:r>
      <w:r w:rsidRPr="000C45CC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 xml:space="preserve">that was obtained by reblotting the membrane. </w:t>
      </w:r>
      <w:r w:rsidR="000C45CC" w:rsidRPr="000C45CC">
        <w:rPr>
          <w:rFonts w:cs="Arial"/>
          <w:sz w:val="24"/>
          <w:szCs w:val="24"/>
        </w:rPr>
        <w:t>A single blot was divided into sections, e.g. uppe</w:t>
      </w:r>
      <w:r w:rsidR="000C45CC">
        <w:rPr>
          <w:rFonts w:cs="Arial"/>
          <w:sz w:val="24"/>
          <w:szCs w:val="24"/>
        </w:rPr>
        <w:t>r, middle and lower, and each was</w:t>
      </w:r>
      <w:r w:rsidR="000C45CC" w:rsidRPr="000C45CC">
        <w:rPr>
          <w:rFonts w:cs="Arial"/>
          <w:sz w:val="24"/>
          <w:szCs w:val="24"/>
        </w:rPr>
        <w:t xml:space="preserve"> incubated with a different primary antibody. </w:t>
      </w:r>
      <w:r w:rsidR="000C45CC">
        <w:rPr>
          <w:rFonts w:cs="Arial"/>
          <w:sz w:val="24"/>
          <w:szCs w:val="24"/>
        </w:rPr>
        <w:t>Several proteins under study exhibit</w:t>
      </w:r>
      <w:r w:rsidR="00FD2B46">
        <w:rPr>
          <w:rFonts w:cs="Arial"/>
          <w:sz w:val="24"/>
          <w:szCs w:val="24"/>
        </w:rPr>
        <w:t>ed</w:t>
      </w:r>
      <w:r w:rsidR="000C45CC">
        <w:rPr>
          <w:rFonts w:cs="Arial"/>
          <w:sz w:val="24"/>
          <w:szCs w:val="24"/>
        </w:rPr>
        <w:t xml:space="preserve"> </w:t>
      </w:r>
      <w:r w:rsidR="000C45CC" w:rsidRPr="000C45CC">
        <w:rPr>
          <w:sz w:val="24"/>
          <w:szCs w:val="24"/>
        </w:rPr>
        <w:t xml:space="preserve">similar </w:t>
      </w:r>
      <w:r w:rsidR="000C45CC">
        <w:rPr>
          <w:sz w:val="24"/>
          <w:szCs w:val="24"/>
        </w:rPr>
        <w:t xml:space="preserve">size. </w:t>
      </w:r>
      <w:r w:rsidR="00FD2B46">
        <w:rPr>
          <w:sz w:val="24"/>
          <w:szCs w:val="24"/>
        </w:rPr>
        <w:t>T</w:t>
      </w:r>
      <w:r w:rsidR="000C45CC">
        <w:rPr>
          <w:sz w:val="24"/>
          <w:szCs w:val="24"/>
        </w:rPr>
        <w:t>he</w:t>
      </w:r>
      <w:r w:rsidR="000C45CC" w:rsidRPr="000C45CC">
        <w:rPr>
          <w:sz w:val="24"/>
          <w:szCs w:val="24"/>
        </w:rPr>
        <w:t xml:space="preserve"> blots could not be </w:t>
      </w:r>
      <w:r w:rsidR="000C45CC">
        <w:rPr>
          <w:sz w:val="24"/>
          <w:szCs w:val="24"/>
        </w:rPr>
        <w:t xml:space="preserve">accurately </w:t>
      </w:r>
      <w:r w:rsidR="000C45CC" w:rsidRPr="000C45CC">
        <w:rPr>
          <w:sz w:val="24"/>
          <w:szCs w:val="24"/>
        </w:rPr>
        <w:t xml:space="preserve">cropped </w:t>
      </w:r>
      <w:r w:rsidR="000C45CC">
        <w:rPr>
          <w:sz w:val="24"/>
          <w:szCs w:val="24"/>
        </w:rPr>
        <w:t>for their simultaneous detection</w:t>
      </w:r>
      <w:r w:rsidR="00FD2B46">
        <w:rPr>
          <w:sz w:val="24"/>
          <w:szCs w:val="24"/>
        </w:rPr>
        <w:t>;</w:t>
      </w:r>
      <w:r w:rsidR="000C45CC">
        <w:rPr>
          <w:sz w:val="24"/>
          <w:szCs w:val="24"/>
        </w:rPr>
        <w:t xml:space="preserve"> and </w:t>
      </w:r>
      <w:r w:rsidR="00FD2B46">
        <w:rPr>
          <w:sz w:val="24"/>
          <w:szCs w:val="24"/>
        </w:rPr>
        <w:t xml:space="preserve">in these cases, </w:t>
      </w:r>
      <w:r w:rsidR="000C45CC">
        <w:rPr>
          <w:sz w:val="24"/>
          <w:szCs w:val="24"/>
        </w:rPr>
        <w:t xml:space="preserve">similar </w:t>
      </w:r>
      <w:r w:rsidR="000C45CC" w:rsidRPr="000C45CC">
        <w:rPr>
          <w:rFonts w:cs="Arial"/>
          <w:sz w:val="24"/>
          <w:szCs w:val="24"/>
        </w:rPr>
        <w:t>region</w:t>
      </w:r>
      <w:r w:rsidR="000C45CC">
        <w:rPr>
          <w:rFonts w:cs="Arial"/>
          <w:sz w:val="24"/>
          <w:szCs w:val="24"/>
        </w:rPr>
        <w:t>s</w:t>
      </w:r>
      <w:r w:rsidR="000C45CC" w:rsidRPr="000C45CC">
        <w:rPr>
          <w:rFonts w:cs="Arial"/>
          <w:sz w:val="24"/>
          <w:szCs w:val="24"/>
        </w:rPr>
        <w:t xml:space="preserve"> </w:t>
      </w:r>
      <w:r w:rsidR="000C45CC">
        <w:rPr>
          <w:rFonts w:cs="Arial"/>
          <w:sz w:val="24"/>
          <w:szCs w:val="24"/>
        </w:rPr>
        <w:t>of a series of identical blots (generated with the same human samples) were used</w:t>
      </w:r>
      <w:r w:rsidR="000C45CC" w:rsidRPr="000C45CC">
        <w:rPr>
          <w:sz w:val="24"/>
          <w:szCs w:val="24"/>
        </w:rPr>
        <w:t>.</w:t>
      </w:r>
      <w:r w:rsidR="000C45CC">
        <w:rPr>
          <w:sz w:val="24"/>
          <w:szCs w:val="24"/>
        </w:rPr>
        <w:t xml:space="preserve"> </w:t>
      </w:r>
      <w:r w:rsidR="000C45CC" w:rsidRPr="000C45CC">
        <w:rPr>
          <w:rFonts w:cs="Arial"/>
          <w:sz w:val="24"/>
          <w:szCs w:val="24"/>
        </w:rPr>
        <w:t>In the case of direct detection</w:t>
      </w:r>
      <w:r w:rsidR="000C45CC">
        <w:rPr>
          <w:rFonts w:cs="Arial"/>
          <w:sz w:val="24"/>
          <w:szCs w:val="24"/>
        </w:rPr>
        <w:t>,</w:t>
      </w:r>
      <w:r w:rsidR="000C45CC" w:rsidRPr="000C45CC">
        <w:rPr>
          <w:rFonts w:cs="Arial"/>
          <w:sz w:val="24"/>
          <w:szCs w:val="24"/>
        </w:rPr>
        <w:t xml:space="preserve"> </w:t>
      </w:r>
      <w:r w:rsidR="000C45CC" w:rsidRPr="000C45CC">
        <w:rPr>
          <w:sz w:val="24"/>
          <w:szCs w:val="24"/>
        </w:rPr>
        <w:t>nNOS, NR1, β-catenin or their phosphorylations</w:t>
      </w:r>
      <w:r w:rsidR="000C45CC" w:rsidRPr="000C45CC">
        <w:rPr>
          <w:rFonts w:cs="Arial"/>
          <w:sz w:val="24"/>
          <w:szCs w:val="24"/>
        </w:rPr>
        <w:t xml:space="preserve"> </w:t>
      </w:r>
      <w:r w:rsidR="000C45CC">
        <w:rPr>
          <w:rFonts w:cs="Arial"/>
          <w:sz w:val="24"/>
          <w:szCs w:val="24"/>
        </w:rPr>
        <w:t xml:space="preserve">were studied in </w:t>
      </w:r>
      <w:r w:rsidR="000C45CC" w:rsidRPr="000C45CC">
        <w:rPr>
          <w:rFonts w:cs="Arial"/>
          <w:sz w:val="24"/>
          <w:szCs w:val="24"/>
        </w:rPr>
        <w:t>the upper region</w:t>
      </w:r>
      <w:r w:rsidR="000C45CC">
        <w:rPr>
          <w:rFonts w:cs="Arial"/>
          <w:sz w:val="24"/>
          <w:szCs w:val="24"/>
        </w:rPr>
        <w:t>s.</w:t>
      </w:r>
      <w:r w:rsidR="000C45CC" w:rsidRPr="000C45CC">
        <w:rPr>
          <w:sz w:val="24"/>
          <w:szCs w:val="24"/>
        </w:rPr>
        <w:t xml:space="preserve"> </w:t>
      </w:r>
      <w:r w:rsidR="000C45CC">
        <w:rPr>
          <w:sz w:val="24"/>
          <w:szCs w:val="24"/>
        </w:rPr>
        <w:t xml:space="preserve">Similarly, </w:t>
      </w:r>
      <w:r w:rsidR="000C45CC" w:rsidRPr="000C45CC">
        <w:rPr>
          <w:sz w:val="24"/>
          <w:szCs w:val="24"/>
        </w:rPr>
        <w:t xml:space="preserve">PKCγ, GSK3β, CAMKII or their phosphorylations were analyzed </w:t>
      </w:r>
      <w:r w:rsidR="000C45CC">
        <w:rPr>
          <w:sz w:val="24"/>
          <w:szCs w:val="24"/>
        </w:rPr>
        <w:t>i</w:t>
      </w:r>
      <w:r w:rsidR="000C45CC" w:rsidRPr="000C45CC">
        <w:rPr>
          <w:sz w:val="24"/>
          <w:szCs w:val="24"/>
        </w:rPr>
        <w:t>n middle region</w:t>
      </w:r>
      <w:r w:rsidR="00FD2B46">
        <w:rPr>
          <w:sz w:val="24"/>
          <w:szCs w:val="24"/>
        </w:rPr>
        <w:t>s.</w:t>
      </w:r>
      <w:r w:rsidR="000C45CC" w:rsidRPr="000C45CC">
        <w:rPr>
          <w:sz w:val="24"/>
          <w:szCs w:val="24"/>
        </w:rPr>
        <w:t xml:space="preserve"> </w:t>
      </w:r>
      <w:r w:rsidR="00FD2B46">
        <w:rPr>
          <w:sz w:val="24"/>
          <w:szCs w:val="24"/>
        </w:rPr>
        <w:t>T</w:t>
      </w:r>
      <w:r w:rsidR="000C45CC" w:rsidRPr="000C45CC">
        <w:rPr>
          <w:sz w:val="24"/>
          <w:szCs w:val="24"/>
        </w:rPr>
        <w:t>he lower region</w:t>
      </w:r>
      <w:r w:rsidR="000C45CC">
        <w:rPr>
          <w:sz w:val="24"/>
          <w:szCs w:val="24"/>
        </w:rPr>
        <w:t xml:space="preserve">s of these blots provided information </w:t>
      </w:r>
      <w:r w:rsidR="00FD2B46">
        <w:rPr>
          <w:sz w:val="24"/>
          <w:szCs w:val="24"/>
        </w:rPr>
        <w:t>on</w:t>
      </w:r>
      <w:r w:rsidR="000C45CC">
        <w:rPr>
          <w:sz w:val="24"/>
          <w:szCs w:val="24"/>
        </w:rPr>
        <w:t xml:space="preserve"> </w:t>
      </w:r>
      <w:r w:rsidR="000C45CC">
        <w:rPr>
          <w:sz w:val="24"/>
          <w:szCs w:val="24"/>
        </w:rPr>
        <w:lastRenderedPageBreak/>
        <w:t>HINT1</w:t>
      </w:r>
      <w:r w:rsidR="000C45CC" w:rsidRPr="000C45CC">
        <w:rPr>
          <w:sz w:val="24"/>
          <w:szCs w:val="24"/>
        </w:rPr>
        <w:t xml:space="preserve"> </w:t>
      </w:r>
      <w:r w:rsidR="000C45CC">
        <w:rPr>
          <w:sz w:val="24"/>
          <w:szCs w:val="24"/>
        </w:rPr>
        <w:t>and</w:t>
      </w:r>
      <w:r w:rsidR="000C45CC" w:rsidRPr="000C45CC">
        <w:rPr>
          <w:sz w:val="24"/>
          <w:szCs w:val="24"/>
        </w:rPr>
        <w:t xml:space="preserve"> σ1R. Equal loading was verified and adjusted, if necessary, </w:t>
      </w:r>
      <w:r w:rsidR="00FD2B46">
        <w:rPr>
          <w:sz w:val="24"/>
          <w:szCs w:val="24"/>
        </w:rPr>
        <w:t>using</w:t>
      </w:r>
      <w:r w:rsidR="000C45CC" w:rsidRPr="000C45CC">
        <w:rPr>
          <w:sz w:val="24"/>
          <w:szCs w:val="24"/>
        </w:rPr>
        <w:t xml:space="preserve"> α-tubulin</w:t>
      </w:r>
      <w:r w:rsidR="00FD2B46">
        <w:rPr>
          <w:sz w:val="24"/>
          <w:szCs w:val="24"/>
        </w:rPr>
        <w:t xml:space="preserve"> as the loading control</w:t>
      </w:r>
      <w:r w:rsidR="000C45CC" w:rsidRPr="000C45CC">
        <w:rPr>
          <w:sz w:val="24"/>
          <w:szCs w:val="24"/>
        </w:rPr>
        <w:t>.</w:t>
      </w:r>
    </w:p>
    <w:p w:rsidR="000C45CC" w:rsidRDefault="000C45CC" w:rsidP="000C45CC">
      <w:pPr>
        <w:spacing w:line="480" w:lineRule="auto"/>
        <w:jc w:val="both"/>
        <w:rPr>
          <w:sz w:val="24"/>
          <w:szCs w:val="24"/>
        </w:rPr>
      </w:pPr>
      <w:r w:rsidRPr="000C45CC">
        <w:rPr>
          <w:sz w:val="24"/>
          <w:szCs w:val="24"/>
        </w:rPr>
        <w:t>In the GPCR immunoprecipitation s</w:t>
      </w:r>
      <w:r>
        <w:rPr>
          <w:sz w:val="24"/>
          <w:szCs w:val="24"/>
        </w:rPr>
        <w:t>tudies, the middle region wa</w:t>
      </w:r>
      <w:r w:rsidRPr="000C45CC">
        <w:rPr>
          <w:sz w:val="24"/>
          <w:szCs w:val="24"/>
        </w:rPr>
        <w:t xml:space="preserve">s dedicated to the detection of the GPCR, the upper region for co-precipitated NR1C1 subunits and the lower </w:t>
      </w:r>
      <w:r w:rsidR="00FD2B46">
        <w:rPr>
          <w:sz w:val="24"/>
          <w:szCs w:val="24"/>
        </w:rPr>
        <w:t>to</w:t>
      </w:r>
      <w:r w:rsidRPr="000C45CC">
        <w:rPr>
          <w:sz w:val="24"/>
          <w:szCs w:val="24"/>
        </w:rPr>
        <w:t xml:space="preserve"> HINT1. </w:t>
      </w:r>
      <w:r w:rsidR="00792CE8">
        <w:rPr>
          <w:sz w:val="24"/>
          <w:szCs w:val="24"/>
        </w:rPr>
        <w:t>The</w:t>
      </w:r>
      <w:r>
        <w:rPr>
          <w:sz w:val="24"/>
          <w:szCs w:val="24"/>
        </w:rPr>
        <w:t xml:space="preserve"> secondary antibodies</w:t>
      </w:r>
      <w:r w:rsidRPr="000C45CC">
        <w:rPr>
          <w:sz w:val="24"/>
          <w:szCs w:val="24"/>
        </w:rPr>
        <w:t xml:space="preserve"> </w:t>
      </w:r>
      <w:r w:rsidR="00792CE8">
        <w:rPr>
          <w:sz w:val="24"/>
          <w:szCs w:val="24"/>
        </w:rPr>
        <w:t xml:space="preserve">were </w:t>
      </w:r>
      <w:r w:rsidRPr="000C45CC">
        <w:rPr>
          <w:sz w:val="24"/>
          <w:szCs w:val="24"/>
        </w:rPr>
        <w:t xml:space="preserve">directed to </w:t>
      </w:r>
      <w:r>
        <w:rPr>
          <w:sz w:val="24"/>
          <w:szCs w:val="24"/>
        </w:rPr>
        <w:t xml:space="preserve">either the </w:t>
      </w:r>
      <w:r w:rsidRPr="000C45CC">
        <w:rPr>
          <w:sz w:val="24"/>
          <w:szCs w:val="24"/>
        </w:rPr>
        <w:t>heavy or light IgG chains</w:t>
      </w:r>
      <w:r w:rsidR="00792CE8">
        <w:rPr>
          <w:sz w:val="24"/>
          <w:szCs w:val="24"/>
        </w:rPr>
        <w:t xml:space="preserve"> of the primary antibodies, as needed. Thus, the secondary antibodies</w:t>
      </w:r>
      <w:r w:rsidRPr="000C45CC">
        <w:rPr>
          <w:sz w:val="24"/>
          <w:szCs w:val="24"/>
        </w:rPr>
        <w:t xml:space="preserve"> </w:t>
      </w:r>
      <w:r w:rsidR="00792CE8">
        <w:rPr>
          <w:sz w:val="24"/>
          <w:szCs w:val="24"/>
        </w:rPr>
        <w:t xml:space="preserve">also reacted </w:t>
      </w:r>
      <w:r w:rsidR="00FD2B46">
        <w:rPr>
          <w:sz w:val="24"/>
          <w:szCs w:val="24"/>
        </w:rPr>
        <w:t xml:space="preserve">primarily </w:t>
      </w:r>
      <w:r w:rsidR="00792CE8">
        <w:rPr>
          <w:sz w:val="24"/>
          <w:szCs w:val="24"/>
        </w:rPr>
        <w:t xml:space="preserve">with the separated IgG </w:t>
      </w:r>
      <w:r w:rsidR="00FD2B46">
        <w:rPr>
          <w:sz w:val="24"/>
          <w:szCs w:val="24"/>
        </w:rPr>
        <w:t xml:space="preserve">light </w:t>
      </w:r>
      <w:r w:rsidR="00792CE8">
        <w:rPr>
          <w:sz w:val="24"/>
          <w:szCs w:val="24"/>
        </w:rPr>
        <w:t xml:space="preserve">chains of the accompanying antibodies used to </w:t>
      </w:r>
      <w:proofErr w:type="spellStart"/>
      <w:r w:rsidR="00792CE8">
        <w:rPr>
          <w:sz w:val="24"/>
          <w:szCs w:val="24"/>
        </w:rPr>
        <w:t>immunoprecipitate</w:t>
      </w:r>
      <w:proofErr w:type="spellEnd"/>
      <w:r w:rsidR="00792CE8">
        <w:rPr>
          <w:sz w:val="24"/>
          <w:szCs w:val="24"/>
        </w:rPr>
        <w:t xml:space="preserve"> de target GPCR and provided the loading control for the samples in the gel.</w:t>
      </w:r>
    </w:p>
    <w:p w:rsidR="00CD471D" w:rsidRPr="000C45CC" w:rsidRDefault="00CD471D" w:rsidP="000C45CC">
      <w:pPr>
        <w:spacing w:line="480" w:lineRule="auto"/>
        <w:jc w:val="both"/>
        <w:rPr>
          <w:rFonts w:cs="Arial"/>
          <w:sz w:val="24"/>
          <w:szCs w:val="24"/>
        </w:rPr>
      </w:pPr>
      <w:r>
        <w:rPr>
          <w:sz w:val="24"/>
          <w:szCs w:val="24"/>
        </w:rPr>
        <w:t xml:space="preserve">(a) Left, triplet 1; Right, triplet 6. (b) Left, triplet 2; Right, triplet 5. (c) Left, triplet </w:t>
      </w:r>
      <w:r w:rsidR="00E733C6">
        <w:rPr>
          <w:sz w:val="24"/>
          <w:szCs w:val="24"/>
        </w:rPr>
        <w:t>12; Right, triplet 14</w:t>
      </w:r>
      <w:bookmarkStart w:id="0" w:name="_GoBack"/>
      <w:bookmarkEnd w:id="0"/>
      <w:r>
        <w:rPr>
          <w:sz w:val="24"/>
          <w:szCs w:val="24"/>
        </w:rPr>
        <w:t xml:space="preserve"> (for details, see Supplementary Table S1).</w:t>
      </w:r>
    </w:p>
    <w:p w:rsidR="000C45CC" w:rsidRPr="000C45CC" w:rsidRDefault="000C45CC" w:rsidP="000C45CC">
      <w:pPr>
        <w:rPr>
          <w:b/>
          <w:sz w:val="24"/>
          <w:szCs w:val="24"/>
        </w:rPr>
      </w:pPr>
    </w:p>
    <w:p w:rsidR="000C45CC" w:rsidRPr="000C45CC" w:rsidRDefault="000C45CC" w:rsidP="000C45CC">
      <w:pPr>
        <w:rPr>
          <w:b/>
          <w:sz w:val="24"/>
          <w:szCs w:val="24"/>
        </w:rPr>
      </w:pPr>
    </w:p>
    <w:p w:rsidR="000C45CC" w:rsidRPr="00F70236" w:rsidRDefault="000C45CC" w:rsidP="000C45CC"/>
    <w:p w:rsidR="00131927" w:rsidRDefault="00E733C6"/>
    <w:sectPr w:rsidR="00131927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5CC"/>
    <w:rsid w:val="00050A9D"/>
    <w:rsid w:val="000C45CC"/>
    <w:rsid w:val="0013480E"/>
    <w:rsid w:val="003B2CCC"/>
    <w:rsid w:val="00531033"/>
    <w:rsid w:val="00792CE8"/>
    <w:rsid w:val="00971678"/>
    <w:rsid w:val="009816C0"/>
    <w:rsid w:val="00A64E26"/>
    <w:rsid w:val="00BF4C37"/>
    <w:rsid w:val="00CD471D"/>
    <w:rsid w:val="00E733C6"/>
    <w:rsid w:val="00FD2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45CC"/>
    <w:pPr>
      <w:spacing w:before="0" w:beforeAutospacing="0" w:after="0" w:afterAutospacing="0" w:line="240" w:lineRule="auto"/>
      <w:jc w:val="left"/>
    </w:pPr>
    <w:rPr>
      <w:rFonts w:ascii="Times New Roman" w:eastAsia="Calibri" w:hAnsi="Times New Roman" w:cs="Times New Roman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B2CC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B2CC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45CC"/>
    <w:pPr>
      <w:spacing w:before="0" w:beforeAutospacing="0" w:after="0" w:afterAutospacing="0" w:line="240" w:lineRule="auto"/>
      <w:jc w:val="left"/>
    </w:pPr>
    <w:rPr>
      <w:rFonts w:ascii="Times New Roman" w:eastAsia="Calibri" w:hAnsi="Times New Roman" w:cs="Times New Roman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B2CC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B2CC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Javier</dc:creator>
  <cp:lastModifiedBy>Javier</cp:lastModifiedBy>
  <cp:revision>8</cp:revision>
  <dcterms:created xsi:type="dcterms:W3CDTF">2017-07-06T12:17:00Z</dcterms:created>
  <dcterms:modified xsi:type="dcterms:W3CDTF">2017-08-02T13:22:00Z</dcterms:modified>
</cp:coreProperties>
</file>