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AA2" w:rsidRPr="00207887" w:rsidRDefault="005A5AA2" w:rsidP="005A5AA2">
      <w:pPr>
        <w:pStyle w:val="SupplementaryMaterial"/>
        <w:rPr>
          <w:rFonts w:cs="Arial"/>
          <w:color w:val="000000" w:themeColor="text1"/>
          <w:lang w:val="en-GB"/>
        </w:rPr>
      </w:pPr>
      <w:r w:rsidRPr="001549D3">
        <w:t>Supplementary Material</w:t>
      </w:r>
    </w:p>
    <w:p w:rsidR="005A5AA2" w:rsidRPr="003B71D8" w:rsidRDefault="005A5AA2" w:rsidP="005A5AA2">
      <w:pPr>
        <w:spacing w:before="240" w:after="360"/>
        <w:jc w:val="center"/>
        <w:rPr>
          <w:rFonts w:cs="Times New Roman"/>
          <w:b/>
          <w:sz w:val="28"/>
          <w:szCs w:val="28"/>
        </w:rPr>
      </w:pPr>
      <w:r w:rsidRPr="003B71D8">
        <w:rPr>
          <w:rFonts w:cs="Times New Roman"/>
          <w:b/>
          <w:sz w:val="28"/>
          <w:szCs w:val="28"/>
        </w:rPr>
        <w:t xml:space="preserve">Enzymatic </w:t>
      </w:r>
      <w:r>
        <w:rPr>
          <w:rFonts w:cs="Times New Roman"/>
          <w:b/>
          <w:sz w:val="28"/>
          <w:szCs w:val="28"/>
        </w:rPr>
        <w:t>D</w:t>
      </w:r>
      <w:r w:rsidRPr="003B71D8">
        <w:rPr>
          <w:rFonts w:cs="Times New Roman"/>
          <w:b/>
          <w:sz w:val="28"/>
          <w:szCs w:val="28"/>
        </w:rPr>
        <w:t xml:space="preserve">egradation of </w:t>
      </w:r>
      <w:r>
        <w:rPr>
          <w:rFonts w:cs="Times New Roman"/>
          <w:b/>
          <w:sz w:val="28"/>
          <w:szCs w:val="28"/>
        </w:rPr>
        <w:t>A</w:t>
      </w:r>
      <w:r w:rsidRPr="003B71D8">
        <w:rPr>
          <w:rFonts w:cs="Times New Roman"/>
          <w:b/>
          <w:sz w:val="28"/>
          <w:szCs w:val="28"/>
        </w:rPr>
        <w:t xml:space="preserve">romatic and </w:t>
      </w:r>
      <w:r>
        <w:rPr>
          <w:rFonts w:cs="Times New Roman"/>
          <w:b/>
          <w:sz w:val="28"/>
          <w:szCs w:val="28"/>
        </w:rPr>
        <w:t>A</w:t>
      </w:r>
      <w:r w:rsidRPr="003B71D8">
        <w:rPr>
          <w:rFonts w:cs="Times New Roman"/>
          <w:b/>
          <w:sz w:val="28"/>
          <w:szCs w:val="28"/>
        </w:rPr>
        <w:t xml:space="preserve">liphatic </w:t>
      </w:r>
      <w:r>
        <w:rPr>
          <w:rFonts w:cs="Times New Roman"/>
          <w:b/>
          <w:sz w:val="28"/>
          <w:szCs w:val="28"/>
        </w:rPr>
        <w:t>P</w:t>
      </w:r>
      <w:r w:rsidRPr="003B71D8">
        <w:rPr>
          <w:rFonts w:cs="Times New Roman"/>
          <w:b/>
          <w:sz w:val="28"/>
          <w:szCs w:val="28"/>
        </w:rPr>
        <w:t xml:space="preserve">olyesters by </w:t>
      </w:r>
      <w:r w:rsidRPr="003B71D8">
        <w:rPr>
          <w:rFonts w:cs="Times New Roman"/>
          <w:b/>
          <w:i/>
          <w:sz w:val="28"/>
          <w:szCs w:val="28"/>
        </w:rPr>
        <w:t>P. pastoris</w:t>
      </w:r>
      <w:r w:rsidRPr="003B71D8">
        <w:rPr>
          <w:rFonts w:cs="Times New Roman"/>
          <w:b/>
          <w:sz w:val="28"/>
          <w:szCs w:val="28"/>
        </w:rPr>
        <w:t xml:space="preserve"> expressed </w:t>
      </w:r>
      <w:r>
        <w:rPr>
          <w:rFonts w:cs="Times New Roman"/>
          <w:b/>
          <w:sz w:val="28"/>
          <w:szCs w:val="28"/>
        </w:rPr>
        <w:t>C</w:t>
      </w:r>
      <w:r w:rsidRPr="003B71D8">
        <w:rPr>
          <w:rFonts w:cs="Times New Roman"/>
          <w:b/>
          <w:sz w:val="28"/>
          <w:szCs w:val="28"/>
        </w:rPr>
        <w:t xml:space="preserve">utinase 1 from </w:t>
      </w:r>
      <w:r w:rsidRPr="003B71D8">
        <w:rPr>
          <w:rFonts w:cs="Times New Roman"/>
          <w:b/>
          <w:i/>
          <w:sz w:val="28"/>
          <w:szCs w:val="28"/>
        </w:rPr>
        <w:t>Thermobifida cellulosilytica</w:t>
      </w:r>
    </w:p>
    <w:p w:rsidR="005A5AA2" w:rsidRPr="003B71D8" w:rsidRDefault="005A5AA2" w:rsidP="005A5AA2">
      <w:pPr>
        <w:pStyle w:val="Authors"/>
        <w:spacing w:before="120"/>
        <w:ind w:firstLine="0"/>
        <w:jc w:val="both"/>
        <w:rPr>
          <w:vertAlign w:val="superscript"/>
          <w:lang w:val="en-US"/>
        </w:rPr>
      </w:pPr>
      <w:r w:rsidRPr="003B71D8">
        <w:rPr>
          <w:lang w:val="en-US"/>
        </w:rPr>
        <w:t>Caroline Gamerith</w:t>
      </w:r>
      <w:r w:rsidRPr="003B71D8">
        <w:rPr>
          <w:vertAlign w:val="superscript"/>
          <w:lang w:val="en-US"/>
        </w:rPr>
        <w:t>1</w:t>
      </w:r>
      <w:r w:rsidRPr="003B71D8">
        <w:rPr>
          <w:lang w:val="en-US"/>
        </w:rPr>
        <w:t>, Marco Vastano</w:t>
      </w:r>
      <w:r w:rsidRPr="003B71D8">
        <w:rPr>
          <w:vertAlign w:val="superscript"/>
          <w:lang w:val="en-US"/>
        </w:rPr>
        <w:t>2,3</w:t>
      </w:r>
      <w:r w:rsidRPr="003B71D8">
        <w:rPr>
          <w:lang w:val="en-US"/>
        </w:rPr>
        <w:t>,</w:t>
      </w:r>
      <w:r w:rsidRPr="003B71D8">
        <w:rPr>
          <w:vertAlign w:val="superscript"/>
          <w:lang w:val="en-US"/>
        </w:rPr>
        <w:t xml:space="preserve"> </w:t>
      </w:r>
      <w:r w:rsidRPr="003B71D8">
        <w:rPr>
          <w:lang w:val="en-US"/>
        </w:rPr>
        <w:t>Sahar Masoumeh Ghorbanpour</w:t>
      </w:r>
      <w:r w:rsidRPr="003B71D8">
        <w:rPr>
          <w:vertAlign w:val="superscript"/>
          <w:lang w:val="en-US"/>
        </w:rPr>
        <w:t>2</w:t>
      </w:r>
      <w:r w:rsidRPr="003B71D8">
        <w:rPr>
          <w:lang w:val="en-US"/>
        </w:rPr>
        <w:t>, Sabine Zitzenbacher</w:t>
      </w:r>
      <w:r w:rsidRPr="003B71D8">
        <w:rPr>
          <w:vertAlign w:val="superscript"/>
          <w:lang w:val="en-US"/>
        </w:rPr>
        <w:t>1,a</w:t>
      </w:r>
      <w:r w:rsidRPr="003B71D8">
        <w:rPr>
          <w:lang w:val="en-US"/>
        </w:rPr>
        <w:t>, Doris Ribitsch</w:t>
      </w:r>
      <w:r w:rsidRPr="003B71D8">
        <w:rPr>
          <w:vertAlign w:val="superscript"/>
          <w:lang w:val="en-US"/>
        </w:rPr>
        <w:t>1,2</w:t>
      </w:r>
      <w:r w:rsidRPr="003B71D8">
        <w:rPr>
          <w:lang w:val="en-US"/>
        </w:rPr>
        <w:t>, Michael T. Zumstein</w:t>
      </w:r>
      <w:r w:rsidRPr="003B71D8">
        <w:rPr>
          <w:vertAlign w:val="superscript"/>
          <w:lang w:val="en-US"/>
        </w:rPr>
        <w:t>4</w:t>
      </w:r>
      <w:r w:rsidRPr="003B71D8">
        <w:rPr>
          <w:lang w:val="en-US"/>
        </w:rPr>
        <w:t>, Michael Sander</w:t>
      </w:r>
      <w:r w:rsidRPr="003B71D8">
        <w:rPr>
          <w:vertAlign w:val="superscript"/>
          <w:lang w:val="en-US"/>
        </w:rPr>
        <w:t>4</w:t>
      </w:r>
      <w:r w:rsidRPr="003B71D8">
        <w:rPr>
          <w:lang w:val="en-US"/>
        </w:rPr>
        <w:t>, Enrique Herrero Acero</w:t>
      </w:r>
      <w:r w:rsidRPr="003B71D8">
        <w:rPr>
          <w:vertAlign w:val="superscript"/>
          <w:lang w:val="en-US"/>
        </w:rPr>
        <w:t>1,b</w:t>
      </w:r>
      <w:r w:rsidRPr="003B71D8">
        <w:rPr>
          <w:lang w:val="en-US"/>
        </w:rPr>
        <w:t>, Alessandro Pellis</w:t>
      </w:r>
      <w:r w:rsidRPr="003B71D8">
        <w:rPr>
          <w:vertAlign w:val="superscript"/>
          <w:lang w:val="en-US"/>
        </w:rPr>
        <w:t>2,</w:t>
      </w:r>
      <w:r>
        <w:rPr>
          <w:vertAlign w:val="superscript"/>
          <w:lang w:val="en-US"/>
        </w:rPr>
        <w:t>*</w:t>
      </w:r>
      <w:r w:rsidRPr="003B71D8">
        <w:rPr>
          <w:lang w:val="en-US"/>
        </w:rPr>
        <w:t>,</w:t>
      </w:r>
      <w:r w:rsidRPr="003B71D8">
        <w:rPr>
          <w:vertAlign w:val="superscript"/>
          <w:lang w:val="en-US"/>
        </w:rPr>
        <w:t xml:space="preserve"> </w:t>
      </w:r>
      <w:r w:rsidRPr="003B71D8">
        <w:rPr>
          <w:lang w:val="en-US"/>
        </w:rPr>
        <w:t>Georg M. Guebitz</w:t>
      </w:r>
      <w:r w:rsidRPr="003B71D8">
        <w:rPr>
          <w:vertAlign w:val="superscript"/>
          <w:lang w:val="en-US"/>
        </w:rPr>
        <w:t>1,2</w:t>
      </w:r>
    </w:p>
    <w:p w:rsidR="005A5AA2" w:rsidRPr="003B71D8" w:rsidRDefault="005A5AA2" w:rsidP="005A5AA2">
      <w:pPr>
        <w:pStyle w:val="AuthorDetails"/>
        <w:spacing w:before="240" w:after="0"/>
        <w:ind w:left="0" w:firstLine="0"/>
        <w:rPr>
          <w:rFonts w:eastAsia="Times New Roman"/>
          <w:i/>
          <w:sz w:val="24"/>
          <w:lang w:val="en-US" w:eastAsia="en-US"/>
        </w:rPr>
      </w:pPr>
      <w:r w:rsidRPr="003B71D8">
        <w:rPr>
          <w:rFonts w:eastAsia="Times New Roman"/>
          <w:i/>
          <w:sz w:val="24"/>
          <w:vertAlign w:val="superscript"/>
          <w:lang w:val="en-US" w:eastAsia="en-US"/>
        </w:rPr>
        <w:t>1</w:t>
      </w:r>
      <w:r w:rsidRPr="003B71D8">
        <w:rPr>
          <w:rFonts w:eastAsia="Times New Roman"/>
          <w:i/>
          <w:sz w:val="24"/>
          <w:lang w:val="en-US" w:eastAsia="en-US"/>
        </w:rPr>
        <w:t>Austrian Centre of Industrial Biotechnology (ACIB), Tulln, Austria</w:t>
      </w:r>
    </w:p>
    <w:p w:rsidR="005A5AA2" w:rsidRPr="003B71D8" w:rsidRDefault="005A5AA2" w:rsidP="005A5AA2">
      <w:pPr>
        <w:spacing w:before="240" w:after="0"/>
        <w:rPr>
          <w:rFonts w:eastAsia="Times New Roman" w:cs="Times New Roman"/>
          <w:i/>
        </w:rPr>
      </w:pPr>
      <w:r w:rsidRPr="003B71D8">
        <w:rPr>
          <w:rFonts w:cs="Times New Roman"/>
          <w:i/>
          <w:vertAlign w:val="superscript"/>
        </w:rPr>
        <w:t xml:space="preserve">2 </w:t>
      </w:r>
      <w:r w:rsidRPr="003B71D8">
        <w:rPr>
          <w:rFonts w:eastAsia="Times New Roman" w:cs="Times New Roman"/>
          <w:i/>
        </w:rPr>
        <w:t>Institute of Environmental Biotechnology, University of Natural Resources and Life Sciences Vienna, Tulln, Austria</w:t>
      </w:r>
    </w:p>
    <w:p w:rsidR="005A5AA2" w:rsidRPr="00985E3F" w:rsidRDefault="005A5AA2" w:rsidP="005A5AA2">
      <w:pPr>
        <w:spacing w:before="240" w:after="0"/>
        <w:rPr>
          <w:rFonts w:cs="Times New Roman"/>
          <w:i/>
          <w:lang w:val="it-IT"/>
        </w:rPr>
      </w:pPr>
      <w:r w:rsidRPr="00985E3F">
        <w:rPr>
          <w:rFonts w:eastAsia="Times New Roman" w:cs="Times New Roman"/>
          <w:i/>
          <w:vertAlign w:val="superscript"/>
          <w:lang w:val="it-IT"/>
        </w:rPr>
        <w:t>3</w:t>
      </w:r>
      <w:r w:rsidRPr="00985E3F">
        <w:rPr>
          <w:rFonts w:cs="Times New Roman"/>
          <w:i/>
          <w:lang w:val="it-IT"/>
        </w:rPr>
        <w:t xml:space="preserve"> Universita degli Studi di Napoli Federico II, Dipartimento di Scienze Chimiche, Napoli, Italia</w:t>
      </w:r>
    </w:p>
    <w:p w:rsidR="005A5AA2" w:rsidRPr="00AD541B" w:rsidRDefault="005A5AA2" w:rsidP="005A5AA2">
      <w:pPr>
        <w:spacing w:before="240" w:after="0"/>
        <w:rPr>
          <w:rFonts w:eastAsia="Times New Roman" w:cs="Times New Roman"/>
          <w:i/>
          <w:highlight w:val="yellow"/>
          <w:lang w:val="it-IT"/>
        </w:rPr>
      </w:pPr>
      <w:r w:rsidRPr="00AD541B">
        <w:rPr>
          <w:rFonts w:eastAsia="Times New Roman" w:cs="Times New Roman"/>
          <w:i/>
          <w:vertAlign w:val="superscript"/>
          <w:lang w:val="it-IT"/>
        </w:rPr>
        <w:t xml:space="preserve">4 </w:t>
      </w:r>
      <w:r w:rsidRPr="00AD541B">
        <w:rPr>
          <w:rFonts w:eastAsia="Times New Roman" w:cs="Times New Roman"/>
          <w:i/>
          <w:lang w:val="it-IT"/>
        </w:rPr>
        <w:t>Institute of Biogeochemistry and Pollutant Dynamics, ETH Zurich, Zurich, Switzerland</w:t>
      </w:r>
    </w:p>
    <w:p w:rsidR="005A5AA2" w:rsidRPr="00AD541B" w:rsidRDefault="005A5AA2" w:rsidP="005A5AA2">
      <w:pPr>
        <w:spacing w:before="240" w:after="0"/>
        <w:rPr>
          <w:rFonts w:eastAsia="Times New Roman" w:cs="Times New Roman"/>
          <w:i/>
          <w:lang w:val="it-IT"/>
        </w:rPr>
      </w:pPr>
      <w:r w:rsidRPr="00AD541B">
        <w:rPr>
          <w:rFonts w:eastAsia="Times New Roman" w:cs="Times New Roman"/>
          <w:i/>
          <w:vertAlign w:val="superscript"/>
          <w:lang w:val="it-IT"/>
        </w:rPr>
        <w:t>a</w:t>
      </w:r>
      <w:r w:rsidRPr="00AD541B">
        <w:rPr>
          <w:rFonts w:eastAsia="Times New Roman" w:cs="Times New Roman"/>
          <w:i/>
          <w:lang w:val="it-IT"/>
        </w:rPr>
        <w:t xml:space="preserve"> present address: Richard Bittner AG, Feldkirchen, Austria</w:t>
      </w:r>
    </w:p>
    <w:p w:rsidR="005A5AA2" w:rsidRPr="00AD541B" w:rsidRDefault="005A5AA2" w:rsidP="005A5AA2">
      <w:pPr>
        <w:spacing w:before="240" w:after="0"/>
        <w:rPr>
          <w:rFonts w:eastAsia="Times New Roman" w:cs="Times New Roman"/>
          <w:i/>
          <w:lang w:val="it-IT"/>
        </w:rPr>
      </w:pPr>
      <w:r w:rsidRPr="00AD541B">
        <w:rPr>
          <w:rFonts w:eastAsia="Times New Roman" w:cs="Times New Roman"/>
          <w:i/>
          <w:vertAlign w:val="superscript"/>
          <w:lang w:val="it-IT"/>
        </w:rPr>
        <w:t>b</w:t>
      </w:r>
      <w:r w:rsidRPr="00AD541B">
        <w:rPr>
          <w:rFonts w:eastAsia="Times New Roman" w:cs="Times New Roman"/>
          <w:i/>
          <w:lang w:val="it-IT"/>
        </w:rPr>
        <w:t xml:space="preserve"> present address: Glanzstoff Industries GmbH, St.Poelten, Austria</w:t>
      </w:r>
    </w:p>
    <w:p w:rsidR="005A5AA2" w:rsidRPr="00985E3F" w:rsidRDefault="005A5AA2" w:rsidP="005A5AA2">
      <w:pPr>
        <w:spacing w:before="240" w:after="0"/>
        <w:rPr>
          <w:rFonts w:cs="Times New Roman"/>
          <w:i/>
          <w:lang w:val="it-IT"/>
        </w:rPr>
      </w:pPr>
      <w:r w:rsidRPr="00985E3F">
        <w:rPr>
          <w:rFonts w:cs="Times New Roman"/>
          <w:i/>
          <w:vertAlign w:val="superscript"/>
          <w:lang w:val="it-IT"/>
        </w:rPr>
        <w:t xml:space="preserve">* </w:t>
      </w:r>
      <w:r w:rsidRPr="00985E3F">
        <w:rPr>
          <w:rFonts w:cs="Times New Roman"/>
          <w:b/>
          <w:i/>
          <w:lang w:val="it-IT"/>
        </w:rPr>
        <w:t>Correspondence:</w:t>
      </w:r>
    </w:p>
    <w:p w:rsidR="005A5AA2" w:rsidRPr="00985E3F" w:rsidRDefault="005A5AA2" w:rsidP="005A5AA2">
      <w:pPr>
        <w:spacing w:before="240" w:after="0"/>
        <w:rPr>
          <w:rFonts w:cs="Times New Roman"/>
          <w:i/>
          <w:lang w:val="it-IT"/>
        </w:rPr>
      </w:pPr>
      <w:r w:rsidRPr="00985E3F">
        <w:rPr>
          <w:rFonts w:cs="Times New Roman"/>
          <w:i/>
          <w:lang w:val="it-IT"/>
        </w:rPr>
        <w:t>Alessandro Pellis Ph.D.</w:t>
      </w:r>
    </w:p>
    <w:p w:rsidR="005A5AA2" w:rsidRPr="00E6094D" w:rsidRDefault="005A5AA2" w:rsidP="005A5AA2">
      <w:pPr>
        <w:spacing w:before="240" w:after="0"/>
        <w:rPr>
          <w:rFonts w:eastAsia="Times New Roman" w:cs="Times New Roman"/>
          <w:i/>
          <w:lang w:val="de-AT"/>
        </w:rPr>
      </w:pPr>
      <w:r w:rsidRPr="00E6094D">
        <w:rPr>
          <w:rFonts w:cs="Times New Roman"/>
          <w:i/>
          <w:lang w:val="de-AT"/>
        </w:rPr>
        <w:t>alessandro.pellis@boku.ac.at</w:t>
      </w:r>
    </w:p>
    <w:p w:rsidR="005A5AA2" w:rsidRDefault="005A5AA2" w:rsidP="005A5AA2">
      <w:pPr>
        <w:pStyle w:val="Heading1"/>
        <w:keepNext w:val="0"/>
        <w:keepLines w:val="0"/>
        <w:numPr>
          <w:ilvl w:val="0"/>
          <w:numId w:val="0"/>
        </w:numPr>
        <w:ind w:left="432"/>
        <w:jc w:val="left"/>
      </w:pPr>
    </w:p>
    <w:p w:rsidR="005A5AA2" w:rsidRDefault="005A5AA2" w:rsidP="005A5AA2">
      <w:pPr>
        <w:spacing w:before="0" w:after="0"/>
        <w:jc w:val="left"/>
        <w:rPr>
          <w:rFonts w:eastAsiaTheme="majorEastAsia" w:cstheme="majorBidi"/>
          <w:b/>
          <w:bCs/>
          <w:szCs w:val="32"/>
        </w:rPr>
      </w:pPr>
      <w:r>
        <w:br w:type="page"/>
      </w:r>
    </w:p>
    <w:p w:rsidR="005A5AA2" w:rsidRPr="00994A3D" w:rsidRDefault="005A5AA2" w:rsidP="005A5AA2">
      <w:pPr>
        <w:pStyle w:val="Heading1"/>
        <w:keepNext w:val="0"/>
        <w:keepLines w:val="0"/>
        <w:numPr>
          <w:ilvl w:val="0"/>
          <w:numId w:val="2"/>
        </w:numPr>
        <w:tabs>
          <w:tab w:val="num" w:pos="567"/>
        </w:tabs>
        <w:jc w:val="left"/>
      </w:pPr>
      <w:r w:rsidRPr="00994A3D">
        <w:lastRenderedPageBreak/>
        <w:t xml:space="preserve">Supplementary Figures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6"/>
      </w:tblGrid>
      <w:tr w:rsidR="005A5AA2" w:rsidRPr="001E6EC9" w:rsidTr="003011FE">
        <w:tc>
          <w:tcPr>
            <w:tcW w:w="8516" w:type="dxa"/>
          </w:tcPr>
          <w:p w:rsidR="005A5AA2" w:rsidRPr="00A4263A" w:rsidRDefault="005A5AA2" w:rsidP="003011FE">
            <w:pPr>
              <w:jc w:val="center"/>
              <w:rPr>
                <w:rFonts w:cs="Arial"/>
                <w:color w:val="00B0F0"/>
                <w:lang w:val="en-GB"/>
              </w:rPr>
            </w:pPr>
            <w:r w:rsidRPr="00207887">
              <w:rPr>
                <w:rFonts w:cs="Arial"/>
                <w:noProof/>
                <w:color w:val="00B0F0"/>
                <w:lang w:val="de-AT" w:eastAsia="de-AT"/>
              </w:rPr>
              <w:drawing>
                <wp:anchor distT="0" distB="0" distL="114300" distR="114300" simplePos="0" relativeHeight="251661312" behindDoc="1" locked="0" layoutInCell="1" allowOverlap="1" wp14:anchorId="2FAF793D" wp14:editId="79CAF2D9">
                  <wp:simplePos x="0" y="0"/>
                  <wp:positionH relativeFrom="column">
                    <wp:posOffset>1276350</wp:posOffset>
                  </wp:positionH>
                  <wp:positionV relativeFrom="paragraph">
                    <wp:posOffset>0</wp:posOffset>
                  </wp:positionV>
                  <wp:extent cx="3220085" cy="2606040"/>
                  <wp:effectExtent l="0" t="0" r="0" b="3810"/>
                  <wp:wrapTight wrapText="bothSides">
                    <wp:wrapPolygon edited="0">
                      <wp:start x="0" y="0"/>
                      <wp:lineTo x="0" y="21474"/>
                      <wp:lineTo x="21340" y="21474"/>
                      <wp:lineTo x="21468" y="474"/>
                      <wp:lineTo x="20701" y="316"/>
                      <wp:lineTo x="9073" y="0"/>
                      <wp:lineTo x="0" y="0"/>
                    </wp:wrapPolygon>
                  </wp:wrapTight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0085" cy="2606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A5AA2" w:rsidRPr="001E6EC9" w:rsidTr="003011FE">
        <w:tc>
          <w:tcPr>
            <w:tcW w:w="8516" w:type="dxa"/>
          </w:tcPr>
          <w:p w:rsidR="005A5AA2" w:rsidRPr="00A4263A" w:rsidRDefault="005A5AA2" w:rsidP="003011FE">
            <w:pPr>
              <w:pStyle w:val="Caption"/>
              <w:rPr>
                <w:rFonts w:cs="Arial"/>
              </w:rPr>
            </w:pPr>
            <w:bookmarkStart w:id="0" w:name="_Ref472607683"/>
            <w:r w:rsidRPr="00207887">
              <w:rPr>
                <w:rFonts w:cs="Arial"/>
                <w:sz w:val="20"/>
              </w:rPr>
              <w:t>Figure S</w:t>
            </w:r>
            <w:r w:rsidRPr="00207887">
              <w:rPr>
                <w:rFonts w:cs="Arial"/>
                <w:sz w:val="20"/>
              </w:rPr>
              <w:fldChar w:fldCharType="begin"/>
            </w:r>
            <w:r w:rsidRPr="00207887">
              <w:rPr>
                <w:rFonts w:cs="Arial"/>
                <w:sz w:val="20"/>
              </w:rPr>
              <w:instrText xml:space="preserve"> SEQ Figure \* ARABIC </w:instrText>
            </w:r>
            <w:r w:rsidRPr="00207887"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1</w:t>
            </w:r>
            <w:r w:rsidRPr="00207887">
              <w:rPr>
                <w:rFonts w:cs="Arial"/>
                <w:noProof/>
                <w:sz w:val="20"/>
              </w:rPr>
              <w:fldChar w:fldCharType="end"/>
            </w:r>
            <w:bookmarkEnd w:id="0"/>
            <w:r w:rsidRPr="00207887">
              <w:rPr>
                <w:rFonts w:cs="Arial"/>
                <w:sz w:val="20"/>
              </w:rPr>
              <w:t xml:space="preserve">. </w:t>
            </w:r>
            <w:r w:rsidRPr="00207887">
              <w:rPr>
                <w:rFonts w:cs="Arial"/>
                <w:b w:val="0"/>
                <w:sz w:val="20"/>
              </w:rPr>
              <w:t xml:space="preserve">Glycostain gel analysis of </w:t>
            </w:r>
            <w:r w:rsidRPr="00207887">
              <w:rPr>
                <w:rFonts w:cs="Arial"/>
                <w:b w:val="0"/>
                <w:i/>
                <w:sz w:val="20"/>
              </w:rPr>
              <w:t>E. coli</w:t>
            </w:r>
            <w:r w:rsidRPr="00207887">
              <w:rPr>
                <w:rFonts w:cs="Arial"/>
                <w:b w:val="0"/>
                <w:sz w:val="20"/>
              </w:rPr>
              <w:t xml:space="preserve"> and </w:t>
            </w:r>
            <w:r w:rsidRPr="00207887">
              <w:rPr>
                <w:rFonts w:cs="Arial"/>
                <w:b w:val="0"/>
                <w:i/>
                <w:sz w:val="20"/>
              </w:rPr>
              <w:t>P. pastoris</w:t>
            </w:r>
            <w:r w:rsidRPr="00207887">
              <w:rPr>
                <w:rFonts w:cs="Arial"/>
                <w:b w:val="0"/>
                <w:sz w:val="20"/>
              </w:rPr>
              <w:t xml:space="preserve"> expressed Thc_Cut1. Left= SDS PAGE gel, Right= Glycostain gel; same samples were applied on both gels; C= Candy cane protein marker; M= peqGold protein marker IV; Ec= </w:t>
            </w:r>
            <w:r w:rsidRPr="00207887">
              <w:rPr>
                <w:rFonts w:cs="Arial"/>
                <w:b w:val="0"/>
                <w:i/>
                <w:sz w:val="20"/>
              </w:rPr>
              <w:t xml:space="preserve">E. coli </w:t>
            </w:r>
            <w:r w:rsidRPr="00207887">
              <w:rPr>
                <w:rFonts w:cs="Arial"/>
                <w:b w:val="0"/>
                <w:sz w:val="20"/>
              </w:rPr>
              <w:t xml:space="preserve">expressed Thc_Cut1; Pp= </w:t>
            </w:r>
            <w:r w:rsidRPr="00207887">
              <w:rPr>
                <w:rFonts w:cs="Arial"/>
                <w:b w:val="0"/>
                <w:i/>
                <w:sz w:val="20"/>
              </w:rPr>
              <w:t>P. pastoris</w:t>
            </w:r>
            <w:r w:rsidRPr="00207887">
              <w:rPr>
                <w:rFonts w:cs="Arial"/>
                <w:b w:val="0"/>
                <w:sz w:val="20"/>
              </w:rPr>
              <w:t xml:space="preserve"> expressed Thc_Cut1; dPp= </w:t>
            </w:r>
            <w:r w:rsidRPr="00207887">
              <w:rPr>
                <w:rFonts w:cs="Arial"/>
                <w:b w:val="0"/>
                <w:i/>
                <w:sz w:val="20"/>
              </w:rPr>
              <w:t>P. pastoris</w:t>
            </w:r>
            <w:r w:rsidRPr="00207887">
              <w:rPr>
                <w:rFonts w:cs="Arial"/>
                <w:b w:val="0"/>
                <w:sz w:val="20"/>
              </w:rPr>
              <w:t xml:space="preserve"> expressed Thc_Cut1 deglysolyated with Endo Hf.</w:t>
            </w:r>
          </w:p>
        </w:tc>
      </w:tr>
    </w:tbl>
    <w:p w:rsidR="005A5AA2" w:rsidRPr="00A4263A" w:rsidRDefault="005A5AA2" w:rsidP="005A5AA2">
      <w:pPr>
        <w:rPr>
          <w:rFonts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40"/>
        <w:gridCol w:w="76"/>
      </w:tblGrid>
      <w:tr w:rsidR="005A5AA2" w:rsidRPr="001E6EC9" w:rsidTr="003011FE">
        <w:trPr>
          <w:trHeight w:val="3593"/>
        </w:trPr>
        <w:tc>
          <w:tcPr>
            <w:tcW w:w="8516" w:type="dxa"/>
            <w:gridSpan w:val="2"/>
          </w:tcPr>
          <w:p w:rsidR="005A5AA2" w:rsidRPr="00A4263A" w:rsidRDefault="005A5AA2" w:rsidP="003011FE">
            <w:pPr>
              <w:jc w:val="center"/>
              <w:rPr>
                <w:rFonts w:cs="Arial"/>
                <w:color w:val="00B0F0"/>
                <w:lang w:val="en-GB"/>
              </w:rPr>
            </w:pPr>
            <w:r w:rsidRPr="00A4263A">
              <w:rPr>
                <w:rFonts w:cs="Arial"/>
                <w:noProof/>
                <w:color w:val="00B0F0"/>
                <w:lang w:val="de-AT" w:eastAsia="de-AT"/>
              </w:rPr>
              <w:drawing>
                <wp:anchor distT="0" distB="0" distL="114300" distR="114300" simplePos="0" relativeHeight="251662336" behindDoc="1" locked="0" layoutInCell="1" allowOverlap="1" wp14:anchorId="691499ED" wp14:editId="56620EBC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0</wp:posOffset>
                  </wp:positionV>
                  <wp:extent cx="4998720" cy="2265045"/>
                  <wp:effectExtent l="0" t="0" r="0" b="1905"/>
                  <wp:wrapTight wrapText="bothSides">
                    <wp:wrapPolygon edited="0">
                      <wp:start x="988" y="182"/>
                      <wp:lineTo x="988" y="3452"/>
                      <wp:lineTo x="412" y="6358"/>
                      <wp:lineTo x="412" y="6540"/>
                      <wp:lineTo x="988" y="9265"/>
                      <wp:lineTo x="412" y="10355"/>
                      <wp:lineTo x="412" y="10718"/>
                      <wp:lineTo x="988" y="12172"/>
                      <wp:lineTo x="494" y="13262"/>
                      <wp:lineTo x="494" y="14170"/>
                      <wp:lineTo x="988" y="15078"/>
                      <wp:lineTo x="988" y="21437"/>
                      <wp:lineTo x="21485" y="21437"/>
                      <wp:lineTo x="21485" y="182"/>
                      <wp:lineTo x="988" y="182"/>
                    </wp:wrapPolygon>
                  </wp:wrapTight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8720" cy="2265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A5AA2" w:rsidRPr="001E6EC9" w:rsidTr="003011FE">
        <w:tc>
          <w:tcPr>
            <w:tcW w:w="8516" w:type="dxa"/>
            <w:gridSpan w:val="2"/>
          </w:tcPr>
          <w:p w:rsidR="005A5AA2" w:rsidRPr="00A4263A" w:rsidRDefault="005A5AA2" w:rsidP="003011FE">
            <w:pPr>
              <w:pStyle w:val="Caption"/>
              <w:rPr>
                <w:rFonts w:cs="Arial"/>
              </w:rPr>
            </w:pPr>
            <w:bookmarkStart w:id="1" w:name="_Ref472607708"/>
            <w:r w:rsidRPr="00207887">
              <w:rPr>
                <w:rFonts w:cs="Arial"/>
                <w:sz w:val="20"/>
              </w:rPr>
              <w:t>Figure</w:t>
            </w:r>
            <w:r>
              <w:rPr>
                <w:rFonts w:cs="Arial"/>
                <w:sz w:val="20"/>
              </w:rPr>
              <w:t xml:space="preserve"> </w:t>
            </w:r>
            <w:r w:rsidRPr="00207887">
              <w:rPr>
                <w:rFonts w:cs="Arial"/>
                <w:sz w:val="20"/>
              </w:rPr>
              <w:t>S2</w:t>
            </w:r>
            <w:bookmarkEnd w:id="1"/>
            <w:r w:rsidRPr="00207887">
              <w:rPr>
                <w:rFonts w:cs="Arial"/>
                <w:sz w:val="20"/>
              </w:rPr>
              <w:t xml:space="preserve">. </w:t>
            </w:r>
            <w:r w:rsidRPr="00207887">
              <w:rPr>
                <w:rFonts w:cs="Arial"/>
                <w:b w:val="0"/>
                <w:sz w:val="20"/>
              </w:rPr>
              <w:t xml:space="preserve">SDS-PAGE (12%) (left) and Glycostain gel (right) of </w:t>
            </w:r>
            <w:r w:rsidRPr="00207887">
              <w:rPr>
                <w:rFonts w:cs="Arial"/>
                <w:b w:val="0"/>
                <w:i/>
                <w:sz w:val="20"/>
              </w:rPr>
              <w:t>P. pastoris</w:t>
            </w:r>
            <w:r w:rsidRPr="00207887">
              <w:rPr>
                <w:rFonts w:cs="Arial"/>
                <w:b w:val="0"/>
                <w:sz w:val="20"/>
              </w:rPr>
              <w:t xml:space="preserve"> fermentation supernatant samples withdrawn at different time points after induction during expression of Thc_Cut1_koST. C= Candy cane protein marker, M= peqGold protein marker IV, #= time after induction in h, pur= ÄKTA purified enzyme.</w:t>
            </w:r>
          </w:p>
        </w:tc>
      </w:tr>
      <w:tr w:rsidR="005A5AA2" w:rsidRPr="001E6EC9" w:rsidTr="003011FE">
        <w:trPr>
          <w:trHeight w:hRule="exact" w:val="3611"/>
        </w:trPr>
        <w:tc>
          <w:tcPr>
            <w:tcW w:w="8516" w:type="dxa"/>
            <w:gridSpan w:val="2"/>
          </w:tcPr>
          <w:p w:rsidR="005A5AA2" w:rsidRPr="00A4263A" w:rsidRDefault="005A5AA2" w:rsidP="003011FE">
            <w:pPr>
              <w:jc w:val="center"/>
              <w:rPr>
                <w:rFonts w:cs="Arial"/>
              </w:rPr>
            </w:pPr>
            <w:r w:rsidRPr="00A4263A">
              <w:rPr>
                <w:rFonts w:cs="Arial"/>
                <w:noProof/>
                <w:lang w:val="de-AT" w:eastAsia="de-AT"/>
              </w:rPr>
              <w:lastRenderedPageBreak/>
              <w:drawing>
                <wp:anchor distT="0" distB="0" distL="114300" distR="114300" simplePos="0" relativeHeight="251660288" behindDoc="1" locked="0" layoutInCell="1" allowOverlap="1" wp14:anchorId="06893AFE" wp14:editId="59A8D3F3">
                  <wp:simplePos x="0" y="0"/>
                  <wp:positionH relativeFrom="column">
                    <wp:posOffset>926465</wp:posOffset>
                  </wp:positionH>
                  <wp:positionV relativeFrom="paragraph">
                    <wp:posOffset>2286000</wp:posOffset>
                  </wp:positionV>
                  <wp:extent cx="3723640" cy="2159635"/>
                  <wp:effectExtent l="0" t="0" r="0" b="0"/>
                  <wp:wrapTight wrapText="bothSides">
                    <wp:wrapPolygon edited="0">
                      <wp:start x="332" y="0"/>
                      <wp:lineTo x="332" y="21340"/>
                      <wp:lineTo x="21438" y="21340"/>
                      <wp:lineTo x="21438" y="0"/>
                      <wp:lineTo x="332" y="0"/>
                    </wp:wrapPolygon>
                  </wp:wrapTight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3640" cy="2159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07887">
              <w:rPr>
                <w:rFonts w:cs="Arial"/>
                <w:noProof/>
                <w:lang w:val="de-AT" w:eastAsia="de-AT"/>
              </w:rPr>
              <w:drawing>
                <wp:anchor distT="0" distB="0" distL="114300" distR="114300" simplePos="0" relativeHeight="251659264" behindDoc="1" locked="0" layoutInCell="1" allowOverlap="1" wp14:anchorId="3CD7FB87" wp14:editId="44D9333F">
                  <wp:simplePos x="0" y="0"/>
                  <wp:positionH relativeFrom="column">
                    <wp:posOffset>857250</wp:posOffset>
                  </wp:positionH>
                  <wp:positionV relativeFrom="paragraph">
                    <wp:posOffset>79375</wp:posOffset>
                  </wp:positionV>
                  <wp:extent cx="4057015" cy="2231390"/>
                  <wp:effectExtent l="0" t="0" r="635" b="0"/>
                  <wp:wrapTight wrapText="bothSides">
                    <wp:wrapPolygon edited="0">
                      <wp:start x="0" y="0"/>
                      <wp:lineTo x="0" y="21391"/>
                      <wp:lineTo x="21502" y="21391"/>
                      <wp:lineTo x="21502" y="0"/>
                      <wp:lineTo x="0" y="0"/>
                    </wp:wrapPolygon>
                  </wp:wrapTight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015" cy="2231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A5AA2" w:rsidRPr="001E6EC9" w:rsidTr="003011FE">
        <w:trPr>
          <w:trHeight w:hRule="exact" w:val="3339"/>
        </w:trPr>
        <w:tc>
          <w:tcPr>
            <w:tcW w:w="8516" w:type="dxa"/>
            <w:gridSpan w:val="2"/>
          </w:tcPr>
          <w:p w:rsidR="005A5AA2" w:rsidRDefault="005A5AA2" w:rsidP="003011FE">
            <w:pPr>
              <w:jc w:val="center"/>
              <w:rPr>
                <w:rFonts w:cs="Arial"/>
                <w:noProof/>
                <w:lang w:val="en-GB" w:eastAsia="en-GB"/>
              </w:rPr>
            </w:pPr>
          </w:p>
          <w:p w:rsidR="005A5AA2" w:rsidRDefault="005A5AA2" w:rsidP="003011FE">
            <w:pPr>
              <w:rPr>
                <w:rFonts w:cs="Arial"/>
                <w:lang w:val="en-GB" w:eastAsia="en-GB"/>
              </w:rPr>
            </w:pPr>
          </w:p>
          <w:p w:rsidR="005A5AA2" w:rsidRPr="00706092" w:rsidRDefault="005A5AA2" w:rsidP="003011FE">
            <w:pPr>
              <w:jc w:val="center"/>
              <w:rPr>
                <w:rFonts w:cs="Arial"/>
                <w:lang w:val="en-GB" w:eastAsia="en-GB"/>
              </w:rPr>
            </w:pPr>
          </w:p>
        </w:tc>
      </w:tr>
      <w:tr w:rsidR="005A5AA2" w:rsidRPr="001E6EC9" w:rsidTr="003011FE">
        <w:trPr>
          <w:trHeight w:val="1133"/>
        </w:trPr>
        <w:tc>
          <w:tcPr>
            <w:tcW w:w="8516" w:type="dxa"/>
            <w:gridSpan w:val="2"/>
          </w:tcPr>
          <w:p w:rsidR="005A5AA2" w:rsidRPr="00207887" w:rsidRDefault="005A5AA2" w:rsidP="003011FE">
            <w:pPr>
              <w:pStyle w:val="Caption"/>
              <w:rPr>
                <w:rFonts w:cs="Arial"/>
                <w:sz w:val="20"/>
                <w:szCs w:val="20"/>
              </w:rPr>
            </w:pPr>
            <w:bookmarkStart w:id="2" w:name="_Ref472686945"/>
            <w:r w:rsidRPr="00207887">
              <w:rPr>
                <w:rFonts w:cs="Arial"/>
                <w:sz w:val="20"/>
                <w:szCs w:val="20"/>
              </w:rPr>
              <w:t>Figure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07887">
              <w:rPr>
                <w:rFonts w:cs="Arial"/>
                <w:sz w:val="20"/>
                <w:szCs w:val="20"/>
              </w:rPr>
              <w:t>S3</w:t>
            </w:r>
            <w:bookmarkEnd w:id="2"/>
            <w:r w:rsidRPr="00207887">
              <w:rPr>
                <w:rFonts w:cs="Arial"/>
                <w:sz w:val="20"/>
                <w:szCs w:val="20"/>
              </w:rPr>
              <w:t xml:space="preserve">. </w:t>
            </w:r>
            <w:r w:rsidRPr="00207887">
              <w:rPr>
                <w:b w:val="0"/>
                <w:sz w:val="20"/>
                <w:szCs w:val="20"/>
              </w:rPr>
              <w:t xml:space="preserve">Purification of Thc_Cut1. </w:t>
            </w:r>
            <w:r>
              <w:rPr>
                <w:b w:val="0"/>
                <w:sz w:val="20"/>
                <w:szCs w:val="20"/>
              </w:rPr>
              <w:t>Top</w:t>
            </w:r>
            <w:r w:rsidRPr="00207887">
              <w:rPr>
                <w:b w:val="0"/>
                <w:sz w:val="20"/>
                <w:szCs w:val="20"/>
              </w:rPr>
              <w:t xml:space="preserve">: IMAC chromatogram, blue= absorbance at 280nm [mAU], green= elution buffer concentration [%]; </w:t>
            </w:r>
            <w:r>
              <w:rPr>
                <w:b w:val="0"/>
                <w:sz w:val="20"/>
                <w:szCs w:val="20"/>
              </w:rPr>
              <w:t>Bottom</w:t>
            </w:r>
            <w:r w:rsidRPr="00207887">
              <w:rPr>
                <w:b w:val="0"/>
                <w:sz w:val="20"/>
                <w:szCs w:val="20"/>
              </w:rPr>
              <w:t xml:space="preserve">: </w:t>
            </w:r>
            <w:r w:rsidRPr="00207887">
              <w:rPr>
                <w:b w:val="0"/>
                <w:bCs w:val="0"/>
                <w:sz w:val="20"/>
                <w:szCs w:val="20"/>
              </w:rPr>
              <w:t>SDS-PAGE (12%) of fractions during purification; M= peqGold protein marker IV, SN= supernatant before purification, #= fractions according to chromatogram above.</w:t>
            </w:r>
            <w:r w:rsidRPr="00207887">
              <w:rPr>
                <w:rFonts w:cs="Arial"/>
                <w:bCs w:val="0"/>
                <w:sz w:val="20"/>
                <w:szCs w:val="20"/>
              </w:rPr>
              <w:t xml:space="preserve"> </w:t>
            </w:r>
          </w:p>
        </w:tc>
      </w:tr>
      <w:tr w:rsidR="005A5AA2" w:rsidRPr="001E6EC9" w:rsidTr="003011FE">
        <w:trPr>
          <w:trHeight w:hRule="exact" w:val="170"/>
        </w:trPr>
        <w:tc>
          <w:tcPr>
            <w:tcW w:w="8516" w:type="dxa"/>
            <w:gridSpan w:val="2"/>
          </w:tcPr>
          <w:p w:rsidR="005A5AA2" w:rsidRPr="00207887" w:rsidRDefault="005A5AA2" w:rsidP="003011FE">
            <w:pPr>
              <w:pStyle w:val="Caption"/>
              <w:rPr>
                <w:rFonts w:cs="Arial"/>
                <w:sz w:val="20"/>
                <w:szCs w:val="20"/>
              </w:rPr>
            </w:pPr>
          </w:p>
        </w:tc>
      </w:tr>
      <w:tr w:rsidR="005A5AA2" w:rsidTr="003011FE">
        <w:trPr>
          <w:gridAfter w:val="1"/>
          <w:wAfter w:w="76" w:type="dxa"/>
        </w:trPr>
        <w:tc>
          <w:tcPr>
            <w:tcW w:w="8440" w:type="dxa"/>
          </w:tcPr>
          <w:p w:rsidR="005A5AA2" w:rsidRDefault="005A5AA2" w:rsidP="003011FE">
            <w:r w:rsidRPr="0070354C">
              <w:rPr>
                <w:rFonts w:cs="Arial"/>
                <w:noProof/>
                <w:lang w:val="de-AT" w:eastAsia="de-AT"/>
              </w:rPr>
              <w:drawing>
                <wp:anchor distT="0" distB="0" distL="114300" distR="114300" simplePos="0" relativeHeight="251663360" behindDoc="1" locked="0" layoutInCell="1" allowOverlap="1" wp14:anchorId="532CD96D" wp14:editId="7A9E0781">
                  <wp:simplePos x="0" y="0"/>
                  <wp:positionH relativeFrom="column">
                    <wp:posOffset>717550</wp:posOffset>
                  </wp:positionH>
                  <wp:positionV relativeFrom="paragraph">
                    <wp:posOffset>6985</wp:posOffset>
                  </wp:positionV>
                  <wp:extent cx="3887470" cy="2159635"/>
                  <wp:effectExtent l="0" t="0" r="0" b="0"/>
                  <wp:wrapTight wrapText="bothSides">
                    <wp:wrapPolygon edited="0">
                      <wp:start x="0" y="0"/>
                      <wp:lineTo x="0" y="21340"/>
                      <wp:lineTo x="21487" y="21340"/>
                      <wp:lineTo x="21487" y="0"/>
                      <wp:lineTo x="0" y="0"/>
                    </wp:wrapPolygon>
                  </wp:wrapTight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7470" cy="2159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A5AA2" w:rsidTr="003011FE">
        <w:trPr>
          <w:gridAfter w:val="1"/>
          <w:wAfter w:w="76" w:type="dxa"/>
        </w:trPr>
        <w:tc>
          <w:tcPr>
            <w:tcW w:w="8440" w:type="dxa"/>
          </w:tcPr>
          <w:p w:rsidR="005A5AA2" w:rsidRPr="005B5197" w:rsidRDefault="005A5AA2" w:rsidP="003011FE">
            <w:r w:rsidRPr="005B5197">
              <w:rPr>
                <w:rFonts w:cs="Arial"/>
                <w:b/>
                <w:sz w:val="20"/>
                <w:szCs w:val="20"/>
              </w:rPr>
              <w:t xml:space="preserve">Figure S4. </w:t>
            </w:r>
            <w:r w:rsidRPr="002C698B">
              <w:rPr>
                <w:bCs/>
                <w:sz w:val="20"/>
                <w:szCs w:val="20"/>
              </w:rPr>
              <w:t>Concentrations of soluble released products succinic acid (SA) and 1,4-butanediol (BDO</w:t>
            </w:r>
            <w:r>
              <w:rPr>
                <w:bCs/>
                <w:sz w:val="20"/>
                <w:szCs w:val="20"/>
              </w:rPr>
              <w:t xml:space="preserve">) </w:t>
            </w:r>
            <w:r w:rsidRPr="002C698B">
              <w:rPr>
                <w:bCs/>
                <w:sz w:val="20"/>
                <w:szCs w:val="20"/>
              </w:rPr>
              <w:t>upon enzymatic hydrolysis of PBS films by Thc_Cut1 (dark grey bars) and Thc_Cut1_ko_ST (middle grey bars). Time scan for 24, 48, 72 or 96 h was performed at 65 °C with 5 µM enzyme in 1 M KPi pH 8.0 with 0.5 </w:t>
            </w:r>
            <w:r>
              <w:rPr>
                <w:bCs/>
                <w:sz w:val="20"/>
                <w:szCs w:val="20"/>
              </w:rPr>
              <w:t>x </w:t>
            </w:r>
            <w:r w:rsidRPr="002C698B">
              <w:rPr>
                <w:bCs/>
                <w:sz w:val="20"/>
                <w:szCs w:val="20"/>
              </w:rPr>
              <w:t>1.0</w:t>
            </w:r>
            <w:r>
              <w:rPr>
                <w:bCs/>
                <w:sz w:val="20"/>
                <w:szCs w:val="20"/>
              </w:rPr>
              <w:t> </w:t>
            </w:r>
            <w:r w:rsidRPr="002C698B">
              <w:rPr>
                <w:bCs/>
                <w:sz w:val="20"/>
                <w:szCs w:val="20"/>
              </w:rPr>
              <w:t>cm PBS films at 100 rpm</w:t>
            </w:r>
          </w:p>
        </w:tc>
      </w:tr>
    </w:tbl>
    <w:p w:rsidR="00A545F6" w:rsidRDefault="00A545F6"/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6"/>
      </w:tblGrid>
      <w:tr w:rsidR="00A545F6" w:rsidRPr="00A545F6" w:rsidTr="00A545F6">
        <w:tc>
          <w:tcPr>
            <w:tcW w:w="8516" w:type="dxa"/>
          </w:tcPr>
          <w:p w:rsidR="00A545F6" w:rsidRPr="00A545F6" w:rsidRDefault="00A545F6" w:rsidP="00A545F6">
            <w:pPr>
              <w:spacing w:before="0" w:after="0" w:line="360" w:lineRule="auto"/>
              <w:jc w:val="center"/>
              <w:rPr>
                <w:rFonts w:ascii="Calibri" w:eastAsia="Calibri" w:hAnsi="Calibri" w:cs="Times New Roman"/>
                <w:color w:val="70AD47"/>
                <w:sz w:val="22"/>
                <w:szCs w:val="22"/>
              </w:rPr>
            </w:pPr>
            <w:bookmarkStart w:id="3" w:name="_GoBack"/>
            <w:bookmarkEnd w:id="3"/>
            <w:r w:rsidRPr="00A545F6">
              <w:rPr>
                <w:rFonts w:ascii="Calibri" w:eastAsia="Calibri" w:hAnsi="Calibri" w:cs="Times New Roman"/>
                <w:noProof/>
                <w:color w:val="70AD47"/>
                <w:sz w:val="22"/>
                <w:szCs w:val="22"/>
                <w:lang w:val="de-AT" w:eastAsia="de-AT"/>
              </w:rPr>
              <w:lastRenderedPageBreak/>
              <w:drawing>
                <wp:anchor distT="0" distB="0" distL="114300" distR="114300" simplePos="0" relativeHeight="251665408" behindDoc="1" locked="0" layoutInCell="1" allowOverlap="1" wp14:anchorId="7DAC5EE6" wp14:editId="58C198E3">
                  <wp:simplePos x="0" y="0"/>
                  <wp:positionH relativeFrom="column">
                    <wp:posOffset>1386205</wp:posOffset>
                  </wp:positionH>
                  <wp:positionV relativeFrom="paragraph">
                    <wp:posOffset>6350</wp:posOffset>
                  </wp:positionV>
                  <wp:extent cx="3383915" cy="2015490"/>
                  <wp:effectExtent l="0" t="0" r="6985" b="3810"/>
                  <wp:wrapTight wrapText="bothSides">
                    <wp:wrapPolygon edited="0">
                      <wp:start x="0" y="0"/>
                      <wp:lineTo x="0" y="21437"/>
                      <wp:lineTo x="21523" y="21437"/>
                      <wp:lineTo x="21523" y="0"/>
                      <wp:lineTo x="0" y="0"/>
                    </wp:wrapPolygon>
                  </wp:wrapTight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3915" cy="20154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45F6" w:rsidRPr="00A545F6" w:rsidTr="00A545F6">
        <w:tc>
          <w:tcPr>
            <w:tcW w:w="8516" w:type="dxa"/>
          </w:tcPr>
          <w:p w:rsidR="00A545F6" w:rsidRPr="00A545F6" w:rsidRDefault="00A545F6" w:rsidP="00A545F6">
            <w:pPr>
              <w:spacing w:before="0" w:after="0" w:line="360" w:lineRule="auto"/>
              <w:jc w:val="center"/>
              <w:rPr>
                <w:rFonts w:ascii="Calibri" w:eastAsia="Calibri" w:hAnsi="Calibri" w:cs="Times New Roman"/>
                <w:color w:val="70AD47"/>
                <w:sz w:val="22"/>
                <w:szCs w:val="22"/>
              </w:rPr>
            </w:pPr>
            <w:r w:rsidRPr="00A545F6">
              <w:rPr>
                <w:rFonts w:ascii="Calibri" w:eastAsia="Calibri" w:hAnsi="Calibri" w:cs="Times New Roman"/>
                <w:noProof/>
                <w:color w:val="70AD47"/>
                <w:sz w:val="22"/>
                <w:szCs w:val="22"/>
                <w:lang w:val="de-AT" w:eastAsia="de-AT"/>
              </w:rPr>
              <w:drawing>
                <wp:anchor distT="0" distB="0" distL="114300" distR="114300" simplePos="0" relativeHeight="251666432" behindDoc="1" locked="0" layoutInCell="1" allowOverlap="1" wp14:anchorId="1DBA8336" wp14:editId="1748792C">
                  <wp:simplePos x="0" y="0"/>
                  <wp:positionH relativeFrom="column">
                    <wp:posOffset>1189355</wp:posOffset>
                  </wp:positionH>
                  <wp:positionV relativeFrom="paragraph">
                    <wp:posOffset>340995</wp:posOffset>
                  </wp:positionV>
                  <wp:extent cx="3575685" cy="2015490"/>
                  <wp:effectExtent l="0" t="0" r="5715" b="3810"/>
                  <wp:wrapTight wrapText="bothSides">
                    <wp:wrapPolygon edited="0">
                      <wp:start x="0" y="0"/>
                      <wp:lineTo x="0" y="21437"/>
                      <wp:lineTo x="21519" y="21437"/>
                      <wp:lineTo x="21519" y="0"/>
                      <wp:lineTo x="0" y="0"/>
                    </wp:wrapPolygon>
                  </wp:wrapTight>
                  <wp:docPr id="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5685" cy="20154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45F6" w:rsidRPr="00A545F6" w:rsidTr="00A545F6">
        <w:tc>
          <w:tcPr>
            <w:tcW w:w="8516" w:type="dxa"/>
          </w:tcPr>
          <w:p w:rsidR="00A545F6" w:rsidRPr="00A545F6" w:rsidRDefault="00A545F6" w:rsidP="00A545F6">
            <w:pPr>
              <w:spacing w:before="0" w:after="0"/>
              <w:rPr>
                <w:rFonts w:ascii="Calibri" w:eastAsia="Calibri" w:hAnsi="Calibri" w:cs="Times New Roman"/>
                <w:noProof/>
                <w:color w:val="70AD47"/>
                <w:sz w:val="22"/>
                <w:szCs w:val="22"/>
                <w:lang w:eastAsia="de-AT"/>
              </w:rPr>
            </w:pPr>
            <w:r>
              <w:rPr>
                <w:rFonts w:ascii="Calibri" w:eastAsia="Calibri" w:hAnsi="Calibri" w:cs="Times New Roman"/>
                <w:b/>
                <w:sz w:val="22"/>
                <w:szCs w:val="22"/>
              </w:rPr>
              <w:t>Figure S5</w:t>
            </w:r>
            <w:r w:rsidRPr="00A545F6">
              <w:rPr>
                <w:rFonts w:ascii="Calibri" w:eastAsia="Calibri" w:hAnsi="Calibri" w:cs="Times New Roman"/>
                <w:b/>
                <w:sz w:val="22"/>
                <w:szCs w:val="22"/>
              </w:rPr>
              <w:t>.</w:t>
            </w:r>
            <w:r w:rsidRPr="00A545F6">
              <w:rPr>
                <w:rFonts w:ascii="Calibri" w:eastAsia="Calibri" w:hAnsi="Calibri" w:cs="Times New Roman"/>
                <w:sz w:val="22"/>
                <w:szCs w:val="22"/>
              </w:rPr>
              <w:t xml:space="preserve"> Concentrations (top) and percentage of degradation (bottom) to soluble released products terephthalic acid (TPA) (dark grey bars) and mono(2-hydroxyethyl) terephthalate (MHET) (light grey bars) upon enzymatic hydrolysis of PET powder by Thc_Cut1. Hydrolysis was performed for 24 h at 60 °C  in 100 mM KPi pH 7.0 using different substrate-enzyme ratios at 300 rpm.</w:t>
            </w:r>
          </w:p>
        </w:tc>
      </w:tr>
    </w:tbl>
    <w:p w:rsidR="00B119CB" w:rsidRDefault="00B119CB"/>
    <w:sectPr w:rsidR="00B119CB" w:rsidSect="005A5AA2">
      <w:footerReference w:type="default" r:id="rId15"/>
      <w:pgSz w:w="11900" w:h="16840"/>
      <w:pgMar w:top="1440" w:right="1800" w:bottom="1440" w:left="180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545F6">
      <w:pPr>
        <w:spacing w:before="0" w:after="0"/>
      </w:pPr>
      <w:r>
        <w:separator/>
      </w:r>
    </w:p>
  </w:endnote>
  <w:endnote w:type="continuationSeparator" w:id="0">
    <w:p w:rsidR="00000000" w:rsidRDefault="00A545F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82991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246AF" w:rsidRDefault="001B24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45F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246AF" w:rsidRDefault="00A545F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545F6">
      <w:pPr>
        <w:spacing w:before="0" w:after="0"/>
      </w:pPr>
      <w:r>
        <w:separator/>
      </w:r>
    </w:p>
  </w:footnote>
  <w:footnote w:type="continuationSeparator" w:id="0">
    <w:p w:rsidR="00000000" w:rsidRDefault="00A545F6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DD1B05"/>
    <w:multiLevelType w:val="multilevel"/>
    <w:tmpl w:val="0C070025"/>
    <w:lvl w:ilvl="0">
      <w:start w:val="1"/>
      <w:numFmt w:val="decimal"/>
      <w:pStyle w:val="Heading1"/>
      <w:lvlText w:val="%1"/>
      <w:lvlJc w:val="left"/>
      <w:pPr>
        <w:ind w:left="3402" w:hanging="432"/>
      </w:pPr>
    </w:lvl>
    <w:lvl w:ilvl="1">
      <w:start w:val="1"/>
      <w:numFmt w:val="decimal"/>
      <w:pStyle w:val="Heading2"/>
      <w:lvlText w:val="%1.%2"/>
      <w:lvlJc w:val="left"/>
      <w:pPr>
        <w:ind w:left="291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AA2"/>
    <w:rsid w:val="001B24EC"/>
    <w:rsid w:val="005A5AA2"/>
    <w:rsid w:val="00A545F6"/>
    <w:rsid w:val="00B1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AA2"/>
    <w:pPr>
      <w:spacing w:before="120" w:after="240" w:line="240" w:lineRule="auto"/>
      <w:jc w:val="both"/>
    </w:pPr>
    <w:rPr>
      <w:rFonts w:ascii="Times New Roman" w:eastAsiaTheme="minorEastAsia" w:hAnsi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5AA2"/>
    <w:pPr>
      <w:keepNext/>
      <w:keepLines/>
      <w:numPr>
        <w:numId w:val="1"/>
      </w:numPr>
      <w:spacing w:before="240"/>
      <w:ind w:left="431" w:hanging="431"/>
      <w:outlineLvl w:val="0"/>
    </w:pPr>
    <w:rPr>
      <w:rFonts w:eastAsiaTheme="majorEastAsia" w:cstheme="majorBidi"/>
      <w:b/>
      <w:bCs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5AA2"/>
    <w:pPr>
      <w:keepNext/>
      <w:keepLines/>
      <w:numPr>
        <w:ilvl w:val="1"/>
        <w:numId w:val="1"/>
      </w:numPr>
      <w:spacing w:before="240" w:after="200"/>
      <w:ind w:left="578" w:hanging="578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5AA2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5AA2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A5AA2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A5AA2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5AA2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5AA2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5AA2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5AA2"/>
    <w:rPr>
      <w:rFonts w:ascii="Times New Roman" w:eastAsiaTheme="majorEastAsia" w:hAnsi="Times New Roman" w:cstheme="majorBidi"/>
      <w:b/>
      <w:bCs/>
      <w:sz w:val="24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5A5AA2"/>
    <w:rPr>
      <w:rFonts w:ascii="Times New Roman" w:eastAsiaTheme="majorEastAsia" w:hAnsi="Times New Roman" w:cstheme="majorBidi"/>
      <w:b/>
      <w:bCs/>
      <w:sz w:val="24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A5AA2"/>
    <w:rPr>
      <w:rFonts w:ascii="Times New Roman" w:eastAsiaTheme="majorEastAsia" w:hAnsi="Times New Roman" w:cstheme="majorBidi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5AA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5A5AA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5A5AA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5AA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5AA2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5A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A5A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AA2"/>
    <w:rPr>
      <w:rFonts w:ascii="Times New Roman" w:eastAsiaTheme="minorEastAsia" w:hAnsi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5A5AA2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5A5AA2"/>
    <w:pPr>
      <w:spacing w:after="200"/>
    </w:pPr>
    <w:rPr>
      <w:b/>
      <w:bCs/>
      <w:sz w:val="18"/>
      <w:szCs w:val="18"/>
    </w:rPr>
  </w:style>
  <w:style w:type="paragraph" w:customStyle="1" w:styleId="Authors">
    <w:name w:val="Authors"/>
    <w:basedOn w:val="Normal"/>
    <w:next w:val="Normal"/>
    <w:rsid w:val="005A5AA2"/>
    <w:pPr>
      <w:spacing w:before="240"/>
      <w:ind w:firstLine="284"/>
      <w:jc w:val="center"/>
    </w:pPr>
    <w:rPr>
      <w:rFonts w:eastAsia="MS Mincho" w:cs="Times New Roman"/>
      <w:b/>
      <w:lang w:val="cs-CZ" w:eastAsia="cs-CZ"/>
    </w:rPr>
  </w:style>
  <w:style w:type="paragraph" w:customStyle="1" w:styleId="AuthorDetails">
    <w:name w:val="Author Details"/>
    <w:basedOn w:val="Normal"/>
    <w:rsid w:val="005A5AA2"/>
    <w:pPr>
      <w:ind w:left="567" w:right="567" w:firstLine="284"/>
    </w:pPr>
    <w:rPr>
      <w:rFonts w:eastAsia="MS Mincho" w:cs="Times New Roman"/>
      <w:sz w:val="20"/>
      <w:lang w:val="cs-CZ" w:eastAsia="cs-CZ"/>
    </w:rPr>
  </w:style>
  <w:style w:type="paragraph" w:customStyle="1" w:styleId="SupplementaryMaterial">
    <w:name w:val="Supplementary Material"/>
    <w:basedOn w:val="Title"/>
    <w:next w:val="Title"/>
    <w:qFormat/>
    <w:rsid w:val="005A5AA2"/>
    <w:pPr>
      <w:suppressLineNumbers/>
      <w:pBdr>
        <w:bottom w:val="none" w:sz="0" w:space="0" w:color="auto"/>
      </w:pBdr>
      <w:spacing w:before="240" w:after="120"/>
      <w:contextualSpacing w:val="0"/>
      <w:jc w:val="center"/>
    </w:pPr>
    <w:rPr>
      <w:rFonts w:ascii="Times New Roman" w:eastAsiaTheme="minorHAnsi" w:hAnsi="Times New Roman" w:cs="Times New Roman"/>
      <w:b/>
      <w:i/>
      <w:color w:val="auto"/>
      <w:spacing w:val="0"/>
      <w:kern w:val="0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5A5AA2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A5AA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5A5AA2"/>
  </w:style>
  <w:style w:type="table" w:customStyle="1" w:styleId="TableGrid1">
    <w:name w:val="Table Grid1"/>
    <w:basedOn w:val="TableNormal"/>
    <w:next w:val="TableGrid"/>
    <w:uiPriority w:val="39"/>
    <w:rsid w:val="00A545F6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AA2"/>
    <w:pPr>
      <w:spacing w:before="120" w:after="240" w:line="240" w:lineRule="auto"/>
      <w:jc w:val="both"/>
    </w:pPr>
    <w:rPr>
      <w:rFonts w:ascii="Times New Roman" w:eastAsiaTheme="minorEastAsia" w:hAnsi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5AA2"/>
    <w:pPr>
      <w:keepNext/>
      <w:keepLines/>
      <w:numPr>
        <w:numId w:val="1"/>
      </w:numPr>
      <w:spacing w:before="240"/>
      <w:ind w:left="431" w:hanging="431"/>
      <w:outlineLvl w:val="0"/>
    </w:pPr>
    <w:rPr>
      <w:rFonts w:eastAsiaTheme="majorEastAsia" w:cstheme="majorBidi"/>
      <w:b/>
      <w:bCs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5AA2"/>
    <w:pPr>
      <w:keepNext/>
      <w:keepLines/>
      <w:numPr>
        <w:ilvl w:val="1"/>
        <w:numId w:val="1"/>
      </w:numPr>
      <w:spacing w:before="240" w:after="200"/>
      <w:ind w:left="578" w:hanging="578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5AA2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5AA2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A5AA2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A5AA2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5AA2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5AA2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5AA2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5AA2"/>
    <w:rPr>
      <w:rFonts w:ascii="Times New Roman" w:eastAsiaTheme="majorEastAsia" w:hAnsi="Times New Roman" w:cstheme="majorBidi"/>
      <w:b/>
      <w:bCs/>
      <w:sz w:val="24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5A5AA2"/>
    <w:rPr>
      <w:rFonts w:ascii="Times New Roman" w:eastAsiaTheme="majorEastAsia" w:hAnsi="Times New Roman" w:cstheme="majorBidi"/>
      <w:b/>
      <w:bCs/>
      <w:sz w:val="24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A5AA2"/>
    <w:rPr>
      <w:rFonts w:ascii="Times New Roman" w:eastAsiaTheme="majorEastAsia" w:hAnsi="Times New Roman" w:cstheme="majorBidi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5AA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5A5AA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5A5AA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5AA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5AA2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5A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A5A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AA2"/>
    <w:rPr>
      <w:rFonts w:ascii="Times New Roman" w:eastAsiaTheme="minorEastAsia" w:hAnsi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5A5AA2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5A5AA2"/>
    <w:pPr>
      <w:spacing w:after="200"/>
    </w:pPr>
    <w:rPr>
      <w:b/>
      <w:bCs/>
      <w:sz w:val="18"/>
      <w:szCs w:val="18"/>
    </w:rPr>
  </w:style>
  <w:style w:type="paragraph" w:customStyle="1" w:styleId="Authors">
    <w:name w:val="Authors"/>
    <w:basedOn w:val="Normal"/>
    <w:next w:val="Normal"/>
    <w:rsid w:val="005A5AA2"/>
    <w:pPr>
      <w:spacing w:before="240"/>
      <w:ind w:firstLine="284"/>
      <w:jc w:val="center"/>
    </w:pPr>
    <w:rPr>
      <w:rFonts w:eastAsia="MS Mincho" w:cs="Times New Roman"/>
      <w:b/>
      <w:lang w:val="cs-CZ" w:eastAsia="cs-CZ"/>
    </w:rPr>
  </w:style>
  <w:style w:type="paragraph" w:customStyle="1" w:styleId="AuthorDetails">
    <w:name w:val="Author Details"/>
    <w:basedOn w:val="Normal"/>
    <w:rsid w:val="005A5AA2"/>
    <w:pPr>
      <w:ind w:left="567" w:right="567" w:firstLine="284"/>
    </w:pPr>
    <w:rPr>
      <w:rFonts w:eastAsia="MS Mincho" w:cs="Times New Roman"/>
      <w:sz w:val="20"/>
      <w:lang w:val="cs-CZ" w:eastAsia="cs-CZ"/>
    </w:rPr>
  </w:style>
  <w:style w:type="paragraph" w:customStyle="1" w:styleId="SupplementaryMaterial">
    <w:name w:val="Supplementary Material"/>
    <w:basedOn w:val="Title"/>
    <w:next w:val="Title"/>
    <w:qFormat/>
    <w:rsid w:val="005A5AA2"/>
    <w:pPr>
      <w:suppressLineNumbers/>
      <w:pBdr>
        <w:bottom w:val="none" w:sz="0" w:space="0" w:color="auto"/>
      </w:pBdr>
      <w:spacing w:before="240" w:after="120"/>
      <w:contextualSpacing w:val="0"/>
      <w:jc w:val="center"/>
    </w:pPr>
    <w:rPr>
      <w:rFonts w:ascii="Times New Roman" w:eastAsiaTheme="minorHAnsi" w:hAnsi="Times New Roman" w:cs="Times New Roman"/>
      <w:b/>
      <w:i/>
      <w:color w:val="auto"/>
      <w:spacing w:val="0"/>
      <w:kern w:val="0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5A5AA2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A5AA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5A5AA2"/>
  </w:style>
  <w:style w:type="table" w:customStyle="1" w:styleId="TableGrid1">
    <w:name w:val="Table Grid1"/>
    <w:basedOn w:val="TableNormal"/>
    <w:next w:val="TableGrid"/>
    <w:uiPriority w:val="39"/>
    <w:rsid w:val="00A545F6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D9DE7CD2E9E54495CEF995A9FBEE2B" ma:contentTypeVersion="7" ma:contentTypeDescription="Create a new document." ma:contentTypeScope="" ma:versionID="430dd56235e626b7aca02e0f15b3a0a0">
  <xsd:schema xmlns:xsd="http://www.w3.org/2001/XMLSchema" xmlns:p="http://schemas.microsoft.com/office/2006/metadata/properties" xmlns:ns2="d66a66c9-44e3-46d1-b0e5-b9cef715d00f" targetNamespace="http://schemas.microsoft.com/office/2006/metadata/properties" ma:root="true" ma:fieldsID="285fb956542713b513b7cc3f5710afc9" ns2:_="">
    <xsd:import namespace="d66a66c9-44e3-46d1-b0e5-b9cef715d00f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2:FileFormat" minOccurs="0"/>
                <xsd:element ref="ns2:DocumentId" minOccurs="0"/>
                <xsd:element ref="ns2:TitleName" minOccurs="0"/>
                <xsd:element ref="ns2:StageName" minOccurs="0"/>
                <xsd:element ref="ns2:IsDeleted" minOccurs="0"/>
                <xsd:element ref="ns2:Checked_x0020_Out_x0020_To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d66a66c9-44e3-46d1-b0e5-b9cef715d00f" elementFormDefault="qualified">
    <xsd:import namespace="http://schemas.microsoft.com/office/2006/documentManagement/types"/>
    <xsd:element name="DocumentType" ma:index="8" nillable="true" ma:displayName="DocumentType" ma:internalName="DocumentType">
      <xsd:simpleType>
        <xsd:restriction base="dms:Text"/>
      </xsd:simpleType>
    </xsd:element>
    <xsd:element name="FileFormat" ma:index="9" nillable="true" ma:displayName="FileFormat" ma:internalName="FileFormat">
      <xsd:simpleType>
        <xsd:restriction base="dms:Text"/>
      </xsd:simpleType>
    </xsd:element>
    <xsd:element name="DocumentId" ma:index="10" nillable="true" ma:displayName="DocumentId" ma:internalName="DocumentId">
      <xsd:simpleType>
        <xsd:restriction base="dms:Text"/>
      </xsd:simpleType>
    </xsd:element>
    <xsd:element name="TitleName" ma:index="11" nillable="true" ma:displayName="TitleName" ma:internalName="TitleName">
      <xsd:simpleType>
        <xsd:restriction base="dms:Text"/>
      </xsd:simpleType>
    </xsd:element>
    <xsd:element name="StageName" ma:index="12" nillable="true" ma:displayName="StageName" ma:internalName="StageName">
      <xsd:simpleType>
        <xsd:restriction base="dms:Text"/>
      </xsd:simpleType>
    </xsd:element>
    <xsd:element name="IsDeleted" ma:index="13" nillable="true" ma:displayName="IsDeleted" ma:default="0" ma:internalName="IsDeleted">
      <xsd:simpleType>
        <xsd:restriction base="dms:Boolean"/>
      </xsd:simpleType>
    </xsd:element>
    <xsd:element name="Checked_x0020_Out_x0020_To" ma:index="14" nillable="true" ma:displayName="Checked Out To" ma:list="UserInfo" ma:internalName="Checked_x0020_Out_x0020_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DocumentId xmlns="d66a66c9-44e3-46d1-b0e5-b9cef715d00f">Data Sheet 1.DOCX</DocumentId>
    <IsDeleted xmlns="d66a66c9-44e3-46d1-b0e5-b9cef715d00f">false</IsDeleted>
    <TitleName xmlns="d66a66c9-44e3-46d1-b0e5-b9cef715d00f">Data Sheet 1.DOCX</TitleName>
    <StageName xmlns="d66a66c9-44e3-46d1-b0e5-b9cef715d00f" xsi:nil="true"/>
    <Checked_x0020_Out_x0020_To xmlns="d66a66c9-44e3-46d1-b0e5-b9cef715d00f">
      <UserInfo>
        <DisplayName/>
        <AccountId xsi:nil="true"/>
        <AccountType/>
      </UserInfo>
    </Checked_x0020_Out_x0020_To>
    <DocumentType xmlns="d66a66c9-44e3-46d1-b0e5-b9cef715d00f">Data Sheet</DocumentType>
    <FileFormat xmlns="d66a66c9-44e3-46d1-b0e5-b9cef715d00f">DOCX</FileFormat>
  </documentManagement>
</p:properties>
</file>

<file path=customXml/itemProps1.xml><?xml version="1.0" encoding="utf-8"?>
<ds:datastoreItem xmlns:ds="http://schemas.openxmlformats.org/officeDocument/2006/customXml" ds:itemID="{D9395EF5-B1A4-4525-A08E-94B3671B345D}"/>
</file>

<file path=customXml/itemProps2.xml><?xml version="1.0" encoding="utf-8"?>
<ds:datastoreItem xmlns:ds="http://schemas.openxmlformats.org/officeDocument/2006/customXml" ds:itemID="{047DAC80-5228-4899-85F0-D043B6365D33}"/>
</file>

<file path=customXml/itemProps3.xml><?xml version="1.0" encoding="utf-8"?>
<ds:datastoreItem xmlns:ds="http://schemas.openxmlformats.org/officeDocument/2006/customXml" ds:itemID="{62D9455C-458A-4594-AF74-DB2E32A6FBD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370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IFA-Tulln</Company>
  <LinksUpToDate>false</LinksUpToDate>
  <CharactersWithSpaces>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</dc:creator>
  <cp:lastModifiedBy>aut</cp:lastModifiedBy>
  <cp:revision>2</cp:revision>
  <dcterms:created xsi:type="dcterms:W3CDTF">2017-05-08T06:33:00Z</dcterms:created>
  <dcterms:modified xsi:type="dcterms:W3CDTF">2017-05-08T06:33:00Z</dcterms:modified>
</cp:coreProperties>
</file>