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923DF" w14:textId="77777777" w:rsidR="00164C2D" w:rsidRPr="005A62F0" w:rsidRDefault="00164C2D" w:rsidP="00164C2D">
      <w:pPr>
        <w:pStyle w:val="Ttulo"/>
      </w:pPr>
      <w:r>
        <w:t>Targeting CB2 and TRPV1: computational approaches for the identification of dual modulators</w:t>
      </w:r>
    </w:p>
    <w:p w14:paraId="0C922417" w14:textId="77777777" w:rsidR="00164C2D" w:rsidRPr="00B81F58" w:rsidRDefault="00164C2D" w:rsidP="00164C2D">
      <w:pPr>
        <w:pStyle w:val="AuthorList"/>
        <w:rPr>
          <w:vertAlign w:val="superscript"/>
          <w:lang w:val="es-ES"/>
        </w:rPr>
      </w:pPr>
      <w:r w:rsidRPr="00B81F58">
        <w:rPr>
          <w:lang w:val="es-ES"/>
        </w:rPr>
        <w:t>Paula Morales</w:t>
      </w:r>
      <w:r w:rsidRPr="00B81F58">
        <w:rPr>
          <w:vertAlign w:val="superscript"/>
          <w:lang w:val="es-ES"/>
        </w:rPr>
        <w:t>1†</w:t>
      </w:r>
      <w:r>
        <w:rPr>
          <w:vertAlign w:val="superscript"/>
          <w:lang w:val="es-ES"/>
        </w:rPr>
        <w:t>*</w:t>
      </w:r>
      <w:r w:rsidRPr="00B81F58">
        <w:rPr>
          <w:lang w:val="es-ES"/>
        </w:rPr>
        <w:t>, Chanté Muller</w:t>
      </w:r>
      <w:r w:rsidRPr="00B81F58">
        <w:rPr>
          <w:vertAlign w:val="superscript"/>
          <w:lang w:val="es-ES"/>
        </w:rPr>
        <w:t>2†</w:t>
      </w:r>
      <w:r>
        <w:rPr>
          <w:vertAlign w:val="superscript"/>
          <w:lang w:val="es-ES"/>
        </w:rPr>
        <w:t>*</w:t>
      </w:r>
      <w:r w:rsidRPr="00B81F58">
        <w:rPr>
          <w:lang w:val="es-ES"/>
        </w:rPr>
        <w:t>, Nadine Jagerovic</w:t>
      </w:r>
      <w:r w:rsidRPr="00B81F58">
        <w:rPr>
          <w:vertAlign w:val="superscript"/>
          <w:lang w:val="es-ES"/>
        </w:rPr>
        <w:t>1</w:t>
      </w:r>
      <w:r w:rsidRPr="00B81F58">
        <w:rPr>
          <w:lang w:val="es-ES"/>
        </w:rPr>
        <w:t>, Patricia H. Reggio</w:t>
      </w:r>
      <w:r w:rsidRPr="00B81F58">
        <w:rPr>
          <w:vertAlign w:val="superscript"/>
          <w:lang w:val="es-ES"/>
        </w:rPr>
        <w:t>2</w:t>
      </w:r>
    </w:p>
    <w:p w14:paraId="5D7F466B" w14:textId="77777777" w:rsidR="00164C2D" w:rsidRPr="00376CC5" w:rsidRDefault="00164C2D" w:rsidP="00164C2D">
      <w:pPr>
        <w:spacing w:before="240" w:after="0"/>
        <w:rPr>
          <w:rFonts w:cs="Times New Roman"/>
          <w:b/>
          <w:szCs w:val="24"/>
        </w:rPr>
      </w:pPr>
      <w:r w:rsidRPr="00376CC5">
        <w:rPr>
          <w:rFonts w:cs="Times New Roman"/>
          <w:szCs w:val="24"/>
          <w:vertAlign w:val="superscript"/>
        </w:rPr>
        <w:t>1</w:t>
      </w:r>
      <w:r>
        <w:rPr>
          <w:rFonts w:cs="Times New Roman"/>
          <w:szCs w:val="24"/>
        </w:rPr>
        <w:t xml:space="preserve">Medicinal Chemistry Institute, Spanish Research Council, Juan de la </w:t>
      </w:r>
      <w:proofErr w:type="spellStart"/>
      <w:r>
        <w:rPr>
          <w:rFonts w:cs="Times New Roman"/>
          <w:szCs w:val="24"/>
        </w:rPr>
        <w:t>Cierva</w:t>
      </w:r>
      <w:proofErr w:type="spellEnd"/>
      <w:r>
        <w:rPr>
          <w:rFonts w:cs="Times New Roman"/>
          <w:szCs w:val="24"/>
        </w:rPr>
        <w:t xml:space="preserve"> 3, 28006 Madrid, Spain</w:t>
      </w:r>
    </w:p>
    <w:p w14:paraId="76BD5C52" w14:textId="77777777" w:rsidR="00164C2D" w:rsidRDefault="00164C2D" w:rsidP="00164C2D">
      <w:pPr>
        <w:spacing w:after="0"/>
        <w:rPr>
          <w:rFonts w:cs="Times New Roman"/>
          <w:szCs w:val="24"/>
        </w:rPr>
      </w:pPr>
      <w:r w:rsidRPr="00376CC5">
        <w:rPr>
          <w:rFonts w:cs="Times New Roman"/>
          <w:szCs w:val="24"/>
          <w:vertAlign w:val="superscript"/>
        </w:rPr>
        <w:t>2</w:t>
      </w:r>
      <w:r>
        <w:rPr>
          <w:rFonts w:cs="Times New Roman"/>
          <w:szCs w:val="24"/>
        </w:rPr>
        <w:t>Department of Chemistry and Biochemistry, University of North Carolina at Greensboro, Greensboro, NC 27412, USA</w:t>
      </w:r>
    </w:p>
    <w:p w14:paraId="598BB3BE" w14:textId="77777777" w:rsidR="00164C2D" w:rsidRPr="00376CC5" w:rsidRDefault="00164C2D" w:rsidP="00164C2D">
      <w:pPr>
        <w:spacing w:after="0"/>
        <w:rPr>
          <w:rFonts w:cs="Times New Roman"/>
          <w:b/>
          <w:szCs w:val="24"/>
        </w:rPr>
      </w:pPr>
    </w:p>
    <w:p w14:paraId="5F7B66E6" w14:textId="77777777" w:rsidR="00164C2D" w:rsidRPr="005C0830" w:rsidRDefault="00164C2D" w:rsidP="00164C2D">
      <w:pPr>
        <w:spacing w:before="0" w:after="0"/>
        <w:rPr>
          <w:rFonts w:cs="Times New Roman"/>
          <w:szCs w:val="24"/>
          <w:lang w:val="es-ES"/>
        </w:rPr>
      </w:pPr>
      <w:r w:rsidRPr="005C0830">
        <w:rPr>
          <w:rFonts w:cs="Times New Roman"/>
          <w:b/>
          <w:szCs w:val="24"/>
          <w:lang w:val="es-ES"/>
        </w:rPr>
        <w:t xml:space="preserve">* </w:t>
      </w:r>
      <w:proofErr w:type="spellStart"/>
      <w:r w:rsidRPr="005C0830">
        <w:rPr>
          <w:rFonts w:cs="Times New Roman"/>
          <w:b/>
          <w:szCs w:val="24"/>
          <w:lang w:val="es-ES"/>
        </w:rPr>
        <w:t>Correspondence</w:t>
      </w:r>
      <w:proofErr w:type="spellEnd"/>
      <w:r w:rsidRPr="005C0830">
        <w:rPr>
          <w:rFonts w:cs="Times New Roman"/>
          <w:b/>
          <w:szCs w:val="24"/>
          <w:lang w:val="es-ES"/>
        </w:rPr>
        <w:t xml:space="preserve">: </w:t>
      </w:r>
      <w:r w:rsidRPr="005C0830">
        <w:rPr>
          <w:rFonts w:cs="Times New Roman"/>
          <w:b/>
          <w:szCs w:val="24"/>
          <w:lang w:val="es-ES"/>
        </w:rPr>
        <w:br/>
      </w:r>
      <w:r w:rsidRPr="005C0830">
        <w:rPr>
          <w:rFonts w:cs="Times New Roman"/>
          <w:szCs w:val="24"/>
          <w:lang w:val="es-ES"/>
        </w:rPr>
        <w:t>Paula Morales – paula.morales@</w:t>
      </w:r>
      <w:r>
        <w:rPr>
          <w:rFonts w:cs="Times New Roman"/>
          <w:szCs w:val="24"/>
          <w:lang w:val="es-ES"/>
        </w:rPr>
        <w:t>iqm.csic.es</w:t>
      </w:r>
    </w:p>
    <w:p w14:paraId="1C276E75" w14:textId="77777777" w:rsidR="00164C2D" w:rsidRPr="005C0830" w:rsidRDefault="00164C2D" w:rsidP="00164C2D">
      <w:pPr>
        <w:spacing w:before="0" w:after="0"/>
        <w:rPr>
          <w:rFonts w:cs="Times New Roman"/>
          <w:szCs w:val="24"/>
        </w:rPr>
      </w:pPr>
      <w:proofErr w:type="spellStart"/>
      <w:r w:rsidRPr="005C0830">
        <w:rPr>
          <w:rFonts w:cs="Times New Roman"/>
          <w:szCs w:val="24"/>
        </w:rPr>
        <w:t>Chanté</w:t>
      </w:r>
      <w:proofErr w:type="spellEnd"/>
      <w:r w:rsidRPr="005C0830">
        <w:rPr>
          <w:rFonts w:cs="Times New Roman"/>
          <w:szCs w:val="24"/>
        </w:rPr>
        <w:t xml:space="preserve"> Muller – camuller@uncg.edu</w:t>
      </w:r>
    </w:p>
    <w:p w14:paraId="2FC53D5F" w14:textId="3F478714" w:rsidR="00164C2D" w:rsidRDefault="00164C2D" w:rsidP="00164C2D">
      <w:pPr>
        <w:spacing w:before="240" w:after="0"/>
      </w:pPr>
      <w:r w:rsidRPr="001227F5">
        <w:rPr>
          <w:b/>
          <w:bCs/>
          <w:vertAlign w:val="superscript"/>
        </w:rPr>
        <w:t>†</w:t>
      </w:r>
      <w:r w:rsidRPr="001227F5">
        <w:rPr>
          <w:b/>
          <w:bCs/>
        </w:rPr>
        <w:t xml:space="preserve"> </w:t>
      </w:r>
      <w:r>
        <w:t>These authors contributed equally to this work.</w:t>
      </w:r>
    </w:p>
    <w:p w14:paraId="3615EE12" w14:textId="025B0049" w:rsidR="00692FF9" w:rsidRDefault="00692FF9" w:rsidP="00164C2D">
      <w:pPr>
        <w:spacing w:before="240" w:after="0"/>
      </w:pPr>
    </w:p>
    <w:p w14:paraId="78269887" w14:textId="77777777" w:rsidR="00692FF9" w:rsidRPr="001227F5" w:rsidRDefault="00692FF9" w:rsidP="00164C2D">
      <w:pPr>
        <w:spacing w:before="240" w:after="0"/>
        <w:rPr>
          <w:rFonts w:cs="Times New Roman"/>
          <w:szCs w:val="24"/>
        </w:rPr>
      </w:pPr>
    </w:p>
    <w:p w14:paraId="4227EEE6" w14:textId="54A9B6BD" w:rsidR="00654E8F" w:rsidRPr="001549D3" w:rsidRDefault="00654E8F" w:rsidP="0001436A">
      <w:pPr>
        <w:pStyle w:val="SupplementaryMaterial"/>
        <w:rPr>
          <w:b w:val="0"/>
        </w:rPr>
      </w:pPr>
      <w:r w:rsidRPr="001549D3">
        <w:t>Supplementary Material</w:t>
      </w:r>
    </w:p>
    <w:p w14:paraId="410602BD" w14:textId="4F61EA3A" w:rsidR="00A17C52" w:rsidRPr="00A17C52" w:rsidRDefault="00A17C52" w:rsidP="00654E8F">
      <w:pPr>
        <w:spacing w:before="240"/>
        <w:rPr>
          <w:b/>
          <w:bCs/>
        </w:rPr>
      </w:pPr>
      <w:r w:rsidRPr="00A17C52">
        <w:rPr>
          <w:b/>
          <w:bCs/>
        </w:rPr>
        <w:t>Contents</w:t>
      </w:r>
      <w:r>
        <w:rPr>
          <w:b/>
          <w:bCs/>
        </w:rPr>
        <w:t>:</w:t>
      </w:r>
    </w:p>
    <w:p w14:paraId="7B65BC41" w14:textId="3D8728E6" w:rsidR="00DE23E8" w:rsidRPr="00A17C52" w:rsidRDefault="00A17C52" w:rsidP="00A17C52">
      <w:pPr>
        <w:spacing w:after="0" w:line="360" w:lineRule="auto"/>
        <w:jc w:val="both"/>
        <w:rPr>
          <w:rFonts w:cs="Times New Roman"/>
          <w:szCs w:val="24"/>
        </w:rPr>
      </w:pPr>
      <w:r w:rsidRPr="00A17C52">
        <w:rPr>
          <w:b/>
          <w:bCs/>
        </w:rPr>
        <w:t>Table S</w:t>
      </w:r>
      <w:r w:rsidR="00292131">
        <w:rPr>
          <w:b/>
          <w:bCs/>
        </w:rPr>
        <w:t>1</w:t>
      </w:r>
      <w:r w:rsidRPr="00A17C52">
        <w:rPr>
          <w:b/>
          <w:bCs/>
        </w:rPr>
        <w:t>.</w:t>
      </w:r>
      <w:r w:rsidRPr="00A17C52">
        <w:rPr>
          <w:rFonts w:cs="Times New Roman"/>
          <w:szCs w:val="24"/>
        </w:rPr>
        <w:t xml:space="preserve"> </w:t>
      </w:r>
      <w:r w:rsidRPr="00925470">
        <w:rPr>
          <w:rFonts w:cs="Times New Roman"/>
          <w:szCs w:val="24"/>
        </w:rPr>
        <w:t xml:space="preserve">Functionality of </w:t>
      </w:r>
      <w:r>
        <w:rPr>
          <w:rFonts w:cs="Times New Roman"/>
          <w:szCs w:val="24"/>
        </w:rPr>
        <w:t>reported</w:t>
      </w:r>
      <w:r w:rsidRPr="00925470">
        <w:rPr>
          <w:rFonts w:cs="Times New Roman"/>
          <w:szCs w:val="24"/>
        </w:rPr>
        <w:t xml:space="preserve"> cannabin</w:t>
      </w:r>
      <w:r>
        <w:rPr>
          <w:rFonts w:cs="Times New Roman"/>
          <w:szCs w:val="24"/>
        </w:rPr>
        <w:t xml:space="preserve">oid ligands at </w:t>
      </w:r>
      <w:r w:rsidRPr="00925470">
        <w:rPr>
          <w:rFonts w:cs="Times New Roman"/>
          <w:szCs w:val="24"/>
        </w:rPr>
        <w:t>TRPV1</w:t>
      </w:r>
      <w:r>
        <w:rPr>
          <w:rFonts w:cs="Times New Roman"/>
          <w:szCs w:val="24"/>
        </w:rPr>
        <w:t xml:space="preserve"> and CB2.</w:t>
      </w:r>
    </w:p>
    <w:p w14:paraId="7D839D56" w14:textId="1607DD26" w:rsidR="00A17C52" w:rsidRDefault="00A17C52" w:rsidP="00654E8F">
      <w:pPr>
        <w:spacing w:before="240"/>
        <w:rPr>
          <w:rFonts w:cs="Times New Roman"/>
          <w:szCs w:val="24"/>
        </w:rPr>
      </w:pPr>
      <w:r w:rsidRPr="00401222">
        <w:rPr>
          <w:rFonts w:cs="Times New Roman"/>
          <w:b/>
          <w:szCs w:val="24"/>
        </w:rPr>
        <w:t>Figure S</w:t>
      </w:r>
      <w:r w:rsidRPr="00401222">
        <w:rPr>
          <w:rFonts w:cs="Times New Roman"/>
          <w:b/>
          <w:szCs w:val="24"/>
        </w:rPr>
        <w:fldChar w:fldCharType="begin"/>
      </w:r>
      <w:r w:rsidRPr="00401222">
        <w:rPr>
          <w:rFonts w:cs="Times New Roman"/>
          <w:b/>
          <w:szCs w:val="24"/>
        </w:rPr>
        <w:instrText xml:space="preserve"> SEQ Figure \* ARABIC </w:instrText>
      </w:r>
      <w:r w:rsidRPr="00401222">
        <w:rPr>
          <w:rFonts w:cs="Times New Roman"/>
          <w:b/>
          <w:szCs w:val="24"/>
        </w:rPr>
        <w:fldChar w:fldCharType="separate"/>
      </w:r>
      <w:r w:rsidR="00766701">
        <w:rPr>
          <w:rFonts w:cs="Times New Roman"/>
          <w:b/>
          <w:noProof/>
          <w:szCs w:val="24"/>
        </w:rPr>
        <w:t>1</w:t>
      </w:r>
      <w:r w:rsidRPr="00401222">
        <w:rPr>
          <w:rFonts w:cs="Times New Roman"/>
          <w:b/>
          <w:szCs w:val="24"/>
        </w:rPr>
        <w:fldChar w:fldCharType="end"/>
      </w:r>
      <w:r w:rsidRPr="00401222">
        <w:rPr>
          <w:rFonts w:cs="Times New Roman"/>
          <w:b/>
          <w:szCs w:val="24"/>
        </w:rPr>
        <w:t>.</w:t>
      </w:r>
      <w:r w:rsidRPr="00401222">
        <w:rPr>
          <w:rFonts w:cs="Times New Roman"/>
          <w:szCs w:val="24"/>
        </w:rPr>
        <w:t xml:space="preserve"> </w:t>
      </w:r>
      <w:r w:rsidR="00766701">
        <w:rPr>
          <w:rFonts w:cs="Times New Roman"/>
          <w:szCs w:val="24"/>
        </w:rPr>
        <w:t>TRPV1 sites.</w:t>
      </w:r>
    </w:p>
    <w:p w14:paraId="6CCE0B33" w14:textId="636C32FB" w:rsidR="00A17C52" w:rsidRPr="00FA04D4" w:rsidRDefault="00A17C52" w:rsidP="00654E8F">
      <w:pPr>
        <w:spacing w:before="240"/>
        <w:rPr>
          <w:rFonts w:cs="Times New Roman"/>
          <w:szCs w:val="24"/>
        </w:rPr>
      </w:pPr>
      <w:r w:rsidRPr="00FA04D4">
        <w:rPr>
          <w:rFonts w:cs="Times New Roman"/>
          <w:b/>
          <w:bCs/>
          <w:szCs w:val="24"/>
        </w:rPr>
        <w:t>Figure S2.</w:t>
      </w:r>
      <w:r w:rsidRPr="00FA04D4">
        <w:rPr>
          <w:rFonts w:cs="Times New Roman"/>
          <w:szCs w:val="24"/>
        </w:rPr>
        <w:t xml:space="preserve"> </w:t>
      </w:r>
      <w:r w:rsidR="00766701">
        <w:rPr>
          <w:rFonts w:cs="Times New Roman"/>
          <w:szCs w:val="24"/>
        </w:rPr>
        <w:t>W</w:t>
      </w:r>
      <w:r w:rsidR="00766701" w:rsidRPr="00401222">
        <w:rPr>
          <w:rFonts w:cs="Times New Roman"/>
          <w:szCs w:val="24"/>
        </w:rPr>
        <w:t>orkflows</w:t>
      </w:r>
      <w:r w:rsidR="00766701">
        <w:rPr>
          <w:rFonts w:cs="Times New Roman"/>
          <w:szCs w:val="24"/>
        </w:rPr>
        <w:t xml:space="preserve"> </w:t>
      </w:r>
      <w:r w:rsidR="00766701" w:rsidRPr="00401222">
        <w:rPr>
          <w:rFonts w:cs="Times New Roman"/>
          <w:szCs w:val="24"/>
        </w:rPr>
        <w:t xml:space="preserve">for the </w:t>
      </w:r>
      <w:proofErr w:type="gramStart"/>
      <w:r w:rsidR="00766701">
        <w:rPr>
          <w:rFonts w:cs="Times New Roman"/>
          <w:i/>
          <w:szCs w:val="24"/>
        </w:rPr>
        <w:t>i</w:t>
      </w:r>
      <w:r w:rsidR="00766701" w:rsidRPr="00401222">
        <w:rPr>
          <w:rFonts w:cs="Times New Roman"/>
          <w:i/>
          <w:szCs w:val="24"/>
        </w:rPr>
        <w:t>n silico</w:t>
      </w:r>
      <w:proofErr w:type="gramEnd"/>
      <w:r w:rsidR="00766701" w:rsidRPr="00401222">
        <w:rPr>
          <w:rFonts w:cs="Times New Roman"/>
          <w:szCs w:val="24"/>
        </w:rPr>
        <w:t xml:space="preserve"> identification of dual TRPV1/CB2 ligands</w:t>
      </w:r>
      <w:r w:rsidR="00766701">
        <w:rPr>
          <w:rFonts w:cs="Times New Roman"/>
          <w:szCs w:val="24"/>
        </w:rPr>
        <w:t>.</w:t>
      </w:r>
    </w:p>
    <w:p w14:paraId="53F13784" w14:textId="647ADE58" w:rsidR="00BD4222" w:rsidRDefault="00BD4222" w:rsidP="00654E8F">
      <w:pPr>
        <w:spacing w:before="240"/>
      </w:pPr>
      <w:r w:rsidRPr="006C457B">
        <w:rPr>
          <w:rFonts w:cs="Times New Roman"/>
          <w:b/>
          <w:bCs/>
          <w:szCs w:val="24"/>
        </w:rPr>
        <w:t>Figure S3.</w:t>
      </w:r>
      <w:r w:rsidRPr="006C457B">
        <w:rPr>
          <w:rFonts w:cs="Times New Roman"/>
          <w:szCs w:val="24"/>
        </w:rPr>
        <w:t xml:space="preserve"> Docking studies of JWH133 in CB2 and TRPV1</w:t>
      </w:r>
      <w:r w:rsidR="006C457B" w:rsidRPr="006C457B">
        <w:rPr>
          <w:rFonts w:cs="Times New Roman"/>
          <w:szCs w:val="24"/>
        </w:rPr>
        <w:t>.</w:t>
      </w:r>
    </w:p>
    <w:p w14:paraId="17E02CEC" w14:textId="7AB5DFFB" w:rsidR="00A17C52" w:rsidRDefault="00A17C52" w:rsidP="00A17C52">
      <w:pPr>
        <w:pStyle w:val="TAMainText"/>
        <w:spacing w:line="240" w:lineRule="auto"/>
        <w:ind w:firstLine="0"/>
        <w:rPr>
          <w:rFonts w:ascii="Times New Roman" w:hAnsi="Times New Roman"/>
          <w:szCs w:val="24"/>
        </w:rPr>
      </w:pPr>
      <w:r w:rsidRPr="00A17C52">
        <w:rPr>
          <w:b/>
          <w:bCs/>
        </w:rPr>
        <w:t>Table S2.</w:t>
      </w:r>
      <w:r>
        <w:rPr>
          <w:b/>
          <w:bCs/>
        </w:rPr>
        <w:t xml:space="preserve"> </w:t>
      </w:r>
      <w:r w:rsidRPr="004C3FAD">
        <w:rPr>
          <w:rFonts w:ascii="Times New Roman" w:hAnsi="Times New Roman"/>
          <w:szCs w:val="24"/>
        </w:rPr>
        <w:t xml:space="preserve">Physicochemical descriptors calculated </w:t>
      </w:r>
      <w:r>
        <w:rPr>
          <w:rFonts w:ascii="Times New Roman" w:hAnsi="Times New Roman"/>
          <w:szCs w:val="24"/>
        </w:rPr>
        <w:t>for potential CB2/TRPV1 modulators identified</w:t>
      </w:r>
      <w:r w:rsidR="00F01C26" w:rsidRPr="00F01C26">
        <w:rPr>
          <w:rFonts w:ascii="Times New Roman" w:hAnsi="Times New Roman"/>
          <w:szCs w:val="24"/>
        </w:rPr>
        <w:t xml:space="preserve"> </w:t>
      </w:r>
      <w:r w:rsidR="00F01C26">
        <w:rPr>
          <w:rFonts w:ascii="Times New Roman" w:hAnsi="Times New Roman"/>
          <w:szCs w:val="24"/>
        </w:rPr>
        <w:t>upon screening of a JWH133-related chemical library.</w:t>
      </w:r>
    </w:p>
    <w:p w14:paraId="34DE35E6" w14:textId="0E28268A" w:rsidR="00A17C52" w:rsidRDefault="00A17C52" w:rsidP="00A17C52">
      <w:pPr>
        <w:pStyle w:val="TAMainText"/>
        <w:spacing w:line="240" w:lineRule="auto"/>
        <w:ind w:firstLine="0"/>
        <w:rPr>
          <w:b/>
          <w:bCs/>
        </w:rPr>
      </w:pPr>
    </w:p>
    <w:p w14:paraId="5B2581CE" w14:textId="50CA13B4" w:rsidR="00766701" w:rsidRDefault="00A17C52" w:rsidP="00A17C52">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S3</w:t>
      </w:r>
      <w:r w:rsidRPr="004C3FAD">
        <w:rPr>
          <w:rFonts w:ascii="Times New Roman" w:hAnsi="Times New Roman"/>
          <w:b/>
          <w:szCs w:val="24"/>
        </w:rPr>
        <w:t xml:space="preserve">. </w:t>
      </w:r>
      <w:r w:rsidRPr="004C3FAD">
        <w:rPr>
          <w:rFonts w:ascii="Times New Roman" w:hAnsi="Times New Roman"/>
          <w:szCs w:val="24"/>
        </w:rPr>
        <w:t xml:space="preserve">Physicochemical descriptors calculated </w:t>
      </w:r>
      <w:r>
        <w:rPr>
          <w:rFonts w:ascii="Times New Roman" w:hAnsi="Times New Roman"/>
          <w:szCs w:val="24"/>
        </w:rPr>
        <w:t xml:space="preserve">for potential CB2/TRPV1 modulators identified </w:t>
      </w:r>
      <w:proofErr w:type="spellStart"/>
      <w:r>
        <w:rPr>
          <w:rFonts w:ascii="Times New Roman" w:hAnsi="Times New Roman"/>
          <w:szCs w:val="24"/>
        </w:rPr>
        <w:t>identified</w:t>
      </w:r>
      <w:proofErr w:type="spellEnd"/>
      <w:r>
        <w:rPr>
          <w:rFonts w:ascii="Times New Roman" w:hAnsi="Times New Roman"/>
          <w:szCs w:val="24"/>
        </w:rPr>
        <w:t xml:space="preserve"> </w:t>
      </w:r>
      <w:r w:rsidR="00F01C26">
        <w:rPr>
          <w:rFonts w:ascii="Times New Roman" w:hAnsi="Times New Roman"/>
          <w:szCs w:val="24"/>
        </w:rPr>
        <w:t xml:space="preserve">using the crossed-agonist strategy </w:t>
      </w:r>
    </w:p>
    <w:p w14:paraId="4602158A" w14:textId="77777777" w:rsidR="00292131" w:rsidRDefault="00292131" w:rsidP="00A17C52">
      <w:pPr>
        <w:pStyle w:val="TAMainText"/>
        <w:spacing w:line="240" w:lineRule="auto"/>
        <w:ind w:firstLine="0"/>
        <w:rPr>
          <w:rFonts w:ascii="Times New Roman" w:hAnsi="Times New Roman"/>
          <w:szCs w:val="24"/>
        </w:rPr>
      </w:pPr>
    </w:p>
    <w:p w14:paraId="74ADC6A5" w14:textId="77BEFCE0" w:rsidR="00766701" w:rsidRDefault="00766701" w:rsidP="00A17C52">
      <w:pPr>
        <w:pStyle w:val="TAMainText"/>
        <w:spacing w:line="240" w:lineRule="auto"/>
        <w:ind w:firstLine="0"/>
        <w:rPr>
          <w:rFonts w:ascii="Times New Roman" w:hAnsi="Times New Roman"/>
          <w:szCs w:val="24"/>
        </w:rPr>
      </w:pPr>
      <w:r>
        <w:rPr>
          <w:rFonts w:ascii="Times New Roman" w:hAnsi="Times New Roman"/>
          <w:b/>
          <w:bCs/>
          <w:szCs w:val="24"/>
        </w:rPr>
        <w:t>Figure S4.</w:t>
      </w:r>
      <w:r>
        <w:rPr>
          <w:rFonts w:ascii="Times New Roman" w:hAnsi="Times New Roman"/>
          <w:szCs w:val="24"/>
        </w:rPr>
        <w:t xml:space="preserve"> Docking of AEA in S1-S4 tunnel of TRPV1.</w:t>
      </w:r>
    </w:p>
    <w:p w14:paraId="21B0D505" w14:textId="77777777" w:rsidR="00725ED7" w:rsidRDefault="00725ED7" w:rsidP="00725ED7">
      <w:pPr>
        <w:pStyle w:val="TAMainText"/>
        <w:spacing w:line="240" w:lineRule="auto"/>
        <w:ind w:firstLine="0"/>
        <w:rPr>
          <w:rFonts w:ascii="Times New Roman" w:hAnsi="Times New Roman"/>
          <w:b/>
          <w:szCs w:val="24"/>
        </w:rPr>
      </w:pPr>
    </w:p>
    <w:p w14:paraId="4ADF62FA" w14:textId="7362C744" w:rsidR="006928A2" w:rsidRDefault="006928A2" w:rsidP="006928A2">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S4</w:t>
      </w:r>
      <w:r w:rsidRPr="004C3FAD">
        <w:rPr>
          <w:rFonts w:ascii="Times New Roman" w:hAnsi="Times New Roman"/>
          <w:b/>
          <w:szCs w:val="24"/>
        </w:rPr>
        <w:t xml:space="preserve">. </w:t>
      </w:r>
      <w:r>
        <w:rPr>
          <w:rFonts w:ascii="Times New Roman" w:hAnsi="Times New Roman"/>
          <w:szCs w:val="24"/>
        </w:rPr>
        <w:t xml:space="preserve">Off-target evaluation at cannabinoid-related TRPs of selected dual hits </w:t>
      </w:r>
      <w:r w:rsidRPr="004F6E7F">
        <w:rPr>
          <w:b/>
          <w:color w:val="000000"/>
          <w:szCs w:val="24"/>
        </w:rPr>
        <w:t>59824268</w:t>
      </w:r>
      <w:r>
        <w:rPr>
          <w:b/>
          <w:color w:val="000000"/>
          <w:szCs w:val="24"/>
        </w:rPr>
        <w:t xml:space="preserve">, </w:t>
      </w:r>
      <w:r>
        <w:rPr>
          <w:b/>
          <w:szCs w:val="24"/>
        </w:rPr>
        <w:t xml:space="preserve">1288208, 1288239, </w:t>
      </w:r>
      <w:r w:rsidRPr="00F71283">
        <w:rPr>
          <w:b/>
          <w:sz w:val="22"/>
        </w:rPr>
        <w:t>1508577</w:t>
      </w:r>
      <w:r>
        <w:rPr>
          <w:b/>
          <w:sz w:val="22"/>
        </w:rPr>
        <w:t xml:space="preserve"> </w:t>
      </w:r>
      <w:r w:rsidRPr="007C51C0">
        <w:rPr>
          <w:bCs/>
          <w:sz w:val="22"/>
        </w:rPr>
        <w:t>and</w:t>
      </w:r>
      <w:r>
        <w:rPr>
          <w:b/>
          <w:sz w:val="22"/>
        </w:rPr>
        <w:t xml:space="preserve"> </w:t>
      </w:r>
      <w:r w:rsidRPr="00F71283">
        <w:rPr>
          <w:b/>
          <w:sz w:val="22"/>
        </w:rPr>
        <w:t>1508215</w:t>
      </w:r>
      <w:r>
        <w:rPr>
          <w:rFonts w:ascii="Times New Roman" w:hAnsi="Times New Roman"/>
          <w:szCs w:val="24"/>
        </w:rPr>
        <w:t xml:space="preserve">. </w:t>
      </w:r>
    </w:p>
    <w:p w14:paraId="76E4E556" w14:textId="77777777" w:rsidR="006928A2" w:rsidRDefault="006928A2" w:rsidP="006928A2">
      <w:pPr>
        <w:pStyle w:val="TAMainText"/>
        <w:spacing w:line="240" w:lineRule="auto"/>
        <w:ind w:firstLine="0"/>
        <w:rPr>
          <w:rFonts w:ascii="Times New Roman" w:hAnsi="Times New Roman"/>
          <w:szCs w:val="24"/>
        </w:rPr>
      </w:pPr>
    </w:p>
    <w:p w14:paraId="463F1040" w14:textId="77777777" w:rsidR="006928A2" w:rsidRDefault="006928A2" w:rsidP="006928A2">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S5</w:t>
      </w:r>
      <w:r w:rsidRPr="004C3FAD">
        <w:rPr>
          <w:rFonts w:ascii="Times New Roman" w:hAnsi="Times New Roman"/>
          <w:b/>
          <w:szCs w:val="24"/>
        </w:rPr>
        <w:t xml:space="preserve">. </w:t>
      </w:r>
      <w:r>
        <w:rPr>
          <w:rFonts w:ascii="Times New Roman" w:hAnsi="Times New Roman"/>
          <w:szCs w:val="24"/>
        </w:rPr>
        <w:t xml:space="preserve">Off-target evaluation at cannabinoid-related GPCRs of selected dual hits </w:t>
      </w:r>
      <w:r w:rsidRPr="004F6E7F">
        <w:rPr>
          <w:b/>
          <w:color w:val="000000"/>
          <w:szCs w:val="24"/>
        </w:rPr>
        <w:t>59824268</w:t>
      </w:r>
      <w:r>
        <w:rPr>
          <w:b/>
          <w:color w:val="000000"/>
          <w:szCs w:val="24"/>
        </w:rPr>
        <w:t xml:space="preserve">, </w:t>
      </w:r>
      <w:r>
        <w:rPr>
          <w:b/>
          <w:szCs w:val="24"/>
        </w:rPr>
        <w:t xml:space="preserve">1288208, 1288239, </w:t>
      </w:r>
      <w:r w:rsidRPr="00F71283">
        <w:rPr>
          <w:b/>
          <w:sz w:val="22"/>
        </w:rPr>
        <w:t>1508577</w:t>
      </w:r>
      <w:r>
        <w:rPr>
          <w:b/>
          <w:sz w:val="22"/>
        </w:rPr>
        <w:t xml:space="preserve"> </w:t>
      </w:r>
      <w:r w:rsidRPr="007C51C0">
        <w:rPr>
          <w:bCs/>
          <w:sz w:val="22"/>
        </w:rPr>
        <w:t>and</w:t>
      </w:r>
      <w:r>
        <w:rPr>
          <w:b/>
          <w:sz w:val="22"/>
        </w:rPr>
        <w:t xml:space="preserve"> </w:t>
      </w:r>
      <w:r w:rsidRPr="00F71283">
        <w:rPr>
          <w:b/>
          <w:sz w:val="22"/>
        </w:rPr>
        <w:t>1508215</w:t>
      </w:r>
      <w:r>
        <w:rPr>
          <w:rFonts w:ascii="Times New Roman" w:hAnsi="Times New Roman"/>
          <w:szCs w:val="24"/>
        </w:rPr>
        <w:t xml:space="preserve">. </w:t>
      </w:r>
    </w:p>
    <w:p w14:paraId="7C5F3266" w14:textId="77777777" w:rsidR="006928A2" w:rsidRDefault="006928A2" w:rsidP="006928A2">
      <w:pPr>
        <w:pStyle w:val="TAMainText"/>
        <w:spacing w:line="240" w:lineRule="auto"/>
        <w:ind w:firstLine="0"/>
        <w:rPr>
          <w:rFonts w:ascii="Times New Roman" w:hAnsi="Times New Roman"/>
          <w:szCs w:val="24"/>
        </w:rPr>
      </w:pPr>
    </w:p>
    <w:p w14:paraId="67F5ADD9" w14:textId="6B1D7A5F" w:rsidR="00A8066C" w:rsidRPr="0024283F" w:rsidRDefault="006928A2" w:rsidP="006928A2">
      <w:pPr>
        <w:pStyle w:val="TAMainText"/>
        <w:spacing w:line="240" w:lineRule="auto"/>
        <w:ind w:firstLine="0"/>
        <w:rPr>
          <w:rFonts w:ascii="Times New Roman" w:hAnsi="Times New Roman"/>
          <w:szCs w:val="24"/>
        </w:rPr>
      </w:pPr>
      <w:r>
        <w:rPr>
          <w:rFonts w:ascii="Times New Roman" w:hAnsi="Times New Roman"/>
          <w:b/>
          <w:bCs/>
          <w:szCs w:val="24"/>
        </w:rPr>
        <w:t xml:space="preserve">Figure S5. </w:t>
      </w:r>
      <w:r>
        <w:rPr>
          <w:rFonts w:ascii="Times New Roman" w:hAnsi="Times New Roman"/>
          <w:szCs w:val="24"/>
        </w:rPr>
        <w:t>Summary of selected hits.</w:t>
      </w:r>
    </w:p>
    <w:p w14:paraId="74F816E8" w14:textId="77777777" w:rsidR="00292131" w:rsidRPr="00766701" w:rsidRDefault="00292131" w:rsidP="00A17C52">
      <w:pPr>
        <w:pStyle w:val="TAMainText"/>
        <w:spacing w:line="240" w:lineRule="auto"/>
        <w:ind w:firstLine="0"/>
        <w:rPr>
          <w:rFonts w:ascii="Times New Roman" w:hAnsi="Times New Roman"/>
          <w:szCs w:val="24"/>
        </w:rPr>
      </w:pPr>
    </w:p>
    <w:p w14:paraId="1B1DA383" w14:textId="5B169AE6" w:rsidR="00FA04D4" w:rsidRDefault="00FA04D4" w:rsidP="00A17C52">
      <w:pPr>
        <w:pStyle w:val="TAMainText"/>
        <w:spacing w:line="240" w:lineRule="auto"/>
        <w:ind w:firstLine="0"/>
        <w:rPr>
          <w:rFonts w:ascii="Times New Roman" w:hAnsi="Times New Roman"/>
          <w:szCs w:val="24"/>
        </w:rPr>
      </w:pPr>
    </w:p>
    <w:p w14:paraId="0D41603F" w14:textId="2015F993" w:rsidR="00FA04D4" w:rsidRDefault="00FA04D4" w:rsidP="00A17C52">
      <w:pPr>
        <w:pStyle w:val="TAMainText"/>
        <w:spacing w:line="240" w:lineRule="auto"/>
        <w:ind w:firstLine="0"/>
        <w:rPr>
          <w:rFonts w:ascii="Times New Roman" w:hAnsi="Times New Roman"/>
          <w:szCs w:val="24"/>
        </w:rPr>
      </w:pPr>
    </w:p>
    <w:p w14:paraId="096271D4" w14:textId="77777777" w:rsidR="00F938E4" w:rsidRDefault="00F938E4" w:rsidP="00654E8F">
      <w:pPr>
        <w:spacing w:before="240"/>
        <w:sectPr w:rsidR="00F938E4"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pPr>
    </w:p>
    <w:p w14:paraId="1613CD0A" w14:textId="761DF994" w:rsidR="00ED6CED" w:rsidRDefault="386FC3B5" w:rsidP="386FC3B5">
      <w:pPr>
        <w:spacing w:after="0" w:line="360" w:lineRule="auto"/>
        <w:jc w:val="both"/>
        <w:rPr>
          <w:rFonts w:cs="Times New Roman"/>
        </w:rPr>
      </w:pPr>
      <w:r w:rsidRPr="386FC3B5">
        <w:rPr>
          <w:rFonts w:cs="Times New Roman"/>
          <w:b/>
          <w:bCs/>
        </w:rPr>
        <w:lastRenderedPageBreak/>
        <w:t>Table S2.</w:t>
      </w:r>
      <w:r w:rsidRPr="386FC3B5">
        <w:rPr>
          <w:rFonts w:cs="Times New Roman"/>
        </w:rPr>
        <w:t xml:space="preserve"> Functionality of reported cannabinoid ligands at TRPV1 and CB2.</w:t>
      </w:r>
    </w:p>
    <w:p w14:paraId="2025B04B" w14:textId="77777777" w:rsidR="003C1827" w:rsidRDefault="003C1827" w:rsidP="00ED6CED">
      <w:pPr>
        <w:spacing w:after="0" w:line="360" w:lineRule="auto"/>
        <w:jc w:val="both"/>
        <w:rPr>
          <w:rFonts w:cs="Times New Roman"/>
          <w:szCs w:val="24"/>
        </w:rPr>
      </w:pPr>
    </w:p>
    <w:tbl>
      <w:tblPr>
        <w:tblStyle w:val="Tablaconcuadrcula"/>
        <w:tblW w:w="14452" w:type="dxa"/>
        <w:jc w:val="center"/>
        <w:tblLayout w:type="fixed"/>
        <w:tblLook w:val="04A0" w:firstRow="1" w:lastRow="0" w:firstColumn="1" w:lastColumn="0" w:noHBand="0" w:noVBand="1"/>
      </w:tblPr>
      <w:tblGrid>
        <w:gridCol w:w="1974"/>
        <w:gridCol w:w="2132"/>
        <w:gridCol w:w="1276"/>
        <w:gridCol w:w="1417"/>
        <w:gridCol w:w="1701"/>
        <w:gridCol w:w="1418"/>
        <w:gridCol w:w="1415"/>
        <w:gridCol w:w="1701"/>
        <w:gridCol w:w="1418"/>
      </w:tblGrid>
      <w:tr w:rsidR="00ED6CED" w:rsidRPr="00EE52FF" w14:paraId="7C7D0387" w14:textId="77777777" w:rsidTr="003C203B">
        <w:trPr>
          <w:trHeight w:val="442"/>
          <w:jc w:val="center"/>
        </w:trPr>
        <w:tc>
          <w:tcPr>
            <w:tcW w:w="4106" w:type="dxa"/>
            <w:gridSpan w:val="2"/>
            <w:tcBorders>
              <w:right w:val="single" w:sz="4" w:space="0" w:color="000000"/>
            </w:tcBorders>
            <w:shd w:val="clear" w:color="auto" w:fill="BFBFBF" w:themeFill="background1" w:themeFillShade="BF"/>
            <w:vAlign w:val="center"/>
          </w:tcPr>
          <w:p w14:paraId="2719A823" w14:textId="77777777" w:rsidR="00ED6CED" w:rsidRPr="00EE52FF" w:rsidRDefault="00ED6CED" w:rsidP="00AC4637">
            <w:pPr>
              <w:spacing w:before="0" w:after="0"/>
              <w:jc w:val="center"/>
              <w:rPr>
                <w:rFonts w:cs="Times New Roman"/>
                <w:b/>
                <w:sz w:val="22"/>
              </w:rPr>
            </w:pPr>
          </w:p>
        </w:tc>
        <w:tc>
          <w:tcPr>
            <w:tcW w:w="5812" w:type="dxa"/>
            <w:gridSpan w:val="4"/>
            <w:tcBorders>
              <w:right w:val="single" w:sz="4" w:space="0" w:color="000000"/>
            </w:tcBorders>
            <w:shd w:val="clear" w:color="auto" w:fill="BFBFBF" w:themeFill="background1" w:themeFillShade="BF"/>
            <w:vAlign w:val="center"/>
          </w:tcPr>
          <w:p w14:paraId="4433FA97" w14:textId="132FAD57" w:rsidR="00ED6CED" w:rsidRPr="00EE52FF" w:rsidRDefault="00ED6CED" w:rsidP="00AC4637">
            <w:pPr>
              <w:spacing w:before="0" w:after="0"/>
              <w:jc w:val="center"/>
              <w:rPr>
                <w:rFonts w:cs="Times New Roman"/>
                <w:b/>
                <w:sz w:val="22"/>
              </w:rPr>
            </w:pPr>
            <w:r w:rsidRPr="00EE52FF">
              <w:rPr>
                <w:rFonts w:cs="Times New Roman"/>
                <w:b/>
                <w:sz w:val="22"/>
              </w:rPr>
              <w:t>TRPV1</w:t>
            </w:r>
          </w:p>
        </w:tc>
        <w:tc>
          <w:tcPr>
            <w:tcW w:w="4534" w:type="dxa"/>
            <w:gridSpan w:val="3"/>
            <w:tcBorders>
              <w:left w:val="single" w:sz="4" w:space="0" w:color="000000"/>
            </w:tcBorders>
            <w:shd w:val="clear" w:color="auto" w:fill="BFBFBF" w:themeFill="background1" w:themeFillShade="BF"/>
            <w:vAlign w:val="center"/>
          </w:tcPr>
          <w:p w14:paraId="19215B29" w14:textId="77777777" w:rsidR="00ED6CED" w:rsidRPr="00EE52FF" w:rsidRDefault="00ED6CED" w:rsidP="00AC4637">
            <w:pPr>
              <w:spacing w:before="0" w:after="0"/>
              <w:jc w:val="center"/>
              <w:rPr>
                <w:rFonts w:cs="Times New Roman"/>
                <w:b/>
                <w:sz w:val="22"/>
              </w:rPr>
            </w:pPr>
            <w:r w:rsidRPr="00EE52FF">
              <w:rPr>
                <w:rFonts w:cs="Times New Roman"/>
                <w:b/>
                <w:sz w:val="22"/>
              </w:rPr>
              <w:t>CB</w:t>
            </w:r>
            <w:r w:rsidRPr="002C4B8F">
              <w:rPr>
                <w:rFonts w:cs="Times New Roman"/>
                <w:b/>
                <w:sz w:val="22"/>
                <w:vertAlign w:val="subscript"/>
              </w:rPr>
              <w:t>2</w:t>
            </w:r>
          </w:p>
        </w:tc>
      </w:tr>
      <w:tr w:rsidR="00ED6CED" w:rsidRPr="00EE52FF" w14:paraId="0BC463CC" w14:textId="77777777" w:rsidTr="003C203B">
        <w:trPr>
          <w:trHeight w:val="814"/>
          <w:jc w:val="center"/>
        </w:trPr>
        <w:tc>
          <w:tcPr>
            <w:tcW w:w="1974" w:type="dxa"/>
            <w:shd w:val="clear" w:color="auto" w:fill="BFBFBF" w:themeFill="background1" w:themeFillShade="BF"/>
            <w:vAlign w:val="center"/>
          </w:tcPr>
          <w:p w14:paraId="62FD4235" w14:textId="77777777" w:rsidR="00ED6CED" w:rsidRPr="00EE52FF" w:rsidRDefault="00ED6CED" w:rsidP="00AC4637">
            <w:pPr>
              <w:spacing w:before="0" w:after="0"/>
              <w:jc w:val="center"/>
              <w:rPr>
                <w:rFonts w:cs="Times New Roman"/>
                <w:b/>
                <w:sz w:val="20"/>
                <w:szCs w:val="20"/>
              </w:rPr>
            </w:pPr>
            <w:r w:rsidRPr="00ED6CED">
              <w:rPr>
                <w:rFonts w:cs="Times New Roman"/>
                <w:b/>
                <w:sz w:val="22"/>
                <w:szCs w:val="20"/>
              </w:rPr>
              <w:t>Compound</w:t>
            </w:r>
          </w:p>
        </w:tc>
        <w:tc>
          <w:tcPr>
            <w:tcW w:w="2132" w:type="dxa"/>
            <w:shd w:val="clear" w:color="auto" w:fill="BFBFBF" w:themeFill="background1" w:themeFillShade="BF"/>
            <w:vAlign w:val="center"/>
          </w:tcPr>
          <w:p w14:paraId="17101F42" w14:textId="05A0304A" w:rsidR="00ED6CED" w:rsidRPr="00EE52FF" w:rsidRDefault="003C203B" w:rsidP="00AC4637">
            <w:pPr>
              <w:spacing w:before="0" w:after="0"/>
              <w:jc w:val="center"/>
              <w:rPr>
                <w:rFonts w:cs="Times New Roman"/>
                <w:b/>
                <w:sz w:val="20"/>
                <w:szCs w:val="20"/>
              </w:rPr>
            </w:pPr>
            <w:r>
              <w:rPr>
                <w:rFonts w:cs="Times New Roman"/>
                <w:b/>
                <w:sz w:val="22"/>
                <w:szCs w:val="20"/>
              </w:rPr>
              <w:t>Structure</w:t>
            </w:r>
          </w:p>
        </w:tc>
        <w:tc>
          <w:tcPr>
            <w:tcW w:w="1276" w:type="dxa"/>
            <w:shd w:val="clear" w:color="auto" w:fill="BFBFBF" w:themeFill="background1" w:themeFillShade="BF"/>
            <w:vAlign w:val="center"/>
          </w:tcPr>
          <w:p w14:paraId="28E1E850" w14:textId="1916000C" w:rsidR="00ED6CED" w:rsidRPr="00EE52FF" w:rsidRDefault="00ED6CED" w:rsidP="00AC4637">
            <w:pPr>
              <w:spacing w:before="0" w:after="0"/>
              <w:jc w:val="center"/>
              <w:rPr>
                <w:rFonts w:cs="Times New Roman"/>
                <w:sz w:val="20"/>
                <w:szCs w:val="20"/>
              </w:rPr>
            </w:pPr>
            <w:r w:rsidRPr="00EE52FF">
              <w:rPr>
                <w:rFonts w:cs="Times New Roman"/>
                <w:b/>
                <w:sz w:val="20"/>
                <w:szCs w:val="20"/>
              </w:rPr>
              <w:t>Efficacy</w:t>
            </w:r>
            <w:r w:rsidRPr="00EE52FF">
              <w:rPr>
                <w:rFonts w:cs="Times New Roman"/>
                <w:sz w:val="20"/>
                <w:szCs w:val="20"/>
              </w:rPr>
              <w:t>* (</w:t>
            </w:r>
            <w:r w:rsidR="00077C40">
              <w:rPr>
                <w:rFonts w:ascii="Symbol" w:hAnsi="Symbol" w:cs="Times New Roman"/>
                <w:sz w:val="20"/>
                <w:szCs w:val="20"/>
              </w:rPr>
              <w:t></w:t>
            </w:r>
            <w:r w:rsidRPr="00EE52FF">
              <w:rPr>
                <w:rFonts w:cs="Times New Roman"/>
                <w:sz w:val="20"/>
                <w:szCs w:val="20"/>
              </w:rPr>
              <w:t>)</w:t>
            </w:r>
          </w:p>
        </w:tc>
        <w:tc>
          <w:tcPr>
            <w:tcW w:w="1417" w:type="dxa"/>
            <w:shd w:val="clear" w:color="auto" w:fill="BFBFBF" w:themeFill="background1" w:themeFillShade="BF"/>
            <w:vAlign w:val="center"/>
          </w:tcPr>
          <w:p w14:paraId="4EDD69F5" w14:textId="77777777" w:rsidR="004C3904" w:rsidRPr="00EE52FF" w:rsidRDefault="004C3904" w:rsidP="004C3904">
            <w:pPr>
              <w:spacing w:before="0" w:after="0"/>
              <w:jc w:val="center"/>
              <w:rPr>
                <w:rFonts w:cs="Times New Roman"/>
                <w:b/>
                <w:sz w:val="20"/>
                <w:szCs w:val="20"/>
              </w:rPr>
            </w:pPr>
            <w:r w:rsidRPr="00EE52FF">
              <w:rPr>
                <w:rFonts w:cs="Times New Roman"/>
                <w:b/>
                <w:sz w:val="20"/>
                <w:szCs w:val="20"/>
              </w:rPr>
              <w:t>Functionality</w:t>
            </w:r>
          </w:p>
          <w:p w14:paraId="17C96D55" w14:textId="77777777" w:rsidR="00ED6CED" w:rsidRPr="00EE52FF" w:rsidRDefault="00ED6CED" w:rsidP="00AC4637">
            <w:pPr>
              <w:spacing w:before="0" w:after="0"/>
              <w:jc w:val="center"/>
              <w:rPr>
                <w:rFonts w:cs="Times New Roman"/>
                <w:b/>
                <w:sz w:val="20"/>
                <w:szCs w:val="20"/>
              </w:rPr>
            </w:pPr>
            <w:r w:rsidRPr="00EE52FF">
              <w:rPr>
                <w:rFonts w:cs="Times New Roman"/>
                <w:sz w:val="20"/>
                <w:szCs w:val="20"/>
              </w:rPr>
              <w:t>EC</w:t>
            </w:r>
            <w:r w:rsidRPr="006D247D">
              <w:rPr>
                <w:rFonts w:cs="Times New Roman"/>
                <w:sz w:val="20"/>
                <w:szCs w:val="20"/>
                <w:vertAlign w:val="subscript"/>
              </w:rPr>
              <w:t>50</w:t>
            </w:r>
            <w:r w:rsidRPr="00EE52FF">
              <w:rPr>
                <w:rFonts w:cs="Times New Roman"/>
                <w:sz w:val="20"/>
                <w:szCs w:val="20"/>
              </w:rPr>
              <w:t xml:space="preserve"> (</w:t>
            </w:r>
            <w:r w:rsidRPr="00EE52FF">
              <w:rPr>
                <w:rFonts w:ascii="Symbol" w:hAnsi="Symbol" w:cs="Times New Roman"/>
                <w:sz w:val="20"/>
                <w:szCs w:val="20"/>
              </w:rPr>
              <w:t></w:t>
            </w:r>
            <w:r w:rsidRPr="00EE52FF">
              <w:rPr>
                <w:rFonts w:cs="Times New Roman"/>
                <w:sz w:val="20"/>
                <w:szCs w:val="20"/>
              </w:rPr>
              <w:t>M)</w:t>
            </w:r>
          </w:p>
        </w:tc>
        <w:tc>
          <w:tcPr>
            <w:tcW w:w="1701" w:type="dxa"/>
            <w:shd w:val="clear" w:color="auto" w:fill="BFBFBF" w:themeFill="background1" w:themeFillShade="BF"/>
            <w:vAlign w:val="center"/>
          </w:tcPr>
          <w:p w14:paraId="25741472"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Desensitization</w:t>
            </w:r>
            <w:r w:rsidRPr="001F5577">
              <w:rPr>
                <w:rFonts w:cs="Times New Roman"/>
                <w:sz w:val="18"/>
                <w:szCs w:val="20"/>
              </w:rPr>
              <w:t>**</w:t>
            </w:r>
          </w:p>
          <w:p w14:paraId="71412696"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t>(</w:t>
            </w:r>
            <w:r w:rsidRPr="00EE52FF">
              <w:rPr>
                <w:rFonts w:cs="Times New Roman"/>
                <w:sz w:val="20"/>
                <w:szCs w:val="20"/>
                <w:lang w:val="el-GR"/>
              </w:rPr>
              <w:t>μΜ</w:t>
            </w:r>
            <w:r w:rsidRPr="00077C40">
              <w:rPr>
                <w:rFonts w:cs="Times New Roman"/>
                <w:sz w:val="20"/>
                <w:szCs w:val="20"/>
              </w:rPr>
              <w:t>)</w:t>
            </w:r>
          </w:p>
        </w:tc>
        <w:tc>
          <w:tcPr>
            <w:tcW w:w="1418" w:type="dxa"/>
            <w:tcBorders>
              <w:right w:val="single" w:sz="4" w:space="0" w:color="000000"/>
            </w:tcBorders>
            <w:shd w:val="clear" w:color="auto" w:fill="BFBFBF" w:themeFill="background1" w:themeFillShade="BF"/>
            <w:vAlign w:val="center"/>
          </w:tcPr>
          <w:p w14:paraId="6B724C24"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Refs.</w:t>
            </w:r>
          </w:p>
        </w:tc>
        <w:tc>
          <w:tcPr>
            <w:tcW w:w="1415" w:type="dxa"/>
            <w:shd w:val="clear" w:color="auto" w:fill="BFBFBF" w:themeFill="background1" w:themeFillShade="BF"/>
            <w:vAlign w:val="center"/>
          </w:tcPr>
          <w:p w14:paraId="1ADFE077"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Binding</w:t>
            </w:r>
            <w:r w:rsidRPr="00A031E1">
              <w:rPr>
                <w:rFonts w:cs="Times New Roman"/>
                <w:b/>
                <w:sz w:val="20"/>
                <w:szCs w:val="20"/>
                <w:vertAlign w:val="superscript"/>
              </w:rPr>
              <w:t>$</w:t>
            </w:r>
          </w:p>
          <w:p w14:paraId="19B2F18D" w14:textId="77777777" w:rsidR="00ED6CED" w:rsidRPr="00EE52FF" w:rsidRDefault="00ED6CED" w:rsidP="00AC4637">
            <w:pPr>
              <w:spacing w:before="0" w:after="0"/>
              <w:jc w:val="center"/>
              <w:rPr>
                <w:rFonts w:cs="Times New Roman"/>
                <w:bCs/>
                <w:sz w:val="20"/>
                <w:szCs w:val="20"/>
              </w:rPr>
            </w:pPr>
            <w:r w:rsidRPr="00EE52FF">
              <w:rPr>
                <w:rFonts w:cs="Times New Roman"/>
                <w:bCs/>
                <w:sz w:val="20"/>
                <w:szCs w:val="20"/>
              </w:rPr>
              <w:t>K</w:t>
            </w:r>
            <w:r w:rsidRPr="006D247D">
              <w:rPr>
                <w:rFonts w:cs="Times New Roman"/>
                <w:bCs/>
                <w:sz w:val="20"/>
                <w:szCs w:val="20"/>
                <w:vertAlign w:val="subscript"/>
              </w:rPr>
              <w:t>i</w:t>
            </w:r>
            <w:r w:rsidRPr="00EE52FF">
              <w:rPr>
                <w:rFonts w:cs="Times New Roman"/>
                <w:bCs/>
                <w:sz w:val="20"/>
                <w:szCs w:val="20"/>
              </w:rPr>
              <w:t xml:space="preserve"> (</w:t>
            </w:r>
            <w:proofErr w:type="spellStart"/>
            <w:r w:rsidRPr="00EE52FF">
              <w:rPr>
                <w:rFonts w:cs="Times New Roman"/>
                <w:bCs/>
                <w:sz w:val="20"/>
                <w:szCs w:val="20"/>
              </w:rPr>
              <w:t>nM</w:t>
            </w:r>
            <w:proofErr w:type="spellEnd"/>
            <w:r w:rsidRPr="00EE52FF">
              <w:rPr>
                <w:rFonts w:cs="Times New Roman"/>
                <w:bCs/>
                <w:sz w:val="20"/>
                <w:szCs w:val="20"/>
              </w:rPr>
              <w:t>)</w:t>
            </w:r>
          </w:p>
        </w:tc>
        <w:tc>
          <w:tcPr>
            <w:tcW w:w="1701" w:type="dxa"/>
            <w:shd w:val="clear" w:color="auto" w:fill="BFBFBF" w:themeFill="background1" w:themeFillShade="BF"/>
            <w:vAlign w:val="center"/>
          </w:tcPr>
          <w:p w14:paraId="00E96A2B"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Functionality</w:t>
            </w:r>
          </w:p>
          <w:p w14:paraId="159AB317" w14:textId="77777777" w:rsidR="00ED6CED" w:rsidRPr="00EE52FF" w:rsidRDefault="00ED6CED" w:rsidP="00AC4637">
            <w:pPr>
              <w:spacing w:before="0" w:after="0"/>
              <w:jc w:val="center"/>
              <w:rPr>
                <w:rFonts w:cs="Times New Roman"/>
                <w:b/>
                <w:sz w:val="20"/>
                <w:szCs w:val="20"/>
              </w:rPr>
            </w:pPr>
            <w:r w:rsidRPr="00EE52FF">
              <w:rPr>
                <w:rFonts w:cs="Times New Roman"/>
                <w:sz w:val="20"/>
                <w:szCs w:val="20"/>
              </w:rPr>
              <w:t>EC</w:t>
            </w:r>
            <w:r w:rsidRPr="006D247D">
              <w:rPr>
                <w:rFonts w:cs="Times New Roman"/>
                <w:sz w:val="20"/>
                <w:szCs w:val="20"/>
                <w:vertAlign w:val="subscript"/>
              </w:rPr>
              <w:t>50</w:t>
            </w:r>
            <w:r w:rsidRPr="00EE52FF">
              <w:rPr>
                <w:rFonts w:cs="Times New Roman"/>
                <w:sz w:val="20"/>
                <w:szCs w:val="20"/>
              </w:rPr>
              <w:t xml:space="preserve"> (</w:t>
            </w:r>
            <w:proofErr w:type="spellStart"/>
            <w:r w:rsidRPr="00EE52FF">
              <w:rPr>
                <w:rFonts w:cs="Times New Roman"/>
                <w:sz w:val="20"/>
                <w:szCs w:val="20"/>
              </w:rPr>
              <w:t>nM</w:t>
            </w:r>
            <w:proofErr w:type="spellEnd"/>
            <w:r w:rsidRPr="00EE52FF">
              <w:rPr>
                <w:rFonts w:cs="Times New Roman"/>
                <w:sz w:val="20"/>
                <w:szCs w:val="20"/>
              </w:rPr>
              <w:t>)</w:t>
            </w:r>
          </w:p>
        </w:tc>
        <w:tc>
          <w:tcPr>
            <w:tcW w:w="1418" w:type="dxa"/>
            <w:shd w:val="clear" w:color="auto" w:fill="BFBFBF" w:themeFill="background1" w:themeFillShade="BF"/>
            <w:vAlign w:val="center"/>
          </w:tcPr>
          <w:p w14:paraId="6AD52710"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Refs.</w:t>
            </w:r>
          </w:p>
        </w:tc>
      </w:tr>
      <w:tr w:rsidR="003C203B" w:rsidRPr="00EE52FF" w14:paraId="38E47A5C" w14:textId="77777777" w:rsidTr="003C203B">
        <w:trPr>
          <w:trHeight w:val="314"/>
          <w:jc w:val="center"/>
        </w:trPr>
        <w:tc>
          <w:tcPr>
            <w:tcW w:w="14452" w:type="dxa"/>
            <w:gridSpan w:val="9"/>
            <w:shd w:val="clear" w:color="auto" w:fill="D9D9D9" w:themeFill="background1" w:themeFillShade="D9"/>
            <w:vAlign w:val="center"/>
          </w:tcPr>
          <w:p w14:paraId="23C432FB" w14:textId="2A533283" w:rsidR="003C203B" w:rsidRPr="003C203B" w:rsidRDefault="003C203B" w:rsidP="000940E6">
            <w:pPr>
              <w:spacing w:before="0" w:after="0"/>
              <w:jc w:val="center"/>
              <w:rPr>
                <w:rFonts w:cs="Times New Roman"/>
                <w:b/>
                <w:i/>
                <w:sz w:val="20"/>
                <w:szCs w:val="20"/>
              </w:rPr>
            </w:pPr>
            <w:r w:rsidRPr="00E35E47">
              <w:rPr>
                <w:rFonts w:cs="Times New Roman"/>
                <w:b/>
                <w:i/>
                <w:sz w:val="20"/>
                <w:szCs w:val="20"/>
              </w:rPr>
              <w:t>Endocannabinoids and endocannabinoid-like molecules</w:t>
            </w:r>
          </w:p>
        </w:tc>
      </w:tr>
      <w:tr w:rsidR="00ED6CED" w:rsidRPr="00EE52FF" w14:paraId="3ADC5404" w14:textId="77777777" w:rsidTr="003C203B">
        <w:trPr>
          <w:trHeight w:val="537"/>
          <w:jc w:val="center"/>
        </w:trPr>
        <w:tc>
          <w:tcPr>
            <w:tcW w:w="1974" w:type="dxa"/>
            <w:shd w:val="clear" w:color="auto" w:fill="auto"/>
            <w:vAlign w:val="center"/>
          </w:tcPr>
          <w:p w14:paraId="0835322C"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2-AG</w:t>
            </w:r>
          </w:p>
        </w:tc>
        <w:tc>
          <w:tcPr>
            <w:tcW w:w="2132" w:type="dxa"/>
            <w:vAlign w:val="center"/>
          </w:tcPr>
          <w:p w14:paraId="733F43AB" w14:textId="2F23EA31" w:rsidR="00ED6CED" w:rsidRPr="00EE52FF" w:rsidRDefault="00604871" w:rsidP="00AC4637">
            <w:pPr>
              <w:spacing w:before="0" w:after="0"/>
              <w:jc w:val="center"/>
              <w:rPr>
                <w:rFonts w:cs="Times New Roman"/>
                <w:sz w:val="20"/>
                <w:szCs w:val="20"/>
              </w:rPr>
            </w:pPr>
            <w:r>
              <w:rPr>
                <w:noProof/>
              </w:rPr>
              <w:object w:dxaOrig="3252" w:dyaOrig="1102" w14:anchorId="57474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65pt;height:26.55pt;mso-width-percent:0;mso-height-percent:0;mso-width-percent:0;mso-height-percent:0" o:ole="">
                  <v:imagedata r:id="rId12" o:title=""/>
                </v:shape>
                <o:OLEObject Type="Embed" ProgID="ChemDraw.Document.6.0" ShapeID="_x0000_i1025" DrawAspect="Content" ObjectID="_1706533555" r:id="rId13"/>
              </w:object>
            </w:r>
          </w:p>
        </w:tc>
        <w:tc>
          <w:tcPr>
            <w:tcW w:w="1276" w:type="dxa"/>
            <w:shd w:val="clear" w:color="auto" w:fill="auto"/>
            <w:vAlign w:val="center"/>
          </w:tcPr>
          <w:p w14:paraId="7BD28A23" w14:textId="608BEE3B" w:rsidR="00ED6CED" w:rsidRPr="00EE52FF" w:rsidRDefault="00ED6CED" w:rsidP="00AC4637">
            <w:pPr>
              <w:spacing w:before="0" w:after="0"/>
              <w:jc w:val="center"/>
              <w:rPr>
                <w:rFonts w:cs="Times New Roman"/>
                <w:sz w:val="20"/>
                <w:szCs w:val="20"/>
              </w:rPr>
            </w:pPr>
            <w:r w:rsidRPr="00EE52FF">
              <w:rPr>
                <w:rFonts w:cs="Times New Roman"/>
                <w:sz w:val="20"/>
                <w:szCs w:val="20"/>
              </w:rPr>
              <w:t>59.1 ± 0.3</w:t>
            </w:r>
          </w:p>
        </w:tc>
        <w:tc>
          <w:tcPr>
            <w:tcW w:w="1417" w:type="dxa"/>
            <w:shd w:val="clear" w:color="auto" w:fill="auto"/>
            <w:vAlign w:val="center"/>
          </w:tcPr>
          <w:p w14:paraId="4DC48BCB" w14:textId="72B268C2" w:rsidR="004C3904" w:rsidRDefault="004C3904" w:rsidP="00724544">
            <w:pPr>
              <w:spacing w:before="0" w:after="0" w:line="260" w:lineRule="exact"/>
              <w:jc w:val="center"/>
              <w:rPr>
                <w:rFonts w:cs="Times New Roman"/>
                <w:sz w:val="20"/>
                <w:szCs w:val="20"/>
              </w:rPr>
            </w:pPr>
            <w:r>
              <w:rPr>
                <w:rFonts w:cs="Times New Roman"/>
                <w:sz w:val="20"/>
                <w:szCs w:val="20"/>
              </w:rPr>
              <w:t>Agonist</w:t>
            </w:r>
          </w:p>
          <w:p w14:paraId="570A5DD8" w14:textId="0469112D" w:rsidR="00ED6CED" w:rsidRPr="00EE52FF" w:rsidRDefault="00ED6CED" w:rsidP="00724544">
            <w:pPr>
              <w:spacing w:before="0" w:after="0" w:line="260" w:lineRule="exact"/>
              <w:jc w:val="center"/>
              <w:rPr>
                <w:rFonts w:cs="Times New Roman"/>
                <w:sz w:val="20"/>
                <w:szCs w:val="20"/>
              </w:rPr>
            </w:pPr>
            <w:r w:rsidRPr="00EE52FF">
              <w:rPr>
                <w:rFonts w:cs="Times New Roman"/>
                <w:sz w:val="20"/>
                <w:szCs w:val="20"/>
              </w:rPr>
              <w:t>0.85 ± 0.06</w:t>
            </w:r>
          </w:p>
        </w:tc>
        <w:tc>
          <w:tcPr>
            <w:tcW w:w="1701" w:type="dxa"/>
            <w:shd w:val="clear" w:color="auto" w:fill="auto"/>
            <w:vAlign w:val="center"/>
          </w:tcPr>
          <w:p w14:paraId="43BF0E7F"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t>0.75 ± 0.03</w:t>
            </w:r>
          </w:p>
        </w:tc>
        <w:tc>
          <w:tcPr>
            <w:tcW w:w="1418" w:type="dxa"/>
            <w:shd w:val="clear" w:color="auto" w:fill="auto"/>
            <w:vAlign w:val="center"/>
          </w:tcPr>
          <w:p w14:paraId="139BEE9D"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{"citationItems":[{"id":"ITEM-1","itemData":{"DOI":"10.1111/bph.13084","ISBN":"1476-5381 (Electronic)\r0007-1188 (Linking)","ISSN":"14765381","PMID":"25598150","abstract":"BACKGROUND AND AIMS: Palmitoylethanolamide (PEA) is an endogenous congener of anandamide and an enhancer of its actions at cannabinoid receptors, CB1 and CB2, and transient receptor potential vanilloid type-1 (TRPV1) channels. The other endocannabinoid, 2-arachidonoylglycerol (2-AG), was recently suggested to act as a TRPV1 agonist. We investigated if PEA enhances the levels of 2-AG in vitro or in vivo and 2-AG activity at TRPV1.\\n\\nMETHODS: Endogenous lipid levels were measured by liquid chromatography-mass spectrometry in: 1) human keratinocytes treated with PEA (10-20 μM, 40 min, 6h and 24 h, 37°C); 2) in the blood of spontaneously Ascaris suum hypersensitive Beagle dogs given a single oral dose of ultramicronized PEA (30 mg/kg, 1, 2, 4 and 8 h from administration); 3) the blood of healthy volunteers given a single oral dose of micronized PEA (300 mg, 2, 4 and 6 h from administration). The effect of 2-AG at TRPV1 was assessed by measuring intracellular Ca(2+) in HEK-293 cells over-expressing human TRPV1.\\n\\nRESULTS: PEA significantly elevated the amounts of 2-AG in keratinocytes (</w:instrText>
            </w:r>
            <w:r w:rsidRPr="00EE52FF">
              <w:rPr>
                <w:rFonts w:ascii="Cambria Math" w:hAnsi="Cambria Math" w:cs="Cambria Math"/>
                <w:sz w:val="20"/>
                <w:szCs w:val="20"/>
              </w:rPr>
              <w:instrText>∼</w:instrText>
            </w:r>
            <w:r w:rsidRPr="00EE52FF">
              <w:rPr>
                <w:rFonts w:cs="Times New Roman"/>
                <w:sz w:val="20"/>
                <w:szCs w:val="20"/>
              </w:rPr>
              <w:instrText>3-fold) and its plasma levels in humans and dogs (</w:instrText>
            </w:r>
            <w:r w:rsidRPr="00EE52FF">
              <w:rPr>
                <w:rFonts w:ascii="Cambria Math" w:hAnsi="Cambria Math" w:cs="Cambria Math"/>
                <w:sz w:val="20"/>
                <w:szCs w:val="20"/>
              </w:rPr>
              <w:instrText>∼</w:instrText>
            </w:r>
            <w:r w:rsidRPr="00EE52FF">
              <w:rPr>
                <w:rFonts w:cs="Times New Roman"/>
                <w:sz w:val="20"/>
                <w:szCs w:val="20"/>
              </w:rPr>
              <w:instrText xml:space="preserve">2 and </w:instrText>
            </w:r>
            <w:r w:rsidRPr="00EE52FF">
              <w:rPr>
                <w:rFonts w:ascii="Cambria Math" w:hAnsi="Cambria Math" w:cs="Cambria Math"/>
                <w:sz w:val="20"/>
                <w:szCs w:val="20"/>
              </w:rPr>
              <w:instrText>∼</w:instrText>
            </w:r>
            <w:r w:rsidRPr="00EE52FF">
              <w:rPr>
                <w:rFonts w:cs="Times New Roman"/>
                <w:sz w:val="20"/>
                <w:szCs w:val="20"/>
              </w:rPr>
              <w:instrText>20-fold, respectively). 2-AG dose-dependently elevated intracellular Ca(2+) in HEK-293-TRPV1 cells in a TRPV1-dependent manner, and desensitized the cells to the effect of capsaicin. PEA only slightly enhanced 2-AG activation of TRPV1, but significantly increased 2-AG-induced TRPV1 desensitization to capsaicin (IC50 from 0.75±0.04 to 0.45±0.02 μM, with PEA 2 μM).\\n\\nCONCLUSIONS: These observations may explain why several effects of PEA can be attenuated by cannabinoid receptor or TRPV1 channel antagonists.","author":[{"dropping-particle":"","family":"Petrosino","given":"Stefania","non-dropping-particle":"","parse-names":false,"suffix":""},{"dropping-particle":"","family":"Schiano Moriello","given":"Aniello","non-dropping-particle":"","parse-names":false,"suffix":""},{"dropping-particle":"","family":"Cerrato","given":"Santiago","non-dropping-particle":"","parse-names":false,"suffix":""},{"dropping-particle":"","family":"Fusco","given":"Mariella","non-dropping-particle":"","parse-names":false,"suffix":""},{"dropping-particle":"","family":"Puigdemont","given":"Anna","non-dropping-particle":"","parse-names":false,"suffix":""},{"dropping-particle":"","family":"Petrocellis","given":"Luciano","non-dropping-particle":"De","parse-names":false,"suffix":""},{"dropping-particle":"","family":"Marzo","given":"Vincenzo","non-dropping-particle":"Di","parse-names":false,"suffix":""}],"container-title":"British Journal of Pharmacology","id":"ITEM-1","issue":"7","issued":{"date-parts":[["2016"]]},"page":"1154-1162","title":"The anti-inflammatory mediator palmitoylethanolamide enhances the levels of 2-arachidonoyl-glycerol and potentiates its actions at TRPV1 cation channels","type":"article-journal","volume":"173"},"uris":["http://www.mendeley.com/documents/?uuid=7e7c2762-aa9e-47af-ab2e-bb37f582ea0d"]},{"id":"ITEM-2","itemData":{"DOI":"10.1186/s13075-015-0743-x","ISSN":"1478-6354","PMID":"26343051","abstract":"Chronic inflammation in rheumatoid arthritis (RA) is accompanied by activation of the sympathetic nervous system, which can support the immune system to perpetuate inflammation. Several animal models of arthritis already demonstrated a profound influence of adrenergic signaling on the course of RA. Peripheral norepinephrine release from sympathetic terminals is controlled by cannabinoid receptor type 1 (CB1), which is activated by two major endocannabinoids (ECs), arachidonylethanolamine (anandamide) and 2-arachidonylglycerol. These ECs also modulate function of transient receptor potential channels (TRPs) located on sensory nerve fibers, which are abundant in arthritic synovial tissue. TRPs not only induce the sensation of pain but also support inflammation via secretion of pro-inflammatory neuropeptides. In addition, many cell types in synovial tissue express CB1 and TRPs. In this review, we focus on CB1 and transient receptor potential vanilloid 1 (TRPV1)-mediated effects on RA since most anti-inflammatory mechanisms induced by cannabinoids are attributed to cannabinoid receptor type 2 (CB2) activation. We demonstrate how CB1 agonism or antagonism can modulate arthritic disease. The concept of functional antagonism with continuous CB1 activation is discussed. Since fatty acid amide hydrolase (FAAH) is a major EC-degrading enzyme, the therapeutic possibility of FAAH inhibition is studied. Finally, the therapeutic potential of ECs is examined since they interact with cannabinoid receptors and TRPs but do not produce central side effects.","author":[{"dropping-particle":"","family":"Lowin","given":"Torsten","non-dropping-particle":"","parse-names":false,"suffix":""},{"dropping-particle":"","family":"Straub","given":"Rainer H.","non-dropping-particle":"","parse-names":false,"suffix":""}],"container-title":"Arthritis Research &amp; Therapy","id":"ITEM-2","issue":"1","issued":{"date-parts":[["2015"]]},"page":"226","publisher":"Arthritis Research &amp; Therapy","title":"Cannabinoid-based drugs targeting CB1 and TRPV1, the sympathetic nervous system, and arthritis","type":"article-journal","volume":"17"},"uris":["http://www.mendeley.com/documents/?uuid=58a0a55d-a733-4e78-bc41-a829911854c0"]}],"mendeley":{"formattedCitation":"(Lowin and Straub, 2015; Petrosino et al., 2016)","plainTextFormattedCitation":"(Lowin and Straub, 2015; Petrosino et al., 2016)","previouslyFormattedCitation":"(Lowin and Straub, 2015; Petrosino et al., 2016)"},"properties":{"noteIndex":0},"schema":"https://github.com/citation-style-language/schema/raw/master/csl-citation.json"}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(Lowin and Straub, 2015; Petrosino et al., 2016)</w:t>
            </w:r>
            <w:r w:rsidRPr="00EE52FF">
              <w:rPr>
                <w:rFonts w:cs="Times New Roman"/>
                <w:sz w:val="20"/>
                <w:szCs w:val="20"/>
              </w:rPr>
              <w:fldChar w:fldCharType="end"/>
            </w:r>
          </w:p>
        </w:tc>
        <w:tc>
          <w:tcPr>
            <w:tcW w:w="1415" w:type="dxa"/>
            <w:vAlign w:val="center"/>
          </w:tcPr>
          <w:p w14:paraId="601DB3A8" w14:textId="77777777" w:rsidR="00ED6CED" w:rsidRPr="00EE52FF" w:rsidRDefault="00ED6CED" w:rsidP="00AC4637">
            <w:pPr>
              <w:spacing w:before="0" w:after="0"/>
              <w:jc w:val="center"/>
              <w:rPr>
                <w:rFonts w:cs="Times New Roman"/>
                <w:sz w:val="20"/>
                <w:szCs w:val="20"/>
              </w:rPr>
            </w:pPr>
            <w:r w:rsidRPr="00EE52FF">
              <w:rPr>
                <w:sz w:val="20"/>
                <w:szCs w:val="20"/>
              </w:rPr>
              <w:t xml:space="preserve">1193.9 </w:t>
            </w:r>
            <w:r w:rsidRPr="00EE52FF">
              <w:rPr>
                <w:rFonts w:cs="Times New Roman"/>
                <w:sz w:val="20"/>
                <w:szCs w:val="20"/>
              </w:rPr>
              <w:t xml:space="preserve">± </w:t>
            </w:r>
            <w:r w:rsidRPr="00EE52FF">
              <w:rPr>
                <w:sz w:val="20"/>
                <w:szCs w:val="20"/>
              </w:rPr>
              <w:t>327.7</w:t>
            </w:r>
          </w:p>
        </w:tc>
        <w:tc>
          <w:tcPr>
            <w:tcW w:w="1701" w:type="dxa"/>
            <w:vAlign w:val="center"/>
          </w:tcPr>
          <w:p w14:paraId="5FADF34D" w14:textId="5C149FE2" w:rsidR="00B44811" w:rsidRDefault="00B44811" w:rsidP="000D6329">
            <w:pPr>
              <w:spacing w:before="0" w:after="0" w:line="260" w:lineRule="exact"/>
              <w:jc w:val="center"/>
              <w:rPr>
                <w:rFonts w:cs="Times New Roman"/>
                <w:sz w:val="20"/>
                <w:szCs w:val="20"/>
              </w:rPr>
            </w:pPr>
            <w:r>
              <w:rPr>
                <w:rFonts w:cs="Times New Roman"/>
                <w:sz w:val="20"/>
                <w:szCs w:val="20"/>
              </w:rPr>
              <w:t>Agonist</w:t>
            </w:r>
          </w:p>
          <w:p w14:paraId="6E821DD4" w14:textId="72D2D92D" w:rsidR="00ED6CED" w:rsidRPr="00EE52FF" w:rsidRDefault="00ED6CED" w:rsidP="000D6329">
            <w:pPr>
              <w:spacing w:before="0" w:after="0" w:line="260" w:lineRule="exact"/>
              <w:jc w:val="center"/>
              <w:rPr>
                <w:rFonts w:cs="Times New Roman"/>
                <w:sz w:val="20"/>
                <w:szCs w:val="20"/>
              </w:rPr>
            </w:pPr>
            <w:r w:rsidRPr="00EE52FF">
              <w:rPr>
                <w:rFonts w:cs="Times New Roman"/>
                <w:sz w:val="20"/>
                <w:szCs w:val="20"/>
              </w:rPr>
              <w:t>645.6 ± 0.4</w:t>
            </w:r>
            <w:r w:rsidRPr="009F714F">
              <w:rPr>
                <w:rFonts w:cs="Times New Roman"/>
                <w:sz w:val="20"/>
                <w:szCs w:val="20"/>
                <w:vertAlign w:val="superscript"/>
              </w:rPr>
              <w:t>#</w:t>
            </w:r>
          </w:p>
        </w:tc>
        <w:tc>
          <w:tcPr>
            <w:tcW w:w="1418" w:type="dxa"/>
            <w:vAlign w:val="center"/>
          </w:tcPr>
          <w:p w14:paraId="10BF3A24"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activity","type":"article-journal","volume":"8"},"uris":["http://www.mendeley.com/documents/?uuid=7438af72-1455-41df-a632-af491cdce11e"]},{"id":"ITEM-2","itemData":{"DOI":"10.1038/sj.bjp.0707399","ISBN":"00071188","ISSN":"0007-1188","PMID":"17641667","abstract":"A meta-analysis, unlike a literature review, synthesizes previous studies into new results. Pooled data from 211 studies measured ligand binding affinities at human (Hs) or rat (Rn) cannabinoid receptors CB1 and CB2. Cochrane methods were modified for this non-clinical analysis. Meta-regression detected data heterogeneity arising from methodological factors: use of sectioned tissues, lack of PMSF and choice of radioligand. Native brain tissues exhibited greater affinity (lower nM) than transfected cells, but the trend fell short of significance, as did the trend between centrifugation and filtration methods. Correcting for heterogeneity, mean Ki values for delta 9-tetrahydrocannabinol differed significantly between HsCB1 and RnCB1 (25.1 and 42.6 nM, respectively) but not between HsCB1 and HsCB2 (25.1 and 35.2). Mean Kd values for HsCB1, RnCB1 and HsCB2 of CP55,940 (2.5, 0.98, 0.92) and WIN55,212-2 (16.7, 2.4, 3.7) differed between HsCB1 and RnCB1 and between HsCB1 and HsCB2. SR141716A differed between HsCB1 and RnCB1 (2.9 and 1.0 nM). Anandamide at HsCB1, RnCB1 and HsCB2 (239.2, 87.7, 439.5) fell short of statistical differences due to heterogeneity. We consider these Kd and Ki values to be the most valid estimates in the literature. Sensitivity analyses did not support the numerical validity of cannabidiol, cannabinol, 2-arachidonoyl glycerol and all ligands at RnCB2. Aggregate rank order analysis of CB(1) distribution in the brain (pooled from 119 autoradiographic, immunohistochemical and in situ hybridization studies) showed denser HsCB1 expression in cognitive regions (cerebral cortex) compared to RnCB1, which was relatively richer in movement-associated areas (cerebellum, caudate-putamen). Implications of interspecies differences are discussed.","author":[{"dropping-particle":"","family":"McPartland","given":"J M","non-dropping-particle":"","parse-names":false,"suffix":""},{"dropping-particle":"","family":"Glass","given":"M","non-dropping-particle":"","parse-names":false,"suffix":""},{"dropping-particle":"","family":"Pertwee","given":"R G","non-dropping-particle":"","parse-names":false,"suffix":""}],"container-title":"British journal of pharmacology","id":"ITEM-2","issue":"5","issued":{"date-parts":[["2007"]]},"page":"583-593","title":"Meta-analysis of cannabinoid ligand binding affinity and receptor distribution: interspecies differences.","type":"article-journal","volume":"152"},"uris":["http://www.mendeley.com/documents/?uuid=7b3fd343-2dbf-406d-bd15-b6c1781b7c91"]}],"mendeley":{"formattedCitation":"(McPartland et al., 2007; Soethoudt et al., 2017)","plainTextFormattedCitation":"(McPartland et al., 2007; Soethoudt et al., 2017)","previouslyFormattedCitation":"(McPartland et al., 2007; 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(McPartland et al., 2007; Soethoudt et al., 2017)</w:t>
            </w:r>
            <w:r w:rsidRPr="00EE52FF">
              <w:rPr>
                <w:rFonts w:cs="Times New Roman"/>
                <w:sz w:val="20"/>
                <w:szCs w:val="20"/>
              </w:rPr>
              <w:fldChar w:fldCharType="end"/>
            </w:r>
          </w:p>
        </w:tc>
      </w:tr>
      <w:tr w:rsidR="00ED6CED" w:rsidRPr="00EE52FF" w14:paraId="7BD127F0" w14:textId="77777777" w:rsidTr="003C203B">
        <w:trPr>
          <w:trHeight w:val="537"/>
          <w:jc w:val="center"/>
        </w:trPr>
        <w:tc>
          <w:tcPr>
            <w:tcW w:w="1974" w:type="dxa"/>
            <w:shd w:val="clear" w:color="auto" w:fill="auto"/>
            <w:vAlign w:val="center"/>
          </w:tcPr>
          <w:p w14:paraId="318FF63F" w14:textId="77777777" w:rsidR="00ED6CED" w:rsidRPr="00EE52FF" w:rsidRDefault="00ED6CED" w:rsidP="00AC4637">
            <w:pPr>
              <w:spacing w:before="0" w:after="0"/>
              <w:jc w:val="center"/>
              <w:rPr>
                <w:rFonts w:cs="Times New Roman"/>
                <w:b/>
                <w:sz w:val="20"/>
                <w:szCs w:val="20"/>
              </w:rPr>
            </w:pPr>
            <w:r w:rsidRPr="00EE52FF">
              <w:rPr>
                <w:rFonts w:cs="Times New Roman"/>
                <w:b/>
                <w:sz w:val="20"/>
                <w:szCs w:val="20"/>
              </w:rPr>
              <w:t>AEA</w:t>
            </w:r>
          </w:p>
        </w:tc>
        <w:tc>
          <w:tcPr>
            <w:tcW w:w="2132" w:type="dxa"/>
            <w:vAlign w:val="center"/>
          </w:tcPr>
          <w:p w14:paraId="5FE1D578" w14:textId="34CFEAF4" w:rsidR="00ED6CED" w:rsidRPr="00EE52FF" w:rsidRDefault="00604871" w:rsidP="00AC4637">
            <w:pPr>
              <w:spacing w:before="0" w:after="0"/>
              <w:jc w:val="center"/>
              <w:rPr>
                <w:rFonts w:cs="Times New Roman"/>
                <w:sz w:val="20"/>
                <w:szCs w:val="20"/>
              </w:rPr>
            </w:pPr>
            <w:r>
              <w:rPr>
                <w:noProof/>
              </w:rPr>
              <w:object w:dxaOrig="3501" w:dyaOrig="1233" w14:anchorId="7A316CA4">
                <v:shape id="_x0000_i1026" type="#_x0000_t75" alt="" style="width:83.15pt;height:30.8pt;mso-width-percent:0;mso-height-percent:0;mso-width-percent:0;mso-height-percent:0" o:ole="">
                  <v:imagedata r:id="rId14" o:title=""/>
                </v:shape>
                <o:OLEObject Type="Embed" ProgID="ChemDraw.Document.6.0" ShapeID="_x0000_i1026" DrawAspect="Content" ObjectID="_1706533556" r:id="rId15"/>
              </w:object>
            </w:r>
          </w:p>
        </w:tc>
        <w:tc>
          <w:tcPr>
            <w:tcW w:w="1276" w:type="dxa"/>
            <w:shd w:val="clear" w:color="auto" w:fill="auto"/>
            <w:vAlign w:val="center"/>
          </w:tcPr>
          <w:p w14:paraId="7AE68BBA" w14:textId="5D13E916" w:rsidR="00ED6CED" w:rsidRPr="00EE52FF" w:rsidRDefault="00ED6CED" w:rsidP="00AC4637">
            <w:pPr>
              <w:spacing w:before="0" w:after="0"/>
              <w:jc w:val="center"/>
              <w:rPr>
                <w:rFonts w:cs="Times New Roman"/>
                <w:sz w:val="20"/>
                <w:szCs w:val="20"/>
              </w:rPr>
            </w:pPr>
            <w:r w:rsidRPr="00EE52FF">
              <w:rPr>
                <w:rFonts w:cs="Times New Roman"/>
                <w:sz w:val="20"/>
                <w:szCs w:val="20"/>
              </w:rPr>
              <w:t>53.8 ± 0.2</w:t>
            </w:r>
          </w:p>
        </w:tc>
        <w:tc>
          <w:tcPr>
            <w:tcW w:w="1417" w:type="dxa"/>
            <w:shd w:val="clear" w:color="auto" w:fill="auto"/>
            <w:vAlign w:val="center"/>
          </w:tcPr>
          <w:p w14:paraId="0068A7A7" w14:textId="1576D51D" w:rsidR="004C3904" w:rsidRDefault="004C3904" w:rsidP="00724544">
            <w:pPr>
              <w:spacing w:before="0" w:after="0" w:line="260" w:lineRule="exact"/>
              <w:jc w:val="center"/>
              <w:rPr>
                <w:rFonts w:cs="Times New Roman"/>
                <w:sz w:val="20"/>
                <w:szCs w:val="20"/>
              </w:rPr>
            </w:pPr>
            <w:r>
              <w:rPr>
                <w:rFonts w:cs="Times New Roman"/>
                <w:sz w:val="20"/>
                <w:szCs w:val="20"/>
              </w:rPr>
              <w:t>Agonist</w:t>
            </w:r>
          </w:p>
          <w:p w14:paraId="798B4B4A" w14:textId="14724FB6" w:rsidR="00ED6CED" w:rsidRPr="00EE52FF" w:rsidRDefault="00ED6CED" w:rsidP="00724544">
            <w:pPr>
              <w:spacing w:before="0" w:after="0" w:line="260" w:lineRule="exact"/>
              <w:jc w:val="center"/>
              <w:rPr>
                <w:rFonts w:cs="Times New Roman"/>
                <w:sz w:val="20"/>
                <w:szCs w:val="20"/>
              </w:rPr>
            </w:pPr>
            <w:r w:rsidRPr="00EE52FF">
              <w:rPr>
                <w:rFonts w:cs="Times New Roman"/>
                <w:sz w:val="20"/>
                <w:szCs w:val="20"/>
              </w:rPr>
              <w:t>0.27 ± 0.01</w:t>
            </w:r>
          </w:p>
        </w:tc>
        <w:tc>
          <w:tcPr>
            <w:tcW w:w="1701" w:type="dxa"/>
            <w:shd w:val="clear" w:color="auto" w:fill="auto"/>
            <w:vAlign w:val="center"/>
          </w:tcPr>
          <w:p w14:paraId="6FD4454C"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t>0.21 ± 0.06</w:t>
            </w:r>
          </w:p>
        </w:tc>
        <w:tc>
          <w:tcPr>
            <w:tcW w:w="1418" w:type="dxa"/>
            <w:shd w:val="clear" w:color="auto" w:fill="auto"/>
            <w:vAlign w:val="center"/>
          </w:tcPr>
          <w:p w14:paraId="3D7378B5"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{"citationItems":[{"id":"ITEM-1","itemData":{"DOI":"10.1111/bph.13084","ISBN":"1476-5381 (Electronic)\r0007-1188 (Linking)","ISSN":"14765381","PMID":"25598150","abstract":"BACKGROUND AND AIMS: Palmitoylethanolamide (PEA) is an endogenous congener of anandamide and an enhancer of its actions at cannabinoid receptors, CB1 and CB2, and transient receptor potential vanilloid type-1 (TRPV1) channels. The other endocannabinoid, 2-arachidonoylglycerol (2-AG), was recently suggested to act as a TRPV1 agonist. We investigated if PEA enhances the levels of 2-AG in vitro or in vivo and 2-AG activity at TRPV1.\\n\\nMETHODS: Endogenous lipid levels were measured by liquid chromatography-mass spectrometry in: 1) human keratinocytes treated with PEA (10-20 μM, 40 min, 6h and 24 h, 37°C); 2) in the blood of spontaneously Ascaris suum hypersensitive Beagle dogs given a single oral dose of ultramicronized PEA (30 mg/kg, 1, 2, 4 and 8 h from administration); 3) the blood of healthy volunteers given a single oral dose of micronized PEA (300 mg, 2, 4 and 6 h from administration). The effect of 2-AG at TRPV1 was assessed by measuring intracellular Ca(2+) in HEK-293 cells over-expressing human TRPV1.\\n\\nRESULTS: PEA significantly elevated the amounts of 2-AG in keratinocytes (</w:instrText>
            </w:r>
            <w:r w:rsidRPr="00EE52FF">
              <w:rPr>
                <w:rFonts w:ascii="Cambria Math" w:hAnsi="Cambria Math" w:cs="Cambria Math"/>
                <w:sz w:val="20"/>
                <w:szCs w:val="20"/>
              </w:rPr>
              <w:instrText>∼</w:instrText>
            </w:r>
            <w:r w:rsidRPr="00EE52FF">
              <w:rPr>
                <w:rFonts w:cs="Times New Roman"/>
                <w:sz w:val="20"/>
                <w:szCs w:val="20"/>
              </w:rPr>
              <w:instrText>3-fold) and its plasma levels in humans and dogs (</w:instrText>
            </w:r>
            <w:r w:rsidRPr="00EE52FF">
              <w:rPr>
                <w:rFonts w:ascii="Cambria Math" w:hAnsi="Cambria Math" w:cs="Cambria Math"/>
                <w:sz w:val="20"/>
                <w:szCs w:val="20"/>
              </w:rPr>
              <w:instrText>∼</w:instrText>
            </w:r>
            <w:r w:rsidRPr="00EE52FF">
              <w:rPr>
                <w:rFonts w:cs="Times New Roman"/>
                <w:sz w:val="20"/>
                <w:szCs w:val="20"/>
              </w:rPr>
              <w:instrText xml:space="preserve">2 and </w:instrText>
            </w:r>
            <w:r w:rsidRPr="00EE52FF">
              <w:rPr>
                <w:rFonts w:ascii="Cambria Math" w:hAnsi="Cambria Math" w:cs="Cambria Math"/>
                <w:sz w:val="20"/>
                <w:szCs w:val="20"/>
              </w:rPr>
              <w:instrText>∼</w:instrText>
            </w:r>
            <w:r w:rsidRPr="00EE52FF">
              <w:rPr>
                <w:rFonts w:cs="Times New Roman"/>
                <w:sz w:val="20"/>
                <w:szCs w:val="20"/>
              </w:rPr>
              <w:instrText>20-fold, respectively). 2-AG dose-dependently elevated intracellular Ca(2+) in HEK-293-TRPV1 cells in a TRPV1-dependent manner, and desensitized the cells to the effect of capsaicin. PEA only slightly enhanced 2-AG activation of TRPV1, but significantly increased 2-AG-induced TRPV1 desensitization to capsaicin (IC50 from 0.75±0.04 to 0.45±0.02 μM, with PEA 2 μM).\\n\\nCONCLUSIONS: These observations may explain why several effects of PEA can be attenuated by cannabinoid receptor or TRPV1 channel antagonists.","author":[{"dropping-particle":"","family":"Petrosino","given":"Stefania","non-dropping-particle":"","parse-names":false,"suffix":""},{"dropping-particle":"","family":"Schiano Moriello","given":"Aniello","non-dropping-particle":"","parse-names":false,"suffix":""},{"dropping-particle":"","family":"Cerrato","given":"Santiago","non-dropping-particle":"","parse-names":false,"suffix":""},{"dropping-particle":"","family":"Fusco","given":"Mariella","non-dropping-particle":"","parse-names":false,"suffix":""},{"dropping-particle":"","family":"Puigdemont","given":"Anna","non-dropping-particle":"","parse-names":false,"suffix":""},{"dropping-particle":"","family":"Petrocellis","given":"Luciano","non-dropping-particle":"De","parse-names":false,"suffix":""},{"dropping-particle":"","family":"Marzo","given":"Vincenzo","non-dropping-particle":"Di","parse-names":false,"suffix":""}],"container-title":"British Journal of Pharmacology","id":"ITEM-1","issue":"7","issued":{"date-parts":[["2016"]]},"page":"1154-1162","title":"The anti-inflammatory mediator palmitoylethanolamide enhances the levels of 2-arachidonoyl-glycerol and potentiates its actions at TRPV1 cation channels","type":"article-journal","volume":"173"},"uris":["http://www.mendeley.com/documents/?uuid=7e7c2762-aa9e-47af-ab2e-bb37f582ea0d"]},{"id":"ITEM-2","itemData":{"DOI":"10.1186/s13075-015-0743-x","ISSN":"1478-6354","PMID":"26343051","abstract":"Chronic inflammation in rheumatoid arthritis (RA) is accompanied by activation of the sympathetic nervous system, which can support the immune system to perpetuate inflammation. Several animal models of arthritis already demonstrated a profound influence of adrenergic signaling on the course of RA. Peripheral norepinephrine release from sympathetic terminals is controlled by cannabinoid receptor type 1 (CB1), which is activated by two major endocannabinoids (ECs), arachidonylethanolamine (anandamide) and 2-arachidonylglycerol. These ECs also modulate function of transient receptor potential channels (TRPs) located on sensory nerve fibers, which are abundant in arthritic synovial tissue. TRPs not only induce the sensation of pain but also support inflammation via secretion of pro-inflammatory neuropeptides. In addition, many cell types in synovial tissue express CB1 and TRPs. In this review, we focus on CB1 and transient receptor potential vanilloid 1 (TRPV1)-mediated effects on RA since most anti-inflammatory mechanisms induced by cannabinoids are attributed to cannabinoid receptor type 2 (CB2) activation. We demonstrate how CB1 agonism or antagonism can modulate arthritic disease. The concept of functional antagonism with continuous CB1 activation is discussed. Since fatty acid amide hydrolase (FAAH) is a major EC-degrading enzyme, the therapeutic possibility of FAAH inhibition is studied. Finally, the therapeutic potential of ECs is examined since they interact with cannabinoid receptors and TRPs but do not produce central side effects.","author":[{"dropping-particle":"","family":"Lowin","given":"Torsten","non-dropping-particle":"","parse-names":false,"suffix":""},{"dropping-particle":"","family":"Straub","given":"Rainer H.","non-dropping-particle":"","parse-names":false,"suffix":""}],"container-title":"Arthritis Research &amp; Therapy","id":"ITEM-2","issue":"1","issued":{"date-parts":[["2015"]]},"page":"226","publisher":"Arthritis Research &amp; Therapy","title":"Cannabinoid-based drugs targeting CB1 and TRPV1, the sympathetic nervous system, and arthritis","type":"article-journal","volume":"17"},"uris":["http://www.mendeley.com/documents/?uuid=58a0a55d-a733-4e78-bc41-a829911854c0"]}],"mendeley":{"formattedCitation":"(Lowin and Straub, 2015; Petrosino et al., 2016)","plainTextFormattedCitation":"(Lowin and Straub, 2015; Petrosino et al., 2016)","previouslyFormattedCitation":"(Lowin and Straub, 2015; Petrosino et al., 2016)"},"properties":{"noteIndex":0},"schema":"https://github.com/citation-style-language/schema/raw/master/csl-citation.json"}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(Lowin and Straub, 2015; Petrosino et al., 2016)</w:t>
            </w:r>
            <w:r w:rsidRPr="00EE52FF">
              <w:rPr>
                <w:rFonts w:cs="Times New Roman"/>
                <w:sz w:val="20"/>
                <w:szCs w:val="20"/>
              </w:rPr>
              <w:fldChar w:fldCharType="end"/>
            </w:r>
          </w:p>
        </w:tc>
        <w:tc>
          <w:tcPr>
            <w:tcW w:w="1415" w:type="dxa"/>
            <w:vAlign w:val="center"/>
          </w:tcPr>
          <w:p w14:paraId="11EA9A96" w14:textId="77777777" w:rsidR="00ED6CED" w:rsidRPr="00EE52FF" w:rsidRDefault="00ED6CED" w:rsidP="00AC4637">
            <w:pPr>
              <w:spacing w:before="0" w:after="0"/>
              <w:jc w:val="center"/>
              <w:rPr>
                <w:rFonts w:cs="Times New Roman"/>
                <w:sz w:val="20"/>
                <w:szCs w:val="20"/>
              </w:rPr>
            </w:pPr>
            <w:r w:rsidRPr="00EE52FF">
              <w:rPr>
                <w:sz w:val="20"/>
                <w:szCs w:val="20"/>
              </w:rPr>
              <w:t xml:space="preserve">439.6 </w:t>
            </w:r>
            <w:r w:rsidRPr="00EE52FF">
              <w:rPr>
                <w:rFonts w:cs="Times New Roman"/>
                <w:sz w:val="20"/>
                <w:szCs w:val="20"/>
              </w:rPr>
              <w:t xml:space="preserve">± </w:t>
            </w:r>
            <w:r w:rsidRPr="00EE52FF">
              <w:rPr>
                <w:sz w:val="20"/>
                <w:szCs w:val="20"/>
              </w:rPr>
              <w:t>95.9</w:t>
            </w:r>
          </w:p>
        </w:tc>
        <w:tc>
          <w:tcPr>
            <w:tcW w:w="1701" w:type="dxa"/>
            <w:vAlign w:val="center"/>
          </w:tcPr>
          <w:p w14:paraId="3E00992F" w14:textId="77777777" w:rsidR="00B44811" w:rsidRDefault="00B44811" w:rsidP="000D6329">
            <w:pPr>
              <w:spacing w:before="0" w:after="0" w:line="260" w:lineRule="exact"/>
              <w:jc w:val="center"/>
              <w:rPr>
                <w:rFonts w:cs="Times New Roman"/>
                <w:sz w:val="20"/>
                <w:szCs w:val="20"/>
              </w:rPr>
            </w:pPr>
            <w:r>
              <w:rPr>
                <w:rFonts w:cs="Times New Roman"/>
                <w:sz w:val="20"/>
                <w:szCs w:val="20"/>
              </w:rPr>
              <w:t>Agonist</w:t>
            </w:r>
          </w:p>
          <w:p w14:paraId="7039365E" w14:textId="77777777" w:rsidR="00ED6CED" w:rsidRPr="00EE52FF" w:rsidRDefault="00ED6CED" w:rsidP="000D6329">
            <w:pPr>
              <w:spacing w:before="0" w:after="0" w:line="260" w:lineRule="exact"/>
              <w:jc w:val="center"/>
              <w:rPr>
                <w:rFonts w:cs="Times New Roman"/>
                <w:sz w:val="20"/>
                <w:szCs w:val="20"/>
              </w:rPr>
            </w:pPr>
            <w:r w:rsidRPr="00EE52FF">
              <w:rPr>
                <w:rFonts w:cs="Times New Roman"/>
                <w:color w:val="333333"/>
                <w:sz w:val="20"/>
                <w:szCs w:val="20"/>
                <w:shd w:val="clear" w:color="auto" w:fill="FFFFFF"/>
              </w:rPr>
              <w:t xml:space="preserve">426.6 </w:t>
            </w:r>
            <w:r w:rsidRPr="00EE52FF">
              <w:rPr>
                <w:rFonts w:cs="Times New Roman"/>
                <w:sz w:val="20"/>
                <w:szCs w:val="20"/>
              </w:rPr>
              <w:t>± 0.6</w:t>
            </w:r>
            <w:r w:rsidRPr="009F714F">
              <w:rPr>
                <w:rFonts w:cs="Times New Roman"/>
                <w:sz w:val="20"/>
                <w:szCs w:val="20"/>
                <w:vertAlign w:val="superscript"/>
              </w:rPr>
              <w:t>#</w:t>
            </w:r>
          </w:p>
        </w:tc>
        <w:tc>
          <w:tcPr>
            <w:tcW w:w="1418" w:type="dxa"/>
            <w:vAlign w:val="center"/>
          </w:tcPr>
          <w:p w14:paraId="5DE7B818"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activity","type":"article-journal","volume":"8"},"uris":["http://www.mendeley.com/documents/?uuid=7438af72-1455-41df-a632-af491cdce11e"]},{"id":"ITEM-2","itemData":{"DOI":"10.1038/sj.bjp.0707399","ISBN":"00071188","ISSN":"0007-1188","PMID":"17641667","abstract":"A meta-analysis, unlike a literature review, synthesizes previous studies into new results. Pooled data from 211 studies measured ligand binding affinities at human (Hs) or rat (Rn) cannabinoid receptors CB1 and CB2. Cochrane methods were modified for this non-clinical analysis. Meta-regression detected data heterogeneity arising from methodological factors: use of sectioned tissues, lack of PMSF and choice of radioligand. Native brain tissues exhibited greater affinity (lower nM) than transfected cells, but the trend fell short of significance, as did the trend between centrifugation and filtration methods. Correcting for heterogeneity, mean Ki values for delta 9-tetrahydrocannabinol differed significantly between HsCB1 and RnCB1 (25.1 and 42.6 nM, respectively) but not between HsCB1 and HsCB2 (25.1 and 35.2). Mean Kd values for HsCB1, RnCB1 and HsCB2 of CP55,940 (2.5, 0.98, 0.92) and WIN55,212-2 (16.7, 2.4, 3.7) differed between HsCB1 and RnCB1 and between HsCB1 and HsCB2. SR141716A differed between HsCB1 and RnCB1 (2.9 and 1.0 nM). Anandamide at HsCB1, RnCB1 and HsCB2 (239.2, 87.7, 439.5) fell short of statistical differences due to heterogeneity. We consider these Kd and Ki values to be the most valid estimates in the literature. Sensitivity analyses did not support the numerical validity of cannabidiol, cannabinol, 2-arachidonoyl glycerol and all ligands at RnCB2. Aggregate rank order analysis of CB(1) distribution in the brain (pooled from 119 autoradiographic, immunohistochemical and in situ hybridization studies) showed denser HsCB1 expression in cognitive regions (cerebral cortex) compared to RnCB1, which was relatively richer in movement-associated areas (cerebellum, caudate-putamen). Implications of interspecies differences are discussed.","author":[{"dropping-particle":"","family":"McPartland","given":"J M","non-dropping-particle":"","parse-names":false,"suffix":""},{"dropping-particle":"","family":"Glass","given":"M","non-dropping-particle":"","parse-names":false,"suffix":""},{"dropping-particle":"","family":"Pertwee","given":"R G","non-dropping-particle":"","parse-names":false,"suffix":""}],"container-title":"British journal of pharmacology","id":"ITEM-2","issue":"5","issued":{"date-parts":[["2007"]]},"page":"583-593","title":"Meta-analysis of cannabinoid ligand binding affinity and receptor distribution: interspecies differences.","type":"article-journal","volume":"152"},"uris":["http://www.mendeley.com/documents/?uuid=7b3fd343-2dbf-406d-bd15-b6c1781b7c91"]}],"mendeley":{"formattedCitation":"(McPartland et al., 2007; Soethoudt et al., 2017)","plainTextFormattedCitation":"(McPartland et al., 2007; Soethoudt et al., 2017)","previouslyFormattedCitation":"(McPartland et al., 2007; 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(McPartland et al., 2007; Soethoudt et al., 2017)</w:t>
            </w:r>
            <w:r w:rsidRPr="00EE52FF">
              <w:rPr>
                <w:rFonts w:cs="Times New Roman"/>
                <w:sz w:val="20"/>
                <w:szCs w:val="20"/>
              </w:rPr>
              <w:fldChar w:fldCharType="end"/>
            </w:r>
          </w:p>
        </w:tc>
      </w:tr>
      <w:tr w:rsidR="00ED6CED" w:rsidRPr="00EE52FF" w14:paraId="6688D118" w14:textId="77777777" w:rsidTr="003C203B">
        <w:trPr>
          <w:trHeight w:val="537"/>
          <w:jc w:val="center"/>
        </w:trPr>
        <w:tc>
          <w:tcPr>
            <w:tcW w:w="1974" w:type="dxa"/>
            <w:shd w:val="clear" w:color="auto" w:fill="auto"/>
            <w:vAlign w:val="center"/>
          </w:tcPr>
          <w:p w14:paraId="21F62564" w14:textId="77777777" w:rsidR="00ED6CED" w:rsidRPr="00612A4C" w:rsidRDefault="00ED6CED" w:rsidP="00AC4637">
            <w:pPr>
              <w:spacing w:before="0" w:after="0"/>
              <w:jc w:val="center"/>
              <w:rPr>
                <w:rFonts w:cs="Times New Roman"/>
                <w:b/>
                <w:sz w:val="20"/>
                <w:szCs w:val="20"/>
              </w:rPr>
            </w:pPr>
            <w:r w:rsidRPr="00612A4C">
              <w:rPr>
                <w:rFonts w:cs="Times New Roman"/>
                <w:b/>
                <w:sz w:val="20"/>
                <w:szCs w:val="20"/>
              </w:rPr>
              <w:t>ACPA-OH</w:t>
            </w:r>
          </w:p>
          <w:p w14:paraId="7B0522E6" w14:textId="77777777" w:rsidR="00ED6CED" w:rsidRPr="00EE52FF" w:rsidRDefault="00ED6CED" w:rsidP="00AC4637">
            <w:pPr>
              <w:spacing w:before="0" w:after="0"/>
              <w:jc w:val="center"/>
              <w:rPr>
                <w:rFonts w:cs="Times New Roman"/>
                <w:b/>
                <w:sz w:val="20"/>
                <w:szCs w:val="20"/>
              </w:rPr>
            </w:pPr>
            <w:r w:rsidRPr="00612A4C">
              <w:rPr>
                <w:rFonts w:cs="Times New Roman"/>
                <w:b/>
                <w:sz w:val="20"/>
                <w:szCs w:val="20"/>
              </w:rPr>
              <w:t>(11a)</w:t>
            </w:r>
          </w:p>
        </w:tc>
        <w:tc>
          <w:tcPr>
            <w:tcW w:w="2132" w:type="dxa"/>
            <w:vAlign w:val="center"/>
          </w:tcPr>
          <w:p w14:paraId="79D5CB95" w14:textId="4FFD865D" w:rsidR="00ED6CED" w:rsidRPr="00EE52FF" w:rsidRDefault="00604871" w:rsidP="00AC4637">
            <w:pPr>
              <w:spacing w:before="0" w:after="0"/>
              <w:jc w:val="center"/>
              <w:rPr>
                <w:rFonts w:cs="Times New Roman"/>
                <w:sz w:val="20"/>
                <w:szCs w:val="20"/>
              </w:rPr>
            </w:pPr>
            <w:r>
              <w:rPr>
                <w:noProof/>
              </w:rPr>
              <w:object w:dxaOrig="3540" w:dyaOrig="1233" w14:anchorId="001BD885">
                <v:shape id="_x0000_i1027" type="#_x0000_t75" alt="" style="width:83.2pt;height:30pt;mso-width-percent:0;mso-height-percent:0;mso-width-percent:0;mso-height-percent:0" o:ole="">
                  <v:imagedata r:id="rId16" o:title=""/>
                </v:shape>
                <o:OLEObject Type="Embed" ProgID="ChemDraw.Document.6.0" ShapeID="_x0000_i1027" DrawAspect="Content" ObjectID="_1706533557" r:id="rId17"/>
              </w:object>
            </w:r>
          </w:p>
        </w:tc>
        <w:tc>
          <w:tcPr>
            <w:tcW w:w="1276" w:type="dxa"/>
            <w:shd w:val="clear" w:color="auto" w:fill="auto"/>
            <w:vAlign w:val="center"/>
          </w:tcPr>
          <w:p w14:paraId="0F18CCE4" w14:textId="75C74CAF" w:rsidR="00ED6CED" w:rsidRPr="00EE52FF" w:rsidRDefault="00ED6CED" w:rsidP="00AC4637">
            <w:pPr>
              <w:spacing w:before="0" w:after="0"/>
              <w:jc w:val="center"/>
              <w:rPr>
                <w:rFonts w:cs="Times New Roman"/>
                <w:sz w:val="20"/>
                <w:szCs w:val="20"/>
              </w:rPr>
            </w:pPr>
            <w:r w:rsidRPr="00EE52FF">
              <w:rPr>
                <w:rFonts w:cs="Times New Roman"/>
                <w:sz w:val="20"/>
                <w:szCs w:val="20"/>
              </w:rPr>
              <w:t>75.7 ± 2.8</w:t>
            </w:r>
          </w:p>
        </w:tc>
        <w:tc>
          <w:tcPr>
            <w:tcW w:w="1417" w:type="dxa"/>
            <w:shd w:val="clear" w:color="auto" w:fill="auto"/>
            <w:vAlign w:val="center"/>
          </w:tcPr>
          <w:p w14:paraId="62552AF8" w14:textId="4A1C397E" w:rsidR="004C3904" w:rsidRDefault="004C3904" w:rsidP="00724544">
            <w:pPr>
              <w:spacing w:before="0" w:after="0" w:line="260" w:lineRule="exact"/>
              <w:jc w:val="center"/>
              <w:rPr>
                <w:rFonts w:cs="Times New Roman"/>
                <w:sz w:val="20"/>
                <w:szCs w:val="20"/>
              </w:rPr>
            </w:pPr>
            <w:r>
              <w:rPr>
                <w:rFonts w:cs="Times New Roman"/>
                <w:sz w:val="20"/>
                <w:szCs w:val="20"/>
              </w:rPr>
              <w:t>Agonist</w:t>
            </w:r>
          </w:p>
          <w:p w14:paraId="4578F9B4" w14:textId="0F343EAD" w:rsidR="00ED6CED" w:rsidRPr="00EE52FF" w:rsidRDefault="00ED6CED" w:rsidP="00724544">
            <w:pPr>
              <w:spacing w:before="0" w:after="0" w:line="260" w:lineRule="exact"/>
              <w:jc w:val="center"/>
              <w:rPr>
                <w:rFonts w:cs="Times New Roman"/>
                <w:sz w:val="20"/>
                <w:szCs w:val="20"/>
              </w:rPr>
            </w:pPr>
            <w:r w:rsidRPr="00EE52FF">
              <w:rPr>
                <w:rFonts w:cs="Times New Roman"/>
                <w:sz w:val="20"/>
                <w:szCs w:val="20"/>
              </w:rPr>
              <w:t>0.047 ± 0.01</w:t>
            </w:r>
          </w:p>
        </w:tc>
        <w:tc>
          <w:tcPr>
            <w:tcW w:w="1701" w:type="dxa"/>
            <w:shd w:val="clear" w:color="auto" w:fill="auto"/>
            <w:vAlign w:val="center"/>
          </w:tcPr>
          <w:p w14:paraId="4D10550B" w14:textId="77777777" w:rsidR="00ED6CED" w:rsidRPr="00EE52FF" w:rsidRDefault="00ED6CED" w:rsidP="00AC4637">
            <w:pPr>
              <w:spacing w:before="0" w:after="0"/>
              <w:jc w:val="center"/>
              <w:rPr>
                <w:rFonts w:cs="Times New Roman"/>
                <w:sz w:val="20"/>
                <w:szCs w:val="20"/>
              </w:rPr>
            </w:pPr>
            <w:r>
              <w:rPr>
                <w:rFonts w:cs="Times New Roman"/>
                <w:sz w:val="20"/>
                <w:szCs w:val="20"/>
              </w:rPr>
              <w:t>ND</w:t>
            </w:r>
          </w:p>
        </w:tc>
        <w:tc>
          <w:tcPr>
            <w:tcW w:w="1418" w:type="dxa"/>
            <w:shd w:val="clear" w:color="auto" w:fill="auto"/>
            <w:vAlign w:val="center"/>
          </w:tcPr>
          <w:p w14:paraId="069B5AFF"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{"citationItems":[{"id":"ITEM-1","itemData":{"DOI":"10.1021/jm900130m","ISBN":"3903213756","ISSN":"00222623","PMID":"19361197","abstract":"To investigate if certain acylethanolamides bind to both cannabinoid (CB1 and CB2) and vanilloid TRPV1 receptors because of their conformational flexibility, we introduced a methylene lock on their ethanolamine \"head\", thereby generating a cyclopropane ring with two stereogenic centers and chiral cis/trans diastereomers with different topology of presentation to binding sites. After resolution by chiral-phase HPLC, diastereoand enantiopure arachidonoyl-, oleoyl-, and palmitoylcyclopropanolamides were tested in assays of CB1, CB 2, and TRPV1 activity. Diastereodifferentiation between pairs of cis-trans isomers was observed only for TRPV1 activity, with poor enantiodifferentiation. Methylenation introduced (i) CB1 receptor affinity in oleoylethanolamide while increasing in a diastereoselective way its activity at TRPV1 and (ii) strong diastereoselective activity at TRPV1, but not cannabinoid, receptors in the otherwise inactive palmitoylethanolamide. These results show that the N-alkyl group of acylethanolamides has a different role in their interaction with cannabinoid and vanilloid receptors and that acylcyclopropanolamides qualify as CB1/TRPV1 \"hybrids\" of potential therapeutic utility. © 2009 American Chemical Society.","author":[{"dropping-particle":"","family":"Appendino","given":"Giovanni","non-dropping-particle":"","parse-names":false,"suffix":""},{"dropping-particle":"","family":"Ligresti","given":"Alessia","non-dropping-particle":"","parse-names":false,"suffix":""},{"dropping-particle":"","family":"Minassi","given":"Alberto","non-dropping-particle":"","parse-names":false,"suffix":""},{"dropping-particle":"","family":"Cascio","given":"Maria Grazia","non-dropping-particle":"","parse-names":false,"suffix":""},{"dropping-particle":"","family":"Allarà","given":"Marco","non-dropping-particle":"","parse-names":false,"suffix":""},{"dropping-particle":"","family":"Taglialatela-Scafati","given":"Orazio","non-dropping-particle":"","parse-names":false,"suffix":""},{"dropping-particle":"","family":"Pertwee","given":"Roger G.","non-dropping-particle":"","parse-names":false,"suffix":""},{"dropping-particle":"","family":"Petrocellis","given":"Luciano","non-dropping-particle":"De","parse-names":false,"suffix":""},{"dropping-particle":"","family":"Marzo","given":"Vincenzo","non-dropping-particle":"Di","parse-names":false,"suffix":""}],"container-title":"Journal of Medicinal Chemistry","id":"ITEM-1","issue":"9","issued":{"date-parts":[["2009"]]},"page":"3001-3009","title":"Conformationally constrained fatty acid ethanolamides as cannabinoid and vanilloid receptor probes","type":"article-journal","volume":"52"},"uris":["http://www.mendeley.com/documents/?uuid=38dba32a-e77f-45a0-b64b-745518e2263c"]}],"mendeley":{"formattedCitation":"(Appendino et al., 2009)","plainTextFormattedCitation":"(Appendino et al., 2009)","previouslyFormattedCitation":"(Appendino et al., 2009)"},"properties":{"noteIndex":0},"schema":"https://github.com/citation-style-language/schema/raw/master/csl-citation.json"}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(Appendino et al., 2009)</w:t>
            </w:r>
            <w:r w:rsidRPr="00EE52FF">
              <w:rPr>
                <w:rFonts w:cs="Times New Roman"/>
                <w:sz w:val="20"/>
                <w:szCs w:val="20"/>
              </w:rPr>
              <w:fldChar w:fldCharType="end"/>
            </w:r>
          </w:p>
        </w:tc>
        <w:tc>
          <w:tcPr>
            <w:tcW w:w="1415" w:type="dxa"/>
            <w:vAlign w:val="center"/>
          </w:tcPr>
          <w:p w14:paraId="10FE8D81" w14:textId="77777777" w:rsidR="00ED6CED" w:rsidRPr="00EE52FF" w:rsidRDefault="00ED6CED" w:rsidP="00AC4637">
            <w:pPr>
              <w:spacing w:before="0" w:after="0"/>
              <w:jc w:val="center"/>
              <w:rPr>
                <w:rFonts w:cs="Times New Roman"/>
                <w:color w:val="212121"/>
                <w:sz w:val="20"/>
                <w:szCs w:val="20"/>
              </w:rPr>
            </w:pPr>
            <w:r w:rsidRPr="00EE52FF">
              <w:rPr>
                <w:rFonts w:cs="Times New Roman"/>
                <w:color w:val="212121"/>
                <w:sz w:val="20"/>
                <w:szCs w:val="20"/>
              </w:rPr>
              <w:br/>
              <w:t>290</w:t>
            </w:r>
            <w:r w:rsidRPr="00EE52FF">
              <w:rPr>
                <w:rFonts w:cs="Times New Roman"/>
                <w:sz w:val="20"/>
                <w:szCs w:val="20"/>
              </w:rPr>
              <w:t xml:space="preserve"> ± 6</w:t>
            </w:r>
          </w:p>
          <w:p w14:paraId="10874F6E" w14:textId="77777777" w:rsidR="00ED6CED" w:rsidRPr="00EE52FF" w:rsidRDefault="00ED6CED" w:rsidP="00AC4637">
            <w:pPr>
              <w:spacing w:before="0" w:after="0"/>
              <w:jc w:val="center"/>
              <w:rPr>
                <w:rFonts w:cs="Times New Roman"/>
                <w:sz w:val="20"/>
                <w:szCs w:val="20"/>
              </w:rPr>
            </w:pPr>
          </w:p>
        </w:tc>
        <w:tc>
          <w:tcPr>
            <w:tcW w:w="1701" w:type="dxa"/>
            <w:vAlign w:val="center"/>
          </w:tcPr>
          <w:p w14:paraId="31FEDFF7" w14:textId="77777777" w:rsidR="00ED6CED" w:rsidRPr="00A42C4D" w:rsidRDefault="00ED6CED" w:rsidP="00AC4637">
            <w:pPr>
              <w:spacing w:before="0" w:after="0"/>
              <w:jc w:val="center"/>
              <w:rPr>
                <w:rFonts w:cs="Times New Roman"/>
                <w:sz w:val="20"/>
                <w:szCs w:val="20"/>
              </w:rPr>
            </w:pPr>
            <w:r w:rsidRPr="00A42C4D">
              <w:rPr>
                <w:rFonts w:cs="Times New Roman"/>
                <w:sz w:val="20"/>
                <w:szCs w:val="20"/>
              </w:rPr>
              <w:t>ND</w:t>
            </w:r>
          </w:p>
        </w:tc>
        <w:tc>
          <w:tcPr>
            <w:tcW w:w="1418" w:type="dxa"/>
            <w:vAlign w:val="center"/>
          </w:tcPr>
          <w:p w14:paraId="19E2D8A1" w14:textId="77777777" w:rsidR="00ED6CED" w:rsidRPr="00EE52FF" w:rsidRDefault="00ED6CED" w:rsidP="00AC4637">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{"citationItems":[{"id":"ITEM-1","itemData":{"DOI":"10.1021/jm900130m","ISBN":"3903213756","ISSN":"00222623","PMID":"19361197","abstract":"To investigate if certain acylethanolamides bind to both cannabinoid (CB1 and CB2) and vanilloid TRPV1 receptors because of their conformational flexibility, we introduced a methylene lock on their ethanolamine \"head\", thereby generating a cyclopropane ring with two stereogenic centers and chiral cis/trans diastereomers with different topology of presentation to binding sites. After resolution by chiral-phase HPLC, diastereoand enantiopure arachidonoyl-, oleoyl-, and palmitoylcyclopropanolamides were tested in assays of CB1, CB 2, and TRPV1 activity. Diastereodifferentiation between pairs of cis-trans isomers was observed only for TRPV1 activity, with poor enantiodifferentiation. Methylenation introduced (i) CB1 receptor affinity in oleoylethanolamide while increasing in a diastereoselective way its activity at TRPV1 and (ii) strong diastereoselective activity at TRPV1, but not cannabinoid, receptors in the otherwise inactive palmitoylethanolamide. These results show that the N-alkyl group of acylethanolamides has a different role in their interaction with cannabinoid and vanilloid receptors and that acylcyclopropanolamides qualify as CB1/TRPV1 \"hybrids\" of potential therapeutic utility. © 2009 American Chemical Society.","author":[{"dropping-particle":"","family":"Appendino","given":"Giovanni","non-dropping-particle":"","parse-names":false,"suffix":""},{"dropping-particle":"","family":"Ligresti","given":"Alessia","non-dropping-particle":"","parse-names":false,"suffix":""},{"dropping-particle":"","family":"Minassi","given":"Alberto","non-dropping-particle":"","parse-names":false,"suffix":""},{"dropping-particle":"","family":"Cascio","given":"Maria Grazia","non-dropping-particle":"","parse-names":false,"suffix":""},{"dropping-particle":"","family":"Allarà","given":"Marco","non-dropping-particle":"","parse-names":false,"suffix":""},{"dropping-particle":"","family":"Taglialatela-Scafati","given":"Orazio","non-dropping-particle":"","parse-names":false,"suffix":""},{"dropping-particle":"","family":"Pertwee","given":"Roger G.","non-dropping-particle":"","parse-names":false,"suffix":""},{"dropping-particle":"","family":"Petrocellis","given":"Luciano","non-dropping-particle":"De","parse-names":false,"suffix":""},{"dropping-particle":"","family":"Marzo","given":"Vincenzo","non-dropping-particle":"Di","parse-names":false,"suffix":""}],"container-title":"Journal of Medicinal Chemistry","id":"ITEM-1","issue":"9","issued":{"date-parts":[["2009"]]},"page":"3001-3009","title":"Conformationally constrained fatty acid ethanolamides as cannabinoid and vanilloid receptor probes","type":"article-journal","volume":"52"},"uris":["http://www.mendeley.com/documents/?uuid=38dba32a-e77f-45a0-b64b-745518e2263c"]}],"mendeley":{"formattedCitation":"(Appendino et al., 2009)","plainTextFormattedCitation":"(Appendino et al., 2009)","previouslyFormattedCitation":"(Appendino et al., 2009)"},"properties":{"noteIndex":0},"schema":"https://github.com/citation-style-language/schema/raw/master/csl-citation.json"}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(Appendino et al., 2009)</w:t>
            </w:r>
            <w:r w:rsidRPr="00EE52FF">
              <w:rPr>
                <w:rFonts w:cs="Times New Roman"/>
                <w:sz w:val="20"/>
                <w:szCs w:val="20"/>
              </w:rPr>
              <w:fldChar w:fldCharType="end"/>
            </w:r>
          </w:p>
        </w:tc>
      </w:tr>
      <w:tr w:rsidR="00ED6CED" w:rsidRPr="00EE52FF" w14:paraId="5820AAAA" w14:textId="77777777" w:rsidTr="003C203B">
        <w:trPr>
          <w:trHeight w:val="537"/>
          <w:jc w:val="center"/>
        </w:trPr>
        <w:tc>
          <w:tcPr>
            <w:tcW w:w="1974" w:type="dxa"/>
            <w:shd w:val="clear" w:color="auto" w:fill="auto"/>
            <w:vAlign w:val="center"/>
          </w:tcPr>
          <w:p w14:paraId="29CA78F6" w14:textId="77777777" w:rsidR="00ED6CED" w:rsidRPr="00612A4C" w:rsidRDefault="00ED6CED" w:rsidP="00AC4637">
            <w:pPr>
              <w:spacing w:before="0" w:after="0"/>
              <w:jc w:val="center"/>
              <w:rPr>
                <w:rFonts w:cs="Times New Roman"/>
                <w:b/>
                <w:sz w:val="20"/>
                <w:szCs w:val="20"/>
              </w:rPr>
            </w:pPr>
            <w:r w:rsidRPr="00612A4C">
              <w:rPr>
                <w:rFonts w:cs="Times New Roman"/>
                <w:b/>
                <w:sz w:val="20"/>
                <w:szCs w:val="20"/>
              </w:rPr>
              <w:t>O-1811</w:t>
            </w:r>
          </w:p>
        </w:tc>
        <w:tc>
          <w:tcPr>
            <w:tcW w:w="2132" w:type="dxa"/>
            <w:vAlign w:val="center"/>
          </w:tcPr>
          <w:p w14:paraId="2AA0EFF0" w14:textId="2C7CE9D6" w:rsidR="00ED6CED" w:rsidRDefault="00604871" w:rsidP="00AC4637">
            <w:pPr>
              <w:spacing w:before="0" w:after="0"/>
              <w:jc w:val="center"/>
              <w:rPr>
                <w:rFonts w:cs="Times New Roman"/>
                <w:sz w:val="20"/>
                <w:szCs w:val="20"/>
              </w:rPr>
            </w:pPr>
            <w:r>
              <w:rPr>
                <w:noProof/>
              </w:rPr>
              <w:object w:dxaOrig="3501" w:dyaOrig="1456" w14:anchorId="6043D4A0">
                <v:shape id="_x0000_i1028" type="#_x0000_t75" alt="" style="width:83.3pt;height:35.25pt;mso-width-percent:0;mso-height-percent:0;mso-width-percent:0;mso-height-percent:0" o:ole="">
                  <v:imagedata r:id="rId18" o:title=""/>
                </v:shape>
                <o:OLEObject Type="Embed" ProgID="ChemDraw.Document.6.0" ShapeID="_x0000_i1028" DrawAspect="Content" ObjectID="_1706533558" r:id="rId19"/>
              </w:object>
            </w:r>
          </w:p>
        </w:tc>
        <w:tc>
          <w:tcPr>
            <w:tcW w:w="1276" w:type="dxa"/>
            <w:shd w:val="clear" w:color="auto" w:fill="auto"/>
            <w:vAlign w:val="center"/>
          </w:tcPr>
          <w:p w14:paraId="578F36C7" w14:textId="19F016A1" w:rsidR="00ED6CED" w:rsidRPr="00EE52FF" w:rsidRDefault="00ED6CED" w:rsidP="00AC4637">
            <w:pPr>
              <w:spacing w:before="0" w:after="0"/>
              <w:jc w:val="center"/>
              <w:rPr>
                <w:rFonts w:cs="Times New Roman"/>
                <w:sz w:val="20"/>
                <w:szCs w:val="20"/>
              </w:rPr>
            </w:pPr>
            <w:r>
              <w:rPr>
                <w:rFonts w:cs="Times New Roman"/>
                <w:sz w:val="20"/>
                <w:szCs w:val="20"/>
              </w:rPr>
              <w:t>62</w:t>
            </w:r>
            <w:r w:rsidRPr="00EE52FF">
              <w:rPr>
                <w:rFonts w:cs="Times New Roman"/>
                <w:sz w:val="20"/>
                <w:szCs w:val="20"/>
              </w:rPr>
              <w:t>.</w:t>
            </w:r>
            <w:r>
              <w:rPr>
                <w:rFonts w:cs="Times New Roman"/>
                <w:sz w:val="20"/>
                <w:szCs w:val="20"/>
              </w:rPr>
              <w:t>5</w:t>
            </w:r>
            <w:r w:rsidRPr="00EE52FF">
              <w:rPr>
                <w:rFonts w:cs="Times New Roman"/>
                <w:sz w:val="20"/>
                <w:szCs w:val="20"/>
              </w:rPr>
              <w:t xml:space="preserve"> ± </w:t>
            </w:r>
            <w:r>
              <w:rPr>
                <w:rFonts w:cs="Times New Roman"/>
                <w:sz w:val="20"/>
                <w:szCs w:val="20"/>
              </w:rPr>
              <w:t>0</w:t>
            </w:r>
            <w:r w:rsidRPr="00EE52FF">
              <w:rPr>
                <w:rFonts w:cs="Times New Roman"/>
                <w:sz w:val="20"/>
                <w:szCs w:val="20"/>
              </w:rPr>
              <w:t>.8</w:t>
            </w:r>
          </w:p>
        </w:tc>
        <w:tc>
          <w:tcPr>
            <w:tcW w:w="1417" w:type="dxa"/>
            <w:shd w:val="clear" w:color="auto" w:fill="auto"/>
            <w:vAlign w:val="center"/>
          </w:tcPr>
          <w:p w14:paraId="16675FC6" w14:textId="151DDBF0" w:rsidR="004C3904" w:rsidRDefault="004C3904" w:rsidP="00724544">
            <w:pPr>
              <w:spacing w:before="0" w:after="0" w:line="260" w:lineRule="exact"/>
              <w:jc w:val="center"/>
              <w:rPr>
                <w:rFonts w:cs="Times New Roman"/>
                <w:sz w:val="20"/>
                <w:szCs w:val="20"/>
              </w:rPr>
            </w:pPr>
            <w:r>
              <w:rPr>
                <w:rFonts w:cs="Times New Roman"/>
                <w:sz w:val="20"/>
                <w:szCs w:val="20"/>
              </w:rPr>
              <w:t>Agonist</w:t>
            </w:r>
          </w:p>
          <w:p w14:paraId="2C356016" w14:textId="1FA19F42" w:rsidR="00ED6CED" w:rsidRPr="00EE52FF" w:rsidRDefault="00ED6CED" w:rsidP="00724544">
            <w:pPr>
              <w:spacing w:before="0" w:after="0" w:line="260" w:lineRule="exact"/>
              <w:jc w:val="center"/>
              <w:rPr>
                <w:rFonts w:cs="Times New Roman"/>
                <w:sz w:val="20"/>
                <w:szCs w:val="20"/>
              </w:rPr>
            </w:pPr>
            <w:r>
              <w:rPr>
                <w:rFonts w:cs="Times New Roman"/>
                <w:sz w:val="20"/>
                <w:szCs w:val="20"/>
              </w:rPr>
              <w:t>0.72</w:t>
            </w:r>
            <w:r w:rsidRPr="00EE52FF">
              <w:rPr>
                <w:rFonts w:cs="Times New Roman"/>
                <w:sz w:val="20"/>
                <w:szCs w:val="20"/>
              </w:rPr>
              <w:t xml:space="preserve"> ±</w:t>
            </w:r>
            <w:r>
              <w:rPr>
                <w:rFonts w:cs="Times New Roman"/>
                <w:sz w:val="20"/>
                <w:szCs w:val="20"/>
              </w:rPr>
              <w:t xml:space="preserve"> 0.1</w:t>
            </w:r>
          </w:p>
        </w:tc>
        <w:tc>
          <w:tcPr>
            <w:tcW w:w="1701" w:type="dxa"/>
            <w:shd w:val="clear" w:color="auto" w:fill="auto"/>
            <w:vAlign w:val="center"/>
          </w:tcPr>
          <w:p w14:paraId="16B40622" w14:textId="77777777" w:rsidR="00ED6CED" w:rsidRPr="00EE52FF" w:rsidRDefault="00ED6CED" w:rsidP="00AC4637">
            <w:pPr>
              <w:spacing w:before="0" w:after="0"/>
              <w:jc w:val="center"/>
              <w:rPr>
                <w:rFonts w:cs="Times New Roman"/>
                <w:sz w:val="20"/>
                <w:szCs w:val="20"/>
              </w:rPr>
            </w:pPr>
            <w:r>
              <w:rPr>
                <w:rFonts w:cs="Times New Roman"/>
                <w:sz w:val="20"/>
                <w:szCs w:val="20"/>
              </w:rPr>
              <w:t>ND</w:t>
            </w:r>
          </w:p>
        </w:tc>
        <w:tc>
          <w:tcPr>
            <w:tcW w:w="1418" w:type="dxa"/>
            <w:shd w:val="clear" w:color="auto" w:fill="auto"/>
            <w:vAlign w:val="center"/>
          </w:tcPr>
          <w:p w14:paraId="135C0D89" w14:textId="77777777" w:rsidR="00ED6CED" w:rsidRPr="00EE52FF" w:rsidRDefault="00ED6CED" w:rsidP="00AC4637">
            <w:pPr>
              <w:spacing w:before="0" w:after="0"/>
              <w:jc w:val="center"/>
              <w:rPr>
                <w:rFonts w:cs="Times New Roman"/>
                <w:sz w:val="20"/>
                <w:szCs w:val="20"/>
              </w:rPr>
            </w:pPr>
            <w:r>
              <w:rPr>
                <w:rFonts w:cs="Times New Roman"/>
                <w:sz w:val="22"/>
                <w:szCs w:val="20"/>
              </w:rPr>
              <w:fldChar w:fldCharType="begin" w:fldLock="1"/>
            </w:r>
            <w:r>
              <w:rPr>
                <w:rFonts w:cs="Times New Roman"/>
                <w:sz w:val="22"/>
                <w:szCs w:val="20"/>
              </w:rPr>
              <w:instrText xml:space="preserve">ADDIN CSL_CITATION {"citationItems":[{"id":"ITEM-1","itemData":{"DOI":"10.1006/bbrc.2001.4354","ISSN":"0006291X","PMID":"11181068","abstract":"Anandamide and the metabolically stabler analogs, (R)-1′-methyl-2′-hydroxy-ethyl-arachidonamide (Met-AEA) and N-(3-methoxy-4-hydroxy-benzyl)-arachidonamide (arvanil), are CB1cannabinoid and VR1vanilloid receptors agonists. We synthesized 1′, 1′-dimethylheptyl-arvanil (O-1839) and six other AEA analogs obtained by addition of either a hydroxy, cyano, or bromo group on the C-20 atom of 1, 1′-dimethylpentyl-Met-AEA (O-1811, O-1812 and O-1860, respectively) or 1, 1′-dimethylpentyl-arvanil (O-1856, O-1895 and O-1861, respectively). The compounds were tested for their (i) affinity for CB1and CB2receptors, (ii) capability to activate VR1 receptors, (iii) inhibitory effect on the anandamide hydrolysis and on the anandamide membrane transporter, and (iv) cannabimimetic activity in the mouse ’tetrad’ of in vivo assays. O-1812 is the first ligand ever proven to be highly (500- to 1000-fold) selective for CB1vs both VR1and CB2receptors, while O-1861 is the first true \"hybrid\" agonist of CB1/VR1receptors and a compound with potential therapeutic importance. The activities of the seven compounds in vivo did not correlate with their activities at either CB1or VR1receptors, thus suggesting the existence of other brain sites of action mediating some of their neurobehavioral actions in mice. © 2001 Academic Press.","author":[{"dropping-particle":"","family":"Marzo","given":"V.","non-dropping-particle":"Di","parse-names":false,"suffix":""},{"dropping-particle":"","family":"Bisogno","given":"T.","non-dropping-particle":"","parse-names":false,"suffix":""},{"dropping-particle":"","family":"Petrocellis","given":"L.","non-dropping-particle":"De","parse-names":false,"suffix":""},{"dropping-particle":"","family":"Brandi","given":"I.","non-dropping-particle":"","parse-names":false,"suffix":""},{"dropping-particle":"","family":"Jefferson","given":"R. G.","non-dropping-particle":"","parse-names":false,"suffix":""},{"dropping-particle":"","family":"Winckler","given":"R. L.","non-dropping-particle":"","parse-names":false,"suffix":""},{"dropping-particle":"","family":"Davis","given":"J. B.","non-dropping-particle":"","parse-names":false,"suffix":""},{"dropping-particle":"","family":"Dasse","given":"O.","non-dropping-particle":"","parse-names":false,"suffix":""},{"dropping-particle":"","family":"Mahadevan","given":"A.","non-dropping-particle":"","parse-names":false,"suffix":""},{"dropping-particle":"","family":"Razdan","given":"R. K.","non-dropping-particle":"","parse-names":false,"suffix":""},{"dropping-particle":"","family":"Martin","given":"B. R.","non-dropping-particle":"","parse-names":false,"suffix":""}],"container-title":"Biochemical and Biophysical Research Communications","id":"ITEM-1","issue":"2","issued":{"date-parts":[["2001"]]},"page":"444-451","title":"Highly selective CB1cannabinoid receptor ligands and novel CB1/VR1vanilloid receptor </w:instrText>
            </w:r>
            <w:r>
              <w:rPr>
                <w:rFonts w:ascii="Nirmala UI" w:hAnsi="Nirmala UI" w:cs="Nirmala UI"/>
                <w:sz w:val="22"/>
                <w:szCs w:val="20"/>
              </w:rPr>
              <w:instrText>ୀ</w:instrText>
            </w:r>
            <w:r>
              <w:rPr>
                <w:rFonts w:cs="Times New Roman"/>
                <w:sz w:val="22"/>
                <w:szCs w:val="20"/>
              </w:rPr>
              <w:instrText>hybrid</w:instrText>
            </w:r>
            <w:r>
              <w:rPr>
                <w:rFonts w:ascii="Nirmala UI" w:hAnsi="Nirmala UI" w:cs="Nirmala UI"/>
                <w:sz w:val="22"/>
                <w:szCs w:val="20"/>
              </w:rPr>
              <w:instrText>ୁ</w:instrText>
            </w:r>
            <w:r>
              <w:rPr>
                <w:rFonts w:cs="Times New Roman"/>
                <w:sz w:val="22"/>
                <w:szCs w:val="20"/>
              </w:rPr>
              <w:instrText xml:space="preserve"> ligands","type":"article-journal","volume":"281"},"uris":["http://www.mendeley.com/documents/?uuid=a238fad9-9af1-472c-89a6-701d82d38c82"]}],"mendeley":{"formattedCitation":"(Di Marzo et al., 2001)","plainTextFormattedCitation":"(Di Marzo et al., 2001)","previouslyFormattedCitation":"(Di Marzo et al., 2001)"},"properties":{"noteIndex":0},"schema":"https://github.com/citation-style-language/schema/raw/master/csl-citation.json"}</w:instrText>
            </w:r>
            <w:r>
              <w:rPr>
                <w:rFonts w:cs="Times New Roman"/>
                <w:sz w:val="22"/>
                <w:szCs w:val="20"/>
              </w:rPr>
              <w:fldChar w:fldCharType="separate"/>
            </w:r>
            <w:r w:rsidRPr="00FB7604">
              <w:rPr>
                <w:rFonts w:cs="Times New Roman"/>
                <w:noProof/>
                <w:sz w:val="22"/>
                <w:szCs w:val="20"/>
              </w:rPr>
              <w:t>(Di Marzo et al., 2001)</w:t>
            </w:r>
            <w:r>
              <w:rPr>
                <w:rFonts w:cs="Times New Roman"/>
                <w:sz w:val="22"/>
                <w:szCs w:val="20"/>
              </w:rPr>
              <w:fldChar w:fldCharType="end"/>
            </w:r>
          </w:p>
        </w:tc>
        <w:tc>
          <w:tcPr>
            <w:tcW w:w="1415" w:type="dxa"/>
            <w:vAlign w:val="center"/>
          </w:tcPr>
          <w:p w14:paraId="4D8009AD" w14:textId="77777777" w:rsidR="00ED6CED" w:rsidRPr="00EE52FF" w:rsidRDefault="00ED6CED" w:rsidP="00AC4637">
            <w:pPr>
              <w:spacing w:before="0" w:after="0"/>
              <w:jc w:val="center"/>
              <w:rPr>
                <w:rFonts w:cs="Times New Roman"/>
                <w:color w:val="212121"/>
                <w:sz w:val="20"/>
                <w:szCs w:val="20"/>
              </w:rPr>
            </w:pPr>
            <w:r>
              <w:rPr>
                <w:rFonts w:cs="Times New Roman"/>
                <w:color w:val="212121"/>
                <w:sz w:val="20"/>
                <w:szCs w:val="20"/>
              </w:rPr>
              <w:t xml:space="preserve">800.1 </w:t>
            </w:r>
            <w:r w:rsidRPr="00EE52FF">
              <w:rPr>
                <w:rFonts w:cs="Times New Roman"/>
                <w:sz w:val="20"/>
                <w:szCs w:val="20"/>
              </w:rPr>
              <w:t>±</w:t>
            </w:r>
            <w:r>
              <w:rPr>
                <w:rFonts w:cs="Times New Roman"/>
                <w:sz w:val="20"/>
                <w:szCs w:val="20"/>
              </w:rPr>
              <w:t xml:space="preserve"> </w:t>
            </w:r>
            <w:r>
              <w:rPr>
                <w:rFonts w:cs="Times New Roman"/>
                <w:color w:val="212121"/>
                <w:sz w:val="20"/>
                <w:szCs w:val="20"/>
              </w:rPr>
              <w:t>150.2</w:t>
            </w:r>
          </w:p>
        </w:tc>
        <w:tc>
          <w:tcPr>
            <w:tcW w:w="1701" w:type="dxa"/>
            <w:vAlign w:val="center"/>
          </w:tcPr>
          <w:p w14:paraId="44000192" w14:textId="77777777" w:rsidR="00ED6CED" w:rsidRPr="00A42C4D" w:rsidRDefault="00ED6CED" w:rsidP="00AC4637">
            <w:pPr>
              <w:spacing w:before="0" w:after="0"/>
              <w:jc w:val="center"/>
              <w:rPr>
                <w:rFonts w:cs="Times New Roman"/>
                <w:sz w:val="20"/>
                <w:szCs w:val="20"/>
              </w:rPr>
            </w:pPr>
            <w:r w:rsidRPr="00A42C4D">
              <w:rPr>
                <w:rFonts w:cs="Times New Roman"/>
                <w:sz w:val="20"/>
                <w:szCs w:val="20"/>
              </w:rPr>
              <w:t>ND</w:t>
            </w:r>
          </w:p>
        </w:tc>
        <w:tc>
          <w:tcPr>
            <w:tcW w:w="1418" w:type="dxa"/>
            <w:vAlign w:val="center"/>
          </w:tcPr>
          <w:p w14:paraId="4F492211" w14:textId="77777777" w:rsidR="00ED6CED" w:rsidRPr="00EE52FF" w:rsidRDefault="00ED6CED" w:rsidP="00AC4637">
            <w:pPr>
              <w:spacing w:before="0" w:after="0"/>
              <w:jc w:val="center"/>
              <w:rPr>
                <w:rFonts w:cs="Times New Roman"/>
                <w:sz w:val="20"/>
                <w:szCs w:val="20"/>
              </w:rPr>
            </w:pPr>
            <w:r>
              <w:rPr>
                <w:rFonts w:cs="Times New Roman"/>
                <w:sz w:val="22"/>
                <w:szCs w:val="20"/>
              </w:rPr>
              <w:fldChar w:fldCharType="begin" w:fldLock="1"/>
            </w:r>
            <w:r>
              <w:rPr>
                <w:rFonts w:cs="Times New Roman"/>
                <w:sz w:val="22"/>
                <w:szCs w:val="20"/>
              </w:rPr>
              <w:instrText xml:space="preserve">ADDIN CSL_CITATION {"citationItems":[{"id":"ITEM-1","itemData":{"DOI":"10.1006/bbrc.2001.4354","ISSN":"0006291X","PMID":"11181068","abstract":"Anandamide and the metabolically stabler analogs, (R)-1′-methyl-2′-hydroxy-ethyl-arachidonamide (Met-AEA) and N-(3-methoxy-4-hydroxy-benzyl)-arachidonamide (arvanil), are CB1cannabinoid and VR1vanilloid receptors agonists. We synthesized 1′, 1′-dimethylheptyl-arvanil (O-1839) and six other AEA analogs obtained by addition of either a hydroxy, cyano, or bromo group on the C-20 atom of 1, 1′-dimethylpentyl-Met-AEA (O-1811, O-1812 and O-1860, respectively) or 1, 1′-dimethylpentyl-arvanil (O-1856, O-1895 and O-1861, respectively). The compounds were tested for their (i) affinity for CB1and CB2receptors, (ii) capability to activate VR1 receptors, (iii) inhibitory effect on the anandamide hydrolysis and on the anandamide membrane transporter, and (iv) cannabimimetic activity in the mouse ’tetrad’ of in vivo assays. O-1812 is the first ligand ever proven to be highly (500- to 1000-fold) selective for CB1vs both VR1and CB2receptors, while O-1861 is the first true \"hybrid\" agonist of CB1/VR1receptors and a compound with potential therapeutic importance. The activities of the seven compounds in vivo did not correlate with their activities at either CB1or VR1receptors, thus suggesting the existence of other brain sites of action mediating some of their neurobehavioral actions in mice. © 2001 Academic Press.","author":[{"dropping-particle":"","family":"Marzo","given":"V.","non-dropping-particle":"Di","parse-names":false,"suffix":""},{"dropping-particle":"","family":"Bisogno","given":"T.","non-dropping-particle":"","parse-names":false,"suffix":""},{"dropping-particle":"","family":"Petrocellis","given":"L.","non-dropping-particle":"De","parse-names":false,"suffix":""},{"dropping-particle":"","family":"Brandi","given":"I.","non-dropping-particle":"","parse-names":false,"suffix":""},{"dropping-particle":"","family":"Jefferson","given":"R. G.","non-dropping-particle":"","parse-names":false,"suffix":""},{"dropping-particle":"","family":"Winckler","given":"R. L.","non-dropping-particle":"","parse-names":false,"suffix":""},{"dropping-particle":"","family":"Davis","given":"J. B.","non-dropping-particle":"","parse-names":false,"suffix":""},{"dropping-particle":"","family":"Dasse","given":"O.","non-dropping-particle":"","parse-names":false,"suffix":""},{"dropping-particle":"","family":"Mahadevan","given":"A.","non-dropping-particle":"","parse-names":false,"suffix":""},{"dropping-particle":"","family":"Razdan","given":"R. K.","non-dropping-particle":"","parse-names":false,"suffix":""},{"dropping-particle":"","family":"Martin","given":"B. R.","non-dropping-particle":"","parse-names":false,"suffix":""}],"container-title":"Biochemical and Biophysical Research Communications","id":"ITEM-1","issue":"2","issued":{"date-parts":[["2001"]]},"page":"444-451","title":"Highly selective CB1cannabinoid receptor ligands and novel CB1/VR1vanilloid receptor </w:instrText>
            </w:r>
            <w:r>
              <w:rPr>
                <w:rFonts w:ascii="Nirmala UI" w:hAnsi="Nirmala UI" w:cs="Nirmala UI"/>
                <w:sz w:val="22"/>
                <w:szCs w:val="20"/>
              </w:rPr>
              <w:instrText>ୀ</w:instrText>
            </w:r>
            <w:r>
              <w:rPr>
                <w:rFonts w:cs="Times New Roman"/>
                <w:sz w:val="22"/>
                <w:szCs w:val="20"/>
              </w:rPr>
              <w:instrText>hybrid</w:instrText>
            </w:r>
            <w:r>
              <w:rPr>
                <w:rFonts w:ascii="Nirmala UI" w:hAnsi="Nirmala UI" w:cs="Nirmala UI"/>
                <w:sz w:val="22"/>
                <w:szCs w:val="20"/>
              </w:rPr>
              <w:instrText>ୁ</w:instrText>
            </w:r>
            <w:r>
              <w:rPr>
                <w:rFonts w:cs="Times New Roman"/>
                <w:sz w:val="22"/>
                <w:szCs w:val="20"/>
              </w:rPr>
              <w:instrText xml:space="preserve"> ligands","type":"article-journal","volume":"281"},"uris":["http://www.mendeley.com/documents/?uuid=a238fad9-9af1-472c-89a6-701d82d38c82"]}],"mendeley":{"formattedCitation":"(Di Marzo et al., 2001)","plainTextFormattedCitation":"(Di Marzo et al., 2001)","previouslyFormattedCitation":"(Di Marzo et al., 2001)"},"properties":{"noteIndex":0},"schema":"https://github.com/citation-style-language/schema/raw/master/csl-citation.json"}</w:instrText>
            </w:r>
            <w:r>
              <w:rPr>
                <w:rFonts w:cs="Times New Roman"/>
                <w:sz w:val="22"/>
                <w:szCs w:val="20"/>
              </w:rPr>
              <w:fldChar w:fldCharType="separate"/>
            </w:r>
            <w:r w:rsidRPr="00FB7604">
              <w:rPr>
                <w:rFonts w:cs="Times New Roman"/>
                <w:noProof/>
                <w:sz w:val="22"/>
                <w:szCs w:val="20"/>
              </w:rPr>
              <w:t>(Di Marzo et al., 2001)</w:t>
            </w:r>
            <w:r>
              <w:rPr>
                <w:rFonts w:cs="Times New Roman"/>
                <w:sz w:val="22"/>
                <w:szCs w:val="20"/>
              </w:rPr>
              <w:fldChar w:fldCharType="end"/>
            </w:r>
          </w:p>
        </w:tc>
      </w:tr>
      <w:tr w:rsidR="002A68CB" w:rsidRPr="00EE52FF" w14:paraId="48BCDEFB" w14:textId="77777777" w:rsidTr="003C203B">
        <w:trPr>
          <w:trHeight w:val="537"/>
          <w:jc w:val="center"/>
        </w:trPr>
        <w:tc>
          <w:tcPr>
            <w:tcW w:w="1974" w:type="dxa"/>
            <w:shd w:val="clear" w:color="auto" w:fill="auto"/>
            <w:vAlign w:val="center"/>
          </w:tcPr>
          <w:p w14:paraId="6D6CA225" w14:textId="37E092AE" w:rsidR="002A68CB" w:rsidRPr="00612A4C" w:rsidRDefault="002A68CB" w:rsidP="002A68CB">
            <w:pPr>
              <w:spacing w:before="0" w:after="0"/>
              <w:jc w:val="center"/>
              <w:rPr>
                <w:rFonts w:cs="Times New Roman"/>
                <w:b/>
                <w:sz w:val="20"/>
                <w:szCs w:val="20"/>
              </w:rPr>
            </w:pPr>
            <w:proofErr w:type="spellStart"/>
            <w:r>
              <w:rPr>
                <w:rFonts w:cs="Times New Roman"/>
                <w:b/>
                <w:sz w:val="20"/>
                <w:szCs w:val="20"/>
              </w:rPr>
              <w:t>Arvanil</w:t>
            </w:r>
            <w:proofErr w:type="spellEnd"/>
          </w:p>
        </w:tc>
        <w:tc>
          <w:tcPr>
            <w:tcW w:w="2132" w:type="dxa"/>
            <w:vAlign w:val="center"/>
          </w:tcPr>
          <w:p w14:paraId="7B955B00" w14:textId="5974B445" w:rsidR="002A68CB" w:rsidRDefault="00604871" w:rsidP="002A68CB">
            <w:pPr>
              <w:spacing w:before="0" w:after="0"/>
              <w:jc w:val="center"/>
              <w:rPr>
                <w:noProof/>
              </w:rPr>
            </w:pPr>
            <w:r>
              <w:rPr>
                <w:noProof/>
              </w:rPr>
              <w:object w:dxaOrig="4009" w:dyaOrig="1468" w14:anchorId="6D7C7012">
                <v:shape id="_x0000_i1029" type="#_x0000_t75" alt="" style="width:96.8pt;height:37.5pt;mso-width-percent:0;mso-height-percent:0;mso-width-percent:0;mso-height-percent:0" o:ole="">
                  <v:imagedata r:id="rId20" o:title=""/>
                </v:shape>
                <o:OLEObject Type="Embed" ProgID="ChemDraw.Document.6.0" ShapeID="_x0000_i1029" DrawAspect="Content" ObjectID="_1706533559" r:id="rId21"/>
              </w:object>
            </w:r>
          </w:p>
        </w:tc>
        <w:tc>
          <w:tcPr>
            <w:tcW w:w="1276" w:type="dxa"/>
            <w:shd w:val="clear" w:color="auto" w:fill="auto"/>
            <w:vAlign w:val="center"/>
          </w:tcPr>
          <w:p w14:paraId="2BD10F0E" w14:textId="4BA821E1" w:rsidR="002A68CB" w:rsidRDefault="00242B3D" w:rsidP="002A68CB">
            <w:pPr>
              <w:spacing w:before="0" w:after="0"/>
              <w:jc w:val="center"/>
              <w:rPr>
                <w:rFonts w:cs="Times New Roman"/>
                <w:sz w:val="20"/>
                <w:szCs w:val="20"/>
              </w:rPr>
            </w:pPr>
            <w:r w:rsidRPr="00242B3D">
              <w:rPr>
                <w:rFonts w:cs="Times New Roman"/>
                <w:sz w:val="20"/>
                <w:szCs w:val="20"/>
              </w:rPr>
              <w:t xml:space="preserve">75.4 </w:t>
            </w:r>
            <w:r w:rsidRPr="00EE52FF">
              <w:rPr>
                <w:rFonts w:cs="Times New Roman"/>
                <w:sz w:val="20"/>
                <w:szCs w:val="20"/>
              </w:rPr>
              <w:t>±</w:t>
            </w:r>
            <w:r w:rsidRPr="00242B3D">
              <w:rPr>
                <w:rFonts w:cs="Times New Roman"/>
                <w:sz w:val="20"/>
                <w:szCs w:val="20"/>
              </w:rPr>
              <w:t xml:space="preserve"> 4.7</w:t>
            </w:r>
          </w:p>
        </w:tc>
        <w:tc>
          <w:tcPr>
            <w:tcW w:w="1417" w:type="dxa"/>
            <w:shd w:val="clear" w:color="auto" w:fill="auto"/>
            <w:vAlign w:val="center"/>
          </w:tcPr>
          <w:p w14:paraId="5291DC65" w14:textId="77777777" w:rsidR="00501E85" w:rsidRDefault="00501E85" w:rsidP="00501E85">
            <w:pPr>
              <w:spacing w:before="0" w:after="0" w:line="260" w:lineRule="exact"/>
              <w:jc w:val="center"/>
              <w:rPr>
                <w:rFonts w:cs="Times New Roman"/>
                <w:sz w:val="20"/>
                <w:szCs w:val="20"/>
              </w:rPr>
            </w:pPr>
            <w:r>
              <w:rPr>
                <w:rFonts w:cs="Times New Roman"/>
                <w:sz w:val="20"/>
                <w:szCs w:val="20"/>
              </w:rPr>
              <w:t>Agonist</w:t>
            </w:r>
          </w:p>
          <w:p w14:paraId="0E3B4FE6" w14:textId="047B0DE5" w:rsidR="002A68CB" w:rsidRDefault="00501E85" w:rsidP="002A68CB">
            <w:pPr>
              <w:spacing w:before="0" w:after="0" w:line="260" w:lineRule="exact"/>
              <w:jc w:val="center"/>
              <w:rPr>
                <w:rFonts w:cs="Times New Roman"/>
                <w:sz w:val="20"/>
                <w:szCs w:val="20"/>
              </w:rPr>
            </w:pPr>
            <w:r w:rsidRPr="00501E85">
              <w:rPr>
                <w:rFonts w:cs="Times New Roman"/>
                <w:sz w:val="20"/>
                <w:szCs w:val="20"/>
              </w:rPr>
              <w:t xml:space="preserve">0.5 </w:t>
            </w:r>
            <w:r w:rsidRPr="00EE52FF">
              <w:rPr>
                <w:rFonts w:cs="Times New Roman"/>
                <w:sz w:val="20"/>
                <w:szCs w:val="20"/>
              </w:rPr>
              <w:t>±</w:t>
            </w:r>
            <w:r w:rsidRPr="00501E85">
              <w:rPr>
                <w:rFonts w:cs="Times New Roman"/>
                <w:sz w:val="20"/>
                <w:szCs w:val="20"/>
              </w:rPr>
              <w:t xml:space="preserve"> 0.2</w:t>
            </w:r>
          </w:p>
        </w:tc>
        <w:tc>
          <w:tcPr>
            <w:tcW w:w="1701" w:type="dxa"/>
            <w:shd w:val="clear" w:color="auto" w:fill="auto"/>
            <w:vAlign w:val="center"/>
          </w:tcPr>
          <w:p w14:paraId="1474ECCB" w14:textId="455A676C" w:rsidR="002A68CB" w:rsidRDefault="00501E85" w:rsidP="002A68CB">
            <w:pPr>
              <w:spacing w:before="0" w:after="0"/>
              <w:jc w:val="center"/>
              <w:rPr>
                <w:rFonts w:cs="Times New Roman"/>
                <w:sz w:val="20"/>
                <w:szCs w:val="20"/>
              </w:rPr>
            </w:pPr>
            <w:r>
              <w:rPr>
                <w:rFonts w:cs="Times New Roman"/>
                <w:sz w:val="20"/>
                <w:szCs w:val="20"/>
              </w:rPr>
              <w:t>ND</w:t>
            </w:r>
          </w:p>
        </w:tc>
        <w:tc>
          <w:tcPr>
            <w:tcW w:w="1418" w:type="dxa"/>
            <w:shd w:val="clear" w:color="auto" w:fill="auto"/>
            <w:vAlign w:val="center"/>
          </w:tcPr>
          <w:p w14:paraId="64ACF119" w14:textId="123A884D" w:rsidR="002A68CB" w:rsidRDefault="00501E85" w:rsidP="002A68CB">
            <w:pPr>
              <w:spacing w:before="0" w:after="0"/>
              <w:jc w:val="center"/>
              <w:rPr>
                <w:rFonts w:cs="Times New Roman"/>
                <w:sz w:val="22"/>
                <w:szCs w:val="20"/>
              </w:rPr>
            </w:pPr>
            <w:r>
              <w:rPr>
                <w:rFonts w:cs="Times New Roman"/>
                <w:sz w:val="22"/>
                <w:szCs w:val="20"/>
              </w:rPr>
              <w:fldChar w:fldCharType="begin" w:fldLock="1"/>
            </w:r>
            <w:r w:rsidR="00BE069D">
              <w:rPr>
                <w:rFonts w:cs="Times New Roman"/>
                <w:sz w:val="22"/>
                <w:szCs w:val="20"/>
              </w:rPr>
              <w:instrText xml:space="preserve">ADDIN CSL_CITATION {"citationItems":[{"id":"ITEM-1","itemData":{"DOI":"10.1006/bbrc.1999.1105","ISSN":"0006291X","PMID":"10448105","abstract":"We investigated the effect of changing the length and degree of unsaturation of the fatty acyl chain of N-(3-methoxy-4-hydroxy)-benzyl-cis-9-octadecenoamide (olvanil), a ligand of vanilloid receptors, on its capability to: (i) inhibit anandamide-facilitated transport into cells and enzymatic hydrolysis, (ii) bind to CB1 and CB2 cannabinoid receptors, and (iii) activate the VR1 vanilloid receptor. Potent inhibition of [14C]anandamide accumulation into cells was achieved with C20:4 n-6, C18:3 n-6 and n-3, and C18:2 n-6 N-acyl-vanillyl-amides (N-AVAMs). The saturated analogues and Δ9-trans-olvanil were inactive. Activity in CB1 binding assays increased when increasing the number of cis-double bonds in a n-6 fatty acyl chain and, in saturated N-AVAMs, was not greatly sensitive to decreasing the chain length. The C20:4 n-6 analogue (arvanil) was a potent inhibitor of anandamide accumulation (IC50 = 3.6 μM) and was 4-fold more potent than anandamide on CB1 receptors (Ki = 0.25-0.52 μM), whereas the C18:3 n-3 N-AVAM was more selective than arvanil for the uptake (IC50 = 8.0 μM) vs CB1 receptors (Ki = 3.4 pM). None of the compounds efficiently inhibited [14C]anandamide hydrolysis or bound to CB2 receptors. All N-AVAMs activated the cation currents coupled to VR1 receptors overexpressed in Xenopus oocytes. In a simple, intact cell model of both vanilloid- and anandamide-like activity, i.e., the inhibition of human breast cancer cell (HBCC) proliferation, arvanil was shown to behave as a 'hybrid' activator of cannabinoid and vanilloid receptors.","author":[{"dropping-particle":"","family":"Melck","given":"Dominique","non-dropping-particle":"","parse-names":false,"suffix":""},{"dropping-particle":"","family":"Bisogno","given":"Tiziana","non-dropping-particle":"","parse-names":false,"suffix":""},{"dropping-particle":"","family":"Petrocellis","given":"Luciano","non-dropping-particle":"De","parse-names":false,"suffix":""},{"dropping-particle":"","family":"Chuang","given":"Huai Hu","non-dropping-particle":"","parse-names":false,"suffix":""},{"dropping-particle":"","family":"Julius","given":"David","non-dropping-particle":"","parse-names":false,"suffix":""},{"dropping-particle":"","family":"Bifulco","given":"Maurizio","non-dropping-particle":"","parse-names":false,"suffix":""},{"dropping-particle":"","family":"Marzo","given":"Vincenzo","non-dropping-particle":"Di","parse-names":false,"suffix":""}],"container-title":"Biochemical and Biophysical Research Communications","id":"ITEM-1","issue":"1","issued":{"date-parts":[["1999"]]},"page":"275-284","title":"Unsaturated long-chain N-acyl-vanillyl-amides (N-AVAMs): Vanilloid receptor ligands that inhibit anandamide-facilitated transport and bind to CB1 cannabinoid receptors","type":"article-journal","volume":"262"},"uris":["http://www.mendeley.com/documents/?uuid=68ab7eea-9c52-4d14-ad6f-4e61c7f7b317"]},{"id":"ITEM-2","itemData":{"DOI":"10.1124/jpet.300.3.984","ISSN":"00223565","PMID":"11861807","abstract":"Arvanil, a structural \"hybrid\" between the endogenous cannabinoid CB1 receptor ligand anandamide and capsaicin, is a potent agonist for the capsaicin receptor VR1 (vanilloid receptor type 1), inhibits the anandamide membrane transporter (AMT), and induces cannabimimetic responses in mice. Novel arvanil derivatives prepared by N-methylation, replacement of the amide with urea and thiourea moieties, and manipulation of the vanillyl group were evaluated for their ability to bind/activate CB1 receptors, activate VR1 receptors, inhibit the AMT and fatty acid amide hydrolase (FAAH), and produce cannabimimetic effects in mice. The compounds did not stimulate the CB1 receptor. Methylation of the amide group decreased the activity at VR1, AMT, and FAAH. On the aromatic ring, the substitution of the 3-methoxy group with a chlorine atom or the lack of the 4-hydroxy group decreased the activity on VR1 and AMT, but not the affinity for CB1 receptors, and increased the capability to inhibit FAAH. The urea or thiourea analogs retained activity at VR1 and AMT but exhibited little affinity for CB1 receptors. The urea analog was a potent FAAH inhibitor (IC50 = 2.0 μM). A water-soluble analog of arvanil, O-2142, was as active on VR1, much less active on AMT and CB1, and more potent on FAAH. All compounds induced a response in the mouse \"tetrad\", particularly those with EC50 &lt;10 nM on VR1. However, the most potent compound, N-N′-di-(3-chloro-4-hydroxy)benzylarachidonamide (O-2093, ED50 </w:instrText>
            </w:r>
            <w:r w:rsidR="00BE069D">
              <w:rPr>
                <w:rFonts w:ascii="Cambria Math" w:hAnsi="Cambria Math" w:cs="Cambria Math"/>
                <w:sz w:val="22"/>
                <w:szCs w:val="20"/>
              </w:rPr>
              <w:instrText>∼</w:instrText>
            </w:r>
            <w:r w:rsidR="00BE069D">
              <w:rPr>
                <w:rFonts w:cs="Times New Roman"/>
                <w:sz w:val="22"/>
                <w:szCs w:val="20"/>
              </w:rPr>
              <w:instrText>0.04 mg/kg), did not activate VR1 or CB1 receptors. Our findings suggest that VR1 and/or as yet uncharacterized receptors produce cannabimimetic responses in mice in vivo.","author":[{"dropping-particle":"","family":"Marzo","given":"Vincenzo","non-dropping-particle":"Di","parse-names":false,"suffix":""},{"dropping-particle":"","family":"Griffin","given":"Graeme","non-dropping-particle":"","parse-names":false,"suffix":""},{"dropping-particle":"","family":"Petrocellis","given":"Luciano","non-dropping-particle":"De","parse-names":false,"suffix":""},{"dropping-particle":"","family":"Brandi","given":"Ines","non-dropping-particle":"","parse-names":false,"suffix":""},{"dropping-particle":"","family":"Bisogno","given":"Tiziana","non-dropping-particle":"","parse-names":false,"suffix":""},{"dropping-particle":"","family":"Williams","given":"William","non-dropping-particle":"","parse-names":false,"suffix":""},{"dropping-particle":"","family":"Grier","given":"Mark C.","non-dropping-particle":"","parse-names":false,"suffix":""},{"dropping-particle":"","family":"Kulasegram","given":"Sanjitha","non-dropping-particle":"","parse-names":false,"suffix":""},{"dropping-particle":"","family":"Mahadevan","given":"A. N.U.","non-dropping-particle":"","parse-names":false,"suffix":""},{"dropping-particle":"","family":"Razdan","given":"Raj K.","non-dropping-particle":"","parse-names":false,"suffix":""},{"dropping-particle":"","family":"Martin","given":"Billy R.","non-dropping-particle":"","parse-names":false,"suffix":""}],"container-title":"Journal of Pharmacology and Experimental Therapeutics","id":"ITEM-2","issue":"3","issued":{"date-parts":[["2002"]]},"page":"984-991","title":"A structure/activity relationship study on arvanil, an endocannabinoid and vanilloid hybrid","type":"article-journal","volume":"300"},"uris":["http://www.mendeley.com/documents/?uuid=7c21b870-4b6c-4323-95ef-e785f9686807"]}],"mendeley":{"formattedCitation":"(Di Marzo et al., 2002; Melck et al., 1999)","plainTextFormattedCitation":"(Di Marzo et al., 2002; Melck et al., 1999)","previouslyFormattedCitation":"(Di Marzo et al., 2002; Melck et al., 1999)"},"properties":{"noteIndex":0},"schema":"https://github.com/citation-style-language/schema/raw/master/csl-citation.json"}</w:instrText>
            </w:r>
            <w:r>
              <w:rPr>
                <w:rFonts w:cs="Times New Roman"/>
                <w:sz w:val="22"/>
                <w:szCs w:val="20"/>
              </w:rPr>
              <w:fldChar w:fldCharType="separate"/>
            </w:r>
            <w:r w:rsidRPr="00501E85">
              <w:rPr>
                <w:rFonts w:cs="Times New Roman"/>
                <w:noProof/>
                <w:sz w:val="22"/>
                <w:szCs w:val="20"/>
              </w:rPr>
              <w:t>(Di Marzo et al., 2002; Melck et al., 1999)</w:t>
            </w:r>
            <w:r>
              <w:rPr>
                <w:rFonts w:cs="Times New Roman"/>
                <w:sz w:val="22"/>
                <w:szCs w:val="20"/>
              </w:rPr>
              <w:fldChar w:fldCharType="end"/>
            </w:r>
          </w:p>
        </w:tc>
        <w:tc>
          <w:tcPr>
            <w:tcW w:w="1415" w:type="dxa"/>
            <w:vAlign w:val="center"/>
          </w:tcPr>
          <w:p w14:paraId="59AA459D" w14:textId="1FCEB82B" w:rsidR="002A68CB" w:rsidRDefault="00501E85" w:rsidP="002A68CB">
            <w:pPr>
              <w:spacing w:before="0" w:after="0"/>
              <w:jc w:val="center"/>
              <w:rPr>
                <w:rFonts w:cs="Times New Roman"/>
                <w:color w:val="212121"/>
                <w:sz w:val="20"/>
                <w:szCs w:val="20"/>
              </w:rPr>
            </w:pPr>
            <w:r>
              <w:rPr>
                <w:rFonts w:cs="Times New Roman"/>
                <w:sz w:val="20"/>
                <w:szCs w:val="20"/>
              </w:rPr>
              <w:t>ND</w:t>
            </w:r>
          </w:p>
        </w:tc>
        <w:tc>
          <w:tcPr>
            <w:tcW w:w="1701" w:type="dxa"/>
            <w:vAlign w:val="center"/>
          </w:tcPr>
          <w:p w14:paraId="743D89B3" w14:textId="587C1FA3" w:rsidR="002A68CB" w:rsidRPr="00A42C4D" w:rsidRDefault="00501E85" w:rsidP="002A68CB">
            <w:pPr>
              <w:spacing w:before="0" w:after="0"/>
              <w:jc w:val="center"/>
              <w:rPr>
                <w:rFonts w:cs="Times New Roman"/>
                <w:sz w:val="20"/>
                <w:szCs w:val="20"/>
              </w:rPr>
            </w:pPr>
            <w:r>
              <w:rPr>
                <w:rFonts w:cs="Times New Roman"/>
                <w:sz w:val="20"/>
                <w:szCs w:val="20"/>
              </w:rPr>
              <w:t>ND</w:t>
            </w:r>
          </w:p>
        </w:tc>
        <w:tc>
          <w:tcPr>
            <w:tcW w:w="1418" w:type="dxa"/>
            <w:vAlign w:val="center"/>
          </w:tcPr>
          <w:p w14:paraId="77D886EB" w14:textId="542542F2" w:rsidR="002A68CB" w:rsidRDefault="00501E85" w:rsidP="002A68CB">
            <w:pPr>
              <w:spacing w:before="0" w:after="0"/>
              <w:jc w:val="center"/>
              <w:rPr>
                <w:rFonts w:cs="Times New Roman"/>
                <w:sz w:val="22"/>
                <w:szCs w:val="20"/>
              </w:rPr>
            </w:pPr>
            <w:r>
              <w:rPr>
                <w:rFonts w:cs="Times New Roman"/>
                <w:sz w:val="22"/>
                <w:szCs w:val="20"/>
              </w:rPr>
              <w:fldChar w:fldCharType="begin" w:fldLock="1"/>
            </w:r>
            <w:r w:rsidR="00BE069D">
              <w:rPr>
                <w:rFonts w:cs="Times New Roman"/>
                <w:sz w:val="22"/>
                <w:szCs w:val="20"/>
              </w:rPr>
              <w:instrText xml:space="preserve">ADDIN CSL_CITATION {"citationItems":[{"id":"ITEM-1","itemData":{"DOI":"10.1006/bbrc.1999.1105","ISSN":"0006291X","PMID":"10448105","abstract":"We investigated the effect of changing the length and degree of unsaturation of the fatty acyl chain of N-(3-methoxy-4-hydroxy)-benzyl-cis-9-octadecenoamide (olvanil), a ligand of vanilloid receptors, on its capability to: (i) inhibit anandamide-facilitated transport into cells and enzymatic hydrolysis, (ii) bind to CB1 and CB2 cannabinoid receptors, and (iii) activate the VR1 vanilloid receptor. Potent inhibition of [14C]anandamide accumulation into cells was achieved with C20:4 n-6, C18:3 n-6 and n-3, and C18:2 n-6 N-acyl-vanillyl-amides (N-AVAMs). The saturated analogues and Δ9-trans-olvanil were inactive. Activity in CB1 binding assays increased when increasing the number of cis-double bonds in a n-6 fatty acyl chain and, in saturated N-AVAMs, was not greatly sensitive to decreasing the chain length. The C20:4 n-6 analogue (arvanil) was a potent inhibitor of anandamide accumulation (IC50 = 3.6 μM) and was 4-fold more potent than anandamide on CB1 receptors (Ki = 0.25-0.52 μM), whereas the C18:3 n-3 N-AVAM was more selective than arvanil for the uptake (IC50 = 8.0 μM) vs CB1 receptors (Ki = 3.4 pM). None of the compounds efficiently inhibited [14C]anandamide hydrolysis or bound to CB2 receptors. All N-AVAMs activated the cation currents coupled to VR1 receptors overexpressed in Xenopus oocytes. In a simple, intact cell model of both vanilloid- and anandamide-like activity, i.e., the inhibition of human breast cancer cell (HBCC) proliferation, arvanil was shown to behave as a 'hybrid' activator of cannabinoid and vanilloid receptors.","author":[{"dropping-particle":"","family":"Melck","given":"Dominique","non-dropping-particle":"","parse-names":false,"suffix":""},{"dropping-particle":"","family":"Bisogno","given":"Tiziana","non-dropping-particle":"","parse-names":false,"suffix":""},{"dropping-particle":"","family":"Petrocellis","given":"Luciano","non-dropping-particle":"De","parse-names":false,"suffix":""},{"dropping-particle":"","family":"Chuang","given":"Huai Hu","non-dropping-particle":"","parse-names":false,"suffix":""},{"dropping-particle":"","family":"Julius","given":"David","non-dropping-particle":"","parse-names":false,"suffix":""},{"dropping-particle":"","family":"Bifulco","given":"Maurizio","non-dropping-particle":"","parse-names":false,"suffix":""},{"dropping-particle":"","family":"Marzo","given":"Vincenzo","non-dropping-particle":"Di","parse-names":false,"suffix":""}],"container-title":"Biochemical and Biophysical Research Communications","id":"ITEM-1","issue":"1","issued":{"date-parts":[["1999"]]},"page":"275-284","title":"Unsaturated long-chain N-acyl-vanillyl-amides (N-AVAMs): Vanilloid receptor ligands that inhibit anandamide-facilitated transport and bind to CB1 cannabinoid receptors","type":"article-journal","volume":"262"},"uris":["http://www.mendeley.com/documents/?uuid=68ab7eea-9c52-4d14-ad6f-4e61c7f7b317"]},{"id":"ITEM-2","itemData":{"DOI":"10.1124/jpet.300.3.984","ISSN":"00223565","PMID":"11861807","abstract":"Arvanil, a structural \"hybrid\" between the endogenous cannabinoid CB1 receptor ligand anandamide and capsaicin, is a potent agonist for the capsaicin receptor VR1 (vanilloid receptor type 1), inhibits the anandamide membrane transporter (AMT), and induces cannabimimetic responses in mice. Novel arvanil derivatives prepared by N-methylation, replacement of the amide with urea and thiourea moieties, and manipulation of the vanillyl group were evaluated for their ability to bind/activate CB1 receptors, activate VR1 receptors, inhibit the AMT and fatty acid amide hydrolase (FAAH), and produce cannabimimetic effects in mice. The compounds did not stimulate the CB1 receptor. Methylation of the amide group decreased the activity at VR1, AMT, and FAAH. On the aromatic ring, the substitution of the 3-methoxy group with a chlorine atom or the lack of the 4-hydroxy group decreased the activity on VR1 and AMT, but not the affinity for CB1 receptors, and increased the capability to inhibit FAAH. The urea or thiourea analogs retained activity at VR1 and AMT but exhibited little affinity for CB1 receptors. The urea analog was a potent FAAH inhibitor (IC50 = 2.0 μM). A water-soluble analog of arvanil, O-2142, was as active on VR1, much less active on AMT and CB1, and more potent on FAAH. All compounds induced a response in the mouse \"tetrad\", particularly those with EC50 &lt;10 nM on VR1. However, the most potent compound, N-N′-di-(3-chloro-4-hydroxy)benzylarachidonamide (O-2093, ED50 </w:instrText>
            </w:r>
            <w:r w:rsidR="00BE069D">
              <w:rPr>
                <w:rFonts w:ascii="Cambria Math" w:hAnsi="Cambria Math" w:cs="Cambria Math"/>
                <w:sz w:val="22"/>
                <w:szCs w:val="20"/>
              </w:rPr>
              <w:instrText>∼</w:instrText>
            </w:r>
            <w:r w:rsidR="00BE069D">
              <w:rPr>
                <w:rFonts w:cs="Times New Roman"/>
                <w:sz w:val="22"/>
                <w:szCs w:val="20"/>
              </w:rPr>
              <w:instrText>0.04 mg/kg), did not activate VR1 or CB1 receptors. Our findings suggest that VR1 and/or as yet uncharacterized receptors produce cannabimimetic responses in mice in vivo.","author":[{"dropping-particle":"","family":"Marzo","given":"Vincenzo","non-dropping-particle":"Di","parse-names":false,"suffix":""},{"dropping-particle":"","family":"Griffin","given":"Graeme","non-dropping-particle":"","parse-names":false,"suffix":""},{"dropping-particle":"","family":"Petrocellis","given":"Luciano","non-dropping-particle":"De","parse-names":false,"suffix":""},{"dropping-particle":"","family":"Brandi","given":"Ines","non-dropping-particle":"","parse-names":false,"suffix":""},{"dropping-particle":"","family":"Bisogno","given":"Tiziana","non-dropping-particle":"","parse-names":false,"suffix":""},{"dropping-particle":"","family":"Williams","given":"William","non-dropping-particle":"","parse-names":false,"suffix":""},{"dropping-particle":"","family":"Grier","given":"Mark C.","non-dropping-particle":"","parse-names":false,"suffix":""},{"dropping-particle":"","family":"Kulasegram","given":"Sanjitha","non-dropping-particle":"","parse-names":false,"suffix":""},{"dropping-particle":"","family":"Mahadevan","given":"A. N.U.","non-dropping-particle":"","parse-names":false,"suffix":""},{"dropping-particle":"","family":"Razdan","given":"Raj K.","non-dropping-particle":"","parse-names":false,"suffix":""},{"dropping-particle":"","family":"Martin","given":"Billy R.","non-dropping-particle":"","parse-names":false,"suffix":""}],"container-title":"Journal of Pharmacology and Experimental Therapeutics","id":"ITEM-2","issue":"3","issued":{"date-parts":[["2002"]]},"page":"984-991","title":"A structure/activity relationship study on arvanil, an endocannabinoid and vanilloid hybrid","type":"article-journal","volume":"300"},"uris":["http://www.mendeley.com/documents/?uuid=7c21b870-4b6c-4323-95ef-e785f9686807"]}],"mendeley":{"formattedCitation":"(Di Marzo et al., 2002; Melck et al., 1999)","plainTextFormattedCitation":"(Di Marzo et al., 2002; Melck et al., 1999)","previouslyFormattedCitation":"(Di Marzo et al., 2002; Melck et al., 1999)"},"properties":{"noteIndex":0},"schema":"https://github.com/citation-style-language/schema/raw/master/csl-citation.json"}</w:instrText>
            </w:r>
            <w:r>
              <w:rPr>
                <w:rFonts w:cs="Times New Roman"/>
                <w:sz w:val="22"/>
                <w:szCs w:val="20"/>
              </w:rPr>
              <w:fldChar w:fldCharType="separate"/>
            </w:r>
            <w:r w:rsidRPr="00501E85">
              <w:rPr>
                <w:rFonts w:cs="Times New Roman"/>
                <w:noProof/>
                <w:sz w:val="22"/>
                <w:szCs w:val="20"/>
              </w:rPr>
              <w:t>(Di Marzo et al., 2002; Melck et al., 1999)</w:t>
            </w:r>
            <w:r>
              <w:rPr>
                <w:rFonts w:cs="Times New Roman"/>
                <w:sz w:val="22"/>
                <w:szCs w:val="20"/>
              </w:rPr>
              <w:fldChar w:fldCharType="end"/>
            </w:r>
          </w:p>
        </w:tc>
      </w:tr>
      <w:tr w:rsidR="002A68CB" w:rsidRPr="00EE52FF" w14:paraId="2F0E3161" w14:textId="77777777" w:rsidTr="000940E6">
        <w:trPr>
          <w:trHeight w:val="677"/>
          <w:jc w:val="center"/>
        </w:trPr>
        <w:tc>
          <w:tcPr>
            <w:tcW w:w="1974" w:type="dxa"/>
            <w:shd w:val="clear" w:color="auto" w:fill="auto"/>
            <w:vAlign w:val="center"/>
          </w:tcPr>
          <w:p w14:paraId="1AEF35C8" w14:textId="4D3EF142" w:rsidR="002A68CB" w:rsidRDefault="002A68CB" w:rsidP="002A68CB">
            <w:pPr>
              <w:spacing w:before="0" w:after="0"/>
              <w:jc w:val="center"/>
              <w:rPr>
                <w:rFonts w:cs="Times New Roman"/>
                <w:b/>
                <w:sz w:val="20"/>
                <w:szCs w:val="20"/>
              </w:rPr>
            </w:pPr>
            <w:proofErr w:type="spellStart"/>
            <w:r w:rsidRPr="00EE52FF">
              <w:rPr>
                <w:rFonts w:cs="Times New Roman"/>
                <w:b/>
                <w:sz w:val="20"/>
                <w:szCs w:val="20"/>
              </w:rPr>
              <w:t>PhAR</w:t>
            </w:r>
            <w:proofErr w:type="spellEnd"/>
          </w:p>
          <w:p w14:paraId="78401691" w14:textId="2CD5A387" w:rsidR="002A68CB" w:rsidRDefault="002A68CB" w:rsidP="002A68CB">
            <w:pPr>
              <w:spacing w:before="0" w:after="0"/>
              <w:jc w:val="center"/>
              <w:rPr>
                <w:rFonts w:cs="Times New Roman"/>
                <w:b/>
                <w:bCs/>
                <w:sz w:val="20"/>
                <w:szCs w:val="20"/>
                <w:shd w:val="clear" w:color="auto" w:fill="BCE2E9"/>
              </w:rPr>
            </w:pPr>
            <w:r w:rsidRPr="00EE52FF">
              <w:rPr>
                <w:rFonts w:cs="Times New Roman"/>
                <w:b/>
                <w:sz w:val="20"/>
                <w:szCs w:val="20"/>
              </w:rPr>
              <w:t>derivative</w:t>
            </w:r>
            <w:r>
              <w:rPr>
                <w:rFonts w:cs="Times New Roman"/>
                <w:b/>
                <w:sz w:val="20"/>
                <w:szCs w:val="20"/>
              </w:rPr>
              <w:t xml:space="preserve"> 12</w:t>
            </w:r>
          </w:p>
        </w:tc>
        <w:tc>
          <w:tcPr>
            <w:tcW w:w="2132" w:type="dxa"/>
            <w:vAlign w:val="center"/>
          </w:tcPr>
          <w:p w14:paraId="516B3712" w14:textId="0AEAC6DD" w:rsidR="002A68CB" w:rsidRPr="003A3F6C" w:rsidRDefault="00604871" w:rsidP="002A68CB">
            <w:pPr>
              <w:spacing w:before="0" w:after="0"/>
              <w:jc w:val="center"/>
              <w:rPr>
                <w:rFonts w:cs="Times New Roman"/>
                <w:sz w:val="20"/>
                <w:szCs w:val="20"/>
              </w:rPr>
            </w:pPr>
            <w:r>
              <w:rPr>
                <w:noProof/>
              </w:rPr>
              <w:object w:dxaOrig="5128" w:dyaOrig="1324" w14:anchorId="7C6A329D">
                <v:shape id="_x0000_i1030" type="#_x0000_t75" alt="" style="width:98.2pt;height:24.75pt;mso-width-percent:0;mso-height-percent:0;mso-width-percent:0;mso-height-percent:0" o:ole="">
                  <v:imagedata r:id="rId22" o:title=""/>
                </v:shape>
                <o:OLEObject Type="Embed" ProgID="ChemDraw.Document.6.0" ShapeID="_x0000_i1030" DrawAspect="Content" ObjectID="_1706533560" r:id="rId23"/>
              </w:object>
            </w:r>
          </w:p>
        </w:tc>
        <w:tc>
          <w:tcPr>
            <w:tcW w:w="1276" w:type="dxa"/>
            <w:shd w:val="clear" w:color="auto" w:fill="auto"/>
            <w:vAlign w:val="center"/>
          </w:tcPr>
          <w:p w14:paraId="4DAEBE92" w14:textId="7B218EAB" w:rsidR="002A68CB" w:rsidRDefault="002A68CB" w:rsidP="002A68CB">
            <w:pPr>
              <w:spacing w:before="0" w:after="0"/>
              <w:jc w:val="center"/>
              <w:rPr>
                <w:rFonts w:cs="Times New Roman"/>
                <w:sz w:val="20"/>
                <w:szCs w:val="20"/>
              </w:rPr>
            </w:pPr>
            <w:r w:rsidRPr="003A3F6C">
              <w:rPr>
                <w:rFonts w:cs="Times New Roman"/>
                <w:sz w:val="20"/>
                <w:szCs w:val="20"/>
              </w:rPr>
              <w:t>28.9 ± 2.3</w:t>
            </w:r>
          </w:p>
        </w:tc>
        <w:tc>
          <w:tcPr>
            <w:tcW w:w="1417" w:type="dxa"/>
            <w:shd w:val="clear" w:color="auto" w:fill="auto"/>
            <w:vAlign w:val="center"/>
          </w:tcPr>
          <w:p w14:paraId="4187EE85" w14:textId="17366C0F"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43D1D7A8" w14:textId="356D69FD" w:rsidR="002A68CB" w:rsidRDefault="002A68CB" w:rsidP="002A68CB">
            <w:pPr>
              <w:spacing w:before="0" w:after="0" w:line="260" w:lineRule="exact"/>
              <w:jc w:val="center"/>
              <w:rPr>
                <w:rFonts w:cs="Times New Roman"/>
                <w:sz w:val="20"/>
                <w:szCs w:val="20"/>
              </w:rPr>
            </w:pPr>
            <w:r>
              <w:rPr>
                <w:rFonts w:cs="Times New Roman"/>
                <w:sz w:val="20"/>
                <w:szCs w:val="20"/>
              </w:rPr>
              <w:t>0.0</w:t>
            </w:r>
            <w:r w:rsidRPr="003A3F6C">
              <w:rPr>
                <w:rFonts w:cs="Times New Roman"/>
                <w:sz w:val="20"/>
                <w:szCs w:val="20"/>
              </w:rPr>
              <w:t xml:space="preserve">63 ± </w:t>
            </w:r>
            <w:r>
              <w:rPr>
                <w:rFonts w:cs="Times New Roman"/>
                <w:sz w:val="20"/>
                <w:szCs w:val="20"/>
              </w:rPr>
              <w:t>0.00</w:t>
            </w:r>
            <w:r w:rsidRPr="003A3F6C">
              <w:rPr>
                <w:rFonts w:cs="Times New Roman"/>
                <w:sz w:val="20"/>
                <w:szCs w:val="20"/>
              </w:rPr>
              <w:t>4</w:t>
            </w:r>
          </w:p>
        </w:tc>
        <w:tc>
          <w:tcPr>
            <w:tcW w:w="1701" w:type="dxa"/>
            <w:shd w:val="clear" w:color="auto" w:fill="auto"/>
            <w:vAlign w:val="center"/>
          </w:tcPr>
          <w:p w14:paraId="644B2218" w14:textId="77777777" w:rsidR="002A68CB" w:rsidRDefault="002A68CB" w:rsidP="002A68CB">
            <w:pPr>
              <w:spacing w:before="0" w:after="0"/>
              <w:jc w:val="center"/>
              <w:rPr>
                <w:rFonts w:cs="Times New Roman"/>
                <w:sz w:val="20"/>
                <w:szCs w:val="20"/>
              </w:rPr>
            </w:pPr>
            <w:r>
              <w:rPr>
                <w:rFonts w:cs="Times New Roman"/>
                <w:sz w:val="20"/>
                <w:szCs w:val="20"/>
              </w:rPr>
              <w:t>ND</w:t>
            </w:r>
          </w:p>
        </w:tc>
        <w:tc>
          <w:tcPr>
            <w:tcW w:w="1418" w:type="dxa"/>
            <w:shd w:val="clear" w:color="auto" w:fill="auto"/>
            <w:vAlign w:val="center"/>
          </w:tcPr>
          <w:p w14:paraId="3167D94C" w14:textId="77777777" w:rsidR="002A68CB" w:rsidRDefault="002A68CB" w:rsidP="002A68CB">
            <w:pPr>
              <w:spacing w:before="0" w:after="0"/>
              <w:jc w:val="center"/>
              <w:rPr>
                <w:rFonts w:cs="Times New Roman"/>
                <w:sz w:val="22"/>
                <w:szCs w:val="20"/>
              </w:rPr>
            </w:pPr>
            <w:r>
              <w:rPr>
                <w:rFonts w:cs="Times New Roman"/>
                <w:sz w:val="22"/>
                <w:szCs w:val="20"/>
              </w:rPr>
              <w:fldChar w:fldCharType="begin" w:fldLock="1"/>
            </w:r>
            <w:r>
              <w:rPr>
                <w:rFonts w:cs="Times New Roman"/>
                <w:sz w:val="22"/>
                <w:szCs w:val="20"/>
              </w:rPr>
              <w:instrText>ADDIN CSL_CITATION {"citationItems":[{"id":"ITEM-1","itemData":{"DOI":"10.1016/j.febslet.2005.12.069","ISSN":"00145793","PMID":"16406364","abstract":"12-Phenylacetyl-ricinoleoyl-vanillamide (phenylacetylrinvanil, PhAR, IDN5890), is an ultra-potent agonist of human vanilloid TRPV1 receptors also endowed with moderate affinity for human cannabinoid CB2 receptors. To improve its CB2 affinity and temper its potency at TRPV1, the modification of the polar headgroup and the lipophilic 12-acylgroup of PhAR was pursued. Replacement of the vanillyl headgroup of PhAR with various aromatic or alkyl amino groups decreased activity at TRPV1 receptors, although the dopamine, cyclopropylamine, 1′-(R)- and 1′-(S)-methyl-ethanolamine, and ethanolamine derivatives retained significant potency (EC50 31-126 nM). Within these compounds, the 12-phenylacetylricinoleyl cyclopropylamide and ethanolamide were the strongest ligands at CB2 receptors, with K i of 22 and 44 nM, and 14- and &gt;20-fold selectivity over cannabinoid CB1 receptors, respectively. The propyl- and allyl-derivatives also exhibited high affinity at CB2 receptors (Ki = 40 and 22 nM, with 40 and &gt;80-fold selectivity over CB 1 receptors, respectively), but no activity at TRPV1 receptors. The cyclopropyl- and allyl-derivatives behaved as CB2 inverse agonists in the GTP-γ-S binding assay. Addition of para-methoxy, -tert-butyl or -chlorine groups to the 12-phenylacetyl moiety of PhAR produced compounds that retained full potency at TRPV1 receptors, but with improved selectivity over CB2 or CB1 receptors. Thus, the manipulation of PhAR led to the development of the first CB2/TRPV1 dual ligands and of an entirely new class of inverse agonists at CB2 receptors. Both types of compounds might find application in the treatment of inflammation, and represent new molecular probes to investigate the endocannabinoid-endovanilloid signalling system. © 2005 Federation of European Biochemical Societies. Published by Elsevier B.V. All rights reserved.","author":[{"dropping-particle":"","family":"Appendino","given":"Giovanni","non-dropping-particle":"","parse-names":false,"suffix":""},{"dropping-particle":"","family":"Cascio","given":"Maria Grazia","non-dropping-particle":"","parse-names":false,"suffix":""},{"dropping-particle":"","family":"Bacchiega","given":"Sara","non-dropping-particle":"","parse-names":false,"suffix":""},{"dropping-particle":"","family":"Moriello","given":"Aniello Schiano","non-dropping-particle":"","parse-names":false,"suffix":""},{"dropping-particle":"","family":"Minassi","given":"Alberto","non-dropping-particle":"","parse-names":false,"suffix":""},{"dropping-particle":"","family":"Thomas","given":"Adèle","non-dropping-particle":"","parse-names":false,"suffix":""},{"dropping-particle":"","family":"Ross","given":"Ruth","non-dropping-particle":"","parse-names":false,"suffix":""},{"dropping-particle":"","family":"Pertwee","given":"Roger","non-dropping-particle":"","parse-names":false,"suffix":""},{"dropping-particle":"","family":"Petrocellis","given":"Luciano","non-dropping-particle":"De","parse-names":false,"suffix":""},{"dropping-particle":"","family":"Marzo","given":"Vincenzo","non-dropping-particle":"Di","parse-names":false,"suffix":""}],"container-title":"FEBS Letters","id":"ITEM-1","issue":"2","issued":{"date-parts":[["2006"]]},"page":"568-574","title":"First \"hybrid\" ligands of vanilloid TRPV1 and cannabinoid CB 2 receptors and non-polyunsaturated fatty acid-derived CB 2-selective ligands","type":"article-journal","volume":"580"},"uris":["http://www.mendeley.com/documents/?uuid=c8b9af8a-ad2c-48d2-b58f-9a0a6c4e8270"]}],"mendeley":{"formattedCitation":"(Appendino et al., 2006)","plainTextFormattedCitation":"(Appendino et al., 2006)","previouslyFormattedCitation":"(Appendino et al., 2006)"},"properties":{"noteIndex":0},"schema":"https://github.com/citation-style-language/schema/raw/master/csl-citation.json"}</w:instrText>
            </w:r>
            <w:r>
              <w:rPr>
                <w:rFonts w:cs="Times New Roman"/>
                <w:sz w:val="22"/>
                <w:szCs w:val="20"/>
              </w:rPr>
              <w:fldChar w:fldCharType="separate"/>
            </w:r>
            <w:r w:rsidRPr="0047403C">
              <w:rPr>
                <w:rFonts w:cs="Times New Roman"/>
                <w:noProof/>
                <w:sz w:val="22"/>
                <w:szCs w:val="20"/>
              </w:rPr>
              <w:t>(Appendino et al., 2006)</w:t>
            </w:r>
            <w:r>
              <w:rPr>
                <w:rFonts w:cs="Times New Roman"/>
                <w:sz w:val="22"/>
                <w:szCs w:val="20"/>
              </w:rPr>
              <w:fldChar w:fldCharType="end"/>
            </w:r>
          </w:p>
        </w:tc>
        <w:tc>
          <w:tcPr>
            <w:tcW w:w="1415" w:type="dxa"/>
            <w:vAlign w:val="center"/>
          </w:tcPr>
          <w:p w14:paraId="780805A2" w14:textId="77777777" w:rsidR="002A68CB" w:rsidRDefault="002A68CB" w:rsidP="002A68CB">
            <w:pPr>
              <w:spacing w:before="0" w:after="0"/>
              <w:jc w:val="center"/>
              <w:rPr>
                <w:rFonts w:cs="Times New Roman"/>
                <w:color w:val="212121"/>
                <w:sz w:val="20"/>
                <w:szCs w:val="20"/>
              </w:rPr>
            </w:pPr>
            <w:r>
              <w:rPr>
                <w:rFonts w:cs="Times New Roman"/>
                <w:sz w:val="20"/>
                <w:szCs w:val="20"/>
              </w:rPr>
              <w:t>22.0</w:t>
            </w:r>
            <w:r w:rsidRPr="00EE52FF">
              <w:rPr>
                <w:sz w:val="20"/>
                <w:szCs w:val="20"/>
              </w:rPr>
              <w:t xml:space="preserve"> </w:t>
            </w:r>
            <w:r w:rsidRPr="00EE52FF">
              <w:rPr>
                <w:rFonts w:cs="Times New Roman"/>
                <w:sz w:val="20"/>
                <w:szCs w:val="20"/>
              </w:rPr>
              <w:t>±</w:t>
            </w:r>
            <w:r>
              <w:rPr>
                <w:rFonts w:cs="Times New Roman"/>
                <w:sz w:val="20"/>
                <w:szCs w:val="20"/>
              </w:rPr>
              <w:t xml:space="preserve"> 3.0</w:t>
            </w:r>
          </w:p>
        </w:tc>
        <w:tc>
          <w:tcPr>
            <w:tcW w:w="1701" w:type="dxa"/>
            <w:vAlign w:val="center"/>
          </w:tcPr>
          <w:p w14:paraId="66CD0D90" w14:textId="2F128632" w:rsidR="002A68CB" w:rsidRPr="00A42C4D" w:rsidRDefault="002A68CB" w:rsidP="002A68CB">
            <w:pPr>
              <w:spacing w:before="0" w:after="0"/>
              <w:jc w:val="center"/>
              <w:rPr>
                <w:rFonts w:cs="Times New Roman"/>
                <w:sz w:val="20"/>
                <w:szCs w:val="20"/>
              </w:rPr>
            </w:pPr>
            <w:r>
              <w:rPr>
                <w:rFonts w:cs="Times New Roman"/>
                <w:sz w:val="20"/>
                <w:szCs w:val="20"/>
              </w:rPr>
              <w:t>Inverse Agonist</w:t>
            </w:r>
            <w:r w:rsidRPr="009F714F">
              <w:rPr>
                <w:rFonts w:cs="Times New Roman"/>
                <w:sz w:val="20"/>
                <w:szCs w:val="20"/>
                <w:vertAlign w:val="superscript"/>
              </w:rPr>
              <w:t>#</w:t>
            </w:r>
            <w:r>
              <w:rPr>
                <w:rFonts w:cs="Times New Roman"/>
                <w:sz w:val="20"/>
                <w:szCs w:val="20"/>
                <w:vertAlign w:val="superscript"/>
              </w:rPr>
              <w:t>#</w:t>
            </w:r>
          </w:p>
        </w:tc>
        <w:tc>
          <w:tcPr>
            <w:tcW w:w="1418" w:type="dxa"/>
            <w:vAlign w:val="center"/>
          </w:tcPr>
          <w:p w14:paraId="638E34F0" w14:textId="77777777" w:rsidR="002A68CB" w:rsidRDefault="002A68CB" w:rsidP="002A68CB">
            <w:pPr>
              <w:spacing w:before="0" w:after="0"/>
              <w:jc w:val="center"/>
              <w:rPr>
                <w:rFonts w:cs="Times New Roman"/>
                <w:sz w:val="22"/>
                <w:szCs w:val="20"/>
              </w:rPr>
            </w:pPr>
            <w:r>
              <w:rPr>
                <w:rFonts w:cs="Times New Roman"/>
                <w:sz w:val="22"/>
                <w:szCs w:val="20"/>
              </w:rPr>
              <w:fldChar w:fldCharType="begin" w:fldLock="1"/>
            </w:r>
            <w:r>
              <w:rPr>
                <w:rFonts w:cs="Times New Roman"/>
                <w:sz w:val="22"/>
                <w:szCs w:val="20"/>
              </w:rPr>
              <w:instrText>ADDIN CSL_CITATION {"citationItems":[{"id":"ITEM-1","itemData":{"DOI":"10.1016/j.febslet.2005.12.069","ISSN":"00145793","PMID":"16406364","abstract":"12-Phenylacetyl-ricinoleoyl-vanillamide (phenylacetylrinvanil, PhAR, IDN5890), is an ultra-potent agonist of human vanilloid TRPV1 receptors also endowed with moderate affinity for human cannabinoid CB2 receptors. To improve its CB2 affinity and temper its potency at TRPV1, the modification of the polar headgroup and the lipophilic 12-acylgroup of PhAR was pursued. Replacement of the vanillyl headgroup of PhAR with various aromatic or alkyl amino groups decreased activity at TRPV1 receptors, although the dopamine, cyclopropylamine, 1′-(R)- and 1′-(S)-methyl-ethanolamine, and ethanolamine derivatives retained significant potency (EC50 31-126 nM). Within these compounds, the 12-phenylacetylricinoleyl cyclopropylamide and ethanolamide were the strongest ligands at CB2 receptors, with K i of 22 and 44 nM, and 14- and &gt;20-fold selectivity over cannabinoid CB1 receptors, respectively. The propyl- and allyl-derivatives also exhibited high affinity at CB2 receptors (Ki = 40 and 22 nM, with 40 and &gt;80-fold selectivity over CB 1 receptors, respectively), but no activity at TRPV1 receptors. The cyclopropyl- and allyl-derivatives behaved as CB2 inverse agonists in the GTP-γ-S binding assay. Addition of para-methoxy, -tert-butyl or -chlorine groups to the 12-phenylacetyl moiety of PhAR produced compounds that retained full potency at TRPV1 receptors, but with improved selectivity over CB2 or CB1 receptors. Thus, the manipulation of PhAR led to the development of the first CB2/TRPV1 dual ligands and of an entirely new class of inverse agonists at CB2 receptors. Both types of compounds might find application in the treatment of inflammation, and represent new molecular probes to investigate the endocannabinoid-endovanilloid signalling system. © 2005 Federation of European Biochemical Societies. Published by Elsevier B.V. All rights reserved.","author":[{"dropping-particle":"","family":"Appendino","given":"Giovanni","non-dropping-particle":"","parse-names":false,"suffix":""},{"dropping-particle":"","family":"Cascio","given":"Maria Grazia","non-dropping-particle":"","parse-names":false,"suffix":""},{"dropping-particle":"","family":"Bacchiega","given":"Sara","non-dropping-particle":"","parse-names":false,"suffix":""},{"dropping-particle":"","family":"Moriello","given":"Aniello Schiano","non-dropping-particle":"","parse-names":false,"suffix":""},{"dropping-particle":"","family":"Minassi","given":"Alberto","non-dropping-particle":"","parse-names":false,"suffix":""},{"dropping-particle":"","family":"Thomas","given":"Adèle","non-dropping-particle":"","parse-names":false,"suffix":""},{"dropping-particle":"","family":"Ross","given":"Ruth","non-dropping-particle":"","parse-names":false,"suffix":""},{"dropping-particle":"","family":"Pertwee","given":"Roger","non-dropping-particle":"","parse-names":false,"suffix":""},{"dropping-particle":"","family":"Petrocellis","given":"Luciano","non-dropping-particle":"De","parse-names":false,"suffix":""},{"dropping-particle":"","family":"Marzo","given":"Vincenzo","non-dropping-particle":"Di","parse-names":false,"suffix":""}],"container-title":"FEBS Letters","id":"ITEM-1","issue":"2","issued":{"date-parts":[["2006"]]},"page":"568-574","title":"First \"hybrid\" ligands of vanilloid TRPV1 and cannabinoid CB 2 receptors and non-polyunsaturated fatty acid-derived CB 2-selective ligands","type":"article-journal","volume":"580"},"uris":["http://www.mendeley.com/documents/?uuid=c8b9af8a-ad2c-48d2-b58f-9a0a6c4e8270"]}],"mendeley":{"formattedCitation":"(Appendino et al., 2006)","plainTextFormattedCitation":"(Appendino et al., 2006)","previouslyFormattedCitation":"(Appendino et al., 2006)"},"properties":{"noteIndex":0},"schema":"https://github.com/citation-style-language/schema/raw/master/csl-citation.json"}</w:instrText>
            </w:r>
            <w:r>
              <w:rPr>
                <w:rFonts w:cs="Times New Roman"/>
                <w:sz w:val="22"/>
                <w:szCs w:val="20"/>
              </w:rPr>
              <w:fldChar w:fldCharType="separate"/>
            </w:r>
            <w:r w:rsidRPr="0047403C">
              <w:rPr>
                <w:rFonts w:cs="Times New Roman"/>
                <w:noProof/>
                <w:sz w:val="22"/>
                <w:szCs w:val="20"/>
              </w:rPr>
              <w:t>(Appendino et al., 2006)</w:t>
            </w:r>
            <w:r>
              <w:rPr>
                <w:rFonts w:cs="Times New Roman"/>
                <w:sz w:val="22"/>
                <w:szCs w:val="20"/>
              </w:rPr>
              <w:fldChar w:fldCharType="end"/>
            </w:r>
          </w:p>
        </w:tc>
      </w:tr>
      <w:tr w:rsidR="002A68CB" w:rsidRPr="00EE52FF" w14:paraId="1A39D347" w14:textId="77777777" w:rsidTr="003C203B">
        <w:trPr>
          <w:trHeight w:val="312"/>
          <w:jc w:val="center"/>
        </w:trPr>
        <w:tc>
          <w:tcPr>
            <w:tcW w:w="14452" w:type="dxa"/>
            <w:gridSpan w:val="9"/>
            <w:shd w:val="clear" w:color="auto" w:fill="D9D9D9" w:themeFill="background1" w:themeFillShade="D9"/>
            <w:vAlign w:val="center"/>
          </w:tcPr>
          <w:p w14:paraId="25FDF201" w14:textId="13B7672B" w:rsidR="002A68CB" w:rsidRDefault="002A68CB" w:rsidP="002A68CB">
            <w:pPr>
              <w:spacing w:before="0" w:after="0"/>
              <w:jc w:val="center"/>
              <w:rPr>
                <w:rFonts w:cs="Times New Roman"/>
                <w:sz w:val="22"/>
                <w:szCs w:val="20"/>
              </w:rPr>
            </w:pPr>
            <w:r>
              <w:rPr>
                <w:rFonts w:cs="Times New Roman"/>
                <w:b/>
                <w:i/>
                <w:sz w:val="20"/>
                <w:szCs w:val="20"/>
              </w:rPr>
              <w:t>Phytocannabinoids</w:t>
            </w:r>
            <w:r w:rsidRPr="003C203B">
              <w:rPr>
                <w:rFonts w:cs="Times New Roman"/>
                <w:b/>
                <w:i/>
                <w:sz w:val="20"/>
                <w:szCs w:val="20"/>
              </w:rPr>
              <w:t xml:space="preserve"> an</w:t>
            </w:r>
            <w:r>
              <w:rPr>
                <w:rFonts w:cs="Times New Roman"/>
                <w:b/>
                <w:i/>
                <w:sz w:val="20"/>
                <w:szCs w:val="20"/>
              </w:rPr>
              <w:t>d phyt</w:t>
            </w:r>
            <w:r w:rsidRPr="003C203B">
              <w:rPr>
                <w:rFonts w:cs="Times New Roman"/>
                <w:b/>
                <w:i/>
                <w:sz w:val="20"/>
                <w:szCs w:val="20"/>
              </w:rPr>
              <w:t>ocannabinoid-like molecules</w:t>
            </w:r>
          </w:p>
        </w:tc>
      </w:tr>
      <w:tr w:rsidR="002A68CB" w:rsidRPr="00EE52FF" w14:paraId="0BAEEC53" w14:textId="77777777" w:rsidTr="003C203B">
        <w:trPr>
          <w:trHeight w:val="537"/>
          <w:jc w:val="center"/>
        </w:trPr>
        <w:tc>
          <w:tcPr>
            <w:tcW w:w="1974" w:type="dxa"/>
            <w:shd w:val="clear" w:color="auto" w:fill="auto"/>
            <w:vAlign w:val="center"/>
          </w:tcPr>
          <w:p w14:paraId="4E891CAC"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CBD</w:t>
            </w:r>
          </w:p>
        </w:tc>
        <w:tc>
          <w:tcPr>
            <w:tcW w:w="2132" w:type="dxa"/>
            <w:vAlign w:val="center"/>
          </w:tcPr>
          <w:p w14:paraId="5FCD7DD1" w14:textId="517B36F9" w:rsidR="002A68CB" w:rsidRPr="00EE52FF" w:rsidRDefault="00604871" w:rsidP="002A68CB">
            <w:pPr>
              <w:spacing w:before="0" w:after="0"/>
              <w:jc w:val="center"/>
              <w:rPr>
                <w:rFonts w:cs="Times New Roman"/>
                <w:sz w:val="20"/>
                <w:szCs w:val="20"/>
              </w:rPr>
            </w:pPr>
            <w:r>
              <w:rPr>
                <w:noProof/>
              </w:rPr>
              <w:object w:dxaOrig="2570" w:dyaOrig="1586" w14:anchorId="17E2F53B">
                <v:shape id="_x0000_i1031" type="#_x0000_t75" alt="" style="width:73.5pt;height:46.45pt;mso-width-percent:0;mso-height-percent:0;mso-width-percent:0;mso-height-percent:0" o:ole="">
                  <v:imagedata r:id="rId24" o:title=""/>
                </v:shape>
                <o:OLEObject Type="Embed" ProgID="ChemDraw.Document.6.0" ShapeID="_x0000_i1031" DrawAspect="Content" ObjectID="_1706533561" r:id="rId25"/>
              </w:object>
            </w:r>
          </w:p>
        </w:tc>
        <w:tc>
          <w:tcPr>
            <w:tcW w:w="1276" w:type="dxa"/>
            <w:shd w:val="clear" w:color="auto" w:fill="auto"/>
            <w:vAlign w:val="center"/>
          </w:tcPr>
          <w:p w14:paraId="7D1DC26E" w14:textId="192C9E9C" w:rsidR="002A68CB" w:rsidRPr="00EE52FF" w:rsidRDefault="002A68CB" w:rsidP="002A68CB">
            <w:pPr>
              <w:spacing w:before="0" w:after="0"/>
              <w:jc w:val="center"/>
              <w:rPr>
                <w:rFonts w:cs="Times New Roman"/>
                <w:sz w:val="20"/>
                <w:szCs w:val="20"/>
              </w:rPr>
            </w:pPr>
            <w:r w:rsidRPr="00EE52FF">
              <w:rPr>
                <w:rFonts w:cs="Times New Roman"/>
                <w:sz w:val="20"/>
                <w:szCs w:val="20"/>
              </w:rPr>
              <w:t>44.7 ± 0.02</w:t>
            </w:r>
          </w:p>
        </w:tc>
        <w:tc>
          <w:tcPr>
            <w:tcW w:w="1417" w:type="dxa"/>
            <w:shd w:val="clear" w:color="auto" w:fill="auto"/>
            <w:vAlign w:val="center"/>
          </w:tcPr>
          <w:p w14:paraId="3F776DC1"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9B8EEE4" w14:textId="662FB65C"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1.0 ± 0.1</w:t>
            </w:r>
          </w:p>
        </w:tc>
        <w:tc>
          <w:tcPr>
            <w:tcW w:w="1701" w:type="dxa"/>
            <w:shd w:val="clear" w:color="auto" w:fill="auto"/>
            <w:vAlign w:val="center"/>
          </w:tcPr>
          <w:p w14:paraId="46B1A7A0"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0.6 ± 0.05</w:t>
            </w:r>
          </w:p>
        </w:tc>
        <w:tc>
          <w:tcPr>
            <w:tcW w:w="1418" w:type="dxa"/>
            <w:shd w:val="clear" w:color="auto" w:fill="auto"/>
            <w:vAlign w:val="center"/>
          </w:tcPr>
          <w:p w14:paraId="28787646"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{"citationItems":[{"id":"ITEM-1","itemData":{"DOI":"10.1111/bph.2011.163.issue-7","ISBN":"1476-5381 (Electronic)\\r0007-1188 (Linking)","ISSN":"00071188","PMID":"21175579","abstract":"BACKGROUND AND PURPOSE: Cannabidiol (CBD) and Delta(9) -tetrahydrocannabinol (THC) interact with transient receptor potential (TRP) channels and enzymes of the endocannabinoid system. EXPERIMENTAL APPROACH: The effects of 11 pure cannabinoids and botanical extracts [botanical drug substance (BDS)] from Cannabis varieties selected to contain a more abundant cannabinoid, on TRPV1, TRPV2, TRPM8, TRPA1, human recombinant diacylglycerol lipase alpha (DAGLalpha), rat brain fatty acid amide hydrolase (FAAH), COS cell monoacylglycerol lipase (MAGL), human recombinant N-acylethanolamine acid amide hydrolase (NAAA) and anandamide cellular uptake (ACU) by RBL-2H3 cells, were studied using fluorescence-based calcium assays in transfected cells and radiolabelled substrate-based enzymatic assays. Cannabinol (CBN), cannabichromene (CBC), the acids (CBDA, CBGA, THCA) and propyl homologues (CBDV, CBGV, THCV) of CBD, cannabigerol (CBG) and THC, and tetrahydrocannabivarin acid (THCVA) were also tested. KEY RESULTS: CBD, CBG, CBGV and THCV stimulated and desensitized human TRPV1. CBC, CBD and CBN were potent rat TRPA1 agonists and desensitizers, but THCV-BDS was the most potent compound at this target. CBG-BDS and THCV-BDS were the most potent rat TRPM8 antagonists. All non-acid cannabinoids, except CBC and CBN, potently activated and desensitized rat TRPV2. CBDV and all the acids inhibited DAGLalpha. Some BDS, but not the pure compounds, inhibited MAGL. CBD was the only compound to inhibit FAAH, whereas the BDS of CBC &gt; CBG &gt; CBGV inhibited NAAA. CBC = CBG &gt; CBD inhibited ACU, as did the BDS of THCVA, CBGV, CBDA and THCA, but the latter extracts were more potent inhibitors. CONCLUSIONS AND IMPLICATIONS: These results are relevant to the analgesic, anti-inflammatory and anti-cancer effects of cannabinoids and Cannabis extracts.","author":[{"dropping-particle":"","family":"Petrocellis","given":"Luciano","non-dropping-particle":"De","parse-names":false,"suffix":""},{"dropping-particle":"","family":"Ligresti","given":"Alessia","non-dropping-particle":"","parse-names":false,"suffix":""},{"dropping-particle":"","family":"Moriello","given":"Aniello Schiano","non-dropping-particle":"","parse-names":false,"suffix":""},{"dropping-particle":"","family":"Allar??","given":"Marco","non-dropping-particle":"","parse-names":false,"suffix":""},{"dropping-particle":"","family":"Bisogno","given":"Tiziana","non-dropping-particle":"","parse-names":false,"suffix":""},{"dropping-particle":"","family":"Petrosino","given":"Stefania","non-dropping-particle":"","parse-names":false,"suffix":""},{"dropping-particle":"","family":"Stott","given":"Colin G","non-dropping-particle":"","parse-names":false,"suffix":""},{"dropping-particle":"","family":"Marzo","given":"Vincenzo","non-dropping-particle":"Di","parse-names":false,"suffix":""}],"container-title":"British Journal of Pharmacology","edition":"2010/12/24","id":"ITEM-1","issue":"7","issued":{"date-parts":[["2011","8"]]},"language":"eng","page":"1479-1494","title":"Effects of cannabinoids and cannabinoid-enriched Cannabis extracts on TRP channels and endocannabinoid metabolic enzymes","title-short":"Effects of cannabinoids and cannabinoid-enriched C","type":"article-journal","volume":"163"},"uris":["http://www.mendeley.com/documents/?uuid=a488d38f-fd61-45f0-8bc1-0f54581b78ae"]}],"mendeley":{"formattedCitation":"(De Petrocellis et al., 2011)","plainTextFormattedCitation":"(De Petrocellis et al., 2011)","previouslyFormattedCitation":"(De Petrocellis et al., 2011)"},"properties":{"noteIndex":0},"schema":"https://github.com/citation-style-language/schema/raw/master/csl-citation.json"}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(De Petrocellis et al., 2011)</w:t>
            </w:r>
            <w:r w:rsidRPr="00EE52FF">
              <w:rPr>
                <w:rFonts w:cs="Times New Roman"/>
                <w:sz w:val="20"/>
                <w:szCs w:val="20"/>
              </w:rPr>
              <w:fldChar w:fldCharType="end"/>
            </w:r>
          </w:p>
        </w:tc>
        <w:tc>
          <w:tcPr>
            <w:tcW w:w="1415" w:type="dxa"/>
            <w:vAlign w:val="center"/>
          </w:tcPr>
          <w:p w14:paraId="305E2A68" w14:textId="77777777" w:rsidR="002A68CB" w:rsidRPr="00EE52FF" w:rsidRDefault="002A68CB" w:rsidP="002A68CB">
            <w:pPr>
              <w:spacing w:before="0" w:after="0"/>
              <w:jc w:val="center"/>
              <w:rPr>
                <w:rFonts w:cs="Times New Roman"/>
                <w:sz w:val="20"/>
                <w:szCs w:val="20"/>
              </w:rPr>
            </w:pPr>
            <w:r w:rsidRPr="0058774D">
              <w:rPr>
                <w:rFonts w:cs="Times New Roman"/>
                <w:sz w:val="20"/>
                <w:szCs w:val="20"/>
              </w:rPr>
              <w:t>240 (24–560)</w:t>
            </w:r>
          </w:p>
        </w:tc>
        <w:tc>
          <w:tcPr>
            <w:tcW w:w="1701" w:type="dxa"/>
            <w:vAlign w:val="center"/>
          </w:tcPr>
          <w:p w14:paraId="76D56A88" w14:textId="77777777" w:rsidR="002A68CB" w:rsidRDefault="002A68CB" w:rsidP="002A68CB">
            <w:pPr>
              <w:spacing w:before="0" w:after="0"/>
              <w:jc w:val="center"/>
              <w:rPr>
                <w:rFonts w:cs="Times New Roman"/>
                <w:sz w:val="20"/>
                <w:szCs w:val="20"/>
              </w:rPr>
            </w:pPr>
          </w:p>
          <w:p w14:paraId="509282F6" w14:textId="77777777" w:rsidR="002A68CB" w:rsidRPr="00DF52F4" w:rsidRDefault="002A68CB" w:rsidP="002A68CB">
            <w:pPr>
              <w:spacing w:before="0" w:after="0"/>
              <w:jc w:val="center"/>
              <w:rPr>
                <w:rFonts w:cs="Times New Roman"/>
                <w:sz w:val="18"/>
                <w:szCs w:val="20"/>
              </w:rPr>
            </w:pPr>
            <w:r w:rsidRPr="00DF52F4">
              <w:rPr>
                <w:rFonts w:cs="Times New Roman"/>
                <w:sz w:val="20"/>
                <w:szCs w:val="20"/>
              </w:rPr>
              <w:t>Partial Agonist and NAM</w:t>
            </w:r>
            <w:r w:rsidRPr="00DF52F4">
              <w:rPr>
                <w:rFonts w:cs="Times New Roman"/>
                <w:sz w:val="18"/>
                <w:szCs w:val="20"/>
              </w:rPr>
              <w:t xml:space="preserve"> </w:t>
            </w:r>
          </w:p>
          <w:p w14:paraId="7EB956E6" w14:textId="77777777" w:rsidR="002A68CB" w:rsidRPr="00EE52FF" w:rsidRDefault="002A68CB" w:rsidP="002A68CB">
            <w:pPr>
              <w:spacing w:before="0" w:after="0"/>
              <w:jc w:val="center"/>
              <w:rPr>
                <w:rFonts w:cs="Times New Roman"/>
                <w:sz w:val="20"/>
                <w:szCs w:val="20"/>
              </w:rPr>
            </w:pPr>
            <w:r w:rsidRPr="00DF52F4">
              <w:rPr>
                <w:rFonts w:cs="Times New Roman"/>
                <w:sz w:val="20"/>
                <w:szCs w:val="20"/>
              </w:rPr>
              <w:t>50.1 ± 3.6</w:t>
            </w:r>
            <w:r w:rsidRPr="00DF52F4">
              <w:rPr>
                <w:rFonts w:cs="Times New Roman"/>
                <w:sz w:val="20"/>
                <w:szCs w:val="20"/>
                <w:vertAlign w:val="superscript"/>
              </w:rPr>
              <w:t>###</w:t>
            </w:r>
          </w:p>
        </w:tc>
        <w:tc>
          <w:tcPr>
            <w:tcW w:w="1418" w:type="dxa"/>
            <w:vAlign w:val="center"/>
          </w:tcPr>
          <w:p w14:paraId="2747C08C" w14:textId="1BD855AC"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sidR="00B340B5">
              <w:rPr>
                <w:rFonts w:cs="Times New Roman"/>
                <w:sz w:val="20"/>
                <w:szCs w:val="20"/>
              </w:rPr>
              <w:instrText>ADDIN CSL_CITATION {"citationItems":[{"id":"ITEM-1","itemData":{"DOI":"10.1021/acs.jmedchem.1c00561","ISSN":"0022-2623","author":[{"dropping-particle":"","family":"Navarro","given":"Gemma","non-dropping-particle":"","parse-names":false,"suffix":""},{"dropping-particle":"","family":"Gonzalez","given":"Angel","non-dropping-particle":"","parse-names":false,"suffix":""},{"dropping-particle":"","family":"Sánchez-Morales","given":"Adrià","non-dropping-particle":"","parse-names":false,"suffix":""},{"dropping-particle":"","family":"Casajuana-Martin","given":"Nil","non-dropping-particle":"","parse-names":false,"suffix":""},{"dropping-particle":"","family":"Gómez-Ventura","given":"Marc","non-dropping-particle":"","parse-names":false,"suffix":""},{"dropping-particle":"","family":"Cordomí","given":"Arnau","non-dropping-particle":"","parse-names":false,"suffix":""},{"dropping-particle":"","family":"Busqué","given":"Félix","non-dropping-particle":"","parse-names":false,"suffix":""},{"dropping-particle":"","family":"Alibés","given":"Ramon","non-dropping-particle":"","parse-names":false,"suffix":""},{"dropping-particle":"","family":"Pardo","given":"Leonardo","non-dropping-particle":"","parse-names":false,"suffix":""},{"dropping-particle":"","family":"Franco","given":"Rafael","non-dropping-particle":"","parse-names":false,"suffix":""}],"container-title":"Journal of Medicinal Chemistry","id":"ITEM-1","issue":"13","issued":{"date-parts":[["2021","7","8"]]},"page":"9354-9364","title":"Design of Negative and Positive Allosteric Modulators of the Cannabinoid CB 2 Receptor Derived from the Natural Product Cannabidiol","type":"article-journal","volume":"64"},"uris":["http://www.mendeley.com/documents/?uuid=9a72f40e-403f-4f3a-8eb0-f24c883d45b8"]},{"id":"ITEM-2","itemData":{"DOI":"10.1038/s41598-020-77175-y","ISBN":"0123456789","ISSN":"20452322","PMID":"33230154","abstract":"The Cannabis sativa plant contains more than 120 cannabinoids. With the exceptions of ∆9-tetrahydrocannabinol (∆9-THC) and cannabidiol (CBD), comparatively little is known about the pharmacology of the less-abundant plant-derived (phyto) cannabinoids. The best-studied transducers of cannabinoid-dependent effects are type 1 and type 2 cannabinoid receptors (CB1R, CB2R). Partial agonism of CB1R by ∆9-THC is known to bring about the ‘high’ associated with Cannabis use, as well as the pain-, appetite-, and anxiety-modulating effects that are potentially therapeutic. CB2R activation by certain cannabinoids has been associated with anti-inflammatory activities. We assessed the activity of 8 phytocannabinoids at human CB1R, and CB2R in Chinese hamster ovary (CHO) cells stably expressing these receptors and in C57BL/6 mice in an attempt to better understand their pharmacodynamics. Specifically, ∆9-THC, ∆9-tetrahydrocannabinolic acid (∆9-THCa), ∆9-tetrahydrocannabivarin (THCV), CBD, cannabidiolic acid (CBDa), cannabidivarin (CBDV), cannabigerol (CBG), and cannabichromene (CBC) were evaluated. Compounds were assessed for their affinity to receptors, ability to inhibit cAMP accumulation, βarrestin2 recruitment, receptor selectivity, and ligand bias in cell culture; and cataleptic, hypothermic, anti-nociceptive, hypolocomotive, and anxiolytic effects in mice. Our data reveal partial agonist activity for many phytocannabinoids tested at CB1R and/or CB2R, as well as in vivo responses often associated with activation of CB1R. These data build on the growing body of literature showing cannabinoid receptor-dependent pharmacology for these less-abundant phytocannabinoids and are critical in understanding the complex and interactive pharmacology of Cannabis-derived molecules.","author":[{"dropping-particle":"","family":"Zagzoog","given":"Ayat","non-dropping-particle":"","parse-names":false,"suffix":""},{"dropping-particle":"","family":"Mohamed","given":"Kawthar A.","non-dropping-particle":"","parse-names":false,"suffix":""},{"dropping-particle":"","family":"Kim","given":"Hye Ji J.","non-dropping-particle":"","parse-names":false,"suffix":""},{"dropping-particle":"","family":"Kim","given":"Eunhyun D.","non-dropping-particle":"","parse-names":false,"suffix":""},{"dropping-particle":"","family":"Frank","given":"Connor S.","non-dropping-particle":"","parse-names":false,"suffix":""},{"dropping-particle":"","family":"Black","given":"Tallan","non-dropping-particle":"","parse-names":false,"suffix":""},{"dropping-particle":"","family":"Jadhav","given":"Pramodkumar D.","non-dropping-particle":"","parse-names":false,"suffix":""},{"dropping-particle":"","family":"Holbrook","given":"Larry A.","non-dropping-particle":"","parse-names":false,"suffix":""},{"dropping-particle":"","family":"Laprairie","given":"Robert B.","non-dropping-particle":"","parse-names":false,"suffix":""}],"container-title":"Scientific Reports","id":"ITEM-2","issue":"1","issued":{"date-parts":[["2020"]]},"page":"1-13","publisher":"Nature Publishing Group UK","title":"In vitro and in vivo pharmacological activity of minor cannabinoids isolated from Cannabis sativa","type":"article-journal","volume":"10"},"uris":["http://www.mendeley.com/documents/?uuid=2084794e-b5af-4388-bac6-3c7e870c00e7"]}],"mendeley":{"formattedCitation":"(Navarro et al., 2021; Zagzoog et al., 2020)","plainTextFormattedCitation":"(Navarro et al., 2021; Zagzoog et al., 2020)","previouslyFormattedCitation":"(Navarro et al., 2021; Zagzoog et al., 2020)"},"properties":{"noteIndex":0},"schema":"https://github.com/citation-style-language/schema/raw/master/csl-citation.json"}</w:instrText>
            </w:r>
            <w:r>
              <w:rPr>
                <w:rFonts w:cs="Times New Roman"/>
                <w:sz w:val="20"/>
                <w:szCs w:val="20"/>
              </w:rPr>
              <w:fldChar w:fldCharType="separate"/>
            </w:r>
            <w:r w:rsidR="00B340B5" w:rsidRPr="00B340B5">
              <w:rPr>
                <w:rFonts w:cs="Times New Roman"/>
                <w:noProof/>
                <w:sz w:val="20"/>
                <w:szCs w:val="20"/>
              </w:rPr>
              <w:t>(Navarro et al., 2021; Zagzoog et al., 2020)</w:t>
            </w:r>
            <w:r>
              <w:rPr>
                <w:rFonts w:cs="Times New Roman"/>
                <w:sz w:val="20"/>
                <w:szCs w:val="20"/>
              </w:rPr>
              <w:fldChar w:fldCharType="end"/>
            </w:r>
          </w:p>
        </w:tc>
      </w:tr>
      <w:tr w:rsidR="002A68CB" w:rsidRPr="00EE52FF" w14:paraId="2E0F0B27" w14:textId="77777777" w:rsidTr="003C203B">
        <w:trPr>
          <w:trHeight w:val="537"/>
          <w:jc w:val="center"/>
        </w:trPr>
        <w:tc>
          <w:tcPr>
            <w:tcW w:w="1974" w:type="dxa"/>
            <w:shd w:val="clear" w:color="auto" w:fill="auto"/>
            <w:vAlign w:val="center"/>
          </w:tcPr>
          <w:p w14:paraId="50ACDF7A"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lastRenderedPageBreak/>
              <w:t>CBDA</w:t>
            </w:r>
          </w:p>
        </w:tc>
        <w:tc>
          <w:tcPr>
            <w:tcW w:w="2132" w:type="dxa"/>
            <w:vAlign w:val="center"/>
          </w:tcPr>
          <w:p w14:paraId="3D2BC75A" w14:textId="119FB5A9" w:rsidR="002A68CB" w:rsidRPr="00EE52FF" w:rsidRDefault="00604871" w:rsidP="002A68CB">
            <w:pPr>
              <w:spacing w:before="0" w:after="0"/>
              <w:jc w:val="center"/>
              <w:rPr>
                <w:rFonts w:cs="Times New Roman"/>
                <w:sz w:val="20"/>
                <w:szCs w:val="20"/>
              </w:rPr>
            </w:pPr>
            <w:r>
              <w:rPr>
                <w:noProof/>
              </w:rPr>
              <w:object w:dxaOrig="2572" w:dyaOrig="1585" w14:anchorId="53A4933C">
                <v:shape id="_x0000_i1032" type="#_x0000_t75" alt="" style="width:75.75pt;height:47.25pt;mso-width-percent:0;mso-height-percent:0;mso-width-percent:0;mso-height-percent:0" o:ole="">
                  <v:imagedata r:id="rId26" o:title=""/>
                </v:shape>
                <o:OLEObject Type="Embed" ProgID="ChemDraw.Document.6.0" ShapeID="_x0000_i1032" DrawAspect="Content" ObjectID="_1706533562" r:id="rId27"/>
              </w:object>
            </w:r>
          </w:p>
        </w:tc>
        <w:tc>
          <w:tcPr>
            <w:tcW w:w="1276" w:type="dxa"/>
            <w:shd w:val="clear" w:color="auto" w:fill="auto"/>
            <w:vAlign w:val="center"/>
          </w:tcPr>
          <w:p w14:paraId="1306356C" w14:textId="6960AF23" w:rsidR="002A68CB" w:rsidRPr="00EE52FF" w:rsidRDefault="002A68CB" w:rsidP="002A68CB">
            <w:pPr>
              <w:spacing w:before="0" w:after="0"/>
              <w:jc w:val="center"/>
              <w:rPr>
                <w:rFonts w:cs="Times New Roman"/>
                <w:sz w:val="20"/>
                <w:szCs w:val="20"/>
              </w:rPr>
            </w:pPr>
            <w:r w:rsidRPr="00EE52FF">
              <w:rPr>
                <w:rFonts w:cs="Times New Roman"/>
                <w:sz w:val="20"/>
                <w:szCs w:val="20"/>
              </w:rPr>
              <w:t>&lt;10</w:t>
            </w:r>
          </w:p>
        </w:tc>
        <w:tc>
          <w:tcPr>
            <w:tcW w:w="1417" w:type="dxa"/>
            <w:shd w:val="clear" w:color="auto" w:fill="auto"/>
            <w:vAlign w:val="center"/>
          </w:tcPr>
          <w:p w14:paraId="429C5667" w14:textId="49227D02"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03C2B80" w14:textId="69642996"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19.7 ± 3.9</w:t>
            </w:r>
          </w:p>
        </w:tc>
        <w:tc>
          <w:tcPr>
            <w:tcW w:w="1701" w:type="dxa"/>
            <w:shd w:val="clear" w:color="auto" w:fill="auto"/>
            <w:vAlign w:val="center"/>
          </w:tcPr>
          <w:p w14:paraId="4F5DC157"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89.1 ± 0.3</w:t>
            </w:r>
          </w:p>
        </w:tc>
        <w:tc>
          <w:tcPr>
            <w:tcW w:w="1418" w:type="dxa"/>
            <w:shd w:val="clear" w:color="auto" w:fill="auto"/>
            <w:vAlign w:val="center"/>
          </w:tcPr>
          <w:p w14:paraId="5ACEF98D"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{"citationItems":[{"id":"ITEM-1","itemData":{"DOI":"10.1111/bph.2011.163.issue-7","ISBN":"1476-5381 (Electronic)\\r0007-1188 (Linking)","ISSN":"00071188","PMID":"21175579","abstract":"BACKGROUND AND PURPOSE: Cannabidiol (CBD) and Delta(9) -tetrahydrocannabinol (THC) interact with transient receptor potential (TRP) channels and enzymes of the endocannabinoid system. EXPERIMENTAL APPROACH: The effects of 11 pure cannabinoids and botanical extracts [botanical drug substance (BDS)] from Cannabis varieties selected to contain a more abundant cannabinoid, on TRPV1, TRPV2, TRPM8, TRPA1, human recombinant diacylglycerol lipase alpha (DAGLalpha), rat brain fatty acid amide hydrolase (FAAH), COS cell monoacylglycerol lipase (MAGL), human recombinant N-acylethanolamine acid amide hydrolase (NAAA) and anandamide cellular uptake (ACU) by RBL-2H3 cells, were studied using fluorescence-based calcium assays in transfected cells and radiolabelled substrate-based enzymatic assays. Cannabinol (CBN), cannabichromene (CBC), the acids (CBDA, CBGA, THCA) and propyl homologues (CBDV, CBGV, THCV) of CBD, cannabigerol (CBG) and THC, and tetrahydrocannabivarin acid (THCVA) were also tested. KEY RESULTS: CBD, CBG, CBGV and THCV stimulated and desensitized human TRPV1. CBC, CBD and CBN were potent rat TRPA1 agonists and desensitizers, but THCV-BDS was the most potent compound at this target. CBG-BDS and THCV-BDS were the most potent rat TRPM8 antagonists. All non-acid cannabinoids, except CBC and CBN, potently activated and desensitized rat TRPV2. CBDV and all the acids inhibited DAGLalpha. Some BDS, but not the pure compounds, inhibited MAGL. CBD was the only compound to inhibit FAAH, whereas the BDS of CBC &gt; CBG &gt; CBGV inhibited NAAA. CBC = CBG &gt; CBD inhibited ACU, as did the BDS of THCVA, CBGV, CBDA and THCA, but the latter extracts were more potent inhibitors. CONCLUSIONS AND IMPLICATIONS: These results are relevant to the analgesic, anti-inflammatory and anti-cancer effects of cannabinoids and Cannabis extracts.","author":[{"dropping-particle":"","family":"Petrocellis","given":"Luciano","non-dropping-particle":"De","parse-names":false,"suffix":""},{"dropping-particle":"","family":"Ligresti","given":"Alessia","non-dropping-particle":"","parse-names":false,"suffix":""},{"dropping-particle":"","family":"Moriello","given":"Aniello Schiano","non-dropping-particle":"","parse-names":false,"suffix":""},{"dropping-particle":"","family":"Allar??","given":"Marco","non-dropping-particle":"","parse-names":false,"suffix":""},{"dropping-particle":"","family":"Bisogno","given":"Tiziana","non-dropping-particle":"","parse-names":false,"suffix":""},{"dropping-particle":"","family":"Petrosino","given":"Stefania","non-dropping-particle":"","parse-names":false,"suffix":""},{"dropping-particle":"","family":"Stott","given":"Colin G","non-dropping-particle":"","parse-names":false,"suffix":""},{"dropping-particle":"","family":"Marzo","given":"Vincenzo","non-dropping-particle":"Di","parse-names":false,"suffix":""}],"container-title":"British Journal of Pharmacology","edition":"2010/12/24","id":"ITEM-1","issue":"7","issued":{"date-parts":[["2011","8"]]},"language":"eng","page":"1479-1494","title":"Effects of cannabinoids and cannabinoid-enriched Cannabis extracts on TRP channels and endocannabinoid metabolic enzymes","title-short":"Effects of cannabinoids and cannabinoid-enriched C","type":"article-journal","volume":"163"},"uris":["http://www.mendeley.com/documents/?uuid=a488d38f-fd61-45f0-8bc1-0f54581b78ae"]}],"mendeley":{"formattedCitation":"(De Petrocellis et al., 2011)","plainTextFormattedCitation":"(De Petrocellis et al., 2011)","previouslyFormattedCitation":"(De Petrocellis et al., 2011)"},"properties":{"noteIndex":0},"schema":"https://github.com/citation-style-language/schema/raw/master/csl-citation.json"}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(De Petrocellis et al., 2011)</w:t>
            </w:r>
            <w:r w:rsidRPr="00EE52FF">
              <w:rPr>
                <w:rFonts w:cs="Times New Roman"/>
                <w:sz w:val="20"/>
                <w:szCs w:val="20"/>
              </w:rPr>
              <w:fldChar w:fldCharType="end"/>
            </w:r>
          </w:p>
        </w:tc>
        <w:tc>
          <w:tcPr>
            <w:tcW w:w="1415" w:type="dxa"/>
            <w:vAlign w:val="center"/>
          </w:tcPr>
          <w:p w14:paraId="514872FC" w14:textId="77777777" w:rsidR="002A68CB" w:rsidRPr="00EE52FF" w:rsidRDefault="002A68CB" w:rsidP="002A68CB">
            <w:pPr>
              <w:spacing w:before="0" w:after="0"/>
              <w:jc w:val="center"/>
              <w:rPr>
                <w:rFonts w:cs="Times New Roman"/>
                <w:sz w:val="20"/>
                <w:szCs w:val="20"/>
              </w:rPr>
            </w:pPr>
            <w:r w:rsidRPr="00A031E1">
              <w:rPr>
                <w:rFonts w:cs="Times New Roman"/>
                <w:sz w:val="20"/>
                <w:szCs w:val="20"/>
              </w:rPr>
              <w:t>12 (4.9–77)</w:t>
            </w:r>
          </w:p>
        </w:tc>
        <w:tc>
          <w:tcPr>
            <w:tcW w:w="1701" w:type="dxa"/>
            <w:vAlign w:val="center"/>
          </w:tcPr>
          <w:p w14:paraId="63700270" w14:textId="034B9574" w:rsidR="002A68CB" w:rsidRPr="000D6329" w:rsidRDefault="002A68CB" w:rsidP="002A68CB">
            <w:pPr>
              <w:spacing w:before="0" w:after="0" w:line="260" w:lineRule="exact"/>
              <w:jc w:val="center"/>
              <w:rPr>
                <w:rFonts w:cs="Times New Roman"/>
                <w:sz w:val="20"/>
                <w:szCs w:val="20"/>
              </w:rPr>
            </w:pPr>
            <w:r w:rsidRPr="000D6329">
              <w:rPr>
                <w:rFonts w:cs="Times New Roman"/>
                <w:sz w:val="20"/>
                <w:szCs w:val="20"/>
              </w:rPr>
              <w:t>Partial Agonist 140 (29–310)</w:t>
            </w:r>
          </w:p>
        </w:tc>
        <w:tc>
          <w:tcPr>
            <w:tcW w:w="1418" w:type="dxa"/>
            <w:vAlign w:val="center"/>
          </w:tcPr>
          <w:p w14:paraId="5B1A7B2C" w14:textId="3F073586"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{"citationItems":[{"id":"ITEM-1","itemData":{"DOI":"10.1038/s41598-020-77175-y","ISBN":"0123456789","ISSN":"20452322","PMID":"33230154","abstract":"The Cannabis sativa plant contains more than 120 cannabinoids. With the exceptions of ∆9-tetrahydrocannabinol (∆9-THC) and cannabidiol (CBD), comparatively little is known about the pharmacology of the less-abundant plant-derived (phyto) cannabinoids. The best-studied transducers of cannabinoid-dependent effects are type 1 and type 2 cannabinoid receptors (CB1R, CB2R). Partial agonism of CB1R by ∆9-THC is known to bring about the ‘high’ associated with Cannabis use, as well as the pain-, appetite-, and anxiety-modulating effects that are potentially therapeutic. CB2R activation by certain cannabinoids has been associated with anti-inflammatory activities. We assessed the activity of 8 phytocannabinoids at human CB1R, and CB2R in Chinese hamster ovary (CHO) cells stably expressing these receptors and in C57BL/6 mice in an attempt to better understand their pharmacodynamics. Specifically, ∆9-THC, ∆9-tetrahydrocannabinolic acid (∆9-THCa), ∆9-tetrahydrocannabivarin (THCV), CBD, cannabidiolic acid (CBDa), cannabidivarin (CBDV), cannabigerol (CBG), and cannabichromene (CBC) were evaluated. Compounds were assessed for their affinity to receptors, ability to inhibit cAMP accumulation, βarrestin2 recruitment, receptor selectivity, and ligand bias in cell culture; and cataleptic, hypothermic, anti-nociceptive, hypolocomotive, and anxiolytic effects in mice. Our data reveal partial agonist activity for many phytocannabinoids tested at CB1R and/or CB2R, as well as in vivo responses often associated with activation of CB1R. These data build on the growing body of literature showing cannabinoid receptor-dependent pharmacology for these less-abundant phytocannabinoids and are critical in understanding the complex and interactive pharmacology of Cannabis-derived molecules.","author":[{"dropping-particle":"","family":"Zagzoog","given":"Ayat","non-dropping-particle":"","parse-names":false,"suffix":""},{"dropping-particle":"","family":"Mohamed","given":"Kawthar A.","non-dropping-particle":"","parse-names":false,"suffix":""},{"dropping-particle":"","family":"Kim","given":"Hye Ji J.","non-dropping-particle":"","parse-names":false,"suffix":""},{"dropping-particle":"","family":"Kim","given":"Eunhyun D.","non-dropping-particle":"","parse-names":false,"suffix":""},{"dropping-particle":"","family":"Frank","given":"Connor S.","non-dropping-particle":"","parse-names":false,"suffix":""},{"dropping-particle":"","family":"Black","given":"Tallan","non-dropping-particle":"","parse-names":false,"suffix":""},{"dropping-particle":"","family":"Jadhav","given":"Pramodkumar D.","non-dropping-particle":"","parse-names":false,"suffix":""},{"dropping-particle":"","family":"Holbrook","given":"Larry A.","non-dropping-particle":"","parse-names":false,"suffix":""},{"dropping-particle":"","family":"Laprairie","given":"Robert B.","non-dropping-particle":"","parse-names":false,"suffix":""}],"container-title":"Scientific Reports","id":"ITEM-1","issue":"1","issued":{"date-parts":[["2020"]]},"page":"1-13","publisher":"Nature Publishing Group UK","title":"In vitro and in vivo pharmacological activity of minor cannabinoids isolated from Cannabis sativa","type":"article-journal","volume":"10"},"uris":["http://www.mendeley.com/documents/?uuid=2084794e-b5af-4388-bac6-3c7e870c00e7"]}],"mendeley":{"formattedCitation":"(Zagzoog et al., 2020)","plainTextFormattedCitation":"(Zagzoog et al., 2020)","previouslyFormattedCitation":"(Zagzoog et al., 2020)"},"properties":{"noteIndex":0},"schema":"https://github.com/citation-style-language/schema/raw/master/csl-citation.json"}</w:instrText>
            </w:r>
            <w:r>
              <w:rPr>
                <w:rFonts w:cs="Times New Roman"/>
                <w:sz w:val="20"/>
                <w:szCs w:val="20"/>
              </w:rPr>
              <w:fldChar w:fldCharType="separate"/>
            </w:r>
            <w:r w:rsidRPr="00A031E1">
              <w:rPr>
                <w:rFonts w:cs="Times New Roman"/>
                <w:noProof/>
                <w:sz w:val="20"/>
                <w:szCs w:val="20"/>
              </w:rPr>
              <w:t>(Zagzoog et al., 2020)</w:t>
            </w:r>
            <w:r>
              <w:rPr>
                <w:rFonts w:cs="Times New Roman"/>
                <w:sz w:val="20"/>
                <w:szCs w:val="20"/>
              </w:rPr>
              <w:fldChar w:fldCharType="end"/>
            </w:r>
          </w:p>
        </w:tc>
      </w:tr>
      <w:tr w:rsidR="002A68CB" w:rsidRPr="00EE52FF" w14:paraId="2B7ABF8A" w14:textId="77777777" w:rsidTr="003C203B">
        <w:trPr>
          <w:trHeight w:val="537"/>
          <w:jc w:val="center"/>
        </w:trPr>
        <w:tc>
          <w:tcPr>
            <w:tcW w:w="1974" w:type="dxa"/>
            <w:shd w:val="clear" w:color="auto" w:fill="auto"/>
            <w:vAlign w:val="center"/>
          </w:tcPr>
          <w:p w14:paraId="122BA52C"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CBDV</w:t>
            </w:r>
          </w:p>
        </w:tc>
        <w:tc>
          <w:tcPr>
            <w:tcW w:w="2132" w:type="dxa"/>
            <w:vAlign w:val="center"/>
          </w:tcPr>
          <w:p w14:paraId="2FC38ACE" w14:textId="3DFE1EA0" w:rsidR="002A68CB" w:rsidRPr="00EE52FF" w:rsidRDefault="00604871" w:rsidP="002A68CB">
            <w:pPr>
              <w:spacing w:before="0" w:after="0"/>
              <w:jc w:val="center"/>
              <w:rPr>
                <w:rFonts w:cs="Times New Roman"/>
                <w:sz w:val="20"/>
                <w:szCs w:val="20"/>
              </w:rPr>
            </w:pPr>
            <w:r>
              <w:rPr>
                <w:noProof/>
              </w:rPr>
              <w:object w:dxaOrig="2073" w:dyaOrig="1585" w14:anchorId="3D83EE9B">
                <v:shape id="_x0000_i1033" type="#_x0000_t75" alt="" style="width:63.75pt;height:47.25pt;mso-width-percent:0;mso-height-percent:0;mso-width-percent:0;mso-height-percent:0" o:ole="">
                  <v:imagedata r:id="rId28" o:title=""/>
                </v:shape>
                <o:OLEObject Type="Embed" ProgID="ChemDraw.Document.6.0" ShapeID="_x0000_i1033" DrawAspect="Content" ObjectID="_1706533563" r:id="rId29"/>
              </w:object>
            </w:r>
          </w:p>
        </w:tc>
        <w:tc>
          <w:tcPr>
            <w:tcW w:w="1276" w:type="dxa"/>
            <w:shd w:val="clear" w:color="auto" w:fill="auto"/>
            <w:vAlign w:val="center"/>
          </w:tcPr>
          <w:p w14:paraId="2F6C3FD5" w14:textId="538BA847" w:rsidR="002A68CB" w:rsidRPr="00EE52FF" w:rsidRDefault="002A68CB" w:rsidP="002A68CB">
            <w:pPr>
              <w:spacing w:before="0" w:after="0"/>
              <w:jc w:val="center"/>
              <w:rPr>
                <w:rFonts w:cs="Times New Roman"/>
                <w:sz w:val="20"/>
                <w:szCs w:val="20"/>
              </w:rPr>
            </w:pPr>
            <w:r w:rsidRPr="00EE52FF">
              <w:rPr>
                <w:rFonts w:cs="Times New Roman"/>
                <w:sz w:val="20"/>
                <w:szCs w:val="20"/>
              </w:rPr>
              <w:t>21.4 ± 0.6</w:t>
            </w:r>
          </w:p>
        </w:tc>
        <w:tc>
          <w:tcPr>
            <w:tcW w:w="1417" w:type="dxa"/>
            <w:shd w:val="clear" w:color="auto" w:fill="auto"/>
            <w:vAlign w:val="center"/>
          </w:tcPr>
          <w:p w14:paraId="5AAE9FA6"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66D9A6B8" w14:textId="2AF82EAF"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3.6 ± 0.7</w:t>
            </w:r>
          </w:p>
        </w:tc>
        <w:tc>
          <w:tcPr>
            <w:tcW w:w="1701" w:type="dxa"/>
            <w:shd w:val="clear" w:color="auto" w:fill="auto"/>
            <w:vAlign w:val="center"/>
          </w:tcPr>
          <w:p w14:paraId="46DDC09A"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10.0 ± 0.5</w:t>
            </w:r>
          </w:p>
        </w:tc>
        <w:tc>
          <w:tcPr>
            <w:tcW w:w="1418" w:type="dxa"/>
            <w:shd w:val="clear" w:color="auto" w:fill="auto"/>
            <w:vAlign w:val="center"/>
          </w:tcPr>
          <w:p w14:paraId="4432B308"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{"citationItems":[{"id":"ITEM-1","itemData":{"DOI":"10.1111/bph.2011.163.issue-7","ISBN":"1476-5381 (Electronic)\\r0007-1188 (Linking)","ISSN":"00071188","PMID":"21175579","abstract":"BACKGROUND AND PURPOSE: Cannabidiol (CBD) and Delta(9) -tetrahydrocannabinol (THC) interact with transient receptor potential (TRP) channels and enzymes of the endocannabinoid system. EXPERIMENTAL APPROACH: The effects of 11 pure cannabinoids and botanical extracts [botanical drug substance (BDS)] from Cannabis varieties selected to contain a more abundant cannabinoid, on TRPV1, TRPV2, TRPM8, TRPA1, human recombinant diacylglycerol lipase alpha (DAGLalpha), rat brain fatty acid amide hydrolase (FAAH), COS cell monoacylglycerol lipase (MAGL), human recombinant N-acylethanolamine acid amide hydrolase (NAAA) and anandamide cellular uptake (ACU) by RBL-2H3 cells, were studied using fluorescence-based calcium assays in transfected cells and radiolabelled substrate-based enzymatic assays. Cannabinol (CBN), cannabichromene (CBC), the acids (CBDA, CBGA, THCA) and propyl homologues (CBDV, CBGV, THCV) of CBD, cannabigerol (CBG) and THC, and tetrahydrocannabivarin acid (THCVA) were also tested. KEY RESULTS: CBD, CBG, CBGV and THCV stimulated and desensitized human TRPV1. CBC, CBD and CBN were potent rat TRPA1 agonists and desensitizers, but THCV-BDS was the most potent compound at this target. CBG-BDS and THCV-BDS were the most potent rat TRPM8 antagonists. All non-acid cannabinoids, except CBC and CBN, potently activated and desensitized rat TRPV2. CBDV and all the acids inhibited DAGLalpha. Some BDS, but not the pure compounds, inhibited MAGL. CBD was the only compound to inhibit FAAH, whereas the BDS of CBC &gt; CBG &gt; CBGV inhibited NAAA. CBC = CBG &gt; CBD inhibited ACU, as did the BDS of THCVA, CBGV, CBDA and THCA, but the latter extracts were more potent inhibitors. CONCLUSIONS AND IMPLICATIONS: These results are relevant to the analgesic, anti-inflammatory and anti-cancer effects of cannabinoids and Cannabis extracts.","author":[{"dropping-particle":"","family":"Petrocellis","given":"Luciano","non-dropping-particle":"De","parse-names":false,"suffix":""},{"dropping-particle":"","family":"Ligresti","given":"Alessia","non-dropping-particle":"","parse-names":false,"suffix":""},{"dropping-particle":"","family":"Moriello","given":"Aniello Schiano","non-dropping-particle":"","parse-names":false,"suffix":""},{"dropping-particle":"","family":"Allar??","given":"Marco","non-dropping-particle":"","parse-names":false,"suffix":""},{"dropping-particle":"","family":"Bisogno","given":"Tiziana","non-dropping-particle":"","parse-names":false,"suffix":""},{"dropping-particle":"","family":"Petrosino","given":"Stefania","non-dropping-particle":"","parse-names":false,"suffix":""},{"dropping-particle":"","family":"Stott","given":"Colin G","non-dropping-particle":"","parse-names":false,"suffix":""},{"dropping-particle":"","family":"Marzo","given":"Vincenzo","non-dropping-particle":"Di","parse-names":false,"suffix":""}],"container-title":"British Journal of Pharmacology","edition":"2010/12/24","id":"ITEM-1","issue":"7","issued":{"date-parts":[["2011","8"]]},"language":"eng","page":"1479-1494","title":"Effects of cannabinoids and cannabinoid-enriched Cannabis extracts on TRP channels and endocannabinoid metabolic enzymes","title-short":"Effects of cannabinoids and cannabinoid-enriched C","type":"article-journal","volume":"163"},"uris":["http://www.mendeley.com/documents/?uuid=a488d38f-fd61-45f0-8bc1-0f54581b78ae"]}],"mendeley":{"formattedCitation":"(De Petrocellis et al., 2011)","plainTextFormattedCitation":"(De Petrocellis et al., 2011)","previouslyFormattedCitation":"(De Petrocellis et al., 2011)"},"properties":{"noteIndex":0},"schema":"https://github.com/citation-style-language/schema/raw/master/csl-citation.json"}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(De Petrocellis et al., 2011)</w:t>
            </w:r>
            <w:r w:rsidRPr="00EE52FF">
              <w:rPr>
                <w:rFonts w:cs="Times New Roman"/>
                <w:sz w:val="20"/>
                <w:szCs w:val="20"/>
              </w:rPr>
              <w:fldChar w:fldCharType="end"/>
            </w:r>
          </w:p>
        </w:tc>
        <w:tc>
          <w:tcPr>
            <w:tcW w:w="1415" w:type="dxa"/>
            <w:vAlign w:val="center"/>
          </w:tcPr>
          <w:p w14:paraId="680B00A3" w14:textId="77777777" w:rsidR="002A68CB" w:rsidRPr="00EE52FF" w:rsidRDefault="002A68CB" w:rsidP="002A68CB">
            <w:pPr>
              <w:spacing w:before="0" w:after="0"/>
              <w:jc w:val="center"/>
              <w:rPr>
                <w:rFonts w:cs="Times New Roman"/>
                <w:sz w:val="20"/>
                <w:szCs w:val="20"/>
              </w:rPr>
            </w:pPr>
            <w:r w:rsidRPr="00A031E1">
              <w:rPr>
                <w:rFonts w:cs="Times New Roman"/>
                <w:sz w:val="20"/>
                <w:szCs w:val="20"/>
              </w:rPr>
              <w:t>140 (96–280)</w:t>
            </w:r>
          </w:p>
        </w:tc>
        <w:tc>
          <w:tcPr>
            <w:tcW w:w="1701" w:type="dxa"/>
            <w:vAlign w:val="center"/>
          </w:tcPr>
          <w:p w14:paraId="0924590A" w14:textId="3500C29E" w:rsidR="002A68CB" w:rsidRPr="000D6329" w:rsidRDefault="002A68CB" w:rsidP="002A68CB">
            <w:pPr>
              <w:spacing w:before="0" w:after="0" w:line="260" w:lineRule="exact"/>
              <w:jc w:val="center"/>
              <w:rPr>
                <w:rFonts w:cs="Times New Roman"/>
                <w:sz w:val="20"/>
                <w:szCs w:val="20"/>
              </w:rPr>
            </w:pPr>
            <w:r w:rsidRPr="000D6329">
              <w:rPr>
                <w:rFonts w:cs="Times New Roman"/>
                <w:sz w:val="20"/>
                <w:szCs w:val="20"/>
              </w:rPr>
              <w:t>Partial Agonist 5.0 (0.46–33)</w:t>
            </w:r>
          </w:p>
        </w:tc>
        <w:tc>
          <w:tcPr>
            <w:tcW w:w="1418" w:type="dxa"/>
            <w:vAlign w:val="center"/>
          </w:tcPr>
          <w:p w14:paraId="527896B8" w14:textId="55AD81AD"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{"citationItems":[{"id":"ITEM-1","itemData":{"DOI":"10.1038/s41598-020-77175-y","ISBN":"0123456789","ISSN":"20452322","PMID":"33230154","abstract":"The Cannabis sativa plant contains more than 120 cannabinoids. With the exceptions of ∆9-tetrahydrocannabinol (∆9-THC) and cannabidiol (CBD), comparatively little is known about the pharmacology of the less-abundant plant-derived (phyto) cannabinoids. The best-studied transducers of cannabinoid-dependent effects are type 1 and type 2 cannabinoid receptors (CB1R, CB2R). Partial agonism of CB1R by ∆9-THC is known to bring about the ‘high’ associated with Cannabis use, as well as the pain-, appetite-, and anxiety-modulating effects that are potentially therapeutic. CB2R activation by certain cannabinoids has been associated with anti-inflammatory activities. We assessed the activity of 8 phytocannabinoids at human CB1R, and CB2R in Chinese hamster ovary (CHO) cells stably expressing these receptors and in C57BL/6 mice in an attempt to better understand their pharmacodynamics. Specifically, ∆9-THC, ∆9-tetrahydrocannabinolic acid (∆9-THCa), ∆9-tetrahydrocannabivarin (THCV), CBD, cannabidiolic acid (CBDa), cannabidivarin (CBDV), cannabigerol (CBG), and cannabichromene (CBC) were evaluated. Compounds were assessed for their affinity to receptors, ability to inhibit cAMP accumulation, βarrestin2 recruitment, receptor selectivity, and ligand bias in cell culture; and cataleptic, hypothermic, anti-nociceptive, hypolocomotive, and anxiolytic effects in mice. Our data reveal partial agonist activity for many phytocannabinoids tested at CB1R and/or CB2R, as well as in vivo responses often associated with activation of CB1R. These data build on the growing body of literature showing cannabinoid receptor-dependent pharmacology for these less-abundant phytocannabinoids and are critical in understanding the complex and interactive pharmacology of Cannabis-derived molecules.","author":[{"dropping-particle":"","family":"Zagzoog","given":"Ayat","non-dropping-particle":"","parse-names":false,"suffix":""},{"dropping-particle":"","family":"Mohamed","given":"Kawthar A.","non-dropping-particle":"","parse-names":false,"suffix":""},{"dropping-particle":"","family":"Kim","given":"Hye Ji J.","non-dropping-particle":"","parse-names":false,"suffix":""},{"dropping-particle":"","family":"Kim","given":"Eunhyun D.","non-dropping-particle":"","parse-names":false,"suffix":""},{"dropping-particle":"","family":"Frank","given":"Connor S.","non-dropping-particle":"","parse-names":false,"suffix":""},{"dropping-particle":"","family":"Black","given":"Tallan","non-dropping-particle":"","parse-names":false,"suffix":""},{"dropping-particle":"","family":"Jadhav","given":"Pramodkumar D.","non-dropping-particle":"","parse-names":false,"suffix":""},{"dropping-particle":"","family":"Holbrook","given":"Larry A.","non-dropping-particle":"","parse-names":false,"suffix":""},{"dropping-particle":"","family":"Laprairie","given":"Robert B.","non-dropping-particle":"","parse-names":false,"suffix":""}],"container-title":"Scientific Reports","id":"ITEM-1","issue":"1","issued":{"date-parts":[["2020"]]},"page":"1-13","publisher":"Nature Publishing Group UK","title":"In vitro and in vivo pharmacological activity of minor cannabinoids isolated from Cannabis sativa","type":"article-journal","volume":"10"},"uris":["http://www.mendeley.com/documents/?uuid=2084794e-b5af-4388-bac6-3c7e870c00e7"]}],"mendeley":{"formattedCitation":"(Zagzoog et al., 2020)","plainTextFormattedCitation":"(Zagzoog et al., 2020)","previouslyFormattedCitation":"(Zagzoog et al., 2020)"},"properties":{"noteIndex":0},"schema":"https://github.com/citation-style-language/schema/raw/master/csl-citation.json"}</w:instrText>
            </w:r>
            <w:r>
              <w:rPr>
                <w:rFonts w:cs="Times New Roman"/>
                <w:sz w:val="20"/>
                <w:szCs w:val="20"/>
              </w:rPr>
              <w:fldChar w:fldCharType="separate"/>
            </w:r>
            <w:r w:rsidRPr="00A031E1">
              <w:rPr>
                <w:rFonts w:cs="Times New Roman"/>
                <w:noProof/>
                <w:sz w:val="20"/>
                <w:szCs w:val="20"/>
              </w:rPr>
              <w:t>(Zagzoog et al., 2020)</w:t>
            </w:r>
            <w:r>
              <w:rPr>
                <w:rFonts w:cs="Times New Roman"/>
                <w:sz w:val="20"/>
                <w:szCs w:val="20"/>
              </w:rPr>
              <w:fldChar w:fldCharType="end"/>
            </w:r>
          </w:p>
        </w:tc>
      </w:tr>
      <w:tr w:rsidR="002A68CB" w:rsidRPr="00EE52FF" w14:paraId="4DCEAE83" w14:textId="77777777" w:rsidTr="003C203B">
        <w:trPr>
          <w:trHeight w:val="717"/>
          <w:jc w:val="center"/>
        </w:trPr>
        <w:tc>
          <w:tcPr>
            <w:tcW w:w="1974" w:type="dxa"/>
            <w:shd w:val="clear" w:color="auto" w:fill="auto"/>
            <w:vAlign w:val="center"/>
          </w:tcPr>
          <w:p w14:paraId="1F12DBB0"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CBG</w:t>
            </w:r>
          </w:p>
        </w:tc>
        <w:tc>
          <w:tcPr>
            <w:tcW w:w="2132" w:type="dxa"/>
            <w:vAlign w:val="center"/>
          </w:tcPr>
          <w:p w14:paraId="46D99D86" w14:textId="3D034CC8" w:rsidR="002A68CB" w:rsidRPr="00EE52FF" w:rsidRDefault="00604871" w:rsidP="002A68CB">
            <w:pPr>
              <w:spacing w:before="0" w:after="0"/>
              <w:jc w:val="center"/>
              <w:rPr>
                <w:rFonts w:cs="Times New Roman"/>
                <w:sz w:val="20"/>
                <w:szCs w:val="20"/>
              </w:rPr>
            </w:pPr>
            <w:r>
              <w:rPr>
                <w:noProof/>
              </w:rPr>
              <w:object w:dxaOrig="3802" w:dyaOrig="1099" w14:anchorId="7AAFD373">
                <v:shape id="_x0000_i1034" type="#_x0000_t75" alt="" style="width:100.55pt;height:28.5pt;mso-width-percent:0;mso-height-percent:0;mso-width-percent:0;mso-height-percent:0" o:ole="">
                  <v:imagedata r:id="rId30" o:title=""/>
                </v:shape>
                <o:OLEObject Type="Embed" ProgID="ChemDraw.Document.6.0" ShapeID="_x0000_i1034" DrawAspect="Content" ObjectID="_1706533564" r:id="rId31"/>
              </w:object>
            </w:r>
          </w:p>
        </w:tc>
        <w:tc>
          <w:tcPr>
            <w:tcW w:w="1276" w:type="dxa"/>
            <w:shd w:val="clear" w:color="auto" w:fill="auto"/>
            <w:vAlign w:val="center"/>
          </w:tcPr>
          <w:p w14:paraId="3182BE83" w14:textId="7BB0C099" w:rsidR="002A68CB" w:rsidRPr="00EE52FF" w:rsidRDefault="002A68CB" w:rsidP="002A68CB">
            <w:pPr>
              <w:spacing w:before="0" w:after="0"/>
              <w:jc w:val="center"/>
              <w:rPr>
                <w:rFonts w:cs="Times New Roman"/>
                <w:sz w:val="20"/>
                <w:szCs w:val="20"/>
              </w:rPr>
            </w:pPr>
            <w:r w:rsidRPr="00EE52FF">
              <w:rPr>
                <w:rFonts w:cs="Times New Roman"/>
                <w:sz w:val="20"/>
                <w:szCs w:val="20"/>
              </w:rPr>
              <w:t>33.8 ± 2.3</w:t>
            </w:r>
          </w:p>
        </w:tc>
        <w:tc>
          <w:tcPr>
            <w:tcW w:w="1417" w:type="dxa"/>
            <w:shd w:val="clear" w:color="auto" w:fill="auto"/>
            <w:vAlign w:val="center"/>
          </w:tcPr>
          <w:p w14:paraId="52973B48"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FD37DAE" w14:textId="2F75DDAD"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1.3 ± 0.5</w:t>
            </w:r>
          </w:p>
        </w:tc>
        <w:tc>
          <w:tcPr>
            <w:tcW w:w="1701" w:type="dxa"/>
            <w:shd w:val="clear" w:color="auto" w:fill="auto"/>
            <w:vAlign w:val="center"/>
          </w:tcPr>
          <w:p w14:paraId="6F897119"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2.6 ± 0.2</w:t>
            </w:r>
          </w:p>
        </w:tc>
        <w:tc>
          <w:tcPr>
            <w:tcW w:w="1418" w:type="dxa"/>
            <w:shd w:val="clear" w:color="auto" w:fill="auto"/>
            <w:vAlign w:val="center"/>
          </w:tcPr>
          <w:p w14:paraId="06C4B3B6"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{"citationItems":[{"id":"ITEM-1","itemData":{"DOI":"10.1111/bph.2011.163.issue-7","ISBN":"1476-5381 (Electronic)\\r0007-1188 (Linking)","ISSN":"00071188","PMID":"21175579","abstract":"BACKGROUND AND PURPOSE: Cannabidiol (CBD) and Delta(9) -tetrahydrocannabinol (THC) interact with transient receptor potential (TRP) channels and enzymes of the endocannabinoid system. EXPERIMENTAL APPROACH: The effects of 11 pure cannabinoids and botanical extracts [botanical drug substance (BDS)] from Cannabis varieties selected to contain a more abundant cannabinoid, on TRPV1, TRPV2, TRPM8, TRPA1, human recombinant diacylglycerol lipase alpha (DAGLalpha), rat brain fatty acid amide hydrolase (FAAH), COS cell monoacylglycerol lipase (MAGL), human recombinant N-acylethanolamine acid amide hydrolase (NAAA) and anandamide cellular uptake (ACU) by RBL-2H3 cells, were studied using fluorescence-based calcium assays in transfected cells and radiolabelled substrate-based enzymatic assays. Cannabinol (CBN), cannabichromene (CBC), the acids (CBDA, CBGA, THCA) and propyl homologues (CBDV, CBGV, THCV) of CBD, cannabigerol (CBG) and THC, and tetrahydrocannabivarin acid (THCVA) were also tested. KEY RESULTS: CBD, CBG, CBGV and THCV stimulated and desensitized human TRPV1. CBC, CBD and CBN were potent rat TRPA1 agonists and desensitizers, but THCV-BDS was the most potent compound at this target. CBG-BDS and THCV-BDS were the most potent rat TRPM8 antagonists. All non-acid cannabinoids, except CBC and CBN, potently activated and desensitized rat TRPV2. CBDV and all the acids inhibited DAGLalpha. Some BDS, but not the pure compounds, inhibited MAGL. CBD was the only compound to inhibit FAAH, whereas the BDS of CBC &gt; CBG &gt; CBGV inhibited NAAA. CBC = CBG &gt; CBD inhibited ACU, as did the BDS of THCVA, CBGV, CBDA and THCA, but the latter extracts were more potent inhibitors. CONCLUSIONS AND IMPLICATIONS: These results are relevant to the analgesic, anti-inflammatory and anti-cancer effects of cannabinoids and Cannabis extracts.","author":[{"dropping-particle":"","family":"Petrocellis","given":"Luciano","non-dropping-particle":"De","parse-names":false,"suffix":""},{"dropping-particle":"","family":"Ligresti","given":"Alessia","non-dropping-particle":"","parse-names":false,"suffix":""},{"dropping-particle":"","family":"Moriello","given":"Aniello Schiano","non-dropping-particle":"","parse-names":false,"suffix":""},{"dropping-particle":"","family":"Allar??","given":"Marco","non-dropping-particle":"","parse-names":false,"suffix":""},{"dropping-particle":"","family":"Bisogno","given":"Tiziana","non-dropping-particle":"","parse-names":false,"suffix":""},{"dropping-particle":"","family":"Petrosino","given":"Stefania","non-dropping-particle":"","parse-names":false,"suffix":""},{"dropping-particle":"","family":"Stott","given":"Colin G","non-dropping-particle":"","parse-names":false,"suffix":""},{"dropping-particle":"","family":"Marzo","given":"Vincenzo","non-dropping-particle":"Di","parse-names":false,"suffix":""}],"container-title":"British Journal of Pharmacology","edition":"2010/12/24","id":"ITEM-1","issue":"7","issued":{"date-parts":[["2011","8"]]},"language":"eng","page":"1479-1494","title":"Effects of cannabinoids and cannabinoid-enriched Cannabis extracts on TRP channels and endocannabinoid metabolic enzymes","title-short":"Effects of cannabinoids and cannabinoid-enriched C","type":"article-journal","volume":"163"},"uris":["http://www.mendeley.com/documents/?uuid=a488d38f-fd61-45f0-8bc1-0f54581b78ae"]}],"mendeley":{"formattedCitation":"(De Petrocellis et al., 2011)","plainTextFormattedCitation":"(De Petrocellis et al., 2011)","previouslyFormattedCitation":"(De Petrocellis et al., 2011)"},"properties":{"noteIndex":0},"schema":"https://github.com/citation-style-language/schema/raw/master/csl-citation.json"}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(De Petrocellis et al., 2011)</w:t>
            </w:r>
            <w:r w:rsidRPr="00EE52FF">
              <w:rPr>
                <w:rFonts w:cs="Times New Roman"/>
                <w:sz w:val="20"/>
                <w:szCs w:val="20"/>
              </w:rPr>
              <w:fldChar w:fldCharType="end"/>
            </w:r>
          </w:p>
        </w:tc>
        <w:tc>
          <w:tcPr>
            <w:tcW w:w="1415" w:type="dxa"/>
            <w:vAlign w:val="center"/>
          </w:tcPr>
          <w:p w14:paraId="432F08AF" w14:textId="77777777" w:rsidR="002A68CB" w:rsidRPr="00EE52FF" w:rsidRDefault="002A68CB" w:rsidP="002A68CB">
            <w:pPr>
              <w:spacing w:before="0" w:after="0"/>
              <w:jc w:val="center"/>
              <w:rPr>
                <w:rFonts w:cs="Times New Roman"/>
                <w:sz w:val="20"/>
                <w:szCs w:val="20"/>
              </w:rPr>
            </w:pPr>
            <w:r w:rsidRPr="00A02079">
              <w:rPr>
                <w:rFonts w:cs="Times New Roman"/>
                <w:sz w:val="20"/>
                <w:szCs w:val="20"/>
              </w:rPr>
              <w:t>490 (130–2500)</w:t>
            </w:r>
          </w:p>
        </w:tc>
        <w:tc>
          <w:tcPr>
            <w:tcW w:w="1701" w:type="dxa"/>
            <w:vAlign w:val="center"/>
          </w:tcPr>
          <w:p w14:paraId="7E6D0AEB" w14:textId="63D296F2" w:rsidR="002A68CB" w:rsidRPr="000D6329" w:rsidRDefault="002A68CB" w:rsidP="002A68CB">
            <w:pPr>
              <w:spacing w:before="0" w:after="0" w:line="260" w:lineRule="exact"/>
              <w:jc w:val="center"/>
              <w:rPr>
                <w:rFonts w:cs="Times New Roman"/>
                <w:sz w:val="20"/>
                <w:szCs w:val="20"/>
              </w:rPr>
            </w:pPr>
            <w:r w:rsidRPr="000D6329">
              <w:rPr>
                <w:rFonts w:cs="Times New Roman"/>
                <w:sz w:val="20"/>
                <w:szCs w:val="20"/>
              </w:rPr>
              <w:t>Partial Agonist 130 (30–550)</w:t>
            </w:r>
          </w:p>
        </w:tc>
        <w:tc>
          <w:tcPr>
            <w:tcW w:w="1418" w:type="dxa"/>
            <w:vAlign w:val="center"/>
          </w:tcPr>
          <w:p w14:paraId="3848E869" w14:textId="0FEBCE9F"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{"citationItems":[{"id":"ITEM-1","itemData":{"DOI":"10.1038/s41598-020-77175-y","ISBN":"0123456789","ISSN":"20452322","PMID":"33230154","abstract":"The Cannabis sativa plant contains more than 120 cannabinoids. With the exceptions of ∆9-tetrahydrocannabinol (∆9-THC) and cannabidiol (CBD), comparatively little is known about the pharmacology of the less-abundant plant-derived (phyto) cannabinoids. The best-studied transducers of cannabinoid-dependent effects are type 1 and type 2 cannabinoid receptors (CB1R, CB2R). Partial agonism of CB1R by ∆9-THC is known to bring about the ‘high’ associated with Cannabis use, as well as the pain-, appetite-, and anxiety-modulating effects that are potentially therapeutic. CB2R activation by certain cannabinoids has been associated with anti-inflammatory activities. We assessed the activity of 8 phytocannabinoids at human CB1R, and CB2R in Chinese hamster ovary (CHO) cells stably expressing these receptors and in C57BL/6 mice in an attempt to better understand their pharmacodynamics. Specifically, ∆9-THC, ∆9-tetrahydrocannabinolic acid (∆9-THCa), ∆9-tetrahydrocannabivarin (THCV), CBD, cannabidiolic acid (CBDa), cannabidivarin (CBDV), cannabigerol (CBG), and cannabichromene (CBC) were evaluated. Compounds were assessed for their affinity to receptors, ability to inhibit cAMP accumulation, βarrestin2 recruitment, receptor selectivity, and ligand bias in cell culture; and cataleptic, hypothermic, anti-nociceptive, hypolocomotive, and anxiolytic effects in mice. Our data reveal partial agonist activity for many phytocannabinoids tested at CB1R and/or CB2R, as well as in vivo responses often associated with activation of CB1R. These data build on the growing body of literature showing cannabinoid receptor-dependent pharmacology for these less-abundant phytocannabinoids and are critical in understanding the complex and interactive pharmacology of Cannabis-derived molecules.","author":[{"dropping-particle":"","family":"Zagzoog","given":"Ayat","non-dropping-particle":"","parse-names":false,"suffix":""},{"dropping-particle":"","family":"Mohamed","given":"Kawthar A.","non-dropping-particle":"","parse-names":false,"suffix":""},{"dropping-particle":"","family":"Kim","given":"Hye Ji J.","non-dropping-particle":"","parse-names":false,"suffix":""},{"dropping-particle":"","family":"Kim","given":"Eunhyun D.","non-dropping-particle":"","parse-names":false,"suffix":""},{"dropping-particle":"","family":"Frank","given":"Connor S.","non-dropping-particle":"","parse-names":false,"suffix":""},{"dropping-particle":"","family":"Black","given":"Tallan","non-dropping-particle":"","parse-names":false,"suffix":""},{"dropping-particle":"","family":"Jadhav","given":"Pramodkumar D.","non-dropping-particle":"","parse-names":false,"suffix":""},{"dropping-particle":"","family":"Holbrook","given":"Larry A.","non-dropping-particle":"","parse-names":false,"suffix":""},{"dropping-particle":"","family":"Laprairie","given":"Robert B.","non-dropping-particle":"","parse-names":false,"suffix":""}],"container-title":"Scientific Reports","id":"ITEM-1","issue":"1","issued":{"date-parts":[["2020"]]},"page":"1-13","publisher":"Nature Publishing Group UK","title":"In vitro and in vivo pharmacological activity of minor cannabinoids isolated from Cannabis sativa","type":"article-journal","volume":"10"},"uris":["http://www.mendeley.com/documents/?uuid=2084794e-b5af-4388-bac6-3c7e870c00e7"]}],"mendeley":{"formattedCitation":"(Zagzoog et al., 2020)","plainTextFormattedCitation":"(Zagzoog et al., 2020)","previouslyFormattedCitation":"(Zagzoog et al., 2020)"},"properties":{"noteIndex":0},"schema":"https://github.com/citation-style-language/schema/raw/master/csl-citation.json"}</w:instrText>
            </w:r>
            <w:r>
              <w:rPr>
                <w:rFonts w:cs="Times New Roman"/>
                <w:sz w:val="20"/>
                <w:szCs w:val="20"/>
              </w:rPr>
              <w:fldChar w:fldCharType="separate"/>
            </w:r>
            <w:r w:rsidRPr="00A031E1">
              <w:rPr>
                <w:rFonts w:cs="Times New Roman"/>
                <w:noProof/>
                <w:sz w:val="20"/>
                <w:szCs w:val="20"/>
              </w:rPr>
              <w:t>(Zagzoog et al., 2020)</w:t>
            </w:r>
            <w:r>
              <w:rPr>
                <w:rFonts w:cs="Times New Roman"/>
                <w:sz w:val="20"/>
                <w:szCs w:val="20"/>
              </w:rPr>
              <w:fldChar w:fldCharType="end"/>
            </w:r>
          </w:p>
        </w:tc>
      </w:tr>
      <w:tr w:rsidR="002A68CB" w:rsidRPr="00EE52FF" w14:paraId="2F835F03" w14:textId="77777777" w:rsidTr="003C203B">
        <w:trPr>
          <w:trHeight w:val="537"/>
          <w:jc w:val="center"/>
        </w:trPr>
        <w:tc>
          <w:tcPr>
            <w:tcW w:w="1974" w:type="dxa"/>
            <w:shd w:val="clear" w:color="auto" w:fill="auto"/>
            <w:vAlign w:val="center"/>
          </w:tcPr>
          <w:p w14:paraId="0C5043DC"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THCV</w:t>
            </w:r>
          </w:p>
        </w:tc>
        <w:tc>
          <w:tcPr>
            <w:tcW w:w="2132" w:type="dxa"/>
            <w:vAlign w:val="center"/>
          </w:tcPr>
          <w:p w14:paraId="6A4CCA2D" w14:textId="3399D485" w:rsidR="002A68CB" w:rsidRPr="00EE52FF" w:rsidRDefault="00604871" w:rsidP="002A68CB">
            <w:pPr>
              <w:spacing w:before="0" w:after="0"/>
              <w:jc w:val="center"/>
              <w:rPr>
                <w:rFonts w:cs="Times New Roman"/>
                <w:sz w:val="20"/>
                <w:szCs w:val="20"/>
              </w:rPr>
            </w:pPr>
            <w:r>
              <w:rPr>
                <w:noProof/>
              </w:rPr>
              <w:object w:dxaOrig="2099" w:dyaOrig="1468" w14:anchorId="137D998B">
                <v:shape id="_x0000_i1035" type="#_x0000_t75" alt="" style="width:66pt;height:47.25pt;mso-width-percent:0;mso-height-percent:0;mso-width-percent:0;mso-height-percent:0" o:ole="">
                  <v:imagedata r:id="rId32" o:title=""/>
                </v:shape>
                <o:OLEObject Type="Embed" ProgID="ChemDraw.Document.6.0" ShapeID="_x0000_i1035" DrawAspect="Content" ObjectID="_1706533565" r:id="rId33"/>
              </w:object>
            </w:r>
          </w:p>
        </w:tc>
        <w:tc>
          <w:tcPr>
            <w:tcW w:w="1276" w:type="dxa"/>
            <w:tcBorders>
              <w:bottom w:val="single" w:sz="4" w:space="0" w:color="auto"/>
            </w:tcBorders>
            <w:shd w:val="clear" w:color="auto" w:fill="auto"/>
            <w:vAlign w:val="center"/>
          </w:tcPr>
          <w:p w14:paraId="7E480EFB" w14:textId="54E82E80" w:rsidR="002A68CB" w:rsidRPr="00EE52FF" w:rsidRDefault="002A68CB" w:rsidP="002A68CB">
            <w:pPr>
              <w:spacing w:before="0" w:after="0"/>
              <w:jc w:val="center"/>
              <w:rPr>
                <w:rFonts w:cs="Times New Roman"/>
                <w:sz w:val="20"/>
                <w:szCs w:val="20"/>
              </w:rPr>
            </w:pPr>
            <w:r w:rsidRPr="00EE52FF">
              <w:rPr>
                <w:rFonts w:cs="Times New Roman"/>
                <w:sz w:val="20"/>
                <w:szCs w:val="20"/>
              </w:rPr>
              <w:t>68.0 ± 1.6</w:t>
            </w:r>
          </w:p>
        </w:tc>
        <w:tc>
          <w:tcPr>
            <w:tcW w:w="1417" w:type="dxa"/>
            <w:tcBorders>
              <w:bottom w:val="single" w:sz="4" w:space="0" w:color="auto"/>
            </w:tcBorders>
            <w:shd w:val="clear" w:color="auto" w:fill="auto"/>
            <w:vAlign w:val="center"/>
          </w:tcPr>
          <w:p w14:paraId="5BB1D2CF"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2D73BF00" w14:textId="77777777"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1.5 ± 0.2</w:t>
            </w:r>
          </w:p>
        </w:tc>
        <w:tc>
          <w:tcPr>
            <w:tcW w:w="1701" w:type="dxa"/>
            <w:shd w:val="clear" w:color="auto" w:fill="auto"/>
            <w:vAlign w:val="center"/>
          </w:tcPr>
          <w:p w14:paraId="4C733ABE"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1.3 ± 0.1</w:t>
            </w:r>
          </w:p>
        </w:tc>
        <w:tc>
          <w:tcPr>
            <w:tcW w:w="1418" w:type="dxa"/>
            <w:shd w:val="clear" w:color="auto" w:fill="auto"/>
            <w:vAlign w:val="center"/>
          </w:tcPr>
          <w:p w14:paraId="7BA15965"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{"citationItems":[{"id":"ITEM-1","itemData":{"DOI":"10.1111/bph.2011.163.issue-7","ISBN":"1476-5381 (Electronic)\\r0007-1188 (Linking)","ISSN":"00071188","PMID":"21175579","abstract":"BACKGROUND AND PURPOSE: Cannabidiol (CBD) and Delta(9) -tetrahydrocannabinol (THC) interact with transient receptor potential (TRP) channels and enzymes of the endocannabinoid system. EXPERIMENTAL APPROACH: The effects of 11 pure cannabinoids and botanical extracts [botanical drug substance (BDS)] from Cannabis varieties selected to contain a more abundant cannabinoid, on TRPV1, TRPV2, TRPM8, TRPA1, human recombinant diacylglycerol lipase alpha (DAGLalpha), rat brain fatty acid amide hydrolase (FAAH), COS cell monoacylglycerol lipase (MAGL), human recombinant N-acylethanolamine acid amide hydrolase (NAAA) and anandamide cellular uptake (ACU) by RBL-2H3 cells, were studied using fluorescence-based calcium assays in transfected cells and radiolabelled substrate-based enzymatic assays. Cannabinol (CBN), cannabichromene (CBC), the acids (CBDA, CBGA, THCA) and propyl homologues (CBDV, CBGV, THCV) of CBD, cannabigerol (CBG) and THC, and tetrahydrocannabivarin acid (THCVA) were also tested. KEY RESULTS: CBD, CBG, CBGV and THCV stimulated and desensitized human TRPV1. CBC, CBD and CBN were potent rat TRPA1 agonists and desensitizers, but THCV-BDS was the most potent compound at this target. CBG-BDS and THCV-BDS were the most potent rat TRPM8 antagonists. All non-acid cannabinoids, except CBC and CBN, potently activated and desensitized rat TRPV2. CBDV and all the acids inhibited DAGLalpha. Some BDS, but not the pure compounds, inhibited MAGL. CBD was the only compound to inhibit FAAH, whereas the BDS of CBC &gt; CBG &gt; CBGV inhibited NAAA. CBC = CBG &gt; CBD inhibited ACU, as did the BDS of THCVA, CBGV, CBDA and THCA, but the latter extracts were more potent inhibitors. CONCLUSIONS AND IMPLICATIONS: These results are relevant to the analgesic, anti-inflammatory and anti-cancer effects of cannabinoids and Cannabis extracts.","author":[{"dropping-particle":"","family":"Petrocellis","given":"Luciano","non-dropping-particle":"De","parse-names":false,"suffix":""},{"dropping-particle":"","family":"Ligresti","given":"Alessia","non-dropping-particle":"","parse-names":false,"suffix":""},{"dropping-particle":"","family":"Moriello","given":"Aniello Schiano","non-dropping-particle":"","parse-names":false,"suffix":""},{"dropping-particle":"","family":"Allar??","given":"Marco","non-dropping-particle":"","parse-names":false,"suffix":""},{"dropping-particle":"","family":"Bisogno","given":"Tiziana","non-dropping-particle":"","parse-names":false,"suffix":""},{"dropping-particle":"","family":"Petrosino","given":"Stefania","non-dropping-particle":"","parse-names":false,"suffix":""},{"dropping-particle":"","family":"Stott","given":"Colin G","non-dropping-particle":"","parse-names":false,"suffix":""},{"dropping-particle":"","family":"Marzo","given":"Vincenzo","non-dropping-particle":"Di","parse-names":false,"suffix":""}],"container-title":"British Journal of Pharmacology","edition":"2010/12/24","id":"ITEM-1","issue":"7","issued":{"date-parts":[["2011","8"]]},"language":"eng","page":"1479-1494","title":"Effects of cannabinoids and cannabinoid-enriched Cannabis extracts on TRP channels and endocannabinoid metabolic enzymes","title-short":"Effects of cannabinoids and cannabinoid-enriched C","type":"article-journal","volume":"163"},"uris":["http://www.mendeley.com/documents/?uuid=a488d38f-fd61-45f0-8bc1-0f54581b78ae"]}],"mendeley":{"formattedCitation":"(De Petrocellis et al., 2011)","plainTextFormattedCitation":"(De Petrocellis et al., 2011)","previouslyFormattedCitation":"(De Petrocellis et al., 2011)"},"properties":{"noteIndex":0},"schema":"https://github.com/citation-style-language/schema/raw/master/csl-citation.json"}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(De Petrocellis et al., 2011)</w:t>
            </w:r>
            <w:r w:rsidRPr="00EE52FF">
              <w:rPr>
                <w:rFonts w:cs="Times New Roman"/>
                <w:sz w:val="20"/>
                <w:szCs w:val="20"/>
              </w:rPr>
              <w:fldChar w:fldCharType="end"/>
            </w:r>
          </w:p>
        </w:tc>
        <w:tc>
          <w:tcPr>
            <w:tcW w:w="1415" w:type="dxa"/>
            <w:vAlign w:val="center"/>
          </w:tcPr>
          <w:p w14:paraId="77EF77BE" w14:textId="77777777" w:rsidR="002A68CB" w:rsidRPr="00EE52FF" w:rsidRDefault="002A68CB" w:rsidP="002A68CB">
            <w:pPr>
              <w:spacing w:before="0" w:after="0"/>
              <w:jc w:val="center"/>
              <w:rPr>
                <w:rFonts w:cs="Times New Roman"/>
                <w:sz w:val="20"/>
                <w:szCs w:val="20"/>
              </w:rPr>
            </w:pPr>
            <w:r w:rsidRPr="00A02079">
              <w:rPr>
                <w:rFonts w:cs="Times New Roman"/>
                <w:sz w:val="20"/>
                <w:szCs w:val="20"/>
              </w:rPr>
              <w:t>47 (21–270)</w:t>
            </w:r>
          </w:p>
        </w:tc>
        <w:tc>
          <w:tcPr>
            <w:tcW w:w="1701" w:type="dxa"/>
            <w:vAlign w:val="center"/>
          </w:tcPr>
          <w:p w14:paraId="303D0277"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38D19E33" w14:textId="77777777" w:rsidR="002A68CB" w:rsidRPr="00EE52FF" w:rsidRDefault="002A68CB" w:rsidP="002A68CB">
            <w:pPr>
              <w:spacing w:before="0" w:after="0" w:line="260" w:lineRule="exact"/>
              <w:jc w:val="center"/>
              <w:rPr>
                <w:rFonts w:cs="Times New Roman"/>
                <w:sz w:val="20"/>
                <w:szCs w:val="20"/>
              </w:rPr>
            </w:pPr>
            <w:r w:rsidRPr="00C53676">
              <w:rPr>
                <w:rFonts w:cs="Times New Roman"/>
                <w:sz w:val="20"/>
                <w:szCs w:val="20"/>
              </w:rPr>
              <w:t>280 (49–610)</w:t>
            </w:r>
          </w:p>
        </w:tc>
        <w:tc>
          <w:tcPr>
            <w:tcW w:w="1418" w:type="dxa"/>
            <w:vAlign w:val="center"/>
          </w:tcPr>
          <w:p w14:paraId="5CAECCD6" w14:textId="3C0A60AD"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{"citationItems":[{"id":"ITEM-1","itemData":{"DOI":"10.1038/s41598-020-77175-y","ISBN":"0123456789","ISSN":"20452322","PMID":"33230154","abstract":"The Cannabis sativa plant contains more than 120 cannabinoids. With the exceptions of ∆9-tetrahydrocannabinol (∆9-THC) and cannabidiol (CBD), comparatively little is known about the pharmacology of the less-abundant plant-derived (phyto) cannabinoids. The best-studied transducers of cannabinoid-dependent effects are type 1 and type 2 cannabinoid receptors (CB1R, CB2R). Partial agonism of CB1R by ∆9-THC is known to bring about the ‘high’ associated with Cannabis use, as well as the pain-, appetite-, and anxiety-modulating effects that are potentially therapeutic. CB2R activation by certain cannabinoids has been associated with anti-inflammatory activities. We assessed the activity of 8 phytocannabinoids at human CB1R, and CB2R in Chinese hamster ovary (CHO) cells stably expressing these receptors and in C57BL/6 mice in an attempt to better understand their pharmacodynamics. Specifically, ∆9-THC, ∆9-tetrahydrocannabinolic acid (∆9-THCa), ∆9-tetrahydrocannabivarin (THCV), CBD, cannabidiolic acid (CBDa), cannabidivarin (CBDV), cannabigerol (CBG), and cannabichromene (CBC) were evaluated. Compounds were assessed for their affinity to receptors, ability to inhibit cAMP accumulation, βarrestin2 recruitment, receptor selectivity, and ligand bias in cell culture; and cataleptic, hypothermic, anti-nociceptive, hypolocomotive, and anxiolytic effects in mice. Our data reveal partial agonist activity for many phytocannabinoids tested at CB1R and/or CB2R, as well as in vivo responses often associated with activation of CB1R. These data build on the growing body of literature showing cannabinoid receptor-dependent pharmacology for these less-abundant phytocannabinoids and are critical in understanding the complex and interactive pharmacology of Cannabis-derived molecules.","author":[{"dropping-particle":"","family":"Zagzoog","given":"Ayat","non-dropping-particle":"","parse-names":false,"suffix":""},{"dropping-particle":"","family":"Mohamed","given":"Kawthar A.","non-dropping-particle":"","parse-names":false,"suffix":""},{"dropping-particle":"","family":"Kim","given":"Hye Ji J.","non-dropping-particle":"","parse-names":false,"suffix":""},{"dropping-particle":"","family":"Kim","given":"Eunhyun D.","non-dropping-particle":"","parse-names":false,"suffix":""},{"dropping-particle":"","family":"Frank","given":"Connor S.","non-dropping-particle":"","parse-names":false,"suffix":""},{"dropping-particle":"","family":"Black","given":"Tallan","non-dropping-particle":"","parse-names":false,"suffix":""},{"dropping-particle":"","family":"Jadhav","given":"Pramodkumar D.","non-dropping-particle":"","parse-names":false,"suffix":""},{"dropping-particle":"","family":"Holbrook","given":"Larry A.","non-dropping-particle":"","parse-names":false,"suffix":""},{"dropping-particle":"","family":"Laprairie","given":"Robert B.","non-dropping-particle":"","parse-names":false,"suffix":""}],"container-title":"Scientific Reports","id":"ITEM-1","issue":"1","issued":{"date-parts":[["2020"]]},"page":"1-13","publisher":"Nature Publishing Group UK","title":"In vitro and in vivo pharmacological activity of minor cannabinoids isolated from Cannabis sativa","type":"article-journal","volume":"10"},"uris":["http://www.mendeley.com/documents/?uuid=2084794e-b5af-4388-bac6-3c7e870c00e7"]}],"mendeley":{"formattedCitation":"(Zagzoog et al., 2020)","plainTextFormattedCitation":"(Zagzoog et al., 2020)","previouslyFormattedCitation":"(Zagzoog et al., 2020)"},"properties":{"noteIndex":0},"schema":"https://github.com/citation-style-language/schema/raw/master/csl-citation.json"}</w:instrText>
            </w:r>
            <w:r>
              <w:rPr>
                <w:rFonts w:cs="Times New Roman"/>
                <w:sz w:val="20"/>
                <w:szCs w:val="20"/>
              </w:rPr>
              <w:fldChar w:fldCharType="separate"/>
            </w:r>
            <w:r w:rsidRPr="00A031E1">
              <w:rPr>
                <w:rFonts w:cs="Times New Roman"/>
                <w:noProof/>
                <w:sz w:val="20"/>
                <w:szCs w:val="20"/>
              </w:rPr>
              <w:t>(Zagzoog et al., 2020)</w:t>
            </w:r>
            <w:r>
              <w:rPr>
                <w:rFonts w:cs="Times New Roman"/>
                <w:sz w:val="20"/>
                <w:szCs w:val="20"/>
              </w:rPr>
              <w:fldChar w:fldCharType="end"/>
            </w:r>
          </w:p>
        </w:tc>
      </w:tr>
      <w:tr w:rsidR="002A68CB" w:rsidRPr="00EE52FF" w14:paraId="1D1D20B9" w14:textId="77777777" w:rsidTr="003C203B">
        <w:trPr>
          <w:trHeight w:val="845"/>
          <w:jc w:val="center"/>
        </w:trPr>
        <w:tc>
          <w:tcPr>
            <w:tcW w:w="1974" w:type="dxa"/>
            <w:shd w:val="clear" w:color="auto" w:fill="auto"/>
            <w:vAlign w:val="center"/>
          </w:tcPr>
          <w:p w14:paraId="699EC74A"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HU308</w:t>
            </w:r>
          </w:p>
        </w:tc>
        <w:tc>
          <w:tcPr>
            <w:tcW w:w="2132" w:type="dxa"/>
            <w:vAlign w:val="center"/>
          </w:tcPr>
          <w:p w14:paraId="7F35A106" w14:textId="5F5D6DB5" w:rsidR="002A68CB" w:rsidRPr="00EE52FF" w:rsidRDefault="00604871" w:rsidP="002A68CB">
            <w:pPr>
              <w:spacing w:before="0" w:after="0"/>
              <w:jc w:val="center"/>
              <w:rPr>
                <w:rFonts w:cs="Times New Roman"/>
                <w:sz w:val="20"/>
                <w:szCs w:val="20"/>
              </w:rPr>
            </w:pPr>
            <w:r>
              <w:rPr>
                <w:noProof/>
              </w:rPr>
              <w:object w:dxaOrig="3341" w:dyaOrig="1879" w14:anchorId="4278BDB4">
                <v:shape id="_x0000_i1036" type="#_x0000_t75" alt="" style="width:96.7pt;height:54.75pt;mso-width-percent:0;mso-height-percent:0;mso-width-percent:0;mso-height-percent:0" o:ole="">
                  <v:imagedata r:id="rId34" o:title=""/>
                </v:shape>
                <o:OLEObject Type="Embed" ProgID="ChemDraw.Document.6.0" ShapeID="_x0000_i1036" DrawAspect="Content" ObjectID="_1706533566" r:id="rId35"/>
              </w:object>
            </w:r>
          </w:p>
        </w:tc>
        <w:tc>
          <w:tcPr>
            <w:tcW w:w="1276" w:type="dxa"/>
            <w:shd w:val="clear" w:color="auto" w:fill="auto"/>
            <w:vAlign w:val="center"/>
          </w:tcPr>
          <w:p w14:paraId="0B5061CA" w14:textId="5D2F6B56" w:rsidR="002A68CB" w:rsidRPr="00EE52FF" w:rsidRDefault="002A68CB" w:rsidP="002A68CB">
            <w:pPr>
              <w:spacing w:before="0" w:after="0"/>
              <w:jc w:val="center"/>
              <w:rPr>
                <w:rFonts w:cs="Times New Roman"/>
                <w:sz w:val="20"/>
                <w:szCs w:val="20"/>
              </w:rPr>
            </w:pPr>
            <w:r w:rsidRPr="00EE52FF">
              <w:rPr>
                <w:rFonts w:cs="Times New Roman"/>
                <w:sz w:val="20"/>
                <w:szCs w:val="20"/>
              </w:rPr>
              <w:t>&lt;10</w:t>
            </w:r>
          </w:p>
        </w:tc>
        <w:tc>
          <w:tcPr>
            <w:tcW w:w="1417" w:type="dxa"/>
            <w:shd w:val="clear" w:color="auto" w:fill="auto"/>
            <w:vAlign w:val="center"/>
          </w:tcPr>
          <w:p w14:paraId="25C4382F" w14:textId="77777777"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NA</w:t>
            </w:r>
          </w:p>
        </w:tc>
        <w:tc>
          <w:tcPr>
            <w:tcW w:w="1701" w:type="dxa"/>
            <w:shd w:val="clear" w:color="auto" w:fill="auto"/>
            <w:vAlign w:val="center"/>
          </w:tcPr>
          <w:p w14:paraId="73AC2695"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69.0 ± 5.7</w:t>
            </w:r>
          </w:p>
        </w:tc>
        <w:tc>
          <w:tcPr>
            <w:tcW w:w="1418" w:type="dxa"/>
            <w:shd w:val="clear" w:color="auto" w:fill="auto"/>
            <w:vAlign w:val="center"/>
          </w:tcPr>
          <w:p w14:paraId="2E511538"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activity","type":"article-journal","volume":"8"},"uris":["http://www.mendeley.com/documents/?uuid=7438af72-1455-41df-a632-af491cdce11e"]}],"mendeley":{"formattedCitation":"(Soethoudt et al., 2017)","plainTextFormattedCitation":"(Soethoudt et al., 2017)","previouslyFormattedCitation":"(Soethoudt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(Soethoudt et al., 2017)</w:t>
            </w:r>
            <w:r w:rsidRPr="00EE52FF">
              <w:rPr>
                <w:rFonts w:cs="Times New Roman"/>
                <w:sz w:val="20"/>
                <w:szCs w:val="20"/>
              </w:rPr>
              <w:fldChar w:fldCharType="end"/>
            </w:r>
          </w:p>
        </w:tc>
        <w:tc>
          <w:tcPr>
            <w:tcW w:w="1415" w:type="dxa"/>
            <w:vAlign w:val="center"/>
          </w:tcPr>
          <w:p w14:paraId="77A7DF2E" w14:textId="77777777" w:rsidR="002A68CB" w:rsidRPr="00EE52FF" w:rsidRDefault="002A68CB" w:rsidP="002A68CB">
            <w:pPr>
              <w:spacing w:before="0" w:after="0"/>
              <w:jc w:val="center"/>
              <w:rPr>
                <w:rFonts w:cs="Times New Roman"/>
                <w:sz w:val="20"/>
                <w:szCs w:val="20"/>
              </w:rPr>
            </w:pPr>
            <w:r w:rsidRPr="00EE52FF">
              <w:rPr>
                <w:sz w:val="20"/>
                <w:szCs w:val="20"/>
              </w:rPr>
              <w:t xml:space="preserve">22.7 </w:t>
            </w:r>
            <w:r w:rsidRPr="00EE52FF">
              <w:rPr>
                <w:rFonts w:cs="Times New Roman"/>
                <w:sz w:val="20"/>
                <w:szCs w:val="20"/>
              </w:rPr>
              <w:t xml:space="preserve">± </w:t>
            </w:r>
            <w:r w:rsidRPr="00EE52FF">
              <w:rPr>
                <w:color w:val="000000"/>
                <w:sz w:val="20"/>
                <w:szCs w:val="20"/>
                <w:shd w:val="clear" w:color="auto" w:fill="FFFFFF"/>
              </w:rPr>
              <w:t>3.9</w:t>
            </w:r>
          </w:p>
        </w:tc>
        <w:tc>
          <w:tcPr>
            <w:tcW w:w="1701" w:type="dxa"/>
            <w:vAlign w:val="center"/>
          </w:tcPr>
          <w:p w14:paraId="68AA6FD9"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E29DFBE" w14:textId="77777777"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51.3 ± 0.3</w:t>
            </w:r>
            <w:r w:rsidRPr="009F714F">
              <w:rPr>
                <w:rFonts w:cs="Times New Roman"/>
                <w:sz w:val="20"/>
                <w:szCs w:val="20"/>
                <w:vertAlign w:val="superscript"/>
              </w:rPr>
              <w:t>#</w:t>
            </w:r>
          </w:p>
        </w:tc>
        <w:tc>
          <w:tcPr>
            <w:tcW w:w="1418" w:type="dxa"/>
            <w:vAlign w:val="center"/>
          </w:tcPr>
          <w:p w14:paraId="27797BEE"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{"citationItems":[{"id":"ITEM-1","itemData":{"ISSN":"0027-8424","PMID":"10588688","abstract":"Two cannabinoid receptors have been identified: CB(1), present in the central nervous system (CNS) and to a lesser extent in other tissues, and CB(2), present outside the CNS, in peripheral organs. There is evidence for the presence of CB(2)-like receptors in peripheral nerve terminals. We report now that we have synthesized a CB(2)-specific agonist, code-named HU-308. This cannabinoid does not bind to CB(1) (K(i) &gt; 10 microM), but does so efficiently to CB(2) (K(i) = 22.7 +/- 3.9 nM); it inhibits forskolin-stimulated cyclic AMP production in CB(2)-transfected cells, but does so much less in CB(1)-transfected cells. HU-308 shows no activity in mice in a tetrad of behavioral tests, which together have been shown to be specific for tetrahydrocannabinol (THC)-type activity in the CNS mediated by CB(1). However, HU-308 reduces blood pressure, blocks defecation, and elicits anti-inflammatory and peripheral analgesic activity. The hypotension, the inhibition of defecation, the anti-inflammatory and peripheral analgesic effects produced by HU-308 are blocked (or partially blocked) by the CB(2) antagonist SR-144528, but not by the CB(1) antagonist SR-141716A. These results demonstrate the feasibility of discovering novel nonpsychotropic cannabinoids that may lead to new therapies for hypertension, inflammation, and pain.","author":[{"dropping-particle":"","family":"Hanus","given":"L","non-dropping-particle":"","parse-names":false,"suffix":""},{"dropping-particle":"","family":"Breuer","given":"A","non-dropping-particle":"","parse-names":false,"suffix":""},{"dropping-particle":"","family":"Tchilibon","given":"S","non-dropping-particle":"","parse-names":false,"suffix":""},{"dropping-particle":"","family":"Shiloah","given":"S","non-dropping-particle":"","parse-names":false,"suffix":""},{"dropping-particle":"","family":"Goldenberg","given":"D","non-dropping-particle":"","parse-names":false,"suffix":""},{"dropping-particle":"","family":"Horowitz","given":"M","non-dropping-particle":"","parse-names":false,"suffix":""},{"dropping-particle":"","family":"Pertwee","given":"R G","non-dropping-particle":"","parse-names":false,"suffix":""},{"dropping-particle":"","family":"Ross","given":"R A","non-dropping-particle":"","parse-names":false,"suffix":""},{"dropping-particle":"","family":"Mechoulam","given":"R","non-dropping-particle":"","parse-names":false,"suffix":""},{"dropping-particle":"","family":"Fride","given":"E","non-dropping-particle":"","parse-names":false,"suffix":""}],"container-title":"Proceedings of the National Academy of Sciences of the United States of America","id":"ITEM-1","issue":"25","issued":{"date-parts":[["1999","12","7"]]},"page":"14228-33","title":"HU-308: a specific agonist for CB(2), a peripheral cannabinoid receptor.","type":"article-journal","volume":"96"},"uris":["http://www.mendeley.com/documents/?uuid=1aa11cf2-3782-46db-9f7e-1f63682cc324"]},{"id":"ITEM-2","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Communications","id":"ITEM-2","issued":{"date-parts":[["2017"]]},"page":"13958","title":"Cannabinoid CB2 receptor ligand profiling reveals biased signalling and off-target activity","type":"article-journal","volume":"8"},"uris":["http://www.mendeley.com/documents/?uuid=7438af72-1455-41df-a632-af491cdce11e"]}],"mendeley":{"formattedCitation":"(Hanus et al., 1999; Soethoudt et al., 2017)","plainTextFormattedCitation":"(Hanus et al., 1999; Soethoudt et al., 2017)","previouslyFormattedCitation":"(Hanus et al., 1999; 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(Hanus et al., 1999; Soethoudt et al., 2017)</w:t>
            </w:r>
            <w:r w:rsidRPr="00EE52FF">
              <w:rPr>
                <w:rFonts w:cs="Times New Roman"/>
                <w:sz w:val="20"/>
                <w:szCs w:val="20"/>
              </w:rPr>
              <w:fldChar w:fldCharType="end"/>
            </w:r>
          </w:p>
        </w:tc>
      </w:tr>
      <w:tr w:rsidR="002A68CB" w:rsidRPr="00EE52FF" w14:paraId="04BAFCA6" w14:textId="77777777" w:rsidTr="003C203B">
        <w:trPr>
          <w:trHeight w:val="537"/>
          <w:jc w:val="center"/>
        </w:trPr>
        <w:tc>
          <w:tcPr>
            <w:tcW w:w="1974" w:type="dxa"/>
            <w:shd w:val="clear" w:color="auto" w:fill="auto"/>
            <w:vAlign w:val="center"/>
          </w:tcPr>
          <w:p w14:paraId="017D21F7"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JWH133</w:t>
            </w:r>
          </w:p>
        </w:tc>
        <w:tc>
          <w:tcPr>
            <w:tcW w:w="2132" w:type="dxa"/>
            <w:vAlign w:val="center"/>
          </w:tcPr>
          <w:p w14:paraId="15F9E726" w14:textId="41EE4368" w:rsidR="002A68CB" w:rsidRPr="00EE52FF" w:rsidRDefault="00604871" w:rsidP="002A68CB">
            <w:pPr>
              <w:spacing w:before="0" w:after="0"/>
              <w:jc w:val="center"/>
              <w:rPr>
                <w:rFonts w:cs="Times New Roman"/>
                <w:sz w:val="20"/>
                <w:szCs w:val="20"/>
              </w:rPr>
            </w:pPr>
            <w:r>
              <w:rPr>
                <w:noProof/>
              </w:rPr>
              <w:object w:dxaOrig="2347" w:dyaOrig="1610" w14:anchorId="338E4C7C">
                <v:shape id="_x0000_i1037" type="#_x0000_t75" alt="" style="width:78.05pt;height:55.45pt;mso-width-percent:0;mso-height-percent:0;mso-width-percent:0;mso-height-percent:0" o:ole="">
                  <v:imagedata r:id="rId36" o:title=""/>
                </v:shape>
                <o:OLEObject Type="Embed" ProgID="ChemDraw.Document.6.0" ShapeID="_x0000_i1037" DrawAspect="Content" ObjectID="_1706533567" r:id="rId37"/>
              </w:object>
            </w:r>
          </w:p>
        </w:tc>
        <w:tc>
          <w:tcPr>
            <w:tcW w:w="1276" w:type="dxa"/>
            <w:shd w:val="clear" w:color="auto" w:fill="auto"/>
            <w:vAlign w:val="center"/>
          </w:tcPr>
          <w:p w14:paraId="388CC285" w14:textId="476F5AC4" w:rsidR="002A68CB" w:rsidRPr="00EE52FF" w:rsidRDefault="002A68CB" w:rsidP="002A68CB">
            <w:pPr>
              <w:spacing w:before="0" w:after="0"/>
              <w:jc w:val="center"/>
              <w:rPr>
                <w:rFonts w:cs="Times New Roman"/>
                <w:sz w:val="20"/>
                <w:szCs w:val="20"/>
              </w:rPr>
            </w:pPr>
            <w:r w:rsidRPr="00EE52FF">
              <w:rPr>
                <w:rFonts w:cs="Times New Roman"/>
                <w:sz w:val="20"/>
                <w:szCs w:val="20"/>
              </w:rPr>
              <w:t>24.6 ± 0.4</w:t>
            </w:r>
          </w:p>
        </w:tc>
        <w:tc>
          <w:tcPr>
            <w:tcW w:w="1417" w:type="dxa"/>
            <w:shd w:val="clear" w:color="auto" w:fill="auto"/>
            <w:vAlign w:val="center"/>
          </w:tcPr>
          <w:p w14:paraId="24C107EA"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0B0F2E3B" w14:textId="40A8601C"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8.2 ± 0.7</w:t>
            </w:r>
          </w:p>
        </w:tc>
        <w:tc>
          <w:tcPr>
            <w:tcW w:w="1701" w:type="dxa"/>
            <w:shd w:val="clear" w:color="auto" w:fill="auto"/>
            <w:vAlign w:val="center"/>
          </w:tcPr>
          <w:p w14:paraId="606D3811"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77.7 ± 3.0</w:t>
            </w:r>
          </w:p>
        </w:tc>
        <w:tc>
          <w:tcPr>
            <w:tcW w:w="1418" w:type="dxa"/>
            <w:shd w:val="clear" w:color="auto" w:fill="auto"/>
            <w:vAlign w:val="center"/>
          </w:tcPr>
          <w:p w14:paraId="590CCB93"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activity","type":"article-journal","volume":"8"},"uris":["http://www.mendeley.com/documents/?uuid=7438af72-1455-41df-a632-af491cdce11e"]}],"mendeley":{"formattedCitation":"(Soethoudt et al., 2017)","plainTextFormattedCitation":"(Soethoudt et al., 2017)","previouslyFormattedCitation":"(Soethoudt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(Soethoudt et al., 2017)</w:t>
            </w:r>
            <w:r w:rsidRPr="00EE52FF">
              <w:rPr>
                <w:rFonts w:cs="Times New Roman"/>
                <w:sz w:val="20"/>
                <w:szCs w:val="20"/>
              </w:rPr>
              <w:fldChar w:fldCharType="end"/>
            </w:r>
          </w:p>
        </w:tc>
        <w:tc>
          <w:tcPr>
            <w:tcW w:w="1415" w:type="dxa"/>
            <w:vAlign w:val="center"/>
          </w:tcPr>
          <w:p w14:paraId="5AEAB9B7" w14:textId="77777777" w:rsidR="002A68CB" w:rsidRPr="00EE52FF" w:rsidRDefault="002A68CB" w:rsidP="002A68CB">
            <w:pPr>
              <w:spacing w:before="0" w:after="0"/>
              <w:jc w:val="center"/>
              <w:rPr>
                <w:rFonts w:cs="Times New Roman"/>
                <w:sz w:val="20"/>
                <w:szCs w:val="20"/>
              </w:rPr>
            </w:pPr>
            <w:r w:rsidRPr="00EE52FF">
              <w:rPr>
                <w:sz w:val="20"/>
                <w:szCs w:val="20"/>
              </w:rPr>
              <w:t xml:space="preserve">3.4 </w:t>
            </w:r>
            <w:r w:rsidRPr="00EE52FF">
              <w:rPr>
                <w:rFonts w:cs="Times New Roman"/>
                <w:sz w:val="20"/>
                <w:szCs w:val="20"/>
              </w:rPr>
              <w:t xml:space="preserve">± </w:t>
            </w:r>
            <w:r w:rsidRPr="00EE52FF">
              <w:rPr>
                <w:sz w:val="20"/>
                <w:szCs w:val="20"/>
              </w:rPr>
              <w:t>1.0</w:t>
            </w:r>
          </w:p>
        </w:tc>
        <w:tc>
          <w:tcPr>
            <w:tcW w:w="1701" w:type="dxa"/>
            <w:vAlign w:val="center"/>
          </w:tcPr>
          <w:p w14:paraId="5FBF5A62"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9E39039" w14:textId="77777777"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109.6 ± 0.4</w:t>
            </w:r>
            <w:r w:rsidRPr="009F714F">
              <w:rPr>
                <w:rFonts w:cs="Times New Roman"/>
                <w:sz w:val="20"/>
                <w:szCs w:val="20"/>
                <w:vertAlign w:val="superscript"/>
              </w:rPr>
              <w:t>#</w:t>
            </w:r>
          </w:p>
        </w:tc>
        <w:tc>
          <w:tcPr>
            <w:tcW w:w="1418" w:type="dxa"/>
            <w:vAlign w:val="center"/>
          </w:tcPr>
          <w:p w14:paraId="2A20C661"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{"citationItems":[{"id":"ITEM-1","itemData":{"DOI":"10.1016/S0968-0896(99)00219-9","ISSN":"09680896","PMID":"10658595","abstract":"The synthesis and pharmacology of 15 1-deoxy-Δ8-THC analogues, several of which have high affinity for the CB2 receptor, are described. The deoxy cannabinoids include 1-deoxy-11-hydroxy-Δ8-THC (5), 1-deoxy-Δ8-THC (6), 1-deoxy-3-butyl-Δ8-THC (7), 1-deoxy-3-hexyl-Δ8-THC (8) and a series of 3-(1',1'-dimethylalkyl)-1-deoxy-Δ8-THC analogues (2, n=0-4, 6, 7, where n=the number of carbon atoms in the side chain-2). Three derivatives (17-19Scheme 3(a) (C6H5)3PCH3+ Br-, n-BuLi/THF, 65°C; (b) LiAlH4/THF, 25°C; (c) KBH(sec-Bu)3/THF, -78 to 25°C then H2O2/NaOH.) of deoxynabilone (16) were also prepared. The affinities of each compound for the CB1 and CB2 receptors were determined employing previously described procedures. Five of the 3-(1',1'-dimethylalkyl)-1-deoxy-Δ8-THC analogues (2, n=1-5) have high affinity (K(i)=&lt;20nM) for the CB2 receptor. Four of them (2, n=1-4) also have little affinity for the CB1 receptor (K(i)=&gt;295nM). 3-(1',1'-Dimethylbutyl)-1-deoxy-Δ8-THC (2, n=2) has very high affinity for the CB2 receptor (K(i)=3.4±1.0nM) and little affinity for the CB1 receptor (K(i)=677±132nM). Copyright (C) 1999 Elsevier Science Ltd.","author":[{"dropping-particle":"","family":"Huffman","given":"John W.","non-dropping-particle":"","parse-names":false,"suffix":""},{"dropping-particle":"","family":"Liddle","given":"John","non-dropping-particle":"","parse-names":false,"suffix":""},{"dropping-particle":"","family":"Yu","given":"Shu","non-dropping-particle":"","parse-names":false,"suffix":""},{"dropping-particle":"","family":"Aung","given":"Mie Mie","non-dropping-particle":"","parse-names":false,"suffix":""},{"dropping-particle":"","family":"Abood","given":"Mary E.","non-dropping-particle":"","parse-names":false,"suffix":""},{"dropping-particle":"","family":"Wiley","given":"Jenny L.","non-dropping-particle":"","parse-names":false,"suffix":""},{"dropping-particle":"","family":"Martin","given":"Billy R.","non-dropping-particle":"","parse-names":false,"suffix":""}],"container-title":"Bioorganic and Medicinal Chemistry","id":"ITEM-1","issue":"12","issued":{"date-parts":[["1999"]]},"page":"2905-2914","title":"3-(1',1'-Dimethylbutyl)-1-deoxy-Δ8-THC and related compounds: Synthesis of selective ligands for the CB2 receptor","type":"article-journal","volume":"7"},"uris":["http://www.mendeley.com/documents/?uuid=6873ab9d-1a53-48d2-a1b3-2b8cabf08275"]},{"id":"ITEM-2","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Communications","id":"ITEM-2","issued":{"date-parts":[["2017"]]},"page":"13958","title":"Cannabinoid CB2 receptor ligand profiling reveals biased signalling and off-target activity","type":"article-journal","volume":"8"},"uris":["http://www.mendeley.com/documents/?uuid=7438af72-1455-41df-a632-af491cdce11e"]}],"mendeley":{"formattedCitation":"(Huffman et al., 1999; Soethoudt et al., 2017)","plainTextFormattedCitation":"(Huffman et al., 1999; Soethoudt et al., 2017)","previouslyFormattedCitation":"(Huffman et al., 1999; 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(Huffman et al., 1999; Soethoudt et al., 2017)</w:t>
            </w:r>
            <w:r w:rsidRPr="00EE52FF">
              <w:rPr>
                <w:rFonts w:cs="Times New Roman"/>
                <w:sz w:val="20"/>
                <w:szCs w:val="20"/>
              </w:rPr>
              <w:fldChar w:fldCharType="end"/>
            </w:r>
          </w:p>
        </w:tc>
      </w:tr>
      <w:tr w:rsidR="002A68CB" w:rsidRPr="00EE52FF" w14:paraId="20FAE17F" w14:textId="77777777" w:rsidTr="003C203B">
        <w:trPr>
          <w:trHeight w:val="312"/>
          <w:jc w:val="center"/>
        </w:trPr>
        <w:tc>
          <w:tcPr>
            <w:tcW w:w="14452" w:type="dxa"/>
            <w:gridSpan w:val="9"/>
            <w:shd w:val="clear" w:color="auto" w:fill="D9D9D9" w:themeFill="background1" w:themeFillShade="D9"/>
            <w:vAlign w:val="center"/>
          </w:tcPr>
          <w:p w14:paraId="7B2A4DE2" w14:textId="1BB60726" w:rsidR="002A68CB" w:rsidRPr="003C203B" w:rsidRDefault="002A68CB" w:rsidP="002A68CB">
            <w:pPr>
              <w:spacing w:before="0" w:after="0"/>
              <w:jc w:val="center"/>
              <w:rPr>
                <w:rFonts w:cs="Times New Roman"/>
                <w:b/>
                <w:i/>
                <w:sz w:val="20"/>
                <w:szCs w:val="20"/>
              </w:rPr>
            </w:pPr>
            <w:r w:rsidRPr="003C203B">
              <w:rPr>
                <w:rFonts w:cs="Times New Roman"/>
                <w:b/>
                <w:i/>
                <w:sz w:val="20"/>
                <w:szCs w:val="20"/>
              </w:rPr>
              <w:t>Aminoalkylindole</w:t>
            </w:r>
          </w:p>
        </w:tc>
      </w:tr>
      <w:tr w:rsidR="002A68CB" w:rsidRPr="00EE52FF" w14:paraId="61902BBA" w14:textId="77777777" w:rsidTr="003C203B">
        <w:trPr>
          <w:trHeight w:val="537"/>
          <w:jc w:val="center"/>
        </w:trPr>
        <w:tc>
          <w:tcPr>
            <w:tcW w:w="1974" w:type="dxa"/>
            <w:shd w:val="clear" w:color="auto" w:fill="auto"/>
            <w:vAlign w:val="center"/>
          </w:tcPr>
          <w:p w14:paraId="147B1C7D" w14:textId="77777777" w:rsidR="002A68CB" w:rsidRPr="00EE52FF" w:rsidRDefault="002A68CB" w:rsidP="002A68CB">
            <w:pPr>
              <w:spacing w:before="0" w:after="0"/>
              <w:jc w:val="center"/>
              <w:rPr>
                <w:rFonts w:cs="Times New Roman"/>
                <w:b/>
                <w:sz w:val="20"/>
                <w:szCs w:val="20"/>
              </w:rPr>
            </w:pPr>
            <w:r w:rsidRPr="00EE52FF">
              <w:rPr>
                <w:rFonts w:cs="Times New Roman"/>
                <w:b/>
                <w:sz w:val="20"/>
                <w:szCs w:val="20"/>
              </w:rPr>
              <w:t>WIN55212-2</w:t>
            </w:r>
          </w:p>
        </w:tc>
        <w:tc>
          <w:tcPr>
            <w:tcW w:w="2132" w:type="dxa"/>
            <w:vAlign w:val="center"/>
          </w:tcPr>
          <w:p w14:paraId="477CB532" w14:textId="5375BAD0" w:rsidR="002A68CB" w:rsidRPr="00EE52FF" w:rsidRDefault="00604871" w:rsidP="002A68CB">
            <w:pPr>
              <w:spacing w:before="0" w:after="0"/>
              <w:jc w:val="center"/>
              <w:rPr>
                <w:rFonts w:cs="Times New Roman"/>
                <w:sz w:val="20"/>
                <w:szCs w:val="20"/>
              </w:rPr>
            </w:pPr>
            <w:r>
              <w:rPr>
                <w:noProof/>
              </w:rPr>
              <w:object w:dxaOrig="1865" w:dyaOrig="2911" w14:anchorId="16257DD3">
                <v:shape id="_x0000_i1038" type="#_x0000_t75" alt="" style="width:61.1pt;height:93.75pt;mso-width-percent:0;mso-height-percent:0;mso-width-percent:0;mso-height-percent:0" o:ole="">
                  <v:imagedata r:id="rId38" o:title=""/>
                </v:shape>
                <o:OLEObject Type="Embed" ProgID="ChemDraw.Document.6.0" ShapeID="_x0000_i1038" DrawAspect="Content" ObjectID="_1706533568" r:id="rId39"/>
              </w:object>
            </w:r>
          </w:p>
        </w:tc>
        <w:tc>
          <w:tcPr>
            <w:tcW w:w="1276" w:type="dxa"/>
            <w:shd w:val="clear" w:color="auto" w:fill="auto"/>
            <w:vAlign w:val="center"/>
          </w:tcPr>
          <w:p w14:paraId="52009305" w14:textId="2F255D65" w:rsidR="002A68CB" w:rsidRPr="00EE52FF" w:rsidRDefault="002A68CB" w:rsidP="002A68CB">
            <w:pPr>
              <w:spacing w:before="0" w:after="0"/>
              <w:jc w:val="center"/>
              <w:rPr>
                <w:rFonts w:cs="Times New Roman"/>
                <w:sz w:val="20"/>
                <w:szCs w:val="20"/>
              </w:rPr>
            </w:pPr>
            <w:r w:rsidRPr="00EE52FF">
              <w:rPr>
                <w:rFonts w:cs="Times New Roman"/>
                <w:sz w:val="20"/>
                <w:szCs w:val="20"/>
              </w:rPr>
              <w:t>44.4 ± 0.9</w:t>
            </w:r>
          </w:p>
        </w:tc>
        <w:tc>
          <w:tcPr>
            <w:tcW w:w="1417" w:type="dxa"/>
            <w:shd w:val="clear" w:color="auto" w:fill="auto"/>
            <w:vAlign w:val="center"/>
          </w:tcPr>
          <w:p w14:paraId="5EC85B39" w14:textId="17FFBB2B"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B14F5B6" w14:textId="11CC1EDA"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19.2 ± 1.3</w:t>
            </w:r>
          </w:p>
        </w:tc>
        <w:tc>
          <w:tcPr>
            <w:tcW w:w="1701" w:type="dxa"/>
            <w:shd w:val="clear" w:color="auto" w:fill="auto"/>
            <w:vAlign w:val="center"/>
          </w:tcPr>
          <w:p w14:paraId="6E235195"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t>35.8 ± 2.2</w:t>
            </w:r>
          </w:p>
        </w:tc>
        <w:tc>
          <w:tcPr>
            <w:tcW w:w="1418" w:type="dxa"/>
            <w:shd w:val="clear" w:color="auto" w:fill="auto"/>
            <w:vAlign w:val="center"/>
          </w:tcPr>
          <w:p w14:paraId="5BFDB4BE" w14:textId="77777777" w:rsidR="002A68CB" w:rsidRPr="00EE52FF" w:rsidRDefault="002A68CB" w:rsidP="002A68CB">
            <w:pPr>
              <w:spacing w:before="0" w:after="0"/>
              <w:jc w:val="center"/>
              <w:rPr>
                <w:rFonts w:cs="Times New Roman"/>
                <w:sz w:val="20"/>
                <w:szCs w:val="20"/>
              </w:rPr>
            </w:pPr>
            <w:r w:rsidRPr="00EE52FF">
              <w:rPr>
                <w:rFonts w:cs="Times New Roman"/>
                <w:sz w:val="20"/>
                <w:szCs w:val="20"/>
              </w:rPr>
              <w:fldChar w:fldCharType="begin" w:fldLock="1"/>
            </w:r>
            <w:r w:rsidRPr="00EE52FF">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activity","type":"article-journal","volume":"8"},"uris":["http://www.mendeley.com/documents/?uuid=7438af72-1455-41df-a632-af491cdce11e"]}],"mendeley":{"formattedCitation":"(Soethoudt et al., 2017)","plainTextFormattedCitation":"(Soethoudt et al., 2017)","previouslyFormattedCitation":"(Soethoudt et al., 2017)"},"properties":{"noteIndex":0},"schema":"https://github.com/citation-style-language/schema/raw/master/csl-citation.json"}</w:instrText>
            </w:r>
            <w:r w:rsidRPr="00EE52FF">
              <w:rPr>
                <w:rFonts w:cs="Times New Roman"/>
                <w:sz w:val="20"/>
                <w:szCs w:val="20"/>
              </w:rPr>
              <w:fldChar w:fldCharType="separate"/>
            </w:r>
            <w:r w:rsidRPr="00EE52FF">
              <w:rPr>
                <w:rFonts w:cs="Times New Roman"/>
                <w:noProof/>
                <w:sz w:val="20"/>
                <w:szCs w:val="20"/>
              </w:rPr>
              <w:t>(Soethoudt et al., 2017)</w:t>
            </w:r>
            <w:r w:rsidRPr="00EE52FF">
              <w:rPr>
                <w:rFonts w:cs="Times New Roman"/>
                <w:sz w:val="20"/>
                <w:szCs w:val="20"/>
              </w:rPr>
              <w:fldChar w:fldCharType="end"/>
            </w:r>
          </w:p>
        </w:tc>
        <w:tc>
          <w:tcPr>
            <w:tcW w:w="1415" w:type="dxa"/>
            <w:vAlign w:val="center"/>
          </w:tcPr>
          <w:p w14:paraId="2F0BC15B" w14:textId="77777777" w:rsidR="002A68CB" w:rsidRPr="00EE52FF" w:rsidRDefault="002A68CB" w:rsidP="002A68CB">
            <w:pPr>
              <w:spacing w:before="0" w:after="0"/>
              <w:jc w:val="center"/>
              <w:rPr>
                <w:sz w:val="20"/>
                <w:szCs w:val="20"/>
              </w:rPr>
            </w:pPr>
            <w:r w:rsidRPr="00EE52FF">
              <w:rPr>
                <w:rFonts w:cs="Times New Roman"/>
                <w:sz w:val="20"/>
                <w:szCs w:val="20"/>
              </w:rPr>
              <w:t>3.7 ± 0.2</w:t>
            </w:r>
          </w:p>
        </w:tc>
        <w:tc>
          <w:tcPr>
            <w:tcW w:w="1701" w:type="dxa"/>
            <w:vAlign w:val="center"/>
          </w:tcPr>
          <w:p w14:paraId="5A617A3E" w14:textId="77777777" w:rsidR="002A68CB" w:rsidRDefault="002A68CB" w:rsidP="002A68CB">
            <w:pPr>
              <w:spacing w:before="0" w:after="0" w:line="260" w:lineRule="exact"/>
              <w:jc w:val="center"/>
              <w:rPr>
                <w:rFonts w:cs="Times New Roman"/>
                <w:sz w:val="20"/>
                <w:szCs w:val="20"/>
              </w:rPr>
            </w:pPr>
            <w:r>
              <w:rPr>
                <w:rFonts w:cs="Times New Roman"/>
                <w:sz w:val="20"/>
                <w:szCs w:val="20"/>
              </w:rPr>
              <w:t>Agonist</w:t>
            </w:r>
          </w:p>
          <w:p w14:paraId="71057BD9" w14:textId="77777777" w:rsidR="002A68CB" w:rsidRPr="00EE52FF" w:rsidRDefault="002A68CB" w:rsidP="002A68CB">
            <w:pPr>
              <w:spacing w:before="0" w:after="0" w:line="260" w:lineRule="exact"/>
              <w:jc w:val="center"/>
              <w:rPr>
                <w:rFonts w:cs="Times New Roman"/>
                <w:sz w:val="20"/>
                <w:szCs w:val="20"/>
              </w:rPr>
            </w:pPr>
            <w:r w:rsidRPr="00EE52FF">
              <w:rPr>
                <w:rFonts w:cs="Times New Roman"/>
                <w:sz w:val="20"/>
                <w:szCs w:val="20"/>
              </w:rPr>
              <w:t>10.9 ± 0.9</w:t>
            </w:r>
            <w:r w:rsidRPr="009F714F">
              <w:rPr>
                <w:rFonts w:cs="Times New Roman"/>
                <w:sz w:val="20"/>
                <w:szCs w:val="20"/>
                <w:vertAlign w:val="superscript"/>
              </w:rPr>
              <w:t>#</w:t>
            </w:r>
          </w:p>
        </w:tc>
        <w:tc>
          <w:tcPr>
            <w:tcW w:w="1418" w:type="dxa"/>
            <w:vAlign w:val="center"/>
          </w:tcPr>
          <w:p w14:paraId="7A6D3215" w14:textId="77777777" w:rsidR="002A68CB" w:rsidRPr="00EE52FF" w:rsidRDefault="002A68CB" w:rsidP="002A68CB">
            <w:pPr>
              <w:spacing w:before="0" w:after="0"/>
              <w:jc w:val="center"/>
              <w:rPr>
                <w:rFonts w:cs="Times New Roman"/>
                <w:sz w:val="20"/>
                <w:szCs w:val="20"/>
              </w:rPr>
            </w:pPr>
            <w:r>
              <w:rPr>
                <w:rFonts w:cs="Times New Roman"/>
                <w:sz w:val="20"/>
                <w:szCs w:val="20"/>
              </w:rPr>
              <w:fldChar w:fldCharType="begin" w:fldLock="1"/>
            </w:r>
            <w:r>
              <w:rPr>
                <w:rFonts w:cs="Times New Roman"/>
                <w:sz w:val="20"/>
                <w:szCs w:val="20"/>
              </w:rPr>
              <w:instrText>ADDIN CSL_CITATION {"citationItems":[{"id":"ITEM-1","itemData":{"DOI":"10.1038/ncomms13958","ISSN":"2041-1723","author":[{"dropping-particle":"","family":"Soethoudt","given":"Marjolein","non-dropping-particle":"","parse-names":false,"suffix":""},{"dropping-particle":"","family":"Grether","given":"Uwe","non-dropping-particle":"","parse-names":false,"suffix":""},{"dropping-particle":"","family":"Fingerle","given":"Jürgen","non-dropping-particle":"","parse-names":false,"suffix":""},{"dropping-particle":"","family":"Grim","given":"Travis W.","non-dropping-particle":"","parse-names":false,"suffix":""},{"dropping-particle":"","family":"Fezza","given":"Filomena","non-dropping-particle":"","parse-names":false,"suffix":""},{"dropping-particle":"","family":"Petrocellis","given":"Luciano","non-dropping-particle":"de","parse-names":false,"suffix":""},{"dropping-particle":"","family":"Ullmer","given":"Christoph","non-dropping-particle":"","parse-names":false,"suffix":""},{"dropping-particle":"","family":"Rothenhäusler","given":"Benno","non-dropping-particle":"","parse-names":false,"suffix":""},{"dropping-particle":"","family":"Perret","given":"Camille","non-dropping-particle":"","parse-names":false,"suffix":""},{"dropping-particle":"","family":"Gils","given":"Noortje","non-dropping-particle":"van","parse-names":false,"suffix":""},{"dropping-particle":"","family":"Finlay","given":"David","non-dropping-particle":"","parse-names":false,"suffix":""},{"dropping-particle":"","family":"MacDonald","given":"Christa","non-dropping-particle":"","parse-names":false,"suffix":""},{"dropping-particle":"","family":"Chicca","given":"Andrea","non-dropping-particle":"","parse-names":false,"suffix":""},{"dropping-particle":"","family":"Gens","given":"Marianela Dalghi","non-dropping-particle":"","parse-names":false,"suffix":""},{"dropping-particle":"","family":"Stuart","given":"Jordyn","non-dropping-particle":"","parse-names":false,"suffix":""},{"dropping-particle":"","family":"Vries","given":"Henk","non-dropping-particle":"de","parse-names":false,"suffix":""},{"dropping-particle":"","family":"Mastrangelo","given":"Nicolina","non-dropping-particle":"","parse-names":false,"suffix":""},{"dropping-particle":"","family":"Xia","given":"Lizi","non-dropping-particle":"","parse-names":false,"suffix":""},{"dropping-particle":"","family":"Alachouzos","given":"Georgios","non-dropping-particle":"","parse-names":false,"suffix":""},{"dropping-particle":"","family":"Baggelaar","given":"Marc P.","non-dropping-particle":"","parse-names":false,"suffix":""},{"dropping-particle":"","family":"Martella","given":"Andrea","non-dropping-particle":"","parse-names":false,"suffix":""},{"dropping-particle":"","family":"Mock","given":"Elliot D.","non-dropping-particle":"","parse-names":false,"suffix":""},{"dropping-particle":"","family":"Deng","given":"Hui","non-dropping-particle":"","parse-names":false,"suffix":""},{"dropping-particle":"","family":"Heitman","given":"Laura H.","non-dropping-particle":"","parse-names":false,"suffix":""},{"dropping-particle":"","family":"Connor","given":"Mark","non-dropping-particle":"","parse-names":false,"suffix":""},{"dropping-particle":"","family":"Marzo","given":"Vincenzo","non-dropping-particle":"Di","parse-names":false,"suffix":""},{"dropping-particle":"","family":"Gertsch","given":"Jürg","non-dropping-particle":"","parse-names":false,"suffix":""},{"dropping-particle":"","family":"Lichtman","given":"Aron H.","non-dropping-particle":"","parse-names":false,"suffix":""},{"dropping-particle":"","family":"Maccarrone","given":"Mauro","non-dropping-particle":"","parse-names":false,"suffix":""},{"dropping-particle":"","family":"Pacher","given":"Pal","non-dropping-particle":"","parse-names":false,"suffix":""},{"dropping-particle":"","family":"Glass","given":"Michelle","non-dropping-particle":"","parse-names":false,"suffix":""},{"dropping-particle":"","family":"Stelt","given":"Mario","non-dropping-particle":"van der","parse-names":false,"suffix":""}],"container-title":"Nature Communications","id":"ITEM-1","issued":{"date-parts":[["2017"]]},"page":"13958","title":"Cannabinoid CB2 receptor ligand profiling reveals biased signalling and off-target activity","type":"article-journal","volume":"8"},"uris":["http://www.mendeley.com/documents/?uuid=7438af72-1455-41df-a632-af491cdce11e"]},{"id":"ITEM-2","itemData":{"DOI":"10.1021/acs.jmedchem.6b00397","ISSN":"0022-2623","PMID":"27309150","abstract":"A combination of molecular modeling and structure-activity relationship studies have been used to fine tune CB2 selectivity in the chromenopyrazole ring, a versatile CB1/CB2 cannabinoid scaffold. Thus, a series of 36 new derivatives covering a wide range of structural diversity have been synthesized and docking studies have been performed for some of them. Biological evaluation of the new compounds includes, among others, cannabinoid binding assays, functional studies and surface plasmon resonance measurements. The most promising compound [43 (PM226)], a selective and potent CB2 agonist isoxazole derivative, was tested in the acute phase of Theiler's murine encephalomyelitis virus-induced demyelinating disease (TMEV-IDD), a well-established animal model of primary progressive multiple sclerosis. Compound 43 dampened neuroinflammation by reducing microglial activation in the TMEV.","author":[{"dropping-particle":"","family":"Morales","given":"Paula","non-dropping-particle":"","parse-names":false,"suffix":""},{"dropping-particle":"","family":"Gómez-Cañas","given":"María","non-dropping-particle":"","parse-names":false,"suffix":""},{"dropping-particle":"","family":"Navarro","given":"Gemma","non-dropping-particle":"","parse-names":false,"suffix":""},{"dropping-particle":"","family":"Hurst","given":"Dow P","non-dropping-particle":"","parse-names":false,"suffix":""},{"dropping-particle":"","family":"Carrillo-Salinas","given":"Francisco J","non-dropping-particle":"","parse-names":false,"suffix":""},{"dropping-particle":"","family":"Lagartera","given":"Laura","non-dropping-particle":"","parse-names":false,"suffix":""},{"dropping-particle":"","family":"Pazos","given":"Ruth","non-dropping-particle":"","parse-names":false,"suffix":""},{"dropping-particle":"","family":"Goya","given":"Pilar","non-dropping-particle":"","parse-names":false,"suffix":""},{"dropping-particle":"","family":"Reggio","given":"Patricia H","non-dropping-particle":"","parse-names":false,"suffix":""},{"dropping-particle":"","family":"Guaza","given":"Carmen","non-dropping-particle":"","parse-names":false,"suffix":""},{"dropping-particle":"","family":"Franco","given":"Rafael","non-dropping-particle":"","parse-names":false,"suffix":""},{"dropping-particle":"","family":"Fernández-Ruiz","given":"Javier","non-dropping-particle":"","parse-names":false,"suffix":""},{"dropping-particle":"","family":"Jagerovic","given":"Nadine","non-dropping-particle":"","parse-names":false,"suffix":""}],"container-title":"Journal of Medicinal Chemistry","id":"ITEM-2","issue":"14","issued":{"date-parts":[["2016","7","28"]]},"page":"6753-6771","title":"Chromenopyrazole, a Versatile Cannabinoid Scaffold with in Vivo Activity in a Model of Multiple Sclerosis","type":"article-journal","volume":"59"},"uris":["http://www.mendeley.com/documents/?uuid=c8629360-ac33-4227-9575-795cef15bc79"]}],"mendeley":{"formattedCitation":"(Morales et al., 2016; Soethoudt et al., 2017)","plainTextFormattedCitation":"(Morales et al., 2016; Soethoudt et al., 2017)","previouslyFormattedCitation":"(Morales et al., 2016; Soethoudt et al., 2017)"},"properties":{"noteIndex":0},"schema":"https://github.com/citation-style-language/schema/raw/master/csl-citation.json"}</w:instrText>
            </w:r>
            <w:r>
              <w:rPr>
                <w:rFonts w:cs="Times New Roman"/>
                <w:sz w:val="20"/>
                <w:szCs w:val="20"/>
              </w:rPr>
              <w:fldChar w:fldCharType="separate"/>
            </w:r>
            <w:r w:rsidRPr="00EE52FF">
              <w:rPr>
                <w:rFonts w:cs="Times New Roman"/>
                <w:noProof/>
                <w:sz w:val="20"/>
                <w:szCs w:val="20"/>
              </w:rPr>
              <w:t>(Morales et al., 2016; Soethoudt et al., 2017)</w:t>
            </w:r>
            <w:r>
              <w:rPr>
                <w:rFonts w:cs="Times New Roman"/>
                <w:sz w:val="20"/>
                <w:szCs w:val="20"/>
              </w:rPr>
              <w:fldChar w:fldCharType="end"/>
            </w:r>
          </w:p>
        </w:tc>
      </w:tr>
      <w:tr w:rsidR="002A68CB" w:rsidRPr="00EE52FF" w14:paraId="0EC27CA0" w14:textId="77777777" w:rsidTr="004C3FAD">
        <w:trPr>
          <w:trHeight w:val="802"/>
          <w:jc w:val="center"/>
        </w:trPr>
        <w:tc>
          <w:tcPr>
            <w:tcW w:w="14452" w:type="dxa"/>
            <w:gridSpan w:val="9"/>
            <w:vAlign w:val="center"/>
          </w:tcPr>
          <w:p w14:paraId="72EA6C43" w14:textId="02BA47BF" w:rsidR="002A68CB" w:rsidRDefault="002A68CB" w:rsidP="002A68CB">
            <w:pPr>
              <w:spacing w:before="0" w:after="0"/>
              <w:jc w:val="both"/>
              <w:rPr>
                <w:rFonts w:cs="Times New Roman"/>
                <w:sz w:val="20"/>
                <w:szCs w:val="20"/>
              </w:rPr>
            </w:pPr>
            <w:r w:rsidRPr="00EE52FF">
              <w:rPr>
                <w:rFonts w:cs="Times New Roman"/>
                <w:sz w:val="20"/>
                <w:szCs w:val="20"/>
              </w:rPr>
              <w:t xml:space="preserve">*Efficacy as % of ionomycin 4 </w:t>
            </w:r>
            <w:r w:rsidRPr="00EE52FF">
              <w:rPr>
                <w:rFonts w:ascii="Symbol" w:hAnsi="Symbol" w:cs="Times New Roman"/>
                <w:sz w:val="20"/>
                <w:szCs w:val="20"/>
              </w:rPr>
              <w:t></w:t>
            </w:r>
            <w:r w:rsidRPr="00EE52FF">
              <w:rPr>
                <w:rFonts w:cs="Times New Roman"/>
                <w:sz w:val="20"/>
                <w:szCs w:val="20"/>
              </w:rPr>
              <w:t>M</w:t>
            </w:r>
            <w:r>
              <w:rPr>
                <w:rFonts w:cs="Times New Roman"/>
                <w:sz w:val="20"/>
                <w:szCs w:val="20"/>
              </w:rPr>
              <w:t xml:space="preserve">; </w:t>
            </w:r>
            <w:r w:rsidRPr="00EE52FF">
              <w:rPr>
                <w:rFonts w:cs="Times New Roman"/>
                <w:b/>
                <w:sz w:val="20"/>
                <w:szCs w:val="20"/>
              </w:rPr>
              <w:t>**</w:t>
            </w:r>
            <w:r w:rsidRPr="00EE52FF">
              <w:rPr>
                <w:rFonts w:cs="Times New Roman"/>
                <w:sz w:val="20"/>
                <w:szCs w:val="20"/>
              </w:rPr>
              <w:t xml:space="preserve">Desensitization vs standardized agonist (0.1 </w:t>
            </w:r>
            <w:r w:rsidRPr="00EE52FF">
              <w:rPr>
                <w:rFonts w:cs="Times New Roman"/>
                <w:sz w:val="20"/>
                <w:szCs w:val="20"/>
                <w:lang w:val="el-GR"/>
              </w:rPr>
              <w:t>μΜ</w:t>
            </w:r>
            <w:r w:rsidRPr="00077C40">
              <w:rPr>
                <w:rFonts w:cs="Times New Roman"/>
                <w:sz w:val="20"/>
                <w:szCs w:val="20"/>
              </w:rPr>
              <w:t xml:space="preserve"> </w:t>
            </w:r>
            <w:r w:rsidRPr="00EE52FF">
              <w:rPr>
                <w:rFonts w:cs="Times New Roman"/>
                <w:sz w:val="20"/>
                <w:szCs w:val="20"/>
              </w:rPr>
              <w:t>capsaicin) at IC</w:t>
            </w:r>
            <w:r w:rsidRPr="00EE52FF">
              <w:rPr>
                <w:rFonts w:cs="Times New Roman"/>
                <w:sz w:val="20"/>
                <w:szCs w:val="20"/>
                <w:vertAlign w:val="subscript"/>
              </w:rPr>
              <w:t>50</w:t>
            </w:r>
            <w:r w:rsidRPr="00EE52FF">
              <w:rPr>
                <w:rFonts w:cs="Times New Roman"/>
                <w:sz w:val="20"/>
                <w:szCs w:val="20"/>
              </w:rPr>
              <w:t xml:space="preserve"> concentrations.</w:t>
            </w:r>
          </w:p>
          <w:p w14:paraId="2648438C" w14:textId="02D23D18" w:rsidR="002A68CB" w:rsidRPr="00A031E1" w:rsidRDefault="002A68CB" w:rsidP="002A68CB">
            <w:pPr>
              <w:spacing w:before="0" w:after="0"/>
              <w:jc w:val="both"/>
              <w:rPr>
                <w:rFonts w:cs="Times New Roman"/>
                <w:sz w:val="20"/>
                <w:szCs w:val="20"/>
              </w:rPr>
            </w:pPr>
            <w:r w:rsidRPr="00A031E1">
              <w:rPr>
                <w:rFonts w:cs="Times New Roman"/>
                <w:sz w:val="20"/>
                <w:szCs w:val="20"/>
                <w:vertAlign w:val="superscript"/>
              </w:rPr>
              <w:t>$</w:t>
            </w:r>
            <w:r w:rsidRPr="00A031E1">
              <w:rPr>
                <w:rFonts w:cs="Times New Roman"/>
                <w:sz w:val="20"/>
                <w:szCs w:val="20"/>
              </w:rPr>
              <w:t>[</w:t>
            </w:r>
            <w:r w:rsidRPr="00A031E1">
              <w:rPr>
                <w:rFonts w:cs="Times New Roman"/>
                <w:sz w:val="20"/>
                <w:szCs w:val="20"/>
                <w:vertAlign w:val="superscript"/>
              </w:rPr>
              <w:t>3</w:t>
            </w:r>
            <w:proofErr w:type="gramStart"/>
            <w:r w:rsidRPr="00A031E1">
              <w:rPr>
                <w:rFonts w:cs="Times New Roman"/>
                <w:sz w:val="20"/>
                <w:szCs w:val="20"/>
              </w:rPr>
              <w:t>H]CP</w:t>
            </w:r>
            <w:proofErr w:type="gramEnd"/>
            <w:r w:rsidR="00101127">
              <w:rPr>
                <w:rFonts w:cs="Times New Roman"/>
                <w:sz w:val="20"/>
                <w:szCs w:val="20"/>
              </w:rPr>
              <w:t>55,940 displacement from</w:t>
            </w:r>
            <w:r w:rsidRPr="00A031E1">
              <w:rPr>
                <w:rFonts w:cs="Times New Roman"/>
                <w:sz w:val="20"/>
                <w:szCs w:val="20"/>
              </w:rPr>
              <w:t xml:space="preserve"> hCB2R cell membranes</w:t>
            </w:r>
            <w:r w:rsidR="00101127">
              <w:rPr>
                <w:rFonts w:cs="Times New Roman"/>
                <w:sz w:val="20"/>
                <w:szCs w:val="20"/>
              </w:rPr>
              <w:t>.</w:t>
            </w:r>
          </w:p>
          <w:p w14:paraId="3D54196B" w14:textId="77777777" w:rsidR="002A68CB" w:rsidRPr="009F714F" w:rsidRDefault="002A68CB" w:rsidP="002A68CB">
            <w:pPr>
              <w:spacing w:before="0" w:after="0"/>
              <w:jc w:val="both"/>
              <w:rPr>
                <w:rFonts w:cs="Times New Roman"/>
                <w:sz w:val="20"/>
                <w:szCs w:val="20"/>
              </w:rPr>
            </w:pPr>
            <w:r w:rsidRPr="009F714F">
              <w:rPr>
                <w:rFonts w:cs="Times New Roman"/>
                <w:sz w:val="20"/>
                <w:szCs w:val="20"/>
                <w:vertAlign w:val="superscript"/>
              </w:rPr>
              <w:t>#</w:t>
            </w:r>
            <w:r>
              <w:rPr>
                <w:rFonts w:cs="Times New Roman"/>
                <w:sz w:val="20"/>
                <w:szCs w:val="20"/>
              </w:rPr>
              <w:t xml:space="preserve">GTPγS assays; </w:t>
            </w:r>
            <w:r w:rsidRPr="00A42C4D">
              <w:rPr>
                <w:rFonts w:cs="Times New Roman"/>
                <w:sz w:val="20"/>
                <w:szCs w:val="20"/>
                <w:vertAlign w:val="superscript"/>
              </w:rPr>
              <w:t>##</w:t>
            </w:r>
            <w:r>
              <w:rPr>
                <w:rFonts w:cs="Times New Roman"/>
                <w:sz w:val="20"/>
                <w:szCs w:val="20"/>
              </w:rPr>
              <w:t>GTPγS assays-IC</w:t>
            </w:r>
            <w:r w:rsidRPr="00B44811">
              <w:rPr>
                <w:rFonts w:cs="Times New Roman"/>
                <w:sz w:val="20"/>
                <w:szCs w:val="20"/>
                <w:vertAlign w:val="subscript"/>
              </w:rPr>
              <w:t>50</w:t>
            </w:r>
            <w:r>
              <w:rPr>
                <w:rFonts w:cs="Times New Roman"/>
                <w:sz w:val="20"/>
                <w:szCs w:val="20"/>
              </w:rPr>
              <w:t xml:space="preserve"> </w:t>
            </w:r>
            <w:r>
              <w:t>≈</w:t>
            </w:r>
            <w:r>
              <w:rPr>
                <w:rFonts w:cs="Times New Roman"/>
                <w:sz w:val="20"/>
                <w:szCs w:val="20"/>
              </w:rPr>
              <w:t xml:space="preserve"> 3.2 </w:t>
            </w:r>
            <w:proofErr w:type="spellStart"/>
            <w:r>
              <w:rPr>
                <w:rFonts w:cs="Times New Roman"/>
                <w:sz w:val="20"/>
                <w:szCs w:val="20"/>
              </w:rPr>
              <w:t>nM</w:t>
            </w:r>
            <w:proofErr w:type="spellEnd"/>
            <w:r>
              <w:rPr>
                <w:rFonts w:cs="Times New Roman"/>
                <w:sz w:val="20"/>
                <w:szCs w:val="20"/>
              </w:rPr>
              <w:t xml:space="preserve"> (extracted from the graph); </w:t>
            </w:r>
            <w:r w:rsidRPr="00A42C4D">
              <w:rPr>
                <w:rFonts w:cs="Times New Roman"/>
                <w:sz w:val="20"/>
                <w:szCs w:val="20"/>
                <w:vertAlign w:val="superscript"/>
              </w:rPr>
              <w:t>#</w:t>
            </w:r>
            <w:r>
              <w:rPr>
                <w:rFonts w:cs="Times New Roman"/>
                <w:sz w:val="20"/>
                <w:szCs w:val="20"/>
                <w:vertAlign w:val="superscript"/>
              </w:rPr>
              <w:t>##</w:t>
            </w:r>
            <w:r>
              <w:rPr>
                <w:rFonts w:cs="Times New Roman"/>
                <w:sz w:val="20"/>
                <w:szCs w:val="20"/>
              </w:rPr>
              <w:t>cAMP assays</w:t>
            </w:r>
          </w:p>
          <w:p w14:paraId="1F9E1619" w14:textId="3A784E25" w:rsidR="002A68CB" w:rsidRPr="00EE52FF" w:rsidRDefault="002A68CB" w:rsidP="00101127">
            <w:pPr>
              <w:spacing w:before="0" w:after="0"/>
              <w:jc w:val="both"/>
              <w:rPr>
                <w:rFonts w:cs="Times New Roman"/>
                <w:sz w:val="20"/>
                <w:szCs w:val="20"/>
              </w:rPr>
            </w:pPr>
            <w:r w:rsidRPr="00EE52FF">
              <w:rPr>
                <w:rFonts w:cs="Times New Roman"/>
                <w:sz w:val="20"/>
                <w:szCs w:val="20"/>
              </w:rPr>
              <w:t>NA: No activity, N</w:t>
            </w:r>
            <w:r>
              <w:rPr>
                <w:rFonts w:cs="Times New Roman"/>
                <w:sz w:val="20"/>
                <w:szCs w:val="20"/>
              </w:rPr>
              <w:t xml:space="preserve">D: Not determined; </w:t>
            </w:r>
            <w:r w:rsidRPr="00EE52FF">
              <w:rPr>
                <w:rFonts w:cs="Times New Roman"/>
                <w:sz w:val="20"/>
                <w:szCs w:val="20"/>
              </w:rPr>
              <w:t>NA</w:t>
            </w:r>
            <w:r>
              <w:rPr>
                <w:rFonts w:cs="Times New Roman"/>
                <w:sz w:val="20"/>
                <w:szCs w:val="20"/>
              </w:rPr>
              <w:t>M</w:t>
            </w:r>
            <w:r w:rsidRPr="00EE52FF">
              <w:rPr>
                <w:rFonts w:cs="Times New Roman"/>
                <w:sz w:val="20"/>
                <w:szCs w:val="20"/>
              </w:rPr>
              <w:t>: N</w:t>
            </w:r>
            <w:r>
              <w:rPr>
                <w:rFonts w:cs="Times New Roman"/>
                <w:sz w:val="20"/>
                <w:szCs w:val="20"/>
              </w:rPr>
              <w:t>egative allosteric modulator.</w:t>
            </w:r>
          </w:p>
        </w:tc>
      </w:tr>
    </w:tbl>
    <w:p w14:paraId="665ACA2B" w14:textId="3E2EBBC1" w:rsidR="00F938E4" w:rsidRPr="007277BE" w:rsidRDefault="00F938E4" w:rsidP="002243D3">
      <w:pPr>
        <w:tabs>
          <w:tab w:val="left" w:pos="7605"/>
        </w:tabs>
        <w:spacing w:before="240"/>
        <w:sectPr w:rsidR="00F938E4" w:rsidRPr="007277BE" w:rsidSect="00F938E4">
          <w:headerReference w:type="first" r:id="rId40"/>
          <w:pgSz w:w="15840" w:h="12240" w:orient="landscape"/>
          <w:pgMar w:top="1282" w:right="1138" w:bottom="1181" w:left="1138" w:header="720" w:footer="720" w:gutter="0"/>
          <w:cols w:space="720"/>
          <w:titlePg/>
          <w:docGrid w:linePitch="360"/>
        </w:sectPr>
      </w:pPr>
    </w:p>
    <w:p w14:paraId="6A3E0E45" w14:textId="5F0B2507" w:rsidR="004F07F7" w:rsidRDefault="004F07F7" w:rsidP="003B593A">
      <w:pPr>
        <w:keepNext/>
        <w:jc w:val="both"/>
        <w:rPr>
          <w:rFonts w:cs="Times New Roman"/>
          <w:szCs w:val="24"/>
        </w:rPr>
      </w:pPr>
    </w:p>
    <w:p w14:paraId="4998785A" w14:textId="4AF560DD" w:rsidR="00164C2D" w:rsidRDefault="00164C2D" w:rsidP="003B593A">
      <w:pPr>
        <w:keepNext/>
        <w:jc w:val="both"/>
        <w:rPr>
          <w:rFonts w:cs="Times New Roman"/>
          <w:szCs w:val="24"/>
        </w:rPr>
      </w:pPr>
    </w:p>
    <w:p w14:paraId="7B05C66B" w14:textId="333963EA" w:rsidR="00164C2D" w:rsidRDefault="0030138E" w:rsidP="003B593A">
      <w:pPr>
        <w:keepNext/>
        <w:jc w:val="both"/>
        <w:rPr>
          <w:rFonts w:cs="Times New Roman"/>
          <w:szCs w:val="24"/>
        </w:rPr>
      </w:pPr>
      <w:r>
        <w:rPr>
          <w:rFonts w:cs="Times New Roman"/>
          <w:noProof/>
          <w:szCs w:val="24"/>
          <w:lang w:val="es-ES" w:eastAsia="es-ES"/>
        </w:rPr>
        <w:drawing>
          <wp:inline distT="0" distB="0" distL="0" distR="0" wp14:anchorId="3BBACB38" wp14:editId="42A6EE6C">
            <wp:extent cx="6208395" cy="184594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208395" cy="1845945"/>
                    </a:xfrm>
                    <a:prstGeom prst="rect">
                      <a:avLst/>
                    </a:prstGeom>
                  </pic:spPr>
                </pic:pic>
              </a:graphicData>
            </a:graphic>
          </wp:inline>
        </w:drawing>
      </w:r>
    </w:p>
    <w:p w14:paraId="73ECBE43" w14:textId="65C53BF8" w:rsidR="00AF3128" w:rsidRDefault="00FA04D4" w:rsidP="00AF3128">
      <w:pPr>
        <w:pStyle w:val="TAMainText"/>
        <w:spacing w:line="360" w:lineRule="auto"/>
        <w:ind w:firstLine="0"/>
        <w:rPr>
          <w:color w:val="D13438"/>
          <w:szCs w:val="24"/>
        </w:rPr>
      </w:pPr>
      <w:r w:rsidRPr="00710854">
        <w:rPr>
          <w:b/>
          <w:bCs/>
          <w:szCs w:val="24"/>
        </w:rPr>
        <w:t>Figure S</w:t>
      </w:r>
      <w:r w:rsidR="00903863">
        <w:rPr>
          <w:b/>
          <w:bCs/>
          <w:szCs w:val="24"/>
        </w:rPr>
        <w:t>1</w:t>
      </w:r>
      <w:r w:rsidRPr="00710854">
        <w:rPr>
          <w:b/>
          <w:bCs/>
          <w:szCs w:val="24"/>
        </w:rPr>
        <w:t>.</w:t>
      </w:r>
      <w:r w:rsidRPr="00710854">
        <w:rPr>
          <w:szCs w:val="24"/>
        </w:rPr>
        <w:t xml:space="preserve"> </w:t>
      </w:r>
      <w:r w:rsidRPr="00E40A72">
        <w:rPr>
          <w:color w:val="000000" w:themeColor="text1"/>
          <w:szCs w:val="24"/>
        </w:rPr>
        <w:t>TRPV1 sites: A) RTX/TRPV1 complex</w:t>
      </w:r>
      <w:r w:rsidR="008878B7" w:rsidRPr="00E40A72">
        <w:rPr>
          <w:color w:val="000000" w:themeColor="text1"/>
          <w:szCs w:val="24"/>
        </w:rPr>
        <w:t xml:space="preserve"> in the VBP</w:t>
      </w:r>
      <w:r w:rsidR="00AF3128" w:rsidRPr="00E40A72">
        <w:rPr>
          <w:color w:val="000000" w:themeColor="text1"/>
          <w:szCs w:val="24"/>
        </w:rPr>
        <w:t xml:space="preserve">. </w:t>
      </w:r>
      <w:r w:rsidR="00AF3128" w:rsidRPr="00E40A72">
        <w:rPr>
          <w:rFonts w:ascii="Times New Roman" w:hAnsi="Times New Roman"/>
          <w:color w:val="000000" w:themeColor="text1"/>
          <w:szCs w:val="24"/>
        </w:rPr>
        <w:t xml:space="preserve">The vanilloid binding pocket (VBP) is the location in TRPV1 in which capsaicin and </w:t>
      </w:r>
      <w:proofErr w:type="spellStart"/>
      <w:r w:rsidR="00AF3128" w:rsidRPr="00E40A72">
        <w:rPr>
          <w:rFonts w:ascii="Times New Roman" w:hAnsi="Times New Roman"/>
          <w:color w:val="000000" w:themeColor="text1"/>
          <w:szCs w:val="24"/>
        </w:rPr>
        <w:t>resiniferatoxin</w:t>
      </w:r>
      <w:proofErr w:type="spellEnd"/>
      <w:r w:rsidR="00AF3128" w:rsidRPr="00E40A72">
        <w:rPr>
          <w:rFonts w:ascii="Times New Roman" w:hAnsi="Times New Roman"/>
          <w:color w:val="000000" w:themeColor="text1"/>
          <w:szCs w:val="24"/>
        </w:rPr>
        <w:t xml:space="preserve"> (RTX) are shown to bind. RTX was used as the internal standard. The vanillyl moiety present in RTX binds deep in the VBP with the hydroxy group interacting with residues S512 and R557. Y511 interacts with one of the ester oxygens, providing stability from a key player in TRPV1 activation in response to vanilloid ligands.;</w:t>
      </w:r>
      <w:r w:rsidRPr="00E40A72">
        <w:rPr>
          <w:color w:val="000000" w:themeColor="text1"/>
          <w:szCs w:val="24"/>
        </w:rPr>
        <w:t xml:space="preserve"> B) AEA/TRPV1 complex</w:t>
      </w:r>
      <w:r w:rsidR="008878B7" w:rsidRPr="00E40A72">
        <w:rPr>
          <w:color w:val="000000" w:themeColor="text1"/>
          <w:szCs w:val="24"/>
        </w:rPr>
        <w:t xml:space="preserve"> in the S1-S4 tunnel</w:t>
      </w:r>
      <w:r w:rsidR="00AF3128" w:rsidRPr="00E40A72">
        <w:rPr>
          <w:color w:val="000000" w:themeColor="text1"/>
          <w:szCs w:val="24"/>
        </w:rPr>
        <w:t xml:space="preserve">. </w:t>
      </w:r>
      <w:r w:rsidR="00AF3128" w:rsidRPr="00E40A72">
        <w:rPr>
          <w:rFonts w:ascii="Times New Roman" w:hAnsi="Times New Roman"/>
          <w:color w:val="000000" w:themeColor="text1"/>
          <w:szCs w:val="24"/>
        </w:rPr>
        <w:t>Previous MD results show AEA entering a novel region between the S1-S4 helices, separate from the VBP and where the putative CBD site has been reported in TRPV2.</w:t>
      </w:r>
      <w:r w:rsidRPr="00E40A72">
        <w:rPr>
          <w:color w:val="000000" w:themeColor="text1"/>
          <w:szCs w:val="24"/>
        </w:rPr>
        <w:t>; C) CBD/TRPV1 complex</w:t>
      </w:r>
      <w:r w:rsidR="008878B7" w:rsidRPr="00E40A72">
        <w:rPr>
          <w:color w:val="000000" w:themeColor="text1"/>
          <w:szCs w:val="24"/>
        </w:rPr>
        <w:t xml:space="preserve"> between helices S5 and S6 of one monomer and S6 of another (S6*)</w:t>
      </w:r>
      <w:r w:rsidR="00710854" w:rsidRPr="00E40A72">
        <w:rPr>
          <w:color w:val="000000" w:themeColor="text1"/>
          <w:szCs w:val="24"/>
        </w:rPr>
        <w:t>.</w:t>
      </w:r>
      <w:r w:rsidR="0020135D" w:rsidRPr="00E40A72">
        <w:rPr>
          <w:color w:val="000000" w:themeColor="text1"/>
          <w:szCs w:val="24"/>
        </w:rPr>
        <w:t xml:space="preserve"> Ligands are shown in green VDW, helices S1-S4 are shown as purple cartoon tubes and labeled, helices S5, S6, S5* and S6* are shown as cartoon ribbons and labeled. S5* and S6* are helices from the adjacent monomer.</w:t>
      </w:r>
      <w:r w:rsidR="00AF3128" w:rsidRPr="00E40A72">
        <w:rPr>
          <w:color w:val="000000" w:themeColor="text1"/>
          <w:szCs w:val="24"/>
        </w:rPr>
        <w:t xml:space="preserve"> </w:t>
      </w:r>
      <w:r w:rsidR="00AF3128" w:rsidRPr="00E40A72">
        <w:rPr>
          <w:rFonts w:ascii="Times New Roman" w:hAnsi="Times New Roman"/>
          <w:color w:val="000000" w:themeColor="text1"/>
          <w:szCs w:val="24"/>
        </w:rPr>
        <w:t>A recently published cryo-EM structure shows CBD binding in a location separate from the VBP and the tunnel between helices S5 and S6 (double check) in TRPV2. Though TRPV1 and TRPV2 share some similar features with one another, they also have a fair share of differences as analyzed in Muller 2020. The central resorcinol ring found in CBD shows two pi-stacking interactions in this putative CBD site with Y584 and F639.</w:t>
      </w:r>
    </w:p>
    <w:p w14:paraId="35CE6DD7" w14:textId="6DB8EF84" w:rsidR="00FA04D4" w:rsidRDefault="00FA04D4" w:rsidP="00FA04D4">
      <w:pPr>
        <w:spacing w:before="240"/>
        <w:rPr>
          <w:szCs w:val="24"/>
        </w:rPr>
      </w:pPr>
    </w:p>
    <w:p w14:paraId="3E9EC208" w14:textId="19601A6A" w:rsidR="00903863" w:rsidRDefault="009A53EB" w:rsidP="00903863">
      <w:pPr>
        <w:spacing w:before="240"/>
        <w:jc w:val="center"/>
      </w:pPr>
      <w:r>
        <w:rPr>
          <w:noProof/>
          <w:lang w:val="es-ES" w:eastAsia="es-ES"/>
        </w:rPr>
        <w:lastRenderedPageBreak/>
        <w:drawing>
          <wp:inline distT="0" distB="0" distL="0" distR="0" wp14:anchorId="16E2127A" wp14:editId="7D8BDEF5">
            <wp:extent cx="6208395" cy="5234940"/>
            <wp:effectExtent l="0" t="0" r="1905"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08395" cy="5234940"/>
                    </a:xfrm>
                    <a:prstGeom prst="rect">
                      <a:avLst/>
                    </a:prstGeom>
                  </pic:spPr>
                </pic:pic>
              </a:graphicData>
            </a:graphic>
          </wp:inline>
        </w:drawing>
      </w:r>
    </w:p>
    <w:p w14:paraId="6B8675E2" w14:textId="518C09E1" w:rsidR="00903863" w:rsidRDefault="00903863" w:rsidP="00903863">
      <w:pPr>
        <w:keepNext/>
        <w:jc w:val="both"/>
        <w:rPr>
          <w:rFonts w:cs="Times New Roman"/>
          <w:szCs w:val="24"/>
        </w:rPr>
      </w:pPr>
      <w:r w:rsidRPr="00401222">
        <w:rPr>
          <w:rFonts w:cs="Times New Roman"/>
          <w:b/>
          <w:szCs w:val="24"/>
        </w:rPr>
        <w:t>Figure S</w:t>
      </w:r>
      <w:r>
        <w:rPr>
          <w:rFonts w:cs="Times New Roman"/>
          <w:b/>
          <w:szCs w:val="24"/>
        </w:rPr>
        <w:t>2</w:t>
      </w:r>
      <w:r w:rsidRPr="00401222">
        <w:rPr>
          <w:rFonts w:cs="Times New Roman"/>
          <w:b/>
          <w:szCs w:val="24"/>
        </w:rPr>
        <w:t>.</w:t>
      </w:r>
      <w:r w:rsidRPr="00401222">
        <w:rPr>
          <w:rFonts w:cs="Times New Roman"/>
          <w:szCs w:val="24"/>
        </w:rPr>
        <w:t xml:space="preserve"> </w:t>
      </w:r>
      <w:r>
        <w:rPr>
          <w:rFonts w:cs="Times New Roman"/>
          <w:szCs w:val="24"/>
        </w:rPr>
        <w:t>W</w:t>
      </w:r>
      <w:r w:rsidRPr="00401222">
        <w:rPr>
          <w:rFonts w:cs="Times New Roman"/>
          <w:szCs w:val="24"/>
        </w:rPr>
        <w:t xml:space="preserve">orkflows for the </w:t>
      </w:r>
      <w:proofErr w:type="gramStart"/>
      <w:r>
        <w:rPr>
          <w:rFonts w:cs="Times New Roman"/>
          <w:i/>
          <w:szCs w:val="24"/>
        </w:rPr>
        <w:t>i</w:t>
      </w:r>
      <w:r w:rsidRPr="00401222">
        <w:rPr>
          <w:rFonts w:cs="Times New Roman"/>
          <w:i/>
          <w:szCs w:val="24"/>
        </w:rPr>
        <w:t>n silico</w:t>
      </w:r>
      <w:proofErr w:type="gramEnd"/>
      <w:r w:rsidRPr="00401222">
        <w:rPr>
          <w:rFonts w:cs="Times New Roman"/>
          <w:szCs w:val="24"/>
        </w:rPr>
        <w:t xml:space="preserve"> identification of dual TRPV1/CB2 ligands. A)</w:t>
      </w:r>
      <w:r w:rsidR="009A53EB" w:rsidRPr="009A53EB">
        <w:rPr>
          <w:bCs/>
        </w:rPr>
        <w:t xml:space="preserve"> </w:t>
      </w:r>
      <w:r w:rsidR="009A53EB" w:rsidRPr="00401222">
        <w:rPr>
          <w:bCs/>
        </w:rPr>
        <w:t>Virtual screening of JWH133 structurally related chemical databases</w:t>
      </w:r>
      <w:r w:rsidRPr="00401222">
        <w:rPr>
          <w:rFonts w:cs="Times New Roman"/>
          <w:szCs w:val="24"/>
        </w:rPr>
        <w:t xml:space="preserve">; B) </w:t>
      </w:r>
      <w:r w:rsidR="009A53EB" w:rsidRPr="00401222">
        <w:rPr>
          <w:rFonts w:cs="Times New Roman"/>
          <w:szCs w:val="24"/>
        </w:rPr>
        <w:t>Cros</w:t>
      </w:r>
      <w:r w:rsidR="009A53EB">
        <w:rPr>
          <w:rFonts w:cs="Times New Roman"/>
          <w:szCs w:val="24"/>
        </w:rPr>
        <w:t>s-agonist</w:t>
      </w:r>
      <w:r w:rsidR="009A53EB" w:rsidRPr="00401222">
        <w:rPr>
          <w:rFonts w:cs="Times New Roman"/>
          <w:szCs w:val="24"/>
        </w:rPr>
        <w:t xml:space="preserve"> HTVS</w:t>
      </w:r>
      <w:r w:rsidRPr="00401222">
        <w:rPr>
          <w:rFonts w:cs="Times New Roman"/>
          <w:szCs w:val="24"/>
        </w:rPr>
        <w:t>.</w:t>
      </w:r>
    </w:p>
    <w:p w14:paraId="0725579C" w14:textId="77777777" w:rsidR="00903863" w:rsidRPr="00710854" w:rsidRDefault="00903863" w:rsidP="00FA04D4">
      <w:pPr>
        <w:spacing w:before="240"/>
        <w:rPr>
          <w:rFonts w:cs="Times New Roman"/>
          <w:szCs w:val="24"/>
        </w:rPr>
      </w:pPr>
    </w:p>
    <w:p w14:paraId="6536A263" w14:textId="441F1E20" w:rsidR="00164C2D" w:rsidRDefault="00164C2D" w:rsidP="003B593A">
      <w:pPr>
        <w:keepNext/>
        <w:jc w:val="both"/>
        <w:rPr>
          <w:rFonts w:cs="Times New Roman"/>
          <w:szCs w:val="24"/>
        </w:rPr>
      </w:pPr>
    </w:p>
    <w:p w14:paraId="78D37D4D" w14:textId="77777777" w:rsidR="006C457B" w:rsidRDefault="006C457B" w:rsidP="003B593A">
      <w:pPr>
        <w:keepNext/>
        <w:jc w:val="both"/>
        <w:rPr>
          <w:rFonts w:cs="Times New Roman"/>
          <w:szCs w:val="24"/>
        </w:rPr>
      </w:pPr>
    </w:p>
    <w:p w14:paraId="0D3848F4" w14:textId="0FAF4340" w:rsidR="004F07F7" w:rsidRDefault="007049FE" w:rsidP="003B593A">
      <w:pPr>
        <w:keepNext/>
        <w:jc w:val="both"/>
        <w:rPr>
          <w:rFonts w:cs="Times New Roman"/>
          <w:szCs w:val="24"/>
        </w:rPr>
      </w:pPr>
      <w:r>
        <w:rPr>
          <w:rFonts w:cs="Times New Roman"/>
          <w:noProof/>
          <w:szCs w:val="24"/>
          <w:lang w:val="es-ES" w:eastAsia="es-ES"/>
        </w:rPr>
        <w:drawing>
          <wp:inline distT="0" distB="0" distL="0" distR="0" wp14:anchorId="51B3A852" wp14:editId="659A15E4">
            <wp:extent cx="6208395" cy="2788285"/>
            <wp:effectExtent l="0" t="0" r="1905" b="5715"/>
            <wp:docPr id="36" name="Picture 3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208395" cy="2788285"/>
                    </a:xfrm>
                    <a:prstGeom prst="rect">
                      <a:avLst/>
                    </a:prstGeom>
                  </pic:spPr>
                </pic:pic>
              </a:graphicData>
            </a:graphic>
          </wp:inline>
        </w:drawing>
      </w:r>
    </w:p>
    <w:p w14:paraId="0FE014F7" w14:textId="54F58631" w:rsidR="00164C2D" w:rsidRDefault="00346CAA" w:rsidP="004F07F7">
      <w:pPr>
        <w:pStyle w:val="TAMainText"/>
        <w:spacing w:line="240" w:lineRule="auto"/>
        <w:ind w:firstLine="0"/>
        <w:rPr>
          <w:rFonts w:ascii="Times New Roman" w:hAnsi="Times New Roman"/>
          <w:b/>
          <w:szCs w:val="24"/>
        </w:rPr>
      </w:pPr>
      <w:r w:rsidRPr="00401222">
        <w:rPr>
          <w:b/>
          <w:szCs w:val="24"/>
        </w:rPr>
        <w:t>Figure S</w:t>
      </w:r>
      <w:r>
        <w:rPr>
          <w:b/>
          <w:szCs w:val="24"/>
        </w:rPr>
        <w:t>3</w:t>
      </w:r>
      <w:r w:rsidRPr="00401222">
        <w:rPr>
          <w:b/>
          <w:szCs w:val="24"/>
        </w:rPr>
        <w:t>.</w:t>
      </w:r>
      <w:r w:rsidRPr="00401222">
        <w:rPr>
          <w:szCs w:val="24"/>
        </w:rPr>
        <w:t xml:space="preserve"> </w:t>
      </w:r>
      <w:r w:rsidRPr="00346CAA">
        <w:rPr>
          <w:szCs w:val="24"/>
        </w:rPr>
        <w:t>Docking studies of JWH133 in CB2 and TRPV1</w:t>
      </w:r>
      <w:r w:rsidRPr="00401222">
        <w:rPr>
          <w:szCs w:val="24"/>
        </w:rPr>
        <w:t xml:space="preserve">. A) </w:t>
      </w:r>
      <w:r>
        <w:rPr>
          <w:szCs w:val="24"/>
        </w:rPr>
        <w:t>CB2/JWH133 complex</w:t>
      </w:r>
      <w:r w:rsidRPr="00401222">
        <w:rPr>
          <w:szCs w:val="24"/>
        </w:rPr>
        <w:t xml:space="preserve">; B) </w:t>
      </w:r>
      <w:r w:rsidRPr="00346CAA">
        <w:rPr>
          <w:szCs w:val="24"/>
        </w:rPr>
        <w:t>TRPV1</w:t>
      </w:r>
      <w:r>
        <w:rPr>
          <w:szCs w:val="24"/>
        </w:rPr>
        <w:t>/JWH133 complex. JWH133 is displayed in magenta while reference compounds AM12033 (for CB2) and CBD (for TRPV1) are displayed in green.</w:t>
      </w:r>
      <w:r w:rsidR="00AC1D1B">
        <w:rPr>
          <w:szCs w:val="24"/>
        </w:rPr>
        <w:t xml:space="preserve"> EC2: Extracellular loop 2; TMH: transmembrane helix.</w:t>
      </w:r>
    </w:p>
    <w:p w14:paraId="4463343C" w14:textId="77777777" w:rsidR="00164C2D" w:rsidRDefault="00164C2D" w:rsidP="004F07F7">
      <w:pPr>
        <w:pStyle w:val="TAMainText"/>
        <w:spacing w:line="240" w:lineRule="auto"/>
        <w:ind w:firstLine="0"/>
        <w:rPr>
          <w:rFonts w:ascii="Times New Roman" w:hAnsi="Times New Roman"/>
          <w:b/>
          <w:szCs w:val="24"/>
        </w:rPr>
      </w:pPr>
    </w:p>
    <w:p w14:paraId="352EA514" w14:textId="77777777" w:rsidR="00FA04D4" w:rsidRDefault="00FA04D4" w:rsidP="004F07F7">
      <w:pPr>
        <w:pStyle w:val="TAMainText"/>
        <w:spacing w:line="240" w:lineRule="auto"/>
        <w:ind w:firstLine="0"/>
        <w:rPr>
          <w:rFonts w:ascii="Times New Roman" w:hAnsi="Times New Roman"/>
          <w:b/>
          <w:szCs w:val="24"/>
        </w:rPr>
      </w:pPr>
    </w:p>
    <w:p w14:paraId="12D5E963" w14:textId="77777777" w:rsidR="00FA04D4" w:rsidRDefault="00FA04D4" w:rsidP="004F07F7">
      <w:pPr>
        <w:pStyle w:val="TAMainText"/>
        <w:spacing w:line="240" w:lineRule="auto"/>
        <w:ind w:firstLine="0"/>
        <w:rPr>
          <w:rFonts w:ascii="Times New Roman" w:hAnsi="Times New Roman"/>
          <w:b/>
          <w:szCs w:val="24"/>
        </w:rPr>
      </w:pPr>
    </w:p>
    <w:p w14:paraId="173CC46F" w14:textId="77777777" w:rsidR="00FA04D4" w:rsidRDefault="00FA04D4" w:rsidP="004F07F7">
      <w:pPr>
        <w:pStyle w:val="TAMainText"/>
        <w:spacing w:line="240" w:lineRule="auto"/>
        <w:ind w:firstLine="0"/>
        <w:rPr>
          <w:rFonts w:ascii="Times New Roman" w:hAnsi="Times New Roman"/>
          <w:b/>
          <w:szCs w:val="24"/>
        </w:rPr>
      </w:pPr>
    </w:p>
    <w:p w14:paraId="30A0022A" w14:textId="33672680" w:rsidR="004F07F7" w:rsidRDefault="004F07F7" w:rsidP="004F07F7">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S2</w:t>
      </w:r>
      <w:r w:rsidRPr="004C3FAD">
        <w:rPr>
          <w:rFonts w:ascii="Times New Roman" w:hAnsi="Times New Roman"/>
          <w:b/>
          <w:szCs w:val="24"/>
        </w:rPr>
        <w:t xml:space="preserve">. </w:t>
      </w:r>
      <w:r w:rsidRPr="004C3FAD">
        <w:rPr>
          <w:rFonts w:ascii="Times New Roman" w:hAnsi="Times New Roman"/>
          <w:szCs w:val="24"/>
        </w:rPr>
        <w:t xml:space="preserve">Physicochemical descriptors calculated by </w:t>
      </w:r>
      <w:proofErr w:type="spellStart"/>
      <w:r w:rsidRPr="00A646B9">
        <w:rPr>
          <w:rFonts w:ascii="Times New Roman" w:hAnsi="Times New Roman"/>
          <w:szCs w:val="24"/>
        </w:rPr>
        <w:t>QikProp</w:t>
      </w:r>
      <w:proofErr w:type="spellEnd"/>
      <w:r w:rsidRPr="00A646B9">
        <w:rPr>
          <w:rFonts w:ascii="Times New Roman" w:hAnsi="Times New Roman"/>
          <w:szCs w:val="24"/>
        </w:rPr>
        <w:t xml:space="preserve"> 3.5 integrated </w:t>
      </w:r>
      <w:r w:rsidRPr="004C3FAD">
        <w:rPr>
          <w:rFonts w:ascii="Times New Roman" w:hAnsi="Times New Roman"/>
          <w:szCs w:val="24"/>
        </w:rPr>
        <w:t xml:space="preserve">in Maestro (Schrödinger, LLC, New York, USA) </w:t>
      </w:r>
      <w:r>
        <w:rPr>
          <w:rFonts w:ascii="Times New Roman" w:hAnsi="Times New Roman"/>
          <w:szCs w:val="24"/>
        </w:rPr>
        <w:t xml:space="preserve">for potential CB2/TRPV1 modulators identified upon screening of a JWH133-related chemical library. </w:t>
      </w:r>
    </w:p>
    <w:p w14:paraId="184AA3B9" w14:textId="77777777" w:rsidR="004F07F7" w:rsidRPr="004F07F7" w:rsidRDefault="004F07F7" w:rsidP="004F07F7">
      <w:pPr>
        <w:pStyle w:val="TAMainText"/>
        <w:spacing w:line="240" w:lineRule="auto"/>
        <w:ind w:firstLine="0"/>
        <w:rPr>
          <w:rFonts w:ascii="Times New Roman" w:hAnsi="Times New Roman"/>
          <w:szCs w:val="24"/>
        </w:rPr>
      </w:pPr>
    </w:p>
    <w:tbl>
      <w:tblPr>
        <w:tblStyle w:val="Tablaconcuadrcula"/>
        <w:tblpPr w:leftFromText="142" w:rightFromText="142" w:vertAnchor="text" w:horzAnchor="margin" w:tblpY="13"/>
        <w:tblOverlap w:val="never"/>
        <w:tblW w:w="977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55"/>
        <w:gridCol w:w="1134"/>
        <w:gridCol w:w="1134"/>
        <w:gridCol w:w="1559"/>
        <w:gridCol w:w="1559"/>
        <w:gridCol w:w="1843"/>
        <w:gridCol w:w="992"/>
      </w:tblGrid>
      <w:tr w:rsidR="00DC2DCF" w:rsidRPr="004C3FAD" w14:paraId="3F977619" w14:textId="31DE7F69" w:rsidTr="00DC2DCF">
        <w:trPr>
          <w:trHeight w:val="345"/>
        </w:trPr>
        <w:tc>
          <w:tcPr>
            <w:tcW w:w="1555" w:type="dxa"/>
            <w:shd w:val="clear" w:color="auto" w:fill="A6A6A6" w:themeFill="background1" w:themeFillShade="A6"/>
            <w:vAlign w:val="center"/>
          </w:tcPr>
          <w:p w14:paraId="38D9BCB8" w14:textId="77777777" w:rsidR="00DC2DCF" w:rsidRPr="004C3FAD" w:rsidRDefault="00DC2DCF" w:rsidP="007E463C">
            <w:pPr>
              <w:pStyle w:val="TCTableBody"/>
              <w:spacing w:after="0"/>
              <w:jc w:val="center"/>
              <w:rPr>
                <w:rFonts w:ascii="Times New Roman" w:hAnsi="Times New Roman"/>
                <w:b/>
                <w:sz w:val="22"/>
                <w:szCs w:val="22"/>
              </w:rPr>
            </w:pPr>
            <w:r w:rsidRPr="004C3FAD">
              <w:rPr>
                <w:rFonts w:ascii="Times New Roman" w:hAnsi="Times New Roman"/>
                <w:b/>
                <w:sz w:val="22"/>
                <w:szCs w:val="22"/>
              </w:rPr>
              <w:t>Compd</w:t>
            </w:r>
          </w:p>
        </w:tc>
        <w:tc>
          <w:tcPr>
            <w:tcW w:w="1134" w:type="dxa"/>
            <w:shd w:val="clear" w:color="auto" w:fill="A6A6A6" w:themeFill="background1" w:themeFillShade="A6"/>
            <w:vAlign w:val="center"/>
          </w:tcPr>
          <w:p w14:paraId="1429B3D1" w14:textId="77777777" w:rsidR="00DC2DCF" w:rsidRPr="004C3FAD" w:rsidRDefault="00DC2DCF" w:rsidP="007E463C">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QPlogS</w:t>
            </w:r>
            <w:r w:rsidRPr="004C3FAD">
              <w:rPr>
                <w:rFonts w:ascii="Times New Roman" w:hAnsi="Times New Roman" w:cs="Times New Roman"/>
                <w:b/>
                <w:sz w:val="22"/>
                <w:szCs w:val="22"/>
                <w:vertAlign w:val="superscript"/>
                <w:lang w:val="en-US"/>
              </w:rPr>
              <w:t>a</w:t>
            </w:r>
            <w:proofErr w:type="spellEnd"/>
          </w:p>
        </w:tc>
        <w:tc>
          <w:tcPr>
            <w:tcW w:w="1134" w:type="dxa"/>
            <w:shd w:val="clear" w:color="auto" w:fill="A6A6A6" w:themeFill="background1" w:themeFillShade="A6"/>
            <w:vAlign w:val="center"/>
          </w:tcPr>
          <w:p w14:paraId="1EE40BA8" w14:textId="77777777" w:rsidR="00DC2DCF" w:rsidRPr="004C3FAD" w:rsidRDefault="00DC2DCF" w:rsidP="007E463C">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QlogBB</w:t>
            </w:r>
            <w:r w:rsidRPr="004C3FAD">
              <w:rPr>
                <w:rFonts w:ascii="Times New Roman" w:hAnsi="Times New Roman" w:cs="Times New Roman"/>
                <w:b/>
                <w:sz w:val="22"/>
                <w:szCs w:val="22"/>
                <w:vertAlign w:val="superscript"/>
                <w:lang w:val="en-US"/>
              </w:rPr>
              <w:t>b</w:t>
            </w:r>
            <w:proofErr w:type="spellEnd"/>
          </w:p>
        </w:tc>
        <w:tc>
          <w:tcPr>
            <w:tcW w:w="1559" w:type="dxa"/>
            <w:shd w:val="clear" w:color="auto" w:fill="A6A6A6" w:themeFill="background1" w:themeFillShade="A6"/>
            <w:vAlign w:val="center"/>
          </w:tcPr>
          <w:p w14:paraId="2D9FDE62" w14:textId="77777777" w:rsidR="00DC2DCF" w:rsidRPr="004C3FAD" w:rsidRDefault="00DC2DCF" w:rsidP="007E463C">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QPlogHERG</w:t>
            </w:r>
            <w:r w:rsidRPr="004C3FAD">
              <w:rPr>
                <w:rFonts w:ascii="Times New Roman" w:hAnsi="Times New Roman" w:cs="Times New Roman"/>
                <w:b/>
                <w:sz w:val="22"/>
                <w:szCs w:val="22"/>
                <w:vertAlign w:val="superscript"/>
                <w:lang w:val="en-US"/>
              </w:rPr>
              <w:t>c</w:t>
            </w:r>
            <w:proofErr w:type="spellEnd"/>
          </w:p>
        </w:tc>
        <w:tc>
          <w:tcPr>
            <w:tcW w:w="1559" w:type="dxa"/>
            <w:shd w:val="clear" w:color="auto" w:fill="A6A6A6" w:themeFill="background1" w:themeFillShade="A6"/>
            <w:vAlign w:val="center"/>
          </w:tcPr>
          <w:p w14:paraId="692331D6" w14:textId="77777777" w:rsidR="00DC2DCF" w:rsidRPr="004C3FAD" w:rsidRDefault="00DC2DCF" w:rsidP="007E463C">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QPPCaco</w:t>
            </w:r>
            <w:r w:rsidRPr="004C3FAD">
              <w:rPr>
                <w:rFonts w:ascii="Times New Roman" w:hAnsi="Times New Roman" w:cs="Times New Roman"/>
                <w:b/>
                <w:sz w:val="22"/>
                <w:szCs w:val="22"/>
                <w:vertAlign w:val="superscript"/>
                <w:lang w:val="en-US"/>
              </w:rPr>
              <w:t>d</w:t>
            </w:r>
            <w:proofErr w:type="spellEnd"/>
          </w:p>
        </w:tc>
        <w:tc>
          <w:tcPr>
            <w:tcW w:w="1843" w:type="dxa"/>
            <w:shd w:val="clear" w:color="auto" w:fill="A6A6A6" w:themeFill="background1" w:themeFillShade="A6"/>
            <w:vAlign w:val="center"/>
          </w:tcPr>
          <w:p w14:paraId="063BCF97" w14:textId="77777777" w:rsidR="00DC2DCF" w:rsidRPr="004C3FAD" w:rsidRDefault="00DC2DCF" w:rsidP="007E463C">
            <w:pPr>
              <w:pStyle w:val="Textosinformato"/>
              <w:jc w:val="center"/>
              <w:rPr>
                <w:rFonts w:ascii="Times New Roman" w:hAnsi="Times New Roman" w:cs="Times New Roman"/>
                <w:b/>
                <w:sz w:val="22"/>
                <w:szCs w:val="22"/>
                <w:vertAlign w:val="superscript"/>
                <w:lang w:val="en-US"/>
              </w:rPr>
            </w:pPr>
            <w:r w:rsidRPr="004C3FAD">
              <w:rPr>
                <w:rFonts w:ascii="Times New Roman" w:hAnsi="Times New Roman" w:cs="Times New Roman"/>
                <w:b/>
                <w:sz w:val="22"/>
                <w:szCs w:val="22"/>
                <w:lang w:val="en-US"/>
              </w:rPr>
              <w:t>%</w:t>
            </w:r>
            <w:proofErr w:type="gramStart"/>
            <w:r w:rsidRPr="004C3FAD">
              <w:rPr>
                <w:rFonts w:ascii="Times New Roman" w:hAnsi="Times New Roman" w:cs="Times New Roman"/>
                <w:b/>
                <w:sz w:val="22"/>
                <w:szCs w:val="22"/>
                <w:lang w:val="en-US"/>
              </w:rPr>
              <w:t>Human  oral</w:t>
            </w:r>
            <w:proofErr w:type="gramEnd"/>
            <w:r w:rsidRPr="004C3FAD">
              <w:rPr>
                <w:rFonts w:ascii="Times New Roman" w:hAnsi="Times New Roman" w:cs="Times New Roman"/>
                <w:b/>
                <w:sz w:val="22"/>
                <w:szCs w:val="22"/>
                <w:lang w:val="en-US"/>
              </w:rPr>
              <w:t xml:space="preserve"> absorption </w:t>
            </w:r>
            <w:proofErr w:type="spellStart"/>
            <w:r w:rsidRPr="004C3FAD">
              <w:rPr>
                <w:rFonts w:ascii="Times New Roman" w:hAnsi="Times New Roman" w:cs="Times New Roman"/>
                <w:b/>
                <w:sz w:val="22"/>
                <w:szCs w:val="22"/>
                <w:lang w:val="en-US"/>
              </w:rPr>
              <w:t>GI</w:t>
            </w:r>
            <w:r w:rsidRPr="004C3FAD">
              <w:rPr>
                <w:rFonts w:ascii="Times New Roman" w:hAnsi="Times New Roman" w:cs="Times New Roman"/>
                <w:b/>
                <w:sz w:val="22"/>
                <w:szCs w:val="22"/>
                <w:vertAlign w:val="superscript"/>
                <w:lang w:val="en-US"/>
              </w:rPr>
              <w:t>e</w:t>
            </w:r>
            <w:proofErr w:type="spellEnd"/>
          </w:p>
        </w:tc>
        <w:tc>
          <w:tcPr>
            <w:tcW w:w="992" w:type="dxa"/>
            <w:shd w:val="clear" w:color="auto" w:fill="A6A6A6" w:themeFill="background1" w:themeFillShade="A6"/>
            <w:vAlign w:val="center"/>
          </w:tcPr>
          <w:p w14:paraId="3FCAA188" w14:textId="77D951FF" w:rsidR="00DC2DCF" w:rsidRPr="004C3FAD" w:rsidRDefault="00A646B9" w:rsidP="00DC2DCF">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PAINS</w:t>
            </w:r>
            <w:r w:rsidRPr="006A0EE9">
              <w:rPr>
                <w:rFonts w:ascii="Times New Roman" w:hAnsi="Times New Roman" w:cs="Times New Roman"/>
                <w:b/>
                <w:sz w:val="22"/>
                <w:szCs w:val="22"/>
                <w:vertAlign w:val="superscript"/>
                <w:lang w:val="en-US"/>
              </w:rPr>
              <w:t>#</w:t>
            </w:r>
          </w:p>
        </w:tc>
      </w:tr>
      <w:tr w:rsidR="00DC2DCF" w:rsidRPr="004C3FAD" w14:paraId="2B8C2611" w14:textId="5BA3B5B2" w:rsidTr="00DC2DCF">
        <w:trPr>
          <w:trHeight w:val="332"/>
        </w:trPr>
        <w:tc>
          <w:tcPr>
            <w:tcW w:w="1555" w:type="dxa"/>
            <w:shd w:val="clear" w:color="auto" w:fill="D9D9D9" w:themeFill="background1" w:themeFillShade="D9"/>
            <w:vAlign w:val="center"/>
          </w:tcPr>
          <w:p w14:paraId="309A774C" w14:textId="70A24561" w:rsidR="00DC2DCF" w:rsidRPr="007E463C" w:rsidRDefault="00DC2DCF" w:rsidP="007E463C">
            <w:pPr>
              <w:spacing w:before="0" w:after="0"/>
              <w:jc w:val="center"/>
              <w:rPr>
                <w:rFonts w:eastAsia="Times New Roman" w:cs="Times New Roman"/>
                <w:b/>
                <w:szCs w:val="24"/>
              </w:rPr>
            </w:pPr>
            <w:r w:rsidRPr="007E463C">
              <w:rPr>
                <w:rFonts w:eastAsia="Times New Roman" w:cs="Times New Roman"/>
                <w:b/>
                <w:szCs w:val="24"/>
              </w:rPr>
              <w:t>JWH133</w:t>
            </w:r>
          </w:p>
        </w:tc>
        <w:tc>
          <w:tcPr>
            <w:tcW w:w="1134" w:type="dxa"/>
            <w:shd w:val="clear" w:color="auto" w:fill="D9D9D9" w:themeFill="background1" w:themeFillShade="D9"/>
          </w:tcPr>
          <w:p w14:paraId="30DF6CC3" w14:textId="0C64CBA7" w:rsidR="00DC2DCF" w:rsidRDefault="00DC2DCF" w:rsidP="007E463C">
            <w:pPr>
              <w:spacing w:before="0" w:after="0"/>
              <w:jc w:val="center"/>
              <w:rPr>
                <w:rFonts w:cs="Times New Roman"/>
                <w:szCs w:val="24"/>
              </w:rPr>
            </w:pPr>
            <w:r w:rsidRPr="000333BA">
              <w:t>-9.13</w:t>
            </w:r>
          </w:p>
        </w:tc>
        <w:tc>
          <w:tcPr>
            <w:tcW w:w="1134" w:type="dxa"/>
            <w:shd w:val="clear" w:color="auto" w:fill="D9D9D9" w:themeFill="background1" w:themeFillShade="D9"/>
          </w:tcPr>
          <w:p w14:paraId="065C39A1" w14:textId="571CBB90" w:rsidR="00DC2DCF" w:rsidRDefault="00DC2DCF" w:rsidP="007E463C">
            <w:pPr>
              <w:spacing w:before="0" w:after="0"/>
              <w:jc w:val="center"/>
              <w:rPr>
                <w:rFonts w:cs="Times New Roman"/>
                <w:szCs w:val="24"/>
              </w:rPr>
            </w:pPr>
            <w:r w:rsidRPr="009F190D">
              <w:t>0.92</w:t>
            </w:r>
          </w:p>
        </w:tc>
        <w:tc>
          <w:tcPr>
            <w:tcW w:w="1559" w:type="dxa"/>
            <w:shd w:val="clear" w:color="auto" w:fill="D9D9D9" w:themeFill="background1" w:themeFillShade="D9"/>
          </w:tcPr>
          <w:p w14:paraId="1B1B7F3A" w14:textId="6F8EED31" w:rsidR="00DC2DCF" w:rsidRDefault="00DC2DCF" w:rsidP="007E463C">
            <w:pPr>
              <w:spacing w:before="0" w:after="0"/>
              <w:jc w:val="center"/>
              <w:rPr>
                <w:rFonts w:cs="Times New Roman"/>
                <w:szCs w:val="24"/>
              </w:rPr>
            </w:pPr>
            <w:r w:rsidRPr="00ED04CF">
              <w:t>-4.62</w:t>
            </w:r>
          </w:p>
        </w:tc>
        <w:tc>
          <w:tcPr>
            <w:tcW w:w="1559" w:type="dxa"/>
            <w:shd w:val="clear" w:color="auto" w:fill="D9D9D9" w:themeFill="background1" w:themeFillShade="D9"/>
          </w:tcPr>
          <w:p w14:paraId="08EC8E38" w14:textId="24110E67" w:rsidR="00DC2DCF" w:rsidRDefault="00DC2DCF" w:rsidP="007E463C">
            <w:pPr>
              <w:spacing w:before="0" w:after="0"/>
              <w:jc w:val="center"/>
              <w:rPr>
                <w:rFonts w:cs="Times New Roman"/>
                <w:szCs w:val="24"/>
              </w:rPr>
            </w:pPr>
            <w:r>
              <w:t>9906.04</w:t>
            </w:r>
          </w:p>
        </w:tc>
        <w:tc>
          <w:tcPr>
            <w:tcW w:w="1843" w:type="dxa"/>
            <w:shd w:val="clear" w:color="auto" w:fill="D9D9D9" w:themeFill="background1" w:themeFillShade="D9"/>
            <w:vAlign w:val="center"/>
          </w:tcPr>
          <w:p w14:paraId="7618AC05" w14:textId="19F58C4C" w:rsidR="00DC2DCF" w:rsidRDefault="00DC2DCF" w:rsidP="007E463C">
            <w:pPr>
              <w:spacing w:before="0" w:after="0"/>
              <w:jc w:val="center"/>
              <w:rPr>
                <w:rFonts w:cs="Times New Roman"/>
                <w:szCs w:val="24"/>
              </w:rPr>
            </w:pPr>
            <w:r>
              <w:rPr>
                <w:rFonts w:cs="Times New Roman"/>
                <w:szCs w:val="24"/>
              </w:rPr>
              <w:t>100</w:t>
            </w:r>
          </w:p>
        </w:tc>
        <w:tc>
          <w:tcPr>
            <w:tcW w:w="992" w:type="dxa"/>
            <w:shd w:val="clear" w:color="auto" w:fill="D9D9D9" w:themeFill="background1" w:themeFillShade="D9"/>
          </w:tcPr>
          <w:p w14:paraId="327E5EF5" w14:textId="2702546C" w:rsidR="00DC2DCF" w:rsidRDefault="00A646B9" w:rsidP="007E463C">
            <w:pPr>
              <w:spacing w:before="0" w:after="0"/>
              <w:jc w:val="center"/>
              <w:rPr>
                <w:rFonts w:cs="Times New Roman"/>
                <w:szCs w:val="24"/>
              </w:rPr>
            </w:pPr>
            <w:r>
              <w:rPr>
                <w:rFonts w:cs="Times New Roman"/>
                <w:szCs w:val="24"/>
              </w:rPr>
              <w:t>0</w:t>
            </w:r>
          </w:p>
        </w:tc>
      </w:tr>
      <w:tr w:rsidR="00DC2DCF" w:rsidRPr="004C3FAD" w14:paraId="0FAF3ACF" w14:textId="350DA90F" w:rsidTr="00DC2DCF">
        <w:trPr>
          <w:trHeight w:val="332"/>
        </w:trPr>
        <w:tc>
          <w:tcPr>
            <w:tcW w:w="1555" w:type="dxa"/>
            <w:shd w:val="clear" w:color="auto" w:fill="auto"/>
            <w:vAlign w:val="center"/>
          </w:tcPr>
          <w:p w14:paraId="3A9D2388" w14:textId="0A3BDB4F" w:rsidR="00DC2DCF" w:rsidRPr="007E463C" w:rsidRDefault="00DC2DCF" w:rsidP="007E463C">
            <w:pPr>
              <w:spacing w:before="0" w:after="0"/>
              <w:jc w:val="center"/>
              <w:rPr>
                <w:rFonts w:eastAsia="Times New Roman" w:cs="Times New Roman"/>
                <w:b/>
                <w:szCs w:val="24"/>
              </w:rPr>
            </w:pPr>
            <w:r w:rsidRPr="004F6E7F">
              <w:rPr>
                <w:rFonts w:cs="Times New Roman"/>
                <w:b/>
                <w:color w:val="000000"/>
                <w:szCs w:val="24"/>
              </w:rPr>
              <w:t>57756957</w:t>
            </w:r>
          </w:p>
        </w:tc>
        <w:tc>
          <w:tcPr>
            <w:tcW w:w="1134" w:type="dxa"/>
            <w:shd w:val="clear" w:color="auto" w:fill="auto"/>
          </w:tcPr>
          <w:p w14:paraId="3968EB94" w14:textId="11E583F0" w:rsidR="00DC2DCF" w:rsidRDefault="00DC2DCF" w:rsidP="007E463C">
            <w:pPr>
              <w:spacing w:before="0" w:after="0"/>
              <w:jc w:val="center"/>
              <w:rPr>
                <w:rFonts w:cs="Times New Roman"/>
                <w:szCs w:val="24"/>
              </w:rPr>
            </w:pPr>
            <w:r w:rsidRPr="000333BA">
              <w:t>-8.26</w:t>
            </w:r>
          </w:p>
        </w:tc>
        <w:tc>
          <w:tcPr>
            <w:tcW w:w="1134" w:type="dxa"/>
            <w:shd w:val="clear" w:color="auto" w:fill="auto"/>
          </w:tcPr>
          <w:p w14:paraId="09225812" w14:textId="04545FA1" w:rsidR="00DC2DCF" w:rsidRDefault="00DC2DCF" w:rsidP="007E463C">
            <w:pPr>
              <w:spacing w:before="0" w:after="0"/>
              <w:jc w:val="center"/>
              <w:rPr>
                <w:rFonts w:cs="Times New Roman"/>
                <w:szCs w:val="24"/>
              </w:rPr>
            </w:pPr>
            <w:r w:rsidRPr="009F190D">
              <w:t>0.52</w:t>
            </w:r>
          </w:p>
        </w:tc>
        <w:tc>
          <w:tcPr>
            <w:tcW w:w="1559" w:type="dxa"/>
            <w:shd w:val="clear" w:color="auto" w:fill="auto"/>
          </w:tcPr>
          <w:p w14:paraId="05997313" w14:textId="592E62EA" w:rsidR="00DC2DCF" w:rsidRDefault="00DC2DCF" w:rsidP="007E463C">
            <w:pPr>
              <w:spacing w:before="0" w:after="0"/>
              <w:jc w:val="center"/>
              <w:rPr>
                <w:rFonts w:cs="Times New Roman"/>
                <w:szCs w:val="24"/>
              </w:rPr>
            </w:pPr>
            <w:r w:rsidRPr="00ED04CF">
              <w:t>-5.82</w:t>
            </w:r>
          </w:p>
        </w:tc>
        <w:tc>
          <w:tcPr>
            <w:tcW w:w="1559" w:type="dxa"/>
            <w:shd w:val="clear" w:color="auto" w:fill="auto"/>
          </w:tcPr>
          <w:p w14:paraId="6AE04CC8" w14:textId="085DECDC" w:rsidR="00DC2DCF" w:rsidRDefault="00DC2DCF" w:rsidP="007E463C">
            <w:pPr>
              <w:spacing w:before="0" w:after="0"/>
              <w:jc w:val="center"/>
              <w:rPr>
                <w:rFonts w:cs="Times New Roman"/>
                <w:szCs w:val="24"/>
              </w:rPr>
            </w:pPr>
            <w:r>
              <w:t>9897</w:t>
            </w:r>
            <w:r w:rsidRPr="003F471A">
              <w:t>.08</w:t>
            </w:r>
          </w:p>
        </w:tc>
        <w:tc>
          <w:tcPr>
            <w:tcW w:w="1843" w:type="dxa"/>
            <w:vAlign w:val="center"/>
          </w:tcPr>
          <w:p w14:paraId="39EE8D4B" w14:textId="262332A7" w:rsidR="00DC2DCF" w:rsidRDefault="00DC2DCF" w:rsidP="007E463C">
            <w:pPr>
              <w:spacing w:before="0" w:after="0"/>
              <w:jc w:val="center"/>
              <w:rPr>
                <w:rFonts w:cs="Times New Roman"/>
                <w:szCs w:val="24"/>
              </w:rPr>
            </w:pPr>
            <w:r>
              <w:rPr>
                <w:rFonts w:cs="Times New Roman"/>
                <w:szCs w:val="24"/>
              </w:rPr>
              <w:t>100</w:t>
            </w:r>
          </w:p>
        </w:tc>
        <w:tc>
          <w:tcPr>
            <w:tcW w:w="992" w:type="dxa"/>
          </w:tcPr>
          <w:p w14:paraId="681B65EF" w14:textId="7DB22724" w:rsidR="00DC2DCF" w:rsidRDefault="00A646B9" w:rsidP="007E463C">
            <w:pPr>
              <w:spacing w:before="0" w:after="0"/>
              <w:jc w:val="center"/>
              <w:rPr>
                <w:rFonts w:cs="Times New Roman"/>
                <w:szCs w:val="24"/>
              </w:rPr>
            </w:pPr>
            <w:r>
              <w:rPr>
                <w:rFonts w:cs="Times New Roman"/>
                <w:szCs w:val="24"/>
              </w:rPr>
              <w:t>0</w:t>
            </w:r>
          </w:p>
        </w:tc>
      </w:tr>
      <w:tr w:rsidR="00DC2DCF" w:rsidRPr="004C3FAD" w14:paraId="65D784ED" w14:textId="7E227895" w:rsidTr="00DC2DCF">
        <w:trPr>
          <w:trHeight w:val="332"/>
        </w:trPr>
        <w:tc>
          <w:tcPr>
            <w:tcW w:w="1555" w:type="dxa"/>
            <w:shd w:val="clear" w:color="auto" w:fill="auto"/>
            <w:vAlign w:val="center"/>
          </w:tcPr>
          <w:p w14:paraId="30040C4C" w14:textId="06A45E8F" w:rsidR="00DC2DCF" w:rsidRPr="007E463C" w:rsidRDefault="00DC2DCF" w:rsidP="007E463C">
            <w:pPr>
              <w:spacing w:before="0" w:after="0"/>
              <w:jc w:val="center"/>
              <w:rPr>
                <w:rFonts w:eastAsia="Times New Roman" w:cs="Times New Roman"/>
                <w:b/>
                <w:szCs w:val="24"/>
              </w:rPr>
            </w:pPr>
            <w:r w:rsidRPr="004F6E7F">
              <w:rPr>
                <w:rFonts w:cs="Times New Roman"/>
                <w:b/>
                <w:color w:val="000000"/>
                <w:szCs w:val="24"/>
              </w:rPr>
              <w:t>59824268</w:t>
            </w:r>
          </w:p>
        </w:tc>
        <w:tc>
          <w:tcPr>
            <w:tcW w:w="1134" w:type="dxa"/>
            <w:shd w:val="clear" w:color="auto" w:fill="auto"/>
          </w:tcPr>
          <w:p w14:paraId="26587E8D" w14:textId="4D8C525B" w:rsidR="00DC2DCF" w:rsidRDefault="00DC2DCF" w:rsidP="007E463C">
            <w:pPr>
              <w:spacing w:before="0" w:after="0"/>
              <w:jc w:val="center"/>
              <w:rPr>
                <w:rFonts w:cs="Times New Roman"/>
                <w:szCs w:val="24"/>
              </w:rPr>
            </w:pPr>
            <w:r>
              <w:t>-6.3</w:t>
            </w:r>
            <w:r w:rsidRPr="000333BA">
              <w:t>8</w:t>
            </w:r>
          </w:p>
        </w:tc>
        <w:tc>
          <w:tcPr>
            <w:tcW w:w="1134" w:type="dxa"/>
            <w:shd w:val="clear" w:color="auto" w:fill="auto"/>
          </w:tcPr>
          <w:p w14:paraId="2BFBB0E1" w14:textId="33E54E93" w:rsidR="00DC2DCF" w:rsidRDefault="00DC2DCF" w:rsidP="007E463C">
            <w:pPr>
              <w:spacing w:before="0" w:after="0"/>
              <w:jc w:val="center"/>
              <w:rPr>
                <w:rFonts w:cs="Times New Roman"/>
                <w:szCs w:val="24"/>
              </w:rPr>
            </w:pPr>
            <w:r w:rsidRPr="009F190D">
              <w:t>0.22</w:t>
            </w:r>
          </w:p>
        </w:tc>
        <w:tc>
          <w:tcPr>
            <w:tcW w:w="1559" w:type="dxa"/>
            <w:shd w:val="clear" w:color="auto" w:fill="auto"/>
          </w:tcPr>
          <w:p w14:paraId="71BD706B" w14:textId="77EF3D63" w:rsidR="00DC2DCF" w:rsidRDefault="00C87961" w:rsidP="00C87961">
            <w:pPr>
              <w:spacing w:before="0" w:after="0"/>
              <w:jc w:val="center"/>
              <w:rPr>
                <w:rFonts w:cs="Times New Roman"/>
                <w:szCs w:val="24"/>
              </w:rPr>
            </w:pPr>
            <w:r>
              <w:t>-4</w:t>
            </w:r>
            <w:r w:rsidR="00DC2DCF">
              <w:t>.</w:t>
            </w:r>
            <w:r>
              <w:t>9</w:t>
            </w:r>
            <w:r w:rsidR="00DC2DCF" w:rsidRPr="00ED04CF">
              <w:t>5</w:t>
            </w:r>
          </w:p>
        </w:tc>
        <w:tc>
          <w:tcPr>
            <w:tcW w:w="1559" w:type="dxa"/>
            <w:shd w:val="clear" w:color="auto" w:fill="auto"/>
          </w:tcPr>
          <w:p w14:paraId="0B8E9A0E" w14:textId="550C49F6" w:rsidR="00DC2DCF" w:rsidRDefault="00DC2DCF" w:rsidP="007E463C">
            <w:pPr>
              <w:spacing w:before="0" w:after="0"/>
              <w:jc w:val="center"/>
              <w:rPr>
                <w:rFonts w:cs="Times New Roman"/>
                <w:szCs w:val="24"/>
              </w:rPr>
            </w:pPr>
            <w:r w:rsidRPr="003F471A">
              <w:t>990</w:t>
            </w:r>
            <w:r>
              <w:t>2</w:t>
            </w:r>
            <w:r w:rsidRPr="003F471A">
              <w:t>.03</w:t>
            </w:r>
          </w:p>
        </w:tc>
        <w:tc>
          <w:tcPr>
            <w:tcW w:w="1843" w:type="dxa"/>
            <w:vAlign w:val="center"/>
          </w:tcPr>
          <w:p w14:paraId="78B8D530" w14:textId="5E9DE6D0" w:rsidR="00DC2DCF" w:rsidRDefault="00DC2DCF" w:rsidP="007E463C">
            <w:pPr>
              <w:spacing w:before="0" w:after="0"/>
              <w:jc w:val="center"/>
              <w:rPr>
                <w:rFonts w:cs="Times New Roman"/>
                <w:szCs w:val="24"/>
              </w:rPr>
            </w:pPr>
            <w:r>
              <w:rPr>
                <w:rFonts w:cs="Times New Roman"/>
                <w:szCs w:val="24"/>
              </w:rPr>
              <w:t>100</w:t>
            </w:r>
          </w:p>
        </w:tc>
        <w:tc>
          <w:tcPr>
            <w:tcW w:w="992" w:type="dxa"/>
          </w:tcPr>
          <w:p w14:paraId="0B78E883" w14:textId="26BA7903" w:rsidR="00DC2DCF" w:rsidRDefault="00A646B9" w:rsidP="007E463C">
            <w:pPr>
              <w:spacing w:before="0" w:after="0"/>
              <w:jc w:val="center"/>
              <w:rPr>
                <w:rFonts w:cs="Times New Roman"/>
                <w:szCs w:val="24"/>
              </w:rPr>
            </w:pPr>
            <w:r>
              <w:rPr>
                <w:rFonts w:cs="Times New Roman"/>
                <w:szCs w:val="24"/>
              </w:rPr>
              <w:t>0</w:t>
            </w:r>
          </w:p>
        </w:tc>
      </w:tr>
      <w:tr w:rsidR="00DC2DCF" w:rsidRPr="004C3FAD" w14:paraId="28AB33EF" w14:textId="387CB126" w:rsidTr="00DC2DCF">
        <w:trPr>
          <w:trHeight w:val="332"/>
        </w:trPr>
        <w:tc>
          <w:tcPr>
            <w:tcW w:w="1555" w:type="dxa"/>
            <w:shd w:val="clear" w:color="auto" w:fill="auto"/>
            <w:vAlign w:val="center"/>
          </w:tcPr>
          <w:p w14:paraId="181366EB" w14:textId="1FCC6C26" w:rsidR="00DC2DCF" w:rsidRPr="007E463C" w:rsidRDefault="00DC2DCF" w:rsidP="007E463C">
            <w:pPr>
              <w:spacing w:before="0" w:after="0"/>
              <w:jc w:val="center"/>
              <w:rPr>
                <w:rFonts w:eastAsia="Times New Roman" w:cs="Times New Roman"/>
                <w:b/>
                <w:szCs w:val="24"/>
              </w:rPr>
            </w:pPr>
            <w:r w:rsidRPr="004F6E7F">
              <w:rPr>
                <w:rFonts w:cs="Times New Roman"/>
                <w:b/>
                <w:color w:val="000000"/>
                <w:szCs w:val="24"/>
              </w:rPr>
              <w:t>123533625</w:t>
            </w:r>
          </w:p>
        </w:tc>
        <w:tc>
          <w:tcPr>
            <w:tcW w:w="1134" w:type="dxa"/>
            <w:shd w:val="clear" w:color="auto" w:fill="auto"/>
          </w:tcPr>
          <w:p w14:paraId="3B6011A6" w14:textId="70A78C2D" w:rsidR="00DC2DCF" w:rsidRDefault="00DC2DCF" w:rsidP="007E463C">
            <w:pPr>
              <w:spacing w:before="0" w:after="0"/>
              <w:jc w:val="center"/>
              <w:rPr>
                <w:rFonts w:cs="Times New Roman"/>
                <w:szCs w:val="24"/>
              </w:rPr>
            </w:pPr>
            <w:r w:rsidRPr="000333BA">
              <w:t>-9.12</w:t>
            </w:r>
          </w:p>
        </w:tc>
        <w:tc>
          <w:tcPr>
            <w:tcW w:w="1134" w:type="dxa"/>
            <w:shd w:val="clear" w:color="auto" w:fill="auto"/>
          </w:tcPr>
          <w:p w14:paraId="6F91E3B2" w14:textId="7F0421E2" w:rsidR="00DC2DCF" w:rsidRDefault="00DC2DCF" w:rsidP="007E463C">
            <w:pPr>
              <w:spacing w:before="0" w:after="0"/>
              <w:jc w:val="center"/>
              <w:rPr>
                <w:rFonts w:cs="Times New Roman"/>
                <w:szCs w:val="24"/>
              </w:rPr>
            </w:pPr>
            <w:r w:rsidRPr="009F190D">
              <w:t>0.39</w:t>
            </w:r>
          </w:p>
        </w:tc>
        <w:tc>
          <w:tcPr>
            <w:tcW w:w="1559" w:type="dxa"/>
            <w:shd w:val="clear" w:color="auto" w:fill="auto"/>
          </w:tcPr>
          <w:p w14:paraId="4AD90E10" w14:textId="7DC52015" w:rsidR="00DC2DCF" w:rsidRDefault="00DC2DCF" w:rsidP="007E463C">
            <w:pPr>
              <w:spacing w:before="0" w:after="0"/>
              <w:jc w:val="center"/>
              <w:rPr>
                <w:rFonts w:cs="Times New Roman"/>
                <w:szCs w:val="24"/>
              </w:rPr>
            </w:pPr>
            <w:r w:rsidRPr="00ED04CF">
              <w:t>-5.98</w:t>
            </w:r>
          </w:p>
        </w:tc>
        <w:tc>
          <w:tcPr>
            <w:tcW w:w="1559" w:type="dxa"/>
            <w:shd w:val="clear" w:color="auto" w:fill="auto"/>
          </w:tcPr>
          <w:p w14:paraId="03FD52F5" w14:textId="1D810412" w:rsidR="00DC2DCF" w:rsidRDefault="00DC2DCF" w:rsidP="007E463C">
            <w:pPr>
              <w:spacing w:before="0" w:after="0"/>
              <w:jc w:val="center"/>
              <w:rPr>
                <w:rFonts w:cs="Times New Roman"/>
                <w:szCs w:val="24"/>
              </w:rPr>
            </w:pPr>
            <w:r>
              <w:t>9734</w:t>
            </w:r>
            <w:r w:rsidRPr="003F471A">
              <w:t>.</w:t>
            </w:r>
            <w:r>
              <w:t>16</w:t>
            </w:r>
          </w:p>
        </w:tc>
        <w:tc>
          <w:tcPr>
            <w:tcW w:w="1843" w:type="dxa"/>
            <w:vAlign w:val="center"/>
          </w:tcPr>
          <w:p w14:paraId="28643DFF" w14:textId="28C2D1BE" w:rsidR="00DC2DCF" w:rsidRDefault="00DC2DCF" w:rsidP="007E463C">
            <w:pPr>
              <w:spacing w:before="0" w:after="0"/>
              <w:jc w:val="center"/>
              <w:rPr>
                <w:rFonts w:cs="Times New Roman"/>
                <w:szCs w:val="24"/>
              </w:rPr>
            </w:pPr>
            <w:r>
              <w:rPr>
                <w:rFonts w:cs="Times New Roman"/>
                <w:szCs w:val="24"/>
              </w:rPr>
              <w:t>100</w:t>
            </w:r>
          </w:p>
        </w:tc>
        <w:tc>
          <w:tcPr>
            <w:tcW w:w="992" w:type="dxa"/>
          </w:tcPr>
          <w:p w14:paraId="22A4C431" w14:textId="29326CB6" w:rsidR="00DC2DCF" w:rsidRDefault="00A646B9" w:rsidP="007E463C">
            <w:pPr>
              <w:spacing w:before="0" w:after="0"/>
              <w:jc w:val="center"/>
              <w:rPr>
                <w:rFonts w:cs="Times New Roman"/>
                <w:szCs w:val="24"/>
              </w:rPr>
            </w:pPr>
            <w:r>
              <w:rPr>
                <w:rFonts w:cs="Times New Roman"/>
                <w:szCs w:val="24"/>
              </w:rPr>
              <w:t>1</w:t>
            </w:r>
          </w:p>
        </w:tc>
      </w:tr>
      <w:tr w:rsidR="00DC2DCF" w:rsidRPr="004C3FAD" w14:paraId="76EB1CF0" w14:textId="260746EC" w:rsidTr="00DC2DCF">
        <w:trPr>
          <w:trHeight w:val="332"/>
        </w:trPr>
        <w:tc>
          <w:tcPr>
            <w:tcW w:w="1555" w:type="dxa"/>
            <w:shd w:val="clear" w:color="auto" w:fill="auto"/>
            <w:vAlign w:val="center"/>
          </w:tcPr>
          <w:p w14:paraId="506FD264" w14:textId="3F24A2FD" w:rsidR="00DC2DCF" w:rsidRPr="007E463C" w:rsidRDefault="00DC2DCF" w:rsidP="007E463C">
            <w:pPr>
              <w:spacing w:before="0" w:after="0"/>
              <w:jc w:val="center"/>
              <w:rPr>
                <w:rFonts w:eastAsia="Times New Roman" w:cs="Times New Roman"/>
                <w:b/>
                <w:szCs w:val="24"/>
              </w:rPr>
            </w:pPr>
            <w:r w:rsidRPr="004F6E7F">
              <w:rPr>
                <w:rFonts w:cs="Times New Roman"/>
                <w:b/>
                <w:color w:val="000000"/>
                <w:szCs w:val="24"/>
              </w:rPr>
              <w:t>153641693</w:t>
            </w:r>
          </w:p>
        </w:tc>
        <w:tc>
          <w:tcPr>
            <w:tcW w:w="1134" w:type="dxa"/>
            <w:shd w:val="clear" w:color="auto" w:fill="auto"/>
          </w:tcPr>
          <w:p w14:paraId="6CE73332" w14:textId="66B99E85" w:rsidR="00DC2DCF" w:rsidRDefault="00DC2DCF" w:rsidP="007E463C">
            <w:pPr>
              <w:spacing w:before="0" w:after="0"/>
              <w:jc w:val="center"/>
              <w:rPr>
                <w:rFonts w:cs="Times New Roman"/>
                <w:szCs w:val="24"/>
              </w:rPr>
            </w:pPr>
            <w:r w:rsidRPr="000333BA">
              <w:t>-8.79</w:t>
            </w:r>
          </w:p>
        </w:tc>
        <w:tc>
          <w:tcPr>
            <w:tcW w:w="1134" w:type="dxa"/>
            <w:shd w:val="clear" w:color="auto" w:fill="auto"/>
          </w:tcPr>
          <w:p w14:paraId="7CA40271" w14:textId="5C94DC0D" w:rsidR="00DC2DCF" w:rsidRDefault="00DC2DCF" w:rsidP="007E463C">
            <w:pPr>
              <w:spacing w:before="0" w:after="0"/>
              <w:jc w:val="center"/>
              <w:rPr>
                <w:rFonts w:cs="Times New Roman"/>
                <w:szCs w:val="24"/>
              </w:rPr>
            </w:pPr>
            <w:r w:rsidRPr="009F190D">
              <w:t>0.38</w:t>
            </w:r>
          </w:p>
        </w:tc>
        <w:tc>
          <w:tcPr>
            <w:tcW w:w="1559" w:type="dxa"/>
            <w:shd w:val="clear" w:color="auto" w:fill="auto"/>
          </w:tcPr>
          <w:p w14:paraId="3AFE9DDD" w14:textId="0E6CBC65" w:rsidR="00DC2DCF" w:rsidRDefault="00DC2DCF" w:rsidP="007E463C">
            <w:pPr>
              <w:spacing w:before="0" w:after="0"/>
              <w:jc w:val="center"/>
              <w:rPr>
                <w:rFonts w:cs="Times New Roman"/>
                <w:szCs w:val="24"/>
              </w:rPr>
            </w:pPr>
            <w:r w:rsidRPr="00ED04CF">
              <w:t>-5.76</w:t>
            </w:r>
          </w:p>
        </w:tc>
        <w:tc>
          <w:tcPr>
            <w:tcW w:w="1559" w:type="dxa"/>
            <w:shd w:val="clear" w:color="auto" w:fill="auto"/>
          </w:tcPr>
          <w:p w14:paraId="54FB0804" w14:textId="79A45AAC" w:rsidR="00DC2DCF" w:rsidRDefault="00DC2DCF" w:rsidP="007E463C">
            <w:pPr>
              <w:spacing w:before="0" w:after="0"/>
              <w:jc w:val="center"/>
              <w:rPr>
                <w:rFonts w:cs="Times New Roman"/>
                <w:szCs w:val="24"/>
              </w:rPr>
            </w:pPr>
            <w:r w:rsidRPr="003F471A">
              <w:t>99</w:t>
            </w:r>
            <w:r>
              <w:t>38</w:t>
            </w:r>
            <w:r w:rsidRPr="003F471A">
              <w:t>.0</w:t>
            </w:r>
            <w:r>
              <w:t>4</w:t>
            </w:r>
          </w:p>
        </w:tc>
        <w:tc>
          <w:tcPr>
            <w:tcW w:w="1843" w:type="dxa"/>
            <w:vAlign w:val="center"/>
          </w:tcPr>
          <w:p w14:paraId="3D6F6E66" w14:textId="3C978D86" w:rsidR="00DC2DCF" w:rsidRDefault="00DC2DCF" w:rsidP="007E463C">
            <w:pPr>
              <w:spacing w:before="0" w:after="0"/>
              <w:jc w:val="center"/>
              <w:rPr>
                <w:rFonts w:cs="Times New Roman"/>
                <w:szCs w:val="24"/>
              </w:rPr>
            </w:pPr>
            <w:r>
              <w:rPr>
                <w:rFonts w:cs="Times New Roman"/>
                <w:szCs w:val="24"/>
              </w:rPr>
              <w:t>100</w:t>
            </w:r>
          </w:p>
        </w:tc>
        <w:tc>
          <w:tcPr>
            <w:tcW w:w="992" w:type="dxa"/>
          </w:tcPr>
          <w:p w14:paraId="00388B47" w14:textId="6BB23771" w:rsidR="00DC2DCF" w:rsidRDefault="00A646B9" w:rsidP="007E463C">
            <w:pPr>
              <w:spacing w:before="0" w:after="0"/>
              <w:jc w:val="center"/>
              <w:rPr>
                <w:rFonts w:cs="Times New Roman"/>
                <w:szCs w:val="24"/>
              </w:rPr>
            </w:pPr>
            <w:r>
              <w:rPr>
                <w:rFonts w:cs="Times New Roman"/>
                <w:szCs w:val="24"/>
              </w:rPr>
              <w:t>0</w:t>
            </w:r>
          </w:p>
        </w:tc>
      </w:tr>
      <w:tr w:rsidR="00DC2DCF" w:rsidRPr="004C3FAD" w14:paraId="1CB65D1E" w14:textId="1443D778" w:rsidTr="00DC2DCF">
        <w:trPr>
          <w:trHeight w:val="332"/>
        </w:trPr>
        <w:tc>
          <w:tcPr>
            <w:tcW w:w="1555" w:type="dxa"/>
            <w:shd w:val="clear" w:color="auto" w:fill="auto"/>
            <w:vAlign w:val="center"/>
          </w:tcPr>
          <w:p w14:paraId="34C213E1" w14:textId="14E7BC37" w:rsidR="00DC2DCF" w:rsidRPr="007E463C" w:rsidRDefault="00DC2DCF" w:rsidP="007E463C">
            <w:pPr>
              <w:spacing w:before="0" w:after="0"/>
              <w:jc w:val="center"/>
              <w:rPr>
                <w:rFonts w:eastAsia="Times New Roman" w:cs="Times New Roman"/>
                <w:b/>
                <w:szCs w:val="24"/>
              </w:rPr>
            </w:pPr>
            <w:r w:rsidRPr="004F6E7F">
              <w:rPr>
                <w:rFonts w:cs="Times New Roman"/>
                <w:b/>
                <w:color w:val="000000"/>
                <w:szCs w:val="24"/>
              </w:rPr>
              <w:t>151332252</w:t>
            </w:r>
          </w:p>
        </w:tc>
        <w:tc>
          <w:tcPr>
            <w:tcW w:w="1134" w:type="dxa"/>
            <w:shd w:val="clear" w:color="auto" w:fill="auto"/>
          </w:tcPr>
          <w:p w14:paraId="14817FC6" w14:textId="7A033E09" w:rsidR="00DC2DCF" w:rsidRDefault="00DC2DCF" w:rsidP="007E463C">
            <w:pPr>
              <w:spacing w:before="0" w:after="0"/>
              <w:jc w:val="center"/>
              <w:rPr>
                <w:rFonts w:cs="Times New Roman"/>
                <w:szCs w:val="24"/>
              </w:rPr>
            </w:pPr>
            <w:r w:rsidRPr="000333BA">
              <w:t>-8.54</w:t>
            </w:r>
          </w:p>
        </w:tc>
        <w:tc>
          <w:tcPr>
            <w:tcW w:w="1134" w:type="dxa"/>
            <w:shd w:val="clear" w:color="auto" w:fill="auto"/>
          </w:tcPr>
          <w:p w14:paraId="470F8B06" w14:textId="55CACFCA" w:rsidR="00DC2DCF" w:rsidRDefault="00DC2DCF" w:rsidP="007E463C">
            <w:pPr>
              <w:spacing w:before="0" w:after="0"/>
              <w:jc w:val="center"/>
              <w:rPr>
                <w:rFonts w:cs="Times New Roman"/>
                <w:szCs w:val="24"/>
              </w:rPr>
            </w:pPr>
            <w:r w:rsidRPr="009F190D">
              <w:t>0.25</w:t>
            </w:r>
          </w:p>
        </w:tc>
        <w:tc>
          <w:tcPr>
            <w:tcW w:w="1559" w:type="dxa"/>
            <w:shd w:val="clear" w:color="auto" w:fill="auto"/>
          </w:tcPr>
          <w:p w14:paraId="3A553295" w14:textId="7C841E6B" w:rsidR="00DC2DCF" w:rsidRDefault="00DC2DCF" w:rsidP="007E463C">
            <w:pPr>
              <w:spacing w:before="0" w:after="0"/>
              <w:jc w:val="center"/>
              <w:rPr>
                <w:rFonts w:cs="Times New Roman"/>
                <w:szCs w:val="24"/>
              </w:rPr>
            </w:pPr>
            <w:r w:rsidRPr="00ED04CF">
              <w:t>-6.45</w:t>
            </w:r>
          </w:p>
        </w:tc>
        <w:tc>
          <w:tcPr>
            <w:tcW w:w="1559" w:type="dxa"/>
            <w:shd w:val="clear" w:color="auto" w:fill="auto"/>
          </w:tcPr>
          <w:p w14:paraId="718249F4" w14:textId="452E6D28" w:rsidR="00DC2DCF" w:rsidRDefault="00DC2DCF" w:rsidP="007E463C">
            <w:pPr>
              <w:spacing w:before="0" w:after="0"/>
              <w:jc w:val="center"/>
              <w:rPr>
                <w:rFonts w:cs="Times New Roman"/>
                <w:szCs w:val="24"/>
              </w:rPr>
            </w:pPr>
            <w:r>
              <w:t>8901.59</w:t>
            </w:r>
          </w:p>
        </w:tc>
        <w:tc>
          <w:tcPr>
            <w:tcW w:w="1843" w:type="dxa"/>
            <w:vAlign w:val="center"/>
          </w:tcPr>
          <w:p w14:paraId="2E5C0EF3" w14:textId="5C0CDEE1" w:rsidR="00DC2DCF" w:rsidRDefault="00DC2DCF" w:rsidP="007E463C">
            <w:pPr>
              <w:spacing w:before="0" w:after="0"/>
              <w:jc w:val="center"/>
              <w:rPr>
                <w:rFonts w:cs="Times New Roman"/>
                <w:szCs w:val="24"/>
              </w:rPr>
            </w:pPr>
            <w:r>
              <w:rPr>
                <w:rFonts w:cs="Times New Roman"/>
                <w:szCs w:val="24"/>
              </w:rPr>
              <w:t>100</w:t>
            </w:r>
          </w:p>
        </w:tc>
        <w:tc>
          <w:tcPr>
            <w:tcW w:w="992" w:type="dxa"/>
          </w:tcPr>
          <w:p w14:paraId="09ADE4AD" w14:textId="5BADD64D" w:rsidR="00DC2DCF" w:rsidRDefault="00A646B9" w:rsidP="007E463C">
            <w:pPr>
              <w:spacing w:before="0" w:after="0"/>
              <w:jc w:val="center"/>
              <w:rPr>
                <w:rFonts w:cs="Times New Roman"/>
                <w:szCs w:val="24"/>
              </w:rPr>
            </w:pPr>
            <w:r>
              <w:rPr>
                <w:rFonts w:cs="Times New Roman"/>
                <w:szCs w:val="24"/>
              </w:rPr>
              <w:t>0</w:t>
            </w:r>
          </w:p>
        </w:tc>
      </w:tr>
      <w:tr w:rsidR="00DC2DCF" w:rsidRPr="00DC2DCF" w14:paraId="6755BFEA" w14:textId="6F2A66AA" w:rsidTr="00DC2DCF">
        <w:trPr>
          <w:trHeight w:val="825"/>
        </w:trPr>
        <w:tc>
          <w:tcPr>
            <w:tcW w:w="9776" w:type="dxa"/>
            <w:gridSpan w:val="7"/>
            <w:shd w:val="clear" w:color="auto" w:fill="auto"/>
            <w:vAlign w:val="center"/>
          </w:tcPr>
          <w:p w14:paraId="48B18565" w14:textId="606AB582" w:rsidR="00DC2DCF" w:rsidRPr="007E463C" w:rsidRDefault="00DC2DCF" w:rsidP="007E463C">
            <w:pPr>
              <w:pStyle w:val="Textosinformato"/>
              <w:pBdr>
                <w:bottom w:val="single" w:sz="6" w:space="1" w:color="auto"/>
              </w:pBdr>
              <w:jc w:val="both"/>
              <w:rPr>
                <w:rFonts w:ascii="Times New Roman" w:hAnsi="Times New Roman" w:cs="Times New Roman"/>
                <w:b/>
                <w:bCs/>
                <w:sz w:val="20"/>
                <w:vertAlign w:val="superscript"/>
                <w:lang w:val="en-US"/>
              </w:rPr>
            </w:pPr>
            <w:proofErr w:type="spellStart"/>
            <w:r w:rsidRPr="007E463C">
              <w:rPr>
                <w:rFonts w:ascii="Times New Roman" w:hAnsi="Times New Roman" w:cs="Times New Roman"/>
                <w:b/>
                <w:bCs/>
                <w:sz w:val="20"/>
                <w:vertAlign w:val="superscript"/>
                <w:lang w:val="en-US"/>
              </w:rPr>
              <w:t>a</w:t>
            </w:r>
            <w:r w:rsidRPr="007E463C">
              <w:rPr>
                <w:rFonts w:ascii="Times New Roman" w:hAnsi="Times New Roman" w:cs="Times New Roman"/>
                <w:bCs/>
                <w:sz w:val="20"/>
                <w:lang w:val="en-US"/>
              </w:rPr>
              <w:t>Predicted</w:t>
            </w:r>
            <w:proofErr w:type="spellEnd"/>
            <w:r w:rsidRPr="007E463C">
              <w:rPr>
                <w:rFonts w:ascii="Times New Roman" w:hAnsi="Times New Roman" w:cs="Times New Roman"/>
                <w:bCs/>
                <w:sz w:val="20"/>
                <w:lang w:val="en-US"/>
              </w:rPr>
              <w:t xml:space="preserve"> aqueous solubility </w:t>
            </w:r>
            <w:r w:rsidRPr="007E463C">
              <w:rPr>
                <w:rFonts w:ascii="Times New Roman" w:hAnsi="Times New Roman" w:cs="Times New Roman"/>
                <w:sz w:val="20"/>
                <w:lang w:val="en-US"/>
              </w:rPr>
              <w:t xml:space="preserve">[-6.5/0.5]; </w:t>
            </w:r>
            <w:proofErr w:type="spellStart"/>
            <w:r w:rsidRPr="007E463C">
              <w:rPr>
                <w:rFonts w:ascii="Times New Roman" w:hAnsi="Times New Roman" w:cs="Times New Roman"/>
                <w:bCs/>
                <w:sz w:val="20"/>
                <w:vertAlign w:val="superscript"/>
                <w:lang w:val="en-US"/>
              </w:rPr>
              <w:t>b</w:t>
            </w:r>
            <w:r w:rsidRPr="007E463C">
              <w:rPr>
                <w:rFonts w:ascii="Times New Roman" w:hAnsi="Times New Roman" w:cs="Times New Roman"/>
                <w:bCs/>
                <w:sz w:val="20"/>
                <w:lang w:val="en-US"/>
              </w:rPr>
              <w:t>Predicted</w:t>
            </w:r>
            <w:proofErr w:type="spellEnd"/>
            <w:r w:rsidRPr="007E463C">
              <w:rPr>
                <w:rFonts w:ascii="Times New Roman" w:hAnsi="Times New Roman" w:cs="Times New Roman"/>
                <w:bCs/>
                <w:sz w:val="20"/>
                <w:lang w:val="en-US"/>
              </w:rPr>
              <w:t xml:space="preserve"> log of the brain/blood partition coefficient </w:t>
            </w:r>
            <w:r w:rsidRPr="007E463C">
              <w:rPr>
                <w:rFonts w:ascii="Times New Roman" w:hAnsi="Times New Roman" w:cs="Times New Roman"/>
                <w:sz w:val="20"/>
                <w:lang w:val="en-US"/>
              </w:rPr>
              <w:t xml:space="preserve">[-3.0/1.2]; </w:t>
            </w:r>
            <w:proofErr w:type="spellStart"/>
            <w:r w:rsidRPr="007E463C">
              <w:rPr>
                <w:rFonts w:ascii="Times New Roman" w:hAnsi="Times New Roman" w:cs="Times New Roman"/>
                <w:bCs/>
                <w:sz w:val="20"/>
                <w:vertAlign w:val="superscript"/>
                <w:lang w:val="en-US"/>
              </w:rPr>
              <w:t>c</w:t>
            </w:r>
            <w:r w:rsidRPr="007E463C">
              <w:rPr>
                <w:rFonts w:ascii="Times New Roman" w:hAnsi="Times New Roman" w:cs="Times New Roman"/>
                <w:bCs/>
                <w:sz w:val="20"/>
                <w:lang w:val="en-US"/>
              </w:rPr>
              <w:t>HERG</w:t>
            </w:r>
            <w:proofErr w:type="spellEnd"/>
            <w:r w:rsidRPr="007E463C">
              <w:rPr>
                <w:rFonts w:ascii="Times New Roman" w:hAnsi="Times New Roman" w:cs="Times New Roman"/>
                <w:bCs/>
                <w:sz w:val="20"/>
                <w:lang w:val="en-US"/>
              </w:rPr>
              <w:t xml:space="preserve"> K</w:t>
            </w:r>
            <w:r w:rsidRPr="007E463C">
              <w:rPr>
                <w:rFonts w:ascii="Times New Roman" w:hAnsi="Times New Roman" w:cs="Times New Roman"/>
                <w:bCs/>
                <w:sz w:val="20"/>
                <w:vertAlign w:val="superscript"/>
                <w:lang w:val="en-US"/>
              </w:rPr>
              <w:t>+</w:t>
            </w:r>
            <w:r w:rsidRPr="007E463C">
              <w:rPr>
                <w:rFonts w:ascii="Times New Roman" w:hAnsi="Times New Roman" w:cs="Times New Roman"/>
                <w:bCs/>
                <w:sz w:val="20"/>
                <w:lang w:val="en-US"/>
              </w:rPr>
              <w:t xml:space="preserve"> Channel Blockage (log IC</w:t>
            </w:r>
            <w:r w:rsidRPr="007E463C">
              <w:rPr>
                <w:rFonts w:ascii="Times New Roman" w:hAnsi="Times New Roman" w:cs="Times New Roman"/>
                <w:bCs/>
                <w:sz w:val="20"/>
                <w:vertAlign w:val="subscript"/>
                <w:lang w:val="en-US"/>
              </w:rPr>
              <w:t>50</w:t>
            </w:r>
            <w:r w:rsidRPr="007E463C">
              <w:rPr>
                <w:rFonts w:ascii="Times New Roman" w:hAnsi="Times New Roman" w:cs="Times New Roman"/>
                <w:bCs/>
                <w:sz w:val="20"/>
                <w:lang w:val="en-US"/>
              </w:rPr>
              <w:t xml:space="preserve">) </w:t>
            </w:r>
            <w:r w:rsidRPr="007E463C">
              <w:rPr>
                <w:rFonts w:ascii="Times New Roman" w:hAnsi="Times New Roman" w:cs="Times New Roman"/>
                <w:sz w:val="20"/>
                <w:lang w:val="en-US"/>
              </w:rPr>
              <w:t xml:space="preserve">[concern below -5]; </w:t>
            </w:r>
            <w:proofErr w:type="spellStart"/>
            <w:r w:rsidRPr="007E463C">
              <w:rPr>
                <w:rFonts w:ascii="Times New Roman" w:hAnsi="Times New Roman" w:cs="Times New Roman"/>
                <w:bCs/>
                <w:sz w:val="20"/>
                <w:vertAlign w:val="superscript"/>
                <w:lang w:val="en-US"/>
              </w:rPr>
              <w:t>d</w:t>
            </w:r>
            <w:r w:rsidRPr="007E463C">
              <w:rPr>
                <w:rFonts w:ascii="Times New Roman" w:hAnsi="Times New Roman" w:cs="Times New Roman"/>
                <w:bCs/>
                <w:sz w:val="20"/>
                <w:lang w:val="en-US"/>
              </w:rPr>
              <w:t>Apparent</w:t>
            </w:r>
            <w:proofErr w:type="spellEnd"/>
            <w:r w:rsidRPr="007E463C">
              <w:rPr>
                <w:rFonts w:ascii="Times New Roman" w:hAnsi="Times New Roman" w:cs="Times New Roman"/>
                <w:bCs/>
                <w:sz w:val="20"/>
                <w:lang w:val="en-US"/>
              </w:rPr>
              <w:t xml:space="preserve"> Caco-2 cell permeability in nm/s </w:t>
            </w:r>
            <w:r w:rsidRPr="007E463C">
              <w:rPr>
                <w:rFonts w:ascii="Times New Roman" w:hAnsi="Times New Roman" w:cs="Times New Roman"/>
                <w:sz w:val="20"/>
                <w:lang w:val="en-US"/>
              </w:rPr>
              <w:t xml:space="preserve">[&lt;25 poor, &gt;500 excellent]; </w:t>
            </w:r>
            <w:proofErr w:type="spellStart"/>
            <w:r w:rsidRPr="007E463C">
              <w:rPr>
                <w:rFonts w:ascii="Times New Roman" w:hAnsi="Times New Roman" w:cs="Times New Roman"/>
                <w:bCs/>
                <w:sz w:val="20"/>
                <w:vertAlign w:val="superscript"/>
                <w:lang w:val="en-US"/>
              </w:rPr>
              <w:t>e</w:t>
            </w:r>
            <w:r w:rsidRPr="007E463C">
              <w:rPr>
                <w:rFonts w:ascii="Times New Roman" w:hAnsi="Times New Roman" w:cs="Times New Roman"/>
                <w:bCs/>
                <w:sz w:val="20"/>
                <w:lang w:val="en-US"/>
              </w:rPr>
              <w:t>Human</w:t>
            </w:r>
            <w:proofErr w:type="spellEnd"/>
            <w:r w:rsidRPr="007E463C">
              <w:rPr>
                <w:rFonts w:ascii="Times New Roman" w:hAnsi="Times New Roman" w:cs="Times New Roman"/>
                <w:bCs/>
                <w:sz w:val="20"/>
                <w:lang w:val="en-US"/>
              </w:rPr>
              <w:t xml:space="preserve"> Oral Absorption in GI </w:t>
            </w:r>
            <w:r w:rsidRPr="007E463C">
              <w:rPr>
                <w:rFonts w:ascii="Times New Roman" w:hAnsi="Times New Roman" w:cs="Times New Roman"/>
                <w:sz w:val="20"/>
                <w:lang w:val="en-US"/>
              </w:rPr>
              <w:t xml:space="preserve">[&lt;25% is poor]. </w:t>
            </w:r>
            <w:r w:rsidRPr="007E463C">
              <w:rPr>
                <w:rFonts w:ascii="Times New Roman" w:hAnsi="Times New Roman" w:cs="Times New Roman"/>
                <w:sz w:val="20"/>
                <w:szCs w:val="22"/>
                <w:lang w:val="en-US"/>
              </w:rPr>
              <w:t>[range of 95% of drugs]</w:t>
            </w:r>
            <w:r w:rsidR="00A646B9">
              <w:rPr>
                <w:rFonts w:ascii="Times New Roman" w:hAnsi="Times New Roman" w:cs="Times New Roman"/>
                <w:sz w:val="20"/>
                <w:szCs w:val="22"/>
                <w:lang w:val="en-US"/>
              </w:rPr>
              <w:t xml:space="preserve">. </w:t>
            </w:r>
            <w:r w:rsidR="00A646B9" w:rsidRPr="006A0EE9">
              <w:rPr>
                <w:rFonts w:ascii="Times New Roman" w:hAnsi="Times New Roman" w:cs="Times New Roman"/>
                <w:b/>
                <w:sz w:val="22"/>
                <w:szCs w:val="22"/>
                <w:vertAlign w:val="superscript"/>
                <w:lang w:val="en-US"/>
              </w:rPr>
              <w:t>#</w:t>
            </w:r>
            <w:r w:rsidR="00A646B9" w:rsidRPr="00BE069D">
              <w:rPr>
                <w:rFonts w:ascii="Times New Roman" w:hAnsi="Times New Roman" w:cs="Times New Roman"/>
                <w:sz w:val="20"/>
                <w:szCs w:val="22"/>
                <w:lang w:val="en-US"/>
              </w:rPr>
              <w:t xml:space="preserve">Number of structural alerts as calculated using the </w:t>
            </w:r>
            <w:proofErr w:type="spellStart"/>
            <w:r w:rsidR="00A646B9" w:rsidRPr="00BE069D">
              <w:rPr>
                <w:rFonts w:ascii="Times New Roman" w:hAnsi="Times New Roman" w:cs="Times New Roman"/>
                <w:sz w:val="20"/>
                <w:szCs w:val="22"/>
                <w:lang w:val="en-US"/>
              </w:rPr>
              <w:t>swissADME</w:t>
            </w:r>
            <w:proofErr w:type="spellEnd"/>
            <w:r w:rsidR="00A646B9" w:rsidRPr="00BE069D">
              <w:rPr>
                <w:rFonts w:ascii="Times New Roman" w:hAnsi="Times New Roman" w:cs="Times New Roman"/>
                <w:sz w:val="20"/>
                <w:szCs w:val="22"/>
                <w:lang w:val="en-US"/>
              </w:rPr>
              <w:t xml:space="preserve"> webserver</w:t>
            </w:r>
            <w:r w:rsidR="00A646B9">
              <w:rPr>
                <w:rFonts w:ascii="Times New Roman" w:hAnsi="Times New Roman" w:cs="Times New Roman"/>
                <w:sz w:val="20"/>
                <w:szCs w:val="22"/>
                <w:lang w:val="en-US"/>
              </w:rPr>
              <w:t xml:space="preserve"> </w:t>
            </w:r>
            <w:r w:rsidR="00A646B9">
              <w:rPr>
                <w:rFonts w:ascii="Times New Roman" w:hAnsi="Times New Roman" w:cs="Times New Roman"/>
                <w:sz w:val="20"/>
                <w:szCs w:val="22"/>
                <w:lang w:val="en-US"/>
              </w:rPr>
              <w:fldChar w:fldCharType="begin" w:fldLock="1"/>
            </w:r>
            <w:r w:rsidR="00B340B5">
              <w:rPr>
                <w:rFonts w:ascii="Times New Roman" w:hAnsi="Times New Roman" w:cs="Times New Roman"/>
                <w:sz w:val="20"/>
                <w:szCs w:val="22"/>
                <w:lang w:val="en-US"/>
              </w:rPr>
              <w:instrText>ADDIN CSL_CITATION {"citationItems":[{"id":"ITEM-1","itemData":{"DOI":"10.1038/srep42717","ISSN":"2045-2322","author":[{"dropping-particle":"","family":"Daina","given":"A","non-dropping-particle":"","parse-names":false,"suffix":""},{"dropping-particle":"","family":"O","given":"Michielin","non-dropping-particle":"","parse-names":false,"suffix":""},{"dropping-particle":"","family":"Zoete","given":"V","non-dropping-particle":"","parse-names":false,"suffix":""}],"container-title":"Scientific Reports","id":"ITEM-1","issue":"March","issued":{"date-parts":[["2017"]]},"page":"42717","publisher":"Nature Publishing Group","title":"SwissADME: a free web tool to evaluate pharmacokinetics, drug-likeness and medicinal chemistry friendliness of small molecules","type":"article-journal","volume":"7"},"uris":["http://www.mendeley.com/documents/?uuid=010ce2a0-3e22-4508-a754-01e801ceb7de"]}],"mendeley":{"formattedCitation":"(Daina et al., 2017)","plainTextFormattedCitation":"(Daina et al., 2017)","previouslyFormattedCitation":"(Daina et al., 2017)"},"properties":{"noteIndex":0},"schema":"https://github.com/citation-style-language/schema/raw/master/csl-citation.json"}</w:instrText>
            </w:r>
            <w:r w:rsidR="00A646B9">
              <w:rPr>
                <w:rFonts w:ascii="Times New Roman" w:hAnsi="Times New Roman" w:cs="Times New Roman"/>
                <w:sz w:val="20"/>
                <w:szCs w:val="22"/>
                <w:lang w:val="en-US"/>
              </w:rPr>
              <w:fldChar w:fldCharType="separate"/>
            </w:r>
            <w:r w:rsidR="00A646B9" w:rsidRPr="00BE069D">
              <w:rPr>
                <w:rFonts w:ascii="Times New Roman" w:hAnsi="Times New Roman" w:cs="Times New Roman"/>
                <w:noProof/>
                <w:sz w:val="20"/>
                <w:szCs w:val="22"/>
                <w:lang w:val="en-US"/>
              </w:rPr>
              <w:t>(Daina et al., 2017)</w:t>
            </w:r>
            <w:r w:rsidR="00A646B9">
              <w:rPr>
                <w:rFonts w:ascii="Times New Roman" w:hAnsi="Times New Roman" w:cs="Times New Roman"/>
                <w:sz w:val="20"/>
                <w:szCs w:val="22"/>
                <w:lang w:val="en-US"/>
              </w:rPr>
              <w:fldChar w:fldCharType="end"/>
            </w:r>
            <w:r w:rsidR="00A646B9">
              <w:rPr>
                <w:rFonts w:ascii="Times New Roman" w:hAnsi="Times New Roman" w:cs="Times New Roman"/>
                <w:sz w:val="20"/>
                <w:szCs w:val="22"/>
                <w:lang w:val="en-US"/>
              </w:rPr>
              <w:t>.</w:t>
            </w:r>
          </w:p>
        </w:tc>
      </w:tr>
    </w:tbl>
    <w:p w14:paraId="52232513" w14:textId="77777777" w:rsidR="00E609D2" w:rsidRPr="007E463C" w:rsidRDefault="00E609D2" w:rsidP="004C3FAD">
      <w:pPr>
        <w:pStyle w:val="TAMainText"/>
        <w:spacing w:line="360" w:lineRule="auto"/>
        <w:ind w:firstLine="0"/>
        <w:rPr>
          <w:rFonts w:ascii="Times New Roman" w:hAnsi="Times New Roman"/>
          <w:b/>
          <w:szCs w:val="24"/>
        </w:rPr>
      </w:pPr>
    </w:p>
    <w:p w14:paraId="4E616D2E" w14:textId="12FEDD28" w:rsidR="00164C2D" w:rsidRDefault="00164C2D" w:rsidP="004F07F7">
      <w:pPr>
        <w:pStyle w:val="TAMainText"/>
        <w:spacing w:line="240" w:lineRule="auto"/>
        <w:ind w:firstLine="0"/>
        <w:rPr>
          <w:rFonts w:ascii="Times New Roman" w:hAnsi="Times New Roman"/>
          <w:b/>
          <w:szCs w:val="24"/>
        </w:rPr>
      </w:pPr>
    </w:p>
    <w:p w14:paraId="7627C01C" w14:textId="6D111E02" w:rsidR="004C3FAD" w:rsidRDefault="004C3FAD" w:rsidP="004F07F7">
      <w:pPr>
        <w:pStyle w:val="TAMainText"/>
        <w:spacing w:line="240" w:lineRule="auto"/>
        <w:ind w:firstLine="0"/>
        <w:rPr>
          <w:rFonts w:ascii="Times New Roman" w:hAnsi="Times New Roman"/>
          <w:szCs w:val="24"/>
        </w:rPr>
      </w:pPr>
      <w:r w:rsidRPr="00BA0E46">
        <w:rPr>
          <w:rFonts w:ascii="Times New Roman" w:hAnsi="Times New Roman"/>
          <w:b/>
          <w:szCs w:val="24"/>
        </w:rPr>
        <w:lastRenderedPageBreak/>
        <w:t>Table</w:t>
      </w:r>
      <w:r w:rsidR="004F07F7">
        <w:rPr>
          <w:rFonts w:ascii="Times New Roman" w:hAnsi="Times New Roman"/>
          <w:b/>
          <w:szCs w:val="24"/>
        </w:rPr>
        <w:t xml:space="preserve"> S3</w:t>
      </w:r>
      <w:r w:rsidRPr="004C3FAD">
        <w:rPr>
          <w:rFonts w:ascii="Times New Roman" w:hAnsi="Times New Roman"/>
          <w:b/>
          <w:szCs w:val="24"/>
        </w:rPr>
        <w:t xml:space="preserve">. </w:t>
      </w:r>
      <w:r w:rsidRPr="004C3FAD">
        <w:rPr>
          <w:rFonts w:ascii="Times New Roman" w:hAnsi="Times New Roman"/>
          <w:szCs w:val="24"/>
        </w:rPr>
        <w:t xml:space="preserve">Physicochemical descriptors calculated by </w:t>
      </w:r>
      <w:proofErr w:type="spellStart"/>
      <w:r w:rsidRPr="00A646B9">
        <w:rPr>
          <w:rFonts w:ascii="Times New Roman" w:hAnsi="Times New Roman"/>
          <w:szCs w:val="24"/>
        </w:rPr>
        <w:t>QikProp</w:t>
      </w:r>
      <w:proofErr w:type="spellEnd"/>
      <w:r w:rsidRPr="00A646B9">
        <w:rPr>
          <w:rFonts w:ascii="Times New Roman" w:hAnsi="Times New Roman"/>
          <w:szCs w:val="24"/>
        </w:rPr>
        <w:t xml:space="preserve"> 3.5 integrated </w:t>
      </w:r>
      <w:r w:rsidRPr="004C3FAD">
        <w:rPr>
          <w:rFonts w:ascii="Times New Roman" w:hAnsi="Times New Roman"/>
          <w:szCs w:val="24"/>
        </w:rPr>
        <w:t xml:space="preserve">in Maestro (Schrödinger, LLC, New York, USA) </w:t>
      </w:r>
      <w:r w:rsidR="004F07F7">
        <w:rPr>
          <w:rFonts w:ascii="Times New Roman" w:hAnsi="Times New Roman"/>
          <w:szCs w:val="24"/>
        </w:rPr>
        <w:t>for potential CB2/TRPV1 modulators identified using the crossed-agonist strategy</w:t>
      </w:r>
      <w:r w:rsidR="00021254">
        <w:rPr>
          <w:rFonts w:ascii="Times New Roman" w:hAnsi="Times New Roman"/>
          <w:szCs w:val="24"/>
        </w:rPr>
        <w:t>.</w:t>
      </w:r>
    </w:p>
    <w:p w14:paraId="68AFCF69" w14:textId="77777777" w:rsidR="004F07F7" w:rsidRDefault="004F07F7" w:rsidP="004F07F7">
      <w:pPr>
        <w:pStyle w:val="TAMainText"/>
        <w:spacing w:line="240" w:lineRule="auto"/>
        <w:ind w:firstLine="0"/>
        <w:rPr>
          <w:rFonts w:ascii="Times New Roman" w:hAnsi="Times New Roman"/>
          <w:bCs/>
          <w:szCs w:val="24"/>
        </w:rPr>
      </w:pPr>
    </w:p>
    <w:tbl>
      <w:tblPr>
        <w:tblStyle w:val="Tablaconcuadrcula"/>
        <w:tblpPr w:leftFromText="142" w:rightFromText="142" w:vertAnchor="text" w:horzAnchor="margin" w:tblpY="13"/>
        <w:tblOverlap w:val="never"/>
        <w:tblW w:w="96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696"/>
        <w:gridCol w:w="1134"/>
        <w:gridCol w:w="1134"/>
        <w:gridCol w:w="1560"/>
        <w:gridCol w:w="1275"/>
        <w:gridCol w:w="1701"/>
        <w:gridCol w:w="1134"/>
      </w:tblGrid>
      <w:tr w:rsidR="00FA42C8" w:rsidRPr="004C3FAD" w14:paraId="025C6627" w14:textId="5CEC9EB0" w:rsidTr="00A646B9">
        <w:trPr>
          <w:trHeight w:val="345"/>
        </w:trPr>
        <w:tc>
          <w:tcPr>
            <w:tcW w:w="1696" w:type="dxa"/>
            <w:shd w:val="clear" w:color="auto" w:fill="A6A6A6" w:themeFill="background1" w:themeFillShade="A6"/>
            <w:vAlign w:val="center"/>
          </w:tcPr>
          <w:p w14:paraId="65B28ECB" w14:textId="77777777" w:rsidR="00FA42C8" w:rsidRPr="004C3FAD" w:rsidRDefault="00FA42C8" w:rsidP="00021254">
            <w:pPr>
              <w:pStyle w:val="TCTableBody"/>
              <w:spacing w:after="0"/>
              <w:jc w:val="center"/>
              <w:rPr>
                <w:rFonts w:ascii="Times New Roman" w:hAnsi="Times New Roman"/>
                <w:b/>
                <w:sz w:val="22"/>
                <w:szCs w:val="22"/>
              </w:rPr>
            </w:pPr>
            <w:r w:rsidRPr="004C3FAD">
              <w:rPr>
                <w:rFonts w:ascii="Times New Roman" w:hAnsi="Times New Roman"/>
                <w:b/>
                <w:sz w:val="22"/>
                <w:szCs w:val="22"/>
              </w:rPr>
              <w:t>Compd</w:t>
            </w:r>
          </w:p>
        </w:tc>
        <w:tc>
          <w:tcPr>
            <w:tcW w:w="1134" w:type="dxa"/>
            <w:shd w:val="clear" w:color="auto" w:fill="A6A6A6" w:themeFill="background1" w:themeFillShade="A6"/>
            <w:vAlign w:val="center"/>
          </w:tcPr>
          <w:p w14:paraId="0E1CEE8C" w14:textId="77777777" w:rsidR="00FA42C8" w:rsidRPr="004C3FAD" w:rsidRDefault="00FA42C8" w:rsidP="00021254">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QPlogS</w:t>
            </w:r>
            <w:r w:rsidRPr="004C3FAD">
              <w:rPr>
                <w:rFonts w:ascii="Times New Roman" w:hAnsi="Times New Roman" w:cs="Times New Roman"/>
                <w:b/>
                <w:sz w:val="22"/>
                <w:szCs w:val="22"/>
                <w:vertAlign w:val="superscript"/>
                <w:lang w:val="en-US"/>
              </w:rPr>
              <w:t>a</w:t>
            </w:r>
            <w:proofErr w:type="spellEnd"/>
          </w:p>
        </w:tc>
        <w:tc>
          <w:tcPr>
            <w:tcW w:w="1134" w:type="dxa"/>
            <w:shd w:val="clear" w:color="auto" w:fill="A6A6A6" w:themeFill="background1" w:themeFillShade="A6"/>
            <w:vAlign w:val="center"/>
          </w:tcPr>
          <w:p w14:paraId="06F81A73" w14:textId="77777777" w:rsidR="00FA42C8" w:rsidRPr="004C3FAD" w:rsidRDefault="00FA42C8" w:rsidP="00021254">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QlogBB</w:t>
            </w:r>
            <w:r w:rsidRPr="004C3FAD">
              <w:rPr>
                <w:rFonts w:ascii="Times New Roman" w:hAnsi="Times New Roman" w:cs="Times New Roman"/>
                <w:b/>
                <w:sz w:val="22"/>
                <w:szCs w:val="22"/>
                <w:vertAlign w:val="superscript"/>
                <w:lang w:val="en-US"/>
              </w:rPr>
              <w:t>b</w:t>
            </w:r>
            <w:proofErr w:type="spellEnd"/>
          </w:p>
        </w:tc>
        <w:tc>
          <w:tcPr>
            <w:tcW w:w="1560" w:type="dxa"/>
            <w:shd w:val="clear" w:color="auto" w:fill="A6A6A6" w:themeFill="background1" w:themeFillShade="A6"/>
            <w:vAlign w:val="center"/>
          </w:tcPr>
          <w:p w14:paraId="771B59FB" w14:textId="77777777" w:rsidR="00FA42C8" w:rsidRPr="004C3FAD" w:rsidRDefault="00FA42C8" w:rsidP="00021254">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QPlogHERG</w:t>
            </w:r>
            <w:r w:rsidRPr="004C3FAD">
              <w:rPr>
                <w:rFonts w:ascii="Times New Roman" w:hAnsi="Times New Roman" w:cs="Times New Roman"/>
                <w:b/>
                <w:sz w:val="22"/>
                <w:szCs w:val="22"/>
                <w:vertAlign w:val="superscript"/>
                <w:lang w:val="en-US"/>
              </w:rPr>
              <w:t>c</w:t>
            </w:r>
            <w:proofErr w:type="spellEnd"/>
          </w:p>
        </w:tc>
        <w:tc>
          <w:tcPr>
            <w:tcW w:w="1275" w:type="dxa"/>
            <w:shd w:val="clear" w:color="auto" w:fill="A6A6A6" w:themeFill="background1" w:themeFillShade="A6"/>
            <w:vAlign w:val="center"/>
          </w:tcPr>
          <w:p w14:paraId="6F57F8D4" w14:textId="77777777" w:rsidR="00FA42C8" w:rsidRPr="004C3FAD" w:rsidRDefault="00FA42C8" w:rsidP="00021254">
            <w:pPr>
              <w:pStyle w:val="Textosinformato"/>
              <w:jc w:val="center"/>
              <w:rPr>
                <w:rFonts w:ascii="Times New Roman" w:hAnsi="Times New Roman" w:cs="Times New Roman"/>
                <w:b/>
                <w:sz w:val="22"/>
                <w:szCs w:val="22"/>
                <w:vertAlign w:val="superscript"/>
                <w:lang w:val="en-US"/>
              </w:rPr>
            </w:pPr>
            <w:proofErr w:type="spellStart"/>
            <w:r w:rsidRPr="004C3FAD">
              <w:rPr>
                <w:rFonts w:ascii="Times New Roman" w:hAnsi="Times New Roman" w:cs="Times New Roman"/>
                <w:b/>
                <w:sz w:val="22"/>
                <w:szCs w:val="22"/>
                <w:lang w:val="en-US"/>
              </w:rPr>
              <w:t>QPPCaco</w:t>
            </w:r>
            <w:r w:rsidRPr="004C3FAD">
              <w:rPr>
                <w:rFonts w:ascii="Times New Roman" w:hAnsi="Times New Roman" w:cs="Times New Roman"/>
                <w:b/>
                <w:sz w:val="22"/>
                <w:szCs w:val="22"/>
                <w:vertAlign w:val="superscript"/>
                <w:lang w:val="en-US"/>
              </w:rPr>
              <w:t>d</w:t>
            </w:r>
            <w:proofErr w:type="spellEnd"/>
          </w:p>
        </w:tc>
        <w:tc>
          <w:tcPr>
            <w:tcW w:w="1701" w:type="dxa"/>
            <w:shd w:val="clear" w:color="auto" w:fill="A6A6A6" w:themeFill="background1" w:themeFillShade="A6"/>
            <w:vAlign w:val="center"/>
          </w:tcPr>
          <w:p w14:paraId="1CF1C698" w14:textId="77777777" w:rsidR="00FA42C8" w:rsidRPr="004C3FAD" w:rsidRDefault="00FA42C8" w:rsidP="00021254">
            <w:pPr>
              <w:pStyle w:val="Textosinformato"/>
              <w:jc w:val="center"/>
              <w:rPr>
                <w:rFonts w:ascii="Times New Roman" w:hAnsi="Times New Roman" w:cs="Times New Roman"/>
                <w:b/>
                <w:sz w:val="22"/>
                <w:szCs w:val="22"/>
                <w:vertAlign w:val="superscript"/>
                <w:lang w:val="en-US"/>
              </w:rPr>
            </w:pPr>
            <w:r w:rsidRPr="004C3FAD">
              <w:rPr>
                <w:rFonts w:ascii="Times New Roman" w:hAnsi="Times New Roman" w:cs="Times New Roman"/>
                <w:b/>
                <w:sz w:val="22"/>
                <w:szCs w:val="22"/>
                <w:lang w:val="en-US"/>
              </w:rPr>
              <w:t>%</w:t>
            </w:r>
            <w:proofErr w:type="gramStart"/>
            <w:r w:rsidRPr="004C3FAD">
              <w:rPr>
                <w:rFonts w:ascii="Times New Roman" w:hAnsi="Times New Roman" w:cs="Times New Roman"/>
                <w:b/>
                <w:sz w:val="22"/>
                <w:szCs w:val="22"/>
                <w:lang w:val="en-US"/>
              </w:rPr>
              <w:t>Human  oral</w:t>
            </w:r>
            <w:proofErr w:type="gramEnd"/>
            <w:r w:rsidRPr="004C3FAD">
              <w:rPr>
                <w:rFonts w:ascii="Times New Roman" w:hAnsi="Times New Roman" w:cs="Times New Roman"/>
                <w:b/>
                <w:sz w:val="22"/>
                <w:szCs w:val="22"/>
                <w:lang w:val="en-US"/>
              </w:rPr>
              <w:t xml:space="preserve"> absorption </w:t>
            </w:r>
            <w:proofErr w:type="spellStart"/>
            <w:r w:rsidRPr="004C3FAD">
              <w:rPr>
                <w:rFonts w:ascii="Times New Roman" w:hAnsi="Times New Roman" w:cs="Times New Roman"/>
                <w:b/>
                <w:sz w:val="22"/>
                <w:szCs w:val="22"/>
                <w:lang w:val="en-US"/>
              </w:rPr>
              <w:t>GI</w:t>
            </w:r>
            <w:r w:rsidRPr="004C3FAD">
              <w:rPr>
                <w:rFonts w:ascii="Times New Roman" w:hAnsi="Times New Roman" w:cs="Times New Roman"/>
                <w:b/>
                <w:sz w:val="22"/>
                <w:szCs w:val="22"/>
                <w:vertAlign w:val="superscript"/>
                <w:lang w:val="en-US"/>
              </w:rPr>
              <w:t>e</w:t>
            </w:r>
            <w:proofErr w:type="spellEnd"/>
          </w:p>
        </w:tc>
        <w:tc>
          <w:tcPr>
            <w:tcW w:w="1134" w:type="dxa"/>
            <w:shd w:val="clear" w:color="auto" w:fill="A6A6A6" w:themeFill="background1" w:themeFillShade="A6"/>
            <w:vAlign w:val="center"/>
          </w:tcPr>
          <w:p w14:paraId="7C90BA26" w14:textId="2C0020DB" w:rsidR="00FA42C8" w:rsidRPr="004C3FAD" w:rsidRDefault="00FA42C8" w:rsidP="00021254">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PAINS</w:t>
            </w:r>
            <w:r w:rsidR="006A0EE9" w:rsidRPr="006A0EE9">
              <w:rPr>
                <w:rFonts w:ascii="Times New Roman" w:hAnsi="Times New Roman" w:cs="Times New Roman"/>
                <w:b/>
                <w:sz w:val="22"/>
                <w:szCs w:val="22"/>
                <w:vertAlign w:val="superscript"/>
                <w:lang w:val="en-US"/>
              </w:rPr>
              <w:t>#</w:t>
            </w:r>
          </w:p>
        </w:tc>
      </w:tr>
      <w:tr w:rsidR="00021254" w:rsidRPr="004C3FAD" w14:paraId="65A3E0C6" w14:textId="57423971" w:rsidTr="00A646B9">
        <w:trPr>
          <w:trHeight w:val="331"/>
        </w:trPr>
        <w:tc>
          <w:tcPr>
            <w:tcW w:w="1696" w:type="dxa"/>
            <w:shd w:val="clear" w:color="auto" w:fill="D9D9D9" w:themeFill="background1" w:themeFillShade="D9"/>
            <w:vAlign w:val="center"/>
          </w:tcPr>
          <w:p w14:paraId="2DC78ABC" w14:textId="6596660E" w:rsidR="00021254" w:rsidRPr="00BE069D" w:rsidRDefault="00021254" w:rsidP="00021254">
            <w:pPr>
              <w:spacing w:before="0" w:after="0"/>
              <w:jc w:val="center"/>
              <w:rPr>
                <w:rFonts w:eastAsia="Times New Roman" w:cs="Times New Roman"/>
                <w:b/>
                <w:sz w:val="22"/>
              </w:rPr>
            </w:pPr>
            <w:r w:rsidRPr="00BE069D">
              <w:rPr>
                <w:rFonts w:eastAsia="Times New Roman" w:cs="Times New Roman"/>
                <w:b/>
                <w:sz w:val="22"/>
              </w:rPr>
              <w:t>AM12033</w:t>
            </w:r>
          </w:p>
        </w:tc>
        <w:tc>
          <w:tcPr>
            <w:tcW w:w="1134" w:type="dxa"/>
            <w:shd w:val="clear" w:color="auto" w:fill="D9D9D9" w:themeFill="background1" w:themeFillShade="D9"/>
            <w:vAlign w:val="center"/>
          </w:tcPr>
          <w:p w14:paraId="5B221A5A" w14:textId="741278E0" w:rsidR="00021254" w:rsidRPr="00021254" w:rsidRDefault="00021254" w:rsidP="00021254">
            <w:pPr>
              <w:spacing w:before="0" w:after="0"/>
              <w:jc w:val="center"/>
              <w:rPr>
                <w:rFonts w:cs="Times New Roman"/>
                <w:sz w:val="22"/>
                <w:szCs w:val="24"/>
              </w:rPr>
            </w:pPr>
            <w:r w:rsidRPr="00021254">
              <w:rPr>
                <w:rFonts w:cs="Times New Roman"/>
                <w:sz w:val="22"/>
                <w:szCs w:val="20"/>
              </w:rPr>
              <w:t>-7.38</w:t>
            </w:r>
          </w:p>
        </w:tc>
        <w:tc>
          <w:tcPr>
            <w:tcW w:w="1134" w:type="dxa"/>
            <w:shd w:val="clear" w:color="auto" w:fill="D9D9D9" w:themeFill="background1" w:themeFillShade="D9"/>
            <w:vAlign w:val="center"/>
          </w:tcPr>
          <w:p w14:paraId="4659C730" w14:textId="7D4798C8" w:rsidR="00021254" w:rsidRPr="00021254" w:rsidRDefault="00021254" w:rsidP="00021254">
            <w:pPr>
              <w:spacing w:before="0" w:after="0"/>
              <w:jc w:val="center"/>
              <w:rPr>
                <w:rFonts w:cs="Times New Roman"/>
                <w:sz w:val="22"/>
                <w:szCs w:val="24"/>
              </w:rPr>
            </w:pPr>
            <w:r w:rsidRPr="00021254">
              <w:rPr>
                <w:sz w:val="22"/>
              </w:rPr>
              <w:t>-1.62</w:t>
            </w:r>
          </w:p>
        </w:tc>
        <w:tc>
          <w:tcPr>
            <w:tcW w:w="1560" w:type="dxa"/>
            <w:shd w:val="clear" w:color="auto" w:fill="D9D9D9" w:themeFill="background1" w:themeFillShade="D9"/>
            <w:vAlign w:val="center"/>
          </w:tcPr>
          <w:p w14:paraId="7D3B43C4" w14:textId="62FF9DED" w:rsidR="00021254" w:rsidRPr="00021254" w:rsidRDefault="00021254" w:rsidP="00021254">
            <w:pPr>
              <w:spacing w:before="0" w:after="0"/>
              <w:jc w:val="center"/>
              <w:rPr>
                <w:rFonts w:cs="Times New Roman"/>
                <w:sz w:val="22"/>
                <w:szCs w:val="24"/>
              </w:rPr>
            </w:pPr>
            <w:r w:rsidRPr="00021254">
              <w:rPr>
                <w:sz w:val="22"/>
              </w:rPr>
              <w:t>-4.95</w:t>
            </w:r>
          </w:p>
        </w:tc>
        <w:tc>
          <w:tcPr>
            <w:tcW w:w="1275" w:type="dxa"/>
            <w:shd w:val="clear" w:color="auto" w:fill="D9D9D9" w:themeFill="background1" w:themeFillShade="D9"/>
            <w:vAlign w:val="center"/>
          </w:tcPr>
          <w:p w14:paraId="65A3B368" w14:textId="5345DC02" w:rsidR="00021254" w:rsidRPr="00021254" w:rsidRDefault="00021254" w:rsidP="00021254">
            <w:pPr>
              <w:spacing w:before="0" w:after="0"/>
              <w:jc w:val="center"/>
              <w:rPr>
                <w:rFonts w:cs="Times New Roman"/>
                <w:sz w:val="22"/>
                <w:szCs w:val="24"/>
              </w:rPr>
            </w:pPr>
            <w:r w:rsidRPr="00021254">
              <w:rPr>
                <w:sz w:val="22"/>
              </w:rPr>
              <w:t>353.08</w:t>
            </w:r>
          </w:p>
        </w:tc>
        <w:tc>
          <w:tcPr>
            <w:tcW w:w="1701" w:type="dxa"/>
            <w:shd w:val="clear" w:color="auto" w:fill="D9D9D9" w:themeFill="background1" w:themeFillShade="D9"/>
            <w:vAlign w:val="center"/>
          </w:tcPr>
          <w:p w14:paraId="54268AB3" w14:textId="193FC710" w:rsidR="00021254" w:rsidRPr="00021254" w:rsidRDefault="00021254" w:rsidP="00021254">
            <w:pPr>
              <w:spacing w:before="0" w:after="0"/>
              <w:jc w:val="center"/>
              <w:rPr>
                <w:rFonts w:cs="Times New Roman"/>
                <w:sz w:val="22"/>
                <w:szCs w:val="24"/>
              </w:rPr>
            </w:pPr>
            <w:r w:rsidRPr="00021254">
              <w:rPr>
                <w:sz w:val="22"/>
              </w:rPr>
              <w:t>100</w:t>
            </w:r>
          </w:p>
        </w:tc>
        <w:tc>
          <w:tcPr>
            <w:tcW w:w="1134" w:type="dxa"/>
            <w:shd w:val="clear" w:color="auto" w:fill="D9D9D9" w:themeFill="background1" w:themeFillShade="D9"/>
            <w:vAlign w:val="center"/>
          </w:tcPr>
          <w:p w14:paraId="22A284C9" w14:textId="57634938" w:rsidR="00021254" w:rsidRDefault="00021254" w:rsidP="00021254">
            <w:pPr>
              <w:spacing w:before="0" w:after="0"/>
              <w:jc w:val="center"/>
              <w:rPr>
                <w:rFonts w:cs="Times New Roman"/>
                <w:szCs w:val="24"/>
              </w:rPr>
            </w:pPr>
            <w:r>
              <w:rPr>
                <w:rFonts w:cs="Times New Roman"/>
                <w:szCs w:val="24"/>
              </w:rPr>
              <w:t>0</w:t>
            </w:r>
          </w:p>
        </w:tc>
      </w:tr>
      <w:tr w:rsidR="00021254" w:rsidRPr="004C3FAD" w14:paraId="45D02EAE" w14:textId="64F71050" w:rsidTr="00A646B9">
        <w:trPr>
          <w:trHeight w:val="331"/>
        </w:trPr>
        <w:tc>
          <w:tcPr>
            <w:tcW w:w="1696" w:type="dxa"/>
            <w:shd w:val="clear" w:color="auto" w:fill="auto"/>
            <w:vAlign w:val="center"/>
          </w:tcPr>
          <w:p w14:paraId="002DFFA5" w14:textId="46F560ED" w:rsidR="00021254" w:rsidRDefault="00021254" w:rsidP="00021254">
            <w:pPr>
              <w:spacing w:before="0" w:after="0"/>
              <w:jc w:val="center"/>
              <w:rPr>
                <w:rFonts w:eastAsia="Times New Roman" w:cs="Times New Roman"/>
                <w:b/>
                <w:szCs w:val="24"/>
              </w:rPr>
            </w:pPr>
            <w:r w:rsidRPr="00124ED5">
              <w:rPr>
                <w:rFonts w:cs="Times New Roman"/>
                <w:b/>
                <w:sz w:val="22"/>
              </w:rPr>
              <w:t>1508577</w:t>
            </w:r>
          </w:p>
        </w:tc>
        <w:tc>
          <w:tcPr>
            <w:tcW w:w="1134" w:type="dxa"/>
            <w:shd w:val="clear" w:color="auto" w:fill="auto"/>
            <w:vAlign w:val="center"/>
          </w:tcPr>
          <w:p w14:paraId="7FB50F11" w14:textId="03B41B92" w:rsidR="00021254" w:rsidRPr="00021254" w:rsidRDefault="00021254" w:rsidP="00021254">
            <w:pPr>
              <w:spacing w:before="0" w:after="0"/>
              <w:jc w:val="center"/>
              <w:rPr>
                <w:rFonts w:cs="Times New Roman"/>
                <w:sz w:val="22"/>
                <w:szCs w:val="24"/>
              </w:rPr>
            </w:pPr>
            <w:r w:rsidRPr="00021254">
              <w:rPr>
                <w:rFonts w:cs="Times New Roman"/>
                <w:sz w:val="22"/>
                <w:szCs w:val="20"/>
              </w:rPr>
              <w:t>-4.84</w:t>
            </w:r>
          </w:p>
        </w:tc>
        <w:tc>
          <w:tcPr>
            <w:tcW w:w="1134" w:type="dxa"/>
            <w:shd w:val="clear" w:color="auto" w:fill="auto"/>
            <w:vAlign w:val="center"/>
          </w:tcPr>
          <w:p w14:paraId="600FECDF" w14:textId="3EBD2BFD" w:rsidR="00021254" w:rsidRPr="00021254" w:rsidRDefault="00021254" w:rsidP="00021254">
            <w:pPr>
              <w:spacing w:before="0" w:after="0"/>
              <w:jc w:val="center"/>
              <w:rPr>
                <w:rFonts w:cs="Times New Roman"/>
                <w:sz w:val="22"/>
                <w:szCs w:val="24"/>
              </w:rPr>
            </w:pPr>
            <w:r w:rsidRPr="00021254">
              <w:rPr>
                <w:sz w:val="22"/>
              </w:rPr>
              <w:t>-1.56</w:t>
            </w:r>
          </w:p>
        </w:tc>
        <w:tc>
          <w:tcPr>
            <w:tcW w:w="1560" w:type="dxa"/>
            <w:shd w:val="clear" w:color="auto" w:fill="auto"/>
            <w:vAlign w:val="center"/>
          </w:tcPr>
          <w:p w14:paraId="5DFF0C3D" w14:textId="35C3331E" w:rsidR="00021254" w:rsidRPr="00021254" w:rsidRDefault="00021254" w:rsidP="00021254">
            <w:pPr>
              <w:spacing w:before="0" w:after="0"/>
              <w:jc w:val="center"/>
              <w:rPr>
                <w:rFonts w:cs="Times New Roman"/>
                <w:sz w:val="22"/>
                <w:szCs w:val="24"/>
              </w:rPr>
            </w:pPr>
            <w:r>
              <w:rPr>
                <w:sz w:val="22"/>
              </w:rPr>
              <w:t>-5.</w:t>
            </w:r>
            <w:r w:rsidRPr="00021254">
              <w:rPr>
                <w:sz w:val="22"/>
              </w:rPr>
              <w:t>9</w:t>
            </w:r>
            <w:r>
              <w:rPr>
                <w:sz w:val="22"/>
              </w:rPr>
              <w:t>1</w:t>
            </w:r>
          </w:p>
        </w:tc>
        <w:tc>
          <w:tcPr>
            <w:tcW w:w="1275" w:type="dxa"/>
            <w:shd w:val="clear" w:color="auto" w:fill="auto"/>
            <w:vAlign w:val="center"/>
          </w:tcPr>
          <w:p w14:paraId="1C856936" w14:textId="3A161A5C" w:rsidR="00021254" w:rsidRPr="00021254" w:rsidRDefault="00021254" w:rsidP="00021254">
            <w:pPr>
              <w:spacing w:before="0" w:after="0"/>
              <w:jc w:val="center"/>
              <w:rPr>
                <w:rFonts w:cs="Times New Roman"/>
                <w:sz w:val="22"/>
                <w:szCs w:val="24"/>
              </w:rPr>
            </w:pPr>
            <w:r w:rsidRPr="00021254">
              <w:rPr>
                <w:sz w:val="22"/>
              </w:rPr>
              <w:t>264.91</w:t>
            </w:r>
          </w:p>
        </w:tc>
        <w:tc>
          <w:tcPr>
            <w:tcW w:w="1701" w:type="dxa"/>
            <w:vAlign w:val="center"/>
          </w:tcPr>
          <w:p w14:paraId="4522096B" w14:textId="3EC46770" w:rsidR="00021254" w:rsidRPr="00021254" w:rsidRDefault="00021254" w:rsidP="00021254">
            <w:pPr>
              <w:spacing w:before="0" w:after="0"/>
              <w:jc w:val="center"/>
              <w:rPr>
                <w:rFonts w:cs="Times New Roman"/>
                <w:sz w:val="22"/>
                <w:szCs w:val="24"/>
              </w:rPr>
            </w:pPr>
            <w:r w:rsidRPr="00021254">
              <w:rPr>
                <w:sz w:val="22"/>
              </w:rPr>
              <w:t>84</w:t>
            </w:r>
          </w:p>
        </w:tc>
        <w:tc>
          <w:tcPr>
            <w:tcW w:w="1134" w:type="dxa"/>
            <w:vAlign w:val="center"/>
          </w:tcPr>
          <w:p w14:paraId="7539C864" w14:textId="2AD1D61F" w:rsidR="00021254" w:rsidRDefault="00021254" w:rsidP="00021254">
            <w:pPr>
              <w:spacing w:before="0" w:after="0"/>
              <w:jc w:val="center"/>
              <w:rPr>
                <w:rFonts w:cs="Times New Roman"/>
                <w:szCs w:val="24"/>
              </w:rPr>
            </w:pPr>
            <w:r>
              <w:rPr>
                <w:rFonts w:cs="Times New Roman"/>
                <w:szCs w:val="24"/>
              </w:rPr>
              <w:t>0</w:t>
            </w:r>
          </w:p>
        </w:tc>
      </w:tr>
      <w:tr w:rsidR="00021254" w:rsidRPr="004C3FAD" w14:paraId="15F66B30" w14:textId="44C9A3C8" w:rsidTr="00A646B9">
        <w:trPr>
          <w:trHeight w:val="331"/>
        </w:trPr>
        <w:tc>
          <w:tcPr>
            <w:tcW w:w="1696" w:type="dxa"/>
            <w:shd w:val="clear" w:color="auto" w:fill="auto"/>
            <w:vAlign w:val="center"/>
          </w:tcPr>
          <w:p w14:paraId="5E9B96C3" w14:textId="7D3E9CD0" w:rsidR="00021254" w:rsidRDefault="00021254" w:rsidP="00021254">
            <w:pPr>
              <w:spacing w:before="0" w:after="0"/>
              <w:jc w:val="center"/>
              <w:rPr>
                <w:rFonts w:eastAsia="Times New Roman" w:cs="Times New Roman"/>
                <w:b/>
                <w:szCs w:val="24"/>
              </w:rPr>
            </w:pPr>
            <w:r w:rsidRPr="00124ED5">
              <w:rPr>
                <w:rFonts w:cs="Times New Roman"/>
                <w:b/>
                <w:sz w:val="22"/>
              </w:rPr>
              <w:t>1508215</w:t>
            </w:r>
          </w:p>
        </w:tc>
        <w:tc>
          <w:tcPr>
            <w:tcW w:w="1134" w:type="dxa"/>
            <w:shd w:val="clear" w:color="auto" w:fill="auto"/>
            <w:vAlign w:val="center"/>
          </w:tcPr>
          <w:p w14:paraId="11F3909B" w14:textId="2F925C9F" w:rsidR="00021254" w:rsidRPr="00021254" w:rsidRDefault="00021254" w:rsidP="00021254">
            <w:pPr>
              <w:spacing w:before="0" w:after="0"/>
              <w:jc w:val="center"/>
              <w:rPr>
                <w:rFonts w:cs="Times New Roman"/>
                <w:sz w:val="22"/>
                <w:szCs w:val="24"/>
              </w:rPr>
            </w:pPr>
            <w:r w:rsidRPr="00021254">
              <w:rPr>
                <w:rFonts w:cs="Times New Roman"/>
                <w:sz w:val="22"/>
                <w:szCs w:val="20"/>
              </w:rPr>
              <w:t>-4.86</w:t>
            </w:r>
          </w:p>
        </w:tc>
        <w:tc>
          <w:tcPr>
            <w:tcW w:w="1134" w:type="dxa"/>
            <w:shd w:val="clear" w:color="auto" w:fill="auto"/>
            <w:vAlign w:val="center"/>
          </w:tcPr>
          <w:p w14:paraId="47FF5503" w14:textId="7A4D6226" w:rsidR="00021254" w:rsidRPr="00021254" w:rsidRDefault="00021254" w:rsidP="00021254">
            <w:pPr>
              <w:spacing w:before="0" w:after="0"/>
              <w:jc w:val="center"/>
              <w:rPr>
                <w:rFonts w:cs="Times New Roman"/>
                <w:sz w:val="22"/>
                <w:szCs w:val="24"/>
              </w:rPr>
            </w:pPr>
            <w:r w:rsidRPr="00021254">
              <w:rPr>
                <w:sz w:val="22"/>
              </w:rPr>
              <w:t>-0.99</w:t>
            </w:r>
          </w:p>
        </w:tc>
        <w:tc>
          <w:tcPr>
            <w:tcW w:w="1560" w:type="dxa"/>
            <w:shd w:val="clear" w:color="auto" w:fill="auto"/>
            <w:vAlign w:val="center"/>
          </w:tcPr>
          <w:p w14:paraId="296D319A" w14:textId="50798CB6" w:rsidR="00021254" w:rsidRPr="00021254" w:rsidRDefault="00021254" w:rsidP="00021254">
            <w:pPr>
              <w:spacing w:before="0" w:after="0"/>
              <w:jc w:val="center"/>
              <w:rPr>
                <w:rFonts w:cs="Times New Roman"/>
                <w:sz w:val="22"/>
                <w:szCs w:val="24"/>
              </w:rPr>
            </w:pPr>
            <w:r>
              <w:rPr>
                <w:sz w:val="22"/>
              </w:rPr>
              <w:t>-5.0</w:t>
            </w:r>
            <w:r w:rsidRPr="00021254">
              <w:rPr>
                <w:sz w:val="22"/>
              </w:rPr>
              <w:t>7</w:t>
            </w:r>
          </w:p>
        </w:tc>
        <w:tc>
          <w:tcPr>
            <w:tcW w:w="1275" w:type="dxa"/>
            <w:shd w:val="clear" w:color="auto" w:fill="auto"/>
            <w:vAlign w:val="center"/>
          </w:tcPr>
          <w:p w14:paraId="5D14AECB" w14:textId="7CFE08E5" w:rsidR="00021254" w:rsidRPr="00021254" w:rsidRDefault="00021254" w:rsidP="00021254">
            <w:pPr>
              <w:spacing w:before="0" w:after="0"/>
              <w:jc w:val="center"/>
              <w:rPr>
                <w:rFonts w:cs="Times New Roman"/>
                <w:sz w:val="22"/>
                <w:szCs w:val="24"/>
              </w:rPr>
            </w:pPr>
            <w:r w:rsidRPr="00021254">
              <w:rPr>
                <w:sz w:val="22"/>
              </w:rPr>
              <w:t>376.21</w:t>
            </w:r>
          </w:p>
        </w:tc>
        <w:tc>
          <w:tcPr>
            <w:tcW w:w="1701" w:type="dxa"/>
            <w:vAlign w:val="center"/>
          </w:tcPr>
          <w:p w14:paraId="7D829761" w14:textId="0FC0F720" w:rsidR="00021254" w:rsidRPr="00021254" w:rsidRDefault="00021254" w:rsidP="00021254">
            <w:pPr>
              <w:spacing w:before="0" w:after="0"/>
              <w:jc w:val="center"/>
              <w:rPr>
                <w:rFonts w:cs="Times New Roman"/>
                <w:sz w:val="22"/>
                <w:szCs w:val="24"/>
              </w:rPr>
            </w:pPr>
            <w:r w:rsidRPr="00021254">
              <w:rPr>
                <w:sz w:val="22"/>
              </w:rPr>
              <w:t>93</w:t>
            </w:r>
          </w:p>
        </w:tc>
        <w:tc>
          <w:tcPr>
            <w:tcW w:w="1134" w:type="dxa"/>
            <w:vAlign w:val="center"/>
          </w:tcPr>
          <w:p w14:paraId="069D0873" w14:textId="70B31E74" w:rsidR="00021254" w:rsidRDefault="00021254" w:rsidP="00021254">
            <w:pPr>
              <w:spacing w:before="0" w:after="0"/>
              <w:jc w:val="center"/>
              <w:rPr>
                <w:rFonts w:cs="Times New Roman"/>
                <w:szCs w:val="24"/>
              </w:rPr>
            </w:pPr>
            <w:r>
              <w:rPr>
                <w:rFonts w:cs="Times New Roman"/>
                <w:szCs w:val="24"/>
              </w:rPr>
              <w:t>0</w:t>
            </w:r>
          </w:p>
        </w:tc>
      </w:tr>
      <w:tr w:rsidR="00021254" w:rsidRPr="001B0677" w14:paraId="3CC9A8B1" w14:textId="5159E09E" w:rsidTr="00A646B9">
        <w:trPr>
          <w:trHeight w:val="331"/>
        </w:trPr>
        <w:tc>
          <w:tcPr>
            <w:tcW w:w="1696" w:type="dxa"/>
            <w:shd w:val="clear" w:color="auto" w:fill="auto"/>
            <w:vAlign w:val="center"/>
          </w:tcPr>
          <w:p w14:paraId="297AC929" w14:textId="15E66988" w:rsidR="00021254" w:rsidRDefault="00021254" w:rsidP="00021254">
            <w:pPr>
              <w:spacing w:before="0" w:after="0"/>
              <w:jc w:val="center"/>
              <w:rPr>
                <w:rFonts w:eastAsia="Times New Roman" w:cs="Times New Roman"/>
                <w:b/>
                <w:szCs w:val="24"/>
              </w:rPr>
            </w:pPr>
            <w:r w:rsidRPr="00124ED5">
              <w:rPr>
                <w:rFonts w:cs="Times New Roman"/>
                <w:b/>
                <w:sz w:val="22"/>
              </w:rPr>
              <w:t>1574712</w:t>
            </w:r>
          </w:p>
        </w:tc>
        <w:tc>
          <w:tcPr>
            <w:tcW w:w="1134" w:type="dxa"/>
            <w:shd w:val="clear" w:color="auto" w:fill="auto"/>
            <w:vAlign w:val="center"/>
          </w:tcPr>
          <w:p w14:paraId="6683F0A0" w14:textId="1CF81C87" w:rsidR="00021254" w:rsidRPr="00021254" w:rsidRDefault="00021254" w:rsidP="00021254">
            <w:pPr>
              <w:spacing w:before="0" w:after="0"/>
              <w:jc w:val="center"/>
              <w:rPr>
                <w:rFonts w:cs="Times New Roman"/>
                <w:sz w:val="22"/>
                <w:szCs w:val="24"/>
              </w:rPr>
            </w:pPr>
            <w:r w:rsidRPr="00021254">
              <w:rPr>
                <w:rFonts w:cs="Times New Roman"/>
                <w:sz w:val="22"/>
                <w:szCs w:val="20"/>
              </w:rPr>
              <w:t>-5.32</w:t>
            </w:r>
          </w:p>
        </w:tc>
        <w:tc>
          <w:tcPr>
            <w:tcW w:w="1134" w:type="dxa"/>
            <w:shd w:val="clear" w:color="auto" w:fill="auto"/>
            <w:vAlign w:val="center"/>
          </w:tcPr>
          <w:p w14:paraId="6EB315F2" w14:textId="05BB3276" w:rsidR="00021254" w:rsidRPr="00021254" w:rsidRDefault="00021254" w:rsidP="00021254">
            <w:pPr>
              <w:spacing w:before="0" w:after="0"/>
              <w:jc w:val="center"/>
              <w:rPr>
                <w:rFonts w:cs="Times New Roman"/>
                <w:sz w:val="22"/>
                <w:szCs w:val="24"/>
              </w:rPr>
            </w:pPr>
            <w:r w:rsidRPr="00021254">
              <w:rPr>
                <w:sz w:val="22"/>
              </w:rPr>
              <w:t>-0.99</w:t>
            </w:r>
          </w:p>
        </w:tc>
        <w:tc>
          <w:tcPr>
            <w:tcW w:w="1560" w:type="dxa"/>
            <w:shd w:val="clear" w:color="auto" w:fill="auto"/>
            <w:vAlign w:val="center"/>
          </w:tcPr>
          <w:p w14:paraId="675DCD5D" w14:textId="6DB1DF36" w:rsidR="00021254" w:rsidRPr="00021254" w:rsidRDefault="00021254" w:rsidP="00021254">
            <w:pPr>
              <w:spacing w:before="0" w:after="0"/>
              <w:jc w:val="center"/>
              <w:rPr>
                <w:rFonts w:cs="Times New Roman"/>
                <w:sz w:val="22"/>
                <w:szCs w:val="24"/>
              </w:rPr>
            </w:pPr>
            <w:r w:rsidRPr="00021254">
              <w:rPr>
                <w:sz w:val="22"/>
              </w:rPr>
              <w:t>-5.47</w:t>
            </w:r>
          </w:p>
        </w:tc>
        <w:tc>
          <w:tcPr>
            <w:tcW w:w="1275" w:type="dxa"/>
            <w:shd w:val="clear" w:color="auto" w:fill="auto"/>
            <w:vAlign w:val="center"/>
          </w:tcPr>
          <w:p w14:paraId="149C4AB8" w14:textId="38A8325A" w:rsidR="00021254" w:rsidRPr="00021254" w:rsidRDefault="00021254" w:rsidP="00021254">
            <w:pPr>
              <w:spacing w:before="0" w:after="0"/>
              <w:jc w:val="center"/>
              <w:rPr>
                <w:rFonts w:cs="Times New Roman"/>
                <w:sz w:val="22"/>
                <w:szCs w:val="24"/>
              </w:rPr>
            </w:pPr>
            <w:r w:rsidRPr="00021254">
              <w:rPr>
                <w:sz w:val="22"/>
              </w:rPr>
              <w:t>446.52</w:t>
            </w:r>
          </w:p>
        </w:tc>
        <w:tc>
          <w:tcPr>
            <w:tcW w:w="1701" w:type="dxa"/>
            <w:vAlign w:val="center"/>
          </w:tcPr>
          <w:p w14:paraId="4AEB37D4" w14:textId="78D54C61" w:rsidR="00021254" w:rsidRPr="00021254" w:rsidRDefault="00021254" w:rsidP="00021254">
            <w:pPr>
              <w:spacing w:before="0" w:after="0"/>
              <w:jc w:val="center"/>
              <w:rPr>
                <w:rFonts w:cs="Times New Roman"/>
                <w:sz w:val="22"/>
                <w:szCs w:val="24"/>
              </w:rPr>
            </w:pPr>
            <w:r w:rsidRPr="00021254">
              <w:rPr>
                <w:sz w:val="22"/>
              </w:rPr>
              <w:t>100</w:t>
            </w:r>
          </w:p>
        </w:tc>
        <w:tc>
          <w:tcPr>
            <w:tcW w:w="1134" w:type="dxa"/>
            <w:vAlign w:val="center"/>
          </w:tcPr>
          <w:p w14:paraId="000AFA20" w14:textId="6A623B45" w:rsidR="00021254" w:rsidRPr="001B0677" w:rsidRDefault="00021254" w:rsidP="00021254">
            <w:pPr>
              <w:spacing w:before="0" w:after="0"/>
              <w:jc w:val="center"/>
              <w:rPr>
                <w:rFonts w:cs="Times New Roman"/>
                <w:szCs w:val="24"/>
                <w:lang w:val="es-ES"/>
              </w:rPr>
            </w:pPr>
            <w:r>
              <w:rPr>
                <w:rFonts w:cs="Times New Roman"/>
                <w:szCs w:val="24"/>
                <w:lang w:val="es-ES"/>
              </w:rPr>
              <w:t>0</w:t>
            </w:r>
          </w:p>
        </w:tc>
      </w:tr>
      <w:tr w:rsidR="00021254" w:rsidRPr="004C3FAD" w14:paraId="21EB80C0" w14:textId="77777777" w:rsidTr="00A646B9">
        <w:trPr>
          <w:trHeight w:val="331"/>
        </w:trPr>
        <w:tc>
          <w:tcPr>
            <w:tcW w:w="1696" w:type="dxa"/>
            <w:shd w:val="clear" w:color="auto" w:fill="auto"/>
            <w:vAlign w:val="center"/>
          </w:tcPr>
          <w:p w14:paraId="6F13FA47" w14:textId="474DC36F" w:rsidR="00021254" w:rsidRDefault="00021254" w:rsidP="00021254">
            <w:pPr>
              <w:spacing w:before="0" w:after="0"/>
              <w:jc w:val="center"/>
              <w:rPr>
                <w:rFonts w:eastAsia="Times New Roman" w:cs="Times New Roman"/>
                <w:b/>
                <w:szCs w:val="24"/>
              </w:rPr>
            </w:pPr>
            <w:r w:rsidRPr="002C73C3">
              <w:rPr>
                <w:rFonts w:eastAsia="Times New Roman" w:cs="Times New Roman"/>
                <w:b/>
                <w:szCs w:val="24"/>
              </w:rPr>
              <w:t>1383349</w:t>
            </w:r>
          </w:p>
        </w:tc>
        <w:tc>
          <w:tcPr>
            <w:tcW w:w="1134" w:type="dxa"/>
            <w:shd w:val="clear" w:color="auto" w:fill="auto"/>
            <w:vAlign w:val="center"/>
          </w:tcPr>
          <w:p w14:paraId="6C75613D" w14:textId="756B1592" w:rsidR="00021254" w:rsidRPr="00021254" w:rsidRDefault="00021254" w:rsidP="00021254">
            <w:pPr>
              <w:spacing w:before="0" w:after="0"/>
              <w:jc w:val="center"/>
              <w:rPr>
                <w:rFonts w:cs="Times New Roman"/>
                <w:sz w:val="22"/>
                <w:szCs w:val="24"/>
              </w:rPr>
            </w:pPr>
            <w:r w:rsidRPr="00021254">
              <w:rPr>
                <w:rFonts w:cs="Times New Roman"/>
                <w:sz w:val="22"/>
                <w:szCs w:val="20"/>
              </w:rPr>
              <w:t>-5.49</w:t>
            </w:r>
          </w:p>
        </w:tc>
        <w:tc>
          <w:tcPr>
            <w:tcW w:w="1134" w:type="dxa"/>
            <w:shd w:val="clear" w:color="auto" w:fill="auto"/>
            <w:vAlign w:val="center"/>
          </w:tcPr>
          <w:p w14:paraId="6E204D47" w14:textId="798B86A5" w:rsidR="00021254" w:rsidRPr="00021254" w:rsidRDefault="00021254" w:rsidP="00021254">
            <w:pPr>
              <w:spacing w:before="0" w:after="0"/>
              <w:jc w:val="center"/>
              <w:rPr>
                <w:rFonts w:cs="Times New Roman"/>
                <w:sz w:val="22"/>
                <w:szCs w:val="24"/>
              </w:rPr>
            </w:pPr>
            <w:r w:rsidRPr="00021254">
              <w:rPr>
                <w:sz w:val="22"/>
              </w:rPr>
              <w:t>-0.40</w:t>
            </w:r>
          </w:p>
        </w:tc>
        <w:tc>
          <w:tcPr>
            <w:tcW w:w="1560" w:type="dxa"/>
            <w:shd w:val="clear" w:color="auto" w:fill="auto"/>
            <w:vAlign w:val="center"/>
          </w:tcPr>
          <w:p w14:paraId="6841A130" w14:textId="5BCD071D" w:rsidR="00021254" w:rsidRPr="00021254" w:rsidRDefault="00021254" w:rsidP="00021254">
            <w:pPr>
              <w:spacing w:before="0" w:after="0"/>
              <w:jc w:val="center"/>
              <w:rPr>
                <w:rFonts w:cs="Times New Roman"/>
                <w:sz w:val="22"/>
                <w:szCs w:val="24"/>
              </w:rPr>
            </w:pPr>
            <w:r w:rsidRPr="00021254">
              <w:rPr>
                <w:sz w:val="22"/>
              </w:rPr>
              <w:t>-7.00</w:t>
            </w:r>
          </w:p>
        </w:tc>
        <w:tc>
          <w:tcPr>
            <w:tcW w:w="1275" w:type="dxa"/>
            <w:shd w:val="clear" w:color="auto" w:fill="auto"/>
            <w:vAlign w:val="center"/>
          </w:tcPr>
          <w:p w14:paraId="38D1AD24" w14:textId="27A07599" w:rsidR="00021254" w:rsidRPr="00021254" w:rsidRDefault="00021254" w:rsidP="00021254">
            <w:pPr>
              <w:spacing w:before="0" w:after="0"/>
              <w:jc w:val="center"/>
              <w:rPr>
                <w:rFonts w:cs="Times New Roman"/>
                <w:sz w:val="22"/>
                <w:szCs w:val="24"/>
              </w:rPr>
            </w:pPr>
            <w:r w:rsidRPr="00021254">
              <w:rPr>
                <w:sz w:val="22"/>
              </w:rPr>
              <w:t>2405.32</w:t>
            </w:r>
          </w:p>
        </w:tc>
        <w:tc>
          <w:tcPr>
            <w:tcW w:w="1701" w:type="dxa"/>
            <w:vAlign w:val="center"/>
          </w:tcPr>
          <w:p w14:paraId="5EEC1DD6" w14:textId="29E02990" w:rsidR="00021254" w:rsidRPr="00021254" w:rsidRDefault="00021254" w:rsidP="00021254">
            <w:pPr>
              <w:spacing w:before="0" w:after="0"/>
              <w:jc w:val="center"/>
              <w:rPr>
                <w:rFonts w:cs="Times New Roman"/>
                <w:sz w:val="22"/>
                <w:szCs w:val="24"/>
              </w:rPr>
            </w:pPr>
            <w:r w:rsidRPr="00021254">
              <w:rPr>
                <w:sz w:val="22"/>
              </w:rPr>
              <w:t>100</w:t>
            </w:r>
          </w:p>
        </w:tc>
        <w:tc>
          <w:tcPr>
            <w:tcW w:w="1134" w:type="dxa"/>
            <w:vAlign w:val="center"/>
          </w:tcPr>
          <w:p w14:paraId="234179D4" w14:textId="7063D48C" w:rsidR="00021254" w:rsidRDefault="00021254" w:rsidP="00021254">
            <w:pPr>
              <w:spacing w:before="0" w:after="0"/>
              <w:jc w:val="center"/>
              <w:rPr>
                <w:rFonts w:cs="Times New Roman"/>
                <w:szCs w:val="24"/>
              </w:rPr>
            </w:pPr>
            <w:r>
              <w:rPr>
                <w:rFonts w:cs="Times New Roman"/>
                <w:szCs w:val="24"/>
              </w:rPr>
              <w:t>0</w:t>
            </w:r>
          </w:p>
        </w:tc>
      </w:tr>
      <w:tr w:rsidR="00021254" w:rsidRPr="004C3FAD" w14:paraId="1B942026" w14:textId="402A403E" w:rsidTr="00A646B9">
        <w:trPr>
          <w:trHeight w:val="331"/>
        </w:trPr>
        <w:tc>
          <w:tcPr>
            <w:tcW w:w="1696" w:type="dxa"/>
            <w:shd w:val="clear" w:color="auto" w:fill="auto"/>
            <w:vAlign w:val="center"/>
          </w:tcPr>
          <w:p w14:paraId="1F595EA0" w14:textId="58474AE7" w:rsidR="00021254" w:rsidRDefault="00021254" w:rsidP="00021254">
            <w:pPr>
              <w:spacing w:before="0" w:after="0"/>
              <w:jc w:val="center"/>
              <w:rPr>
                <w:rFonts w:eastAsia="Times New Roman" w:cs="Times New Roman"/>
                <w:b/>
                <w:szCs w:val="24"/>
              </w:rPr>
            </w:pPr>
            <w:r w:rsidRPr="00390703">
              <w:rPr>
                <w:rFonts w:cs="Times New Roman"/>
                <w:b/>
                <w:sz w:val="22"/>
              </w:rPr>
              <w:t>1347563</w:t>
            </w:r>
          </w:p>
        </w:tc>
        <w:tc>
          <w:tcPr>
            <w:tcW w:w="1134" w:type="dxa"/>
            <w:shd w:val="clear" w:color="auto" w:fill="auto"/>
            <w:vAlign w:val="center"/>
          </w:tcPr>
          <w:p w14:paraId="428FEF2D" w14:textId="28277A87" w:rsidR="00021254" w:rsidRPr="00021254" w:rsidRDefault="00021254" w:rsidP="00021254">
            <w:pPr>
              <w:spacing w:before="0" w:after="0"/>
              <w:jc w:val="center"/>
              <w:rPr>
                <w:rFonts w:cs="Times New Roman"/>
                <w:sz w:val="22"/>
                <w:szCs w:val="24"/>
              </w:rPr>
            </w:pPr>
            <w:r w:rsidRPr="00021254">
              <w:rPr>
                <w:rFonts w:cs="Times New Roman"/>
                <w:sz w:val="22"/>
                <w:szCs w:val="20"/>
              </w:rPr>
              <w:t>-5.46</w:t>
            </w:r>
          </w:p>
        </w:tc>
        <w:tc>
          <w:tcPr>
            <w:tcW w:w="1134" w:type="dxa"/>
            <w:shd w:val="clear" w:color="auto" w:fill="auto"/>
            <w:vAlign w:val="center"/>
          </w:tcPr>
          <w:p w14:paraId="26D75D07" w14:textId="78B96777" w:rsidR="00021254" w:rsidRPr="00021254" w:rsidRDefault="00021254" w:rsidP="00021254">
            <w:pPr>
              <w:spacing w:before="0" w:after="0"/>
              <w:jc w:val="center"/>
              <w:rPr>
                <w:rFonts w:cs="Times New Roman"/>
                <w:sz w:val="22"/>
                <w:szCs w:val="24"/>
              </w:rPr>
            </w:pPr>
            <w:r w:rsidRPr="00021254">
              <w:rPr>
                <w:sz w:val="22"/>
              </w:rPr>
              <w:t>-0.14</w:t>
            </w:r>
          </w:p>
        </w:tc>
        <w:tc>
          <w:tcPr>
            <w:tcW w:w="1560" w:type="dxa"/>
            <w:shd w:val="clear" w:color="auto" w:fill="auto"/>
            <w:vAlign w:val="center"/>
          </w:tcPr>
          <w:p w14:paraId="2F189A8E" w14:textId="6396BDF9" w:rsidR="00021254" w:rsidRPr="00021254" w:rsidRDefault="00021254" w:rsidP="00021254">
            <w:pPr>
              <w:spacing w:before="0" w:after="0"/>
              <w:jc w:val="center"/>
              <w:rPr>
                <w:rFonts w:cs="Times New Roman"/>
                <w:sz w:val="22"/>
                <w:szCs w:val="24"/>
              </w:rPr>
            </w:pPr>
            <w:r w:rsidRPr="00021254">
              <w:rPr>
                <w:sz w:val="22"/>
              </w:rPr>
              <w:t>-6.73</w:t>
            </w:r>
          </w:p>
        </w:tc>
        <w:tc>
          <w:tcPr>
            <w:tcW w:w="1275" w:type="dxa"/>
            <w:shd w:val="clear" w:color="auto" w:fill="auto"/>
            <w:vAlign w:val="center"/>
          </w:tcPr>
          <w:p w14:paraId="5DEDF839" w14:textId="51CC2C52" w:rsidR="00021254" w:rsidRPr="00021254" w:rsidRDefault="00021254" w:rsidP="00021254">
            <w:pPr>
              <w:spacing w:before="0" w:after="0"/>
              <w:jc w:val="center"/>
              <w:rPr>
                <w:rFonts w:cs="Times New Roman"/>
                <w:sz w:val="22"/>
                <w:szCs w:val="24"/>
              </w:rPr>
            </w:pPr>
            <w:r w:rsidRPr="00021254">
              <w:rPr>
                <w:sz w:val="22"/>
              </w:rPr>
              <w:t>3176.79</w:t>
            </w:r>
          </w:p>
        </w:tc>
        <w:tc>
          <w:tcPr>
            <w:tcW w:w="1701" w:type="dxa"/>
            <w:vAlign w:val="center"/>
          </w:tcPr>
          <w:p w14:paraId="0D589D38" w14:textId="17A74AC3" w:rsidR="00021254" w:rsidRPr="00021254" w:rsidRDefault="00021254" w:rsidP="00021254">
            <w:pPr>
              <w:spacing w:before="0" w:after="0"/>
              <w:jc w:val="center"/>
              <w:rPr>
                <w:rFonts w:cs="Times New Roman"/>
                <w:sz w:val="22"/>
                <w:szCs w:val="24"/>
              </w:rPr>
            </w:pPr>
            <w:r w:rsidRPr="00021254">
              <w:rPr>
                <w:sz w:val="22"/>
              </w:rPr>
              <w:t>100</w:t>
            </w:r>
          </w:p>
        </w:tc>
        <w:tc>
          <w:tcPr>
            <w:tcW w:w="1134" w:type="dxa"/>
            <w:vAlign w:val="center"/>
          </w:tcPr>
          <w:p w14:paraId="2FEF6138" w14:textId="3C557EA7" w:rsidR="00021254" w:rsidRDefault="00021254" w:rsidP="00021254">
            <w:pPr>
              <w:spacing w:before="0" w:after="0"/>
              <w:jc w:val="center"/>
              <w:rPr>
                <w:rFonts w:cs="Times New Roman"/>
                <w:szCs w:val="24"/>
              </w:rPr>
            </w:pPr>
            <w:r>
              <w:rPr>
                <w:rFonts w:cs="Times New Roman"/>
                <w:szCs w:val="24"/>
              </w:rPr>
              <w:t>0</w:t>
            </w:r>
          </w:p>
        </w:tc>
      </w:tr>
      <w:tr w:rsidR="00FA42C8" w:rsidRPr="004C3FAD" w14:paraId="0F91A2BE" w14:textId="0D716887" w:rsidTr="00A646B9">
        <w:trPr>
          <w:trHeight w:val="331"/>
        </w:trPr>
        <w:tc>
          <w:tcPr>
            <w:tcW w:w="8500" w:type="dxa"/>
            <w:gridSpan w:val="6"/>
            <w:shd w:val="clear" w:color="auto" w:fill="A6A6A6" w:themeFill="background1" w:themeFillShade="A6"/>
            <w:vAlign w:val="center"/>
          </w:tcPr>
          <w:p w14:paraId="1CA20B21" w14:textId="77777777" w:rsidR="00FA42C8" w:rsidRPr="00EA61F4" w:rsidRDefault="00FA42C8" w:rsidP="00021254">
            <w:pPr>
              <w:spacing w:before="0" w:after="0"/>
              <w:jc w:val="center"/>
              <w:rPr>
                <w:rFonts w:cs="Times New Roman"/>
                <w:szCs w:val="24"/>
              </w:rPr>
            </w:pPr>
            <w:r>
              <w:rPr>
                <w:rFonts w:cs="Times New Roman"/>
                <w:b/>
                <w:bCs/>
                <w:szCs w:val="24"/>
              </w:rPr>
              <w:t>TRPV1</w:t>
            </w:r>
          </w:p>
        </w:tc>
        <w:tc>
          <w:tcPr>
            <w:tcW w:w="1134" w:type="dxa"/>
            <w:shd w:val="clear" w:color="auto" w:fill="A6A6A6" w:themeFill="background1" w:themeFillShade="A6"/>
            <w:vAlign w:val="center"/>
          </w:tcPr>
          <w:p w14:paraId="52C3CBF3" w14:textId="77777777" w:rsidR="00FA42C8" w:rsidRDefault="00FA42C8" w:rsidP="00021254">
            <w:pPr>
              <w:spacing w:before="0" w:after="0"/>
              <w:jc w:val="center"/>
              <w:rPr>
                <w:rFonts w:cs="Times New Roman"/>
                <w:b/>
                <w:bCs/>
                <w:szCs w:val="24"/>
              </w:rPr>
            </w:pPr>
          </w:p>
        </w:tc>
      </w:tr>
      <w:tr w:rsidR="00FA42C8" w:rsidRPr="004C3FAD" w14:paraId="1EBADAF0" w14:textId="3C73F900" w:rsidTr="00A646B9">
        <w:trPr>
          <w:trHeight w:val="331"/>
        </w:trPr>
        <w:tc>
          <w:tcPr>
            <w:tcW w:w="1696" w:type="dxa"/>
            <w:shd w:val="clear" w:color="auto" w:fill="A6A6A6" w:themeFill="background1" w:themeFillShade="A6"/>
            <w:vAlign w:val="center"/>
          </w:tcPr>
          <w:p w14:paraId="611D1DE0" w14:textId="77777777" w:rsidR="00FA42C8" w:rsidRDefault="00FA42C8" w:rsidP="00021254">
            <w:pPr>
              <w:spacing w:before="0" w:after="0"/>
              <w:jc w:val="center"/>
              <w:rPr>
                <w:rFonts w:eastAsia="Times New Roman" w:cs="Times New Roman"/>
                <w:b/>
                <w:szCs w:val="24"/>
              </w:rPr>
            </w:pPr>
            <w:r w:rsidRPr="004C3FAD">
              <w:rPr>
                <w:b/>
                <w:sz w:val="22"/>
              </w:rPr>
              <w:t>Compd</w:t>
            </w:r>
          </w:p>
        </w:tc>
        <w:tc>
          <w:tcPr>
            <w:tcW w:w="1134" w:type="dxa"/>
            <w:shd w:val="clear" w:color="auto" w:fill="A6A6A6" w:themeFill="background1" w:themeFillShade="A6"/>
            <w:vAlign w:val="center"/>
          </w:tcPr>
          <w:p w14:paraId="351005D3" w14:textId="77777777" w:rsidR="00FA42C8" w:rsidRDefault="00FA42C8" w:rsidP="00021254">
            <w:pPr>
              <w:spacing w:before="0" w:after="0"/>
              <w:jc w:val="center"/>
              <w:rPr>
                <w:rFonts w:cs="Times New Roman"/>
                <w:szCs w:val="24"/>
              </w:rPr>
            </w:pPr>
            <w:proofErr w:type="spellStart"/>
            <w:r w:rsidRPr="004C3FAD">
              <w:rPr>
                <w:rFonts w:cs="Times New Roman"/>
                <w:b/>
                <w:sz w:val="22"/>
              </w:rPr>
              <w:t>QPlogS</w:t>
            </w:r>
            <w:r w:rsidRPr="004C3FAD">
              <w:rPr>
                <w:rFonts w:cs="Times New Roman"/>
                <w:b/>
                <w:sz w:val="22"/>
                <w:vertAlign w:val="superscript"/>
              </w:rPr>
              <w:t>a</w:t>
            </w:r>
            <w:proofErr w:type="spellEnd"/>
          </w:p>
        </w:tc>
        <w:tc>
          <w:tcPr>
            <w:tcW w:w="1134" w:type="dxa"/>
            <w:shd w:val="clear" w:color="auto" w:fill="A6A6A6" w:themeFill="background1" w:themeFillShade="A6"/>
            <w:vAlign w:val="center"/>
          </w:tcPr>
          <w:p w14:paraId="42BC3543" w14:textId="77777777" w:rsidR="00FA42C8" w:rsidRDefault="00FA42C8" w:rsidP="00021254">
            <w:pPr>
              <w:spacing w:before="0" w:after="0"/>
              <w:jc w:val="center"/>
              <w:rPr>
                <w:rFonts w:cs="Times New Roman"/>
                <w:szCs w:val="24"/>
              </w:rPr>
            </w:pPr>
            <w:proofErr w:type="spellStart"/>
            <w:r w:rsidRPr="004C3FAD">
              <w:rPr>
                <w:rFonts w:cs="Times New Roman"/>
                <w:b/>
                <w:sz w:val="22"/>
              </w:rPr>
              <w:t>QlogBB</w:t>
            </w:r>
            <w:r w:rsidRPr="004C3FAD">
              <w:rPr>
                <w:rFonts w:cs="Times New Roman"/>
                <w:b/>
                <w:sz w:val="22"/>
                <w:vertAlign w:val="superscript"/>
              </w:rPr>
              <w:t>b</w:t>
            </w:r>
            <w:proofErr w:type="spellEnd"/>
          </w:p>
        </w:tc>
        <w:tc>
          <w:tcPr>
            <w:tcW w:w="1560" w:type="dxa"/>
            <w:shd w:val="clear" w:color="auto" w:fill="A6A6A6" w:themeFill="background1" w:themeFillShade="A6"/>
            <w:vAlign w:val="center"/>
          </w:tcPr>
          <w:p w14:paraId="49541B5D" w14:textId="77777777" w:rsidR="00FA42C8" w:rsidRDefault="00FA42C8" w:rsidP="00021254">
            <w:pPr>
              <w:spacing w:before="0" w:after="0"/>
              <w:jc w:val="center"/>
              <w:rPr>
                <w:rFonts w:cs="Times New Roman"/>
                <w:szCs w:val="24"/>
              </w:rPr>
            </w:pPr>
            <w:proofErr w:type="spellStart"/>
            <w:r w:rsidRPr="004C3FAD">
              <w:rPr>
                <w:rFonts w:cs="Times New Roman"/>
                <w:b/>
                <w:sz w:val="22"/>
              </w:rPr>
              <w:t>QPlogHERG</w:t>
            </w:r>
            <w:r w:rsidRPr="004C3FAD">
              <w:rPr>
                <w:rFonts w:cs="Times New Roman"/>
                <w:b/>
                <w:sz w:val="22"/>
                <w:vertAlign w:val="superscript"/>
              </w:rPr>
              <w:t>c</w:t>
            </w:r>
            <w:proofErr w:type="spellEnd"/>
          </w:p>
        </w:tc>
        <w:tc>
          <w:tcPr>
            <w:tcW w:w="1275" w:type="dxa"/>
            <w:shd w:val="clear" w:color="auto" w:fill="A6A6A6" w:themeFill="background1" w:themeFillShade="A6"/>
            <w:vAlign w:val="center"/>
          </w:tcPr>
          <w:p w14:paraId="3AAA9853" w14:textId="77777777" w:rsidR="00FA42C8" w:rsidRDefault="00FA42C8" w:rsidP="00021254">
            <w:pPr>
              <w:spacing w:before="0" w:after="0"/>
              <w:jc w:val="center"/>
              <w:rPr>
                <w:rFonts w:cs="Times New Roman"/>
                <w:szCs w:val="24"/>
              </w:rPr>
            </w:pPr>
            <w:proofErr w:type="spellStart"/>
            <w:r w:rsidRPr="004C3FAD">
              <w:rPr>
                <w:rFonts w:cs="Times New Roman"/>
                <w:b/>
                <w:sz w:val="22"/>
              </w:rPr>
              <w:t>QPPCaco</w:t>
            </w:r>
            <w:r w:rsidRPr="004C3FAD">
              <w:rPr>
                <w:rFonts w:cs="Times New Roman"/>
                <w:b/>
                <w:sz w:val="22"/>
                <w:vertAlign w:val="superscript"/>
              </w:rPr>
              <w:t>d</w:t>
            </w:r>
            <w:proofErr w:type="spellEnd"/>
          </w:p>
        </w:tc>
        <w:tc>
          <w:tcPr>
            <w:tcW w:w="1701" w:type="dxa"/>
            <w:shd w:val="clear" w:color="auto" w:fill="A6A6A6" w:themeFill="background1" w:themeFillShade="A6"/>
            <w:vAlign w:val="center"/>
          </w:tcPr>
          <w:p w14:paraId="3DA28451" w14:textId="77777777" w:rsidR="00FA42C8" w:rsidRDefault="00FA42C8" w:rsidP="00021254">
            <w:pPr>
              <w:spacing w:before="0" w:after="0"/>
              <w:jc w:val="center"/>
              <w:rPr>
                <w:rFonts w:cs="Times New Roman"/>
                <w:szCs w:val="24"/>
              </w:rPr>
            </w:pPr>
            <w:r w:rsidRPr="004C3FAD">
              <w:rPr>
                <w:rFonts w:cs="Times New Roman"/>
                <w:b/>
                <w:sz w:val="22"/>
              </w:rPr>
              <w:t>%</w:t>
            </w:r>
            <w:proofErr w:type="gramStart"/>
            <w:r w:rsidRPr="004C3FAD">
              <w:rPr>
                <w:rFonts w:cs="Times New Roman"/>
                <w:b/>
                <w:sz w:val="22"/>
              </w:rPr>
              <w:t>Human  oral</w:t>
            </w:r>
            <w:proofErr w:type="gramEnd"/>
            <w:r w:rsidRPr="004C3FAD">
              <w:rPr>
                <w:rFonts w:cs="Times New Roman"/>
                <w:b/>
                <w:sz w:val="22"/>
              </w:rPr>
              <w:t xml:space="preserve"> absorption </w:t>
            </w:r>
            <w:proofErr w:type="spellStart"/>
            <w:r w:rsidRPr="004C3FAD">
              <w:rPr>
                <w:rFonts w:cs="Times New Roman"/>
                <w:b/>
                <w:sz w:val="22"/>
              </w:rPr>
              <w:t>GI</w:t>
            </w:r>
            <w:r w:rsidRPr="004C3FAD">
              <w:rPr>
                <w:rFonts w:cs="Times New Roman"/>
                <w:b/>
                <w:sz w:val="22"/>
                <w:vertAlign w:val="superscript"/>
              </w:rPr>
              <w:t>e</w:t>
            </w:r>
            <w:proofErr w:type="spellEnd"/>
          </w:p>
        </w:tc>
        <w:tc>
          <w:tcPr>
            <w:tcW w:w="1134" w:type="dxa"/>
            <w:shd w:val="clear" w:color="auto" w:fill="A6A6A6" w:themeFill="background1" w:themeFillShade="A6"/>
            <w:vAlign w:val="center"/>
          </w:tcPr>
          <w:p w14:paraId="48245907" w14:textId="3878F797" w:rsidR="00FA42C8" w:rsidRPr="004C3FAD" w:rsidRDefault="00A646B9" w:rsidP="00021254">
            <w:pPr>
              <w:spacing w:before="0" w:after="0"/>
              <w:jc w:val="center"/>
              <w:rPr>
                <w:rFonts w:cs="Times New Roman"/>
                <w:b/>
                <w:sz w:val="22"/>
              </w:rPr>
            </w:pPr>
            <w:r>
              <w:rPr>
                <w:rFonts w:cs="Times New Roman"/>
                <w:b/>
                <w:sz w:val="22"/>
              </w:rPr>
              <w:t>PAINS</w:t>
            </w:r>
            <w:r w:rsidRPr="006A0EE9">
              <w:rPr>
                <w:rFonts w:cs="Times New Roman"/>
                <w:b/>
                <w:sz w:val="22"/>
                <w:vertAlign w:val="superscript"/>
              </w:rPr>
              <w:t>#</w:t>
            </w:r>
          </w:p>
        </w:tc>
      </w:tr>
      <w:tr w:rsidR="00A646B9" w:rsidRPr="004C3FAD" w14:paraId="3162E820" w14:textId="35784E31" w:rsidTr="00A646B9">
        <w:trPr>
          <w:trHeight w:val="331"/>
        </w:trPr>
        <w:tc>
          <w:tcPr>
            <w:tcW w:w="1696" w:type="dxa"/>
            <w:shd w:val="clear" w:color="auto" w:fill="D9D9D9" w:themeFill="background1" w:themeFillShade="D9"/>
            <w:vAlign w:val="center"/>
          </w:tcPr>
          <w:p w14:paraId="016DF5EB" w14:textId="77777777" w:rsidR="00A646B9" w:rsidRPr="004C3FAD" w:rsidRDefault="00A646B9" w:rsidP="00A646B9">
            <w:pPr>
              <w:spacing w:before="0" w:after="0"/>
              <w:jc w:val="center"/>
              <w:rPr>
                <w:rFonts w:eastAsia="Times New Roman" w:cs="Times New Roman"/>
                <w:b/>
                <w:szCs w:val="24"/>
              </w:rPr>
            </w:pPr>
            <w:r>
              <w:rPr>
                <w:rFonts w:eastAsia="Times New Roman" w:cs="Times New Roman"/>
                <w:b/>
                <w:szCs w:val="24"/>
              </w:rPr>
              <w:t>AEA</w:t>
            </w:r>
          </w:p>
        </w:tc>
        <w:tc>
          <w:tcPr>
            <w:tcW w:w="1134" w:type="dxa"/>
            <w:shd w:val="clear" w:color="auto" w:fill="D9D9D9" w:themeFill="background1" w:themeFillShade="D9"/>
            <w:vAlign w:val="center"/>
          </w:tcPr>
          <w:p w14:paraId="727FEBD8" w14:textId="0AB41FE6" w:rsidR="00A646B9" w:rsidRPr="004C3FAD" w:rsidRDefault="00A646B9" w:rsidP="00A646B9">
            <w:pPr>
              <w:spacing w:before="0" w:after="0"/>
              <w:jc w:val="center"/>
              <w:rPr>
                <w:rFonts w:cs="Times New Roman"/>
                <w:szCs w:val="24"/>
              </w:rPr>
            </w:pPr>
            <w:r>
              <w:rPr>
                <w:rFonts w:cs="Times New Roman"/>
                <w:szCs w:val="24"/>
              </w:rPr>
              <w:t>-6.02</w:t>
            </w:r>
          </w:p>
        </w:tc>
        <w:tc>
          <w:tcPr>
            <w:tcW w:w="1134" w:type="dxa"/>
            <w:shd w:val="clear" w:color="auto" w:fill="D9D9D9" w:themeFill="background1" w:themeFillShade="D9"/>
            <w:vAlign w:val="center"/>
          </w:tcPr>
          <w:p w14:paraId="3087B582" w14:textId="65D4AD40" w:rsidR="00A646B9" w:rsidRPr="004C3FAD" w:rsidRDefault="00A646B9" w:rsidP="00A646B9">
            <w:pPr>
              <w:spacing w:before="0" w:after="0"/>
              <w:jc w:val="center"/>
              <w:rPr>
                <w:rFonts w:cs="Times New Roman"/>
                <w:szCs w:val="24"/>
              </w:rPr>
            </w:pPr>
            <w:r>
              <w:rPr>
                <w:rFonts w:cs="Times New Roman"/>
                <w:szCs w:val="24"/>
              </w:rPr>
              <w:t>-1.52</w:t>
            </w:r>
          </w:p>
        </w:tc>
        <w:tc>
          <w:tcPr>
            <w:tcW w:w="1560" w:type="dxa"/>
            <w:shd w:val="clear" w:color="auto" w:fill="D9D9D9" w:themeFill="background1" w:themeFillShade="D9"/>
            <w:vAlign w:val="center"/>
          </w:tcPr>
          <w:p w14:paraId="614AFACA" w14:textId="31CCC3D6" w:rsidR="00A646B9" w:rsidRPr="004C3FAD" w:rsidRDefault="00A646B9" w:rsidP="00A646B9">
            <w:pPr>
              <w:spacing w:before="0" w:after="0"/>
              <w:jc w:val="center"/>
              <w:rPr>
                <w:rFonts w:cs="Times New Roman"/>
                <w:szCs w:val="24"/>
              </w:rPr>
            </w:pPr>
            <w:r>
              <w:rPr>
                <w:rFonts w:cs="Times New Roman"/>
                <w:szCs w:val="24"/>
              </w:rPr>
              <w:t>-4.69</w:t>
            </w:r>
          </w:p>
        </w:tc>
        <w:tc>
          <w:tcPr>
            <w:tcW w:w="1275" w:type="dxa"/>
            <w:shd w:val="clear" w:color="auto" w:fill="D9D9D9" w:themeFill="background1" w:themeFillShade="D9"/>
            <w:vAlign w:val="center"/>
          </w:tcPr>
          <w:p w14:paraId="14840AED" w14:textId="6E5F8250" w:rsidR="00A646B9" w:rsidRPr="004C3FAD" w:rsidRDefault="00A646B9" w:rsidP="00A646B9">
            <w:pPr>
              <w:spacing w:before="0" w:after="0"/>
              <w:jc w:val="center"/>
              <w:rPr>
                <w:rFonts w:cs="Times New Roman"/>
                <w:szCs w:val="24"/>
              </w:rPr>
            </w:pPr>
            <w:r>
              <w:rPr>
                <w:rFonts w:cs="Times New Roman"/>
                <w:szCs w:val="24"/>
              </w:rPr>
              <w:t>994.90</w:t>
            </w:r>
          </w:p>
        </w:tc>
        <w:tc>
          <w:tcPr>
            <w:tcW w:w="1701" w:type="dxa"/>
            <w:shd w:val="clear" w:color="auto" w:fill="D9D9D9" w:themeFill="background1" w:themeFillShade="D9"/>
            <w:vAlign w:val="center"/>
          </w:tcPr>
          <w:p w14:paraId="28A3DD06" w14:textId="4FD3E568" w:rsidR="00A646B9" w:rsidRPr="004C3FAD" w:rsidRDefault="00A646B9" w:rsidP="00A646B9">
            <w:pPr>
              <w:spacing w:before="0" w:after="0"/>
              <w:jc w:val="center"/>
              <w:rPr>
                <w:rFonts w:cs="Times New Roman"/>
                <w:szCs w:val="24"/>
              </w:rPr>
            </w:pPr>
            <w:r>
              <w:rPr>
                <w:rFonts w:cs="Times New Roman"/>
                <w:szCs w:val="24"/>
              </w:rPr>
              <w:t>100</w:t>
            </w:r>
          </w:p>
        </w:tc>
        <w:tc>
          <w:tcPr>
            <w:tcW w:w="1134" w:type="dxa"/>
            <w:shd w:val="clear" w:color="auto" w:fill="D9D9D9" w:themeFill="background1" w:themeFillShade="D9"/>
            <w:vAlign w:val="center"/>
          </w:tcPr>
          <w:p w14:paraId="635C6FD0" w14:textId="15FC00FC" w:rsidR="00A646B9" w:rsidRDefault="00A646B9" w:rsidP="00A646B9">
            <w:pPr>
              <w:spacing w:before="0" w:after="0"/>
              <w:jc w:val="center"/>
              <w:rPr>
                <w:rFonts w:cs="Times New Roman"/>
                <w:szCs w:val="24"/>
              </w:rPr>
            </w:pPr>
            <w:r>
              <w:rPr>
                <w:rFonts w:cs="Times New Roman"/>
                <w:szCs w:val="24"/>
                <w:lang w:val="es-ES"/>
              </w:rPr>
              <w:t>0</w:t>
            </w:r>
          </w:p>
        </w:tc>
      </w:tr>
      <w:tr w:rsidR="00A646B9" w:rsidRPr="004C3FAD" w14:paraId="11C33CC8" w14:textId="6C3A5960" w:rsidTr="00A646B9">
        <w:trPr>
          <w:trHeight w:val="331"/>
        </w:trPr>
        <w:tc>
          <w:tcPr>
            <w:tcW w:w="1696" w:type="dxa"/>
            <w:shd w:val="clear" w:color="auto" w:fill="auto"/>
            <w:vAlign w:val="center"/>
          </w:tcPr>
          <w:p w14:paraId="3A6FEF43" w14:textId="41491816" w:rsidR="00A646B9" w:rsidRPr="004C3FAD" w:rsidRDefault="00A646B9" w:rsidP="00A646B9">
            <w:pPr>
              <w:spacing w:before="0" w:after="0"/>
              <w:jc w:val="center"/>
              <w:rPr>
                <w:rFonts w:eastAsia="Times New Roman" w:cs="Times New Roman"/>
                <w:b/>
                <w:szCs w:val="24"/>
              </w:rPr>
            </w:pPr>
            <w:r>
              <w:rPr>
                <w:rFonts w:eastAsia="Times New Roman" w:cs="Times New Roman"/>
                <w:b/>
                <w:szCs w:val="24"/>
              </w:rPr>
              <w:t>1288208*</w:t>
            </w:r>
          </w:p>
        </w:tc>
        <w:tc>
          <w:tcPr>
            <w:tcW w:w="1134" w:type="dxa"/>
            <w:shd w:val="clear" w:color="auto" w:fill="auto"/>
            <w:vAlign w:val="center"/>
          </w:tcPr>
          <w:p w14:paraId="733ABCCC" w14:textId="641B6A24" w:rsidR="00A646B9" w:rsidRPr="004C3FAD" w:rsidRDefault="00A646B9" w:rsidP="00A646B9">
            <w:pPr>
              <w:spacing w:before="0" w:after="0"/>
              <w:jc w:val="center"/>
              <w:rPr>
                <w:rFonts w:cs="Times New Roman"/>
                <w:szCs w:val="24"/>
              </w:rPr>
            </w:pPr>
            <w:r>
              <w:rPr>
                <w:rFonts w:cs="Times New Roman"/>
                <w:szCs w:val="24"/>
              </w:rPr>
              <w:t>-3.04</w:t>
            </w:r>
          </w:p>
        </w:tc>
        <w:tc>
          <w:tcPr>
            <w:tcW w:w="1134" w:type="dxa"/>
            <w:shd w:val="clear" w:color="auto" w:fill="auto"/>
            <w:vAlign w:val="center"/>
          </w:tcPr>
          <w:p w14:paraId="2F69C7AF" w14:textId="3B24293E" w:rsidR="00A646B9" w:rsidRPr="004C3FAD" w:rsidRDefault="00A646B9" w:rsidP="00A646B9">
            <w:pPr>
              <w:spacing w:before="0" w:after="0"/>
              <w:jc w:val="center"/>
              <w:rPr>
                <w:rFonts w:cs="Times New Roman"/>
                <w:szCs w:val="24"/>
              </w:rPr>
            </w:pPr>
            <w:r>
              <w:rPr>
                <w:rFonts w:cs="Times New Roman"/>
                <w:szCs w:val="24"/>
              </w:rPr>
              <w:t>-1.33</w:t>
            </w:r>
          </w:p>
        </w:tc>
        <w:tc>
          <w:tcPr>
            <w:tcW w:w="1560" w:type="dxa"/>
            <w:shd w:val="clear" w:color="auto" w:fill="auto"/>
            <w:vAlign w:val="center"/>
          </w:tcPr>
          <w:p w14:paraId="081E5BDF" w14:textId="4F5E2FC2" w:rsidR="00A646B9" w:rsidRPr="004C3FAD" w:rsidRDefault="00A646B9" w:rsidP="00A646B9">
            <w:pPr>
              <w:spacing w:before="0" w:after="0"/>
              <w:jc w:val="center"/>
              <w:rPr>
                <w:rFonts w:cs="Times New Roman"/>
                <w:szCs w:val="24"/>
              </w:rPr>
            </w:pPr>
            <w:r>
              <w:rPr>
                <w:rFonts w:cs="Times New Roman"/>
                <w:szCs w:val="24"/>
              </w:rPr>
              <w:t>-4.58</w:t>
            </w:r>
          </w:p>
        </w:tc>
        <w:tc>
          <w:tcPr>
            <w:tcW w:w="1275" w:type="dxa"/>
            <w:shd w:val="clear" w:color="auto" w:fill="auto"/>
            <w:vAlign w:val="center"/>
          </w:tcPr>
          <w:p w14:paraId="0FB71E94" w14:textId="2B60395B" w:rsidR="00A646B9" w:rsidRPr="004C3FAD" w:rsidRDefault="00A646B9" w:rsidP="00A646B9">
            <w:pPr>
              <w:spacing w:before="0" w:after="0"/>
              <w:jc w:val="center"/>
              <w:rPr>
                <w:rFonts w:cs="Times New Roman"/>
                <w:szCs w:val="24"/>
              </w:rPr>
            </w:pPr>
            <w:r>
              <w:rPr>
                <w:rFonts w:cs="Times New Roman"/>
                <w:szCs w:val="24"/>
              </w:rPr>
              <w:t>395.41</w:t>
            </w:r>
          </w:p>
        </w:tc>
        <w:tc>
          <w:tcPr>
            <w:tcW w:w="1701" w:type="dxa"/>
            <w:vAlign w:val="center"/>
          </w:tcPr>
          <w:p w14:paraId="7F1CDFD0" w14:textId="2D8C0B01" w:rsidR="00A646B9" w:rsidRPr="004C3FAD" w:rsidRDefault="00A646B9" w:rsidP="00A646B9">
            <w:pPr>
              <w:spacing w:before="0" w:after="0"/>
              <w:jc w:val="center"/>
              <w:rPr>
                <w:rFonts w:cs="Times New Roman"/>
                <w:szCs w:val="24"/>
              </w:rPr>
            </w:pPr>
            <w:r>
              <w:rPr>
                <w:rFonts w:cs="Times New Roman"/>
                <w:szCs w:val="24"/>
              </w:rPr>
              <w:t>86</w:t>
            </w:r>
          </w:p>
        </w:tc>
        <w:tc>
          <w:tcPr>
            <w:tcW w:w="1134" w:type="dxa"/>
            <w:vAlign w:val="center"/>
          </w:tcPr>
          <w:p w14:paraId="15839769" w14:textId="7FBE7E36" w:rsidR="00A646B9" w:rsidRDefault="00A646B9" w:rsidP="00A646B9">
            <w:pPr>
              <w:spacing w:before="0" w:after="0"/>
              <w:jc w:val="center"/>
              <w:rPr>
                <w:rFonts w:cs="Times New Roman"/>
                <w:szCs w:val="24"/>
              </w:rPr>
            </w:pPr>
            <w:r>
              <w:rPr>
                <w:rFonts w:cs="Times New Roman"/>
                <w:szCs w:val="24"/>
              </w:rPr>
              <w:t>0</w:t>
            </w:r>
          </w:p>
        </w:tc>
      </w:tr>
      <w:tr w:rsidR="00A646B9" w:rsidRPr="004C3FAD" w14:paraId="1AFE506A" w14:textId="74546165" w:rsidTr="00A646B9">
        <w:trPr>
          <w:trHeight w:val="331"/>
        </w:trPr>
        <w:tc>
          <w:tcPr>
            <w:tcW w:w="1696" w:type="dxa"/>
            <w:shd w:val="clear" w:color="auto" w:fill="auto"/>
            <w:vAlign w:val="center"/>
          </w:tcPr>
          <w:p w14:paraId="09FF6ED8" w14:textId="77777777" w:rsidR="00A646B9" w:rsidRPr="004C3FAD" w:rsidRDefault="00A646B9" w:rsidP="00A646B9">
            <w:pPr>
              <w:spacing w:before="0" w:after="0"/>
              <w:jc w:val="center"/>
              <w:rPr>
                <w:rFonts w:cs="Times New Roman"/>
                <w:b/>
                <w:szCs w:val="24"/>
              </w:rPr>
            </w:pPr>
            <w:r>
              <w:rPr>
                <w:rFonts w:cs="Times New Roman"/>
                <w:b/>
                <w:szCs w:val="24"/>
              </w:rPr>
              <w:t>1288239</w:t>
            </w:r>
          </w:p>
        </w:tc>
        <w:tc>
          <w:tcPr>
            <w:tcW w:w="1134" w:type="dxa"/>
            <w:shd w:val="clear" w:color="auto" w:fill="auto"/>
            <w:vAlign w:val="center"/>
          </w:tcPr>
          <w:p w14:paraId="274C1210" w14:textId="4072DAA9" w:rsidR="00A646B9" w:rsidRPr="004C3FAD" w:rsidRDefault="00A646B9" w:rsidP="00A646B9">
            <w:pPr>
              <w:spacing w:before="0" w:after="0"/>
              <w:jc w:val="center"/>
              <w:rPr>
                <w:rFonts w:cs="Times New Roman"/>
                <w:szCs w:val="24"/>
              </w:rPr>
            </w:pPr>
            <w:r>
              <w:rPr>
                <w:rFonts w:cs="Times New Roman"/>
                <w:szCs w:val="24"/>
              </w:rPr>
              <w:t>-3.65</w:t>
            </w:r>
          </w:p>
        </w:tc>
        <w:tc>
          <w:tcPr>
            <w:tcW w:w="1134" w:type="dxa"/>
            <w:shd w:val="clear" w:color="auto" w:fill="auto"/>
            <w:vAlign w:val="center"/>
          </w:tcPr>
          <w:p w14:paraId="2C5DAF21" w14:textId="6FD6DA1D" w:rsidR="00A646B9" w:rsidRPr="004C3FAD" w:rsidRDefault="00A646B9" w:rsidP="00A646B9">
            <w:pPr>
              <w:spacing w:before="0" w:after="0"/>
              <w:jc w:val="center"/>
              <w:rPr>
                <w:rFonts w:cs="Times New Roman"/>
                <w:szCs w:val="24"/>
              </w:rPr>
            </w:pPr>
            <w:r>
              <w:rPr>
                <w:rFonts w:cs="Times New Roman"/>
                <w:szCs w:val="24"/>
              </w:rPr>
              <w:t>-1.51</w:t>
            </w:r>
          </w:p>
        </w:tc>
        <w:tc>
          <w:tcPr>
            <w:tcW w:w="1560" w:type="dxa"/>
            <w:shd w:val="clear" w:color="auto" w:fill="auto"/>
            <w:vAlign w:val="center"/>
          </w:tcPr>
          <w:p w14:paraId="21144B20" w14:textId="37DFDCFD" w:rsidR="00A646B9" w:rsidRPr="004C3FAD" w:rsidRDefault="00A646B9" w:rsidP="00A646B9">
            <w:pPr>
              <w:spacing w:before="0" w:after="0"/>
              <w:jc w:val="center"/>
              <w:rPr>
                <w:rFonts w:cs="Times New Roman"/>
                <w:szCs w:val="24"/>
              </w:rPr>
            </w:pPr>
            <w:r>
              <w:rPr>
                <w:rFonts w:cs="Times New Roman"/>
                <w:szCs w:val="24"/>
              </w:rPr>
              <w:t>-5.16</w:t>
            </w:r>
          </w:p>
        </w:tc>
        <w:tc>
          <w:tcPr>
            <w:tcW w:w="1275" w:type="dxa"/>
            <w:shd w:val="clear" w:color="auto" w:fill="auto"/>
            <w:vAlign w:val="center"/>
          </w:tcPr>
          <w:p w14:paraId="2292BEB4" w14:textId="10D823C4" w:rsidR="00A646B9" w:rsidRPr="004C3FAD" w:rsidRDefault="00A646B9" w:rsidP="00A646B9">
            <w:pPr>
              <w:spacing w:before="0" w:after="0"/>
              <w:jc w:val="center"/>
              <w:rPr>
                <w:rFonts w:cs="Times New Roman"/>
                <w:szCs w:val="24"/>
              </w:rPr>
            </w:pPr>
            <w:r>
              <w:rPr>
                <w:rFonts w:cs="Times New Roman"/>
                <w:szCs w:val="24"/>
              </w:rPr>
              <w:t>287.31</w:t>
            </w:r>
          </w:p>
        </w:tc>
        <w:tc>
          <w:tcPr>
            <w:tcW w:w="1701" w:type="dxa"/>
            <w:vAlign w:val="center"/>
          </w:tcPr>
          <w:p w14:paraId="72AABC14" w14:textId="0A13AD55" w:rsidR="00A646B9" w:rsidRPr="004C3FAD" w:rsidRDefault="00A646B9" w:rsidP="00A646B9">
            <w:pPr>
              <w:spacing w:before="0" w:after="0"/>
              <w:jc w:val="center"/>
              <w:rPr>
                <w:rFonts w:cs="Times New Roman"/>
                <w:szCs w:val="24"/>
              </w:rPr>
            </w:pPr>
            <w:r>
              <w:rPr>
                <w:rFonts w:cs="Times New Roman"/>
                <w:szCs w:val="24"/>
              </w:rPr>
              <w:t>86</w:t>
            </w:r>
          </w:p>
        </w:tc>
        <w:tc>
          <w:tcPr>
            <w:tcW w:w="1134" w:type="dxa"/>
            <w:vAlign w:val="center"/>
          </w:tcPr>
          <w:p w14:paraId="6429601E" w14:textId="49FCE670" w:rsidR="00A646B9" w:rsidRDefault="00A646B9" w:rsidP="00A646B9">
            <w:pPr>
              <w:spacing w:before="0" w:after="0"/>
              <w:jc w:val="center"/>
              <w:rPr>
                <w:rFonts w:cs="Times New Roman"/>
                <w:szCs w:val="24"/>
              </w:rPr>
            </w:pPr>
            <w:r>
              <w:rPr>
                <w:rFonts w:cs="Times New Roman"/>
                <w:szCs w:val="24"/>
              </w:rPr>
              <w:t>0</w:t>
            </w:r>
          </w:p>
        </w:tc>
      </w:tr>
      <w:tr w:rsidR="00A646B9" w:rsidRPr="004C3FAD" w14:paraId="5335BB54" w14:textId="225945A1" w:rsidTr="00A646B9">
        <w:trPr>
          <w:trHeight w:val="331"/>
        </w:trPr>
        <w:tc>
          <w:tcPr>
            <w:tcW w:w="1696" w:type="dxa"/>
            <w:shd w:val="clear" w:color="auto" w:fill="D9D9D9" w:themeFill="background1" w:themeFillShade="D9"/>
            <w:vAlign w:val="center"/>
          </w:tcPr>
          <w:p w14:paraId="295FC3CF" w14:textId="77777777" w:rsidR="00A646B9" w:rsidRPr="004C3FAD" w:rsidRDefault="00A646B9" w:rsidP="00A646B9">
            <w:pPr>
              <w:spacing w:before="0" w:after="0"/>
              <w:jc w:val="center"/>
              <w:rPr>
                <w:rFonts w:cs="Times New Roman"/>
                <w:b/>
                <w:szCs w:val="24"/>
              </w:rPr>
            </w:pPr>
            <w:r>
              <w:rPr>
                <w:rFonts w:cs="Times New Roman"/>
                <w:b/>
                <w:szCs w:val="24"/>
              </w:rPr>
              <w:t>CBD</w:t>
            </w:r>
          </w:p>
        </w:tc>
        <w:tc>
          <w:tcPr>
            <w:tcW w:w="1134" w:type="dxa"/>
            <w:shd w:val="clear" w:color="auto" w:fill="D9D9D9" w:themeFill="background1" w:themeFillShade="D9"/>
            <w:vAlign w:val="center"/>
          </w:tcPr>
          <w:p w14:paraId="59E792BF" w14:textId="4CF08A0A" w:rsidR="00A646B9" w:rsidRPr="004C3FAD" w:rsidRDefault="00A646B9" w:rsidP="00A646B9">
            <w:pPr>
              <w:spacing w:before="0" w:after="0"/>
              <w:jc w:val="center"/>
              <w:rPr>
                <w:rFonts w:cs="Times New Roman"/>
                <w:szCs w:val="24"/>
              </w:rPr>
            </w:pPr>
            <w:r>
              <w:rPr>
                <w:rFonts w:cs="Times New Roman"/>
                <w:szCs w:val="24"/>
              </w:rPr>
              <w:t>-5.92</w:t>
            </w:r>
          </w:p>
        </w:tc>
        <w:tc>
          <w:tcPr>
            <w:tcW w:w="1134" w:type="dxa"/>
            <w:shd w:val="clear" w:color="auto" w:fill="D9D9D9" w:themeFill="background1" w:themeFillShade="D9"/>
            <w:vAlign w:val="center"/>
          </w:tcPr>
          <w:p w14:paraId="23F58C38" w14:textId="05FE8C5D" w:rsidR="00A646B9" w:rsidRPr="004C3FAD" w:rsidRDefault="00A646B9" w:rsidP="00A646B9">
            <w:pPr>
              <w:spacing w:before="0" w:after="0"/>
              <w:jc w:val="center"/>
              <w:rPr>
                <w:rFonts w:cs="Times New Roman"/>
                <w:szCs w:val="24"/>
              </w:rPr>
            </w:pPr>
            <w:r>
              <w:rPr>
                <w:rFonts w:cs="Times New Roman"/>
                <w:szCs w:val="24"/>
              </w:rPr>
              <w:t>-0.47</w:t>
            </w:r>
          </w:p>
        </w:tc>
        <w:tc>
          <w:tcPr>
            <w:tcW w:w="1560" w:type="dxa"/>
            <w:shd w:val="clear" w:color="auto" w:fill="D9D9D9" w:themeFill="background1" w:themeFillShade="D9"/>
            <w:vAlign w:val="center"/>
          </w:tcPr>
          <w:p w14:paraId="1E110A3A" w14:textId="51B1820F" w:rsidR="00A646B9" w:rsidRPr="004C3FAD" w:rsidRDefault="00A646B9" w:rsidP="00A646B9">
            <w:pPr>
              <w:spacing w:before="0" w:after="0"/>
              <w:jc w:val="center"/>
              <w:rPr>
                <w:rFonts w:cs="Times New Roman"/>
                <w:szCs w:val="24"/>
              </w:rPr>
            </w:pPr>
            <w:r>
              <w:rPr>
                <w:rFonts w:cs="Times New Roman"/>
                <w:szCs w:val="24"/>
              </w:rPr>
              <w:t>-4.87</w:t>
            </w:r>
          </w:p>
        </w:tc>
        <w:tc>
          <w:tcPr>
            <w:tcW w:w="1275" w:type="dxa"/>
            <w:shd w:val="clear" w:color="auto" w:fill="D9D9D9" w:themeFill="background1" w:themeFillShade="D9"/>
            <w:vAlign w:val="center"/>
          </w:tcPr>
          <w:p w14:paraId="0EC20A4C" w14:textId="22E1F670" w:rsidR="00A646B9" w:rsidRPr="004C3FAD" w:rsidRDefault="00A646B9" w:rsidP="00A646B9">
            <w:pPr>
              <w:spacing w:before="0" w:after="0"/>
              <w:jc w:val="center"/>
              <w:rPr>
                <w:rFonts w:cs="Times New Roman"/>
                <w:szCs w:val="24"/>
              </w:rPr>
            </w:pPr>
            <w:r>
              <w:rPr>
                <w:rFonts w:cs="Times New Roman"/>
                <w:szCs w:val="24"/>
              </w:rPr>
              <w:t>2519.02</w:t>
            </w:r>
          </w:p>
        </w:tc>
        <w:tc>
          <w:tcPr>
            <w:tcW w:w="1701" w:type="dxa"/>
            <w:shd w:val="clear" w:color="auto" w:fill="D9D9D9" w:themeFill="background1" w:themeFillShade="D9"/>
            <w:vAlign w:val="center"/>
          </w:tcPr>
          <w:p w14:paraId="4511B411" w14:textId="68E4D125" w:rsidR="00A646B9" w:rsidRPr="004C3FAD" w:rsidRDefault="00A646B9" w:rsidP="00A646B9">
            <w:pPr>
              <w:spacing w:before="0" w:after="0"/>
              <w:jc w:val="center"/>
              <w:rPr>
                <w:rFonts w:cs="Times New Roman"/>
                <w:szCs w:val="24"/>
              </w:rPr>
            </w:pPr>
            <w:r>
              <w:rPr>
                <w:rFonts w:cs="Times New Roman"/>
                <w:szCs w:val="24"/>
              </w:rPr>
              <w:t>100</w:t>
            </w:r>
          </w:p>
        </w:tc>
        <w:tc>
          <w:tcPr>
            <w:tcW w:w="1134" w:type="dxa"/>
            <w:shd w:val="clear" w:color="auto" w:fill="D9D9D9" w:themeFill="background1" w:themeFillShade="D9"/>
            <w:vAlign w:val="center"/>
          </w:tcPr>
          <w:p w14:paraId="55D0E616" w14:textId="62019CBE" w:rsidR="00A646B9" w:rsidRDefault="00A646B9" w:rsidP="00A646B9">
            <w:pPr>
              <w:spacing w:before="0" w:after="0"/>
              <w:jc w:val="center"/>
              <w:rPr>
                <w:rFonts w:cs="Times New Roman"/>
                <w:szCs w:val="24"/>
              </w:rPr>
            </w:pPr>
            <w:r>
              <w:rPr>
                <w:rFonts w:cs="Times New Roman"/>
                <w:szCs w:val="24"/>
              </w:rPr>
              <w:t>0</w:t>
            </w:r>
          </w:p>
        </w:tc>
      </w:tr>
      <w:tr w:rsidR="00A646B9" w:rsidRPr="004C3FAD" w14:paraId="74B096CE" w14:textId="4A17C776" w:rsidTr="00A646B9">
        <w:trPr>
          <w:trHeight w:val="331"/>
        </w:trPr>
        <w:tc>
          <w:tcPr>
            <w:tcW w:w="1696" w:type="dxa"/>
            <w:shd w:val="clear" w:color="auto" w:fill="auto"/>
            <w:vAlign w:val="center"/>
          </w:tcPr>
          <w:p w14:paraId="4F606679" w14:textId="77777777" w:rsidR="00A646B9" w:rsidRPr="004C3FAD" w:rsidRDefault="00A646B9" w:rsidP="00A646B9">
            <w:pPr>
              <w:spacing w:before="0" w:after="0"/>
              <w:jc w:val="center"/>
              <w:rPr>
                <w:rFonts w:cs="Times New Roman"/>
                <w:b/>
                <w:szCs w:val="24"/>
              </w:rPr>
            </w:pPr>
            <w:r>
              <w:rPr>
                <w:rFonts w:cs="Times New Roman"/>
                <w:b/>
                <w:szCs w:val="24"/>
              </w:rPr>
              <w:t>1644371</w:t>
            </w:r>
          </w:p>
        </w:tc>
        <w:tc>
          <w:tcPr>
            <w:tcW w:w="1134" w:type="dxa"/>
            <w:shd w:val="clear" w:color="auto" w:fill="auto"/>
            <w:vAlign w:val="center"/>
          </w:tcPr>
          <w:p w14:paraId="40480B72" w14:textId="2752EF33" w:rsidR="00A646B9" w:rsidRPr="004C3FAD" w:rsidRDefault="00A646B9" w:rsidP="00A646B9">
            <w:pPr>
              <w:spacing w:before="0" w:after="0"/>
              <w:jc w:val="center"/>
              <w:rPr>
                <w:rFonts w:cs="Times New Roman"/>
                <w:szCs w:val="24"/>
              </w:rPr>
            </w:pPr>
            <w:r>
              <w:rPr>
                <w:rFonts w:cs="Times New Roman"/>
                <w:szCs w:val="24"/>
              </w:rPr>
              <w:t>-5.42</w:t>
            </w:r>
          </w:p>
        </w:tc>
        <w:tc>
          <w:tcPr>
            <w:tcW w:w="1134" w:type="dxa"/>
            <w:shd w:val="clear" w:color="auto" w:fill="auto"/>
            <w:vAlign w:val="center"/>
          </w:tcPr>
          <w:p w14:paraId="26EBE5F0" w14:textId="313BC29F" w:rsidR="00A646B9" w:rsidRPr="004C3FAD" w:rsidRDefault="00A646B9" w:rsidP="00A646B9">
            <w:pPr>
              <w:spacing w:before="0" w:after="0"/>
              <w:jc w:val="center"/>
              <w:rPr>
                <w:rFonts w:cs="Times New Roman"/>
                <w:szCs w:val="24"/>
              </w:rPr>
            </w:pPr>
            <w:r>
              <w:rPr>
                <w:rFonts w:cs="Times New Roman"/>
                <w:szCs w:val="24"/>
              </w:rPr>
              <w:t>0.15</w:t>
            </w:r>
          </w:p>
        </w:tc>
        <w:tc>
          <w:tcPr>
            <w:tcW w:w="1560" w:type="dxa"/>
            <w:shd w:val="clear" w:color="auto" w:fill="auto"/>
            <w:vAlign w:val="center"/>
          </w:tcPr>
          <w:p w14:paraId="42E0F3A4" w14:textId="45523FCC" w:rsidR="00A646B9" w:rsidRPr="004C3FAD" w:rsidRDefault="00A646B9" w:rsidP="00A646B9">
            <w:pPr>
              <w:spacing w:before="0" w:after="0"/>
              <w:jc w:val="center"/>
              <w:rPr>
                <w:rFonts w:cs="Times New Roman"/>
                <w:szCs w:val="24"/>
              </w:rPr>
            </w:pPr>
            <w:r>
              <w:rPr>
                <w:rFonts w:cs="Times New Roman"/>
                <w:szCs w:val="24"/>
              </w:rPr>
              <w:t>-5.59</w:t>
            </w:r>
          </w:p>
        </w:tc>
        <w:tc>
          <w:tcPr>
            <w:tcW w:w="1275" w:type="dxa"/>
            <w:shd w:val="clear" w:color="auto" w:fill="auto"/>
            <w:vAlign w:val="center"/>
          </w:tcPr>
          <w:p w14:paraId="4AEFB10C" w14:textId="1B3D348A" w:rsidR="00A646B9" w:rsidRPr="004C3FAD" w:rsidRDefault="00A646B9" w:rsidP="00A646B9">
            <w:pPr>
              <w:spacing w:before="0" w:after="0"/>
              <w:jc w:val="center"/>
              <w:rPr>
                <w:rFonts w:cs="Times New Roman"/>
                <w:szCs w:val="24"/>
              </w:rPr>
            </w:pPr>
            <w:r>
              <w:rPr>
                <w:rFonts w:cs="Times New Roman"/>
                <w:szCs w:val="24"/>
              </w:rPr>
              <w:t>2986.65</w:t>
            </w:r>
          </w:p>
        </w:tc>
        <w:tc>
          <w:tcPr>
            <w:tcW w:w="1701" w:type="dxa"/>
            <w:vAlign w:val="center"/>
          </w:tcPr>
          <w:p w14:paraId="6867E45C" w14:textId="50620C2A" w:rsidR="00A646B9" w:rsidRPr="004C3FAD" w:rsidRDefault="00A646B9" w:rsidP="00A646B9">
            <w:pPr>
              <w:spacing w:before="0" w:after="0"/>
              <w:jc w:val="center"/>
              <w:rPr>
                <w:rFonts w:cs="Times New Roman"/>
                <w:szCs w:val="24"/>
              </w:rPr>
            </w:pPr>
            <w:r>
              <w:rPr>
                <w:rFonts w:cs="Times New Roman"/>
                <w:szCs w:val="24"/>
              </w:rPr>
              <w:t>100</w:t>
            </w:r>
          </w:p>
        </w:tc>
        <w:tc>
          <w:tcPr>
            <w:tcW w:w="1134" w:type="dxa"/>
            <w:vAlign w:val="center"/>
          </w:tcPr>
          <w:p w14:paraId="0D4BE22C" w14:textId="32FA75B3" w:rsidR="00A646B9" w:rsidRDefault="00A646B9" w:rsidP="00A646B9">
            <w:pPr>
              <w:spacing w:before="0" w:after="0"/>
              <w:jc w:val="center"/>
              <w:rPr>
                <w:rFonts w:cs="Times New Roman"/>
                <w:szCs w:val="24"/>
              </w:rPr>
            </w:pPr>
            <w:r>
              <w:rPr>
                <w:rFonts w:cs="Times New Roman"/>
                <w:szCs w:val="24"/>
              </w:rPr>
              <w:t>0</w:t>
            </w:r>
          </w:p>
        </w:tc>
      </w:tr>
      <w:tr w:rsidR="00A646B9" w:rsidRPr="004C3FAD" w14:paraId="76E5466F" w14:textId="33305F78" w:rsidTr="00A646B9">
        <w:trPr>
          <w:trHeight w:val="331"/>
        </w:trPr>
        <w:tc>
          <w:tcPr>
            <w:tcW w:w="1696" w:type="dxa"/>
            <w:shd w:val="clear" w:color="auto" w:fill="auto"/>
            <w:vAlign w:val="center"/>
          </w:tcPr>
          <w:p w14:paraId="35964091" w14:textId="77777777" w:rsidR="00A646B9" w:rsidRPr="004C3FAD" w:rsidRDefault="00A646B9" w:rsidP="00A646B9">
            <w:pPr>
              <w:spacing w:before="0" w:after="0"/>
              <w:jc w:val="center"/>
              <w:rPr>
                <w:rFonts w:cs="Times New Roman"/>
                <w:b/>
                <w:szCs w:val="24"/>
              </w:rPr>
            </w:pPr>
            <w:r>
              <w:rPr>
                <w:rFonts w:cs="Times New Roman"/>
                <w:b/>
                <w:szCs w:val="24"/>
              </w:rPr>
              <w:t>3114522</w:t>
            </w:r>
          </w:p>
        </w:tc>
        <w:tc>
          <w:tcPr>
            <w:tcW w:w="1134" w:type="dxa"/>
            <w:shd w:val="clear" w:color="auto" w:fill="auto"/>
            <w:vAlign w:val="center"/>
          </w:tcPr>
          <w:p w14:paraId="6037CB86" w14:textId="3D3FCF8D" w:rsidR="00A646B9" w:rsidRPr="004C3FAD" w:rsidRDefault="00A646B9" w:rsidP="00A646B9">
            <w:pPr>
              <w:spacing w:before="0" w:after="0"/>
              <w:jc w:val="center"/>
              <w:rPr>
                <w:rFonts w:cs="Times New Roman"/>
                <w:szCs w:val="24"/>
              </w:rPr>
            </w:pPr>
            <w:r>
              <w:rPr>
                <w:rFonts w:cs="Times New Roman"/>
                <w:szCs w:val="24"/>
              </w:rPr>
              <w:t>-8.35</w:t>
            </w:r>
          </w:p>
        </w:tc>
        <w:tc>
          <w:tcPr>
            <w:tcW w:w="1134" w:type="dxa"/>
            <w:shd w:val="clear" w:color="auto" w:fill="auto"/>
            <w:vAlign w:val="center"/>
          </w:tcPr>
          <w:p w14:paraId="5787AD25" w14:textId="1FDD91FA" w:rsidR="00A646B9" w:rsidRPr="004C3FAD" w:rsidRDefault="00A646B9" w:rsidP="00A646B9">
            <w:pPr>
              <w:spacing w:before="0" w:after="0"/>
              <w:jc w:val="center"/>
              <w:rPr>
                <w:rFonts w:cs="Times New Roman"/>
                <w:szCs w:val="24"/>
              </w:rPr>
            </w:pPr>
            <w:r>
              <w:rPr>
                <w:rFonts w:cs="Times New Roman"/>
                <w:szCs w:val="24"/>
              </w:rPr>
              <w:t>-1.19</w:t>
            </w:r>
          </w:p>
        </w:tc>
        <w:tc>
          <w:tcPr>
            <w:tcW w:w="1560" w:type="dxa"/>
            <w:shd w:val="clear" w:color="auto" w:fill="auto"/>
            <w:vAlign w:val="center"/>
          </w:tcPr>
          <w:p w14:paraId="0B0A39A3" w14:textId="4AB971B7" w:rsidR="00A646B9" w:rsidRPr="004C3FAD" w:rsidRDefault="00A646B9" w:rsidP="00A646B9">
            <w:pPr>
              <w:spacing w:before="0" w:after="0"/>
              <w:jc w:val="center"/>
              <w:rPr>
                <w:rFonts w:cs="Times New Roman"/>
                <w:szCs w:val="24"/>
              </w:rPr>
            </w:pPr>
            <w:r>
              <w:rPr>
                <w:rFonts w:cs="Times New Roman"/>
                <w:szCs w:val="24"/>
              </w:rPr>
              <w:t>-7.69</w:t>
            </w:r>
          </w:p>
        </w:tc>
        <w:tc>
          <w:tcPr>
            <w:tcW w:w="1275" w:type="dxa"/>
            <w:shd w:val="clear" w:color="auto" w:fill="auto"/>
            <w:vAlign w:val="center"/>
          </w:tcPr>
          <w:p w14:paraId="2251E9D9" w14:textId="3B783D2D" w:rsidR="00A646B9" w:rsidRPr="004C3FAD" w:rsidRDefault="00A646B9" w:rsidP="00A646B9">
            <w:pPr>
              <w:spacing w:before="0" w:after="0"/>
              <w:jc w:val="center"/>
              <w:rPr>
                <w:rFonts w:cs="Times New Roman"/>
                <w:szCs w:val="24"/>
              </w:rPr>
            </w:pPr>
            <w:r>
              <w:rPr>
                <w:rFonts w:cs="Times New Roman"/>
                <w:szCs w:val="24"/>
              </w:rPr>
              <w:t>774.81</w:t>
            </w:r>
          </w:p>
        </w:tc>
        <w:tc>
          <w:tcPr>
            <w:tcW w:w="1701" w:type="dxa"/>
            <w:vAlign w:val="center"/>
          </w:tcPr>
          <w:p w14:paraId="3B84F62F" w14:textId="3CDD277E" w:rsidR="00A646B9" w:rsidRPr="004C3FAD" w:rsidRDefault="00A646B9" w:rsidP="00A646B9">
            <w:pPr>
              <w:spacing w:before="0" w:after="0"/>
              <w:jc w:val="center"/>
              <w:rPr>
                <w:rFonts w:cs="Times New Roman"/>
                <w:szCs w:val="24"/>
              </w:rPr>
            </w:pPr>
            <w:r>
              <w:rPr>
                <w:rFonts w:cs="Times New Roman"/>
                <w:szCs w:val="24"/>
              </w:rPr>
              <w:t>100</w:t>
            </w:r>
          </w:p>
        </w:tc>
        <w:tc>
          <w:tcPr>
            <w:tcW w:w="1134" w:type="dxa"/>
            <w:vAlign w:val="center"/>
          </w:tcPr>
          <w:p w14:paraId="61CB3BE2" w14:textId="300FD506" w:rsidR="00A646B9" w:rsidRDefault="00A646B9" w:rsidP="00A646B9">
            <w:pPr>
              <w:spacing w:before="0" w:after="0"/>
              <w:jc w:val="center"/>
              <w:rPr>
                <w:rFonts w:cs="Times New Roman"/>
                <w:szCs w:val="24"/>
              </w:rPr>
            </w:pPr>
            <w:r>
              <w:rPr>
                <w:rFonts w:cs="Times New Roman"/>
                <w:szCs w:val="24"/>
              </w:rPr>
              <w:t>0</w:t>
            </w:r>
          </w:p>
        </w:tc>
      </w:tr>
      <w:tr w:rsidR="007E7936" w:rsidRPr="004C3FAD" w14:paraId="47F24CEF" w14:textId="4CC53D45" w:rsidTr="00A646B9">
        <w:trPr>
          <w:trHeight w:val="331"/>
        </w:trPr>
        <w:tc>
          <w:tcPr>
            <w:tcW w:w="1696" w:type="dxa"/>
            <w:shd w:val="clear" w:color="auto" w:fill="D9D9D9" w:themeFill="background1" w:themeFillShade="D9"/>
            <w:vAlign w:val="center"/>
          </w:tcPr>
          <w:p w14:paraId="54CBF69A" w14:textId="77777777" w:rsidR="007E7936" w:rsidRPr="004C3FAD" w:rsidRDefault="007E7936" w:rsidP="007E7936">
            <w:pPr>
              <w:spacing w:before="0" w:after="0"/>
              <w:jc w:val="center"/>
              <w:rPr>
                <w:rFonts w:cs="Times New Roman"/>
                <w:b/>
                <w:szCs w:val="24"/>
              </w:rPr>
            </w:pPr>
            <w:r>
              <w:rPr>
                <w:rFonts w:cs="Times New Roman"/>
                <w:b/>
                <w:szCs w:val="24"/>
              </w:rPr>
              <w:t>RTX</w:t>
            </w:r>
          </w:p>
        </w:tc>
        <w:tc>
          <w:tcPr>
            <w:tcW w:w="1134" w:type="dxa"/>
            <w:shd w:val="clear" w:color="auto" w:fill="D9D9D9" w:themeFill="background1" w:themeFillShade="D9"/>
            <w:vAlign w:val="center"/>
          </w:tcPr>
          <w:p w14:paraId="2FC0498A" w14:textId="12C4315B" w:rsidR="007E7936" w:rsidRPr="004C3FAD" w:rsidRDefault="007E7936" w:rsidP="007E7936">
            <w:pPr>
              <w:spacing w:before="0" w:after="0"/>
              <w:jc w:val="center"/>
              <w:rPr>
                <w:rFonts w:cs="Times New Roman"/>
                <w:szCs w:val="24"/>
              </w:rPr>
            </w:pPr>
            <w:r>
              <w:rPr>
                <w:rFonts w:cs="Times New Roman"/>
                <w:szCs w:val="24"/>
              </w:rPr>
              <w:t>-8.81</w:t>
            </w:r>
          </w:p>
        </w:tc>
        <w:tc>
          <w:tcPr>
            <w:tcW w:w="1134" w:type="dxa"/>
            <w:shd w:val="clear" w:color="auto" w:fill="D9D9D9" w:themeFill="background1" w:themeFillShade="D9"/>
            <w:vAlign w:val="center"/>
          </w:tcPr>
          <w:p w14:paraId="7ED1F391" w14:textId="0529B6F0" w:rsidR="007E7936" w:rsidRPr="004C3FAD" w:rsidRDefault="007E7936" w:rsidP="007E7936">
            <w:pPr>
              <w:spacing w:before="0" w:after="0"/>
              <w:jc w:val="center"/>
              <w:rPr>
                <w:rFonts w:cs="Times New Roman"/>
                <w:szCs w:val="24"/>
              </w:rPr>
            </w:pPr>
            <w:r>
              <w:rPr>
                <w:rFonts w:cs="Times New Roman"/>
                <w:szCs w:val="24"/>
              </w:rPr>
              <w:t>-1.97</w:t>
            </w:r>
          </w:p>
        </w:tc>
        <w:tc>
          <w:tcPr>
            <w:tcW w:w="1560" w:type="dxa"/>
            <w:shd w:val="clear" w:color="auto" w:fill="D9D9D9" w:themeFill="background1" w:themeFillShade="D9"/>
            <w:vAlign w:val="center"/>
          </w:tcPr>
          <w:p w14:paraId="577A09F8" w14:textId="63D82CA0" w:rsidR="007E7936" w:rsidRPr="004C3FAD" w:rsidRDefault="007E7936" w:rsidP="007E7936">
            <w:pPr>
              <w:spacing w:before="0" w:after="0"/>
              <w:jc w:val="center"/>
              <w:rPr>
                <w:rFonts w:cs="Times New Roman"/>
                <w:szCs w:val="24"/>
              </w:rPr>
            </w:pPr>
            <w:r>
              <w:rPr>
                <w:rFonts w:cs="Times New Roman"/>
                <w:szCs w:val="24"/>
              </w:rPr>
              <w:t>-7.17</w:t>
            </w:r>
          </w:p>
        </w:tc>
        <w:tc>
          <w:tcPr>
            <w:tcW w:w="1275" w:type="dxa"/>
            <w:shd w:val="clear" w:color="auto" w:fill="D9D9D9" w:themeFill="background1" w:themeFillShade="D9"/>
            <w:vAlign w:val="center"/>
          </w:tcPr>
          <w:p w14:paraId="7FDD5884" w14:textId="6334537A" w:rsidR="007E7936" w:rsidRPr="004C3FAD" w:rsidRDefault="007E7936" w:rsidP="007E7936">
            <w:pPr>
              <w:spacing w:before="0" w:after="0"/>
              <w:jc w:val="center"/>
              <w:rPr>
                <w:rFonts w:cs="Times New Roman"/>
                <w:szCs w:val="24"/>
              </w:rPr>
            </w:pPr>
            <w:r>
              <w:rPr>
                <w:rFonts w:cs="Times New Roman"/>
                <w:szCs w:val="24"/>
              </w:rPr>
              <w:t>289.99</w:t>
            </w:r>
          </w:p>
        </w:tc>
        <w:tc>
          <w:tcPr>
            <w:tcW w:w="1701" w:type="dxa"/>
            <w:shd w:val="clear" w:color="auto" w:fill="D9D9D9" w:themeFill="background1" w:themeFillShade="D9"/>
            <w:vAlign w:val="center"/>
          </w:tcPr>
          <w:p w14:paraId="6999AF98" w14:textId="659F5DC8" w:rsidR="007E7936" w:rsidRPr="004C3FAD" w:rsidRDefault="007E7936" w:rsidP="007E7936">
            <w:pPr>
              <w:spacing w:before="0" w:after="0"/>
              <w:jc w:val="center"/>
              <w:rPr>
                <w:rFonts w:cs="Times New Roman"/>
                <w:szCs w:val="24"/>
              </w:rPr>
            </w:pPr>
            <w:r>
              <w:rPr>
                <w:rFonts w:cs="Times New Roman"/>
                <w:szCs w:val="24"/>
              </w:rPr>
              <w:t>81</w:t>
            </w:r>
          </w:p>
        </w:tc>
        <w:tc>
          <w:tcPr>
            <w:tcW w:w="1134" w:type="dxa"/>
            <w:shd w:val="clear" w:color="auto" w:fill="D9D9D9" w:themeFill="background1" w:themeFillShade="D9"/>
            <w:vAlign w:val="center"/>
          </w:tcPr>
          <w:p w14:paraId="45CC56AF" w14:textId="52FC23A6" w:rsidR="007E7936" w:rsidRDefault="007E7936" w:rsidP="007E7936">
            <w:pPr>
              <w:spacing w:before="0" w:after="0"/>
              <w:jc w:val="center"/>
              <w:rPr>
                <w:rFonts w:cs="Times New Roman"/>
                <w:szCs w:val="24"/>
              </w:rPr>
            </w:pPr>
            <w:r>
              <w:rPr>
                <w:rFonts w:cs="Times New Roman"/>
                <w:szCs w:val="24"/>
              </w:rPr>
              <w:t>1</w:t>
            </w:r>
          </w:p>
        </w:tc>
      </w:tr>
      <w:tr w:rsidR="007E7936" w:rsidRPr="004C3FAD" w14:paraId="45B3562E" w14:textId="4B265084" w:rsidTr="00A646B9">
        <w:trPr>
          <w:trHeight w:val="331"/>
        </w:trPr>
        <w:tc>
          <w:tcPr>
            <w:tcW w:w="1696" w:type="dxa"/>
            <w:shd w:val="clear" w:color="auto" w:fill="auto"/>
            <w:vAlign w:val="center"/>
          </w:tcPr>
          <w:p w14:paraId="357E4A30" w14:textId="77777777" w:rsidR="007E7936" w:rsidRPr="004C3FAD" w:rsidRDefault="007E7936" w:rsidP="007E7936">
            <w:pPr>
              <w:spacing w:before="0" w:after="0"/>
              <w:jc w:val="center"/>
              <w:rPr>
                <w:rFonts w:cs="Times New Roman"/>
                <w:b/>
                <w:szCs w:val="24"/>
              </w:rPr>
            </w:pPr>
            <w:r>
              <w:rPr>
                <w:rFonts w:cs="Times New Roman"/>
                <w:b/>
                <w:szCs w:val="24"/>
              </w:rPr>
              <w:t>3353818</w:t>
            </w:r>
          </w:p>
        </w:tc>
        <w:tc>
          <w:tcPr>
            <w:tcW w:w="1134" w:type="dxa"/>
            <w:shd w:val="clear" w:color="auto" w:fill="auto"/>
            <w:vAlign w:val="center"/>
          </w:tcPr>
          <w:p w14:paraId="48F0D35A" w14:textId="7E56D50C" w:rsidR="007E7936" w:rsidRPr="004C3FAD" w:rsidRDefault="007E7936" w:rsidP="007E7936">
            <w:pPr>
              <w:spacing w:before="0" w:after="0"/>
              <w:jc w:val="center"/>
              <w:rPr>
                <w:rFonts w:cs="Times New Roman"/>
                <w:szCs w:val="24"/>
              </w:rPr>
            </w:pPr>
            <w:r>
              <w:rPr>
                <w:rFonts w:cs="Times New Roman"/>
                <w:szCs w:val="24"/>
              </w:rPr>
              <w:t>-4.77</w:t>
            </w:r>
          </w:p>
        </w:tc>
        <w:tc>
          <w:tcPr>
            <w:tcW w:w="1134" w:type="dxa"/>
            <w:shd w:val="clear" w:color="auto" w:fill="auto"/>
            <w:vAlign w:val="center"/>
          </w:tcPr>
          <w:p w14:paraId="59E8FB36" w14:textId="66817E5F" w:rsidR="007E7936" w:rsidRPr="004C3FAD" w:rsidRDefault="007E7936" w:rsidP="007E7936">
            <w:pPr>
              <w:spacing w:before="0" w:after="0"/>
              <w:jc w:val="center"/>
              <w:rPr>
                <w:rFonts w:cs="Times New Roman"/>
                <w:szCs w:val="24"/>
              </w:rPr>
            </w:pPr>
            <w:r>
              <w:rPr>
                <w:rFonts w:cs="Times New Roman"/>
                <w:szCs w:val="24"/>
              </w:rPr>
              <w:t>1.38</w:t>
            </w:r>
          </w:p>
        </w:tc>
        <w:tc>
          <w:tcPr>
            <w:tcW w:w="1560" w:type="dxa"/>
            <w:shd w:val="clear" w:color="auto" w:fill="auto"/>
            <w:vAlign w:val="center"/>
          </w:tcPr>
          <w:p w14:paraId="59FA2673" w14:textId="0856DF74" w:rsidR="007E7936" w:rsidRPr="004C3FAD" w:rsidRDefault="007E7936" w:rsidP="007E7936">
            <w:pPr>
              <w:spacing w:before="0" w:after="0"/>
              <w:jc w:val="center"/>
              <w:rPr>
                <w:rFonts w:cs="Times New Roman"/>
                <w:szCs w:val="24"/>
              </w:rPr>
            </w:pPr>
            <w:r>
              <w:rPr>
                <w:rFonts w:cs="Times New Roman"/>
                <w:szCs w:val="24"/>
              </w:rPr>
              <w:t>-6.10</w:t>
            </w:r>
          </w:p>
        </w:tc>
        <w:tc>
          <w:tcPr>
            <w:tcW w:w="1275" w:type="dxa"/>
            <w:shd w:val="clear" w:color="auto" w:fill="auto"/>
            <w:vAlign w:val="center"/>
          </w:tcPr>
          <w:p w14:paraId="6CA1EFD4" w14:textId="337E093C" w:rsidR="007E7936" w:rsidRPr="004C3FAD" w:rsidRDefault="007E7936" w:rsidP="007E7936">
            <w:pPr>
              <w:spacing w:before="0" w:after="0"/>
              <w:jc w:val="center"/>
              <w:rPr>
                <w:rFonts w:cs="Times New Roman"/>
                <w:szCs w:val="24"/>
              </w:rPr>
            </w:pPr>
            <w:r>
              <w:rPr>
                <w:rFonts w:cs="Times New Roman"/>
                <w:szCs w:val="24"/>
              </w:rPr>
              <w:t>7.99</w:t>
            </w:r>
          </w:p>
        </w:tc>
        <w:tc>
          <w:tcPr>
            <w:tcW w:w="1701" w:type="dxa"/>
            <w:vAlign w:val="center"/>
          </w:tcPr>
          <w:p w14:paraId="1B7A80FE" w14:textId="1EDE547A" w:rsidR="007E7936" w:rsidRPr="004C3FAD" w:rsidRDefault="007E7936" w:rsidP="007E7936">
            <w:pPr>
              <w:spacing w:before="0" w:after="0"/>
              <w:jc w:val="center"/>
              <w:rPr>
                <w:rFonts w:cs="Times New Roman"/>
                <w:szCs w:val="24"/>
              </w:rPr>
            </w:pPr>
            <w:r>
              <w:rPr>
                <w:rFonts w:cs="Times New Roman"/>
                <w:szCs w:val="24"/>
              </w:rPr>
              <w:t>51</w:t>
            </w:r>
          </w:p>
        </w:tc>
        <w:tc>
          <w:tcPr>
            <w:tcW w:w="1134" w:type="dxa"/>
            <w:vAlign w:val="center"/>
          </w:tcPr>
          <w:p w14:paraId="17EBA2BC" w14:textId="405AED5A" w:rsidR="007E7936" w:rsidRDefault="007E7936" w:rsidP="007E7936">
            <w:pPr>
              <w:spacing w:before="0" w:after="0"/>
              <w:jc w:val="center"/>
              <w:rPr>
                <w:rFonts w:cs="Times New Roman"/>
                <w:szCs w:val="24"/>
              </w:rPr>
            </w:pPr>
            <w:r>
              <w:rPr>
                <w:rFonts w:cs="Times New Roman"/>
                <w:szCs w:val="24"/>
              </w:rPr>
              <w:t>0</w:t>
            </w:r>
          </w:p>
        </w:tc>
      </w:tr>
      <w:tr w:rsidR="007E7936" w:rsidRPr="004C3FAD" w14:paraId="249D273E" w14:textId="45CEC46A" w:rsidTr="00A646B9">
        <w:trPr>
          <w:trHeight w:val="331"/>
        </w:trPr>
        <w:tc>
          <w:tcPr>
            <w:tcW w:w="1696" w:type="dxa"/>
            <w:shd w:val="clear" w:color="auto" w:fill="auto"/>
            <w:vAlign w:val="center"/>
          </w:tcPr>
          <w:p w14:paraId="0BFE0E9C" w14:textId="37D48031" w:rsidR="007E7936" w:rsidRPr="004C3FAD" w:rsidRDefault="007E7936" w:rsidP="007E7936">
            <w:pPr>
              <w:spacing w:before="0" w:after="0"/>
              <w:jc w:val="center"/>
              <w:rPr>
                <w:rFonts w:cs="Times New Roman"/>
                <w:b/>
                <w:szCs w:val="24"/>
              </w:rPr>
            </w:pPr>
            <w:r>
              <w:rPr>
                <w:rFonts w:eastAsia="Times New Roman" w:cs="Times New Roman"/>
                <w:b/>
                <w:szCs w:val="24"/>
              </w:rPr>
              <w:t>1288208*</w:t>
            </w:r>
          </w:p>
        </w:tc>
        <w:tc>
          <w:tcPr>
            <w:tcW w:w="1134" w:type="dxa"/>
            <w:shd w:val="clear" w:color="auto" w:fill="auto"/>
            <w:vAlign w:val="center"/>
          </w:tcPr>
          <w:p w14:paraId="2C833FBA" w14:textId="4EE7ACB0" w:rsidR="007E7936" w:rsidRPr="004C3FAD" w:rsidRDefault="007E7936" w:rsidP="007E7936">
            <w:pPr>
              <w:spacing w:before="0" w:after="0"/>
              <w:jc w:val="center"/>
              <w:rPr>
                <w:rFonts w:cs="Times New Roman"/>
                <w:szCs w:val="24"/>
              </w:rPr>
            </w:pPr>
            <w:r>
              <w:rPr>
                <w:rFonts w:cs="Times New Roman"/>
                <w:szCs w:val="24"/>
              </w:rPr>
              <w:t>-3.04</w:t>
            </w:r>
          </w:p>
        </w:tc>
        <w:tc>
          <w:tcPr>
            <w:tcW w:w="1134" w:type="dxa"/>
            <w:shd w:val="clear" w:color="auto" w:fill="auto"/>
            <w:vAlign w:val="center"/>
          </w:tcPr>
          <w:p w14:paraId="4230A03B" w14:textId="75DE6F70" w:rsidR="007E7936" w:rsidRPr="004C3FAD" w:rsidRDefault="007E7936" w:rsidP="007E7936">
            <w:pPr>
              <w:spacing w:before="0" w:after="0"/>
              <w:jc w:val="center"/>
              <w:rPr>
                <w:rFonts w:cs="Times New Roman"/>
                <w:szCs w:val="24"/>
              </w:rPr>
            </w:pPr>
            <w:r>
              <w:rPr>
                <w:rFonts w:cs="Times New Roman"/>
                <w:szCs w:val="24"/>
              </w:rPr>
              <w:t>-1.33</w:t>
            </w:r>
          </w:p>
        </w:tc>
        <w:tc>
          <w:tcPr>
            <w:tcW w:w="1560" w:type="dxa"/>
            <w:shd w:val="clear" w:color="auto" w:fill="auto"/>
            <w:vAlign w:val="center"/>
          </w:tcPr>
          <w:p w14:paraId="5E7FD338" w14:textId="713CB880" w:rsidR="007E7936" w:rsidRPr="004C3FAD" w:rsidRDefault="007E7936" w:rsidP="007E7936">
            <w:pPr>
              <w:spacing w:before="0" w:after="0"/>
              <w:jc w:val="center"/>
              <w:rPr>
                <w:rFonts w:cs="Times New Roman"/>
                <w:szCs w:val="24"/>
              </w:rPr>
            </w:pPr>
            <w:r>
              <w:rPr>
                <w:rFonts w:cs="Times New Roman"/>
                <w:szCs w:val="24"/>
              </w:rPr>
              <w:t>-4.58</w:t>
            </w:r>
          </w:p>
        </w:tc>
        <w:tc>
          <w:tcPr>
            <w:tcW w:w="1275" w:type="dxa"/>
            <w:shd w:val="clear" w:color="auto" w:fill="auto"/>
            <w:vAlign w:val="center"/>
          </w:tcPr>
          <w:p w14:paraId="68D6F8BD" w14:textId="31C46E0C" w:rsidR="007E7936" w:rsidRPr="004C3FAD" w:rsidRDefault="007E7936" w:rsidP="007E7936">
            <w:pPr>
              <w:spacing w:before="0" w:after="0"/>
              <w:jc w:val="center"/>
              <w:rPr>
                <w:rFonts w:cs="Times New Roman"/>
                <w:szCs w:val="24"/>
              </w:rPr>
            </w:pPr>
            <w:r>
              <w:rPr>
                <w:rFonts w:cs="Times New Roman"/>
                <w:szCs w:val="24"/>
              </w:rPr>
              <w:t>395.41</w:t>
            </w:r>
          </w:p>
        </w:tc>
        <w:tc>
          <w:tcPr>
            <w:tcW w:w="1701" w:type="dxa"/>
            <w:vAlign w:val="center"/>
          </w:tcPr>
          <w:p w14:paraId="1A114BFF" w14:textId="7B623247" w:rsidR="007E7936" w:rsidRPr="004C3FAD" w:rsidRDefault="007E7936" w:rsidP="007E7936">
            <w:pPr>
              <w:spacing w:before="0" w:after="0"/>
              <w:jc w:val="center"/>
              <w:rPr>
                <w:rFonts w:cs="Times New Roman"/>
                <w:szCs w:val="24"/>
              </w:rPr>
            </w:pPr>
            <w:r>
              <w:rPr>
                <w:rFonts w:cs="Times New Roman"/>
                <w:szCs w:val="24"/>
              </w:rPr>
              <w:t>86</w:t>
            </w:r>
          </w:p>
        </w:tc>
        <w:tc>
          <w:tcPr>
            <w:tcW w:w="1134" w:type="dxa"/>
            <w:vAlign w:val="center"/>
          </w:tcPr>
          <w:p w14:paraId="2851E03D" w14:textId="7B507CDE" w:rsidR="007E7936" w:rsidRDefault="007E7936" w:rsidP="007E7936">
            <w:pPr>
              <w:spacing w:before="0" w:after="0"/>
              <w:jc w:val="center"/>
              <w:rPr>
                <w:rFonts w:cs="Times New Roman"/>
                <w:szCs w:val="24"/>
              </w:rPr>
            </w:pPr>
            <w:r>
              <w:rPr>
                <w:rFonts w:cs="Times New Roman"/>
                <w:szCs w:val="24"/>
              </w:rPr>
              <w:t>0</w:t>
            </w:r>
          </w:p>
        </w:tc>
      </w:tr>
      <w:tr w:rsidR="007E7936" w:rsidRPr="004C3FAD" w14:paraId="397C9CB5" w14:textId="681453CF" w:rsidTr="00A646B9">
        <w:trPr>
          <w:trHeight w:val="331"/>
        </w:trPr>
        <w:tc>
          <w:tcPr>
            <w:tcW w:w="1696" w:type="dxa"/>
            <w:shd w:val="clear" w:color="auto" w:fill="auto"/>
            <w:vAlign w:val="center"/>
          </w:tcPr>
          <w:p w14:paraId="3BF73271" w14:textId="77777777" w:rsidR="007E7936" w:rsidRPr="004C3FAD" w:rsidRDefault="007E7936" w:rsidP="007E7936">
            <w:pPr>
              <w:spacing w:before="0" w:after="0"/>
              <w:jc w:val="center"/>
              <w:rPr>
                <w:rFonts w:cs="Times New Roman"/>
                <w:b/>
                <w:szCs w:val="24"/>
              </w:rPr>
            </w:pPr>
            <w:r>
              <w:rPr>
                <w:rFonts w:cs="Times New Roman"/>
                <w:b/>
                <w:szCs w:val="24"/>
              </w:rPr>
              <w:t>1644673</w:t>
            </w:r>
          </w:p>
        </w:tc>
        <w:tc>
          <w:tcPr>
            <w:tcW w:w="1134" w:type="dxa"/>
            <w:shd w:val="clear" w:color="auto" w:fill="auto"/>
            <w:vAlign w:val="center"/>
          </w:tcPr>
          <w:p w14:paraId="1556E661" w14:textId="07EE2411" w:rsidR="007E7936" w:rsidRPr="004C3FAD" w:rsidRDefault="007E7936" w:rsidP="007E7936">
            <w:pPr>
              <w:spacing w:before="0" w:after="0"/>
              <w:jc w:val="center"/>
              <w:rPr>
                <w:rFonts w:cs="Times New Roman"/>
                <w:szCs w:val="24"/>
              </w:rPr>
            </w:pPr>
            <w:r>
              <w:rPr>
                <w:rFonts w:cs="Times New Roman"/>
                <w:szCs w:val="24"/>
              </w:rPr>
              <w:t>-6.13</w:t>
            </w:r>
          </w:p>
        </w:tc>
        <w:tc>
          <w:tcPr>
            <w:tcW w:w="1134" w:type="dxa"/>
            <w:shd w:val="clear" w:color="auto" w:fill="auto"/>
            <w:vAlign w:val="center"/>
          </w:tcPr>
          <w:p w14:paraId="41D0DC19" w14:textId="41D75A37" w:rsidR="007E7936" w:rsidRPr="004C3FAD" w:rsidRDefault="007E7936" w:rsidP="007E7936">
            <w:pPr>
              <w:spacing w:before="0" w:after="0"/>
              <w:jc w:val="center"/>
              <w:rPr>
                <w:rFonts w:cs="Times New Roman"/>
                <w:szCs w:val="24"/>
              </w:rPr>
            </w:pPr>
            <w:r>
              <w:rPr>
                <w:rFonts w:cs="Times New Roman"/>
                <w:szCs w:val="24"/>
              </w:rPr>
              <w:t>0.67</w:t>
            </w:r>
          </w:p>
        </w:tc>
        <w:tc>
          <w:tcPr>
            <w:tcW w:w="1560" w:type="dxa"/>
            <w:shd w:val="clear" w:color="auto" w:fill="auto"/>
            <w:vAlign w:val="center"/>
          </w:tcPr>
          <w:p w14:paraId="04988227" w14:textId="369067FE" w:rsidR="007E7936" w:rsidRPr="004C3FAD" w:rsidRDefault="007E7936" w:rsidP="007E7936">
            <w:pPr>
              <w:spacing w:before="0" w:after="0"/>
              <w:jc w:val="center"/>
              <w:rPr>
                <w:rFonts w:cs="Times New Roman"/>
                <w:szCs w:val="24"/>
              </w:rPr>
            </w:pPr>
            <w:r>
              <w:rPr>
                <w:rFonts w:cs="Times New Roman"/>
                <w:szCs w:val="24"/>
              </w:rPr>
              <w:t>-8.15</w:t>
            </w:r>
          </w:p>
        </w:tc>
        <w:tc>
          <w:tcPr>
            <w:tcW w:w="1275" w:type="dxa"/>
            <w:shd w:val="clear" w:color="auto" w:fill="auto"/>
            <w:vAlign w:val="center"/>
          </w:tcPr>
          <w:p w14:paraId="69C5C830" w14:textId="432D9D2B" w:rsidR="007E7936" w:rsidRPr="004C3FAD" w:rsidRDefault="007E7936" w:rsidP="007E7936">
            <w:pPr>
              <w:spacing w:before="0" w:after="0"/>
              <w:jc w:val="center"/>
              <w:rPr>
                <w:rFonts w:cs="Times New Roman"/>
                <w:szCs w:val="24"/>
              </w:rPr>
            </w:pPr>
            <w:r>
              <w:rPr>
                <w:rFonts w:cs="Times New Roman"/>
                <w:szCs w:val="24"/>
              </w:rPr>
              <w:t>1152.10</w:t>
            </w:r>
          </w:p>
        </w:tc>
        <w:tc>
          <w:tcPr>
            <w:tcW w:w="1701" w:type="dxa"/>
            <w:vAlign w:val="center"/>
          </w:tcPr>
          <w:p w14:paraId="639DD837" w14:textId="67F0224A" w:rsidR="007E7936" w:rsidRPr="004C3FAD" w:rsidRDefault="007E7936" w:rsidP="007E7936">
            <w:pPr>
              <w:spacing w:before="0" w:after="0"/>
              <w:jc w:val="center"/>
              <w:rPr>
                <w:rFonts w:cs="Times New Roman"/>
                <w:szCs w:val="24"/>
              </w:rPr>
            </w:pPr>
            <w:r>
              <w:rPr>
                <w:rFonts w:cs="Times New Roman"/>
                <w:szCs w:val="24"/>
              </w:rPr>
              <w:t>100</w:t>
            </w:r>
          </w:p>
        </w:tc>
        <w:tc>
          <w:tcPr>
            <w:tcW w:w="1134" w:type="dxa"/>
            <w:vAlign w:val="center"/>
          </w:tcPr>
          <w:p w14:paraId="6EE00942" w14:textId="59D3556C" w:rsidR="007E7936" w:rsidRDefault="007E7936" w:rsidP="007E7936">
            <w:pPr>
              <w:spacing w:before="0" w:after="0"/>
              <w:jc w:val="center"/>
              <w:rPr>
                <w:rFonts w:cs="Times New Roman"/>
                <w:szCs w:val="24"/>
              </w:rPr>
            </w:pPr>
            <w:r>
              <w:rPr>
                <w:rFonts w:cs="Times New Roman"/>
                <w:szCs w:val="24"/>
              </w:rPr>
              <w:t>0</w:t>
            </w:r>
          </w:p>
        </w:tc>
      </w:tr>
      <w:tr w:rsidR="00A646B9" w:rsidRPr="006A0EE9" w14:paraId="6DCCA7F3" w14:textId="23D019BF" w:rsidTr="00E20EDE">
        <w:trPr>
          <w:trHeight w:val="824"/>
        </w:trPr>
        <w:tc>
          <w:tcPr>
            <w:tcW w:w="9634" w:type="dxa"/>
            <w:gridSpan w:val="7"/>
            <w:shd w:val="clear" w:color="auto" w:fill="auto"/>
            <w:vAlign w:val="center"/>
          </w:tcPr>
          <w:p w14:paraId="0178761A" w14:textId="11EB55AE" w:rsidR="00A646B9" w:rsidRPr="004C3FAD" w:rsidRDefault="00A646B9" w:rsidP="00A646B9">
            <w:pPr>
              <w:pStyle w:val="Textosinformato"/>
              <w:pBdr>
                <w:bottom w:val="single" w:sz="6" w:space="1" w:color="auto"/>
              </w:pBdr>
              <w:rPr>
                <w:rFonts w:ascii="Times New Roman" w:hAnsi="Times New Roman" w:cs="Times New Roman"/>
                <w:b/>
                <w:bCs/>
                <w:sz w:val="20"/>
                <w:vertAlign w:val="superscript"/>
                <w:lang w:val="en-US"/>
              </w:rPr>
            </w:pPr>
            <w:proofErr w:type="spellStart"/>
            <w:r w:rsidRPr="004C3FAD">
              <w:rPr>
                <w:rFonts w:ascii="Times New Roman" w:hAnsi="Times New Roman" w:cs="Times New Roman"/>
                <w:b/>
                <w:bCs/>
                <w:sz w:val="20"/>
                <w:vertAlign w:val="superscript"/>
                <w:lang w:val="en-US"/>
              </w:rPr>
              <w:t>a</w:t>
            </w:r>
            <w:r w:rsidRPr="004C3FAD">
              <w:rPr>
                <w:rFonts w:ascii="Times New Roman" w:hAnsi="Times New Roman" w:cs="Times New Roman"/>
                <w:bCs/>
                <w:sz w:val="20"/>
                <w:lang w:val="en-US"/>
              </w:rPr>
              <w:t>Predicted</w:t>
            </w:r>
            <w:proofErr w:type="spellEnd"/>
            <w:r w:rsidRPr="004C3FAD">
              <w:rPr>
                <w:rFonts w:ascii="Times New Roman" w:hAnsi="Times New Roman" w:cs="Times New Roman"/>
                <w:bCs/>
                <w:sz w:val="20"/>
                <w:lang w:val="en-US"/>
              </w:rPr>
              <w:t xml:space="preserve"> aqueous solubility </w:t>
            </w:r>
            <w:r w:rsidRPr="004C3FAD">
              <w:rPr>
                <w:rFonts w:ascii="Times New Roman" w:hAnsi="Times New Roman" w:cs="Times New Roman"/>
                <w:sz w:val="20"/>
                <w:lang w:val="en-US"/>
              </w:rPr>
              <w:t xml:space="preserve">[-6.5/0.5]; </w:t>
            </w:r>
            <w:proofErr w:type="spellStart"/>
            <w:r w:rsidRPr="004C3FAD">
              <w:rPr>
                <w:rFonts w:ascii="Times New Roman" w:hAnsi="Times New Roman" w:cs="Times New Roman"/>
                <w:bCs/>
                <w:sz w:val="20"/>
                <w:vertAlign w:val="superscript"/>
                <w:lang w:val="en-US"/>
              </w:rPr>
              <w:t>b</w:t>
            </w:r>
            <w:r w:rsidRPr="004C3FAD">
              <w:rPr>
                <w:rFonts w:ascii="Times New Roman" w:hAnsi="Times New Roman" w:cs="Times New Roman"/>
                <w:bCs/>
                <w:sz w:val="20"/>
                <w:lang w:val="en-US"/>
              </w:rPr>
              <w:t>Predicted</w:t>
            </w:r>
            <w:proofErr w:type="spellEnd"/>
            <w:r w:rsidRPr="004C3FAD">
              <w:rPr>
                <w:rFonts w:ascii="Times New Roman" w:hAnsi="Times New Roman" w:cs="Times New Roman"/>
                <w:bCs/>
                <w:sz w:val="20"/>
                <w:lang w:val="en-US"/>
              </w:rPr>
              <w:t xml:space="preserve"> log of the brain/blood partition coefficient </w:t>
            </w:r>
            <w:r w:rsidRPr="004C3FAD">
              <w:rPr>
                <w:rFonts w:ascii="Times New Roman" w:hAnsi="Times New Roman" w:cs="Times New Roman"/>
                <w:sz w:val="20"/>
                <w:lang w:val="en-US"/>
              </w:rPr>
              <w:t xml:space="preserve">[-3.0/1.2]; </w:t>
            </w:r>
            <w:proofErr w:type="spellStart"/>
            <w:r w:rsidRPr="004C3FAD">
              <w:rPr>
                <w:rFonts w:ascii="Times New Roman" w:hAnsi="Times New Roman" w:cs="Times New Roman"/>
                <w:bCs/>
                <w:sz w:val="20"/>
                <w:vertAlign w:val="superscript"/>
                <w:lang w:val="en-US"/>
              </w:rPr>
              <w:t>c</w:t>
            </w:r>
            <w:r w:rsidRPr="004C3FAD">
              <w:rPr>
                <w:rFonts w:ascii="Times New Roman" w:hAnsi="Times New Roman" w:cs="Times New Roman"/>
                <w:bCs/>
                <w:sz w:val="20"/>
                <w:lang w:val="en-US"/>
              </w:rPr>
              <w:t>HERG</w:t>
            </w:r>
            <w:proofErr w:type="spellEnd"/>
            <w:r w:rsidRPr="004C3FAD">
              <w:rPr>
                <w:rFonts w:ascii="Times New Roman" w:hAnsi="Times New Roman" w:cs="Times New Roman"/>
                <w:bCs/>
                <w:sz w:val="20"/>
                <w:lang w:val="en-US"/>
              </w:rPr>
              <w:t xml:space="preserve"> K</w:t>
            </w:r>
            <w:r w:rsidRPr="004C3FAD">
              <w:rPr>
                <w:rFonts w:ascii="Times New Roman" w:hAnsi="Times New Roman" w:cs="Times New Roman"/>
                <w:bCs/>
                <w:sz w:val="20"/>
                <w:vertAlign w:val="superscript"/>
                <w:lang w:val="en-US"/>
              </w:rPr>
              <w:t>+</w:t>
            </w:r>
            <w:r w:rsidRPr="004C3FAD">
              <w:rPr>
                <w:rFonts w:ascii="Times New Roman" w:hAnsi="Times New Roman" w:cs="Times New Roman"/>
                <w:bCs/>
                <w:sz w:val="20"/>
                <w:lang w:val="en-US"/>
              </w:rPr>
              <w:t xml:space="preserve"> Channel Blockage (log IC</w:t>
            </w:r>
            <w:r w:rsidRPr="004C3FAD">
              <w:rPr>
                <w:rFonts w:ascii="Times New Roman" w:hAnsi="Times New Roman" w:cs="Times New Roman"/>
                <w:bCs/>
                <w:sz w:val="20"/>
                <w:vertAlign w:val="subscript"/>
                <w:lang w:val="en-US"/>
              </w:rPr>
              <w:t>50</w:t>
            </w:r>
            <w:r w:rsidRPr="004C3FAD">
              <w:rPr>
                <w:rFonts w:ascii="Times New Roman" w:hAnsi="Times New Roman" w:cs="Times New Roman"/>
                <w:bCs/>
                <w:sz w:val="20"/>
                <w:lang w:val="en-US"/>
              </w:rPr>
              <w:t xml:space="preserve">) </w:t>
            </w:r>
            <w:r w:rsidRPr="004C3FAD">
              <w:rPr>
                <w:rFonts w:ascii="Times New Roman" w:hAnsi="Times New Roman" w:cs="Times New Roman"/>
                <w:sz w:val="20"/>
                <w:lang w:val="en-US"/>
              </w:rPr>
              <w:t xml:space="preserve">[concern below -5]; </w:t>
            </w:r>
            <w:proofErr w:type="spellStart"/>
            <w:r w:rsidRPr="004C3FAD">
              <w:rPr>
                <w:rFonts w:ascii="Times New Roman" w:hAnsi="Times New Roman" w:cs="Times New Roman"/>
                <w:bCs/>
                <w:sz w:val="20"/>
                <w:vertAlign w:val="superscript"/>
                <w:lang w:val="en-US"/>
              </w:rPr>
              <w:t>d</w:t>
            </w:r>
            <w:r w:rsidRPr="004C3FAD">
              <w:rPr>
                <w:rFonts w:ascii="Times New Roman" w:hAnsi="Times New Roman" w:cs="Times New Roman"/>
                <w:bCs/>
                <w:sz w:val="20"/>
                <w:lang w:val="en-US"/>
              </w:rPr>
              <w:t>Apparent</w:t>
            </w:r>
            <w:proofErr w:type="spellEnd"/>
            <w:r w:rsidRPr="004C3FAD">
              <w:rPr>
                <w:rFonts w:ascii="Times New Roman" w:hAnsi="Times New Roman" w:cs="Times New Roman"/>
                <w:bCs/>
                <w:sz w:val="20"/>
                <w:lang w:val="en-US"/>
              </w:rPr>
              <w:t xml:space="preserve"> Caco-2 cell permeability in nm/s </w:t>
            </w:r>
            <w:r w:rsidRPr="004C3FAD">
              <w:rPr>
                <w:rFonts w:ascii="Times New Roman" w:hAnsi="Times New Roman" w:cs="Times New Roman"/>
                <w:sz w:val="20"/>
                <w:lang w:val="en-US"/>
              </w:rPr>
              <w:t xml:space="preserve">[&lt;25 poor, &gt;500 excellent]; </w:t>
            </w:r>
            <w:proofErr w:type="spellStart"/>
            <w:r w:rsidRPr="004C3FAD">
              <w:rPr>
                <w:rFonts w:ascii="Times New Roman" w:hAnsi="Times New Roman" w:cs="Times New Roman"/>
                <w:bCs/>
                <w:sz w:val="20"/>
                <w:vertAlign w:val="superscript"/>
                <w:lang w:val="en-US"/>
              </w:rPr>
              <w:t>e</w:t>
            </w:r>
            <w:r w:rsidRPr="004C3FAD">
              <w:rPr>
                <w:rFonts w:ascii="Times New Roman" w:hAnsi="Times New Roman" w:cs="Times New Roman"/>
                <w:bCs/>
                <w:sz w:val="20"/>
                <w:lang w:val="en-US"/>
              </w:rPr>
              <w:t>Human</w:t>
            </w:r>
            <w:proofErr w:type="spellEnd"/>
            <w:r w:rsidRPr="004C3FAD">
              <w:rPr>
                <w:rFonts w:ascii="Times New Roman" w:hAnsi="Times New Roman" w:cs="Times New Roman"/>
                <w:bCs/>
                <w:sz w:val="20"/>
                <w:lang w:val="en-US"/>
              </w:rPr>
              <w:t xml:space="preserve"> Oral Absorption in GI </w:t>
            </w:r>
            <w:r w:rsidRPr="004C3FAD">
              <w:rPr>
                <w:rFonts w:ascii="Times New Roman" w:hAnsi="Times New Roman" w:cs="Times New Roman"/>
                <w:sz w:val="20"/>
                <w:lang w:val="en-US"/>
              </w:rPr>
              <w:t xml:space="preserve">[&lt;25% is poor]. </w:t>
            </w:r>
            <w:r w:rsidRPr="004C3FAD">
              <w:rPr>
                <w:rFonts w:ascii="Times New Roman" w:hAnsi="Times New Roman" w:cs="Times New Roman"/>
                <w:sz w:val="20"/>
                <w:szCs w:val="22"/>
                <w:lang w:val="en-US"/>
              </w:rPr>
              <w:t>[range of 95% of drugs]</w:t>
            </w:r>
            <w:r>
              <w:rPr>
                <w:rFonts w:ascii="Times New Roman" w:hAnsi="Times New Roman" w:cs="Times New Roman"/>
                <w:sz w:val="20"/>
                <w:szCs w:val="22"/>
                <w:lang w:val="en-US"/>
              </w:rPr>
              <w:t xml:space="preserve">; </w:t>
            </w:r>
            <w:r w:rsidRPr="003E5279">
              <w:rPr>
                <w:rFonts w:ascii="Times New Roman" w:hAnsi="Times New Roman" w:cs="Times New Roman"/>
                <w:sz w:val="20"/>
                <w:szCs w:val="22"/>
                <w:lang w:val="en-US"/>
              </w:rPr>
              <w:t>*</w:t>
            </w:r>
            <w:r>
              <w:rPr>
                <w:rFonts w:ascii="Times New Roman" w:hAnsi="Times New Roman" w:cs="Times New Roman"/>
                <w:sz w:val="20"/>
                <w:szCs w:val="22"/>
                <w:lang w:val="en-US"/>
              </w:rPr>
              <w:t xml:space="preserve">Compound selected for both tunnel and VBP docking. </w:t>
            </w:r>
            <w:r w:rsidRPr="006A0EE9">
              <w:rPr>
                <w:rFonts w:ascii="Times New Roman" w:hAnsi="Times New Roman" w:cs="Times New Roman"/>
                <w:b/>
                <w:sz w:val="22"/>
                <w:szCs w:val="22"/>
                <w:vertAlign w:val="superscript"/>
                <w:lang w:val="en-US"/>
              </w:rPr>
              <w:t>#</w:t>
            </w:r>
            <w:r w:rsidRPr="00BE069D">
              <w:rPr>
                <w:rFonts w:ascii="Times New Roman" w:hAnsi="Times New Roman" w:cs="Times New Roman"/>
                <w:sz w:val="20"/>
                <w:szCs w:val="22"/>
                <w:lang w:val="en-US"/>
              </w:rPr>
              <w:t xml:space="preserve">Number of structural alerts as calculated using the </w:t>
            </w:r>
            <w:proofErr w:type="spellStart"/>
            <w:r w:rsidRPr="00BE069D">
              <w:rPr>
                <w:rFonts w:ascii="Times New Roman" w:hAnsi="Times New Roman" w:cs="Times New Roman"/>
                <w:sz w:val="20"/>
                <w:szCs w:val="22"/>
                <w:lang w:val="en-US"/>
              </w:rPr>
              <w:t>swissADME</w:t>
            </w:r>
            <w:proofErr w:type="spellEnd"/>
            <w:r w:rsidRPr="00BE069D">
              <w:rPr>
                <w:rFonts w:ascii="Times New Roman" w:hAnsi="Times New Roman" w:cs="Times New Roman"/>
                <w:sz w:val="20"/>
                <w:szCs w:val="22"/>
                <w:lang w:val="en-US"/>
              </w:rPr>
              <w:t xml:space="preserve"> webserver</w:t>
            </w:r>
            <w:r>
              <w:rPr>
                <w:rFonts w:ascii="Times New Roman" w:hAnsi="Times New Roman" w:cs="Times New Roman"/>
                <w:sz w:val="20"/>
                <w:szCs w:val="22"/>
                <w:lang w:val="en-US"/>
              </w:rPr>
              <w:t xml:space="preserve"> </w:t>
            </w:r>
            <w:r>
              <w:rPr>
                <w:rFonts w:ascii="Times New Roman" w:hAnsi="Times New Roman" w:cs="Times New Roman"/>
                <w:sz w:val="20"/>
                <w:szCs w:val="22"/>
                <w:lang w:val="en-US"/>
              </w:rPr>
              <w:fldChar w:fldCharType="begin" w:fldLock="1"/>
            </w:r>
            <w:r w:rsidR="00B340B5">
              <w:rPr>
                <w:rFonts w:ascii="Times New Roman" w:hAnsi="Times New Roman" w:cs="Times New Roman"/>
                <w:sz w:val="20"/>
                <w:szCs w:val="22"/>
                <w:lang w:val="en-US"/>
              </w:rPr>
              <w:instrText>ADDIN CSL_CITATION {"citationItems":[{"id":"ITEM-1","itemData":{"DOI":"10.1038/srep42717","ISSN":"2045-2322","author":[{"dropping-particle":"","family":"Daina","given":"A","non-dropping-particle":"","parse-names":false,"suffix":""},{"dropping-particle":"","family":"O","given":"Michielin","non-dropping-particle":"","parse-names":false,"suffix":""},{"dropping-particle":"","family":"Zoete","given":"V","non-dropping-particle":"","parse-names":false,"suffix":""}],"container-title":"Scientific Reports","id":"ITEM-1","issue":"March","issued":{"date-parts":[["2017"]]},"page":"42717","publisher":"Nature Publishing Group","title":"SwissADME: a free web tool to evaluate pharmacokinetics, drug-likeness and medicinal chemistry friendliness of small molecules","type":"article-journal","volume":"7"},"uris":["http://www.mendeley.com/documents/?uuid=010ce2a0-3e22-4508-a754-01e801ceb7de"]}],"mendeley":{"formattedCitation":"(Daina et al., 2017)","plainTextFormattedCitation":"(Daina et al., 2017)","previouslyFormattedCitation":"(Daina et al., 2017)"},"properties":{"noteIndex":0},"schema":"https://github.com/citation-style-language/schema/raw/master/csl-citation.json"}</w:instrText>
            </w:r>
            <w:r>
              <w:rPr>
                <w:rFonts w:ascii="Times New Roman" w:hAnsi="Times New Roman" w:cs="Times New Roman"/>
                <w:sz w:val="20"/>
                <w:szCs w:val="22"/>
                <w:lang w:val="en-US"/>
              </w:rPr>
              <w:fldChar w:fldCharType="separate"/>
            </w:r>
            <w:r w:rsidRPr="00BE069D">
              <w:rPr>
                <w:rFonts w:ascii="Times New Roman" w:hAnsi="Times New Roman" w:cs="Times New Roman"/>
                <w:noProof/>
                <w:sz w:val="20"/>
                <w:szCs w:val="22"/>
                <w:lang w:val="en-US"/>
              </w:rPr>
              <w:t>(Daina et al., 2017)</w:t>
            </w:r>
            <w:r>
              <w:rPr>
                <w:rFonts w:ascii="Times New Roman" w:hAnsi="Times New Roman" w:cs="Times New Roman"/>
                <w:sz w:val="20"/>
                <w:szCs w:val="22"/>
                <w:lang w:val="en-US"/>
              </w:rPr>
              <w:fldChar w:fldCharType="end"/>
            </w:r>
            <w:r>
              <w:rPr>
                <w:rFonts w:ascii="Times New Roman" w:hAnsi="Times New Roman" w:cs="Times New Roman"/>
                <w:sz w:val="20"/>
                <w:szCs w:val="22"/>
                <w:lang w:val="en-US"/>
              </w:rPr>
              <w:t>.</w:t>
            </w:r>
          </w:p>
        </w:tc>
      </w:tr>
    </w:tbl>
    <w:p w14:paraId="5FDB1F40" w14:textId="744ACDC9" w:rsidR="004C3FAD" w:rsidRDefault="004C3FAD" w:rsidP="004C3FAD">
      <w:pPr>
        <w:pStyle w:val="TAMainText"/>
        <w:spacing w:line="360" w:lineRule="auto"/>
        <w:ind w:firstLine="0"/>
        <w:rPr>
          <w:rFonts w:ascii="Times New Roman" w:hAnsi="Times New Roman"/>
          <w:bCs/>
          <w:szCs w:val="24"/>
        </w:rPr>
      </w:pPr>
    </w:p>
    <w:p w14:paraId="3F9CDEE3" w14:textId="77777777" w:rsidR="00766701" w:rsidRDefault="00766701" w:rsidP="00766701">
      <w:pPr>
        <w:pStyle w:val="TAMainText"/>
        <w:keepNext/>
        <w:spacing w:line="360" w:lineRule="auto"/>
        <w:ind w:firstLine="0"/>
      </w:pPr>
      <w:r>
        <w:rPr>
          <w:rFonts w:ascii="Times New Roman" w:hAnsi="Times New Roman"/>
          <w:noProof/>
          <w:lang w:val="es-ES" w:eastAsia="es-ES"/>
        </w:rPr>
        <w:lastRenderedPageBreak/>
        <w:drawing>
          <wp:inline distT="0" distB="0" distL="0" distR="0" wp14:anchorId="6A231585" wp14:editId="351CF48F">
            <wp:extent cx="6208395" cy="5487035"/>
            <wp:effectExtent l="0" t="0" r="1905" b="0"/>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6208395" cy="5487035"/>
                    </a:xfrm>
                    <a:prstGeom prst="rect">
                      <a:avLst/>
                    </a:prstGeom>
                  </pic:spPr>
                </pic:pic>
              </a:graphicData>
            </a:graphic>
          </wp:inline>
        </w:drawing>
      </w:r>
    </w:p>
    <w:p w14:paraId="60A492A4" w14:textId="1A30C60D" w:rsidR="00D5144B" w:rsidRPr="00766701" w:rsidRDefault="00766701" w:rsidP="00766701">
      <w:pPr>
        <w:pStyle w:val="Descripcin"/>
        <w:jc w:val="both"/>
        <w:rPr>
          <w:b w:val="0"/>
          <w:bCs w:val="0"/>
          <w:lang w:val="en-GB"/>
        </w:rPr>
      </w:pPr>
      <w:r>
        <w:t>Figure S4.</w:t>
      </w:r>
      <w:r>
        <w:rPr>
          <w:b w:val="0"/>
          <w:bCs w:val="0"/>
        </w:rPr>
        <w:t xml:space="preserve"> </w:t>
      </w:r>
      <w:r w:rsidR="0055678A">
        <w:rPr>
          <w:b w:val="0"/>
          <w:bCs w:val="0"/>
        </w:rPr>
        <w:t>The docking output of AEA</w:t>
      </w:r>
      <w:r w:rsidR="00423CC3">
        <w:rPr>
          <w:b w:val="0"/>
          <w:bCs w:val="0"/>
        </w:rPr>
        <w:t xml:space="preserve"> (pink)</w:t>
      </w:r>
      <w:r w:rsidR="0055678A">
        <w:rPr>
          <w:b w:val="0"/>
          <w:bCs w:val="0"/>
        </w:rPr>
        <w:t xml:space="preserve"> in the S1-S4 tunnel region of TRPV1. Headgroup interactions consist of H-bonds with N438, D708, Y487, Y554, and Y555</w:t>
      </w:r>
      <w:r w:rsidR="00423CC3">
        <w:rPr>
          <w:b w:val="0"/>
          <w:bCs w:val="0"/>
        </w:rPr>
        <w:t xml:space="preserve"> (all yellow)</w:t>
      </w:r>
      <w:r w:rsidR="0055678A">
        <w:rPr>
          <w:b w:val="0"/>
          <w:bCs w:val="0"/>
        </w:rPr>
        <w:t>.</w:t>
      </w:r>
    </w:p>
    <w:p w14:paraId="77CC309B" w14:textId="77777777" w:rsidR="00D5144B" w:rsidRDefault="00D5144B" w:rsidP="7AE1A9FD">
      <w:pPr>
        <w:pStyle w:val="TAMainText"/>
        <w:spacing w:line="360" w:lineRule="auto"/>
        <w:ind w:firstLine="0"/>
        <w:rPr>
          <w:rFonts w:ascii="Times New Roman" w:hAnsi="Times New Roman"/>
          <w:lang w:val="en-GB"/>
        </w:rPr>
      </w:pPr>
    </w:p>
    <w:p w14:paraId="59E2D284" w14:textId="77777777" w:rsidR="00294BFC" w:rsidRDefault="00294BFC" w:rsidP="7AE1A9FD">
      <w:pPr>
        <w:pStyle w:val="TAMainText"/>
        <w:spacing w:line="360" w:lineRule="auto"/>
        <w:ind w:firstLine="0"/>
        <w:rPr>
          <w:rFonts w:ascii="Times New Roman" w:hAnsi="Times New Roman"/>
          <w:lang w:val="en-GB"/>
        </w:rPr>
        <w:sectPr w:rsidR="00294BFC" w:rsidSect="0093429D">
          <w:headerReference w:type="first" r:id="rId45"/>
          <w:pgSz w:w="12240" w:h="15840"/>
          <w:pgMar w:top="1138" w:right="1181" w:bottom="1138" w:left="1282" w:header="720" w:footer="720" w:gutter="0"/>
          <w:cols w:space="720"/>
          <w:titlePg/>
          <w:docGrid w:linePitch="360"/>
        </w:sectPr>
      </w:pPr>
    </w:p>
    <w:p w14:paraId="0D30B0BD" w14:textId="77777777" w:rsidR="00D5144B" w:rsidRDefault="00D5144B" w:rsidP="7AE1A9FD">
      <w:pPr>
        <w:pStyle w:val="TAMainText"/>
        <w:spacing w:line="360" w:lineRule="auto"/>
        <w:ind w:firstLine="0"/>
        <w:rPr>
          <w:rFonts w:ascii="Times New Roman" w:hAnsi="Times New Roman"/>
          <w:lang w:val="en-GB"/>
        </w:rPr>
      </w:pPr>
    </w:p>
    <w:p w14:paraId="25DBF885" w14:textId="77777777" w:rsidR="006928A2" w:rsidRDefault="006928A2" w:rsidP="006928A2">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S4</w:t>
      </w:r>
      <w:r w:rsidRPr="004C3FAD">
        <w:rPr>
          <w:rFonts w:ascii="Times New Roman" w:hAnsi="Times New Roman"/>
          <w:b/>
          <w:szCs w:val="24"/>
        </w:rPr>
        <w:t xml:space="preserve">. </w:t>
      </w:r>
      <w:r>
        <w:rPr>
          <w:rFonts w:ascii="Times New Roman" w:hAnsi="Times New Roman"/>
          <w:szCs w:val="24"/>
        </w:rPr>
        <w:t xml:space="preserve">Off-target </w:t>
      </w:r>
      <w:proofErr w:type="gramStart"/>
      <w:r>
        <w:rPr>
          <w:rFonts w:ascii="Times New Roman" w:hAnsi="Times New Roman"/>
          <w:szCs w:val="24"/>
        </w:rPr>
        <w:t>evaluation  at</w:t>
      </w:r>
      <w:proofErr w:type="gramEnd"/>
      <w:r>
        <w:rPr>
          <w:rFonts w:ascii="Times New Roman" w:hAnsi="Times New Roman"/>
          <w:szCs w:val="24"/>
        </w:rPr>
        <w:t xml:space="preserve"> cannabinoid-related TRPs of selected dual hits </w:t>
      </w:r>
      <w:r w:rsidRPr="006928A2">
        <w:rPr>
          <w:bCs/>
          <w:color w:val="000000"/>
          <w:szCs w:val="24"/>
        </w:rPr>
        <w:t xml:space="preserve">59824268, </w:t>
      </w:r>
      <w:r w:rsidRPr="006928A2">
        <w:rPr>
          <w:bCs/>
          <w:szCs w:val="24"/>
        </w:rPr>
        <w:t xml:space="preserve">1288208, 1288239, </w:t>
      </w:r>
      <w:r w:rsidRPr="006928A2">
        <w:rPr>
          <w:bCs/>
          <w:sz w:val="22"/>
        </w:rPr>
        <w:t>1508577 and 1508215</w:t>
      </w:r>
      <w:r>
        <w:rPr>
          <w:rFonts w:ascii="Times New Roman" w:hAnsi="Times New Roman"/>
          <w:szCs w:val="24"/>
        </w:rPr>
        <w:t>. The following compounds have been included as reference for each target: TRPV2 agonist (CBD), TRPV3 agonist (2-ABP), TRPA1 agonist (</w:t>
      </w:r>
      <w:proofErr w:type="spellStart"/>
      <w:r>
        <w:rPr>
          <w:rFonts w:ascii="Times New Roman" w:hAnsi="Times New Roman"/>
          <w:szCs w:val="24"/>
        </w:rPr>
        <w:t>benzothioformamide</w:t>
      </w:r>
      <w:proofErr w:type="spellEnd"/>
      <w:r>
        <w:rPr>
          <w:rFonts w:ascii="Times New Roman" w:hAnsi="Times New Roman"/>
          <w:szCs w:val="24"/>
        </w:rPr>
        <w:t xml:space="preserve">), and TRPM8 agonist (WS-12). </w:t>
      </w:r>
    </w:p>
    <w:p w14:paraId="02D9D478" w14:textId="77777777" w:rsidR="006928A2" w:rsidRPr="004F07F7" w:rsidRDefault="006928A2" w:rsidP="006928A2">
      <w:pPr>
        <w:pStyle w:val="TAMainText"/>
        <w:spacing w:line="240" w:lineRule="auto"/>
        <w:ind w:firstLine="0"/>
        <w:rPr>
          <w:rFonts w:ascii="Times New Roman" w:hAnsi="Times New Roman"/>
          <w:szCs w:val="24"/>
        </w:rPr>
      </w:pPr>
    </w:p>
    <w:tbl>
      <w:tblPr>
        <w:tblStyle w:val="Tablaconcuadrcula"/>
        <w:tblpPr w:leftFromText="142" w:rightFromText="142" w:vertAnchor="text" w:horzAnchor="margin" w:tblpXSpec="center" w:tblpY="13"/>
        <w:tblOverlap w:val="never"/>
        <w:tblW w:w="1293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68"/>
        <w:gridCol w:w="2480"/>
        <w:gridCol w:w="1080"/>
        <w:gridCol w:w="1080"/>
        <w:gridCol w:w="1080"/>
        <w:gridCol w:w="1080"/>
        <w:gridCol w:w="1080"/>
        <w:gridCol w:w="1094"/>
        <w:gridCol w:w="1094"/>
        <w:gridCol w:w="1059"/>
        <w:gridCol w:w="35"/>
      </w:tblGrid>
      <w:tr w:rsidR="006928A2" w:rsidRPr="004C3FAD" w14:paraId="60BBB20D" w14:textId="77777777" w:rsidTr="00D23219">
        <w:trPr>
          <w:trHeight w:val="288"/>
        </w:trPr>
        <w:tc>
          <w:tcPr>
            <w:tcW w:w="1768" w:type="dxa"/>
            <w:shd w:val="clear" w:color="auto" w:fill="A6A6A6" w:themeFill="background1" w:themeFillShade="A6"/>
            <w:vAlign w:val="center"/>
          </w:tcPr>
          <w:p w14:paraId="79B8C460" w14:textId="77777777" w:rsidR="006928A2" w:rsidRPr="004C3FAD" w:rsidRDefault="006928A2" w:rsidP="00D23219">
            <w:pPr>
              <w:pStyle w:val="TCTableBody"/>
              <w:spacing w:after="0"/>
              <w:jc w:val="center"/>
              <w:rPr>
                <w:rFonts w:ascii="Times New Roman" w:hAnsi="Times New Roman"/>
                <w:b/>
                <w:sz w:val="22"/>
                <w:szCs w:val="22"/>
              </w:rPr>
            </w:pPr>
            <w:r w:rsidRPr="004C3FAD">
              <w:rPr>
                <w:rFonts w:ascii="Times New Roman" w:hAnsi="Times New Roman"/>
                <w:b/>
                <w:sz w:val="22"/>
                <w:szCs w:val="22"/>
              </w:rPr>
              <w:t>Compd</w:t>
            </w:r>
          </w:p>
        </w:tc>
        <w:tc>
          <w:tcPr>
            <w:tcW w:w="2480" w:type="dxa"/>
            <w:shd w:val="clear" w:color="auto" w:fill="A6A6A6" w:themeFill="background1" w:themeFillShade="A6"/>
            <w:vAlign w:val="center"/>
          </w:tcPr>
          <w:p w14:paraId="40528D57" w14:textId="77777777" w:rsidR="006928A2" w:rsidRPr="004C3FAD" w:rsidRDefault="006928A2" w:rsidP="00D23219">
            <w:pPr>
              <w:pStyle w:val="Textosinformato"/>
              <w:jc w:val="center"/>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Structure</w:t>
            </w:r>
          </w:p>
        </w:tc>
        <w:tc>
          <w:tcPr>
            <w:tcW w:w="1080" w:type="dxa"/>
            <w:shd w:val="clear" w:color="auto" w:fill="A6A6A6" w:themeFill="background1" w:themeFillShade="A6"/>
            <w:vAlign w:val="center"/>
          </w:tcPr>
          <w:p w14:paraId="3A0513C1"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TRPV2 </w:t>
            </w:r>
            <w:proofErr w:type="spellStart"/>
            <w:r w:rsidRPr="14879692">
              <w:rPr>
                <w:rFonts w:ascii="Times New Roman" w:hAnsi="Times New Roman" w:cs="Times New Roman"/>
                <w:b/>
                <w:bCs/>
                <w:sz w:val="22"/>
                <w:szCs w:val="22"/>
                <w:lang w:val="en-US"/>
              </w:rPr>
              <w:t>active</w:t>
            </w:r>
            <w:r w:rsidRPr="14879692">
              <w:rPr>
                <w:rFonts w:ascii="Times New Roman" w:hAnsi="Times New Roman" w:cs="Times New Roman"/>
                <w:b/>
                <w:bCs/>
                <w:sz w:val="22"/>
                <w:szCs w:val="22"/>
                <w:vertAlign w:val="superscript"/>
                <w:lang w:val="en-US"/>
              </w:rPr>
              <w:t>a</w:t>
            </w:r>
            <w:proofErr w:type="spellEnd"/>
          </w:p>
        </w:tc>
        <w:tc>
          <w:tcPr>
            <w:tcW w:w="1080" w:type="dxa"/>
            <w:shd w:val="clear" w:color="auto" w:fill="A6A6A6" w:themeFill="background1" w:themeFillShade="A6"/>
            <w:vAlign w:val="center"/>
          </w:tcPr>
          <w:p w14:paraId="6FD3A216" w14:textId="77777777" w:rsidR="006928A2"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TRPV2 </w:t>
            </w:r>
            <w:proofErr w:type="spellStart"/>
            <w:r>
              <w:rPr>
                <w:rFonts w:ascii="Times New Roman" w:hAnsi="Times New Roman" w:cs="Times New Roman"/>
                <w:b/>
                <w:bCs/>
                <w:sz w:val="22"/>
                <w:szCs w:val="22"/>
                <w:lang w:val="en-US"/>
              </w:rPr>
              <w:t>apo</w:t>
            </w:r>
            <w:r w:rsidRPr="14879692">
              <w:rPr>
                <w:rFonts w:ascii="Times New Roman" w:hAnsi="Times New Roman" w:cs="Times New Roman"/>
                <w:b/>
                <w:bCs/>
                <w:sz w:val="22"/>
                <w:szCs w:val="22"/>
                <w:vertAlign w:val="superscript"/>
                <w:lang w:val="en-US"/>
              </w:rPr>
              <w:t>ah</w:t>
            </w:r>
            <w:proofErr w:type="spellEnd"/>
          </w:p>
        </w:tc>
        <w:tc>
          <w:tcPr>
            <w:tcW w:w="1080" w:type="dxa"/>
            <w:shd w:val="clear" w:color="auto" w:fill="A6A6A6" w:themeFill="background1" w:themeFillShade="A6"/>
            <w:vAlign w:val="center"/>
          </w:tcPr>
          <w:p w14:paraId="24FE1111"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TRPV3</w:t>
            </w:r>
          </w:p>
          <w:p w14:paraId="41E18262"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proofErr w:type="spellStart"/>
            <w:r>
              <w:rPr>
                <w:rFonts w:ascii="Times New Roman" w:hAnsi="Times New Roman" w:cs="Times New Roman"/>
                <w:b/>
                <w:bCs/>
                <w:sz w:val="22"/>
                <w:szCs w:val="22"/>
                <w:lang w:val="en-US"/>
              </w:rPr>
              <w:t>a</w:t>
            </w:r>
            <w:r w:rsidRPr="14879692">
              <w:rPr>
                <w:rFonts w:ascii="Times New Roman" w:hAnsi="Times New Roman" w:cs="Times New Roman"/>
                <w:b/>
                <w:bCs/>
                <w:sz w:val="22"/>
                <w:szCs w:val="22"/>
                <w:lang w:val="en-US"/>
              </w:rPr>
              <w:t>ctive</w:t>
            </w:r>
            <w:r w:rsidRPr="14879692">
              <w:rPr>
                <w:rFonts w:ascii="Times New Roman" w:hAnsi="Times New Roman" w:cs="Times New Roman"/>
                <w:b/>
                <w:bCs/>
                <w:sz w:val="22"/>
                <w:szCs w:val="22"/>
                <w:vertAlign w:val="superscript"/>
                <w:lang w:val="en-US"/>
              </w:rPr>
              <w:t>b</w:t>
            </w:r>
            <w:proofErr w:type="spellEnd"/>
          </w:p>
        </w:tc>
        <w:tc>
          <w:tcPr>
            <w:tcW w:w="1080" w:type="dxa"/>
            <w:shd w:val="clear" w:color="auto" w:fill="A6A6A6" w:themeFill="background1" w:themeFillShade="A6"/>
            <w:vAlign w:val="center"/>
          </w:tcPr>
          <w:p w14:paraId="0353AED7"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TRPV3</w:t>
            </w:r>
          </w:p>
          <w:p w14:paraId="3C671B4A"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proofErr w:type="spellStart"/>
            <w:r>
              <w:rPr>
                <w:rFonts w:ascii="Times New Roman" w:hAnsi="Times New Roman" w:cs="Times New Roman"/>
                <w:b/>
                <w:bCs/>
                <w:sz w:val="22"/>
                <w:szCs w:val="22"/>
                <w:lang w:val="en-US"/>
              </w:rPr>
              <w:t>apo</w:t>
            </w:r>
            <w:r w:rsidRPr="14879692">
              <w:rPr>
                <w:rFonts w:ascii="Times New Roman" w:hAnsi="Times New Roman" w:cs="Times New Roman"/>
                <w:b/>
                <w:bCs/>
                <w:sz w:val="22"/>
                <w:szCs w:val="22"/>
                <w:vertAlign w:val="superscript"/>
                <w:lang w:val="en-US"/>
              </w:rPr>
              <w:t>ch</w:t>
            </w:r>
            <w:proofErr w:type="spellEnd"/>
          </w:p>
        </w:tc>
        <w:tc>
          <w:tcPr>
            <w:tcW w:w="1080" w:type="dxa"/>
            <w:shd w:val="clear" w:color="auto" w:fill="A6A6A6" w:themeFill="background1" w:themeFillShade="A6"/>
            <w:vAlign w:val="center"/>
          </w:tcPr>
          <w:p w14:paraId="5A8EADAA"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TRPA1 </w:t>
            </w:r>
            <w:proofErr w:type="spellStart"/>
            <w:r w:rsidRPr="14879692">
              <w:rPr>
                <w:rFonts w:ascii="Times New Roman" w:hAnsi="Times New Roman" w:cs="Times New Roman"/>
                <w:b/>
                <w:bCs/>
                <w:sz w:val="22"/>
                <w:szCs w:val="22"/>
                <w:lang w:val="en-US"/>
              </w:rPr>
              <w:t>active</w:t>
            </w:r>
            <w:r w:rsidRPr="14879692">
              <w:rPr>
                <w:rFonts w:ascii="Times New Roman" w:hAnsi="Times New Roman" w:cs="Times New Roman"/>
                <w:b/>
                <w:bCs/>
                <w:sz w:val="22"/>
                <w:szCs w:val="22"/>
                <w:vertAlign w:val="superscript"/>
                <w:lang w:val="en-US"/>
              </w:rPr>
              <w:t>dh</w:t>
            </w:r>
            <w:proofErr w:type="spellEnd"/>
          </w:p>
        </w:tc>
        <w:tc>
          <w:tcPr>
            <w:tcW w:w="1094" w:type="dxa"/>
            <w:shd w:val="clear" w:color="auto" w:fill="A6A6A6" w:themeFill="background1" w:themeFillShade="A6"/>
            <w:vAlign w:val="center"/>
          </w:tcPr>
          <w:p w14:paraId="2EA9440D"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TRPA1 </w:t>
            </w:r>
            <w:proofErr w:type="spellStart"/>
            <w:r>
              <w:rPr>
                <w:rFonts w:ascii="Times New Roman" w:hAnsi="Times New Roman" w:cs="Times New Roman"/>
                <w:b/>
                <w:bCs/>
                <w:sz w:val="22"/>
                <w:szCs w:val="22"/>
                <w:lang w:val="en-US"/>
              </w:rPr>
              <w:t>apo</w:t>
            </w:r>
            <w:r w:rsidRPr="14879692">
              <w:rPr>
                <w:rFonts w:ascii="Times New Roman" w:hAnsi="Times New Roman" w:cs="Times New Roman"/>
                <w:b/>
                <w:bCs/>
                <w:sz w:val="22"/>
                <w:szCs w:val="22"/>
                <w:vertAlign w:val="superscript"/>
                <w:lang w:val="en-US"/>
              </w:rPr>
              <w:t>ehi</w:t>
            </w:r>
            <w:proofErr w:type="spellEnd"/>
          </w:p>
        </w:tc>
        <w:tc>
          <w:tcPr>
            <w:tcW w:w="1094" w:type="dxa"/>
            <w:shd w:val="clear" w:color="auto" w:fill="A6A6A6" w:themeFill="background1" w:themeFillShade="A6"/>
            <w:vAlign w:val="center"/>
          </w:tcPr>
          <w:p w14:paraId="2EA472C7"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TRPM8 </w:t>
            </w:r>
            <w:proofErr w:type="spellStart"/>
            <w:proofErr w:type="gramStart"/>
            <w:r w:rsidRPr="14879692">
              <w:rPr>
                <w:rFonts w:ascii="Times New Roman" w:hAnsi="Times New Roman" w:cs="Times New Roman"/>
                <w:b/>
                <w:bCs/>
                <w:sz w:val="22"/>
                <w:szCs w:val="22"/>
                <w:lang w:val="en-US"/>
              </w:rPr>
              <w:t>active</w:t>
            </w:r>
            <w:r w:rsidRPr="14879692">
              <w:rPr>
                <w:rFonts w:ascii="Times New Roman" w:hAnsi="Times New Roman" w:cs="Times New Roman"/>
                <w:b/>
                <w:bCs/>
                <w:sz w:val="22"/>
                <w:szCs w:val="22"/>
                <w:vertAlign w:val="superscript"/>
                <w:lang w:val="en-US"/>
              </w:rPr>
              <w:t>f,h</w:t>
            </w:r>
            <w:proofErr w:type="spellEnd"/>
            <w:proofErr w:type="gramEnd"/>
          </w:p>
        </w:tc>
        <w:tc>
          <w:tcPr>
            <w:tcW w:w="1094" w:type="dxa"/>
            <w:gridSpan w:val="2"/>
            <w:shd w:val="clear" w:color="auto" w:fill="A6A6A6" w:themeFill="background1" w:themeFillShade="A6"/>
            <w:vAlign w:val="center"/>
          </w:tcPr>
          <w:p w14:paraId="75D3FDC7" w14:textId="77777777" w:rsidR="006928A2" w:rsidRPr="005821D4" w:rsidRDefault="006928A2" w:rsidP="00D23219">
            <w:pPr>
              <w:pStyle w:val="Textosinformato"/>
              <w:jc w:val="center"/>
              <w:rPr>
                <w:rFonts w:ascii="Times New Roman" w:hAnsi="Times New Roman" w:cs="Times New Roman"/>
                <w:b/>
                <w:bCs/>
                <w:sz w:val="22"/>
                <w:szCs w:val="22"/>
                <w:vertAlign w:val="superscript"/>
                <w:lang w:val="en-US"/>
              </w:rPr>
            </w:pPr>
            <w:r w:rsidRPr="14879692">
              <w:rPr>
                <w:rFonts w:ascii="Times New Roman" w:hAnsi="Times New Roman" w:cs="Times New Roman"/>
                <w:b/>
                <w:bCs/>
                <w:sz w:val="22"/>
                <w:szCs w:val="22"/>
                <w:lang w:val="en-US"/>
              </w:rPr>
              <w:t xml:space="preserve">TRPM8 </w:t>
            </w:r>
            <w:proofErr w:type="spellStart"/>
            <w:r>
              <w:rPr>
                <w:rFonts w:ascii="Times New Roman" w:hAnsi="Times New Roman" w:cs="Times New Roman"/>
                <w:b/>
                <w:bCs/>
                <w:sz w:val="22"/>
                <w:szCs w:val="22"/>
                <w:lang w:val="en-US"/>
              </w:rPr>
              <w:t>apo</w:t>
            </w:r>
            <w:r w:rsidRPr="14879692">
              <w:rPr>
                <w:rFonts w:ascii="Times New Roman" w:hAnsi="Times New Roman" w:cs="Times New Roman"/>
                <w:b/>
                <w:bCs/>
                <w:sz w:val="22"/>
                <w:szCs w:val="22"/>
                <w:vertAlign w:val="superscript"/>
                <w:lang w:val="en-US"/>
              </w:rPr>
              <w:t>gh</w:t>
            </w:r>
            <w:proofErr w:type="spellEnd"/>
          </w:p>
        </w:tc>
      </w:tr>
      <w:tr w:rsidR="006928A2" w:rsidRPr="004C3FAD" w14:paraId="741F6F78" w14:textId="77777777" w:rsidTr="00D23219">
        <w:trPr>
          <w:trHeight w:val="288"/>
        </w:trPr>
        <w:tc>
          <w:tcPr>
            <w:tcW w:w="1768" w:type="dxa"/>
            <w:shd w:val="clear" w:color="auto" w:fill="F2F2F2" w:themeFill="background1" w:themeFillShade="F2"/>
            <w:vAlign w:val="center"/>
          </w:tcPr>
          <w:p w14:paraId="1BAA992E" w14:textId="77777777" w:rsidR="006928A2" w:rsidRPr="00052590" w:rsidRDefault="006928A2" w:rsidP="00D23219">
            <w:pPr>
              <w:pStyle w:val="TCTableBody"/>
              <w:spacing w:after="0"/>
              <w:jc w:val="center"/>
              <w:rPr>
                <w:rFonts w:ascii="Times New Roman" w:hAnsi="Times New Roman"/>
                <w:b/>
                <w:bCs/>
                <w:sz w:val="22"/>
                <w:szCs w:val="22"/>
              </w:rPr>
            </w:pPr>
            <w:proofErr w:type="spellStart"/>
            <w:r w:rsidRPr="00052590">
              <w:rPr>
                <w:rFonts w:ascii="Times New Roman" w:hAnsi="Times New Roman"/>
                <w:b/>
                <w:bCs/>
                <w:sz w:val="22"/>
                <w:szCs w:val="22"/>
              </w:rPr>
              <w:t>CBD</w:t>
            </w:r>
            <w:r>
              <w:rPr>
                <w:rFonts w:ascii="Times New Roman" w:hAnsi="Times New Roman"/>
                <w:b/>
                <w:sz w:val="22"/>
                <w:szCs w:val="22"/>
                <w:vertAlign w:val="superscript"/>
              </w:rPr>
              <w:t>a</w:t>
            </w:r>
            <w:proofErr w:type="spellEnd"/>
          </w:p>
        </w:tc>
        <w:tc>
          <w:tcPr>
            <w:tcW w:w="2480" w:type="dxa"/>
            <w:shd w:val="clear" w:color="auto" w:fill="F2F2F2" w:themeFill="background1" w:themeFillShade="F2"/>
            <w:vAlign w:val="center"/>
          </w:tcPr>
          <w:p w14:paraId="7AC3483C"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2570" w:dyaOrig="1586" w14:anchorId="48B39250">
                <v:shape id="_x0000_i1039" type="#_x0000_t75" alt="" style="width:73.65pt;height:46.9pt;mso-width-percent:0;mso-height-percent:0;mso-width-percent:0;mso-height-percent:0" o:ole="">
                  <v:imagedata r:id="rId24" o:title=""/>
                </v:shape>
                <o:OLEObject Type="Embed" ProgID="ChemDraw.Document.6.0" ShapeID="_x0000_i1039" DrawAspect="Content" ObjectID="_1706533569" r:id="rId46"/>
              </w:object>
            </w:r>
          </w:p>
        </w:tc>
        <w:tc>
          <w:tcPr>
            <w:tcW w:w="1080" w:type="dxa"/>
            <w:shd w:val="clear" w:color="auto" w:fill="F2F2F2" w:themeFill="background1" w:themeFillShade="F2"/>
            <w:vAlign w:val="center"/>
          </w:tcPr>
          <w:p w14:paraId="30B70D6D"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-10.79</w:t>
            </w:r>
          </w:p>
        </w:tc>
        <w:tc>
          <w:tcPr>
            <w:tcW w:w="1080" w:type="dxa"/>
            <w:shd w:val="clear" w:color="auto" w:fill="F2F2F2" w:themeFill="background1" w:themeFillShade="F2"/>
            <w:vAlign w:val="center"/>
          </w:tcPr>
          <w:p w14:paraId="798ACA2A"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-8.71</w:t>
            </w:r>
          </w:p>
        </w:tc>
        <w:tc>
          <w:tcPr>
            <w:tcW w:w="1080" w:type="dxa"/>
            <w:shd w:val="clear" w:color="auto" w:fill="F2F2F2" w:themeFill="background1" w:themeFillShade="F2"/>
            <w:vAlign w:val="center"/>
          </w:tcPr>
          <w:p w14:paraId="5C7A969B"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65F0A122"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5B62739C"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6AFA14D7"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16FE6EE6"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94" w:type="dxa"/>
            <w:gridSpan w:val="2"/>
            <w:shd w:val="clear" w:color="auto" w:fill="F2F2F2" w:themeFill="background1" w:themeFillShade="F2"/>
            <w:vAlign w:val="center"/>
          </w:tcPr>
          <w:p w14:paraId="39F12B85"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r>
      <w:tr w:rsidR="006928A2" w:rsidRPr="004C3FAD" w14:paraId="5057C87E" w14:textId="77777777" w:rsidTr="00D23219">
        <w:trPr>
          <w:trHeight w:val="288"/>
        </w:trPr>
        <w:tc>
          <w:tcPr>
            <w:tcW w:w="1768" w:type="dxa"/>
            <w:shd w:val="clear" w:color="auto" w:fill="F2F2F2" w:themeFill="background1" w:themeFillShade="F2"/>
            <w:vAlign w:val="center"/>
          </w:tcPr>
          <w:p w14:paraId="75044CD8" w14:textId="77777777" w:rsidR="006928A2" w:rsidRPr="00052590" w:rsidRDefault="006928A2" w:rsidP="00D23219">
            <w:pPr>
              <w:pStyle w:val="TCTableBody"/>
              <w:spacing w:after="0"/>
              <w:jc w:val="center"/>
              <w:rPr>
                <w:rFonts w:ascii="Times New Roman" w:hAnsi="Times New Roman"/>
                <w:b/>
                <w:bCs/>
                <w:sz w:val="22"/>
                <w:szCs w:val="22"/>
              </w:rPr>
            </w:pPr>
            <w:r w:rsidRPr="00052590">
              <w:rPr>
                <w:b/>
                <w:bCs/>
              </w:rPr>
              <w:t>2-ABP</w:t>
            </w:r>
            <w:r>
              <w:rPr>
                <w:rFonts w:ascii="Times New Roman" w:hAnsi="Times New Roman"/>
                <w:b/>
                <w:sz w:val="22"/>
                <w:szCs w:val="22"/>
                <w:vertAlign w:val="superscript"/>
              </w:rPr>
              <w:t>c</w:t>
            </w:r>
          </w:p>
        </w:tc>
        <w:tc>
          <w:tcPr>
            <w:tcW w:w="2480" w:type="dxa"/>
            <w:shd w:val="clear" w:color="auto" w:fill="F2F2F2" w:themeFill="background1" w:themeFillShade="F2"/>
            <w:vAlign w:val="center"/>
          </w:tcPr>
          <w:p w14:paraId="4104FD38"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2128" w:dyaOrig="1530" w14:anchorId="2C00D9B6">
                <v:shape id="_x0000_i1040" type="#_x0000_t75" alt="" style="width:61.1pt;height:44.35pt;mso-width-percent:0;mso-height-percent:0;mso-width-percent:0;mso-height-percent:0" o:ole="">
                  <v:imagedata r:id="rId47" o:title=""/>
                </v:shape>
                <o:OLEObject Type="Embed" ProgID="ChemDraw.Document.6.0" ShapeID="_x0000_i1040" DrawAspect="Content" ObjectID="_1706533570" r:id="rId48"/>
              </w:object>
            </w:r>
          </w:p>
        </w:tc>
        <w:tc>
          <w:tcPr>
            <w:tcW w:w="1080" w:type="dxa"/>
            <w:shd w:val="clear" w:color="auto" w:fill="F2F2F2" w:themeFill="background1" w:themeFillShade="F2"/>
            <w:vAlign w:val="center"/>
          </w:tcPr>
          <w:p w14:paraId="777325D5"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177F4A14" w14:textId="77777777" w:rsidR="006928A2" w:rsidRPr="006928A2" w:rsidRDefault="006928A2" w:rsidP="00D23219">
            <w:pPr>
              <w:pStyle w:val="Textosinformato"/>
              <w:jc w:val="center"/>
              <w:rPr>
                <w:rFonts w:ascii="Times New Roman" w:hAnsi="Times New Roman" w:cs="Times New Roman"/>
                <w:sz w:val="22"/>
                <w:szCs w:val="22"/>
                <w:lang w:val="en-US"/>
              </w:rPr>
            </w:pPr>
            <w:r w:rsidRPr="006928A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094991BF"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-6.99</w:t>
            </w:r>
          </w:p>
        </w:tc>
        <w:tc>
          <w:tcPr>
            <w:tcW w:w="1080" w:type="dxa"/>
            <w:shd w:val="clear" w:color="auto" w:fill="F2F2F2" w:themeFill="background1" w:themeFillShade="F2"/>
            <w:vAlign w:val="center"/>
          </w:tcPr>
          <w:p w14:paraId="666913DE"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-4.08</w:t>
            </w:r>
          </w:p>
        </w:tc>
        <w:tc>
          <w:tcPr>
            <w:tcW w:w="1080" w:type="dxa"/>
            <w:shd w:val="clear" w:color="auto" w:fill="F2F2F2" w:themeFill="background1" w:themeFillShade="F2"/>
            <w:vAlign w:val="center"/>
          </w:tcPr>
          <w:p w14:paraId="682C106D"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7D7F0B32"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0DDD890F"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gridSpan w:val="2"/>
            <w:shd w:val="clear" w:color="auto" w:fill="F2F2F2" w:themeFill="background1" w:themeFillShade="F2"/>
            <w:vAlign w:val="center"/>
          </w:tcPr>
          <w:p w14:paraId="06DFBCB9"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r>
      <w:tr w:rsidR="006928A2" w:rsidRPr="004C3FAD" w14:paraId="51A23788" w14:textId="77777777" w:rsidTr="00D23219">
        <w:trPr>
          <w:trHeight w:val="288"/>
        </w:trPr>
        <w:tc>
          <w:tcPr>
            <w:tcW w:w="1768" w:type="dxa"/>
            <w:shd w:val="clear" w:color="auto" w:fill="F2F2F2" w:themeFill="background1" w:themeFillShade="F2"/>
            <w:vAlign w:val="center"/>
          </w:tcPr>
          <w:p w14:paraId="52B367F5" w14:textId="77777777" w:rsidR="006928A2" w:rsidRPr="00052590" w:rsidRDefault="006928A2" w:rsidP="00D23219">
            <w:pPr>
              <w:pStyle w:val="TCTableBody"/>
              <w:spacing w:after="0"/>
              <w:jc w:val="center"/>
              <w:rPr>
                <w:rFonts w:ascii="Times New Roman" w:hAnsi="Times New Roman"/>
                <w:b/>
                <w:bCs/>
                <w:sz w:val="22"/>
                <w:szCs w:val="22"/>
              </w:rPr>
            </w:pPr>
            <w:proofErr w:type="spellStart"/>
            <w:r w:rsidRPr="00052590">
              <w:rPr>
                <w:b/>
                <w:bCs/>
              </w:rPr>
              <w:t>Benzothioformamide</w:t>
            </w:r>
            <w:r>
              <w:rPr>
                <w:rFonts w:ascii="Times New Roman" w:hAnsi="Times New Roman"/>
                <w:b/>
                <w:sz w:val="22"/>
                <w:szCs w:val="22"/>
                <w:vertAlign w:val="superscript"/>
              </w:rPr>
              <w:t>d</w:t>
            </w:r>
            <w:proofErr w:type="spellEnd"/>
          </w:p>
        </w:tc>
        <w:tc>
          <w:tcPr>
            <w:tcW w:w="2480" w:type="dxa"/>
            <w:shd w:val="clear" w:color="auto" w:fill="F2F2F2" w:themeFill="background1" w:themeFillShade="F2"/>
            <w:vAlign w:val="center"/>
          </w:tcPr>
          <w:p w14:paraId="47A80835"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1633" w:dyaOrig="666" w14:anchorId="37ACDC02">
                <v:shape id="_x0000_i1041" type="#_x0000_t75" alt="" style="width:46.9pt;height:19.25pt;mso-width-percent:0;mso-height-percent:0;mso-width-percent:0;mso-height-percent:0" o:ole="">
                  <v:imagedata r:id="rId49" o:title=""/>
                </v:shape>
                <o:OLEObject Type="Embed" ProgID="ChemDraw.Document.6.0" ShapeID="_x0000_i1041" DrawAspect="Content" ObjectID="_1706533571" r:id="rId50"/>
              </w:object>
            </w:r>
          </w:p>
        </w:tc>
        <w:tc>
          <w:tcPr>
            <w:tcW w:w="1080" w:type="dxa"/>
            <w:shd w:val="clear" w:color="auto" w:fill="F2F2F2" w:themeFill="background1" w:themeFillShade="F2"/>
            <w:vAlign w:val="center"/>
          </w:tcPr>
          <w:p w14:paraId="144FA9CE"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4F32016D"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4C6D9846"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2377A1EE"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3F8BDB89"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-7.98</w:t>
            </w:r>
          </w:p>
        </w:tc>
        <w:tc>
          <w:tcPr>
            <w:tcW w:w="1094" w:type="dxa"/>
            <w:shd w:val="clear" w:color="auto" w:fill="F2F2F2" w:themeFill="background1" w:themeFillShade="F2"/>
            <w:vAlign w:val="center"/>
          </w:tcPr>
          <w:p w14:paraId="7371F9D2"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-5.21</w:t>
            </w:r>
          </w:p>
        </w:tc>
        <w:tc>
          <w:tcPr>
            <w:tcW w:w="1094" w:type="dxa"/>
            <w:shd w:val="clear" w:color="auto" w:fill="F2F2F2" w:themeFill="background1" w:themeFillShade="F2"/>
            <w:vAlign w:val="center"/>
          </w:tcPr>
          <w:p w14:paraId="7689F26F"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gridSpan w:val="2"/>
            <w:shd w:val="clear" w:color="auto" w:fill="F2F2F2" w:themeFill="background1" w:themeFillShade="F2"/>
            <w:vAlign w:val="center"/>
          </w:tcPr>
          <w:p w14:paraId="252683FD"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r>
      <w:tr w:rsidR="006928A2" w:rsidRPr="004C3FAD" w14:paraId="3BFFCFE0" w14:textId="77777777" w:rsidTr="00D23219">
        <w:trPr>
          <w:trHeight w:val="288"/>
        </w:trPr>
        <w:tc>
          <w:tcPr>
            <w:tcW w:w="1768" w:type="dxa"/>
            <w:shd w:val="clear" w:color="auto" w:fill="F2F2F2" w:themeFill="background1" w:themeFillShade="F2"/>
            <w:vAlign w:val="center"/>
          </w:tcPr>
          <w:p w14:paraId="57394634" w14:textId="77777777" w:rsidR="006928A2" w:rsidRPr="00052590" w:rsidRDefault="006928A2" w:rsidP="00D23219">
            <w:pPr>
              <w:pStyle w:val="TCTableBody"/>
              <w:spacing w:after="0"/>
              <w:jc w:val="center"/>
              <w:rPr>
                <w:b/>
                <w:bCs/>
              </w:rPr>
            </w:pPr>
            <w:r w:rsidRPr="14879692">
              <w:rPr>
                <w:b/>
                <w:bCs/>
              </w:rPr>
              <w:t>WS-12</w:t>
            </w:r>
            <w:r w:rsidRPr="14879692">
              <w:rPr>
                <w:rFonts w:ascii="Times New Roman" w:hAnsi="Times New Roman"/>
                <w:b/>
                <w:bCs/>
                <w:sz w:val="22"/>
                <w:szCs w:val="22"/>
                <w:vertAlign w:val="superscript"/>
              </w:rPr>
              <w:t>f</w:t>
            </w:r>
          </w:p>
        </w:tc>
        <w:tc>
          <w:tcPr>
            <w:tcW w:w="2480" w:type="dxa"/>
            <w:shd w:val="clear" w:color="auto" w:fill="F2F2F2" w:themeFill="background1" w:themeFillShade="F2"/>
            <w:vAlign w:val="center"/>
          </w:tcPr>
          <w:p w14:paraId="4B472503"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2588" w:dyaOrig="1465" w14:anchorId="7D80F7BD">
                <v:shape id="_x0000_i1042" type="#_x0000_t75" alt="" style="width:74.5pt;height:42.7pt;mso-width-percent:0;mso-height-percent:0;mso-width-percent:0;mso-height-percent:0" o:ole="">
                  <v:imagedata r:id="rId51" o:title=""/>
                </v:shape>
                <o:OLEObject Type="Embed" ProgID="ChemDraw.Document.6.0" ShapeID="_x0000_i1042" DrawAspect="Content" ObjectID="_1706533572" r:id="rId52"/>
              </w:object>
            </w:r>
          </w:p>
        </w:tc>
        <w:tc>
          <w:tcPr>
            <w:tcW w:w="1080" w:type="dxa"/>
            <w:shd w:val="clear" w:color="auto" w:fill="F2F2F2" w:themeFill="background1" w:themeFillShade="F2"/>
            <w:vAlign w:val="center"/>
          </w:tcPr>
          <w:p w14:paraId="0363C20E"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25183E06"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2E1022BB"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3C111C67"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80" w:type="dxa"/>
            <w:shd w:val="clear" w:color="auto" w:fill="F2F2F2" w:themeFill="background1" w:themeFillShade="F2"/>
            <w:vAlign w:val="center"/>
          </w:tcPr>
          <w:p w14:paraId="777B654B"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53E9F232"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w:t>
            </w:r>
          </w:p>
        </w:tc>
        <w:tc>
          <w:tcPr>
            <w:tcW w:w="1094" w:type="dxa"/>
            <w:shd w:val="clear" w:color="auto" w:fill="F2F2F2" w:themeFill="background1" w:themeFillShade="F2"/>
            <w:vAlign w:val="center"/>
          </w:tcPr>
          <w:p w14:paraId="50FD3D0F"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-9.43</w:t>
            </w:r>
          </w:p>
        </w:tc>
        <w:tc>
          <w:tcPr>
            <w:tcW w:w="1094" w:type="dxa"/>
            <w:gridSpan w:val="2"/>
            <w:shd w:val="clear" w:color="auto" w:fill="F2F2F2" w:themeFill="background1" w:themeFillShade="F2"/>
            <w:vAlign w:val="center"/>
          </w:tcPr>
          <w:p w14:paraId="1E1C3A93" w14:textId="77777777" w:rsidR="006928A2" w:rsidRPr="006928A2" w:rsidRDefault="006928A2" w:rsidP="00D23219">
            <w:pPr>
              <w:pStyle w:val="Textosinformato"/>
              <w:jc w:val="center"/>
              <w:rPr>
                <w:rFonts w:ascii="Times New Roman" w:hAnsi="Times New Roman" w:cs="Times New Roman"/>
                <w:sz w:val="22"/>
                <w:szCs w:val="22"/>
                <w:lang w:val="en-US"/>
              </w:rPr>
            </w:pPr>
            <w:r w:rsidRPr="14879692">
              <w:rPr>
                <w:rFonts w:ascii="Times New Roman" w:hAnsi="Times New Roman" w:cs="Times New Roman"/>
                <w:sz w:val="22"/>
                <w:szCs w:val="22"/>
                <w:lang w:val="en-US"/>
              </w:rPr>
              <w:t>-4.56</w:t>
            </w:r>
          </w:p>
        </w:tc>
      </w:tr>
      <w:tr w:rsidR="006928A2" w:rsidRPr="004C3FAD" w14:paraId="4E8B9F14" w14:textId="77777777" w:rsidTr="00D23219">
        <w:trPr>
          <w:trHeight w:val="720"/>
        </w:trPr>
        <w:tc>
          <w:tcPr>
            <w:tcW w:w="1768" w:type="dxa"/>
            <w:shd w:val="clear" w:color="auto" w:fill="auto"/>
            <w:vAlign w:val="center"/>
          </w:tcPr>
          <w:p w14:paraId="5FD6A03C" w14:textId="77777777" w:rsidR="006928A2" w:rsidRPr="007E463C" w:rsidRDefault="006928A2" w:rsidP="00D23219">
            <w:pPr>
              <w:spacing w:before="0" w:after="0"/>
              <w:jc w:val="center"/>
              <w:rPr>
                <w:rFonts w:eastAsia="Times New Roman" w:cs="Times New Roman"/>
                <w:b/>
                <w:szCs w:val="24"/>
              </w:rPr>
            </w:pPr>
            <w:r w:rsidRPr="004F6E7F">
              <w:rPr>
                <w:rFonts w:cs="Times New Roman"/>
                <w:b/>
                <w:color w:val="000000"/>
                <w:szCs w:val="24"/>
              </w:rPr>
              <w:t>59824268</w:t>
            </w:r>
          </w:p>
        </w:tc>
        <w:tc>
          <w:tcPr>
            <w:tcW w:w="2480" w:type="dxa"/>
            <w:shd w:val="clear" w:color="auto" w:fill="auto"/>
            <w:vAlign w:val="center"/>
          </w:tcPr>
          <w:p w14:paraId="47CE1229" w14:textId="77777777" w:rsidR="006928A2" w:rsidRDefault="006928A2" w:rsidP="00D23219">
            <w:pPr>
              <w:spacing w:before="0" w:after="0"/>
              <w:jc w:val="center"/>
              <w:rPr>
                <w:rFonts w:cs="Times New Roman"/>
                <w:szCs w:val="24"/>
              </w:rPr>
            </w:pPr>
            <w:r w:rsidRPr="00186A43">
              <w:rPr>
                <w:rFonts w:cs="Times New Roman"/>
                <w:noProof/>
                <w:sz w:val="22"/>
              </w:rPr>
              <w:object w:dxaOrig="2826" w:dyaOrig="824" w14:anchorId="57AD04A5">
                <v:shape id="_x0000_i1043" type="#_x0000_t75" alt="" style="width:97.1pt;height:27.65pt;mso-width-percent:0;mso-height-percent:0;mso-width-percent:0;mso-height-percent:0" o:ole="">
                  <v:imagedata r:id="rId53" o:title=""/>
                </v:shape>
                <o:OLEObject Type="Embed" ProgID="ChemDraw.Document.6.0" ShapeID="_x0000_i1043" DrawAspect="Content" ObjectID="_1706533573" r:id="rId54"/>
              </w:object>
            </w:r>
          </w:p>
        </w:tc>
        <w:tc>
          <w:tcPr>
            <w:tcW w:w="1080" w:type="dxa"/>
            <w:shd w:val="clear" w:color="auto" w:fill="auto"/>
            <w:vAlign w:val="center"/>
          </w:tcPr>
          <w:p w14:paraId="479B8C1B" w14:textId="77777777" w:rsidR="006928A2" w:rsidRDefault="006928A2" w:rsidP="00D23219">
            <w:pPr>
              <w:spacing w:before="0" w:after="0"/>
              <w:jc w:val="center"/>
              <w:rPr>
                <w:rFonts w:cs="Times New Roman"/>
              </w:rPr>
            </w:pPr>
            <w:r w:rsidRPr="14879692">
              <w:rPr>
                <w:rFonts w:cs="Times New Roman"/>
              </w:rPr>
              <w:t>-8.24</w:t>
            </w:r>
          </w:p>
        </w:tc>
        <w:tc>
          <w:tcPr>
            <w:tcW w:w="1080" w:type="dxa"/>
            <w:vAlign w:val="center"/>
          </w:tcPr>
          <w:p w14:paraId="355AC026" w14:textId="77777777" w:rsidR="006928A2" w:rsidRDefault="006928A2" w:rsidP="00D23219">
            <w:pPr>
              <w:spacing w:before="0" w:after="0"/>
              <w:jc w:val="center"/>
              <w:rPr>
                <w:rFonts w:cs="Times New Roman"/>
              </w:rPr>
            </w:pPr>
            <w:r w:rsidRPr="14879692">
              <w:rPr>
                <w:rFonts w:cs="Times New Roman"/>
              </w:rPr>
              <w:t>-7.60</w:t>
            </w:r>
          </w:p>
        </w:tc>
        <w:tc>
          <w:tcPr>
            <w:tcW w:w="1080" w:type="dxa"/>
            <w:vAlign w:val="center"/>
          </w:tcPr>
          <w:p w14:paraId="758A518F" w14:textId="77777777" w:rsidR="006928A2" w:rsidRDefault="006928A2" w:rsidP="00D23219">
            <w:pPr>
              <w:spacing w:before="0" w:after="0"/>
              <w:jc w:val="center"/>
              <w:rPr>
                <w:rFonts w:cs="Times New Roman"/>
              </w:rPr>
            </w:pPr>
            <w:r w:rsidRPr="14879692">
              <w:rPr>
                <w:rFonts w:cs="Times New Roman"/>
              </w:rPr>
              <w:t>-6.11</w:t>
            </w:r>
          </w:p>
        </w:tc>
        <w:tc>
          <w:tcPr>
            <w:tcW w:w="1080" w:type="dxa"/>
            <w:vAlign w:val="center"/>
          </w:tcPr>
          <w:p w14:paraId="5667E065" w14:textId="77777777" w:rsidR="006928A2" w:rsidRDefault="006928A2" w:rsidP="00D23219">
            <w:pPr>
              <w:spacing w:before="0" w:after="0"/>
              <w:jc w:val="center"/>
              <w:rPr>
                <w:rFonts w:cs="Times New Roman"/>
              </w:rPr>
            </w:pPr>
            <w:r w:rsidRPr="14879692">
              <w:rPr>
                <w:rFonts w:cs="Times New Roman"/>
              </w:rPr>
              <w:t>-5.11</w:t>
            </w:r>
          </w:p>
        </w:tc>
        <w:tc>
          <w:tcPr>
            <w:tcW w:w="1080" w:type="dxa"/>
            <w:vAlign w:val="center"/>
          </w:tcPr>
          <w:p w14:paraId="6A186FDC" w14:textId="77777777" w:rsidR="006928A2" w:rsidRDefault="006928A2" w:rsidP="00D23219">
            <w:pPr>
              <w:spacing w:before="0" w:after="0"/>
              <w:jc w:val="center"/>
              <w:rPr>
                <w:rFonts w:cs="Times New Roman"/>
              </w:rPr>
            </w:pPr>
            <w:r w:rsidRPr="14879692">
              <w:rPr>
                <w:rFonts w:cs="Times New Roman"/>
              </w:rPr>
              <w:t>-6.28</w:t>
            </w:r>
          </w:p>
        </w:tc>
        <w:tc>
          <w:tcPr>
            <w:tcW w:w="1094" w:type="dxa"/>
            <w:vAlign w:val="center"/>
          </w:tcPr>
          <w:p w14:paraId="46883DB6" w14:textId="77777777" w:rsidR="006928A2" w:rsidRDefault="006928A2" w:rsidP="00D23219">
            <w:pPr>
              <w:spacing w:before="0" w:after="0"/>
              <w:jc w:val="center"/>
              <w:rPr>
                <w:rFonts w:cs="Times New Roman"/>
              </w:rPr>
            </w:pPr>
            <w:r w:rsidRPr="14879692">
              <w:rPr>
                <w:rFonts w:cs="Times New Roman"/>
              </w:rPr>
              <w:t>-6.48</w:t>
            </w:r>
          </w:p>
        </w:tc>
        <w:tc>
          <w:tcPr>
            <w:tcW w:w="1094" w:type="dxa"/>
            <w:vAlign w:val="center"/>
          </w:tcPr>
          <w:p w14:paraId="73B45371" w14:textId="77777777" w:rsidR="006928A2" w:rsidRDefault="006928A2" w:rsidP="00D23219">
            <w:pPr>
              <w:spacing w:before="0" w:after="0"/>
              <w:jc w:val="center"/>
              <w:rPr>
                <w:rFonts w:cs="Times New Roman"/>
              </w:rPr>
            </w:pPr>
            <w:r w:rsidRPr="14879692">
              <w:rPr>
                <w:rFonts w:cs="Times New Roman"/>
              </w:rPr>
              <w:t>-7.07</w:t>
            </w:r>
          </w:p>
        </w:tc>
        <w:tc>
          <w:tcPr>
            <w:tcW w:w="1094" w:type="dxa"/>
            <w:gridSpan w:val="2"/>
            <w:vAlign w:val="center"/>
          </w:tcPr>
          <w:p w14:paraId="67F21E91" w14:textId="77777777" w:rsidR="006928A2" w:rsidRDefault="006928A2" w:rsidP="00D23219">
            <w:pPr>
              <w:spacing w:before="0" w:after="0"/>
              <w:jc w:val="center"/>
              <w:rPr>
                <w:rFonts w:cs="Times New Roman"/>
              </w:rPr>
            </w:pPr>
            <w:r w:rsidRPr="14879692">
              <w:rPr>
                <w:rFonts w:cs="Times New Roman"/>
              </w:rPr>
              <w:t>-4.53</w:t>
            </w:r>
          </w:p>
        </w:tc>
      </w:tr>
      <w:tr w:rsidR="006928A2" w:rsidRPr="004C3FAD" w14:paraId="640E1C33" w14:textId="77777777" w:rsidTr="00D23219">
        <w:trPr>
          <w:trHeight w:val="720"/>
        </w:trPr>
        <w:tc>
          <w:tcPr>
            <w:tcW w:w="1768" w:type="dxa"/>
            <w:shd w:val="clear" w:color="auto" w:fill="auto"/>
            <w:vAlign w:val="center"/>
          </w:tcPr>
          <w:p w14:paraId="5D62AC83" w14:textId="77777777" w:rsidR="006928A2" w:rsidRPr="007E463C" w:rsidRDefault="006928A2" w:rsidP="00D23219">
            <w:pPr>
              <w:spacing w:before="0" w:after="0"/>
              <w:jc w:val="center"/>
              <w:rPr>
                <w:rFonts w:eastAsia="Times New Roman" w:cs="Times New Roman"/>
                <w:b/>
                <w:szCs w:val="24"/>
              </w:rPr>
            </w:pPr>
            <w:r>
              <w:rPr>
                <w:rFonts w:eastAsia="Times New Roman" w:cs="Times New Roman"/>
                <w:b/>
                <w:szCs w:val="24"/>
              </w:rPr>
              <w:t>1288208</w:t>
            </w:r>
          </w:p>
        </w:tc>
        <w:tc>
          <w:tcPr>
            <w:tcW w:w="2480" w:type="dxa"/>
            <w:shd w:val="clear" w:color="auto" w:fill="auto"/>
            <w:vAlign w:val="center"/>
          </w:tcPr>
          <w:p w14:paraId="2D810D29" w14:textId="77777777" w:rsidR="006928A2" w:rsidRDefault="006928A2" w:rsidP="00D23219">
            <w:pPr>
              <w:spacing w:before="0" w:after="0"/>
              <w:jc w:val="center"/>
              <w:rPr>
                <w:rFonts w:cs="Times New Roman"/>
                <w:szCs w:val="24"/>
              </w:rPr>
            </w:pPr>
            <w:r w:rsidRPr="00F71283">
              <w:rPr>
                <w:rFonts w:cs="Times New Roman"/>
                <w:noProof/>
                <w:sz w:val="22"/>
              </w:rPr>
              <w:object w:dxaOrig="4039" w:dyaOrig="1029" w14:anchorId="239818DE">
                <v:shape id="_x0000_i1044" type="#_x0000_t75" alt="" style="width:114.7pt;height:29.3pt;mso-width-percent:0;mso-height-percent:0;mso-width-percent:0;mso-height-percent:0" o:ole="">
                  <v:imagedata r:id="rId55" o:title=""/>
                </v:shape>
                <o:OLEObject Type="Embed" ProgID="ChemDraw.Document.6.0" ShapeID="_x0000_i1044" DrawAspect="Content" ObjectID="_1706533574" r:id="rId56"/>
              </w:object>
            </w:r>
          </w:p>
        </w:tc>
        <w:tc>
          <w:tcPr>
            <w:tcW w:w="1080" w:type="dxa"/>
            <w:shd w:val="clear" w:color="auto" w:fill="auto"/>
            <w:vAlign w:val="center"/>
          </w:tcPr>
          <w:p w14:paraId="4AE2A321" w14:textId="77777777" w:rsidR="006928A2" w:rsidRDefault="006928A2" w:rsidP="00D23219">
            <w:pPr>
              <w:spacing w:before="0" w:after="0"/>
              <w:jc w:val="center"/>
              <w:rPr>
                <w:rFonts w:cs="Times New Roman"/>
              </w:rPr>
            </w:pPr>
            <w:r>
              <w:rPr>
                <w:rFonts w:cs="Times New Roman"/>
              </w:rPr>
              <w:t>-10.28</w:t>
            </w:r>
          </w:p>
          <w:p w14:paraId="7398FC88" w14:textId="77777777" w:rsidR="006928A2" w:rsidRDefault="006928A2" w:rsidP="00D23219">
            <w:pPr>
              <w:spacing w:before="0" w:after="0"/>
              <w:jc w:val="center"/>
              <w:rPr>
                <w:rFonts w:cs="Times New Roman"/>
              </w:rPr>
            </w:pPr>
            <w:r>
              <w:rPr>
                <w:rFonts w:cs="Times New Roman"/>
              </w:rPr>
              <w:t>VBP</w:t>
            </w:r>
          </w:p>
        </w:tc>
        <w:tc>
          <w:tcPr>
            <w:tcW w:w="1080" w:type="dxa"/>
            <w:vAlign w:val="center"/>
          </w:tcPr>
          <w:p w14:paraId="4F1CDB8D" w14:textId="77777777" w:rsidR="006928A2" w:rsidRDefault="006928A2" w:rsidP="00D23219">
            <w:pPr>
              <w:spacing w:before="0" w:after="0"/>
              <w:jc w:val="center"/>
              <w:rPr>
                <w:rFonts w:cs="Times New Roman"/>
              </w:rPr>
            </w:pPr>
            <w:r>
              <w:rPr>
                <w:rFonts w:cs="Times New Roman"/>
              </w:rPr>
              <w:t>-9.13</w:t>
            </w:r>
          </w:p>
          <w:p w14:paraId="211F8AAA" w14:textId="77777777" w:rsidR="006928A2" w:rsidRDefault="006928A2" w:rsidP="00D23219">
            <w:pPr>
              <w:spacing w:before="0" w:after="0"/>
              <w:jc w:val="center"/>
              <w:rPr>
                <w:rFonts w:cs="Times New Roman"/>
              </w:rPr>
            </w:pPr>
            <w:r>
              <w:rPr>
                <w:rFonts w:cs="Times New Roman"/>
              </w:rPr>
              <w:t>VBP</w:t>
            </w:r>
          </w:p>
        </w:tc>
        <w:tc>
          <w:tcPr>
            <w:tcW w:w="1080" w:type="dxa"/>
            <w:vAlign w:val="center"/>
          </w:tcPr>
          <w:p w14:paraId="52175873" w14:textId="77777777" w:rsidR="006928A2" w:rsidRDefault="006928A2" w:rsidP="00D23219">
            <w:pPr>
              <w:spacing w:before="0" w:after="0"/>
              <w:jc w:val="center"/>
              <w:rPr>
                <w:rFonts w:cs="Times New Roman"/>
              </w:rPr>
            </w:pPr>
            <w:r>
              <w:rPr>
                <w:rFonts w:cs="Times New Roman"/>
              </w:rPr>
              <w:t>-7.18</w:t>
            </w:r>
          </w:p>
          <w:p w14:paraId="64A9128F" w14:textId="77777777" w:rsidR="006928A2" w:rsidRDefault="006928A2" w:rsidP="00D23219">
            <w:pPr>
              <w:spacing w:before="0" w:after="0"/>
              <w:jc w:val="center"/>
              <w:rPr>
                <w:rFonts w:cs="Times New Roman"/>
              </w:rPr>
            </w:pPr>
            <w:r>
              <w:rPr>
                <w:rFonts w:cs="Times New Roman"/>
              </w:rPr>
              <w:t>TNL</w:t>
            </w:r>
          </w:p>
        </w:tc>
        <w:tc>
          <w:tcPr>
            <w:tcW w:w="1080" w:type="dxa"/>
            <w:vAlign w:val="center"/>
          </w:tcPr>
          <w:p w14:paraId="4539EF89" w14:textId="77777777" w:rsidR="006928A2" w:rsidRDefault="006928A2" w:rsidP="00D23219">
            <w:pPr>
              <w:spacing w:before="0" w:after="0"/>
              <w:jc w:val="center"/>
              <w:rPr>
                <w:rFonts w:cs="Times New Roman"/>
              </w:rPr>
            </w:pPr>
            <w:r>
              <w:rPr>
                <w:rFonts w:cs="Times New Roman"/>
              </w:rPr>
              <w:t>-6.42</w:t>
            </w:r>
          </w:p>
          <w:p w14:paraId="5AA730B6" w14:textId="77777777" w:rsidR="006928A2" w:rsidRDefault="006928A2" w:rsidP="00D23219">
            <w:pPr>
              <w:spacing w:before="0" w:after="0"/>
              <w:jc w:val="center"/>
              <w:rPr>
                <w:rFonts w:cs="Times New Roman"/>
              </w:rPr>
            </w:pPr>
            <w:r>
              <w:rPr>
                <w:rFonts w:cs="Times New Roman"/>
              </w:rPr>
              <w:t>TNL</w:t>
            </w:r>
          </w:p>
        </w:tc>
        <w:tc>
          <w:tcPr>
            <w:tcW w:w="1080" w:type="dxa"/>
            <w:vAlign w:val="center"/>
          </w:tcPr>
          <w:p w14:paraId="5B049D11" w14:textId="77777777" w:rsidR="006928A2" w:rsidRDefault="006928A2" w:rsidP="00D23219">
            <w:pPr>
              <w:spacing w:before="0" w:after="0"/>
              <w:jc w:val="center"/>
              <w:rPr>
                <w:rFonts w:cs="Times New Roman"/>
              </w:rPr>
            </w:pPr>
            <w:r>
              <w:rPr>
                <w:rFonts w:cs="Times New Roman"/>
              </w:rPr>
              <w:t>-7.04</w:t>
            </w:r>
          </w:p>
          <w:p w14:paraId="5B0A850B" w14:textId="77777777" w:rsidR="006928A2" w:rsidRDefault="006928A2" w:rsidP="00D23219">
            <w:pPr>
              <w:spacing w:before="0" w:after="0"/>
              <w:jc w:val="center"/>
              <w:rPr>
                <w:rFonts w:cs="Times New Roman"/>
              </w:rPr>
            </w:pPr>
            <w:r>
              <w:rPr>
                <w:rFonts w:cs="Times New Roman"/>
              </w:rPr>
              <w:t>VBP</w:t>
            </w:r>
          </w:p>
        </w:tc>
        <w:tc>
          <w:tcPr>
            <w:tcW w:w="1094" w:type="dxa"/>
            <w:vAlign w:val="center"/>
          </w:tcPr>
          <w:p w14:paraId="3D9ED81B" w14:textId="77777777" w:rsidR="006928A2" w:rsidRDefault="006928A2" w:rsidP="00D23219">
            <w:pPr>
              <w:spacing w:before="0" w:after="0"/>
              <w:jc w:val="center"/>
              <w:rPr>
                <w:rFonts w:cs="Times New Roman"/>
              </w:rPr>
            </w:pPr>
            <w:r>
              <w:rPr>
                <w:rFonts w:cs="Times New Roman"/>
              </w:rPr>
              <w:t>-7.60</w:t>
            </w:r>
          </w:p>
          <w:p w14:paraId="11D546DF" w14:textId="77777777" w:rsidR="006928A2" w:rsidRDefault="006928A2" w:rsidP="00D23219">
            <w:pPr>
              <w:spacing w:before="0" w:after="0"/>
              <w:jc w:val="center"/>
              <w:rPr>
                <w:rFonts w:cs="Times New Roman"/>
              </w:rPr>
            </w:pPr>
            <w:r>
              <w:rPr>
                <w:rFonts w:cs="Times New Roman"/>
              </w:rPr>
              <w:t>VBP</w:t>
            </w:r>
          </w:p>
        </w:tc>
        <w:tc>
          <w:tcPr>
            <w:tcW w:w="1094" w:type="dxa"/>
            <w:vAlign w:val="center"/>
          </w:tcPr>
          <w:p w14:paraId="3E0CA24B" w14:textId="77777777" w:rsidR="006928A2" w:rsidRDefault="006928A2" w:rsidP="00D23219">
            <w:pPr>
              <w:spacing w:before="0" w:after="0"/>
              <w:jc w:val="center"/>
              <w:rPr>
                <w:rFonts w:cs="Times New Roman"/>
              </w:rPr>
            </w:pPr>
            <w:r>
              <w:rPr>
                <w:rFonts w:cs="Times New Roman"/>
              </w:rPr>
              <w:t>-8.35</w:t>
            </w:r>
          </w:p>
          <w:p w14:paraId="05BAE374" w14:textId="77777777" w:rsidR="006928A2" w:rsidRDefault="006928A2" w:rsidP="00D23219">
            <w:pPr>
              <w:spacing w:before="0" w:after="0"/>
              <w:jc w:val="center"/>
              <w:rPr>
                <w:rFonts w:cs="Times New Roman"/>
              </w:rPr>
            </w:pPr>
            <w:r>
              <w:rPr>
                <w:rFonts w:cs="Times New Roman"/>
              </w:rPr>
              <w:t>VBP</w:t>
            </w:r>
          </w:p>
        </w:tc>
        <w:tc>
          <w:tcPr>
            <w:tcW w:w="1094" w:type="dxa"/>
            <w:gridSpan w:val="2"/>
            <w:vAlign w:val="center"/>
          </w:tcPr>
          <w:p w14:paraId="6DB48233" w14:textId="77777777" w:rsidR="006928A2" w:rsidRDefault="006928A2" w:rsidP="00D23219">
            <w:pPr>
              <w:spacing w:before="0" w:after="0"/>
              <w:jc w:val="center"/>
              <w:rPr>
                <w:rFonts w:cs="Times New Roman"/>
              </w:rPr>
            </w:pPr>
            <w:r>
              <w:rPr>
                <w:rFonts w:cs="Times New Roman"/>
              </w:rPr>
              <w:t>-6.96</w:t>
            </w:r>
          </w:p>
          <w:p w14:paraId="40F3CD0C" w14:textId="77777777" w:rsidR="006928A2" w:rsidRDefault="006928A2" w:rsidP="00D23219">
            <w:pPr>
              <w:spacing w:before="0" w:after="0"/>
              <w:jc w:val="center"/>
              <w:rPr>
                <w:rFonts w:cs="Times New Roman"/>
              </w:rPr>
            </w:pPr>
            <w:r>
              <w:rPr>
                <w:rFonts w:cs="Times New Roman"/>
              </w:rPr>
              <w:t>VBP</w:t>
            </w:r>
          </w:p>
        </w:tc>
      </w:tr>
      <w:tr w:rsidR="006928A2" w:rsidRPr="004C3FAD" w14:paraId="53ECDFC8" w14:textId="77777777" w:rsidTr="00D23219">
        <w:trPr>
          <w:trHeight w:val="720"/>
        </w:trPr>
        <w:tc>
          <w:tcPr>
            <w:tcW w:w="1768" w:type="dxa"/>
            <w:shd w:val="clear" w:color="auto" w:fill="auto"/>
            <w:vAlign w:val="center"/>
          </w:tcPr>
          <w:p w14:paraId="0C5CBE60" w14:textId="77777777" w:rsidR="006928A2" w:rsidRPr="007E463C" w:rsidRDefault="006928A2" w:rsidP="00D23219">
            <w:pPr>
              <w:spacing w:before="0" w:after="0"/>
              <w:jc w:val="center"/>
              <w:rPr>
                <w:rFonts w:eastAsia="Times New Roman" w:cs="Times New Roman"/>
                <w:b/>
                <w:szCs w:val="24"/>
              </w:rPr>
            </w:pPr>
            <w:r>
              <w:rPr>
                <w:rFonts w:cs="Times New Roman"/>
                <w:b/>
                <w:szCs w:val="24"/>
              </w:rPr>
              <w:t>1288239</w:t>
            </w:r>
          </w:p>
        </w:tc>
        <w:tc>
          <w:tcPr>
            <w:tcW w:w="2480" w:type="dxa"/>
            <w:shd w:val="clear" w:color="auto" w:fill="auto"/>
            <w:vAlign w:val="center"/>
          </w:tcPr>
          <w:p w14:paraId="5D00274A" w14:textId="77777777" w:rsidR="006928A2" w:rsidRDefault="006928A2" w:rsidP="00D23219">
            <w:pPr>
              <w:spacing w:before="0" w:after="0"/>
              <w:jc w:val="center"/>
              <w:rPr>
                <w:rFonts w:cs="Times New Roman"/>
                <w:szCs w:val="24"/>
              </w:rPr>
            </w:pPr>
            <w:r w:rsidRPr="00F71283">
              <w:rPr>
                <w:rFonts w:cs="Times New Roman"/>
                <w:noProof/>
                <w:sz w:val="22"/>
              </w:rPr>
              <w:object w:dxaOrig="4039" w:dyaOrig="1462" w14:anchorId="1CFEB7D8">
                <v:shape id="_x0000_i1045" type="#_x0000_t75" alt="" style="width:108.85pt;height:39.35pt;mso-width-percent:0;mso-height-percent:0;mso-width-percent:0;mso-height-percent:0" o:ole="">
                  <v:imagedata r:id="rId57" o:title=""/>
                </v:shape>
                <o:OLEObject Type="Embed" ProgID="ChemDraw.Document.6.0" ShapeID="_x0000_i1045" DrawAspect="Content" ObjectID="_1706533575" r:id="rId58"/>
              </w:object>
            </w:r>
          </w:p>
        </w:tc>
        <w:tc>
          <w:tcPr>
            <w:tcW w:w="1080" w:type="dxa"/>
            <w:shd w:val="clear" w:color="auto" w:fill="auto"/>
            <w:vAlign w:val="center"/>
          </w:tcPr>
          <w:p w14:paraId="69F0277C" w14:textId="77777777" w:rsidR="006928A2" w:rsidRDefault="006928A2" w:rsidP="00D23219">
            <w:pPr>
              <w:spacing w:before="0" w:after="0"/>
              <w:jc w:val="center"/>
              <w:rPr>
                <w:rFonts w:cs="Times New Roman"/>
              </w:rPr>
            </w:pPr>
            <w:r>
              <w:rPr>
                <w:rFonts w:cs="Times New Roman"/>
              </w:rPr>
              <w:t>-9.83</w:t>
            </w:r>
          </w:p>
          <w:p w14:paraId="3D27A593" w14:textId="77777777" w:rsidR="006928A2" w:rsidRDefault="006928A2" w:rsidP="00D23219">
            <w:pPr>
              <w:spacing w:before="0" w:after="0"/>
              <w:jc w:val="center"/>
              <w:rPr>
                <w:rFonts w:cs="Times New Roman"/>
              </w:rPr>
            </w:pPr>
            <w:r>
              <w:rPr>
                <w:rFonts w:cs="Times New Roman"/>
              </w:rPr>
              <w:t>VBP</w:t>
            </w:r>
          </w:p>
        </w:tc>
        <w:tc>
          <w:tcPr>
            <w:tcW w:w="1080" w:type="dxa"/>
            <w:vAlign w:val="center"/>
          </w:tcPr>
          <w:p w14:paraId="3507D6F6" w14:textId="77777777" w:rsidR="006928A2" w:rsidRDefault="006928A2" w:rsidP="00D23219">
            <w:pPr>
              <w:spacing w:before="0" w:after="0"/>
              <w:jc w:val="center"/>
              <w:rPr>
                <w:rFonts w:cs="Times New Roman"/>
              </w:rPr>
            </w:pPr>
            <w:r>
              <w:rPr>
                <w:rFonts w:cs="Times New Roman"/>
              </w:rPr>
              <w:t>-8.98</w:t>
            </w:r>
          </w:p>
          <w:p w14:paraId="08CE7E0D" w14:textId="77777777" w:rsidR="006928A2" w:rsidRDefault="006928A2" w:rsidP="00D23219">
            <w:pPr>
              <w:spacing w:before="0" w:after="0"/>
              <w:jc w:val="center"/>
              <w:rPr>
                <w:rFonts w:cs="Times New Roman"/>
              </w:rPr>
            </w:pPr>
            <w:r>
              <w:rPr>
                <w:rFonts w:cs="Times New Roman"/>
              </w:rPr>
              <w:t>TNL</w:t>
            </w:r>
          </w:p>
        </w:tc>
        <w:tc>
          <w:tcPr>
            <w:tcW w:w="1080" w:type="dxa"/>
            <w:vAlign w:val="center"/>
          </w:tcPr>
          <w:p w14:paraId="74C674AA" w14:textId="77777777" w:rsidR="006928A2" w:rsidRDefault="006928A2" w:rsidP="00D23219">
            <w:pPr>
              <w:spacing w:before="0" w:after="0"/>
              <w:jc w:val="center"/>
              <w:rPr>
                <w:rFonts w:cs="Times New Roman"/>
              </w:rPr>
            </w:pPr>
            <w:r>
              <w:rPr>
                <w:rFonts w:cs="Times New Roman"/>
              </w:rPr>
              <w:t>-8.76</w:t>
            </w:r>
          </w:p>
          <w:p w14:paraId="7C768395" w14:textId="77777777" w:rsidR="006928A2" w:rsidRDefault="006928A2" w:rsidP="00D23219">
            <w:pPr>
              <w:spacing w:before="0" w:after="0"/>
              <w:jc w:val="center"/>
              <w:rPr>
                <w:rFonts w:cs="Times New Roman"/>
              </w:rPr>
            </w:pPr>
            <w:r>
              <w:rPr>
                <w:rFonts w:cs="Times New Roman"/>
              </w:rPr>
              <w:t>TNL</w:t>
            </w:r>
          </w:p>
        </w:tc>
        <w:tc>
          <w:tcPr>
            <w:tcW w:w="1080" w:type="dxa"/>
            <w:vAlign w:val="center"/>
          </w:tcPr>
          <w:p w14:paraId="69A2E5A2" w14:textId="77777777" w:rsidR="006928A2" w:rsidRDefault="006928A2" w:rsidP="00D23219">
            <w:pPr>
              <w:spacing w:before="0" w:after="0"/>
              <w:jc w:val="center"/>
              <w:rPr>
                <w:rFonts w:cs="Times New Roman"/>
              </w:rPr>
            </w:pPr>
            <w:r>
              <w:rPr>
                <w:rFonts w:cs="Times New Roman"/>
              </w:rPr>
              <w:t>-7.35</w:t>
            </w:r>
          </w:p>
          <w:p w14:paraId="29507775" w14:textId="77777777" w:rsidR="006928A2" w:rsidRDefault="006928A2" w:rsidP="00D23219">
            <w:pPr>
              <w:spacing w:before="0" w:after="0"/>
              <w:jc w:val="center"/>
              <w:rPr>
                <w:rFonts w:cs="Times New Roman"/>
              </w:rPr>
            </w:pPr>
            <w:r>
              <w:rPr>
                <w:rFonts w:cs="Times New Roman"/>
              </w:rPr>
              <w:t>TNL</w:t>
            </w:r>
          </w:p>
        </w:tc>
        <w:tc>
          <w:tcPr>
            <w:tcW w:w="1080" w:type="dxa"/>
            <w:vAlign w:val="center"/>
          </w:tcPr>
          <w:p w14:paraId="0F0383CC" w14:textId="77777777" w:rsidR="006928A2" w:rsidRDefault="006928A2" w:rsidP="00D23219">
            <w:pPr>
              <w:spacing w:before="0" w:after="0"/>
              <w:jc w:val="center"/>
              <w:rPr>
                <w:rFonts w:cs="Times New Roman"/>
              </w:rPr>
            </w:pPr>
            <w:r>
              <w:rPr>
                <w:rFonts w:cs="Times New Roman"/>
              </w:rPr>
              <w:t>-7.98</w:t>
            </w:r>
          </w:p>
          <w:p w14:paraId="14E3D6BE" w14:textId="77777777" w:rsidR="006928A2" w:rsidRDefault="006928A2" w:rsidP="00D23219">
            <w:pPr>
              <w:spacing w:before="0" w:after="0"/>
              <w:jc w:val="center"/>
              <w:rPr>
                <w:rFonts w:cs="Times New Roman"/>
              </w:rPr>
            </w:pPr>
            <w:r>
              <w:rPr>
                <w:rFonts w:cs="Times New Roman"/>
              </w:rPr>
              <w:t>VBP</w:t>
            </w:r>
          </w:p>
        </w:tc>
        <w:tc>
          <w:tcPr>
            <w:tcW w:w="1094" w:type="dxa"/>
            <w:vAlign w:val="center"/>
          </w:tcPr>
          <w:p w14:paraId="03B20241" w14:textId="77777777" w:rsidR="006928A2" w:rsidRDefault="006928A2" w:rsidP="00D23219">
            <w:pPr>
              <w:spacing w:before="0" w:after="0"/>
              <w:jc w:val="center"/>
              <w:rPr>
                <w:rFonts w:cs="Times New Roman"/>
              </w:rPr>
            </w:pPr>
            <w:r>
              <w:rPr>
                <w:rFonts w:cs="Times New Roman"/>
              </w:rPr>
              <w:t>-7.43</w:t>
            </w:r>
          </w:p>
          <w:p w14:paraId="5F0D392D" w14:textId="77777777" w:rsidR="006928A2" w:rsidRDefault="006928A2" w:rsidP="00D23219">
            <w:pPr>
              <w:spacing w:before="0" w:after="0"/>
              <w:jc w:val="center"/>
              <w:rPr>
                <w:rFonts w:cs="Times New Roman"/>
              </w:rPr>
            </w:pPr>
            <w:r>
              <w:rPr>
                <w:rFonts w:cs="Times New Roman"/>
              </w:rPr>
              <w:t>VBP</w:t>
            </w:r>
          </w:p>
        </w:tc>
        <w:tc>
          <w:tcPr>
            <w:tcW w:w="1094" w:type="dxa"/>
            <w:vAlign w:val="center"/>
          </w:tcPr>
          <w:p w14:paraId="19574AB7" w14:textId="77777777" w:rsidR="006928A2" w:rsidRDefault="006928A2" w:rsidP="00D23219">
            <w:pPr>
              <w:spacing w:before="0" w:after="0"/>
              <w:jc w:val="center"/>
              <w:rPr>
                <w:rFonts w:cs="Times New Roman"/>
              </w:rPr>
            </w:pPr>
            <w:r>
              <w:rPr>
                <w:rFonts w:cs="Times New Roman"/>
              </w:rPr>
              <w:t>-9.43</w:t>
            </w:r>
          </w:p>
          <w:p w14:paraId="44DA2061" w14:textId="77777777" w:rsidR="006928A2" w:rsidRDefault="006928A2" w:rsidP="00D23219">
            <w:pPr>
              <w:spacing w:before="0" w:after="0"/>
              <w:jc w:val="center"/>
              <w:rPr>
                <w:rFonts w:cs="Times New Roman"/>
              </w:rPr>
            </w:pPr>
            <w:r>
              <w:rPr>
                <w:rFonts w:cs="Times New Roman"/>
              </w:rPr>
              <w:t>VBP</w:t>
            </w:r>
          </w:p>
        </w:tc>
        <w:tc>
          <w:tcPr>
            <w:tcW w:w="1094" w:type="dxa"/>
            <w:gridSpan w:val="2"/>
            <w:vAlign w:val="center"/>
          </w:tcPr>
          <w:p w14:paraId="7F18F12A" w14:textId="77777777" w:rsidR="006928A2" w:rsidRDefault="006928A2" w:rsidP="00D23219">
            <w:pPr>
              <w:spacing w:before="0" w:after="0"/>
              <w:jc w:val="center"/>
              <w:rPr>
                <w:rFonts w:cs="Times New Roman"/>
              </w:rPr>
            </w:pPr>
            <w:r>
              <w:rPr>
                <w:rFonts w:cs="Times New Roman"/>
              </w:rPr>
              <w:t>-6.58</w:t>
            </w:r>
          </w:p>
          <w:p w14:paraId="7AE8E6D8" w14:textId="77777777" w:rsidR="006928A2" w:rsidRDefault="006928A2" w:rsidP="00D23219">
            <w:pPr>
              <w:spacing w:before="0" w:after="0"/>
              <w:jc w:val="center"/>
              <w:rPr>
                <w:rFonts w:cs="Times New Roman"/>
              </w:rPr>
            </w:pPr>
            <w:r>
              <w:rPr>
                <w:rFonts w:cs="Times New Roman"/>
              </w:rPr>
              <w:t>VBP</w:t>
            </w:r>
          </w:p>
        </w:tc>
      </w:tr>
      <w:tr w:rsidR="006928A2" w:rsidRPr="004C3FAD" w14:paraId="07912FBA" w14:textId="77777777" w:rsidTr="00D23219">
        <w:trPr>
          <w:trHeight w:val="720"/>
        </w:trPr>
        <w:tc>
          <w:tcPr>
            <w:tcW w:w="1768" w:type="dxa"/>
            <w:shd w:val="clear" w:color="auto" w:fill="auto"/>
            <w:vAlign w:val="center"/>
          </w:tcPr>
          <w:p w14:paraId="4151EA7A" w14:textId="77777777" w:rsidR="006928A2" w:rsidRPr="00616088" w:rsidRDefault="006928A2" w:rsidP="00D23219">
            <w:pPr>
              <w:spacing w:before="0" w:after="0"/>
              <w:jc w:val="center"/>
              <w:rPr>
                <w:rFonts w:eastAsia="Times New Roman" w:cs="Times New Roman"/>
                <w:b/>
                <w:szCs w:val="24"/>
              </w:rPr>
            </w:pPr>
            <w:r w:rsidRPr="008E1B74">
              <w:rPr>
                <w:rFonts w:cs="Times New Roman"/>
                <w:b/>
                <w:szCs w:val="24"/>
              </w:rPr>
              <w:t>1508577</w:t>
            </w:r>
          </w:p>
        </w:tc>
        <w:tc>
          <w:tcPr>
            <w:tcW w:w="2480" w:type="dxa"/>
            <w:shd w:val="clear" w:color="auto" w:fill="auto"/>
            <w:vAlign w:val="center"/>
          </w:tcPr>
          <w:p w14:paraId="7E9D1698" w14:textId="77777777" w:rsidR="006928A2" w:rsidRDefault="006928A2" w:rsidP="00D23219">
            <w:pPr>
              <w:spacing w:before="0" w:after="0"/>
              <w:jc w:val="center"/>
              <w:rPr>
                <w:rFonts w:cs="Times New Roman"/>
                <w:szCs w:val="24"/>
              </w:rPr>
            </w:pPr>
            <w:r w:rsidRPr="00F71283">
              <w:rPr>
                <w:noProof/>
                <w:sz w:val="22"/>
              </w:rPr>
              <w:object w:dxaOrig="4051" w:dyaOrig="1980" w14:anchorId="72DF9FF9">
                <v:shape id="_x0000_i1046" type="#_x0000_t75" alt="" style="width:107.15pt;height:52.75pt;mso-width-percent:0;mso-height-percent:0;mso-width-percent:0;mso-height-percent:0" o:ole="">
                  <v:imagedata r:id="rId59" o:title=""/>
                </v:shape>
                <o:OLEObject Type="Embed" ProgID="ChemDraw.Document.6.0" ShapeID="_x0000_i1046" DrawAspect="Content" ObjectID="_1706533576" r:id="rId60"/>
              </w:object>
            </w:r>
          </w:p>
        </w:tc>
        <w:tc>
          <w:tcPr>
            <w:tcW w:w="1080" w:type="dxa"/>
            <w:shd w:val="clear" w:color="auto" w:fill="auto"/>
            <w:vAlign w:val="center"/>
          </w:tcPr>
          <w:p w14:paraId="6B78C1F9" w14:textId="77777777" w:rsidR="006928A2" w:rsidRDefault="006928A2" w:rsidP="00D23219">
            <w:pPr>
              <w:spacing w:before="0" w:after="0"/>
              <w:jc w:val="center"/>
              <w:rPr>
                <w:rFonts w:cs="Times New Roman"/>
              </w:rPr>
            </w:pPr>
            <w:r w:rsidRPr="14879692">
              <w:rPr>
                <w:rFonts w:cs="Times New Roman"/>
              </w:rPr>
              <w:t>-5.58</w:t>
            </w:r>
          </w:p>
        </w:tc>
        <w:tc>
          <w:tcPr>
            <w:tcW w:w="1080" w:type="dxa"/>
            <w:vAlign w:val="center"/>
          </w:tcPr>
          <w:p w14:paraId="12B657EF" w14:textId="77777777" w:rsidR="006928A2" w:rsidRDefault="006928A2" w:rsidP="00D23219">
            <w:pPr>
              <w:spacing w:before="0" w:after="0"/>
              <w:jc w:val="center"/>
              <w:rPr>
                <w:rFonts w:cs="Times New Roman"/>
              </w:rPr>
            </w:pPr>
            <w:r w:rsidRPr="14879692">
              <w:rPr>
                <w:rFonts w:cs="Times New Roman"/>
              </w:rPr>
              <w:t>-6.50</w:t>
            </w:r>
          </w:p>
        </w:tc>
        <w:tc>
          <w:tcPr>
            <w:tcW w:w="1080" w:type="dxa"/>
            <w:vAlign w:val="center"/>
          </w:tcPr>
          <w:p w14:paraId="785823A5" w14:textId="77777777" w:rsidR="006928A2" w:rsidRDefault="006928A2" w:rsidP="00D23219">
            <w:pPr>
              <w:spacing w:before="0" w:after="0"/>
              <w:jc w:val="center"/>
              <w:rPr>
                <w:rFonts w:cs="Times New Roman"/>
              </w:rPr>
            </w:pPr>
            <w:r w:rsidRPr="14879692">
              <w:rPr>
                <w:rFonts w:cs="Times New Roman"/>
              </w:rPr>
              <w:t>-6.40</w:t>
            </w:r>
          </w:p>
        </w:tc>
        <w:tc>
          <w:tcPr>
            <w:tcW w:w="1080" w:type="dxa"/>
            <w:vAlign w:val="center"/>
          </w:tcPr>
          <w:p w14:paraId="685C5724" w14:textId="77777777" w:rsidR="006928A2" w:rsidRDefault="006928A2" w:rsidP="00D23219">
            <w:pPr>
              <w:spacing w:before="0" w:after="0"/>
              <w:jc w:val="center"/>
              <w:rPr>
                <w:rFonts w:cs="Times New Roman"/>
              </w:rPr>
            </w:pPr>
            <w:r w:rsidRPr="14879692">
              <w:rPr>
                <w:rFonts w:cs="Times New Roman"/>
              </w:rPr>
              <w:t>-3.92</w:t>
            </w:r>
          </w:p>
        </w:tc>
        <w:tc>
          <w:tcPr>
            <w:tcW w:w="1080" w:type="dxa"/>
            <w:vAlign w:val="center"/>
          </w:tcPr>
          <w:p w14:paraId="3987F6FD" w14:textId="77777777" w:rsidR="006928A2" w:rsidRDefault="006928A2" w:rsidP="00D23219">
            <w:pPr>
              <w:spacing w:before="0" w:after="0"/>
              <w:jc w:val="center"/>
              <w:rPr>
                <w:rFonts w:cs="Times New Roman"/>
              </w:rPr>
            </w:pPr>
            <w:r w:rsidRPr="14879692">
              <w:rPr>
                <w:rFonts w:cs="Times New Roman"/>
              </w:rPr>
              <w:t>-4.13</w:t>
            </w:r>
          </w:p>
        </w:tc>
        <w:tc>
          <w:tcPr>
            <w:tcW w:w="1094" w:type="dxa"/>
            <w:vAlign w:val="center"/>
          </w:tcPr>
          <w:p w14:paraId="301B2BDE" w14:textId="77777777" w:rsidR="006928A2" w:rsidRDefault="006928A2" w:rsidP="00D23219">
            <w:pPr>
              <w:spacing w:before="0" w:after="0"/>
              <w:jc w:val="center"/>
              <w:rPr>
                <w:rFonts w:cs="Times New Roman"/>
              </w:rPr>
            </w:pPr>
            <w:r w:rsidRPr="14879692">
              <w:rPr>
                <w:rFonts w:cs="Times New Roman"/>
              </w:rPr>
              <w:t>-4.56</w:t>
            </w:r>
          </w:p>
        </w:tc>
        <w:tc>
          <w:tcPr>
            <w:tcW w:w="1094" w:type="dxa"/>
            <w:vAlign w:val="center"/>
          </w:tcPr>
          <w:p w14:paraId="1D6EA2F7" w14:textId="77777777" w:rsidR="006928A2" w:rsidRDefault="006928A2" w:rsidP="00D23219">
            <w:pPr>
              <w:spacing w:before="0" w:after="0"/>
              <w:jc w:val="center"/>
              <w:rPr>
                <w:rFonts w:cs="Times New Roman"/>
              </w:rPr>
            </w:pPr>
            <w:r w:rsidRPr="14879692">
              <w:rPr>
                <w:rFonts w:cs="Times New Roman"/>
              </w:rPr>
              <w:t>-4.80</w:t>
            </w:r>
          </w:p>
        </w:tc>
        <w:tc>
          <w:tcPr>
            <w:tcW w:w="1094" w:type="dxa"/>
            <w:gridSpan w:val="2"/>
            <w:vAlign w:val="center"/>
          </w:tcPr>
          <w:p w14:paraId="386EA3DD" w14:textId="77777777" w:rsidR="006928A2" w:rsidRDefault="006928A2" w:rsidP="00D23219">
            <w:pPr>
              <w:spacing w:before="0" w:after="0"/>
              <w:jc w:val="center"/>
              <w:rPr>
                <w:rFonts w:cs="Times New Roman"/>
              </w:rPr>
            </w:pPr>
            <w:r w:rsidRPr="14879692">
              <w:rPr>
                <w:rFonts w:cs="Times New Roman"/>
              </w:rPr>
              <w:t>-3.87</w:t>
            </w:r>
          </w:p>
        </w:tc>
      </w:tr>
      <w:tr w:rsidR="006928A2" w:rsidRPr="004C3FAD" w14:paraId="36308D84" w14:textId="77777777" w:rsidTr="00D23219">
        <w:trPr>
          <w:trHeight w:val="720"/>
        </w:trPr>
        <w:tc>
          <w:tcPr>
            <w:tcW w:w="1768" w:type="dxa"/>
            <w:shd w:val="clear" w:color="auto" w:fill="auto"/>
            <w:vAlign w:val="center"/>
          </w:tcPr>
          <w:p w14:paraId="67E0AF43" w14:textId="77777777" w:rsidR="006928A2" w:rsidRPr="00616088" w:rsidRDefault="006928A2" w:rsidP="00D23219">
            <w:pPr>
              <w:spacing w:before="0" w:after="0"/>
              <w:jc w:val="center"/>
              <w:rPr>
                <w:rFonts w:eastAsia="Times New Roman" w:cs="Times New Roman"/>
                <w:b/>
                <w:szCs w:val="24"/>
              </w:rPr>
            </w:pPr>
            <w:r w:rsidRPr="008E1B74">
              <w:rPr>
                <w:rFonts w:cs="Times New Roman"/>
                <w:b/>
                <w:szCs w:val="24"/>
              </w:rPr>
              <w:lastRenderedPageBreak/>
              <w:t>1508215</w:t>
            </w:r>
          </w:p>
        </w:tc>
        <w:tc>
          <w:tcPr>
            <w:tcW w:w="2480" w:type="dxa"/>
            <w:shd w:val="clear" w:color="auto" w:fill="auto"/>
            <w:vAlign w:val="center"/>
          </w:tcPr>
          <w:p w14:paraId="31B07C20" w14:textId="77777777" w:rsidR="006928A2" w:rsidRDefault="006928A2" w:rsidP="00D23219">
            <w:pPr>
              <w:spacing w:before="0" w:after="0"/>
              <w:jc w:val="center"/>
              <w:rPr>
                <w:rFonts w:cs="Times New Roman"/>
                <w:szCs w:val="24"/>
              </w:rPr>
            </w:pPr>
            <w:r w:rsidRPr="00F71283">
              <w:rPr>
                <w:noProof/>
                <w:sz w:val="22"/>
              </w:rPr>
              <w:object w:dxaOrig="2366" w:dyaOrig="1898" w14:anchorId="080910BE">
                <v:shape id="_x0000_i1047" type="#_x0000_t75" alt="" style="width:85.4pt;height:67pt;mso-width-percent:0;mso-height-percent:0;mso-width-percent:0;mso-height-percent:0" o:ole="">
                  <v:imagedata r:id="rId61" o:title=""/>
                </v:shape>
                <o:OLEObject Type="Embed" ProgID="ChemDraw.Document.6.0" ShapeID="_x0000_i1047" DrawAspect="Content" ObjectID="_1706533577" r:id="rId62"/>
              </w:object>
            </w:r>
          </w:p>
        </w:tc>
        <w:tc>
          <w:tcPr>
            <w:tcW w:w="1080" w:type="dxa"/>
            <w:shd w:val="clear" w:color="auto" w:fill="auto"/>
            <w:vAlign w:val="center"/>
          </w:tcPr>
          <w:p w14:paraId="5A96A8D9" w14:textId="77777777" w:rsidR="006928A2" w:rsidRDefault="006928A2" w:rsidP="00D23219">
            <w:pPr>
              <w:spacing w:before="0" w:after="0"/>
              <w:jc w:val="center"/>
              <w:rPr>
                <w:rFonts w:cs="Times New Roman"/>
              </w:rPr>
            </w:pPr>
            <w:r w:rsidRPr="14879692">
              <w:rPr>
                <w:rFonts w:cs="Times New Roman"/>
              </w:rPr>
              <w:t>-5.24</w:t>
            </w:r>
          </w:p>
        </w:tc>
        <w:tc>
          <w:tcPr>
            <w:tcW w:w="1080" w:type="dxa"/>
            <w:vAlign w:val="center"/>
          </w:tcPr>
          <w:p w14:paraId="60D862C6" w14:textId="77777777" w:rsidR="006928A2" w:rsidRDefault="006928A2" w:rsidP="00D23219">
            <w:pPr>
              <w:spacing w:before="0" w:after="0"/>
              <w:jc w:val="center"/>
              <w:rPr>
                <w:rFonts w:cs="Times New Roman"/>
              </w:rPr>
            </w:pPr>
            <w:r w:rsidRPr="14879692">
              <w:rPr>
                <w:rFonts w:cs="Times New Roman"/>
              </w:rPr>
              <w:t>-8.77</w:t>
            </w:r>
          </w:p>
        </w:tc>
        <w:tc>
          <w:tcPr>
            <w:tcW w:w="1080" w:type="dxa"/>
            <w:vAlign w:val="center"/>
          </w:tcPr>
          <w:p w14:paraId="68522CE1" w14:textId="77777777" w:rsidR="006928A2" w:rsidRDefault="006928A2" w:rsidP="00D23219">
            <w:pPr>
              <w:spacing w:before="0" w:after="0"/>
              <w:jc w:val="center"/>
              <w:rPr>
                <w:rFonts w:cs="Times New Roman"/>
              </w:rPr>
            </w:pPr>
            <w:r w:rsidRPr="14879692">
              <w:rPr>
                <w:rFonts w:cs="Times New Roman"/>
              </w:rPr>
              <w:t>-5.47</w:t>
            </w:r>
          </w:p>
        </w:tc>
        <w:tc>
          <w:tcPr>
            <w:tcW w:w="1080" w:type="dxa"/>
            <w:vAlign w:val="center"/>
          </w:tcPr>
          <w:p w14:paraId="3390A39B" w14:textId="77777777" w:rsidR="006928A2" w:rsidRDefault="006928A2" w:rsidP="00D23219">
            <w:pPr>
              <w:spacing w:before="0" w:after="0"/>
              <w:jc w:val="center"/>
              <w:rPr>
                <w:rFonts w:cs="Times New Roman"/>
              </w:rPr>
            </w:pPr>
            <w:r w:rsidRPr="14879692">
              <w:rPr>
                <w:rFonts w:cs="Times New Roman"/>
              </w:rPr>
              <w:t>-5.94</w:t>
            </w:r>
          </w:p>
        </w:tc>
        <w:tc>
          <w:tcPr>
            <w:tcW w:w="1080" w:type="dxa"/>
            <w:vAlign w:val="center"/>
          </w:tcPr>
          <w:p w14:paraId="4EE1526A" w14:textId="77777777" w:rsidR="006928A2" w:rsidRDefault="006928A2" w:rsidP="00D23219">
            <w:pPr>
              <w:spacing w:before="0" w:after="0"/>
              <w:jc w:val="center"/>
              <w:rPr>
                <w:rFonts w:cs="Times New Roman"/>
              </w:rPr>
            </w:pPr>
            <w:r w:rsidRPr="14879692">
              <w:rPr>
                <w:rFonts w:cs="Times New Roman"/>
              </w:rPr>
              <w:t>-6.21</w:t>
            </w:r>
          </w:p>
        </w:tc>
        <w:tc>
          <w:tcPr>
            <w:tcW w:w="1094" w:type="dxa"/>
            <w:vAlign w:val="center"/>
          </w:tcPr>
          <w:p w14:paraId="352395EF" w14:textId="77777777" w:rsidR="006928A2" w:rsidRDefault="006928A2" w:rsidP="00D23219">
            <w:pPr>
              <w:spacing w:before="0" w:after="0"/>
              <w:jc w:val="center"/>
              <w:rPr>
                <w:rFonts w:cs="Times New Roman"/>
              </w:rPr>
            </w:pPr>
            <w:r w:rsidRPr="14879692">
              <w:rPr>
                <w:rFonts w:cs="Times New Roman"/>
              </w:rPr>
              <w:t>-6.88</w:t>
            </w:r>
          </w:p>
        </w:tc>
        <w:tc>
          <w:tcPr>
            <w:tcW w:w="1094" w:type="dxa"/>
            <w:vAlign w:val="center"/>
          </w:tcPr>
          <w:p w14:paraId="313BBB1B" w14:textId="77777777" w:rsidR="006928A2" w:rsidRDefault="006928A2" w:rsidP="00D23219">
            <w:pPr>
              <w:spacing w:before="0" w:after="0"/>
              <w:jc w:val="center"/>
              <w:rPr>
                <w:rFonts w:cs="Times New Roman"/>
              </w:rPr>
            </w:pPr>
            <w:r w:rsidRPr="14879692">
              <w:rPr>
                <w:rFonts w:cs="Times New Roman"/>
              </w:rPr>
              <w:t>-6.93</w:t>
            </w:r>
          </w:p>
        </w:tc>
        <w:tc>
          <w:tcPr>
            <w:tcW w:w="1094" w:type="dxa"/>
            <w:gridSpan w:val="2"/>
            <w:vAlign w:val="center"/>
          </w:tcPr>
          <w:p w14:paraId="5B85C702" w14:textId="77777777" w:rsidR="006928A2" w:rsidRDefault="006928A2" w:rsidP="00D23219">
            <w:pPr>
              <w:spacing w:before="0" w:after="0"/>
              <w:jc w:val="center"/>
              <w:rPr>
                <w:rFonts w:cs="Times New Roman"/>
              </w:rPr>
            </w:pPr>
            <w:r w:rsidRPr="14879692">
              <w:rPr>
                <w:rFonts w:cs="Times New Roman"/>
              </w:rPr>
              <w:t>-2.90</w:t>
            </w:r>
          </w:p>
        </w:tc>
      </w:tr>
      <w:tr w:rsidR="006928A2" w:rsidRPr="000563E0" w14:paraId="627D0DF0" w14:textId="77777777" w:rsidTr="00D23219">
        <w:trPr>
          <w:gridAfter w:val="1"/>
          <w:wAfter w:w="35" w:type="dxa"/>
          <w:trHeight w:val="720"/>
        </w:trPr>
        <w:tc>
          <w:tcPr>
            <w:tcW w:w="12895" w:type="dxa"/>
            <w:gridSpan w:val="10"/>
            <w:vAlign w:val="center"/>
          </w:tcPr>
          <w:p w14:paraId="7FB1C91B" w14:textId="77777777" w:rsidR="006928A2" w:rsidRPr="007E0ECC" w:rsidRDefault="006928A2" w:rsidP="00D23219">
            <w:pPr>
              <w:spacing w:before="0" w:after="0"/>
              <w:jc w:val="both"/>
              <w:rPr>
                <w:noProof/>
              </w:rPr>
            </w:pPr>
            <w:r w:rsidRPr="14879692">
              <w:rPr>
                <w:vertAlign w:val="superscript"/>
                <w:lang w:val="es-ES"/>
              </w:rPr>
              <w:t>a</w:t>
            </w:r>
            <w:r>
              <w:fldChar w:fldCharType="begin"/>
            </w:r>
            <w:r w:rsidRPr="14879692">
              <w:rPr>
                <w:lang w:val="es-ES"/>
              </w:rPr>
              <w:instrText>ADDIN CSL_CITATION {"citationItems":[{"id":"ITEM-1","itemData":{"DOI":"10.7554/eLife.48792.001","abstract":"Transient receptor potential vanilloid 2 (TRPV2) plays a critical role in neuronal development, cardiac function, immunity, and cancer. Cannabidiol (CBD), the non-psychotropic therapeutically active ingredient of Cannabis sativa, is an activator of TRPV2 and also modulates other transient receptor potential (TRP) channels. Here, we determined structures of the full-length rat TRPV2 channel in apo and CBD-bound states in nanodiscs by cryo-electron microscopy. We show that CBD interacts with TRPV2 through a hydrophobic pocket located between S5 and S6 helices of adjacent subunits, which differs from known ligand and lipid binding sites in other TRP channels. CBD-bound TRPV2 structures revealed that the S4-S5 linker plays a critical role in channel gating upon CBD binding. Additionally, nanodiscs permitted us to visualize two distinct TRPV2 apo states in a lipid environment. Together these results provide a foundation to further understand TRPV channel gating, their divergent physiological functions, and to accelerate structure-based drug design.","author":[{"dropping-particle":"","family":"Pumroy","given":"Ruth A","non-dropping-particle":"","parse-names":false,"suffix":""},{"dropping-particle":"","family":"Samanta","given":"Amrita","non-dropping-particle":"","parse-names":false,"suffix":""},{"dropping-particle":"","family":"Liu","given":"Yuhang","non-dropping-particle":"","parse-names":false,"suffix":""},{"dropping-particle":"","family":"Hughes","given":"Taylor","non-dropping-particle":"","parse-names":false,"suffix":""},{"dropping-particle":"","family":"Zhao","given":"Siyuan","non-dropping-particle":"","parse-names":false,"suffix":""},{"dropping-particle":"","family":"Yudin","given":"Yevgen","non-dropping-particle":"","parse-names":false,"suffix":""},{"dropping-particle":"","family":"Rohacs","given":"Tibor","non-dropping-particle":"","parse-names":false,"suffix":""},{"dropping-particle":"","family":"Han","given":"Seungil","non-dropping-particle":"","parse-names":false,"suffix":""},{"dropping-particle":"","family":"Moiseenkova-Bell","given":"Vera Y","non-dropping-particle":"","parse-names":false,"suffix":""}],"id":"ITEM-1","issued":{"date-parts":[["2019"]]},"title":"Molecular mechanism of TRPV2 channel modulation by cannabidiol","type":"article-journal"},"uris":["http://www.mendeley.com/documents/?uuid=dd287ad2-71b3-4914-92ce-24128fe4653b"]}],"mendeley":{"formattedCitation":"(Pumroy et al., 2019)","plainTextFormattedCitation":"(Pumroy et al., 2019)","previouslyFormattedCitation":"(Pumroy et al., 2019)"},"properties":{"noteIndex":0},"schema":"https://github.com/citation-style-language/schema/raw/master/csl-citation.json"}</w:instrText>
            </w:r>
            <w:r>
              <w:fldChar w:fldCharType="separate"/>
            </w:r>
            <w:r w:rsidRPr="14879692">
              <w:rPr>
                <w:noProof/>
                <w:lang w:val="es-ES"/>
              </w:rPr>
              <w:t>(Pumroy et al., 2019)</w:t>
            </w:r>
            <w:r>
              <w:fldChar w:fldCharType="end"/>
            </w:r>
            <w:r w:rsidRPr="14879692">
              <w:rPr>
                <w:lang w:val="es-ES"/>
              </w:rPr>
              <w:t xml:space="preserve">; </w:t>
            </w:r>
            <w:r w:rsidRPr="14879692">
              <w:rPr>
                <w:vertAlign w:val="superscript"/>
                <w:lang w:val="es-ES"/>
              </w:rPr>
              <w:t xml:space="preserve">b </w:t>
            </w:r>
            <w:r>
              <w:fldChar w:fldCharType="begin"/>
            </w:r>
            <w:r w:rsidRPr="14879692">
              <w:rPr>
                <w:lang w:val="es-ES"/>
              </w:rPr>
              <w:instrText xml:space="preserve">ADDIN CSL_CITATION {"citationItems":[{"id":"ITEM-1","itemData":{"DOI":"10.1038/s41467-018-07117-w","ISSN":"20411723","PMID":"30429472","abstract":"Transient receptor potential vanilloid channel 3 (TRPV3), a member of the thermosensitive TRP (thermoTRPV) channels, is activated by warm temperatures and serves as a key regulator of normal skin physiology through the release of pro-inflammatory messengers. Mutations in trpv3 have been identified as the cause of the congenital skin disorder, Olmsted syndrome. Unlike other members of the thermoTRPV channel family, TRPV3 sensitizes upon repeated stimulation, yet a lack of structural information about the channel precludes a molecular-level understanding of TRPV3 sensitization and gating. Here, we present the cryo-electron microscopy structures of apo and sensitized human TRPV3, as well as several structures of TRPV3 in the presence of the common thermoTRPV agonist 2-aminoethoxydiphenyl borate (2-APB). Our results show </w:instrText>
            </w:r>
            <w:r>
              <w:instrText>α</w:instrText>
            </w:r>
            <w:r w:rsidRPr="14879692">
              <w:rPr>
                <w:lang w:val="es-ES"/>
              </w:rPr>
              <w:instrText>-to-</w:instrText>
            </w:r>
            <w:r>
              <w:instrText>π</w:instrText>
            </w:r>
            <w:r w:rsidRPr="14879692">
              <w:rPr>
                <w:lang w:val="es-ES"/>
              </w:rPr>
              <w:instrText xml:space="preserve">-helix transitions in the S6 during sensitization, and suggest a critical role for the S4-S5 linker </w:instrText>
            </w:r>
            <w:r>
              <w:instrText>π</w:instrText>
            </w:r>
            <w:r w:rsidRPr="14879692">
              <w:rPr>
                <w:lang w:val="es-ES"/>
              </w:rPr>
              <w:instrText>-helix during ligand-dependent gating.","author":[{"dropping-particle":"","family":"Zubcevic","given":"Lejla","non-dropping-particle":"","parse-names":false,"suffix":""},{"dropping-particle":"","family":"Herzik","given":"Mark A.","non-dropping-particle":"","parse-names":false,"suffix":""},{"dropping-particle":"","family":"Wu","given":"Mengyu","non-dropping-particle":"","parse-names":false,"suffix":""},{"dropping-particle":"","family":"Borschel","given":"William F.","non-dropping-particle":"","parse-names":false,"suffix":""},{"dropping-particle":"","family":"Hirschi","given":"Marscha","non-dropping-particle":"","parse-names":false,"suffix":""},{"dropping-particle":"","family":"Song","given":"Albert S.","non-dropping-particle":"","parse-names":false,"suffix":""},{"dropping-particle":"","family":"Lander","given":"Gabriel C.","non-dropping-particle":"","parse-names":false,"suffix":""},{"dropping-particle":"","family":"Lee","given":"Seok Yong","non-dropping-particle":"","parse-names":false,"suffix":""}],"container-title":"Nature Communications","id":"ITEM-1","issue":"1","issued":{"date-parts":[["2018","12","1"]]},"publisher":"Nature Publishing Group","title":"Conformational ensemble of the human TRPV3 ion channel","type":"article-journal","volume":"9"},"uris":["http://www.mendeley.com/documents/?uuid=2fdad868-43a5-4d88-9baa-71a40de4af58"]}],"mendeley":{"formattedCitation":"(Zubcevic et al., 2018)","plainTextFormattedCitation":"(Zubcevic et al., 2018)","previouslyFormattedCitation":"(Zubcevic et al., 2018)"},"properties":{"noteIndex":0},"schema":"https://github.com/citation-style-language/schema/raw/master/csl-citation.json"}</w:instrText>
            </w:r>
            <w:r>
              <w:fldChar w:fldCharType="separate"/>
            </w:r>
            <w:r w:rsidRPr="14879692">
              <w:rPr>
                <w:noProof/>
                <w:lang w:val="es-ES"/>
              </w:rPr>
              <w:t>(Zubcevic et al., 2018)</w:t>
            </w:r>
            <w:r>
              <w:fldChar w:fldCharType="end"/>
            </w:r>
            <w:r w:rsidRPr="14879692">
              <w:rPr>
                <w:lang w:val="es-ES"/>
              </w:rPr>
              <w:t xml:space="preserve">; </w:t>
            </w:r>
            <w:r w:rsidRPr="14879692">
              <w:rPr>
                <w:vertAlign w:val="superscript"/>
                <w:lang w:val="es-ES"/>
              </w:rPr>
              <w:t>c</w:t>
            </w:r>
            <w:r>
              <w:fldChar w:fldCharType="begin"/>
            </w:r>
            <w:r w:rsidRPr="14879692">
              <w:rPr>
                <w:lang w:val="es-ES"/>
              </w:rPr>
              <w:instrText>ADDIN CSL_CITATION {"citationItems":[{"id":"ITEM-1","itemData":{"DOI":"10.1038/s41594-018-0108-7","ISSN":"15459985","PMID":"30127359","abstract":"Transient receptor potential vanilloid subfamily member 3 (TRPV3) channel plays a crucial role in skin physiology and pathophysiology. Mutations in TRPV3 are associated with various skin diseases, including Olmsted syndrome, atopic dermatitis, and rosacea. Here we present the cryo-electron microscopy structures of full-length mouse TRPV3 in the closed apo and agonist-bound open states. The agonist binds three allosteric sites distal to the pore. Channel opening is accompanied by conformational changes in both the outer pore and the intracellular gate. The gate is formed by the pore-lining S6 helices that undergo local α-to-π helical transitions, elongate, rotate, and splay apart in the open state. In the closed state, the shorter S6 segments are entirely α-helical, expose their nonpolar surfaces to the pore, and hydrophobically seal the ion permeation pathway. These findings further illuminate TRP channel activation and can aid in the design of drugs for the treatment of inflammatory skin conditions, itch, and pain.","author":[{"dropping-particle":"","family":"Singh","given":"Appu K.","non-dropping-particle":"","parse-names":false,"suffix":""},{"dropping-particle":"","family":"McGoldrick","given":"Luke L.","non-dropping-particle":"","parse-names":false,"suffix":""},{"dropping-particle":"","family":"Sobolevsky","given":"Alexander I.","non-dropping-particle":"","parse-names":false,"suffix":""}],"container-title":"Nature Structural and Molecular Biology","id":"ITEM-1","issue":"9","issued":{"date-parts":[["2018","9","1"]]},"page":"805-813","publisher":"Nature Publishing Group","title":"Structure and gating mechanism of the transient receptor potential channel TRPV3","type":"article-journal","volume":"25"},"uris":["http://www.mendeley.com/documents/?uuid=7d2a9452-a1ca-4999-86e8-541892f19829"]}],"mendeley":{"formattedCitation":"(Singh et al., 2018)","plainTextFormattedCitation":"(Singh et al., 2018)","previouslyFormattedCitation":"(Singh et al., 2018)"},"properties":{"noteIndex":0},"schema":"https://github.com/citation-style-language/schema/raw/master/csl-citation.json"}</w:instrText>
            </w:r>
            <w:r>
              <w:fldChar w:fldCharType="separate"/>
            </w:r>
            <w:r w:rsidRPr="14879692">
              <w:rPr>
                <w:noProof/>
              </w:rPr>
              <w:t>(Singh et al., 2018)</w:t>
            </w:r>
            <w:r>
              <w:fldChar w:fldCharType="end"/>
            </w:r>
            <w:r>
              <w:t xml:space="preserve">; </w:t>
            </w:r>
            <w:r w:rsidRPr="14879692">
              <w:rPr>
                <w:vertAlign w:val="superscript"/>
              </w:rPr>
              <w:t>d</w:t>
            </w:r>
            <w:r>
              <w:fldChar w:fldCharType="begin"/>
            </w:r>
            <w:r w:rsidRPr="14879692">
              <w:rPr>
                <w:lang w:val="es-ES"/>
              </w:rPr>
              <w:instrText>ADDIN CSL_CITATION {"citationItems":[{"id":"ITEM-1","itemData":{"DOI":"10.1016/j.neuron.2019.11.023","ISSN":"10974199","PMID":"31866091","abstract":"Transient receptor potential channel subfamily A member 1 (TRPA1) is a Ca2+-permeable cation channel that serves as one of the primary sensors of environmental irritants and noxious substances. Many TRPA1 agonists are electrophiles that are recognized by TRPA1 via covalent bond modifications of specific cysteine residues located in the cytoplasmic domains. However, a mechanistic understanding of electrophile sensing by TRPA1 has been limited due to a lack of high-resolution structural information. Here, we present the cryoelectron microscopy (cryo-EM) structures of nanodisc-reconstituted ligand-free TRPA1 and TRPA1 in complex with the covalent agonists JT010 and BITC at 2.8, 2.9, and 3.1 Å, respectively. Our structural and functional studies provide the molecular basis for electrophile recognition by the extraordinarily reactive C621 in TRPA1 and mechanistic insights into electrophile-dependent conformational changes in TRPA1. This work also provides a platform for future drug development targeting TRPA1.","author":[{"dropping-particle":"","family":"Suo","given":"Yang","non-dropping-particle":"","parse-names":false,"suffix":""},{"dropping-particle":"","family":"Wang","given":"Zilong","non-dropping-particle":"","parse-names":false,"suffix":""},{"dropping-particle":"","family":"Zubcevic","given":"Lejla","non-dropping-particle":"","parse-names":false,"suffix":""},{"dropping-particle":"","family":"Hsu","given":"Allen L.","non-dropping-particle":"","parse-names":false,"suffix":""},{"dropping-particle":"","family":"He","given":"Qianru","non-dropping-particle":"","parse-names":false,"suffix":""},{"dropping-particle":"","family":"Borgnia","given":"Mario J.","non-dropping-particle":"","parse-names":false,"suffix":""},{"dropping-particle":"","family":"Ji","given":"Ru Rong","non-dropping-particle":"","parse-names":false,"suffix":""},{"dropping-particle":"","family":"Lee","given":"Seok Yong","non-dropping-particle":"","parse-names":false,"suffix":""}],"container-title":"Neuron","id":"ITEM-1","issue":"5","issued":{"date-parts":[["2020","3","4"]]},"page":"882-894.e5","publisher":"Cell Press","title":"Structural Insights into Electrophile Irritant Sensing by the Human TRPA1 Channel","type":"article-journal","volume":"105"},"uris":["http://www.mendeley.com/documents/?uuid=6eac1c0c-35d2-48b6-a003-39a3329e91c4"]}],"mendeley":{"formattedCitation":"(Suo et al., 2020)","plainTextFormattedCitation":"(Suo et al., 2020)","previouslyFormattedCitation":"(Suo et al., 2020)"},"properties":{"noteIndex":0},"schema":"https://github.com/citation-style-language/schema/raw/master/csl-citation.json"}</w:instrText>
            </w:r>
            <w:r>
              <w:fldChar w:fldCharType="separate"/>
            </w:r>
            <w:r w:rsidRPr="14879692">
              <w:rPr>
                <w:noProof/>
                <w:lang w:val="es-ES"/>
              </w:rPr>
              <w:t>(Suo et al., 2020)</w:t>
            </w:r>
            <w:r>
              <w:fldChar w:fldCharType="end"/>
            </w:r>
            <w:r>
              <w:t xml:space="preserve">; </w:t>
            </w:r>
            <w:r w:rsidRPr="14879692">
              <w:rPr>
                <w:vertAlign w:val="superscript"/>
              </w:rPr>
              <w:t>e</w:t>
            </w:r>
            <w:r>
              <w:fldChar w:fldCharType="begin"/>
            </w:r>
            <w:r>
              <w:instrText>ADDIN CSL_CITATION {"citationItems":[{"id":"ITEM-1","itemData":{"DOI":"10.1038/s41586-020-2480-9","ISSN":"14764687","PMID":"32641835","abstract":"The transient receptor potential ion channel TRPA1 is expressed by primary afferent nerve fibres, in which it functions as a low-threshold sensor for structurally diverse electrophilic irritants, including small volatile environmental toxicants and endogenous algogenic lipids1. TRPA1 is also a ‘receptor-operated’ channel whose activation downstream of metabotropic receptors elicits inflammatory pain or itch, making it an attractive target for novel analgesic therapies2. However, the mechanisms by which TRPA1 recognizes and responds to electrophiles or cytoplasmic second messengers remain unknown. Here we use strutural studies and electrophysiology to show that electrophiles act through a two-step process in which modification of a highly reactive cysteine residue (C621) promotes reorientation of a cytoplasmic loop to enhance nucleophilicity and modification of a nearby cysteine (C665), thereby stabilizing the loop in an activating configuration. These actions modulate two restrictions controlling ion permeation, including widening of the selectivity filter to enhance calcium permeability and opening of a canonical gate at the cytoplasmic end of the pore. We propose a model to explain functional coupling between electrophile action and these control points. We also characterize a calcium-binding pocket that is highly conserved across TRP channel subtypes and accounts for all aspects of calcium-dependent TRPA1 regulation, including potentiation</w:instrText>
            </w:r>
            <w:r w:rsidRPr="14879692">
              <w:rPr>
                <w:lang w:val="es-ES"/>
              </w:rPr>
              <w:instrText>, desensitization and activation by metabotropic receptors. These findings provide a structural framework for understanding how a broad-spectrum irritant receptor is controlled by endogenous and exogenous agents that elicit or exacerbate pain and itch.","author":[{"dropping-particle":"","family":"Zhao","given":"Jianhua","non-dropping-particle":"","parse-names":false,"suffix":""},{"dropping-particle":"V.","family":"Lin King","given":"John","non-dropping-particle":"","parse-names":false,"suffix":""},{"dropping-particle":"","family":"Paulsen","given":"Candice E.","non-dropping-particle":"","parse-names":false,"suffix":""},{"dropping-particle":"","family":"Cheng","given":"Yifan","non-dropping-particle":"","parse-names":false,"suffix":""},{"dropping-particle":"","family":"Julius","given":"David","non-dropping-particle":"","parse-names":false,"suffix":""}],"container-title":"Nature","id":"ITEM-1","issue":"7823","issued":{"date-parts":[["2020","9","3"]]},"page":"141-145","publisher":"Nature Research","title":"Irritant-evoked activation and calcium modulation of the TRPA1 receptor","type":"article-journal","volume":"585"},"uris":["http://www.mendeley.com/documents/?uuid=69950487-3049-43ec-94a3-c7d0dd03004d"]}],"mendeley":{"formattedCitation":"(Zhao et al., 2020)","plainTextFormattedCitation":"(Zhao et al., 2020)","previouslyFormattedCitation":"(Zhao et al., 2020)"},"properties":{"noteIndex":0},"schema":"https://github.com/citation-style-language/schema/raw/master/csl-citation.json"}</w:instrText>
            </w:r>
            <w:r>
              <w:fldChar w:fldCharType="separate"/>
            </w:r>
            <w:r w:rsidRPr="006928A2">
              <w:rPr>
                <w:noProof/>
                <w:lang w:val="es-ES"/>
              </w:rPr>
              <w:t>(Zhao et al., 2020)</w:t>
            </w:r>
            <w:r>
              <w:fldChar w:fldCharType="end"/>
            </w:r>
            <w:r w:rsidRPr="006928A2">
              <w:rPr>
                <w:lang w:val="es-ES"/>
              </w:rPr>
              <w:t xml:space="preserve">; </w:t>
            </w:r>
            <w:r w:rsidRPr="006928A2">
              <w:rPr>
                <w:vertAlign w:val="superscript"/>
                <w:lang w:val="es-ES"/>
              </w:rPr>
              <w:t>f</w:t>
            </w:r>
            <w:r>
              <w:fldChar w:fldCharType="begin"/>
            </w:r>
            <w:r w:rsidRPr="14879692">
              <w:rPr>
                <w:lang w:val="es-ES"/>
              </w:rPr>
              <w:instrText>ADDIN CSL_CITATION {"citationItems":[{"id":"ITEM-1","itemData":{"DOI":"10.1126/science.aav9334","ISSN":"10959203","PMID":"30733385","abstract":"Transient receptor potential melastatin member 8 (TRPM8) is a calcium ion (Ca 2+ )-permeable cation channel that serves as the primary cold and menthol sensor in humans. Activation of TRPM8 by cooling compounds relies on allosteric actions of agonist and membrane lipid phosphatidylinositol 4,5-bisphosphate (PIP 2 ), but lack of structural information has thus far precluded a mechanistic understanding of ligand and lipid sensing by TRPM8. Using cryo-electron microscopy, we determined the structures of TRPM8 in complex with the synthetic cooling compound icilin, PIP 2 , and Ca 2+ , as well as in complex with the menthol analog WS-12 and PIP 2 . Our structures reveal the binding sites for cooling agonists and PIP 2 in TRPM8. Notably, PIP 2 binds to TRPM8 in two different modes, which illustrate the mechanism of allosteric coupling between PIP 2 and agonists.This study provides a platform for understanding the molecular mechanism of TRPM8 activation by cooling agents.","author":[{"dropping-particle":"","family":"Yin","given":"Ying","non-dropping-particle":"","parse-names":false,"suffix":""},{"dropping-particle":"","family":"Le","given":"Son C.","non-dropping-particle":"","parse-names":false,"suffix":""},{"dropping-particle":"","family":"Hsu","given":"Allen L.","non-dropping-particle":"","parse-names":false,"suffix":""},{"dropping-particle":"","family":"Borgnia","given":"Mario J.","non-dropping-particle":"","parse-names":false,"suffix":""},{"dropping-particle":"","family":"Yang","given":"Huanghe","non-dropping-particle":"","parse-names":false,"suffix":""},{"dropping-particle":"","family":"Lee","given":"Seok Yong","non-dropping-particle":"","parse-names":false,"suffix":""}],"container-title":"Science","id":"ITEM-1","issue":"6430","issued":{"date-parts":[["2019"]]},"publisher":"American Association for the Advancement of Science","title":"Structural basis of cooling agent and lipid sensing by the cold-activated TRPM8 channel","type":"article-journal","volume":"363"},"uris":["http://www.mendeley.com/documents/?uuid=03f458cc-d48c-4309-bde4-fb0e92e1253a"]}],"mendeley":{"formattedCitation":"(Yin et al., 2019)","plainTextFormattedCitation":"(Yin et al., 2019)","previouslyFormattedCitation":"(Yin et al., 2019)"},"properties":{"noteIndex":0},"schema":"https://github.com/citation-style-language/schema/raw/master/csl-citation.json"}</w:instrText>
            </w:r>
            <w:r>
              <w:fldChar w:fldCharType="separate"/>
            </w:r>
            <w:r w:rsidRPr="006928A2">
              <w:rPr>
                <w:noProof/>
                <w:lang w:val="es-ES"/>
              </w:rPr>
              <w:t>(Yin et al., 2019)</w:t>
            </w:r>
            <w:r>
              <w:fldChar w:fldCharType="end"/>
            </w:r>
            <w:r w:rsidRPr="006928A2">
              <w:rPr>
                <w:lang w:val="es-ES"/>
              </w:rPr>
              <w:t xml:space="preserve">; </w:t>
            </w:r>
            <w:r w:rsidRPr="006928A2">
              <w:rPr>
                <w:vertAlign w:val="superscript"/>
                <w:lang w:val="es-ES"/>
              </w:rPr>
              <w:t>g</w:t>
            </w:r>
            <w:r w:rsidRPr="14879692">
              <w:rPr>
                <w:vertAlign w:val="superscript"/>
              </w:rPr>
              <w:fldChar w:fldCharType="begin"/>
            </w:r>
            <w:r w:rsidRPr="14879692">
              <w:rPr>
                <w:vertAlign w:val="superscript"/>
                <w:lang w:val="es-ES"/>
              </w:rPr>
              <w:instrText>ADDIN CSL_CITATION {"citationItems":[{"id":"ITEM-1","itemData":{"DOI":"10.1126/science.aax6672","ISSN":"10959203","PMID":"31488702","abstract":"The transient receptor potential melastatin 8 (TRPM8) ion channel is the primary detector of environmental cold and an important target for treating pathological cold hypersensitivity. Here, we present cryo–electron microscopy structures of TRPM8 in ligand-free, antagonist-bound, or calcium-bound forms, revealing how robust conformational changes give rise to two nonconducting states, closed and desensitized. We describe a malleable ligand-binding pocket that accommodates drugs of diverse chemical structures, and we delineate the ion permeation pathway, including the contribution of lipids to pore architecture. Furthermore, we show that direct calcium binding mediates stimulus-evoked desensitization, clarifying this important mechanism of sensory adaptation. We observe large rearrangements within the S4-S5 linker that reposition the S1-S4 and pore domains relative to the TRP helix, leading us to propose a distinct model for modulation of TRPM8 and possibly other TRP channels.","author":[{"dropping-particle":"","family":"Diver","given":"Melinda M.","non-dropping-particle":"","parse-names":false,"suffix":""},{"dropping-particle":"","family":"Cheng","given":"Yifan","non-dropping-particle":"","parse-names":false,"suffix":""},{"dropping-particle":"","family":"Julius","given":"David","non-dropping-particle":"","parse-names":false,"suffix":""}],"container-title":"Science","id":"ITEM-1","issue":"6460","issued":{"date-parts":[["2019","9","27"]]},"page":"1434-1440","publisher":"American Association for the Advancement of Science","title":"Structural insights into TRPM8 inhibition and desensitization","type":"article-journal","volume":"365"},"uris":["http://www.mendeley.com/documents/?uuid=7c31365e-5631-4db8-ac76-905443d5310a"]}],"mendeley":{"formattedCitation":"(Diver et al., 2019)","plainTextFormattedCitation":"(Diver et al., 2019)"},"properties":{"noteIndex":0},"schema":"https://github.com/citation-style-language/schema/raw/master/csl-citation.json"}</w:instrText>
            </w:r>
            <w:r w:rsidRPr="14879692">
              <w:rPr>
                <w:vertAlign w:val="superscript"/>
              </w:rPr>
              <w:fldChar w:fldCharType="separate"/>
            </w:r>
            <w:r w:rsidRPr="006928A2">
              <w:rPr>
                <w:noProof/>
                <w:lang w:val="es-ES"/>
              </w:rPr>
              <w:t>(Diver et al., 2019)</w:t>
            </w:r>
            <w:r w:rsidRPr="14879692">
              <w:rPr>
                <w:vertAlign w:val="superscript"/>
              </w:rPr>
              <w:fldChar w:fldCharType="end"/>
            </w:r>
            <w:r>
              <w:fldChar w:fldCharType="begin"/>
            </w:r>
            <w:r w:rsidRPr="14879692">
              <w:rPr>
                <w:lang w:val="es-ES"/>
              </w:rPr>
              <w:instrText>ADDIN CSL_CITATION {"citationItems":[{"id":"ITEM-1","itemData":{"DOI":"10.1126/science.aav9334","ISSN":"10959203","PMID":"30733385","abstract":"Transient receptor potential melastatin member 8 (TRPM8) is a calcium ion (Ca 2+ )-permeable cation channel that serves as the primary cold and menthol sensor in humans. Activation of TRPM8 by cooling compounds relies on allosteric actions of agonist and membrane lipid phosphatidylinositol 4,5-bisphosphate (PIP 2 ), but lack of structural information has thus far precluded a mechanistic understanding of ligand and lipid sensing by TRPM8. Using cryo-electron microscopy, we determined the structures of TRPM8 in complex with the synthetic cooling compound icilin, PIP 2 , and Ca 2+ , as well as in complex with the menthol analog WS-12 and PIP 2 . Our structures reveal the binding sites for cooling agonists and PIP 2 in TRPM8. Notably, PIP 2 binds to TRPM8 in two different modes, which illustrate the mechanism of allosteric coupling between PIP 2 and agonists.This study provides a platform for understanding the molecular mechanism of TRPM8 activation by cooling agents.","author":[{"dropping-particle":"","family":"Yin","given":"Ying","non-dropping-particle":"","parse-names":false,"suffix":""},{"dropping-particle":"","family":"Le","given":"Son C.","non-dropping-particle":"","parse-names":false,"suffix":""},{"dropping-particle":"","family":"Hsu","given":"Allen L.","non-dropping-particle":"","parse-names":false,"suffix":"</w:instrText>
            </w:r>
            <w:r>
              <w:instrText>"},{"dropping-particle":"","family":"Borgnia","given":"Mario J.","non-dropping-particle":"","parse-names":false,"suffix":""},{"dropping-particle":"","family":"Yang","given":"Huanghe","non-dropping-particle":"","parse-names":false,"suffix":""},{"dropping-particle":"","family":"Lee","given":"Seok Yong","non-dropping-particle":"","parse-names":false,"suffix":""}],"container-title":"Science","id":"ITEM-1","issue":"6430","issued":{"date-parts":[["2019"]]},"publisher":"American Association for the Advancement of Science","title":"Structural basis of cooling agent and lipid sensing by the cold-activated TRPM8 channel","type":"article-journal","volume":"363"},"uris":["http://www.mendeley.com/documents/?uuid=03f458cc-d48c-4309-bde4-fb0e92e1253a"]},{"id":"ITEM-2","itemData":{"DOI":"10.1126/science.aax6672","ISSN":"10959203","PMID":"31488702","abstract":"The transient receptor potential melastatin 8 (TRPM8) ion channel is the primary detector of environmental cold and an important target for treating pathological cold hypersensitivity. Here, we present cryo–electron microscopy structures of TRPM8 in ligand-free, antagonist-bound, or calcium-bound forms, revealing how robust conformational changes give rise to two nonconducting states, closed and desensitized. We describe a malleable ligand-binding pocket that accommodates drugs of diverse chemical structures, and we delineate the ion permeation pathway, including the contribution of lipids to pore architecture. Furthermore, we show that direct calcium binding mediates stimulus-evoked desensitization, clarifying this important mechanism of sensory adaptation. We observe large rearrangements within the S4-S5 linker that reposition the S1-S4 and pore domains relative to the TRP helix, leading us to propose a distinct model for modulation of TRPM8 and possibly other TRP channels.","author":[{"dropping-particle":"","family":"Diver","given":"Melinda M.","non-dropping-particle":"","parse-names":false,"suffix":""},{"dropping-particle":"","family":"Cheng","given":"Yifan","non-dropping-particle":"","parse-names":false,"suffix":""},{"dropping-particle":"","family":"Julius","given":"David","non-dropping-particle":"","parse-names":false,"suffix":""}],"container-title":"Science","id":"ITEM-2","issue":"6460","issued":{"date-parts":[["2019","9","27"]]},"page":"1434-1440","publisher":"American Association for the Advancement of Science","title":"Structural insights into TRPM8 inhibition and desensitization","type":"article-journal","volume":"365"},"uris":["http://www.mendeley.com/documents/?uuid=7c31365e-5631-4db8-ac76-905443d5310a"]}],"mendeley":{"formattedCitation":"(Diver et al., 2019; Yin et al., 2019)","plainTextFormattedCitation":"(Diver et al., 2019; Yin et al., 2019)","previouslyFormattedCitation":"(Diver et al., 2019; Yin et al., 2019)"},"properties":{"noteIndex":0},"schema":"https://github.com/citation-style-language/schema/raw/master/csl-citation.json"}</w:instrText>
            </w:r>
            <w:r w:rsidR="005E5EE5">
              <w:fldChar w:fldCharType="separate"/>
            </w:r>
            <w:r>
              <w:fldChar w:fldCharType="end"/>
            </w:r>
            <w:r>
              <w:t xml:space="preserve">; </w:t>
            </w:r>
            <w:proofErr w:type="spellStart"/>
            <w:r w:rsidRPr="14879692">
              <w:rPr>
                <w:vertAlign w:val="superscript"/>
              </w:rPr>
              <w:t>h</w:t>
            </w:r>
            <w:r>
              <w:t>Reference</w:t>
            </w:r>
            <w:proofErr w:type="spellEnd"/>
            <w:r>
              <w:t xml:space="preserve"> ligands were tested at each apo structure to determine their docking score at the inactive structure. TRPV2, TRPV3, and TRPM8 showed decreases in the scoring. </w:t>
            </w:r>
            <w:proofErr w:type="spellStart"/>
            <w:r>
              <w:rPr>
                <w:vertAlign w:val="superscript"/>
              </w:rPr>
              <w:t>i</w:t>
            </w:r>
            <w:r>
              <w:t>The</w:t>
            </w:r>
            <w:proofErr w:type="spellEnd"/>
            <w:r>
              <w:t xml:space="preserve"> apo state in TRPA1 indicates a higher score than the active structure. Since </w:t>
            </w:r>
            <w:proofErr w:type="spellStart"/>
            <w:r>
              <w:t>benzothioformamide</w:t>
            </w:r>
            <w:proofErr w:type="spellEnd"/>
            <w:r>
              <w:t xml:space="preserve"> covalently binds intracellularly, the resolved lipid found in the transmembrane region was used as the inactive reference. Since the ligands tested are more lipophilic than the agonist used, this site was used to dock the selected ligands. </w:t>
            </w:r>
            <w:r>
              <w:rPr>
                <w:vertAlign w:val="superscript"/>
              </w:rPr>
              <w:t>*</w:t>
            </w:r>
            <w:r>
              <w:t>These ligands were screened in the VBP and the tunnel of each channel due to their docking withing the tunnel of TRPV1. The best score of the two recorded and indicated here as “VBP” or “TNL”.</w:t>
            </w:r>
          </w:p>
        </w:tc>
      </w:tr>
    </w:tbl>
    <w:p w14:paraId="728C9736" w14:textId="77777777" w:rsidR="006928A2" w:rsidRPr="000563E0" w:rsidRDefault="006928A2" w:rsidP="006928A2">
      <w:pPr>
        <w:pStyle w:val="TAMainText"/>
        <w:spacing w:line="360" w:lineRule="auto"/>
        <w:ind w:firstLine="0"/>
        <w:rPr>
          <w:rFonts w:ascii="Times New Roman" w:hAnsi="Times New Roman"/>
          <w:b/>
          <w:szCs w:val="24"/>
        </w:rPr>
      </w:pPr>
    </w:p>
    <w:p w14:paraId="1691E975" w14:textId="77777777" w:rsidR="006928A2" w:rsidRPr="000563E0" w:rsidRDefault="006928A2" w:rsidP="006928A2">
      <w:pPr>
        <w:pStyle w:val="TAMainText"/>
        <w:spacing w:line="360" w:lineRule="auto"/>
        <w:ind w:firstLine="0"/>
        <w:rPr>
          <w:rFonts w:ascii="Times New Roman" w:hAnsi="Times New Roman"/>
        </w:rPr>
      </w:pPr>
    </w:p>
    <w:p w14:paraId="76B5E446" w14:textId="77777777" w:rsidR="006928A2" w:rsidRDefault="006928A2" w:rsidP="006928A2">
      <w:pPr>
        <w:pStyle w:val="TAMainText"/>
        <w:spacing w:line="240" w:lineRule="auto"/>
        <w:ind w:firstLine="0"/>
        <w:rPr>
          <w:rFonts w:ascii="Times New Roman" w:hAnsi="Times New Roman"/>
          <w:szCs w:val="24"/>
        </w:rPr>
      </w:pPr>
      <w:r w:rsidRPr="00BA0E46">
        <w:rPr>
          <w:rFonts w:ascii="Times New Roman" w:hAnsi="Times New Roman"/>
          <w:b/>
          <w:szCs w:val="24"/>
        </w:rPr>
        <w:t>Table</w:t>
      </w:r>
      <w:r>
        <w:rPr>
          <w:rFonts w:ascii="Times New Roman" w:hAnsi="Times New Roman"/>
          <w:b/>
          <w:szCs w:val="24"/>
        </w:rPr>
        <w:t xml:space="preserve"> S5</w:t>
      </w:r>
      <w:r w:rsidRPr="004C3FAD">
        <w:rPr>
          <w:rFonts w:ascii="Times New Roman" w:hAnsi="Times New Roman"/>
          <w:b/>
          <w:szCs w:val="24"/>
        </w:rPr>
        <w:t xml:space="preserve">. </w:t>
      </w:r>
      <w:bookmarkStart w:id="0" w:name="_Hlk94174422"/>
      <w:r>
        <w:rPr>
          <w:rFonts w:ascii="Times New Roman" w:hAnsi="Times New Roman"/>
          <w:szCs w:val="24"/>
        </w:rPr>
        <w:t xml:space="preserve">Off-target evaluation at cannabinoid-related GPCRs of selected dual hits </w:t>
      </w:r>
      <w:r w:rsidRPr="006928A2">
        <w:rPr>
          <w:bCs/>
          <w:color w:val="000000"/>
          <w:szCs w:val="24"/>
        </w:rPr>
        <w:t xml:space="preserve">59824268, </w:t>
      </w:r>
      <w:r w:rsidRPr="006928A2">
        <w:rPr>
          <w:bCs/>
          <w:szCs w:val="24"/>
        </w:rPr>
        <w:t xml:space="preserve">1288208, 1288239, </w:t>
      </w:r>
      <w:r w:rsidRPr="006928A2">
        <w:rPr>
          <w:bCs/>
          <w:sz w:val="22"/>
        </w:rPr>
        <w:t>1508577 and 1508215</w:t>
      </w:r>
      <w:r>
        <w:rPr>
          <w:rFonts w:ascii="Times New Roman" w:hAnsi="Times New Roman"/>
          <w:szCs w:val="24"/>
        </w:rPr>
        <w:t xml:space="preserve">. </w:t>
      </w:r>
      <w:bookmarkEnd w:id="0"/>
      <w:r>
        <w:rPr>
          <w:rFonts w:ascii="Times New Roman" w:hAnsi="Times New Roman"/>
          <w:szCs w:val="24"/>
        </w:rPr>
        <w:t>The following compounds have been included as reference for each target: CB1 agonist (AM841), CB1 antagonist (</w:t>
      </w:r>
      <w:proofErr w:type="spellStart"/>
      <w:r>
        <w:rPr>
          <w:rFonts w:ascii="Times New Roman" w:hAnsi="Times New Roman"/>
          <w:szCs w:val="24"/>
        </w:rPr>
        <w:t>Taranabant</w:t>
      </w:r>
      <w:proofErr w:type="spellEnd"/>
      <w:r>
        <w:rPr>
          <w:rFonts w:ascii="Times New Roman" w:hAnsi="Times New Roman"/>
          <w:szCs w:val="24"/>
        </w:rPr>
        <w:t>), GPR55 agonist (ML184), GPR55 antagonist (ML193), GPR18 agonist (S5), and GPR18 antagonist (</w:t>
      </w:r>
      <w:r w:rsidRPr="006646D4">
        <w:rPr>
          <w:rFonts w:ascii="Times New Roman" w:hAnsi="Times New Roman"/>
          <w:szCs w:val="24"/>
        </w:rPr>
        <w:t>PBS-CB5</w:t>
      </w:r>
      <w:r>
        <w:rPr>
          <w:rFonts w:ascii="Times New Roman" w:hAnsi="Times New Roman"/>
          <w:szCs w:val="24"/>
        </w:rPr>
        <w:t>).</w:t>
      </w:r>
    </w:p>
    <w:p w14:paraId="3B03492A" w14:textId="77777777" w:rsidR="006928A2" w:rsidRDefault="006928A2" w:rsidP="006928A2">
      <w:pPr>
        <w:pStyle w:val="TAMainText"/>
        <w:spacing w:line="240" w:lineRule="auto"/>
        <w:ind w:firstLine="0"/>
        <w:rPr>
          <w:rFonts w:ascii="Times New Roman" w:hAnsi="Times New Roman"/>
          <w:szCs w:val="24"/>
        </w:rPr>
      </w:pPr>
    </w:p>
    <w:p w14:paraId="081AB44A" w14:textId="77777777" w:rsidR="006928A2" w:rsidRPr="004F07F7" w:rsidRDefault="006928A2" w:rsidP="006928A2">
      <w:pPr>
        <w:pStyle w:val="TAMainText"/>
        <w:spacing w:line="240" w:lineRule="auto"/>
        <w:ind w:firstLine="0"/>
        <w:rPr>
          <w:rFonts w:ascii="Times New Roman" w:hAnsi="Times New Roman"/>
          <w:szCs w:val="24"/>
        </w:rPr>
      </w:pPr>
    </w:p>
    <w:tbl>
      <w:tblPr>
        <w:tblStyle w:val="Tablaconcuadrcula"/>
        <w:tblpPr w:leftFromText="142" w:rightFromText="142" w:vertAnchor="text" w:horzAnchor="margin" w:tblpXSpec="center" w:tblpY="13"/>
        <w:tblOverlap w:val="never"/>
        <w:tblW w:w="113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768"/>
        <w:gridCol w:w="2480"/>
        <w:gridCol w:w="1134"/>
        <w:gridCol w:w="1417"/>
        <w:gridCol w:w="993"/>
        <w:gridCol w:w="1275"/>
        <w:gridCol w:w="1134"/>
        <w:gridCol w:w="1134"/>
      </w:tblGrid>
      <w:tr w:rsidR="006928A2" w:rsidRPr="004C3FAD" w14:paraId="76F6E4F6" w14:textId="77777777" w:rsidTr="00D23219">
        <w:trPr>
          <w:trHeight w:val="557"/>
        </w:trPr>
        <w:tc>
          <w:tcPr>
            <w:tcW w:w="1768" w:type="dxa"/>
            <w:shd w:val="clear" w:color="auto" w:fill="A6A6A6" w:themeFill="background1" w:themeFillShade="A6"/>
            <w:vAlign w:val="center"/>
          </w:tcPr>
          <w:p w14:paraId="0383412B" w14:textId="77777777" w:rsidR="006928A2" w:rsidRPr="004C3FAD" w:rsidRDefault="006928A2" w:rsidP="00D23219">
            <w:pPr>
              <w:pStyle w:val="TCTableBody"/>
              <w:spacing w:after="0"/>
              <w:jc w:val="center"/>
              <w:rPr>
                <w:rFonts w:ascii="Times New Roman" w:hAnsi="Times New Roman"/>
                <w:b/>
                <w:sz w:val="22"/>
                <w:szCs w:val="22"/>
              </w:rPr>
            </w:pPr>
            <w:r w:rsidRPr="004C3FAD">
              <w:rPr>
                <w:rFonts w:ascii="Times New Roman" w:hAnsi="Times New Roman"/>
                <w:b/>
                <w:sz w:val="22"/>
                <w:szCs w:val="22"/>
              </w:rPr>
              <w:t>Compd</w:t>
            </w:r>
          </w:p>
        </w:tc>
        <w:tc>
          <w:tcPr>
            <w:tcW w:w="2480" w:type="dxa"/>
            <w:shd w:val="clear" w:color="auto" w:fill="A6A6A6" w:themeFill="background1" w:themeFillShade="A6"/>
            <w:vAlign w:val="center"/>
          </w:tcPr>
          <w:p w14:paraId="5D67D0A2" w14:textId="77777777" w:rsidR="006928A2" w:rsidRPr="004C3FAD" w:rsidRDefault="006928A2" w:rsidP="00D23219">
            <w:pPr>
              <w:pStyle w:val="Textosinformato"/>
              <w:jc w:val="center"/>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Structure</w:t>
            </w:r>
          </w:p>
        </w:tc>
        <w:tc>
          <w:tcPr>
            <w:tcW w:w="1134" w:type="dxa"/>
            <w:shd w:val="clear" w:color="auto" w:fill="A6A6A6" w:themeFill="background1" w:themeFillShade="A6"/>
            <w:vAlign w:val="center"/>
          </w:tcPr>
          <w:p w14:paraId="72BBB1A9" w14:textId="77777777" w:rsidR="006928A2" w:rsidRPr="00294BFC"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 xml:space="preserve">CB1 </w:t>
            </w:r>
            <w:proofErr w:type="spellStart"/>
            <w:r>
              <w:rPr>
                <w:rFonts w:ascii="Times New Roman" w:hAnsi="Times New Roman" w:cs="Times New Roman"/>
                <w:b/>
                <w:sz w:val="22"/>
                <w:szCs w:val="22"/>
                <w:lang w:val="en-US"/>
              </w:rPr>
              <w:t>active</w:t>
            </w:r>
            <w:r w:rsidRPr="00A2392F">
              <w:rPr>
                <w:rFonts w:ascii="Times New Roman" w:hAnsi="Times New Roman" w:cs="Times New Roman"/>
                <w:b/>
                <w:sz w:val="22"/>
                <w:szCs w:val="22"/>
                <w:vertAlign w:val="superscript"/>
                <w:lang w:val="en-US"/>
              </w:rPr>
              <w:t>a</w:t>
            </w:r>
            <w:proofErr w:type="spellEnd"/>
          </w:p>
        </w:tc>
        <w:tc>
          <w:tcPr>
            <w:tcW w:w="1417" w:type="dxa"/>
            <w:shd w:val="clear" w:color="auto" w:fill="A6A6A6" w:themeFill="background1" w:themeFillShade="A6"/>
            <w:vAlign w:val="center"/>
          </w:tcPr>
          <w:p w14:paraId="259BA64B" w14:textId="77777777" w:rsidR="006928A2" w:rsidRPr="004C3FAD" w:rsidRDefault="006928A2" w:rsidP="00D23219">
            <w:pPr>
              <w:pStyle w:val="Textosinformato"/>
              <w:jc w:val="center"/>
              <w:rPr>
                <w:rFonts w:ascii="Times New Roman" w:hAnsi="Times New Roman" w:cs="Times New Roman"/>
                <w:b/>
                <w:sz w:val="22"/>
                <w:szCs w:val="22"/>
                <w:vertAlign w:val="superscript"/>
                <w:lang w:val="en-US"/>
              </w:rPr>
            </w:pPr>
            <w:r>
              <w:rPr>
                <w:rFonts w:ascii="Times New Roman" w:hAnsi="Times New Roman" w:cs="Times New Roman"/>
                <w:b/>
                <w:sz w:val="22"/>
                <w:szCs w:val="22"/>
                <w:lang w:val="en-US"/>
              </w:rPr>
              <w:t xml:space="preserve">CB1 </w:t>
            </w:r>
            <w:proofErr w:type="spellStart"/>
            <w:r>
              <w:rPr>
                <w:rFonts w:ascii="Times New Roman" w:hAnsi="Times New Roman" w:cs="Times New Roman"/>
                <w:b/>
                <w:sz w:val="22"/>
                <w:szCs w:val="22"/>
                <w:lang w:val="en-US"/>
              </w:rPr>
              <w:t>inactive</w:t>
            </w:r>
            <w:r>
              <w:rPr>
                <w:rFonts w:ascii="Times New Roman" w:hAnsi="Times New Roman" w:cs="Times New Roman"/>
                <w:b/>
                <w:sz w:val="22"/>
                <w:szCs w:val="22"/>
                <w:vertAlign w:val="superscript"/>
                <w:lang w:val="en-US"/>
              </w:rPr>
              <w:t>b</w:t>
            </w:r>
            <w:proofErr w:type="spellEnd"/>
          </w:p>
        </w:tc>
        <w:tc>
          <w:tcPr>
            <w:tcW w:w="993" w:type="dxa"/>
            <w:shd w:val="clear" w:color="auto" w:fill="A6A6A6" w:themeFill="background1" w:themeFillShade="A6"/>
            <w:vAlign w:val="center"/>
          </w:tcPr>
          <w:p w14:paraId="5F475580"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GPR55</w:t>
            </w:r>
          </w:p>
          <w:p w14:paraId="4EA7E990" w14:textId="77777777" w:rsidR="006928A2" w:rsidRPr="004C3FAD" w:rsidRDefault="006928A2" w:rsidP="00D23219">
            <w:pPr>
              <w:pStyle w:val="Textosinformato"/>
              <w:jc w:val="center"/>
              <w:rPr>
                <w:rFonts w:ascii="Times New Roman" w:hAnsi="Times New Roman" w:cs="Times New Roman"/>
                <w:b/>
                <w:sz w:val="22"/>
                <w:szCs w:val="22"/>
                <w:vertAlign w:val="superscript"/>
                <w:lang w:val="en-US"/>
              </w:rPr>
            </w:pPr>
            <w:proofErr w:type="spellStart"/>
            <w:r>
              <w:rPr>
                <w:rFonts w:ascii="Times New Roman" w:hAnsi="Times New Roman" w:cs="Times New Roman"/>
                <w:b/>
                <w:sz w:val="22"/>
                <w:szCs w:val="22"/>
                <w:lang w:val="en-US"/>
              </w:rPr>
              <w:t>active</w:t>
            </w:r>
            <w:r>
              <w:rPr>
                <w:rFonts w:ascii="Times New Roman" w:hAnsi="Times New Roman" w:cs="Times New Roman"/>
                <w:b/>
                <w:sz w:val="22"/>
                <w:szCs w:val="22"/>
                <w:vertAlign w:val="superscript"/>
                <w:lang w:val="en-US"/>
              </w:rPr>
              <w:t>c</w:t>
            </w:r>
            <w:proofErr w:type="spellEnd"/>
          </w:p>
        </w:tc>
        <w:tc>
          <w:tcPr>
            <w:tcW w:w="1275" w:type="dxa"/>
            <w:shd w:val="clear" w:color="auto" w:fill="A6A6A6" w:themeFill="background1" w:themeFillShade="A6"/>
            <w:vAlign w:val="center"/>
          </w:tcPr>
          <w:p w14:paraId="1AB81FE4"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GPR55</w:t>
            </w:r>
          </w:p>
          <w:p w14:paraId="24AC3ADB" w14:textId="77777777" w:rsidR="006928A2" w:rsidRPr="004C3FAD" w:rsidRDefault="006928A2" w:rsidP="00D23219">
            <w:pPr>
              <w:pStyle w:val="Textosinformato"/>
              <w:jc w:val="center"/>
              <w:rPr>
                <w:rFonts w:ascii="Times New Roman" w:hAnsi="Times New Roman" w:cs="Times New Roman"/>
                <w:b/>
                <w:sz w:val="22"/>
                <w:szCs w:val="22"/>
                <w:lang w:val="en-US"/>
              </w:rPr>
            </w:pPr>
            <w:proofErr w:type="spellStart"/>
            <w:r>
              <w:rPr>
                <w:rFonts w:ascii="Times New Roman" w:hAnsi="Times New Roman" w:cs="Times New Roman"/>
                <w:b/>
                <w:sz w:val="22"/>
                <w:szCs w:val="22"/>
                <w:lang w:val="en-US"/>
              </w:rPr>
              <w:t>Inactive</w:t>
            </w:r>
            <w:r>
              <w:rPr>
                <w:rFonts w:ascii="Times New Roman" w:hAnsi="Times New Roman" w:cs="Times New Roman"/>
                <w:b/>
                <w:sz w:val="22"/>
                <w:szCs w:val="22"/>
                <w:vertAlign w:val="superscript"/>
                <w:lang w:val="en-US"/>
              </w:rPr>
              <w:t>d</w:t>
            </w:r>
            <w:proofErr w:type="spellEnd"/>
          </w:p>
        </w:tc>
        <w:tc>
          <w:tcPr>
            <w:tcW w:w="1134" w:type="dxa"/>
            <w:shd w:val="clear" w:color="auto" w:fill="A6A6A6" w:themeFill="background1" w:themeFillShade="A6"/>
            <w:vAlign w:val="center"/>
          </w:tcPr>
          <w:p w14:paraId="7E5AB2E7"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GPR18</w:t>
            </w:r>
          </w:p>
          <w:p w14:paraId="788E55D4" w14:textId="77777777" w:rsidR="006928A2" w:rsidRPr="004C3FAD" w:rsidRDefault="006928A2" w:rsidP="00D23219">
            <w:pPr>
              <w:pStyle w:val="Textosinformato"/>
              <w:jc w:val="center"/>
              <w:rPr>
                <w:rFonts w:ascii="Times New Roman" w:hAnsi="Times New Roman" w:cs="Times New Roman"/>
                <w:b/>
                <w:sz w:val="22"/>
                <w:szCs w:val="22"/>
                <w:lang w:val="en-US"/>
              </w:rPr>
            </w:pPr>
            <w:proofErr w:type="spellStart"/>
            <w:r>
              <w:rPr>
                <w:rFonts w:ascii="Times New Roman" w:hAnsi="Times New Roman" w:cs="Times New Roman"/>
                <w:b/>
                <w:sz w:val="22"/>
                <w:szCs w:val="22"/>
                <w:lang w:val="en-US"/>
              </w:rPr>
              <w:t>active</w:t>
            </w:r>
            <w:r>
              <w:rPr>
                <w:rFonts w:ascii="Times New Roman" w:hAnsi="Times New Roman" w:cs="Times New Roman"/>
                <w:b/>
                <w:sz w:val="22"/>
                <w:szCs w:val="22"/>
                <w:vertAlign w:val="superscript"/>
                <w:lang w:val="en-US"/>
              </w:rPr>
              <w:t>e</w:t>
            </w:r>
            <w:proofErr w:type="spellEnd"/>
          </w:p>
        </w:tc>
        <w:tc>
          <w:tcPr>
            <w:tcW w:w="1134" w:type="dxa"/>
            <w:shd w:val="clear" w:color="auto" w:fill="A6A6A6" w:themeFill="background1" w:themeFillShade="A6"/>
            <w:vAlign w:val="center"/>
          </w:tcPr>
          <w:p w14:paraId="077FA76C" w14:textId="77777777" w:rsidR="006928A2" w:rsidRDefault="006928A2" w:rsidP="00D23219">
            <w:pPr>
              <w:pStyle w:val="Textosinformato"/>
              <w:jc w:val="center"/>
              <w:rPr>
                <w:rFonts w:ascii="Times New Roman" w:hAnsi="Times New Roman" w:cs="Times New Roman"/>
                <w:b/>
                <w:sz w:val="22"/>
                <w:szCs w:val="22"/>
                <w:lang w:val="en-US"/>
              </w:rPr>
            </w:pPr>
            <w:r>
              <w:rPr>
                <w:rFonts w:ascii="Times New Roman" w:hAnsi="Times New Roman" w:cs="Times New Roman"/>
                <w:b/>
                <w:sz w:val="22"/>
                <w:szCs w:val="22"/>
                <w:lang w:val="en-US"/>
              </w:rPr>
              <w:t>GPR18</w:t>
            </w:r>
          </w:p>
          <w:p w14:paraId="47468205" w14:textId="77777777" w:rsidR="006928A2" w:rsidRPr="004C3FAD" w:rsidRDefault="006928A2" w:rsidP="00D23219">
            <w:pPr>
              <w:pStyle w:val="Textosinformato"/>
              <w:jc w:val="center"/>
              <w:rPr>
                <w:rFonts w:ascii="Times New Roman" w:hAnsi="Times New Roman" w:cs="Times New Roman"/>
                <w:b/>
                <w:sz w:val="22"/>
                <w:szCs w:val="22"/>
                <w:lang w:val="en-US"/>
              </w:rPr>
            </w:pPr>
            <w:proofErr w:type="spellStart"/>
            <w:r>
              <w:rPr>
                <w:rFonts w:ascii="Times New Roman" w:hAnsi="Times New Roman" w:cs="Times New Roman"/>
                <w:b/>
                <w:sz w:val="22"/>
                <w:szCs w:val="22"/>
                <w:lang w:val="en-US"/>
              </w:rPr>
              <w:t>Inactive</w:t>
            </w:r>
            <w:r>
              <w:rPr>
                <w:rFonts w:ascii="Times New Roman" w:hAnsi="Times New Roman" w:cs="Times New Roman"/>
                <w:b/>
                <w:sz w:val="22"/>
                <w:szCs w:val="22"/>
                <w:vertAlign w:val="superscript"/>
                <w:lang w:val="en-US"/>
              </w:rPr>
              <w:t>e</w:t>
            </w:r>
            <w:proofErr w:type="spellEnd"/>
          </w:p>
        </w:tc>
      </w:tr>
      <w:tr w:rsidR="006928A2" w:rsidRPr="0070100F" w14:paraId="513B4AC1" w14:textId="77777777" w:rsidTr="00D23219">
        <w:trPr>
          <w:trHeight w:val="372"/>
        </w:trPr>
        <w:tc>
          <w:tcPr>
            <w:tcW w:w="1768" w:type="dxa"/>
            <w:shd w:val="clear" w:color="auto" w:fill="F2F2F2" w:themeFill="background1" w:themeFillShade="F2"/>
            <w:vAlign w:val="center"/>
          </w:tcPr>
          <w:p w14:paraId="78BAA7D3" w14:textId="77777777" w:rsidR="006928A2" w:rsidRPr="00F41714" w:rsidRDefault="006928A2" w:rsidP="00D23219">
            <w:pPr>
              <w:pStyle w:val="TCTableBody"/>
              <w:spacing w:after="0"/>
              <w:jc w:val="center"/>
              <w:rPr>
                <w:rFonts w:ascii="Times New Roman" w:hAnsi="Times New Roman"/>
                <w:b/>
                <w:sz w:val="22"/>
                <w:szCs w:val="22"/>
              </w:rPr>
            </w:pPr>
            <w:r w:rsidRPr="00F41714">
              <w:rPr>
                <w:rFonts w:ascii="Times New Roman" w:hAnsi="Times New Roman"/>
                <w:b/>
                <w:sz w:val="22"/>
                <w:szCs w:val="22"/>
              </w:rPr>
              <w:t>AM841</w:t>
            </w:r>
            <w:r w:rsidRPr="00F41714">
              <w:rPr>
                <w:rFonts w:ascii="Times New Roman" w:hAnsi="Times New Roman"/>
                <w:b/>
                <w:sz w:val="22"/>
                <w:szCs w:val="22"/>
                <w:vertAlign w:val="superscript"/>
              </w:rPr>
              <w:t>a</w:t>
            </w:r>
          </w:p>
        </w:tc>
        <w:tc>
          <w:tcPr>
            <w:tcW w:w="2480" w:type="dxa"/>
            <w:shd w:val="clear" w:color="auto" w:fill="F2F2F2" w:themeFill="background1" w:themeFillShade="F2"/>
            <w:vAlign w:val="center"/>
          </w:tcPr>
          <w:p w14:paraId="2BC5509A" w14:textId="77777777" w:rsidR="006928A2" w:rsidRPr="00F41714" w:rsidRDefault="006928A2" w:rsidP="00D23219">
            <w:pPr>
              <w:pStyle w:val="Textosinformato"/>
              <w:jc w:val="center"/>
              <w:rPr>
                <w:rFonts w:ascii="Times New Roman" w:hAnsi="Times New Roman" w:cs="Times New Roman"/>
                <w:b/>
                <w:sz w:val="22"/>
                <w:szCs w:val="22"/>
                <w:lang w:val="en-US"/>
              </w:rPr>
            </w:pPr>
            <w:r w:rsidRPr="00F41714">
              <w:rPr>
                <w:noProof/>
              </w:rPr>
              <w:object w:dxaOrig="3694" w:dyaOrig="1854" w14:anchorId="5ED3F11C">
                <v:shape id="_x0000_i1048" type="#_x0000_t75" alt="" style="width:118.05pt;height:59.45pt;mso-width-percent:0;mso-height-percent:0;mso-width-percent:0;mso-height-percent:0" o:ole="">
                  <v:imagedata r:id="rId63" o:title=""/>
                </v:shape>
                <o:OLEObject Type="Embed" ProgID="ChemDraw.Document.6.0" ShapeID="_x0000_i1048" DrawAspect="Content" ObjectID="_1706533578" r:id="rId64"/>
              </w:object>
            </w:r>
          </w:p>
        </w:tc>
        <w:tc>
          <w:tcPr>
            <w:tcW w:w="1134" w:type="dxa"/>
            <w:shd w:val="clear" w:color="auto" w:fill="F2F2F2" w:themeFill="background1" w:themeFillShade="F2"/>
            <w:vAlign w:val="center"/>
          </w:tcPr>
          <w:p w14:paraId="4BB1DCAA" w14:textId="77777777" w:rsidR="006928A2" w:rsidRPr="0070100F" w:rsidRDefault="006928A2" w:rsidP="00D23219">
            <w:pPr>
              <w:pStyle w:val="Textosinformato"/>
              <w:jc w:val="center"/>
              <w:rPr>
                <w:rFonts w:ascii="Times New Roman" w:hAnsi="Times New Roman" w:cs="Times New Roman"/>
                <w:bCs/>
                <w:sz w:val="22"/>
                <w:szCs w:val="22"/>
                <w:lang w:val="en-US"/>
              </w:rPr>
            </w:pPr>
            <w:r>
              <w:rPr>
                <w:rFonts w:ascii="Times New Roman" w:hAnsi="Times New Roman" w:cs="Times New Roman"/>
                <w:bCs/>
                <w:sz w:val="22"/>
                <w:szCs w:val="22"/>
                <w:lang w:val="en-US"/>
              </w:rPr>
              <w:t>-12.07</w:t>
            </w:r>
          </w:p>
        </w:tc>
        <w:tc>
          <w:tcPr>
            <w:tcW w:w="1417" w:type="dxa"/>
            <w:shd w:val="clear" w:color="auto" w:fill="F2F2F2" w:themeFill="background1" w:themeFillShade="F2"/>
            <w:vAlign w:val="center"/>
          </w:tcPr>
          <w:p w14:paraId="016B52DC"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993" w:type="dxa"/>
            <w:shd w:val="clear" w:color="auto" w:fill="F2F2F2" w:themeFill="background1" w:themeFillShade="F2"/>
            <w:vAlign w:val="center"/>
          </w:tcPr>
          <w:p w14:paraId="0D566105"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275" w:type="dxa"/>
            <w:shd w:val="clear" w:color="auto" w:fill="F2F2F2" w:themeFill="background1" w:themeFillShade="F2"/>
            <w:vAlign w:val="center"/>
          </w:tcPr>
          <w:p w14:paraId="45D4BEE8"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0DAC913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304B3BA1"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r>
      <w:tr w:rsidR="006928A2" w:rsidRPr="0070100F" w14:paraId="38916121" w14:textId="77777777" w:rsidTr="00D23219">
        <w:trPr>
          <w:trHeight w:val="372"/>
        </w:trPr>
        <w:tc>
          <w:tcPr>
            <w:tcW w:w="1768" w:type="dxa"/>
            <w:shd w:val="clear" w:color="auto" w:fill="F2F2F2" w:themeFill="background1" w:themeFillShade="F2"/>
            <w:vAlign w:val="center"/>
          </w:tcPr>
          <w:p w14:paraId="6AAFC1F3" w14:textId="77777777" w:rsidR="006928A2" w:rsidRPr="00A139BE" w:rsidRDefault="006928A2" w:rsidP="00D23219">
            <w:pPr>
              <w:pStyle w:val="TCTableBody"/>
              <w:spacing w:after="0"/>
              <w:jc w:val="center"/>
              <w:rPr>
                <w:rFonts w:ascii="Times New Roman" w:hAnsi="Times New Roman"/>
                <w:b/>
                <w:sz w:val="22"/>
                <w:szCs w:val="22"/>
              </w:rPr>
            </w:pPr>
            <w:proofErr w:type="spellStart"/>
            <w:r w:rsidRPr="00A139BE">
              <w:rPr>
                <w:rFonts w:ascii="Times New Roman" w:hAnsi="Times New Roman"/>
                <w:b/>
                <w:sz w:val="22"/>
                <w:szCs w:val="22"/>
              </w:rPr>
              <w:t>Taranabant</w:t>
            </w:r>
            <w:r w:rsidRPr="00A139BE">
              <w:rPr>
                <w:rFonts w:ascii="Times New Roman" w:hAnsi="Times New Roman"/>
                <w:b/>
                <w:sz w:val="22"/>
                <w:szCs w:val="22"/>
                <w:vertAlign w:val="superscript"/>
              </w:rPr>
              <w:t>b</w:t>
            </w:r>
            <w:proofErr w:type="spellEnd"/>
          </w:p>
        </w:tc>
        <w:tc>
          <w:tcPr>
            <w:tcW w:w="2480" w:type="dxa"/>
            <w:shd w:val="clear" w:color="auto" w:fill="F2F2F2" w:themeFill="background1" w:themeFillShade="F2"/>
            <w:vAlign w:val="center"/>
          </w:tcPr>
          <w:p w14:paraId="73B0806F" w14:textId="77777777" w:rsidR="006928A2" w:rsidRPr="003E6BCF" w:rsidRDefault="006928A2" w:rsidP="00D23219">
            <w:pPr>
              <w:pStyle w:val="Textosinformato"/>
              <w:jc w:val="center"/>
              <w:rPr>
                <w:rFonts w:ascii="Times New Roman" w:hAnsi="Times New Roman" w:cs="Times New Roman"/>
                <w:b/>
                <w:sz w:val="22"/>
                <w:szCs w:val="22"/>
                <w:highlight w:val="yellow"/>
                <w:lang w:val="en-US"/>
              </w:rPr>
            </w:pPr>
            <w:r w:rsidRPr="00F41714">
              <w:rPr>
                <w:noProof/>
              </w:rPr>
              <w:object w:dxaOrig="3007" w:dyaOrig="2271" w14:anchorId="03D59FD5">
                <v:shape id="_x0000_i1049" type="#_x0000_t75" alt="" style="width:96.3pt;height:72.85pt;mso-width-percent:0;mso-height-percent:0;mso-width-percent:0;mso-height-percent:0" o:ole="">
                  <v:imagedata r:id="rId65" o:title=""/>
                </v:shape>
                <o:OLEObject Type="Embed" ProgID="ChemDraw.Document.6.0" ShapeID="_x0000_i1049" DrawAspect="Content" ObjectID="_1706533579" r:id="rId66"/>
              </w:object>
            </w:r>
          </w:p>
        </w:tc>
        <w:tc>
          <w:tcPr>
            <w:tcW w:w="1134" w:type="dxa"/>
            <w:shd w:val="clear" w:color="auto" w:fill="F2F2F2" w:themeFill="background1" w:themeFillShade="F2"/>
            <w:vAlign w:val="center"/>
          </w:tcPr>
          <w:p w14:paraId="553C1783"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417" w:type="dxa"/>
            <w:shd w:val="clear" w:color="auto" w:fill="F2F2F2" w:themeFill="background1" w:themeFillShade="F2"/>
            <w:vAlign w:val="center"/>
          </w:tcPr>
          <w:p w14:paraId="7D5ED9B9"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-14.89</w:t>
            </w:r>
          </w:p>
        </w:tc>
        <w:tc>
          <w:tcPr>
            <w:tcW w:w="993" w:type="dxa"/>
            <w:shd w:val="clear" w:color="auto" w:fill="F2F2F2" w:themeFill="background1" w:themeFillShade="F2"/>
            <w:vAlign w:val="center"/>
          </w:tcPr>
          <w:p w14:paraId="3AD385F1" w14:textId="77777777" w:rsidR="006928A2" w:rsidRPr="0070100F" w:rsidRDefault="006928A2" w:rsidP="00D23219">
            <w:pPr>
              <w:pStyle w:val="Textosinformato"/>
              <w:jc w:val="center"/>
              <w:rPr>
                <w:rFonts w:ascii="Times New Roman" w:hAnsi="Times New Roman" w:cs="Times New Roman"/>
                <w:bCs/>
                <w:sz w:val="22"/>
                <w:szCs w:val="22"/>
                <w:vertAlign w:val="superscript"/>
                <w:lang w:val="en-US"/>
              </w:rPr>
            </w:pPr>
            <w:r w:rsidRPr="0070100F">
              <w:rPr>
                <w:rFonts w:ascii="Times New Roman" w:hAnsi="Times New Roman" w:cs="Times New Roman"/>
                <w:bCs/>
                <w:sz w:val="22"/>
                <w:szCs w:val="22"/>
                <w:lang w:val="en-US"/>
              </w:rPr>
              <w:t>-</w:t>
            </w:r>
          </w:p>
        </w:tc>
        <w:tc>
          <w:tcPr>
            <w:tcW w:w="1275" w:type="dxa"/>
            <w:shd w:val="clear" w:color="auto" w:fill="F2F2F2" w:themeFill="background1" w:themeFillShade="F2"/>
            <w:vAlign w:val="center"/>
          </w:tcPr>
          <w:p w14:paraId="5FC6529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565AE469"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77F9788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r>
      <w:tr w:rsidR="006928A2" w:rsidRPr="0070100F" w14:paraId="1B5FBA98" w14:textId="77777777" w:rsidTr="00D23219">
        <w:trPr>
          <w:trHeight w:val="372"/>
        </w:trPr>
        <w:tc>
          <w:tcPr>
            <w:tcW w:w="1768" w:type="dxa"/>
            <w:shd w:val="clear" w:color="auto" w:fill="F2F2F2" w:themeFill="background1" w:themeFillShade="F2"/>
            <w:vAlign w:val="center"/>
          </w:tcPr>
          <w:p w14:paraId="3C480E86" w14:textId="77777777" w:rsidR="006928A2" w:rsidRDefault="006928A2" w:rsidP="00D23219">
            <w:pPr>
              <w:pStyle w:val="TCTableBody"/>
              <w:spacing w:after="0"/>
              <w:jc w:val="center"/>
              <w:rPr>
                <w:rFonts w:ascii="Times New Roman" w:hAnsi="Times New Roman"/>
                <w:b/>
                <w:sz w:val="22"/>
                <w:szCs w:val="22"/>
              </w:rPr>
            </w:pPr>
            <w:r>
              <w:rPr>
                <w:rFonts w:ascii="Times New Roman" w:hAnsi="Times New Roman"/>
                <w:b/>
                <w:sz w:val="22"/>
                <w:szCs w:val="22"/>
              </w:rPr>
              <w:lastRenderedPageBreak/>
              <w:t>ML184</w:t>
            </w:r>
            <w:r>
              <w:rPr>
                <w:rFonts w:ascii="Times New Roman" w:hAnsi="Times New Roman"/>
                <w:b/>
                <w:sz w:val="22"/>
                <w:szCs w:val="22"/>
                <w:vertAlign w:val="superscript"/>
              </w:rPr>
              <w:t>c</w:t>
            </w:r>
          </w:p>
        </w:tc>
        <w:tc>
          <w:tcPr>
            <w:tcW w:w="2480" w:type="dxa"/>
            <w:shd w:val="clear" w:color="auto" w:fill="F2F2F2" w:themeFill="background1" w:themeFillShade="F2"/>
            <w:vAlign w:val="center"/>
          </w:tcPr>
          <w:p w14:paraId="3361F4DC"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1843" w:dyaOrig="2734" w14:anchorId="35616DFE">
                <v:shape id="_x0000_i1050" type="#_x0000_t75" alt="" style="width:64.45pt;height:95.45pt;mso-width-percent:0;mso-height-percent:0;mso-width-percent:0;mso-height-percent:0" o:ole="">
                  <v:imagedata r:id="rId67" o:title=""/>
                </v:shape>
                <o:OLEObject Type="Embed" ProgID="ChemDraw.Document.6.0" ShapeID="_x0000_i1050" DrawAspect="Content" ObjectID="_1706533580" r:id="rId68"/>
              </w:object>
            </w:r>
          </w:p>
        </w:tc>
        <w:tc>
          <w:tcPr>
            <w:tcW w:w="1134" w:type="dxa"/>
            <w:shd w:val="clear" w:color="auto" w:fill="F2F2F2" w:themeFill="background1" w:themeFillShade="F2"/>
            <w:vAlign w:val="center"/>
          </w:tcPr>
          <w:p w14:paraId="4FFB6F0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417" w:type="dxa"/>
            <w:shd w:val="clear" w:color="auto" w:fill="F2F2F2" w:themeFill="background1" w:themeFillShade="F2"/>
            <w:vAlign w:val="center"/>
          </w:tcPr>
          <w:p w14:paraId="7BDED726"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993" w:type="dxa"/>
            <w:shd w:val="clear" w:color="auto" w:fill="F2F2F2" w:themeFill="background1" w:themeFillShade="F2"/>
            <w:vAlign w:val="center"/>
          </w:tcPr>
          <w:p w14:paraId="2EF0BFD2"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-1</w:t>
            </w:r>
            <w:r>
              <w:rPr>
                <w:rFonts w:ascii="Times New Roman" w:hAnsi="Times New Roman" w:cs="Times New Roman"/>
                <w:bCs/>
                <w:sz w:val="22"/>
                <w:szCs w:val="22"/>
                <w:lang w:val="en-US"/>
              </w:rPr>
              <w:t>0</w:t>
            </w:r>
            <w:r w:rsidRPr="0070100F">
              <w:rPr>
                <w:rFonts w:ascii="Times New Roman" w:hAnsi="Times New Roman" w:cs="Times New Roman"/>
                <w:bCs/>
                <w:sz w:val="22"/>
                <w:szCs w:val="22"/>
                <w:lang w:val="en-US"/>
              </w:rPr>
              <w:t>.31</w:t>
            </w:r>
          </w:p>
        </w:tc>
        <w:tc>
          <w:tcPr>
            <w:tcW w:w="1275" w:type="dxa"/>
            <w:shd w:val="clear" w:color="auto" w:fill="F2F2F2" w:themeFill="background1" w:themeFillShade="F2"/>
            <w:vAlign w:val="center"/>
          </w:tcPr>
          <w:p w14:paraId="64FBAE3C"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2658108F"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1B8012D8"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r>
      <w:tr w:rsidR="006928A2" w:rsidRPr="0070100F" w14:paraId="2574D849" w14:textId="77777777" w:rsidTr="00D23219">
        <w:trPr>
          <w:trHeight w:val="372"/>
        </w:trPr>
        <w:tc>
          <w:tcPr>
            <w:tcW w:w="1768" w:type="dxa"/>
            <w:shd w:val="clear" w:color="auto" w:fill="F2F2F2" w:themeFill="background1" w:themeFillShade="F2"/>
            <w:vAlign w:val="center"/>
          </w:tcPr>
          <w:p w14:paraId="42860FB1" w14:textId="77777777" w:rsidR="006928A2" w:rsidRDefault="006928A2" w:rsidP="00D23219">
            <w:pPr>
              <w:pStyle w:val="TCTableBody"/>
              <w:spacing w:after="0"/>
              <w:jc w:val="center"/>
              <w:rPr>
                <w:rFonts w:ascii="Times New Roman" w:hAnsi="Times New Roman"/>
                <w:b/>
                <w:sz w:val="22"/>
                <w:szCs w:val="22"/>
              </w:rPr>
            </w:pPr>
            <w:r>
              <w:rPr>
                <w:rFonts w:ascii="Times New Roman" w:hAnsi="Times New Roman"/>
                <w:b/>
                <w:sz w:val="22"/>
                <w:szCs w:val="22"/>
              </w:rPr>
              <w:t>ML193</w:t>
            </w:r>
            <w:r>
              <w:rPr>
                <w:rFonts w:ascii="Times New Roman" w:hAnsi="Times New Roman"/>
                <w:b/>
                <w:sz w:val="22"/>
                <w:szCs w:val="22"/>
                <w:vertAlign w:val="superscript"/>
              </w:rPr>
              <w:t>d</w:t>
            </w:r>
          </w:p>
        </w:tc>
        <w:tc>
          <w:tcPr>
            <w:tcW w:w="2480" w:type="dxa"/>
            <w:shd w:val="clear" w:color="auto" w:fill="F2F2F2" w:themeFill="background1" w:themeFillShade="F2"/>
            <w:vAlign w:val="center"/>
          </w:tcPr>
          <w:p w14:paraId="2C14D52A"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2570" w:dyaOrig="3076" w14:anchorId="75C58B47">
                <v:shape id="_x0000_i1051" type="#_x0000_t75" alt="" style="width:86.25pt;height:103.8pt;mso-width-percent:0;mso-height-percent:0;mso-width-percent:0;mso-height-percent:0" o:ole="">
                  <v:imagedata r:id="rId69" o:title=""/>
                </v:shape>
                <o:OLEObject Type="Embed" ProgID="ChemDraw.Document.6.0" ShapeID="_x0000_i1051" DrawAspect="Content" ObjectID="_1706533581" r:id="rId70"/>
              </w:object>
            </w:r>
          </w:p>
        </w:tc>
        <w:tc>
          <w:tcPr>
            <w:tcW w:w="1134" w:type="dxa"/>
            <w:shd w:val="clear" w:color="auto" w:fill="F2F2F2" w:themeFill="background1" w:themeFillShade="F2"/>
            <w:vAlign w:val="center"/>
          </w:tcPr>
          <w:p w14:paraId="36427A42"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417" w:type="dxa"/>
            <w:shd w:val="clear" w:color="auto" w:fill="F2F2F2" w:themeFill="background1" w:themeFillShade="F2"/>
            <w:vAlign w:val="center"/>
          </w:tcPr>
          <w:p w14:paraId="2F591330"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993" w:type="dxa"/>
            <w:shd w:val="clear" w:color="auto" w:fill="F2F2F2" w:themeFill="background1" w:themeFillShade="F2"/>
            <w:vAlign w:val="center"/>
          </w:tcPr>
          <w:p w14:paraId="0741F0C8"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275" w:type="dxa"/>
            <w:shd w:val="clear" w:color="auto" w:fill="F2F2F2" w:themeFill="background1" w:themeFillShade="F2"/>
            <w:vAlign w:val="center"/>
          </w:tcPr>
          <w:p w14:paraId="07BEE20E"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-6.98</w:t>
            </w:r>
          </w:p>
        </w:tc>
        <w:tc>
          <w:tcPr>
            <w:tcW w:w="1134" w:type="dxa"/>
            <w:shd w:val="clear" w:color="auto" w:fill="F2F2F2" w:themeFill="background1" w:themeFillShade="F2"/>
            <w:vAlign w:val="center"/>
          </w:tcPr>
          <w:p w14:paraId="40F2EBCF"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424D2AEF"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r>
      <w:tr w:rsidR="006928A2" w:rsidRPr="0070100F" w14:paraId="585DF5B2" w14:textId="77777777" w:rsidTr="00D23219">
        <w:trPr>
          <w:trHeight w:val="372"/>
        </w:trPr>
        <w:tc>
          <w:tcPr>
            <w:tcW w:w="1768" w:type="dxa"/>
            <w:shd w:val="clear" w:color="auto" w:fill="F2F2F2" w:themeFill="background1" w:themeFillShade="F2"/>
            <w:vAlign w:val="center"/>
          </w:tcPr>
          <w:p w14:paraId="0E9A2A9C" w14:textId="77777777" w:rsidR="006928A2" w:rsidRDefault="006928A2" w:rsidP="00D23219">
            <w:pPr>
              <w:pStyle w:val="TCTableBody"/>
              <w:spacing w:after="0"/>
              <w:jc w:val="center"/>
              <w:rPr>
                <w:rFonts w:ascii="Times New Roman" w:hAnsi="Times New Roman"/>
                <w:b/>
                <w:sz w:val="22"/>
                <w:szCs w:val="22"/>
              </w:rPr>
            </w:pPr>
            <w:r>
              <w:rPr>
                <w:rFonts w:ascii="Times New Roman" w:hAnsi="Times New Roman"/>
                <w:b/>
                <w:sz w:val="22"/>
                <w:szCs w:val="22"/>
              </w:rPr>
              <w:t>S5</w:t>
            </w:r>
            <w:r w:rsidRPr="006646D4">
              <w:rPr>
                <w:rFonts w:ascii="Times New Roman" w:hAnsi="Times New Roman"/>
                <w:b/>
                <w:sz w:val="22"/>
                <w:szCs w:val="22"/>
                <w:vertAlign w:val="superscript"/>
              </w:rPr>
              <w:t>f</w:t>
            </w:r>
          </w:p>
        </w:tc>
        <w:tc>
          <w:tcPr>
            <w:tcW w:w="2480" w:type="dxa"/>
            <w:shd w:val="clear" w:color="auto" w:fill="F2F2F2" w:themeFill="background1" w:themeFillShade="F2"/>
            <w:vAlign w:val="center"/>
          </w:tcPr>
          <w:p w14:paraId="4B615E17"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2531" w:dyaOrig="2058" w14:anchorId="367D131D">
                <v:shape id="_x0000_i1052" type="#_x0000_t75" alt="" style="width:76.2pt;height:61.1pt;mso-width-percent:0;mso-height-percent:0;mso-width-percent:0;mso-height-percent:0" o:ole="">
                  <v:imagedata r:id="rId71" o:title=""/>
                </v:shape>
                <o:OLEObject Type="Embed" ProgID="ChemDraw.Document.6.0" ShapeID="_x0000_i1052" DrawAspect="Content" ObjectID="_1706533582" r:id="rId72"/>
              </w:object>
            </w:r>
          </w:p>
        </w:tc>
        <w:tc>
          <w:tcPr>
            <w:tcW w:w="1134" w:type="dxa"/>
            <w:shd w:val="clear" w:color="auto" w:fill="F2F2F2" w:themeFill="background1" w:themeFillShade="F2"/>
            <w:vAlign w:val="center"/>
          </w:tcPr>
          <w:p w14:paraId="716373C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417" w:type="dxa"/>
            <w:shd w:val="clear" w:color="auto" w:fill="F2F2F2" w:themeFill="background1" w:themeFillShade="F2"/>
            <w:vAlign w:val="center"/>
          </w:tcPr>
          <w:p w14:paraId="0F5D1720"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993" w:type="dxa"/>
            <w:shd w:val="clear" w:color="auto" w:fill="F2F2F2" w:themeFill="background1" w:themeFillShade="F2"/>
            <w:vAlign w:val="center"/>
          </w:tcPr>
          <w:p w14:paraId="014CCFEA"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275" w:type="dxa"/>
            <w:shd w:val="clear" w:color="auto" w:fill="F2F2F2" w:themeFill="background1" w:themeFillShade="F2"/>
            <w:vAlign w:val="center"/>
          </w:tcPr>
          <w:p w14:paraId="7AD0FAB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3E2EBC29"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-7.19</w:t>
            </w:r>
          </w:p>
        </w:tc>
        <w:tc>
          <w:tcPr>
            <w:tcW w:w="1134" w:type="dxa"/>
            <w:shd w:val="clear" w:color="auto" w:fill="F2F2F2" w:themeFill="background1" w:themeFillShade="F2"/>
            <w:vAlign w:val="center"/>
          </w:tcPr>
          <w:p w14:paraId="21F53E26"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r>
      <w:tr w:rsidR="006928A2" w:rsidRPr="0070100F" w14:paraId="2D694D1F" w14:textId="77777777" w:rsidTr="00D23219">
        <w:trPr>
          <w:trHeight w:val="372"/>
        </w:trPr>
        <w:tc>
          <w:tcPr>
            <w:tcW w:w="1768" w:type="dxa"/>
            <w:shd w:val="clear" w:color="auto" w:fill="F2F2F2" w:themeFill="background1" w:themeFillShade="F2"/>
            <w:vAlign w:val="center"/>
          </w:tcPr>
          <w:p w14:paraId="27A788DB" w14:textId="77777777" w:rsidR="006928A2" w:rsidRDefault="006928A2" w:rsidP="00D23219">
            <w:pPr>
              <w:pStyle w:val="TCTableBody"/>
              <w:spacing w:after="0"/>
              <w:jc w:val="center"/>
              <w:rPr>
                <w:rFonts w:ascii="Times New Roman" w:hAnsi="Times New Roman"/>
                <w:b/>
                <w:sz w:val="22"/>
                <w:szCs w:val="22"/>
              </w:rPr>
            </w:pPr>
            <w:r>
              <w:rPr>
                <w:rFonts w:ascii="Times New Roman" w:hAnsi="Times New Roman"/>
                <w:b/>
                <w:sz w:val="22"/>
                <w:szCs w:val="22"/>
              </w:rPr>
              <w:t>PSB-CB5</w:t>
            </w:r>
            <w:r>
              <w:rPr>
                <w:rFonts w:ascii="Times New Roman" w:hAnsi="Times New Roman"/>
                <w:b/>
                <w:sz w:val="22"/>
                <w:szCs w:val="22"/>
                <w:vertAlign w:val="superscript"/>
              </w:rPr>
              <w:t>g</w:t>
            </w:r>
          </w:p>
        </w:tc>
        <w:tc>
          <w:tcPr>
            <w:tcW w:w="2480" w:type="dxa"/>
            <w:shd w:val="clear" w:color="auto" w:fill="F2F2F2" w:themeFill="background1" w:themeFillShade="F2"/>
            <w:vAlign w:val="center"/>
          </w:tcPr>
          <w:p w14:paraId="6139EF35" w14:textId="77777777" w:rsidR="006928A2" w:rsidRDefault="006928A2" w:rsidP="00D23219">
            <w:pPr>
              <w:pStyle w:val="Textosinformato"/>
              <w:jc w:val="center"/>
              <w:rPr>
                <w:rFonts w:ascii="Times New Roman" w:hAnsi="Times New Roman" w:cs="Times New Roman"/>
                <w:b/>
                <w:sz w:val="22"/>
                <w:szCs w:val="22"/>
                <w:lang w:val="en-US"/>
              </w:rPr>
            </w:pPr>
            <w:r>
              <w:rPr>
                <w:noProof/>
              </w:rPr>
              <w:object w:dxaOrig="3640" w:dyaOrig="1429" w14:anchorId="7752FDCC">
                <v:shape id="_x0000_i1053" type="#_x0000_t75" alt="" style="width:113pt;height:44.35pt;mso-width-percent:0;mso-height-percent:0;mso-width-percent:0;mso-height-percent:0" o:ole="">
                  <v:imagedata r:id="rId73" o:title=""/>
                </v:shape>
                <o:OLEObject Type="Embed" ProgID="ChemDraw.Document.6.0" ShapeID="_x0000_i1053" DrawAspect="Content" ObjectID="_1706533583" r:id="rId74"/>
              </w:object>
            </w:r>
          </w:p>
        </w:tc>
        <w:tc>
          <w:tcPr>
            <w:tcW w:w="1134" w:type="dxa"/>
            <w:shd w:val="clear" w:color="auto" w:fill="F2F2F2" w:themeFill="background1" w:themeFillShade="F2"/>
            <w:vAlign w:val="center"/>
          </w:tcPr>
          <w:p w14:paraId="069AA032"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417" w:type="dxa"/>
            <w:shd w:val="clear" w:color="auto" w:fill="F2F2F2" w:themeFill="background1" w:themeFillShade="F2"/>
            <w:vAlign w:val="center"/>
          </w:tcPr>
          <w:p w14:paraId="75004CC4"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993" w:type="dxa"/>
            <w:shd w:val="clear" w:color="auto" w:fill="F2F2F2" w:themeFill="background1" w:themeFillShade="F2"/>
            <w:vAlign w:val="center"/>
          </w:tcPr>
          <w:p w14:paraId="278DFAA8"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275" w:type="dxa"/>
            <w:shd w:val="clear" w:color="auto" w:fill="F2F2F2" w:themeFill="background1" w:themeFillShade="F2"/>
            <w:vAlign w:val="center"/>
          </w:tcPr>
          <w:p w14:paraId="0CD5D7D3"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02C57680"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w:t>
            </w:r>
          </w:p>
        </w:tc>
        <w:tc>
          <w:tcPr>
            <w:tcW w:w="1134" w:type="dxa"/>
            <w:shd w:val="clear" w:color="auto" w:fill="F2F2F2" w:themeFill="background1" w:themeFillShade="F2"/>
            <w:vAlign w:val="center"/>
          </w:tcPr>
          <w:p w14:paraId="6C5FAC7E" w14:textId="77777777" w:rsidR="006928A2" w:rsidRPr="0070100F" w:rsidRDefault="006928A2" w:rsidP="00D23219">
            <w:pPr>
              <w:pStyle w:val="Textosinformato"/>
              <w:jc w:val="center"/>
              <w:rPr>
                <w:rFonts w:ascii="Times New Roman" w:hAnsi="Times New Roman" w:cs="Times New Roman"/>
                <w:bCs/>
                <w:sz w:val="22"/>
                <w:szCs w:val="22"/>
                <w:lang w:val="en-US"/>
              </w:rPr>
            </w:pPr>
            <w:r w:rsidRPr="0070100F">
              <w:rPr>
                <w:rFonts w:ascii="Times New Roman" w:hAnsi="Times New Roman" w:cs="Times New Roman"/>
                <w:bCs/>
                <w:sz w:val="22"/>
                <w:szCs w:val="22"/>
                <w:lang w:val="en-US"/>
              </w:rPr>
              <w:t>-6.79</w:t>
            </w:r>
          </w:p>
        </w:tc>
      </w:tr>
      <w:tr w:rsidR="006928A2" w:rsidRPr="0070100F" w14:paraId="4EFFED07" w14:textId="77777777" w:rsidTr="00D23219">
        <w:trPr>
          <w:trHeight w:val="358"/>
        </w:trPr>
        <w:tc>
          <w:tcPr>
            <w:tcW w:w="1768" w:type="dxa"/>
            <w:shd w:val="clear" w:color="auto" w:fill="auto"/>
            <w:vAlign w:val="center"/>
          </w:tcPr>
          <w:p w14:paraId="3BC065AB" w14:textId="77777777" w:rsidR="006928A2" w:rsidRPr="007E463C" w:rsidRDefault="006928A2" w:rsidP="00D23219">
            <w:pPr>
              <w:spacing w:before="0" w:after="0"/>
              <w:jc w:val="center"/>
              <w:rPr>
                <w:rFonts w:eastAsia="Times New Roman" w:cs="Times New Roman"/>
                <w:b/>
                <w:szCs w:val="24"/>
              </w:rPr>
            </w:pPr>
            <w:r w:rsidRPr="004F6E7F">
              <w:rPr>
                <w:rFonts w:cs="Times New Roman"/>
                <w:b/>
                <w:color w:val="000000"/>
                <w:szCs w:val="24"/>
              </w:rPr>
              <w:t>59824268</w:t>
            </w:r>
          </w:p>
        </w:tc>
        <w:tc>
          <w:tcPr>
            <w:tcW w:w="2480" w:type="dxa"/>
            <w:shd w:val="clear" w:color="auto" w:fill="auto"/>
            <w:vAlign w:val="center"/>
          </w:tcPr>
          <w:p w14:paraId="5F092EEE" w14:textId="77777777" w:rsidR="006928A2" w:rsidRDefault="006928A2" w:rsidP="00D23219">
            <w:pPr>
              <w:spacing w:before="0" w:after="0"/>
              <w:jc w:val="center"/>
              <w:rPr>
                <w:rFonts w:cs="Times New Roman"/>
                <w:szCs w:val="24"/>
              </w:rPr>
            </w:pPr>
            <w:r w:rsidRPr="00186A43">
              <w:rPr>
                <w:rFonts w:cs="Times New Roman"/>
                <w:noProof/>
                <w:sz w:val="22"/>
              </w:rPr>
              <w:object w:dxaOrig="2825" w:dyaOrig="824" w14:anchorId="45DF7924">
                <v:shape id="_x0000_i1054" type="#_x0000_t75" alt="" style="width:102.15pt;height:29.3pt;mso-width-percent:0;mso-height-percent:0;mso-width-percent:0;mso-height-percent:0" o:ole="">
                  <v:imagedata r:id="rId75" o:title=""/>
                </v:shape>
                <o:OLEObject Type="Embed" ProgID="ChemDraw.Document.6.0" ShapeID="_x0000_i1054" DrawAspect="Content" ObjectID="_1706533584" r:id="rId76"/>
              </w:object>
            </w:r>
          </w:p>
        </w:tc>
        <w:tc>
          <w:tcPr>
            <w:tcW w:w="1134" w:type="dxa"/>
            <w:shd w:val="clear" w:color="auto" w:fill="auto"/>
            <w:vAlign w:val="center"/>
          </w:tcPr>
          <w:p w14:paraId="7E5A4A2E" w14:textId="77777777" w:rsidR="006928A2" w:rsidRPr="0070100F" w:rsidRDefault="006928A2" w:rsidP="00D23219">
            <w:pPr>
              <w:spacing w:before="0" w:after="0"/>
              <w:jc w:val="center"/>
              <w:rPr>
                <w:rFonts w:cs="Times New Roman"/>
                <w:bCs/>
                <w:szCs w:val="24"/>
              </w:rPr>
            </w:pPr>
            <w:r>
              <w:rPr>
                <w:rFonts w:cs="Times New Roman"/>
                <w:bCs/>
                <w:szCs w:val="24"/>
              </w:rPr>
              <w:t>-7.19</w:t>
            </w:r>
          </w:p>
        </w:tc>
        <w:tc>
          <w:tcPr>
            <w:tcW w:w="1417" w:type="dxa"/>
            <w:shd w:val="clear" w:color="auto" w:fill="auto"/>
            <w:vAlign w:val="center"/>
          </w:tcPr>
          <w:p w14:paraId="68DCD23A" w14:textId="77777777" w:rsidR="006928A2" w:rsidRPr="0070100F" w:rsidRDefault="006928A2" w:rsidP="00D23219">
            <w:pPr>
              <w:spacing w:before="0" w:after="0"/>
              <w:jc w:val="center"/>
              <w:rPr>
                <w:rFonts w:cs="Times New Roman"/>
                <w:bCs/>
                <w:szCs w:val="24"/>
              </w:rPr>
            </w:pPr>
            <w:r w:rsidRPr="0070100F">
              <w:rPr>
                <w:rFonts w:cs="Times New Roman"/>
                <w:bCs/>
                <w:szCs w:val="24"/>
              </w:rPr>
              <w:t>-8.46</w:t>
            </w:r>
          </w:p>
        </w:tc>
        <w:tc>
          <w:tcPr>
            <w:tcW w:w="993" w:type="dxa"/>
            <w:vAlign w:val="center"/>
          </w:tcPr>
          <w:p w14:paraId="7A79DD4C" w14:textId="77777777" w:rsidR="006928A2" w:rsidRPr="0070100F" w:rsidRDefault="006928A2" w:rsidP="00D23219">
            <w:pPr>
              <w:spacing w:before="0" w:after="0"/>
              <w:jc w:val="center"/>
              <w:rPr>
                <w:rFonts w:cs="Times New Roman"/>
                <w:bCs/>
                <w:szCs w:val="24"/>
              </w:rPr>
            </w:pPr>
            <w:r w:rsidRPr="0070100F">
              <w:rPr>
                <w:rFonts w:cs="Times New Roman"/>
                <w:bCs/>
                <w:szCs w:val="24"/>
              </w:rPr>
              <w:t>-7.85</w:t>
            </w:r>
          </w:p>
        </w:tc>
        <w:tc>
          <w:tcPr>
            <w:tcW w:w="1275" w:type="dxa"/>
            <w:vAlign w:val="center"/>
          </w:tcPr>
          <w:p w14:paraId="302BB1D5" w14:textId="77777777" w:rsidR="006928A2" w:rsidRPr="0070100F" w:rsidRDefault="006928A2" w:rsidP="00D23219">
            <w:pPr>
              <w:spacing w:before="0" w:after="0"/>
              <w:jc w:val="center"/>
              <w:rPr>
                <w:rFonts w:cs="Times New Roman"/>
                <w:bCs/>
                <w:szCs w:val="24"/>
              </w:rPr>
            </w:pPr>
            <w:r w:rsidRPr="0070100F">
              <w:rPr>
                <w:rFonts w:cs="Times New Roman"/>
                <w:bCs/>
                <w:szCs w:val="24"/>
              </w:rPr>
              <w:t>-4.37</w:t>
            </w:r>
          </w:p>
        </w:tc>
        <w:tc>
          <w:tcPr>
            <w:tcW w:w="1134" w:type="dxa"/>
            <w:vAlign w:val="center"/>
          </w:tcPr>
          <w:p w14:paraId="175210B9" w14:textId="77777777" w:rsidR="006928A2" w:rsidRPr="0070100F" w:rsidRDefault="006928A2" w:rsidP="00D23219">
            <w:pPr>
              <w:spacing w:before="0" w:after="0"/>
              <w:jc w:val="center"/>
              <w:rPr>
                <w:rFonts w:cs="Times New Roman"/>
                <w:bCs/>
                <w:szCs w:val="24"/>
              </w:rPr>
            </w:pPr>
            <w:r w:rsidRPr="0070100F">
              <w:rPr>
                <w:rFonts w:cs="Times New Roman"/>
                <w:bCs/>
                <w:szCs w:val="24"/>
              </w:rPr>
              <w:t>-4.40</w:t>
            </w:r>
          </w:p>
        </w:tc>
        <w:tc>
          <w:tcPr>
            <w:tcW w:w="1134" w:type="dxa"/>
            <w:vAlign w:val="center"/>
          </w:tcPr>
          <w:p w14:paraId="4258429A" w14:textId="77777777" w:rsidR="006928A2" w:rsidRPr="0070100F" w:rsidRDefault="006928A2" w:rsidP="00D23219">
            <w:pPr>
              <w:spacing w:before="0" w:after="0"/>
              <w:jc w:val="center"/>
              <w:rPr>
                <w:rFonts w:cs="Times New Roman"/>
                <w:bCs/>
                <w:szCs w:val="24"/>
              </w:rPr>
            </w:pPr>
            <w:r w:rsidRPr="0070100F">
              <w:rPr>
                <w:rFonts w:cs="Times New Roman"/>
                <w:bCs/>
                <w:szCs w:val="24"/>
              </w:rPr>
              <w:t>-4.15</w:t>
            </w:r>
          </w:p>
        </w:tc>
      </w:tr>
      <w:tr w:rsidR="006928A2" w:rsidRPr="0070100F" w14:paraId="0E2EC31A" w14:textId="77777777" w:rsidTr="00D23219">
        <w:trPr>
          <w:trHeight w:val="358"/>
        </w:trPr>
        <w:tc>
          <w:tcPr>
            <w:tcW w:w="1768" w:type="dxa"/>
            <w:shd w:val="clear" w:color="auto" w:fill="auto"/>
            <w:vAlign w:val="center"/>
          </w:tcPr>
          <w:p w14:paraId="4B3512A3" w14:textId="77777777" w:rsidR="006928A2" w:rsidRPr="007E463C" w:rsidRDefault="006928A2" w:rsidP="00D23219">
            <w:pPr>
              <w:spacing w:before="0" w:after="0"/>
              <w:jc w:val="center"/>
              <w:rPr>
                <w:rFonts w:eastAsia="Times New Roman" w:cs="Times New Roman"/>
                <w:b/>
                <w:szCs w:val="24"/>
              </w:rPr>
            </w:pPr>
            <w:r>
              <w:rPr>
                <w:rFonts w:eastAsia="Times New Roman" w:cs="Times New Roman"/>
                <w:b/>
                <w:szCs w:val="24"/>
              </w:rPr>
              <w:t>1288208</w:t>
            </w:r>
          </w:p>
        </w:tc>
        <w:tc>
          <w:tcPr>
            <w:tcW w:w="2480" w:type="dxa"/>
            <w:shd w:val="clear" w:color="auto" w:fill="auto"/>
            <w:vAlign w:val="center"/>
          </w:tcPr>
          <w:p w14:paraId="4E18E309" w14:textId="77777777" w:rsidR="006928A2" w:rsidRDefault="006928A2" w:rsidP="00D23219">
            <w:pPr>
              <w:spacing w:before="0" w:after="0"/>
              <w:jc w:val="center"/>
              <w:rPr>
                <w:rFonts w:cs="Times New Roman"/>
                <w:szCs w:val="24"/>
              </w:rPr>
            </w:pPr>
            <w:r w:rsidRPr="00F71283">
              <w:rPr>
                <w:rFonts w:cs="Times New Roman"/>
                <w:noProof/>
                <w:sz w:val="22"/>
              </w:rPr>
              <w:object w:dxaOrig="4039" w:dyaOrig="1029" w14:anchorId="293721A3">
                <v:shape id="_x0000_i1055" type="#_x0000_t75" alt="" style="width:115.55pt;height:28.45pt;mso-width-percent:0;mso-height-percent:0;mso-width-percent:0;mso-height-percent:0" o:ole="">
                  <v:imagedata r:id="rId55" o:title=""/>
                </v:shape>
                <o:OLEObject Type="Embed" ProgID="ChemDraw.Document.6.0" ShapeID="_x0000_i1055" DrawAspect="Content" ObjectID="_1706533585" r:id="rId77"/>
              </w:object>
            </w:r>
          </w:p>
        </w:tc>
        <w:tc>
          <w:tcPr>
            <w:tcW w:w="1134" w:type="dxa"/>
            <w:shd w:val="clear" w:color="auto" w:fill="auto"/>
            <w:vAlign w:val="center"/>
          </w:tcPr>
          <w:p w14:paraId="2BCAB8B9" w14:textId="77777777" w:rsidR="006928A2" w:rsidRPr="0070100F" w:rsidRDefault="006928A2" w:rsidP="00D23219">
            <w:pPr>
              <w:spacing w:before="0" w:after="0"/>
              <w:jc w:val="center"/>
              <w:rPr>
                <w:rFonts w:cs="Times New Roman"/>
                <w:bCs/>
                <w:szCs w:val="24"/>
              </w:rPr>
            </w:pPr>
            <w:proofErr w:type="spellStart"/>
            <w:r w:rsidRPr="0070100F">
              <w:rPr>
                <w:rFonts w:cs="Times New Roman"/>
                <w:bCs/>
                <w:szCs w:val="24"/>
              </w:rPr>
              <w:t>Inactive</w:t>
            </w:r>
            <w:r w:rsidRPr="0070100F">
              <w:rPr>
                <w:rFonts w:cs="Times New Roman"/>
                <w:bCs/>
                <w:szCs w:val="24"/>
                <w:vertAlign w:val="superscript"/>
              </w:rPr>
              <w:t>h</w:t>
            </w:r>
            <w:proofErr w:type="spellEnd"/>
          </w:p>
        </w:tc>
        <w:tc>
          <w:tcPr>
            <w:tcW w:w="1417" w:type="dxa"/>
            <w:shd w:val="clear" w:color="auto" w:fill="auto"/>
            <w:vAlign w:val="center"/>
          </w:tcPr>
          <w:p w14:paraId="1B1D4CA1" w14:textId="77777777" w:rsidR="006928A2" w:rsidRPr="0070100F" w:rsidRDefault="006928A2" w:rsidP="00D23219">
            <w:pPr>
              <w:spacing w:before="0" w:after="0"/>
              <w:jc w:val="center"/>
              <w:rPr>
                <w:rFonts w:cs="Times New Roman"/>
                <w:bCs/>
                <w:szCs w:val="24"/>
              </w:rPr>
            </w:pPr>
            <w:proofErr w:type="spellStart"/>
            <w:r w:rsidRPr="0070100F">
              <w:rPr>
                <w:rFonts w:cs="Times New Roman"/>
                <w:bCs/>
                <w:szCs w:val="24"/>
              </w:rPr>
              <w:t>Inactive</w:t>
            </w:r>
            <w:r w:rsidRPr="0070100F">
              <w:rPr>
                <w:rFonts w:cs="Times New Roman"/>
                <w:bCs/>
                <w:szCs w:val="24"/>
                <w:vertAlign w:val="superscript"/>
              </w:rPr>
              <w:t>h</w:t>
            </w:r>
            <w:proofErr w:type="spellEnd"/>
          </w:p>
        </w:tc>
        <w:tc>
          <w:tcPr>
            <w:tcW w:w="993" w:type="dxa"/>
            <w:vAlign w:val="center"/>
          </w:tcPr>
          <w:p w14:paraId="4E117189" w14:textId="77777777" w:rsidR="006928A2" w:rsidRPr="0070100F" w:rsidRDefault="006928A2" w:rsidP="00D23219">
            <w:pPr>
              <w:spacing w:before="0" w:after="0"/>
              <w:jc w:val="center"/>
              <w:rPr>
                <w:rFonts w:cs="Times New Roman"/>
                <w:bCs/>
                <w:szCs w:val="24"/>
              </w:rPr>
            </w:pPr>
            <w:r w:rsidRPr="0070100F">
              <w:rPr>
                <w:rFonts w:cs="Times New Roman"/>
                <w:bCs/>
                <w:szCs w:val="24"/>
              </w:rPr>
              <w:t>-10.51</w:t>
            </w:r>
          </w:p>
        </w:tc>
        <w:tc>
          <w:tcPr>
            <w:tcW w:w="1275" w:type="dxa"/>
            <w:vAlign w:val="center"/>
          </w:tcPr>
          <w:p w14:paraId="0E3D85B1" w14:textId="77777777" w:rsidR="006928A2" w:rsidRPr="0070100F" w:rsidRDefault="006928A2" w:rsidP="00D23219">
            <w:pPr>
              <w:spacing w:before="0" w:after="0"/>
              <w:jc w:val="center"/>
              <w:rPr>
                <w:rFonts w:cs="Times New Roman"/>
                <w:bCs/>
                <w:szCs w:val="24"/>
              </w:rPr>
            </w:pPr>
            <w:r w:rsidRPr="0070100F">
              <w:rPr>
                <w:rFonts w:cs="Times New Roman"/>
                <w:bCs/>
                <w:szCs w:val="24"/>
              </w:rPr>
              <w:t>-5.75</w:t>
            </w:r>
          </w:p>
        </w:tc>
        <w:tc>
          <w:tcPr>
            <w:tcW w:w="1134" w:type="dxa"/>
            <w:vAlign w:val="center"/>
          </w:tcPr>
          <w:p w14:paraId="693E8082" w14:textId="77777777" w:rsidR="006928A2" w:rsidRPr="0070100F" w:rsidRDefault="006928A2" w:rsidP="00D23219">
            <w:pPr>
              <w:spacing w:before="0" w:after="0"/>
              <w:jc w:val="center"/>
              <w:rPr>
                <w:rFonts w:cs="Times New Roman"/>
                <w:bCs/>
                <w:szCs w:val="24"/>
              </w:rPr>
            </w:pPr>
            <w:r w:rsidRPr="0070100F">
              <w:rPr>
                <w:rFonts w:cs="Times New Roman"/>
                <w:bCs/>
                <w:szCs w:val="24"/>
              </w:rPr>
              <w:t>-3.20</w:t>
            </w:r>
          </w:p>
        </w:tc>
        <w:tc>
          <w:tcPr>
            <w:tcW w:w="1134" w:type="dxa"/>
            <w:vAlign w:val="center"/>
          </w:tcPr>
          <w:p w14:paraId="1DD4F7AF" w14:textId="77777777" w:rsidR="006928A2" w:rsidRPr="0070100F" w:rsidRDefault="006928A2" w:rsidP="00D23219">
            <w:pPr>
              <w:spacing w:before="0" w:after="0"/>
              <w:jc w:val="center"/>
              <w:rPr>
                <w:rFonts w:cs="Times New Roman"/>
                <w:bCs/>
                <w:szCs w:val="24"/>
              </w:rPr>
            </w:pPr>
            <w:r w:rsidRPr="0070100F">
              <w:rPr>
                <w:rFonts w:cs="Times New Roman"/>
                <w:bCs/>
                <w:szCs w:val="24"/>
              </w:rPr>
              <w:t>-6.03</w:t>
            </w:r>
          </w:p>
        </w:tc>
      </w:tr>
      <w:tr w:rsidR="006928A2" w:rsidRPr="0070100F" w14:paraId="06F072A7" w14:textId="77777777" w:rsidTr="00D23219">
        <w:trPr>
          <w:trHeight w:val="358"/>
        </w:trPr>
        <w:tc>
          <w:tcPr>
            <w:tcW w:w="1768" w:type="dxa"/>
            <w:shd w:val="clear" w:color="auto" w:fill="auto"/>
            <w:vAlign w:val="center"/>
          </w:tcPr>
          <w:p w14:paraId="32FF7DB5" w14:textId="77777777" w:rsidR="006928A2" w:rsidRPr="007E463C" w:rsidRDefault="006928A2" w:rsidP="00D23219">
            <w:pPr>
              <w:spacing w:before="0" w:after="0"/>
              <w:jc w:val="center"/>
              <w:rPr>
                <w:rFonts w:eastAsia="Times New Roman" w:cs="Times New Roman"/>
                <w:b/>
                <w:szCs w:val="24"/>
              </w:rPr>
            </w:pPr>
            <w:r>
              <w:rPr>
                <w:rFonts w:cs="Times New Roman"/>
                <w:b/>
                <w:szCs w:val="24"/>
              </w:rPr>
              <w:t>1288239</w:t>
            </w:r>
          </w:p>
        </w:tc>
        <w:tc>
          <w:tcPr>
            <w:tcW w:w="2480" w:type="dxa"/>
            <w:shd w:val="clear" w:color="auto" w:fill="auto"/>
            <w:vAlign w:val="center"/>
          </w:tcPr>
          <w:p w14:paraId="0E866A9D" w14:textId="77777777" w:rsidR="006928A2" w:rsidRDefault="006928A2" w:rsidP="00D23219">
            <w:pPr>
              <w:spacing w:before="0" w:after="0"/>
              <w:jc w:val="center"/>
              <w:rPr>
                <w:rFonts w:cs="Times New Roman"/>
                <w:szCs w:val="24"/>
              </w:rPr>
            </w:pPr>
            <w:r w:rsidRPr="00F71283">
              <w:rPr>
                <w:rFonts w:cs="Times New Roman"/>
                <w:noProof/>
                <w:sz w:val="22"/>
              </w:rPr>
              <w:object w:dxaOrig="4039" w:dyaOrig="1462" w14:anchorId="43122F99">
                <v:shape id="_x0000_i1056" type="#_x0000_t75" alt="" style="width:108.85pt;height:40.2pt;mso-width-percent:0;mso-height-percent:0;mso-width-percent:0;mso-height-percent:0" o:ole="">
                  <v:imagedata r:id="rId57" o:title=""/>
                </v:shape>
                <o:OLEObject Type="Embed" ProgID="ChemDraw.Document.6.0" ShapeID="_x0000_i1056" DrawAspect="Content" ObjectID="_1706533586" r:id="rId78"/>
              </w:object>
            </w:r>
          </w:p>
        </w:tc>
        <w:tc>
          <w:tcPr>
            <w:tcW w:w="1134" w:type="dxa"/>
            <w:shd w:val="clear" w:color="auto" w:fill="auto"/>
            <w:vAlign w:val="center"/>
          </w:tcPr>
          <w:p w14:paraId="55B4C50D" w14:textId="77777777" w:rsidR="006928A2" w:rsidRPr="0070100F" w:rsidRDefault="006928A2" w:rsidP="00D23219">
            <w:pPr>
              <w:spacing w:before="0" w:after="0"/>
              <w:jc w:val="center"/>
              <w:rPr>
                <w:rFonts w:cs="Times New Roman"/>
                <w:bCs/>
                <w:szCs w:val="24"/>
              </w:rPr>
            </w:pPr>
            <w:proofErr w:type="spellStart"/>
            <w:r w:rsidRPr="0070100F">
              <w:rPr>
                <w:rFonts w:cs="Times New Roman"/>
                <w:bCs/>
                <w:szCs w:val="24"/>
              </w:rPr>
              <w:t>Inactive</w:t>
            </w:r>
            <w:r w:rsidRPr="0070100F">
              <w:rPr>
                <w:rFonts w:cs="Times New Roman"/>
                <w:bCs/>
                <w:szCs w:val="24"/>
                <w:vertAlign w:val="superscript"/>
              </w:rPr>
              <w:t>h</w:t>
            </w:r>
            <w:proofErr w:type="spellEnd"/>
          </w:p>
        </w:tc>
        <w:tc>
          <w:tcPr>
            <w:tcW w:w="1417" w:type="dxa"/>
            <w:shd w:val="clear" w:color="auto" w:fill="auto"/>
            <w:vAlign w:val="center"/>
          </w:tcPr>
          <w:p w14:paraId="12F87086" w14:textId="77777777" w:rsidR="006928A2" w:rsidRPr="0070100F" w:rsidRDefault="006928A2" w:rsidP="00D23219">
            <w:pPr>
              <w:spacing w:before="0" w:after="0"/>
              <w:jc w:val="center"/>
              <w:rPr>
                <w:rFonts w:cs="Times New Roman"/>
                <w:bCs/>
                <w:szCs w:val="24"/>
              </w:rPr>
            </w:pPr>
            <w:proofErr w:type="spellStart"/>
            <w:r w:rsidRPr="0070100F">
              <w:rPr>
                <w:rFonts w:cs="Times New Roman"/>
                <w:bCs/>
                <w:szCs w:val="24"/>
              </w:rPr>
              <w:t>Inactive</w:t>
            </w:r>
            <w:r w:rsidRPr="0070100F">
              <w:rPr>
                <w:rFonts w:cs="Times New Roman"/>
                <w:bCs/>
                <w:szCs w:val="24"/>
                <w:vertAlign w:val="superscript"/>
              </w:rPr>
              <w:t>h</w:t>
            </w:r>
            <w:proofErr w:type="spellEnd"/>
          </w:p>
        </w:tc>
        <w:tc>
          <w:tcPr>
            <w:tcW w:w="993" w:type="dxa"/>
            <w:vAlign w:val="center"/>
          </w:tcPr>
          <w:p w14:paraId="60016E43" w14:textId="77777777" w:rsidR="006928A2" w:rsidRPr="0070100F" w:rsidRDefault="006928A2" w:rsidP="00D23219">
            <w:pPr>
              <w:spacing w:before="0" w:after="0"/>
              <w:jc w:val="center"/>
              <w:rPr>
                <w:rFonts w:cs="Times New Roman"/>
                <w:bCs/>
                <w:szCs w:val="24"/>
              </w:rPr>
            </w:pPr>
            <w:r w:rsidRPr="0070100F">
              <w:rPr>
                <w:rFonts w:cs="Times New Roman"/>
                <w:bCs/>
                <w:szCs w:val="24"/>
              </w:rPr>
              <w:t>-10.16</w:t>
            </w:r>
          </w:p>
        </w:tc>
        <w:tc>
          <w:tcPr>
            <w:tcW w:w="1275" w:type="dxa"/>
            <w:vAlign w:val="center"/>
          </w:tcPr>
          <w:p w14:paraId="31EFF946" w14:textId="77777777" w:rsidR="006928A2" w:rsidRPr="0070100F" w:rsidRDefault="006928A2" w:rsidP="00D23219">
            <w:pPr>
              <w:spacing w:before="0" w:after="0"/>
              <w:jc w:val="center"/>
              <w:rPr>
                <w:rFonts w:cs="Times New Roman"/>
                <w:bCs/>
                <w:szCs w:val="24"/>
              </w:rPr>
            </w:pPr>
            <w:r w:rsidRPr="0070100F">
              <w:rPr>
                <w:rFonts w:cs="Times New Roman"/>
                <w:bCs/>
                <w:szCs w:val="24"/>
              </w:rPr>
              <w:t>-4.31</w:t>
            </w:r>
          </w:p>
        </w:tc>
        <w:tc>
          <w:tcPr>
            <w:tcW w:w="1134" w:type="dxa"/>
            <w:vAlign w:val="center"/>
          </w:tcPr>
          <w:p w14:paraId="5E3AD2B6" w14:textId="77777777" w:rsidR="006928A2" w:rsidRPr="0070100F" w:rsidRDefault="006928A2" w:rsidP="00D23219">
            <w:pPr>
              <w:spacing w:before="0" w:after="0"/>
              <w:jc w:val="center"/>
              <w:rPr>
                <w:rFonts w:cs="Times New Roman"/>
                <w:bCs/>
                <w:szCs w:val="24"/>
              </w:rPr>
            </w:pPr>
            <w:r w:rsidRPr="0070100F">
              <w:rPr>
                <w:rFonts w:cs="Times New Roman"/>
                <w:bCs/>
                <w:szCs w:val="24"/>
              </w:rPr>
              <w:t>-5.56</w:t>
            </w:r>
          </w:p>
        </w:tc>
        <w:tc>
          <w:tcPr>
            <w:tcW w:w="1134" w:type="dxa"/>
            <w:vAlign w:val="center"/>
          </w:tcPr>
          <w:p w14:paraId="11B2799F" w14:textId="77777777" w:rsidR="006928A2" w:rsidRPr="0070100F" w:rsidRDefault="006928A2" w:rsidP="00D23219">
            <w:pPr>
              <w:spacing w:before="0" w:after="0"/>
              <w:jc w:val="center"/>
              <w:rPr>
                <w:rFonts w:cs="Times New Roman"/>
                <w:bCs/>
                <w:szCs w:val="24"/>
              </w:rPr>
            </w:pPr>
            <w:r w:rsidRPr="0070100F">
              <w:rPr>
                <w:rFonts w:cs="Times New Roman"/>
                <w:bCs/>
                <w:szCs w:val="24"/>
              </w:rPr>
              <w:t>-5.91</w:t>
            </w:r>
          </w:p>
        </w:tc>
      </w:tr>
      <w:tr w:rsidR="006928A2" w:rsidRPr="0070100F" w14:paraId="0D68D0FB" w14:textId="77777777" w:rsidTr="00D23219">
        <w:trPr>
          <w:trHeight w:val="358"/>
        </w:trPr>
        <w:tc>
          <w:tcPr>
            <w:tcW w:w="1768" w:type="dxa"/>
            <w:shd w:val="clear" w:color="auto" w:fill="auto"/>
            <w:vAlign w:val="center"/>
          </w:tcPr>
          <w:p w14:paraId="516B1263" w14:textId="77777777" w:rsidR="006928A2" w:rsidRPr="007E463C" w:rsidRDefault="006928A2" w:rsidP="00D23219">
            <w:pPr>
              <w:spacing w:before="0" w:after="0"/>
              <w:jc w:val="center"/>
              <w:rPr>
                <w:rFonts w:eastAsia="Times New Roman" w:cs="Times New Roman"/>
                <w:b/>
                <w:szCs w:val="24"/>
              </w:rPr>
            </w:pPr>
            <w:r w:rsidRPr="00F71283">
              <w:rPr>
                <w:rFonts w:cs="Times New Roman"/>
                <w:b/>
                <w:sz w:val="22"/>
              </w:rPr>
              <w:t>1508577</w:t>
            </w:r>
          </w:p>
        </w:tc>
        <w:tc>
          <w:tcPr>
            <w:tcW w:w="2480" w:type="dxa"/>
            <w:shd w:val="clear" w:color="auto" w:fill="auto"/>
            <w:vAlign w:val="center"/>
          </w:tcPr>
          <w:p w14:paraId="13AD2FC4" w14:textId="77777777" w:rsidR="006928A2" w:rsidRDefault="006928A2" w:rsidP="00D23219">
            <w:pPr>
              <w:spacing w:before="0" w:after="0"/>
              <w:jc w:val="center"/>
              <w:rPr>
                <w:rFonts w:cs="Times New Roman"/>
                <w:szCs w:val="24"/>
              </w:rPr>
            </w:pPr>
            <w:r w:rsidRPr="00F71283">
              <w:rPr>
                <w:noProof/>
                <w:sz w:val="22"/>
              </w:rPr>
              <w:object w:dxaOrig="4051" w:dyaOrig="1980" w14:anchorId="2BB8E211">
                <v:shape id="_x0000_i1057" type="#_x0000_t75" alt="" style="width:107.15pt;height:52.75pt;mso-width-percent:0;mso-height-percent:0;mso-width-percent:0;mso-height-percent:0" o:ole="">
                  <v:imagedata r:id="rId59" o:title=""/>
                </v:shape>
                <o:OLEObject Type="Embed" ProgID="ChemDraw.Document.6.0" ShapeID="_x0000_i1057" DrawAspect="Content" ObjectID="_1706533587" r:id="rId79"/>
              </w:object>
            </w:r>
          </w:p>
        </w:tc>
        <w:tc>
          <w:tcPr>
            <w:tcW w:w="1134" w:type="dxa"/>
            <w:shd w:val="clear" w:color="auto" w:fill="auto"/>
            <w:vAlign w:val="center"/>
          </w:tcPr>
          <w:p w14:paraId="760E36D6" w14:textId="77777777" w:rsidR="006928A2" w:rsidRPr="0070100F" w:rsidRDefault="006928A2" w:rsidP="00D23219">
            <w:pPr>
              <w:spacing w:before="0" w:after="0"/>
              <w:jc w:val="center"/>
              <w:rPr>
                <w:rFonts w:cs="Times New Roman"/>
                <w:bCs/>
                <w:szCs w:val="24"/>
              </w:rPr>
            </w:pPr>
            <w:r>
              <w:rPr>
                <w:rFonts w:cs="Times New Roman"/>
                <w:bCs/>
                <w:szCs w:val="24"/>
              </w:rPr>
              <w:t>-7.85</w:t>
            </w:r>
          </w:p>
        </w:tc>
        <w:tc>
          <w:tcPr>
            <w:tcW w:w="1417" w:type="dxa"/>
            <w:shd w:val="clear" w:color="auto" w:fill="auto"/>
            <w:vAlign w:val="center"/>
          </w:tcPr>
          <w:p w14:paraId="1A5A9845" w14:textId="77777777" w:rsidR="006928A2" w:rsidRPr="0070100F" w:rsidRDefault="006928A2" w:rsidP="00D23219">
            <w:pPr>
              <w:spacing w:before="0" w:after="0"/>
              <w:jc w:val="center"/>
              <w:rPr>
                <w:rFonts w:cs="Times New Roman"/>
                <w:bCs/>
                <w:szCs w:val="24"/>
              </w:rPr>
            </w:pPr>
            <w:r w:rsidRPr="0070100F">
              <w:rPr>
                <w:rFonts w:cs="Times New Roman"/>
                <w:bCs/>
                <w:szCs w:val="24"/>
              </w:rPr>
              <w:t>-9.27</w:t>
            </w:r>
          </w:p>
        </w:tc>
        <w:tc>
          <w:tcPr>
            <w:tcW w:w="993" w:type="dxa"/>
            <w:vAlign w:val="center"/>
          </w:tcPr>
          <w:p w14:paraId="20905188" w14:textId="77777777" w:rsidR="006928A2" w:rsidRPr="0070100F" w:rsidRDefault="006928A2" w:rsidP="00D23219">
            <w:pPr>
              <w:spacing w:before="0" w:after="0"/>
              <w:jc w:val="center"/>
              <w:rPr>
                <w:rFonts w:cs="Times New Roman"/>
                <w:bCs/>
                <w:szCs w:val="24"/>
              </w:rPr>
            </w:pPr>
            <w:r w:rsidRPr="0070100F">
              <w:rPr>
                <w:rFonts w:cs="Times New Roman"/>
                <w:bCs/>
                <w:szCs w:val="24"/>
              </w:rPr>
              <w:t>-8.03</w:t>
            </w:r>
          </w:p>
        </w:tc>
        <w:tc>
          <w:tcPr>
            <w:tcW w:w="1275" w:type="dxa"/>
            <w:vAlign w:val="center"/>
          </w:tcPr>
          <w:p w14:paraId="5B94864D" w14:textId="77777777" w:rsidR="006928A2" w:rsidRPr="0070100F" w:rsidRDefault="006928A2" w:rsidP="00D23219">
            <w:pPr>
              <w:spacing w:before="0" w:after="0"/>
              <w:jc w:val="center"/>
              <w:rPr>
                <w:rFonts w:cs="Times New Roman"/>
                <w:bCs/>
                <w:szCs w:val="24"/>
              </w:rPr>
            </w:pPr>
            <w:r w:rsidRPr="0070100F">
              <w:rPr>
                <w:rFonts w:cs="Times New Roman"/>
                <w:bCs/>
                <w:szCs w:val="24"/>
              </w:rPr>
              <w:t>-1.65</w:t>
            </w:r>
          </w:p>
        </w:tc>
        <w:tc>
          <w:tcPr>
            <w:tcW w:w="1134" w:type="dxa"/>
            <w:vAlign w:val="center"/>
          </w:tcPr>
          <w:p w14:paraId="6BF12524" w14:textId="77777777" w:rsidR="006928A2" w:rsidRPr="0070100F" w:rsidRDefault="006928A2" w:rsidP="00D23219">
            <w:pPr>
              <w:spacing w:before="0" w:after="0"/>
              <w:jc w:val="center"/>
              <w:rPr>
                <w:rFonts w:cs="Times New Roman"/>
                <w:bCs/>
                <w:szCs w:val="24"/>
              </w:rPr>
            </w:pPr>
            <w:r w:rsidRPr="0070100F">
              <w:rPr>
                <w:rFonts w:cs="Times New Roman"/>
                <w:bCs/>
                <w:szCs w:val="24"/>
              </w:rPr>
              <w:t>-2.40</w:t>
            </w:r>
          </w:p>
        </w:tc>
        <w:tc>
          <w:tcPr>
            <w:tcW w:w="1134" w:type="dxa"/>
            <w:vAlign w:val="center"/>
          </w:tcPr>
          <w:p w14:paraId="1D2AC8DF" w14:textId="77777777" w:rsidR="006928A2" w:rsidRPr="0070100F" w:rsidRDefault="006928A2" w:rsidP="00D23219">
            <w:pPr>
              <w:spacing w:before="0" w:after="0"/>
              <w:jc w:val="center"/>
              <w:rPr>
                <w:rFonts w:cs="Times New Roman"/>
                <w:bCs/>
                <w:szCs w:val="24"/>
              </w:rPr>
            </w:pPr>
            <w:r w:rsidRPr="0070100F">
              <w:rPr>
                <w:rFonts w:cs="Times New Roman"/>
                <w:bCs/>
                <w:szCs w:val="24"/>
              </w:rPr>
              <w:t>-3.50</w:t>
            </w:r>
          </w:p>
        </w:tc>
      </w:tr>
      <w:tr w:rsidR="006928A2" w:rsidRPr="0070100F" w14:paraId="34BAB429" w14:textId="77777777" w:rsidTr="00D23219">
        <w:trPr>
          <w:trHeight w:val="358"/>
        </w:trPr>
        <w:tc>
          <w:tcPr>
            <w:tcW w:w="1768" w:type="dxa"/>
            <w:shd w:val="clear" w:color="auto" w:fill="auto"/>
            <w:vAlign w:val="center"/>
          </w:tcPr>
          <w:p w14:paraId="0925E8FB" w14:textId="77777777" w:rsidR="006928A2" w:rsidRPr="007E463C" w:rsidRDefault="006928A2" w:rsidP="00D23219">
            <w:pPr>
              <w:spacing w:before="0" w:after="0"/>
              <w:jc w:val="center"/>
              <w:rPr>
                <w:rFonts w:eastAsia="Times New Roman" w:cs="Times New Roman"/>
                <w:b/>
                <w:szCs w:val="24"/>
              </w:rPr>
            </w:pPr>
            <w:r w:rsidRPr="00F71283">
              <w:rPr>
                <w:rFonts w:cs="Times New Roman"/>
                <w:b/>
                <w:sz w:val="22"/>
              </w:rPr>
              <w:lastRenderedPageBreak/>
              <w:t>1508215</w:t>
            </w:r>
          </w:p>
        </w:tc>
        <w:tc>
          <w:tcPr>
            <w:tcW w:w="2480" w:type="dxa"/>
            <w:shd w:val="clear" w:color="auto" w:fill="auto"/>
            <w:vAlign w:val="center"/>
          </w:tcPr>
          <w:p w14:paraId="0E6796B7" w14:textId="77777777" w:rsidR="006928A2" w:rsidRDefault="006928A2" w:rsidP="00D23219">
            <w:pPr>
              <w:spacing w:before="0" w:after="0"/>
              <w:jc w:val="center"/>
              <w:rPr>
                <w:rFonts w:cs="Times New Roman"/>
                <w:szCs w:val="24"/>
              </w:rPr>
            </w:pPr>
            <w:r w:rsidRPr="00F71283">
              <w:rPr>
                <w:noProof/>
                <w:sz w:val="22"/>
              </w:rPr>
              <w:object w:dxaOrig="2366" w:dyaOrig="1898" w14:anchorId="6EC565B6">
                <v:shape id="_x0000_i1058" type="#_x0000_t75" alt="" style="width:85.4pt;height:67pt;mso-width-percent:0;mso-height-percent:0;mso-width-percent:0;mso-height-percent:0" o:ole="">
                  <v:imagedata r:id="rId61" o:title=""/>
                </v:shape>
                <o:OLEObject Type="Embed" ProgID="ChemDraw.Document.6.0" ShapeID="_x0000_i1058" DrawAspect="Content" ObjectID="_1706533588" r:id="rId80"/>
              </w:object>
            </w:r>
          </w:p>
        </w:tc>
        <w:tc>
          <w:tcPr>
            <w:tcW w:w="1134" w:type="dxa"/>
            <w:shd w:val="clear" w:color="auto" w:fill="auto"/>
            <w:vAlign w:val="center"/>
          </w:tcPr>
          <w:p w14:paraId="370DA06E" w14:textId="77777777" w:rsidR="006928A2" w:rsidRPr="0070100F" w:rsidRDefault="006928A2" w:rsidP="00D23219">
            <w:pPr>
              <w:spacing w:before="0" w:after="0"/>
              <w:jc w:val="center"/>
              <w:rPr>
                <w:rFonts w:cs="Times New Roman"/>
                <w:bCs/>
                <w:szCs w:val="24"/>
              </w:rPr>
            </w:pPr>
            <w:r>
              <w:rPr>
                <w:rFonts w:cs="Times New Roman"/>
                <w:bCs/>
                <w:szCs w:val="24"/>
              </w:rPr>
              <w:t>-8.03</w:t>
            </w:r>
          </w:p>
        </w:tc>
        <w:tc>
          <w:tcPr>
            <w:tcW w:w="1417" w:type="dxa"/>
            <w:shd w:val="clear" w:color="auto" w:fill="auto"/>
            <w:vAlign w:val="center"/>
          </w:tcPr>
          <w:p w14:paraId="20D06D69" w14:textId="77777777" w:rsidR="006928A2" w:rsidRPr="0070100F" w:rsidRDefault="006928A2" w:rsidP="00D23219">
            <w:pPr>
              <w:spacing w:before="0" w:after="0"/>
              <w:jc w:val="center"/>
              <w:rPr>
                <w:rFonts w:cs="Times New Roman"/>
                <w:bCs/>
                <w:szCs w:val="24"/>
              </w:rPr>
            </w:pPr>
            <w:r w:rsidRPr="0070100F">
              <w:rPr>
                <w:rFonts w:cs="Times New Roman"/>
                <w:bCs/>
                <w:szCs w:val="24"/>
              </w:rPr>
              <w:t>-9.51</w:t>
            </w:r>
          </w:p>
        </w:tc>
        <w:tc>
          <w:tcPr>
            <w:tcW w:w="993" w:type="dxa"/>
            <w:vAlign w:val="center"/>
          </w:tcPr>
          <w:p w14:paraId="770219A0" w14:textId="77777777" w:rsidR="006928A2" w:rsidRPr="0070100F" w:rsidRDefault="006928A2" w:rsidP="00D23219">
            <w:pPr>
              <w:spacing w:before="0" w:after="0"/>
              <w:jc w:val="center"/>
              <w:rPr>
                <w:rFonts w:cs="Times New Roman"/>
                <w:bCs/>
                <w:szCs w:val="24"/>
              </w:rPr>
            </w:pPr>
            <w:r w:rsidRPr="0070100F">
              <w:rPr>
                <w:rFonts w:cs="Times New Roman"/>
                <w:bCs/>
                <w:szCs w:val="24"/>
              </w:rPr>
              <w:t>-7.49</w:t>
            </w:r>
          </w:p>
        </w:tc>
        <w:tc>
          <w:tcPr>
            <w:tcW w:w="1275" w:type="dxa"/>
            <w:vAlign w:val="center"/>
          </w:tcPr>
          <w:p w14:paraId="269E1014" w14:textId="77777777" w:rsidR="006928A2" w:rsidRPr="0070100F" w:rsidRDefault="006928A2" w:rsidP="00D23219">
            <w:pPr>
              <w:spacing w:before="0" w:after="0"/>
              <w:jc w:val="center"/>
              <w:rPr>
                <w:rFonts w:cs="Times New Roman"/>
                <w:bCs/>
                <w:szCs w:val="24"/>
              </w:rPr>
            </w:pPr>
            <w:r w:rsidRPr="0070100F">
              <w:rPr>
                <w:rFonts w:cs="Times New Roman"/>
                <w:bCs/>
                <w:szCs w:val="24"/>
              </w:rPr>
              <w:t>-5.97</w:t>
            </w:r>
          </w:p>
        </w:tc>
        <w:tc>
          <w:tcPr>
            <w:tcW w:w="1134" w:type="dxa"/>
            <w:vAlign w:val="center"/>
          </w:tcPr>
          <w:p w14:paraId="18DB99F9" w14:textId="77777777" w:rsidR="006928A2" w:rsidRPr="0070100F" w:rsidRDefault="006928A2" w:rsidP="00D23219">
            <w:pPr>
              <w:spacing w:before="0" w:after="0"/>
              <w:jc w:val="center"/>
              <w:rPr>
                <w:rFonts w:cs="Times New Roman"/>
                <w:bCs/>
                <w:szCs w:val="24"/>
              </w:rPr>
            </w:pPr>
            <w:r w:rsidRPr="0070100F">
              <w:rPr>
                <w:rFonts w:cs="Times New Roman"/>
                <w:bCs/>
                <w:szCs w:val="24"/>
              </w:rPr>
              <w:t>-3.18</w:t>
            </w:r>
          </w:p>
        </w:tc>
        <w:tc>
          <w:tcPr>
            <w:tcW w:w="1134" w:type="dxa"/>
            <w:vAlign w:val="center"/>
          </w:tcPr>
          <w:p w14:paraId="3BAE9C9B" w14:textId="77777777" w:rsidR="006928A2" w:rsidRPr="0070100F" w:rsidRDefault="006928A2" w:rsidP="00D23219">
            <w:pPr>
              <w:spacing w:before="0" w:after="0"/>
              <w:jc w:val="center"/>
              <w:rPr>
                <w:rFonts w:cs="Times New Roman"/>
                <w:bCs/>
                <w:szCs w:val="24"/>
              </w:rPr>
            </w:pPr>
            <w:r w:rsidRPr="0070100F">
              <w:rPr>
                <w:rFonts w:cs="Times New Roman"/>
                <w:bCs/>
                <w:szCs w:val="24"/>
              </w:rPr>
              <w:t>-4.64</w:t>
            </w:r>
          </w:p>
        </w:tc>
      </w:tr>
      <w:tr w:rsidR="006928A2" w:rsidRPr="00FB7D60" w14:paraId="4AA94A34" w14:textId="77777777" w:rsidTr="00D23219">
        <w:trPr>
          <w:trHeight w:val="358"/>
        </w:trPr>
        <w:tc>
          <w:tcPr>
            <w:tcW w:w="11335" w:type="dxa"/>
            <w:gridSpan w:val="8"/>
            <w:shd w:val="clear" w:color="auto" w:fill="auto"/>
            <w:vAlign w:val="center"/>
          </w:tcPr>
          <w:p w14:paraId="799E582A" w14:textId="77777777" w:rsidR="006928A2" w:rsidRPr="00BF24BB" w:rsidRDefault="006928A2" w:rsidP="00D23219">
            <w:pPr>
              <w:spacing w:before="0" w:after="0"/>
              <w:jc w:val="both"/>
              <w:rPr>
                <w:rFonts w:cs="Times New Roman"/>
                <w:szCs w:val="24"/>
              </w:rPr>
            </w:pPr>
            <w:proofErr w:type="spellStart"/>
            <w:r w:rsidRPr="00F41714">
              <w:rPr>
                <w:rFonts w:cs="Times New Roman"/>
                <w:szCs w:val="24"/>
                <w:vertAlign w:val="superscript"/>
              </w:rPr>
              <w:t>a</w:t>
            </w:r>
            <w:r w:rsidRPr="00F41714">
              <w:rPr>
                <w:rFonts w:cs="Times New Roman"/>
                <w:szCs w:val="24"/>
              </w:rPr>
              <w:t>PDB</w:t>
            </w:r>
            <w:proofErr w:type="spellEnd"/>
            <w:r w:rsidRPr="00F41714">
              <w:rPr>
                <w:rFonts w:cs="Times New Roman"/>
                <w:szCs w:val="24"/>
              </w:rPr>
              <w:t xml:space="preserve">-ID: 6KPG </w:t>
            </w:r>
            <w:bookmarkStart w:id="1" w:name="_Hlk94181923"/>
            <w:r w:rsidRPr="00F41714">
              <w:rPr>
                <w:rFonts w:cs="Times New Roman"/>
                <w:szCs w:val="24"/>
                <w:lang w:val="es-ES"/>
              </w:rPr>
              <w:fldChar w:fldCharType="begin" w:fldLock="1"/>
            </w:r>
            <w:r w:rsidRPr="00F41714">
              <w:rPr>
                <w:rFonts w:cs="Times New Roman"/>
                <w:szCs w:val="24"/>
              </w:rPr>
              <w:instrText>ADDIN CSL_CITATION {"citationItems":[{"id":"ITEM-1","itemData":{"DOI":"10.1016/j.cell.2020.01.008","ISSN":"00928674","PMID":"32004463","abstract":"Human endocannabinoid systems modulate multiple physiological processes mainly through the activation of cannabinoid receptors CB1 and CB2. Their high sequence similarity, low agonist selectivity, and lack of activation and G protein-coupling knowledge have hindered the development of therapeutic applications. Importantly, missing structural information has significantly held back the development of promising CB2-selective agonist drugs for treating inflammatory and neuropathic pain without the psychoactivity of CB1. Here, we report the cryoelectron microscopy structures of synthetic cannabinoid-bound CB2 and CB1 in complex with Gi, as well as agonist-bound CB2 crystal structure. Of important scientific and therapeutic benefit, our results reveal a diverse activation and signaling mechanism, the structural basis of CB2-selective agonists design, and the unexpected interaction of cholesterol with CB1, suggestive of its endogenous allosteric modulating role.","author":[{"dropping-particle":"","family":"Hua","given":"Tian","non-dropping-particle":"","parse-names":false,"suffix":""},{"dropping-particle":"","family":"Li","given":"Xiaoting","non-dropping-particle":"","parse-names":false,"suffix":""},{"dropping-particle":"","family":"Wu","given":"Lijie","non-dropping-particle":"","parse-names":false,"suffix":""},{"dropping-particle":"","family":"Iliopoulos-Tsoutsouvas","given":"Christos","non-dropping-particle":"","parse-names":false,"suffix":""},{"dropping-particle":"","family":"Wang","given":"Yuxia","non-dropping-particle":"","parse-names":false,"suffix":""},{"dropping-particle":"","family":"Wu","given":"Meng","non-dropping-particle":"","parse-names":false,"suffix":""},{"dropping-particle":"","family":"Shen","given":"Ling","non-dropping-particle":"","parse-names":false,"suffix":""},{"dropping-particle":"","family":"Johnston","given":"Christina A","non-dropping-particle":"","parse-names":false,"suffix":""},{"dropping-particle":"","family":"Nikas","given":"Spyros P","non-dropping-particle":"","parse-names":false,"suffix":""},{"dropping-particle":"","family":"Song","given":"Feng","non-dropping-particle":"","parse-names":false,"suffix":""},{"dropping-particle":"","family":"Song","given":"Xiyong","non-dropping-particle":"","parse-names":false,"suffix":""},{"dropping-particle":"","family":"Yuan","given":"Shuguang","non-dropping-particle":"","parse-names":false,"suffix":""},{"dropping-particle":"","family":"Sun","given":"Qianqian","non-dropping-particle":"","parse-names":false,"suffix":""},{"dropping-particle":"","family":"Wu","given":"Yiran","non-dropping-particle":"","parse-names":false,"suffix":""},{"dropping-particle":"","family":"Jiang","given":"Shan","non-dropping-particle":"","parse-names":false,"suffix":""},{"dropping-particle":"","family":"Grim","given":"Travis W","non-dropping-particle":"","parse-names":false,"suffix":""},{"dropping-particle":"","family":"Benchama","given":"Othman","non-dropping-particle":"","parse-names":false,"suffix":""},{"dropping-particle":"","family":"Stahl","given":"Edward L","non-dropping-particle":"","parse-names":false,"suffix":""},{"dropping-particle":"","family":"Zvonok","given":"Nikolai","non-dropping-particle":"","parse-names":false,"suffix":""},{"dropping-particle":"","family":"Zhao","given":"Suwen","non-dropping-particle":"","parse-names":false,"suffix":""},{"dropping-particle":"","family":"Bohn","given":"Laura M","non-dropping-particle":"","parse-names":false,"suffix":""},{"dropping-particle":"","family":"Makriyannis","given":"Alexandros","non-dropping-particle":"","parse-names":false,"suffix":""},{"dropping-particle":"","family":"Liu","given":"Zhi-Jie","non-dropping-particle":"","parse-names":false,"suffix":""}],"container-title":"Cell","id":"ITEM-1","issue":"4","issued":{"date-parts":[["2020","2"]]},"page":"655-665.e18","title":"Activation and Signaling Mechanism Revealed by Cannabinoid Receptor-Gi Complex Structures","type":"article-journal","volume":"180"},"uris":["http://www.mendeley.com/documents/?uuid=8626686e-e388-4a52-ae71-cdc25520f535"]}],"mendeley":{"formattedCitation":"(Hua et al., 2020)","plainTextFormattedCitation":"(Hua et al., 2020)","previouslyFormattedCitation":"(Hua et al., 2020)"},"properties":{"noteIndex":0},"schema":"https://github.com/citation-style-language/schema/raw/master/csl-citation.json"}</w:instrText>
            </w:r>
            <w:r w:rsidRPr="00F41714">
              <w:rPr>
                <w:rFonts w:cs="Times New Roman"/>
                <w:szCs w:val="24"/>
                <w:lang w:val="es-ES"/>
              </w:rPr>
              <w:fldChar w:fldCharType="separate"/>
            </w:r>
            <w:r w:rsidRPr="00F41714">
              <w:rPr>
                <w:rFonts w:cs="Times New Roman"/>
                <w:noProof/>
                <w:szCs w:val="24"/>
              </w:rPr>
              <w:t>(Hua et al., 2020)</w:t>
            </w:r>
            <w:r w:rsidRPr="00F41714">
              <w:rPr>
                <w:rFonts w:cs="Times New Roman"/>
                <w:szCs w:val="24"/>
                <w:lang w:val="es-ES"/>
              </w:rPr>
              <w:fldChar w:fldCharType="end"/>
            </w:r>
            <w:bookmarkEnd w:id="1"/>
            <w:r w:rsidRPr="00F41714">
              <w:rPr>
                <w:rFonts w:cs="Times New Roman"/>
                <w:szCs w:val="24"/>
              </w:rPr>
              <w:t xml:space="preserve">; </w:t>
            </w:r>
            <w:r w:rsidRPr="00F41714">
              <w:rPr>
                <w:rFonts w:cs="Times New Roman"/>
                <w:szCs w:val="24"/>
                <w:vertAlign w:val="superscript"/>
              </w:rPr>
              <w:t xml:space="preserve"> </w:t>
            </w:r>
            <w:proofErr w:type="spellStart"/>
            <w:r w:rsidRPr="00F41714">
              <w:rPr>
                <w:rFonts w:cs="Times New Roman"/>
                <w:szCs w:val="24"/>
                <w:vertAlign w:val="superscript"/>
              </w:rPr>
              <w:t>b</w:t>
            </w:r>
            <w:r w:rsidRPr="00F41714">
              <w:rPr>
                <w:rFonts w:cs="Times New Roman"/>
                <w:szCs w:val="24"/>
              </w:rPr>
              <w:t>PDB</w:t>
            </w:r>
            <w:proofErr w:type="spellEnd"/>
            <w:r w:rsidRPr="00F41714">
              <w:rPr>
                <w:rFonts w:cs="Times New Roman"/>
                <w:szCs w:val="24"/>
              </w:rPr>
              <w:t xml:space="preserve">-ID: 5U09 </w:t>
            </w:r>
            <w:bookmarkStart w:id="2" w:name="_Hlk94181931"/>
            <w:r w:rsidRPr="00F41714">
              <w:rPr>
                <w:rFonts w:cs="Times New Roman"/>
                <w:szCs w:val="24"/>
                <w:lang w:val="es-ES"/>
              </w:rPr>
              <w:fldChar w:fldCharType="begin" w:fldLock="1"/>
            </w:r>
            <w:r>
              <w:rPr>
                <w:rFonts w:cs="Times New Roman"/>
                <w:szCs w:val="24"/>
              </w:rPr>
              <w:instrText>ADDIN CSL_CITATION {"citationItems":[{"id":"ITEM-1","itemData":{"DOI":"10.1038/nature20613","ISSN":"0028-0836","abstract":"The human cannabinoid G-protein-coupled receptors (GPCRs) CB1 and CB2 mediate the functional responses to the endocannabinoids anandamide and 2-arachidonyl glycerol (2-AG) and to the widely consumed plant phytocannabinoid Δ9-tetrahydrocannabinol (THC). The cannabinoid receptors have been the targets of intensive drug discovery efforts, because modulation of these receptors has therapeutic potential to control pain, epilepsy, obesity, and other disorders. Although much progress in understanding the biophysical properties of GPCRs has recently been made, investigations of the molecular mechanisms of the cannabinoids and their receptors have lacked high-resolution structural data. Here we report the use of GPCR engineering and lipidic cubic phase crystallization to determine the structure of the human CB1 receptor bound to the inhibitor taranabant at 2.6-Å resolution. We found that the extracellular surface of CB1, including the highly conserved membrane-proximal N-terminal region, is distinct from those of other lipid-activated GPCRs, forming a critical part of the ligand-binding pocket. Docking studies further demonstrate how this same pocket may accommodate the cannabinoid agonist THC. Our CB1 structure provides an atomic framework for studying cannabinoid receptor function and will aid the design and optimization of therapeutic modulators of the endocannabino</w:instrText>
            </w:r>
            <w:r w:rsidRPr="00BF24BB">
              <w:rPr>
                <w:rFonts w:cs="Times New Roman"/>
                <w:szCs w:val="24"/>
                <w:lang w:val="es-ES"/>
              </w:rPr>
              <w:instrText>id system.","author":[{"dropping-particle":"","family":"Shao","given":"Zhenhua","non-dropping-particle":"","parse-names":false,"suffix":""},{"dropping-particle":"","family":"Yin","given":"Jie","non-dropping-particle":"","parse-names":false,"suffix":""},{"dropping-particle":"","family":"Chapman","given":"Karen","non-dropping-particle":"","parse-names":false,"suffix":""},{"dropping-particle":"","family":"Grzemska","given":"Magdalena","non-dropping-particle":"","parse-names":false,"suffix":""},{"dropping-particle":"","family":"Clark","given":"Lindsay","non-dropping-particle":"","parse-names":false,"suffix":""},{"dropping-particle":"","family":"Wang","given":"Junmei","non-dropping-particle":"","parse-names":false,"suffix":""},{"dropping-particle":"","family":"Rosenbaum","given":"Daniel M.","non-dropping-particle":"","parse-names":false,"suffix":""}],"container-title":"Nature","id":"ITEM-1","issue":"7634","issued":{"date-parts":[["2016","12"]]},"page":"602-606","publisher":"Nature Publishing Group","title":"High-resolution crystal structure of the human CB1 cannabinoid receptor","type":"article-journal","volume":"540"},"uris":["http://www.mendeley.com/documents/?uuid=9905353d-5c1f-4de8-9b08-c6ffa0b1c21a"]}],"mendeley":{"formattedCitation":"(Shao et al., 2016)","plainTextFormattedCitation":"(Shao et al., 2016)","previouslyFormattedCitation":"(Shao et al., 2016)"},"properties":{"noteIndex":0},"schema":"https://github.com/citation-style-language/schema/raw/master/csl-citation.json"}</w:instrText>
            </w:r>
            <w:r w:rsidRPr="00F41714">
              <w:rPr>
                <w:rFonts w:cs="Times New Roman"/>
                <w:szCs w:val="24"/>
                <w:lang w:val="es-ES"/>
              </w:rPr>
              <w:fldChar w:fldCharType="separate"/>
            </w:r>
            <w:r w:rsidRPr="00F41714">
              <w:rPr>
                <w:rFonts w:cs="Times New Roman"/>
                <w:noProof/>
                <w:szCs w:val="24"/>
                <w:lang w:val="es-ES"/>
              </w:rPr>
              <w:t>(Shao et al., 2016)</w:t>
            </w:r>
            <w:r w:rsidRPr="00F41714">
              <w:rPr>
                <w:rFonts w:cs="Times New Roman"/>
                <w:szCs w:val="24"/>
                <w:lang w:val="es-ES"/>
              </w:rPr>
              <w:fldChar w:fldCharType="end"/>
            </w:r>
            <w:bookmarkEnd w:id="2"/>
            <w:r w:rsidRPr="00F41714">
              <w:rPr>
                <w:rFonts w:cs="Times New Roman"/>
                <w:szCs w:val="24"/>
                <w:lang w:val="es-ES"/>
              </w:rPr>
              <w:t>;</w:t>
            </w:r>
            <w:r w:rsidRPr="00F41714">
              <w:rPr>
                <w:rFonts w:cs="Times New Roman"/>
                <w:szCs w:val="24"/>
                <w:vertAlign w:val="superscript"/>
                <w:lang w:val="es-ES"/>
              </w:rPr>
              <w:t xml:space="preserve"> c</w:t>
            </w:r>
            <w:bookmarkStart w:id="3" w:name="_Hlk94181962"/>
            <w:r>
              <w:rPr>
                <w:rFonts w:cs="Times New Roman"/>
                <w:szCs w:val="24"/>
                <w:vertAlign w:val="superscript"/>
                <w:lang w:val="es-ES"/>
              </w:rPr>
              <w:fldChar w:fldCharType="begin" w:fldLock="1"/>
            </w:r>
            <w:r>
              <w:rPr>
                <w:rFonts w:cs="Times New Roman"/>
                <w:szCs w:val="24"/>
                <w:vertAlign w:val="superscript"/>
                <w:lang w:val="es-ES"/>
              </w:rPr>
              <w:instrText>ADDIN CSL_CITATION {"citationItems":[{"id":"ITEM-1","itemData":{"DOI":"10.1021/acs.biochem.6b01013","ISSN":"0006-2960","PMID":"28005346","author":[{"dropping-particle":"","family":"Lingerfelt","given":"Mary A.","non-dropping-particle":"","parse-names":false,"suffix":""},{"dropping-particle":"","family":"Zhao","given":"Pingwei","non-dropping-particle":"","parse-names":false,"suffix":""},{"dropping-particle":"","family":"Sharir","given":"Haleli P.","non-dropping-particle":"","parse-names":false,"suffix":""},{"dropping-particle":"","family":"Hurst","given":"Dow P.","non-dropping-particle":"","parse-names":false,"suffix":""},{"dropping-particle":"","family":"Reggio","given":"Patricia H.","non-dropping-particle":"","parse-names":false,"suffix":""},{"dropping-particle":"","family":"Abood","given":"Mary E.","non-dropping-particle":"","parse-names":false,"suffix":""}],"container-title":"Biochemistry","id":"ITEM-1","issue":"3","issued":{"date-parts":[["2017","1","24"]]},"page":"473-486","title":"Identification of Crucial Amino Acid Residues Involved in Agonist Signaling at the GPR55 Receptor","type":"article-journal","volume":"56"},"uris":["http://www.mendeley.com/documents/?uuid=047eb3df-e892-422c-8ecc-e4422d260413"]}],"mendeley":{"formattedCitation":"(Lingerfelt et al., 2017)","plainTextFormattedCitation":"(Lingerfelt et al., 2017)","previouslyFormattedCitation":"(Lingerfelt et al., 2017)"},"properties":{"noteIndex":0},"schema":"https://github.com/citation-style-language/schema/raw/master/csl-citation.json"}</w:instrText>
            </w:r>
            <w:r>
              <w:rPr>
                <w:rFonts w:cs="Times New Roman"/>
                <w:szCs w:val="24"/>
                <w:vertAlign w:val="superscript"/>
                <w:lang w:val="es-ES"/>
              </w:rPr>
              <w:fldChar w:fldCharType="separate"/>
            </w:r>
            <w:r w:rsidRPr="00F41714">
              <w:rPr>
                <w:rFonts w:cs="Times New Roman"/>
                <w:noProof/>
                <w:szCs w:val="24"/>
                <w:lang w:val="es-ES"/>
              </w:rPr>
              <w:t>(Lingerfelt et al., 2017)</w:t>
            </w:r>
            <w:r>
              <w:rPr>
                <w:rFonts w:cs="Times New Roman"/>
                <w:szCs w:val="24"/>
                <w:vertAlign w:val="superscript"/>
                <w:lang w:val="es-ES"/>
              </w:rPr>
              <w:fldChar w:fldCharType="end"/>
            </w:r>
            <w:r w:rsidRPr="00F41714">
              <w:rPr>
                <w:rFonts w:cs="Times New Roman"/>
                <w:szCs w:val="24"/>
                <w:lang w:val="es-ES"/>
              </w:rPr>
              <w:t>;</w:t>
            </w:r>
            <w:r w:rsidRPr="00F41714">
              <w:rPr>
                <w:rFonts w:cs="Times New Roman"/>
                <w:szCs w:val="24"/>
                <w:vertAlign w:val="superscript"/>
                <w:lang w:val="es-ES"/>
              </w:rPr>
              <w:t xml:space="preserve"> d</w:t>
            </w:r>
            <w:r>
              <w:rPr>
                <w:rFonts w:cs="Times New Roman"/>
                <w:szCs w:val="24"/>
                <w:vertAlign w:val="superscript"/>
                <w:lang w:val="es-ES"/>
              </w:rPr>
              <w:fldChar w:fldCharType="begin" w:fldLock="1"/>
            </w:r>
            <w:r>
              <w:rPr>
                <w:rFonts w:cs="Times New Roman"/>
                <w:szCs w:val="24"/>
                <w:vertAlign w:val="superscript"/>
                <w:lang w:val="es-ES"/>
              </w:rPr>
              <w:instrText>ADDIN CSL_CITATION {"citationItems":[{"id":"ITEM-1","itemData":{"author":[{"dropping-particle":"","family":"Kotsikorou","given":"Evangelia","non-dropping-particle":"","parse-names":false,"suffix":""},{"dropping-particle":"","family":"Sharir","given":"Haleli","non-dropping-particle":"","parse-names":false,"suffix":""},{"dropping-particle":"","family":"Shore","given":"DM","non-dropping-particle":"","parse-names":false,"suffix":""},{"dropping-particle":"","family":"Hurst","given":"Dow P","non-dropping-particle":"","parse-names":false,"suffix":""},{"dropping-particle":"","family":"Lynch","given":"Diane L","non-dropping-particle":"","parse-names":false,"suffix":""},{"dropping-particle":"","family":"Madrigal","given":"Karla E","non-dropping-particle":"","parse-names":false,"suffix":""},{"dropping-particle":"","family":"Heynen-Genel","given":"Susanne","non-dropping-particle":"","parse-names":false,"suffix":""},{"dropping-particle":"","family":"Milan","given":"Loribelle B","non-dropping-particle":"","parse-names":false,"suffix":""},{"dropping-particle":"","family":"Chung","given":"Thomas D Y","non-dropping-particle":"","parse-names":false,"suffix":""},{"dropping-particle":"","family":"Seltzman","given":"Herbert H","non-dropping-particle":"","parse-names":false,"suffix":""},{"dropping-particle":"","family":"Bai","given":"Yushi","non-dropping-particle":"","parse-names":false,"suffix":""},{"dropping-particle":"","family":"Caron","given":"Marc G","non-dropping-particle":"","parse-names":false,"suffix":""},{"dropping-particle":"","family":"Barak","given":"Larry","non-dropping-particle":"","parse-names":false,"suffix":""},{"dropping-particle":"","family":"Croatt","given":"Mitchell P","non-dropping-particle":"","parse-names":false,"suffix":""},{"dropping-particle":"","family":"Abood","given":"Mary E","non-dropping-particle":"","parse-names":false,"suffix":""},{"dropping-particle":"","family":"Reggio","given":"Patricia H","non-dropping-particle":"","parse-names":false,"suffix":""}],"container-title":"Biochemistry","id":"ITEM-1","issued":{"date-parts":[["2013"]]},"note":"NULL","page":"9456-9469","title":"Identification of the GPR55 Antagonist Binding Site Using a Novel Set of High-Potency GPR55 Selective Ligands","type":"article-journal","volume":"52"},"uris":["http://www.mendeley.com/documents/?uuid=1c60819d-4d23-4c8e-adc9-3294371027d1"]}],"mendeley":{"formattedCitation":"(Kotsikorou et al., 2013)","plainTextFormattedCitation":"(Kotsikorou et al., 2013)","previouslyFormattedCitation":"(Kotsikorou et al., 2013)"},"properties":{"noteIndex":0},"schema":"https://github.com/citation-style-language/schema/raw/master/csl-citation.json"}</w:instrText>
            </w:r>
            <w:r>
              <w:rPr>
                <w:rFonts w:cs="Times New Roman"/>
                <w:szCs w:val="24"/>
                <w:vertAlign w:val="superscript"/>
                <w:lang w:val="es-ES"/>
              </w:rPr>
              <w:fldChar w:fldCharType="separate"/>
            </w:r>
            <w:r w:rsidRPr="00F41714">
              <w:rPr>
                <w:rFonts w:cs="Times New Roman"/>
                <w:noProof/>
                <w:szCs w:val="24"/>
                <w:lang w:val="es-ES"/>
              </w:rPr>
              <w:t>(Kotsikorou et al., 2013)</w:t>
            </w:r>
            <w:r>
              <w:rPr>
                <w:rFonts w:cs="Times New Roman"/>
                <w:szCs w:val="24"/>
                <w:vertAlign w:val="superscript"/>
                <w:lang w:val="es-ES"/>
              </w:rPr>
              <w:fldChar w:fldCharType="end"/>
            </w:r>
            <w:r w:rsidRPr="00F41714">
              <w:rPr>
                <w:rFonts w:cs="Times New Roman"/>
                <w:szCs w:val="24"/>
                <w:lang w:val="es-ES"/>
              </w:rPr>
              <w:t xml:space="preserve">; </w:t>
            </w:r>
            <w:r w:rsidRPr="00F41714">
              <w:rPr>
                <w:rFonts w:cs="Times New Roman"/>
                <w:szCs w:val="24"/>
                <w:vertAlign w:val="superscript"/>
                <w:lang w:val="es-ES"/>
              </w:rPr>
              <w:t>e</w:t>
            </w:r>
            <w:r w:rsidRPr="00F41714">
              <w:fldChar w:fldCharType="begin" w:fldLock="1"/>
            </w:r>
            <w:r w:rsidRPr="00F41714">
              <w:rPr>
                <w:lang w:val="es-ES"/>
              </w:rPr>
              <w:instrText>ADDIN CSL_CITATION {"citationItems":[{"id":"ITEM-1","itemData":{"DOI":"10.3390/ijms20092300","author":[{"dropping-particle":"","family":"Sotudeh","given":"Noori","non-dropping-particle":"","parse-names":false,"suffix":""},{"dropping-particle":"","family":"Morales","given":"Paula","non-dropping-particle":"","parse-names":false,"suffix":""},{"dropping-particle":"","family":"Hurst","given":"Dow P","non-dropping-particle":"","parse-names":false,"suffix":""},{"dropping-particle":"","family":"Lynch","given":"Diane L","non-dropping-particle":"","parse-names":false,"suffix":""},{"dropping-particle":"","family":"Reggio","given":"Patricia H","non-dropping-particle":"","parse-names":false,"suffix":""}],"container-title":"International Journal of Molecular Sciences","id":"ITEM-1","issued":{"date-parts":[["2019"]]},"page":"2300","title":"Towards A Molecular Understanding of The Cannabinoid Related Orphan Receptor GPR18 : A Focus on Its Constitutive Activity","type":"article-journal","volume":"20"},"uris":["http://www.mendeley.com/documents/?uuid=2598459a-e15b-45e9-a85b-4092f2735545"]}],"mendeley":{"formattedCitation":"(Sotudeh et al., 2019)","plainTextFormattedCitation":"(Sotudeh et al., 2019)","previouslyFormattedCitation":"(Sotudeh et al., 2019)"},"properties":{"noteIndex":0},"schema":"https://github.com/citation-style-language/schema/raw/master/csl-citation.json"}</w:instrText>
            </w:r>
            <w:r w:rsidRPr="00F41714">
              <w:fldChar w:fldCharType="separate"/>
            </w:r>
            <w:r w:rsidRPr="00F41714">
              <w:rPr>
                <w:noProof/>
                <w:lang w:val="es-ES"/>
              </w:rPr>
              <w:t>(Sotudeh et al., 2019)</w:t>
            </w:r>
            <w:r w:rsidRPr="00F41714">
              <w:fldChar w:fldCharType="end"/>
            </w:r>
            <w:r w:rsidRPr="00F41714">
              <w:rPr>
                <w:lang w:val="es-ES"/>
              </w:rPr>
              <w:t>;</w:t>
            </w:r>
            <w:r w:rsidRPr="00F41714">
              <w:rPr>
                <w:rFonts w:cs="Times New Roman"/>
                <w:szCs w:val="24"/>
                <w:lang w:val="es-ES"/>
              </w:rPr>
              <w:t xml:space="preserve"> </w:t>
            </w:r>
            <w:bookmarkEnd w:id="3"/>
            <w:r w:rsidRPr="00F41714">
              <w:rPr>
                <w:rFonts w:cs="Times New Roman"/>
                <w:szCs w:val="24"/>
                <w:vertAlign w:val="superscript"/>
                <w:lang w:val="es-ES"/>
              </w:rPr>
              <w:t>f</w:t>
            </w:r>
            <w:r w:rsidRPr="00C477B4">
              <w:rPr>
                <w:rFonts w:cs="Times New Roman"/>
                <w:szCs w:val="24"/>
                <w:vertAlign w:val="superscript"/>
                <w:lang w:val="es-ES"/>
              </w:rPr>
              <w:fldChar w:fldCharType="begin" w:fldLock="1"/>
            </w:r>
            <w:r w:rsidRPr="00C477B4">
              <w:rPr>
                <w:rFonts w:cs="Times New Roman"/>
                <w:szCs w:val="24"/>
                <w:vertAlign w:val="superscript"/>
                <w:lang w:val="es-ES"/>
              </w:rPr>
              <w:instrText>ADDIN CSL_CITATION {"citationItems":[{"id":"ITEM-1","itemData":{"author":[{"dropping-particle":"","family":"Jagerovic","given":"Nadine","non-dropping-particle":"","parse-names":false,"suffix":""},{"dropping-particle":"","family":"Lago-Fernandez","given":"Ana","non-dropping-particle":"","parse-names":false,"suffix":""},{"dropping-particle":"","family":"Morales","given":"Paula","non-dropping-particle":"","parse-names":false,"suffix":""},{"dropping-particle":"","family":"Abood","given":"Mary E.","non-dropping-particle":"","parse-names":false,"suffix":""},{"dropping-particle":"","family":"Brailoiu","given":"Eugen","non-dropping-particle":"","parse-names":false,"suffix":""},{"dropping-particle":"","family":"Leo","given":"Luciana M.","non-dropping-particle":"","parse-names":false,"suffix":""},{"dropping-particle":"","family":"Zhao","given":"Pingwei","non-dropping-particle":"","parse-names":false,"suffix":""},{"dropping-particle":"","family":"Reggio","given":"Patricia H.","non-dropping-particle":"","parse-names":false,"suffix":""},{"dropping-particle":"","family":"Hurst","given":"Dow P.","non-dropping-particle":"","parse-names":false,"suffix":""},{"dropping-particle":"","family":"Chafi","given":"Noori","non-dropping-particle":"","parse-names":false,"suffix":""}],"id":"ITEM-1","issued":{"date-parts":[["2020"]]},"number":"European Patent Application EP20382324. Apr 22, 2020","title":"Pyrazolylbenzene-1,3-diols for Diseases Associated with G Protein-coupled Receptor 18 and in Combination with Transient Receptor Potential Vanilloid 1","type":"patent"},"uris":["http://www.mendeley.com/documents/?uuid=459d19f8-906b-493c-a065-7a28b7595581"]}],"mendeley":{"formattedCitation":"(Jagerovic et al., 2020)","plainTextFormattedCitation":"(Jagerovic et al., 2020)","previouslyFormattedCitation":"(Jagerovic et al., 2020)"},"properties":{"noteIndex":0},"schema":"https://github.com/citation-style-language/schema/raw/master/csl-citation.json"}</w:instrText>
            </w:r>
            <w:r w:rsidRPr="00C477B4">
              <w:rPr>
                <w:rFonts w:cs="Times New Roman"/>
                <w:szCs w:val="24"/>
                <w:vertAlign w:val="superscript"/>
                <w:lang w:val="es-ES"/>
              </w:rPr>
              <w:fldChar w:fldCharType="separate"/>
            </w:r>
            <w:r w:rsidRPr="00C477B4">
              <w:rPr>
                <w:rFonts w:cs="Times New Roman"/>
                <w:noProof/>
                <w:szCs w:val="24"/>
                <w:lang w:val="es-ES"/>
              </w:rPr>
              <w:t>(Jagerovic et al., 2020)</w:t>
            </w:r>
            <w:r w:rsidRPr="00C477B4">
              <w:rPr>
                <w:rFonts w:cs="Times New Roman"/>
                <w:szCs w:val="24"/>
                <w:vertAlign w:val="superscript"/>
                <w:lang w:val="es-ES"/>
              </w:rPr>
              <w:fldChar w:fldCharType="end"/>
            </w:r>
            <w:r w:rsidRPr="00C477B4">
              <w:rPr>
                <w:rFonts w:cs="Times New Roman"/>
                <w:szCs w:val="24"/>
                <w:lang w:val="es-ES"/>
              </w:rPr>
              <w:t xml:space="preserve">; </w:t>
            </w:r>
            <w:r w:rsidRPr="00C477B4">
              <w:rPr>
                <w:rFonts w:cs="Times New Roman"/>
                <w:szCs w:val="24"/>
                <w:vertAlign w:val="superscript"/>
                <w:lang w:val="es-ES"/>
              </w:rPr>
              <w:t xml:space="preserve"> g</w:t>
            </w:r>
            <w:r w:rsidRPr="00C477B4">
              <w:rPr>
                <w:szCs w:val="24"/>
              </w:rPr>
              <w:fldChar w:fldCharType="begin" w:fldLock="1"/>
            </w:r>
            <w:r w:rsidRPr="00C477B4">
              <w:rPr>
                <w:szCs w:val="24"/>
                <w:lang w:val="es-ES"/>
              </w:rPr>
              <w:instrText>ADDIN CSL_CITATION {"citationItems":[{"id":"ITEM-1","itemData":{"DOI":"10.1039/c3md00394a","ISSN":"2040-2503","author":[{"dropping-particle":"","family":"Rempel","given":"V.","non-dropping-particle":"","parse-names":false,"suffix":""},{"dropping-particle":"","family":"Atzler","given":"K.","non-dropping-particle":"","parse-names":false,"suffix":""},{"dropping-particle":"","family":"Behrenswerth","given":"A.","non-dropping-particle":"","parse-names":false,"suffix":""},{"dropping-particle":"","family":"Karcz","given":"T.","non-dropping-particle":"","parse-names":false,"suffix":""},{"dropping-particle":"","family":"Schoeder","given":"C.","non-dropping-particle":"","parse-names":false,"suffix":""},{"dropping-particle":"","family":"Hinz","given":"S.","non-dropping-particle":"","parse-names":false,"suffix":""},{"dropping-particle":"","family":"Kaleta","given":"M.","non-dropping-particle":"","parse-names":false,"suffix":""},{"dropping-particle":"","family":"Thimm","given":"D.","non-dropping-particle":"","parse-names":false,"suffix":""},{"dropping-particle":"","family":"Kiec-Kononowicz","given":"K.","non-dropping-particle":"","parse-names":false,"suffix":""},{"dropping-particle":"","family":"Müller","given":"C. E.","non-dropping-particle":"","parse-names":false,"suffix":""}],"container-title":"MedChemComm","id":"ITEM-1","issue":"5","issued":{"date-parts":[["2014"]]},"page":"632-649","title":"Bicyclic imidazole-4-one derivatives: a new class of antagonists for the orphan G protein-coupled receptors GPR18 and GPR55","type":"article-journal","volume":"5"},"uris":["http://www.mendeley.com/documents/?uuid=23bdae4b-26d6-4d0f-92c3-5157866a9725"]}],"mendeley":{"formattedCitation":"(Rempel et al., 2014)","plainTextFormattedCitation":"(Rempel et al., 2014)","previouslyFormattedCitation":"(Rempel et al., 2014)"},"properties":{"noteIndex":0},"schema":"https://github.com/citation-style-language/schema/raw/master/csl-citation.json"}</w:instrText>
            </w:r>
            <w:r w:rsidRPr="00C477B4">
              <w:rPr>
                <w:szCs w:val="24"/>
              </w:rPr>
              <w:fldChar w:fldCharType="separate"/>
            </w:r>
            <w:r w:rsidRPr="00BF24BB">
              <w:rPr>
                <w:noProof/>
                <w:szCs w:val="24"/>
                <w:lang w:val="es-ES"/>
              </w:rPr>
              <w:t>(Rempel et al., 2014)</w:t>
            </w:r>
            <w:r w:rsidRPr="00C477B4">
              <w:rPr>
                <w:szCs w:val="24"/>
              </w:rPr>
              <w:fldChar w:fldCharType="end"/>
            </w:r>
            <w:r w:rsidRPr="00BF24BB">
              <w:rPr>
                <w:szCs w:val="24"/>
                <w:lang w:val="es-ES"/>
              </w:rPr>
              <w:t xml:space="preserve">; </w:t>
            </w:r>
            <w:proofErr w:type="spellStart"/>
            <w:r w:rsidRPr="00BF24BB">
              <w:rPr>
                <w:rFonts w:cs="Times New Roman"/>
                <w:szCs w:val="24"/>
                <w:vertAlign w:val="superscript"/>
                <w:lang w:val="es-ES"/>
              </w:rPr>
              <w:t>h</w:t>
            </w:r>
            <w:r w:rsidRPr="00BF24BB">
              <w:rPr>
                <w:rFonts w:cs="Times New Roman"/>
                <w:szCs w:val="24"/>
                <w:lang w:val="es-ES"/>
              </w:rPr>
              <w:t>Reported</w:t>
            </w:r>
            <w:proofErr w:type="spellEnd"/>
            <w:r w:rsidRPr="00BF24BB">
              <w:rPr>
                <w:rFonts w:cs="Times New Roman"/>
                <w:szCs w:val="24"/>
                <w:lang w:val="es-ES"/>
              </w:rPr>
              <w:t xml:space="preserve"> </w:t>
            </w:r>
            <w:proofErr w:type="spellStart"/>
            <w:r w:rsidRPr="00BF24BB">
              <w:rPr>
                <w:rFonts w:cs="Times New Roman"/>
                <w:szCs w:val="24"/>
                <w:lang w:val="es-ES"/>
              </w:rPr>
              <w:t>binding</w:t>
            </w:r>
            <w:proofErr w:type="spellEnd"/>
            <w:r w:rsidRPr="00BF24BB">
              <w:rPr>
                <w:rFonts w:cs="Times New Roman"/>
                <w:szCs w:val="24"/>
                <w:lang w:val="es-ES"/>
              </w:rPr>
              <w:t xml:space="preserve"> </w:t>
            </w:r>
            <w:proofErr w:type="spellStart"/>
            <w:r w:rsidRPr="00BF24BB">
              <w:rPr>
                <w:rFonts w:cs="Times New Roman"/>
                <w:szCs w:val="24"/>
                <w:lang w:val="es-ES"/>
              </w:rPr>
              <w:t>assays</w:t>
            </w:r>
            <w:proofErr w:type="spellEnd"/>
            <w:r w:rsidRPr="00BF24BB">
              <w:rPr>
                <w:rFonts w:cs="Times New Roman"/>
                <w:szCs w:val="24"/>
                <w:lang w:val="es-ES"/>
              </w:rPr>
              <w:t xml:space="preserve"> </w:t>
            </w:r>
            <w:proofErr w:type="spellStart"/>
            <w:r w:rsidRPr="00BF24BB">
              <w:rPr>
                <w:rFonts w:cs="Times New Roman"/>
                <w:szCs w:val="24"/>
                <w:lang w:val="es-ES"/>
              </w:rPr>
              <w:t>indicate</w:t>
            </w:r>
            <w:proofErr w:type="spellEnd"/>
            <w:r w:rsidRPr="00BF24BB">
              <w:rPr>
                <w:rFonts w:cs="Times New Roman"/>
                <w:szCs w:val="24"/>
                <w:lang w:val="es-ES"/>
              </w:rPr>
              <w:t xml:space="preserve"> </w:t>
            </w:r>
            <w:proofErr w:type="spellStart"/>
            <w:r w:rsidRPr="00BF24BB">
              <w:rPr>
                <w:rFonts w:cs="Times New Roman"/>
                <w:szCs w:val="24"/>
                <w:lang w:val="es-ES"/>
              </w:rPr>
              <w:t>that</w:t>
            </w:r>
            <w:proofErr w:type="spellEnd"/>
            <w:r w:rsidRPr="00BF24BB">
              <w:rPr>
                <w:rFonts w:cs="Times New Roman"/>
                <w:szCs w:val="24"/>
                <w:lang w:val="es-ES"/>
              </w:rPr>
              <w:t xml:space="preserve"> </w:t>
            </w:r>
            <w:proofErr w:type="spellStart"/>
            <w:r w:rsidRPr="00BF24BB">
              <w:rPr>
                <w:rFonts w:cs="Times New Roman"/>
                <w:szCs w:val="24"/>
                <w:lang w:val="es-ES"/>
              </w:rPr>
              <w:t>these</w:t>
            </w:r>
            <w:proofErr w:type="spellEnd"/>
            <w:r w:rsidRPr="00BF24BB">
              <w:rPr>
                <w:rFonts w:cs="Times New Roman"/>
                <w:szCs w:val="24"/>
                <w:lang w:val="es-ES"/>
              </w:rPr>
              <w:t xml:space="preserve"> compounds do </w:t>
            </w:r>
            <w:proofErr w:type="spellStart"/>
            <w:r w:rsidRPr="00BF24BB">
              <w:rPr>
                <w:rFonts w:cs="Times New Roman"/>
                <w:szCs w:val="24"/>
                <w:lang w:val="es-ES"/>
              </w:rPr>
              <w:t>not</w:t>
            </w:r>
            <w:proofErr w:type="spellEnd"/>
            <w:r w:rsidRPr="00BF24BB">
              <w:rPr>
                <w:rFonts w:cs="Times New Roman"/>
                <w:szCs w:val="24"/>
                <w:lang w:val="es-ES"/>
              </w:rPr>
              <w:t xml:space="preserve"> show </w:t>
            </w:r>
            <w:proofErr w:type="spellStart"/>
            <w:r w:rsidRPr="00BF24BB">
              <w:rPr>
                <w:rFonts w:cs="Times New Roman"/>
                <w:szCs w:val="24"/>
                <w:lang w:val="es-ES"/>
              </w:rPr>
              <w:t>activity</w:t>
            </w:r>
            <w:proofErr w:type="spellEnd"/>
            <w:r w:rsidRPr="00BF24BB">
              <w:rPr>
                <w:rFonts w:cs="Times New Roman"/>
                <w:szCs w:val="24"/>
                <w:lang w:val="es-ES"/>
              </w:rPr>
              <w:t xml:space="preserve"> at CB1[K</w:t>
            </w:r>
            <w:r w:rsidRPr="00BF24BB">
              <w:rPr>
                <w:rFonts w:cs="Times New Roman"/>
                <w:szCs w:val="24"/>
                <w:vertAlign w:val="subscript"/>
                <w:lang w:val="es-ES"/>
              </w:rPr>
              <w:t>i</w:t>
            </w:r>
            <w:r w:rsidRPr="00BF24BB">
              <w:rPr>
                <w:rFonts w:cs="Times New Roman"/>
                <w:szCs w:val="24"/>
                <w:lang w:val="es-ES"/>
              </w:rPr>
              <w:t xml:space="preserve"> &gt; 10 µM </w:t>
            </w:r>
            <w:r w:rsidRPr="00C477B4">
              <w:rPr>
                <w:szCs w:val="24"/>
              </w:rPr>
              <w:fldChar w:fldCharType="begin" w:fldLock="1"/>
            </w:r>
            <w:r w:rsidRPr="00BF24BB">
              <w:rPr>
                <w:szCs w:val="24"/>
                <w:lang w:val="es-ES"/>
              </w:rPr>
              <w:instrText>ADDIN CSL_CITATION {"citationItems":[{"id":"ITEM-1","itemData":{"DOI":"10.1016/j.bmc.2010.10.050","ISSN":"09680896","PMID":"21074998","abstract":"In the present work, we report upon the design, synthesis and biological evaluation of new anandamide derivatives obtained by modifications of the fatty acyl chain and/or of the ethanolamide 'tail'. The compounds are of the general formula: 6-(substituted-phenyl)/naphthyl-4-oxohex-5-enoic acid N-substituted amide and 7-naphthyl-5-oxohept-6-enoicacid N-substituted amide. The novel compounds had been evaluated for their binding affinity to CB1/CB2 cannabinoid receptors, binding studies showed that some of the newly developed compounds have measurable affinity and selectivity for the CB2 receptor. Compounds XI and XVIII showed the highest binding affinity for CB2 receptor. None of the compounds exhibited inhibitory activity towards anandamide hydrolysis, thus arguing in favor of their enzymatic stability. The structure-activity relationship has been extensively studied through a tailor-made homological model using constrained docking in addition to pharmacophore analysis, both feature and field based. © 2010 Elsevier Ltd. All rights reserved.","author</w:instrText>
            </w:r>
            <w:r w:rsidRPr="00EE175C">
              <w:rPr>
                <w:szCs w:val="24"/>
              </w:rPr>
              <w:instrText>":[{"dropping-particle":"","family":"Osman","given":"Noha A.","non-dropping-particle":"","parse-names":false,"suffix":""},{"dropping-particle":"","family":"Mahmoud","given</w:instrText>
            </w:r>
            <w:r w:rsidRPr="00C477B4">
              <w:rPr>
                <w:szCs w:val="24"/>
              </w:rPr>
              <w:instrText>":"Amr H.","non-dropping-particle":"","parse-names":false,"suffix":""},{"dropping-particle":"","family":"Allar","given":"Marco","non-dropping-particle":"","parse-names":false,"suffix":""},{"dropping-particle":"","family":"Niess","given":"Raimund","non-dropping-particle":"","parse-names":false,"suffix":""},{"dropping-particle":"","family":"Abouzid","given":"Khaled A.","non-dropping-particle":"","parse-names":false,"suffix":""},{"dropping-particle":"Di","family":"Marzo","given":"Vincenzo","non-dropping-particle":"","parse-names":false,"suffix":""},{"dropping-particle":"","family":"Abadi","given":"Ashraf H.","non-dropping-particle":"","parse-names":false,"suffix":""}],"container-title":"Bioorganic and Medicinal Chemistry","id":"ITEM-1","issue":"24","issued":{"date-parts":[["2010","12","15"]]},"page":"8463-8477","title":"Synthesis, binding studies and molecular modeling of novel cannabinoid receptor ligands","type":"article-journal","volume":"18"},"uris":["http://www.mendeley.com/documents/?uuid=f4a286b5-3e0f-406f-894d-ddcfe1ef85d8"]}],"mendeley":{"formattedCitation":"(Osman et al., 2010)","plainTextFormattedCitation":"(Osman et al., 2010)","previouslyFormattedCitation":"(Osman et al., 2010)"},"properties":{"noteIndex":0},"schema":"https://github.com/citation-style-language/schema/raw/master/csl-citation.json"}</w:instrText>
            </w:r>
            <w:r w:rsidRPr="00C477B4">
              <w:rPr>
                <w:szCs w:val="24"/>
              </w:rPr>
              <w:fldChar w:fldCharType="separate"/>
            </w:r>
            <w:r w:rsidRPr="00C477B4">
              <w:rPr>
                <w:noProof/>
                <w:szCs w:val="24"/>
              </w:rPr>
              <w:t>(Osman et al., 2010)</w:t>
            </w:r>
            <w:r w:rsidRPr="00C477B4">
              <w:rPr>
                <w:szCs w:val="24"/>
              </w:rPr>
              <w:fldChar w:fldCharType="end"/>
            </w:r>
            <w:r>
              <w:rPr>
                <w:szCs w:val="24"/>
              </w:rPr>
              <w:t>]</w:t>
            </w:r>
          </w:p>
        </w:tc>
      </w:tr>
    </w:tbl>
    <w:p w14:paraId="5B908BF9" w14:textId="77777777" w:rsidR="006928A2" w:rsidRPr="00BF24BB" w:rsidRDefault="006928A2" w:rsidP="006928A2">
      <w:pPr>
        <w:pStyle w:val="TAMainText"/>
        <w:spacing w:line="360" w:lineRule="auto"/>
        <w:ind w:firstLine="0"/>
        <w:rPr>
          <w:rFonts w:ascii="Times New Roman" w:hAnsi="Times New Roman"/>
          <w:b/>
          <w:szCs w:val="24"/>
        </w:rPr>
      </w:pPr>
    </w:p>
    <w:p w14:paraId="5356BC8D" w14:textId="77777777" w:rsidR="006928A2" w:rsidRPr="00BF24BB" w:rsidRDefault="006928A2" w:rsidP="006928A2">
      <w:pPr>
        <w:pStyle w:val="TAMainText"/>
        <w:spacing w:line="360" w:lineRule="auto"/>
        <w:ind w:firstLine="0"/>
        <w:rPr>
          <w:rFonts w:ascii="Times New Roman" w:hAnsi="Times New Roman"/>
        </w:rPr>
      </w:pPr>
    </w:p>
    <w:p w14:paraId="418C590B" w14:textId="77777777" w:rsidR="006928A2" w:rsidRPr="00BF24BB" w:rsidRDefault="006928A2" w:rsidP="006928A2">
      <w:pPr>
        <w:pStyle w:val="TAMainText"/>
        <w:spacing w:line="360" w:lineRule="auto"/>
        <w:ind w:firstLine="0"/>
        <w:rPr>
          <w:rFonts w:ascii="Times New Roman" w:hAnsi="Times New Roman"/>
        </w:rPr>
      </w:pPr>
    </w:p>
    <w:p w14:paraId="4040E372" w14:textId="77777777" w:rsidR="006928A2" w:rsidRPr="00BF24BB" w:rsidRDefault="006928A2" w:rsidP="006928A2">
      <w:pPr>
        <w:pStyle w:val="TAMainText"/>
        <w:spacing w:line="360" w:lineRule="auto"/>
        <w:ind w:firstLine="0"/>
        <w:rPr>
          <w:rFonts w:ascii="Times New Roman" w:hAnsi="Times New Roman"/>
        </w:rPr>
      </w:pPr>
    </w:p>
    <w:p w14:paraId="14626E33" w14:textId="77777777" w:rsidR="006928A2" w:rsidRPr="00BF24BB" w:rsidRDefault="006928A2" w:rsidP="006928A2">
      <w:pPr>
        <w:pStyle w:val="TAMainText"/>
        <w:spacing w:line="360" w:lineRule="auto"/>
        <w:ind w:firstLine="0"/>
        <w:rPr>
          <w:rFonts w:ascii="Times New Roman" w:hAnsi="Times New Roman"/>
        </w:rPr>
      </w:pPr>
    </w:p>
    <w:p w14:paraId="1F2A4F94" w14:textId="77777777" w:rsidR="006928A2" w:rsidRPr="00B340B5" w:rsidRDefault="006928A2" w:rsidP="006928A2">
      <w:pPr>
        <w:pStyle w:val="TAMainText"/>
        <w:spacing w:line="360" w:lineRule="auto"/>
        <w:ind w:firstLine="0"/>
        <w:rPr>
          <w:rFonts w:ascii="Times New Roman" w:hAnsi="Times New Roman"/>
        </w:rPr>
      </w:pPr>
    </w:p>
    <w:p w14:paraId="353BAB52" w14:textId="77777777" w:rsidR="006928A2" w:rsidRPr="00B340B5" w:rsidRDefault="006928A2" w:rsidP="006928A2">
      <w:pPr>
        <w:pStyle w:val="TAMainText"/>
        <w:spacing w:line="360" w:lineRule="auto"/>
        <w:ind w:firstLine="0"/>
        <w:rPr>
          <w:rFonts w:ascii="Times New Roman" w:hAnsi="Times New Roman"/>
        </w:rPr>
      </w:pPr>
    </w:p>
    <w:p w14:paraId="4D28385D" w14:textId="77777777" w:rsidR="006928A2" w:rsidRPr="00B340B5" w:rsidRDefault="006928A2" w:rsidP="006928A2">
      <w:pPr>
        <w:pStyle w:val="TAMainText"/>
        <w:spacing w:line="360" w:lineRule="auto"/>
        <w:ind w:firstLine="0"/>
        <w:rPr>
          <w:rFonts w:ascii="Times New Roman" w:hAnsi="Times New Roman"/>
        </w:rPr>
      </w:pPr>
    </w:p>
    <w:p w14:paraId="1B071DE1" w14:textId="77777777" w:rsidR="006928A2" w:rsidRDefault="006928A2" w:rsidP="006928A2">
      <w:pPr>
        <w:spacing w:before="240"/>
        <w:rPr>
          <w:b/>
          <w:bCs/>
        </w:rPr>
      </w:pPr>
    </w:p>
    <w:p w14:paraId="7B120F43" w14:textId="77777777" w:rsidR="006928A2" w:rsidRDefault="006928A2" w:rsidP="006928A2">
      <w:pPr>
        <w:spacing w:before="240"/>
        <w:rPr>
          <w:b/>
          <w:bCs/>
        </w:rPr>
      </w:pPr>
    </w:p>
    <w:p w14:paraId="7EE064F6" w14:textId="77777777" w:rsidR="006928A2" w:rsidRDefault="006928A2" w:rsidP="006928A2">
      <w:pPr>
        <w:spacing w:before="240"/>
        <w:rPr>
          <w:b/>
          <w:bCs/>
        </w:rPr>
      </w:pPr>
    </w:p>
    <w:p w14:paraId="018E39AA" w14:textId="77777777" w:rsidR="006928A2" w:rsidRDefault="006928A2" w:rsidP="006928A2">
      <w:pPr>
        <w:spacing w:before="240"/>
        <w:rPr>
          <w:b/>
          <w:bCs/>
        </w:rPr>
      </w:pPr>
    </w:p>
    <w:p w14:paraId="4846F1D2" w14:textId="77777777" w:rsidR="006928A2" w:rsidRDefault="006928A2" w:rsidP="006928A2">
      <w:pPr>
        <w:spacing w:before="240"/>
        <w:rPr>
          <w:b/>
          <w:bCs/>
        </w:rPr>
      </w:pPr>
    </w:p>
    <w:p w14:paraId="64B7CE91" w14:textId="77777777" w:rsidR="006928A2" w:rsidRDefault="006928A2" w:rsidP="006928A2">
      <w:pPr>
        <w:spacing w:before="240"/>
        <w:rPr>
          <w:b/>
          <w:bCs/>
        </w:rPr>
      </w:pPr>
    </w:p>
    <w:p w14:paraId="7A7C8EB4" w14:textId="77777777" w:rsidR="006928A2" w:rsidRDefault="006928A2" w:rsidP="006928A2">
      <w:pPr>
        <w:spacing w:before="240"/>
        <w:rPr>
          <w:b/>
          <w:bCs/>
        </w:rPr>
      </w:pPr>
    </w:p>
    <w:p w14:paraId="177B7D2A" w14:textId="77777777" w:rsidR="006928A2" w:rsidRDefault="006928A2" w:rsidP="006928A2">
      <w:pPr>
        <w:spacing w:before="240"/>
        <w:rPr>
          <w:b/>
          <w:bCs/>
        </w:rPr>
      </w:pPr>
    </w:p>
    <w:p w14:paraId="777D6BC7" w14:textId="77777777" w:rsidR="006928A2" w:rsidRDefault="006928A2" w:rsidP="006928A2">
      <w:pPr>
        <w:spacing w:before="240"/>
        <w:rPr>
          <w:b/>
          <w:bCs/>
        </w:rPr>
      </w:pPr>
    </w:p>
    <w:p w14:paraId="219CA1FD" w14:textId="77777777" w:rsidR="006928A2" w:rsidRDefault="006928A2" w:rsidP="006928A2">
      <w:pPr>
        <w:spacing w:before="240"/>
        <w:rPr>
          <w:b/>
          <w:bCs/>
        </w:rPr>
      </w:pPr>
    </w:p>
    <w:p w14:paraId="10FF2195" w14:textId="77777777" w:rsidR="006928A2" w:rsidRDefault="006928A2" w:rsidP="006928A2">
      <w:pPr>
        <w:spacing w:before="240"/>
        <w:rPr>
          <w:b/>
          <w:bCs/>
        </w:rPr>
      </w:pPr>
    </w:p>
    <w:p w14:paraId="26B80D39" w14:textId="77777777" w:rsidR="006928A2" w:rsidRDefault="006928A2" w:rsidP="006928A2">
      <w:pPr>
        <w:spacing w:before="240"/>
        <w:rPr>
          <w:b/>
          <w:bCs/>
        </w:rPr>
      </w:pPr>
    </w:p>
    <w:p w14:paraId="7DE0111B" w14:textId="77777777" w:rsidR="006928A2" w:rsidRDefault="006928A2" w:rsidP="006928A2">
      <w:pPr>
        <w:spacing w:before="240"/>
      </w:pPr>
      <w:r>
        <w:rPr>
          <w:b/>
          <w:bCs/>
        </w:rPr>
        <w:lastRenderedPageBreak/>
        <w:t xml:space="preserve">Figure S5. </w:t>
      </w:r>
      <w:r>
        <w:t>Summary of selected hits.</w:t>
      </w:r>
    </w:p>
    <w:p w14:paraId="17FD2B01" w14:textId="77777777" w:rsidR="006928A2" w:rsidRDefault="006928A2" w:rsidP="006928A2">
      <w:pPr>
        <w:spacing w:before="240"/>
        <w:rPr>
          <w:noProof/>
        </w:rPr>
      </w:pPr>
    </w:p>
    <w:p w14:paraId="666771F2" w14:textId="77777777" w:rsidR="006928A2" w:rsidRDefault="006928A2" w:rsidP="006928A2">
      <w:pPr>
        <w:spacing w:before="240"/>
      </w:pPr>
      <w:r>
        <w:rPr>
          <w:noProof/>
        </w:rPr>
        <w:drawing>
          <wp:inline distT="0" distB="0" distL="0" distR="0" wp14:anchorId="5B641ABD" wp14:editId="2A62BD26">
            <wp:extent cx="8613140" cy="4255770"/>
            <wp:effectExtent l="0" t="0" r="0" b="0"/>
            <wp:docPr id="44" name="Picture 4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10;&#10;Description automatically generated"/>
                    <pic:cNvPicPr/>
                  </pic:nvPicPr>
                  <pic:blipFill rotWithShape="1">
                    <a:blip r:embed="rId81">
                      <a:extLst>
                        <a:ext uri="{28A0092B-C50C-407E-A947-70E740481C1C}">
                          <a14:useLocalDpi xmlns:a14="http://schemas.microsoft.com/office/drawing/2010/main" val="0"/>
                        </a:ext>
                      </a:extLst>
                    </a:blip>
                    <a:srcRect b="12139"/>
                    <a:stretch/>
                  </pic:blipFill>
                  <pic:spPr bwMode="auto">
                    <a:xfrm>
                      <a:off x="0" y="0"/>
                      <a:ext cx="8613140" cy="4255770"/>
                    </a:xfrm>
                    <a:prstGeom prst="rect">
                      <a:avLst/>
                    </a:prstGeom>
                    <a:ln>
                      <a:noFill/>
                    </a:ln>
                    <a:extLst>
                      <a:ext uri="{53640926-AAD7-44D8-BBD7-CCE9431645EC}">
                        <a14:shadowObscured xmlns:a14="http://schemas.microsoft.com/office/drawing/2010/main"/>
                      </a:ext>
                    </a:extLst>
                  </pic:spPr>
                </pic:pic>
              </a:graphicData>
            </a:graphic>
          </wp:inline>
        </w:drawing>
      </w:r>
    </w:p>
    <w:p w14:paraId="1756B6CF" w14:textId="298B2DAD" w:rsidR="006928A2" w:rsidRPr="00AD018F" w:rsidRDefault="006928A2" w:rsidP="006928A2">
      <w:pPr>
        <w:spacing w:before="240"/>
        <w:sectPr w:rsidR="006928A2" w:rsidRPr="00AD018F" w:rsidSect="00294BFC">
          <w:headerReference w:type="first" r:id="rId82"/>
          <w:footerReference w:type="first" r:id="rId83"/>
          <w:pgSz w:w="15840" w:h="12240" w:orient="landscape"/>
          <w:pgMar w:top="1282" w:right="1138" w:bottom="1181" w:left="1138" w:header="720" w:footer="720" w:gutter="0"/>
          <w:cols w:space="720"/>
          <w:titlePg/>
          <w:docGrid w:linePitch="360"/>
        </w:sectPr>
      </w:pPr>
      <w:r w:rsidRPr="006928A2">
        <w:rPr>
          <w:b/>
          <w:bCs/>
        </w:rPr>
        <w:t xml:space="preserve">Figure S5. </w:t>
      </w:r>
      <w:r w:rsidRPr="006928A2">
        <w:t xml:space="preserve">Summary of selected hits. DS: docking scores in Kcal/mol. </w:t>
      </w:r>
      <w:r w:rsidRPr="006928A2">
        <w:rPr>
          <w:vertAlign w:val="superscript"/>
        </w:rPr>
        <w:t>1</w:t>
      </w:r>
      <w:r w:rsidRPr="006928A2">
        <w:t xml:space="preserve">Hit selected through the JWH133 structurally related chemical databases strategy; </w:t>
      </w:r>
      <w:r w:rsidRPr="006928A2">
        <w:rPr>
          <w:vertAlign w:val="superscript"/>
        </w:rPr>
        <w:t>2</w:t>
      </w:r>
      <w:r w:rsidRPr="006928A2">
        <w:t>Hit selected through the cross-agonist HTVS strategy. *Low activity; **Moderate activity</w:t>
      </w:r>
      <w:r w:rsidRPr="00AD018F">
        <w:t>.</w:t>
      </w:r>
    </w:p>
    <w:p w14:paraId="38AF3798" w14:textId="6FB456E2" w:rsidR="007277BE" w:rsidRPr="006928A2" w:rsidRDefault="007C7F85" w:rsidP="00654E8F">
      <w:pPr>
        <w:spacing w:before="240"/>
        <w:rPr>
          <w:b/>
        </w:rPr>
      </w:pPr>
      <w:r w:rsidRPr="006928A2">
        <w:rPr>
          <w:b/>
        </w:rPr>
        <w:lastRenderedPageBreak/>
        <w:t>REFERENCES</w:t>
      </w:r>
    </w:p>
    <w:p w14:paraId="087E740D" w14:textId="7636BCA2" w:rsidR="00F938E4" w:rsidRPr="006928A2" w:rsidRDefault="00F938E4" w:rsidP="00654E8F">
      <w:pPr>
        <w:spacing w:before="240"/>
      </w:pPr>
    </w:p>
    <w:p w14:paraId="44C6E170" w14:textId="36B0E207" w:rsidR="00B340B5" w:rsidRPr="00B340B5" w:rsidRDefault="001E7A9C" w:rsidP="00B340B5">
      <w:pPr>
        <w:widowControl w:val="0"/>
        <w:autoSpaceDE w:val="0"/>
        <w:autoSpaceDN w:val="0"/>
        <w:adjustRightInd w:val="0"/>
        <w:spacing w:before="240"/>
        <w:ind w:left="480" w:hanging="480"/>
        <w:rPr>
          <w:rFonts w:cs="Times New Roman"/>
          <w:noProof/>
          <w:szCs w:val="24"/>
        </w:rPr>
      </w:pPr>
      <w:r>
        <w:fldChar w:fldCharType="begin" w:fldLock="1"/>
      </w:r>
      <w:r w:rsidRPr="006928A2">
        <w:instrText xml:space="preserve">ADDIN Mendeley Bibliography CSL_BIBLIOGRAPHY </w:instrText>
      </w:r>
      <w:r>
        <w:fldChar w:fldCharType="separate"/>
      </w:r>
      <w:r w:rsidR="00B340B5" w:rsidRPr="00B340B5">
        <w:rPr>
          <w:rFonts w:cs="Times New Roman"/>
          <w:noProof/>
          <w:szCs w:val="24"/>
        </w:rPr>
        <w:t xml:space="preserve">Appendino, G., Cascio, M. G., Bacchiega, S., Moriello, A. S., Minassi, A., Thomas, A., et al. (2006). First “hybrid” ligands of vanilloid TRPV1 and cannabinoid CB 2 receptors and non-polyunsaturated fatty acid-derived CB 2-selective ligands. </w:t>
      </w:r>
      <w:r w:rsidR="00B340B5" w:rsidRPr="00B340B5">
        <w:rPr>
          <w:rFonts w:cs="Times New Roman"/>
          <w:i/>
          <w:iCs/>
          <w:noProof/>
          <w:szCs w:val="24"/>
        </w:rPr>
        <w:t>FEBS Lett.</w:t>
      </w:r>
      <w:r w:rsidR="00B340B5" w:rsidRPr="00B340B5">
        <w:rPr>
          <w:rFonts w:cs="Times New Roman"/>
          <w:noProof/>
          <w:szCs w:val="24"/>
        </w:rPr>
        <w:t xml:space="preserve"> 580, 568–574. doi:10.1016/j.febslet.2005.12.069.</w:t>
      </w:r>
    </w:p>
    <w:p w14:paraId="1CC36D51"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Appendino, G., Ligresti, A., Minassi, A., Cascio, M. G., Allarà, M., Taglialatela-Scafati, O., et al. (2009). Conformationally constrained fatty acid ethanolamides as cannabinoid and vanilloid receptor probes. </w:t>
      </w:r>
      <w:r w:rsidRPr="00B340B5">
        <w:rPr>
          <w:rFonts w:cs="Times New Roman"/>
          <w:i/>
          <w:iCs/>
          <w:noProof/>
          <w:szCs w:val="24"/>
        </w:rPr>
        <w:t>J. Med. Chem.</w:t>
      </w:r>
      <w:r w:rsidRPr="00B340B5">
        <w:rPr>
          <w:rFonts w:cs="Times New Roman"/>
          <w:noProof/>
          <w:szCs w:val="24"/>
        </w:rPr>
        <w:t xml:space="preserve"> 52, 3001–3009. doi:10.1021/jm900130m.</w:t>
      </w:r>
    </w:p>
    <w:p w14:paraId="104577EC" w14:textId="77777777" w:rsidR="00B340B5" w:rsidRPr="00C97EA3"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Daina, A., O, M., and Zoete, V. (2017). SwissADME: a free web tool to evaluate pharmacokinetics, drug-likeness and medicinal chemistry friendliness of small molecules. </w:t>
      </w:r>
      <w:r w:rsidRPr="00C97EA3">
        <w:rPr>
          <w:rFonts w:cs="Times New Roman"/>
          <w:i/>
          <w:iCs/>
          <w:noProof/>
          <w:szCs w:val="24"/>
        </w:rPr>
        <w:t>Sci. Rep.</w:t>
      </w:r>
      <w:r w:rsidRPr="00C97EA3">
        <w:rPr>
          <w:rFonts w:cs="Times New Roman"/>
          <w:noProof/>
          <w:szCs w:val="24"/>
        </w:rPr>
        <w:t xml:space="preserve"> 7, 42717. doi:10.1038/srep42717.</w:t>
      </w:r>
    </w:p>
    <w:p w14:paraId="541654C0"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C97EA3">
        <w:rPr>
          <w:rFonts w:cs="Times New Roman"/>
          <w:noProof/>
          <w:szCs w:val="24"/>
        </w:rPr>
        <w:t xml:space="preserve">De Petrocellis, L., Ligresti, A., Moriello, A. S., Allar??, M., Bisogno, T., Petrosino, S., et al. </w:t>
      </w:r>
      <w:r w:rsidRPr="00B340B5">
        <w:rPr>
          <w:rFonts w:cs="Times New Roman"/>
          <w:noProof/>
          <w:szCs w:val="24"/>
        </w:rPr>
        <w:t xml:space="preserve">(2011). Effects of cannabinoids and cannabinoid-enriched Cannabis extracts on TRP channels and endocannabinoid metabolic enzymes. </w:t>
      </w:r>
      <w:r w:rsidRPr="00B340B5">
        <w:rPr>
          <w:rFonts w:cs="Times New Roman"/>
          <w:i/>
          <w:iCs/>
          <w:noProof/>
          <w:szCs w:val="24"/>
        </w:rPr>
        <w:t>Br. J. Pharmacol.</w:t>
      </w:r>
      <w:r w:rsidRPr="00B340B5">
        <w:rPr>
          <w:rFonts w:cs="Times New Roman"/>
          <w:noProof/>
          <w:szCs w:val="24"/>
        </w:rPr>
        <w:t xml:space="preserve"> 163, 1479–1494. doi:10.1111/bph.2011.163.issue-7.</w:t>
      </w:r>
    </w:p>
    <w:p w14:paraId="77BE368B"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EE175C">
        <w:rPr>
          <w:rFonts w:cs="Times New Roman"/>
          <w:noProof/>
          <w:szCs w:val="24"/>
          <w:lang w:val="es-ES"/>
          <w:rPrChange w:id="4" w:author="Paula Morales Lazaro" w:date="2022-02-16T16:17:00Z">
            <w:rPr>
              <w:rFonts w:cs="Times New Roman"/>
              <w:noProof/>
              <w:szCs w:val="24"/>
            </w:rPr>
          </w:rPrChange>
        </w:rPr>
        <w:t xml:space="preserve">Di Marzo, V., Bisogno, T., De Petrocellis, </w:t>
      </w:r>
      <w:r w:rsidRPr="00AD018F">
        <w:rPr>
          <w:rFonts w:cs="Times New Roman"/>
          <w:noProof/>
          <w:szCs w:val="24"/>
          <w:lang w:val="es-ES"/>
        </w:rPr>
        <w:t xml:space="preserve">L., Brandi, I., Jefferson, R. G., Winckler, R. L., et al. </w:t>
      </w:r>
      <w:r w:rsidRPr="00B340B5">
        <w:rPr>
          <w:rFonts w:cs="Times New Roman"/>
          <w:noProof/>
          <w:szCs w:val="24"/>
        </w:rPr>
        <w:t xml:space="preserve">(2001). Highly selective CB1cannabinoid receptor ligands and novel CB1/VR1vanilloid receptor </w:t>
      </w:r>
      <w:r w:rsidRPr="00B340B5">
        <w:rPr>
          <w:rFonts w:ascii="Nirmala UI" w:hAnsi="Nirmala UI" w:cs="Nirmala UI"/>
          <w:noProof/>
          <w:szCs w:val="24"/>
        </w:rPr>
        <w:t>ୀ</w:t>
      </w:r>
      <w:r w:rsidRPr="00B340B5">
        <w:rPr>
          <w:rFonts w:cs="Times New Roman"/>
          <w:noProof/>
          <w:szCs w:val="24"/>
        </w:rPr>
        <w:t>hybrid</w:t>
      </w:r>
      <w:r w:rsidRPr="00B340B5">
        <w:rPr>
          <w:rFonts w:ascii="Nirmala UI" w:hAnsi="Nirmala UI" w:cs="Nirmala UI"/>
          <w:noProof/>
          <w:szCs w:val="24"/>
        </w:rPr>
        <w:t>ୁ</w:t>
      </w:r>
      <w:r w:rsidRPr="00B340B5">
        <w:rPr>
          <w:rFonts w:cs="Times New Roman"/>
          <w:noProof/>
          <w:szCs w:val="24"/>
        </w:rPr>
        <w:t xml:space="preserve"> ligands. </w:t>
      </w:r>
      <w:r w:rsidRPr="00B340B5">
        <w:rPr>
          <w:rFonts w:cs="Times New Roman"/>
          <w:i/>
          <w:iCs/>
          <w:noProof/>
          <w:szCs w:val="24"/>
        </w:rPr>
        <w:t>Biochem. Biophys. Res. Commun.</w:t>
      </w:r>
      <w:r w:rsidRPr="00B340B5">
        <w:rPr>
          <w:rFonts w:cs="Times New Roman"/>
          <w:noProof/>
          <w:szCs w:val="24"/>
        </w:rPr>
        <w:t xml:space="preserve"> 281, 444–451. doi:10.1006/bbrc.2001.4354.</w:t>
      </w:r>
    </w:p>
    <w:p w14:paraId="573F68CF"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AD018F">
        <w:rPr>
          <w:rFonts w:cs="Times New Roman"/>
          <w:noProof/>
          <w:szCs w:val="24"/>
        </w:rPr>
        <w:t xml:space="preserve">Di Marzo, V., Griffin, G., De Petrocellis, L., Brandi, I., Bisogno, T., Williams, W., et al. </w:t>
      </w:r>
      <w:r w:rsidRPr="00B340B5">
        <w:rPr>
          <w:rFonts w:cs="Times New Roman"/>
          <w:noProof/>
          <w:szCs w:val="24"/>
        </w:rPr>
        <w:t xml:space="preserve">(2002). A structure/activity relationship study on arvanil, an endocannabinoid and vanilloid hybrid. </w:t>
      </w:r>
      <w:r w:rsidRPr="00B340B5">
        <w:rPr>
          <w:rFonts w:cs="Times New Roman"/>
          <w:i/>
          <w:iCs/>
          <w:noProof/>
          <w:szCs w:val="24"/>
        </w:rPr>
        <w:t>J. Pharmacol. Exp. Ther.</w:t>
      </w:r>
      <w:r w:rsidRPr="00B340B5">
        <w:rPr>
          <w:rFonts w:cs="Times New Roman"/>
          <w:noProof/>
          <w:szCs w:val="24"/>
        </w:rPr>
        <w:t xml:space="preserve"> 300, 984–991. doi:10.1124/jpet.300.3.984.</w:t>
      </w:r>
    </w:p>
    <w:p w14:paraId="36A49FD9"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Diver, M. M., Cheng, Y., and Julius, D. (2019). Structural insights into TRPM8 inhibition and desensitization. </w:t>
      </w:r>
      <w:r w:rsidRPr="00B340B5">
        <w:rPr>
          <w:rFonts w:cs="Times New Roman"/>
          <w:i/>
          <w:iCs/>
          <w:noProof/>
          <w:szCs w:val="24"/>
        </w:rPr>
        <w:t>Science (80-. ).</w:t>
      </w:r>
      <w:r w:rsidRPr="00B340B5">
        <w:rPr>
          <w:rFonts w:cs="Times New Roman"/>
          <w:noProof/>
          <w:szCs w:val="24"/>
        </w:rPr>
        <w:t xml:space="preserve"> 365, 1434–1440. doi:10.1126/science.aax6672.</w:t>
      </w:r>
    </w:p>
    <w:p w14:paraId="649508B8"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Gao, Y., Cao, E., Julius, D., and Cheng, Y. (2016). TRPV1 structures in nanodiscs reveal mechanisms of ligand and lipid action. </w:t>
      </w:r>
      <w:r w:rsidRPr="00B340B5">
        <w:rPr>
          <w:rFonts w:cs="Times New Roman"/>
          <w:i/>
          <w:iCs/>
          <w:noProof/>
          <w:szCs w:val="24"/>
        </w:rPr>
        <w:t>Nature</w:t>
      </w:r>
      <w:r w:rsidRPr="00B340B5">
        <w:rPr>
          <w:rFonts w:cs="Times New Roman"/>
          <w:noProof/>
          <w:szCs w:val="24"/>
        </w:rPr>
        <w:t xml:space="preserve"> 534, 347–51. doi:10.1038/nature17964.</w:t>
      </w:r>
    </w:p>
    <w:p w14:paraId="447C6039"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Hanus, L., Breuer, A., Tchilibon, S., Shiloah, S., Goldenberg, D., Horowitz, M., et al. (1999). HU-308: a specific agonist for CB(2), a peripheral cannabinoid receptor. </w:t>
      </w:r>
      <w:r w:rsidRPr="00B340B5">
        <w:rPr>
          <w:rFonts w:cs="Times New Roman"/>
          <w:i/>
          <w:iCs/>
          <w:noProof/>
          <w:szCs w:val="24"/>
        </w:rPr>
        <w:t>Proc. Natl. Acad. Sci. U. S. A.</w:t>
      </w:r>
      <w:r w:rsidRPr="00B340B5">
        <w:rPr>
          <w:rFonts w:cs="Times New Roman"/>
          <w:noProof/>
          <w:szCs w:val="24"/>
        </w:rPr>
        <w:t xml:space="preserve"> 96, 14228–33. Available at: http://www.pubmedcentral.nih.gov/articlerender.fcgi?artid=24419&amp;tool=pmcentrez&amp;rendertype=abstract [Accessed February 5, 2015].</w:t>
      </w:r>
    </w:p>
    <w:p w14:paraId="72843B54"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Huffman, J. W., Liddle, J., Yu, S., Aung, M. M., Abood, M. E., Wiley, J. L., et al. (1999). 3-(1’,1’-Dimethylbutyl)-1-deoxy-Δ8-THC and related compounds: Synthesis of selective ligands for the CB2 receptor. </w:t>
      </w:r>
      <w:r w:rsidRPr="00B340B5">
        <w:rPr>
          <w:rFonts w:cs="Times New Roman"/>
          <w:i/>
          <w:iCs/>
          <w:noProof/>
          <w:szCs w:val="24"/>
        </w:rPr>
        <w:t>Bioorganic Med. Chem.</w:t>
      </w:r>
      <w:r w:rsidRPr="00B340B5">
        <w:rPr>
          <w:rFonts w:cs="Times New Roman"/>
          <w:noProof/>
          <w:szCs w:val="24"/>
        </w:rPr>
        <w:t xml:space="preserve"> 7, 2905–2914. doi:10.1016/S0968-0896(99)00219-9.</w:t>
      </w:r>
    </w:p>
    <w:p w14:paraId="55E4F070"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lastRenderedPageBreak/>
        <w:t xml:space="preserve">Lowin, T., and Straub, R. H. (2015). Cannabinoid-based drugs targeting CB1 and TRPV1, the sympathetic nervous system, and arthritis. </w:t>
      </w:r>
      <w:r w:rsidRPr="00B340B5">
        <w:rPr>
          <w:rFonts w:cs="Times New Roman"/>
          <w:i/>
          <w:iCs/>
          <w:noProof/>
          <w:szCs w:val="24"/>
        </w:rPr>
        <w:t>Arthritis Res. Ther.</w:t>
      </w:r>
      <w:r w:rsidRPr="00B340B5">
        <w:rPr>
          <w:rFonts w:cs="Times New Roman"/>
          <w:noProof/>
          <w:szCs w:val="24"/>
        </w:rPr>
        <w:t xml:space="preserve"> 17, 226. doi:10.1186/s13075-015-0743-x.</w:t>
      </w:r>
    </w:p>
    <w:p w14:paraId="4AE8DA52" w14:textId="77777777" w:rsidR="00B340B5" w:rsidRPr="006928A2" w:rsidRDefault="00B340B5" w:rsidP="00B340B5">
      <w:pPr>
        <w:widowControl w:val="0"/>
        <w:autoSpaceDE w:val="0"/>
        <w:autoSpaceDN w:val="0"/>
        <w:adjustRightInd w:val="0"/>
        <w:spacing w:before="240"/>
        <w:ind w:left="480" w:hanging="480"/>
        <w:rPr>
          <w:rFonts w:cs="Times New Roman"/>
          <w:noProof/>
          <w:szCs w:val="24"/>
          <w:lang w:val="es-ES"/>
        </w:rPr>
      </w:pPr>
      <w:r w:rsidRPr="00B340B5">
        <w:rPr>
          <w:rFonts w:cs="Times New Roman"/>
          <w:noProof/>
          <w:szCs w:val="24"/>
        </w:rPr>
        <w:t xml:space="preserve">McPartland, J. M., Glass, M., and Pertwee, R. G. (2007). Meta-analysis of cannabinoid ligand binding affinity and receptor distribution: interspecies differences. </w:t>
      </w:r>
      <w:r w:rsidRPr="006928A2">
        <w:rPr>
          <w:rFonts w:cs="Times New Roman"/>
          <w:i/>
          <w:iCs/>
          <w:noProof/>
          <w:szCs w:val="24"/>
          <w:lang w:val="es-ES"/>
        </w:rPr>
        <w:t>Br. J. Pharmacol.</w:t>
      </w:r>
      <w:r w:rsidRPr="006928A2">
        <w:rPr>
          <w:rFonts w:cs="Times New Roman"/>
          <w:noProof/>
          <w:szCs w:val="24"/>
          <w:lang w:val="es-ES"/>
        </w:rPr>
        <w:t xml:space="preserve"> 152, 583–593. doi:10.1038/sj.bjp.0707399.</w:t>
      </w:r>
    </w:p>
    <w:p w14:paraId="620C4943" w14:textId="77777777" w:rsidR="00B340B5" w:rsidRPr="006928A2" w:rsidRDefault="00B340B5" w:rsidP="00B340B5">
      <w:pPr>
        <w:widowControl w:val="0"/>
        <w:autoSpaceDE w:val="0"/>
        <w:autoSpaceDN w:val="0"/>
        <w:adjustRightInd w:val="0"/>
        <w:spacing w:before="240"/>
        <w:ind w:left="480" w:hanging="480"/>
        <w:rPr>
          <w:rFonts w:cs="Times New Roman"/>
          <w:noProof/>
          <w:szCs w:val="24"/>
          <w:lang w:val="es-ES"/>
        </w:rPr>
      </w:pPr>
      <w:r w:rsidRPr="006928A2">
        <w:rPr>
          <w:rFonts w:cs="Times New Roman"/>
          <w:noProof/>
          <w:szCs w:val="24"/>
          <w:lang w:val="es-ES"/>
        </w:rPr>
        <w:t xml:space="preserve">Melck, D., Bisogno, T., De Petrocellis, L., Chuang, H. H., Julius, D., Bifulco, M., et al. </w:t>
      </w:r>
      <w:r w:rsidRPr="00B340B5">
        <w:rPr>
          <w:rFonts w:cs="Times New Roman"/>
          <w:noProof/>
          <w:szCs w:val="24"/>
        </w:rPr>
        <w:t xml:space="preserve">(1999). Unsaturated long-chain N-acyl-vanillyl-amides (N-AVAMs): Vanilloid receptor ligands that inhibit anandamide-facilitated transport and bind to CB1 cannabinoid receptors. </w:t>
      </w:r>
      <w:r w:rsidRPr="006928A2">
        <w:rPr>
          <w:rFonts w:cs="Times New Roman"/>
          <w:i/>
          <w:iCs/>
          <w:noProof/>
          <w:szCs w:val="24"/>
          <w:lang w:val="es-ES"/>
        </w:rPr>
        <w:t>Biochem. Biophys. Res. Commun.</w:t>
      </w:r>
      <w:r w:rsidRPr="006928A2">
        <w:rPr>
          <w:rFonts w:cs="Times New Roman"/>
          <w:noProof/>
          <w:szCs w:val="24"/>
          <w:lang w:val="es-ES"/>
        </w:rPr>
        <w:t xml:space="preserve"> 262, 275–284. doi:10.1006/bbrc.1999.1105.</w:t>
      </w:r>
    </w:p>
    <w:p w14:paraId="0C638881" w14:textId="77777777" w:rsidR="00B340B5" w:rsidRPr="006928A2" w:rsidRDefault="00B340B5" w:rsidP="00B340B5">
      <w:pPr>
        <w:widowControl w:val="0"/>
        <w:autoSpaceDE w:val="0"/>
        <w:autoSpaceDN w:val="0"/>
        <w:adjustRightInd w:val="0"/>
        <w:spacing w:before="240"/>
        <w:ind w:left="480" w:hanging="480"/>
        <w:rPr>
          <w:rFonts w:cs="Times New Roman"/>
          <w:noProof/>
          <w:szCs w:val="24"/>
          <w:lang w:val="es-ES"/>
        </w:rPr>
      </w:pPr>
      <w:r w:rsidRPr="006928A2">
        <w:rPr>
          <w:rFonts w:cs="Times New Roman"/>
          <w:noProof/>
          <w:szCs w:val="24"/>
          <w:lang w:val="es-ES"/>
        </w:rPr>
        <w:t xml:space="preserve">Morales, P., Gómez-Cañas, M., Navarro, G., Hurst, D. P., Carrillo-Salinas, F. J., Lagartera, L., et al. </w:t>
      </w:r>
      <w:r w:rsidRPr="00B340B5">
        <w:rPr>
          <w:rFonts w:cs="Times New Roman"/>
          <w:noProof/>
          <w:szCs w:val="24"/>
        </w:rPr>
        <w:t xml:space="preserve">(2016). Chromenopyrazole, a Versatile Cannabinoid Scaffold with in Vivo Activity in a Model of Multiple Sclerosis. </w:t>
      </w:r>
      <w:r w:rsidRPr="006928A2">
        <w:rPr>
          <w:rFonts w:cs="Times New Roman"/>
          <w:i/>
          <w:iCs/>
          <w:noProof/>
          <w:szCs w:val="24"/>
          <w:lang w:val="es-ES"/>
        </w:rPr>
        <w:t>J. Med. Chem.</w:t>
      </w:r>
      <w:r w:rsidRPr="006928A2">
        <w:rPr>
          <w:rFonts w:cs="Times New Roman"/>
          <w:noProof/>
          <w:szCs w:val="24"/>
          <w:lang w:val="es-ES"/>
        </w:rPr>
        <w:t xml:space="preserve"> 59, 6753–6771. doi:10.1021/acs.jmedchem.6b00397.</w:t>
      </w:r>
    </w:p>
    <w:p w14:paraId="61786553" w14:textId="77777777" w:rsidR="00B340B5" w:rsidRPr="006928A2" w:rsidRDefault="00B340B5" w:rsidP="00B340B5">
      <w:pPr>
        <w:widowControl w:val="0"/>
        <w:autoSpaceDE w:val="0"/>
        <w:autoSpaceDN w:val="0"/>
        <w:adjustRightInd w:val="0"/>
        <w:spacing w:before="240"/>
        <w:ind w:left="480" w:hanging="480"/>
        <w:rPr>
          <w:rFonts w:cs="Times New Roman"/>
          <w:noProof/>
          <w:szCs w:val="24"/>
          <w:lang w:val="es-ES"/>
        </w:rPr>
      </w:pPr>
      <w:r w:rsidRPr="006928A2">
        <w:rPr>
          <w:rFonts w:cs="Times New Roman"/>
          <w:noProof/>
          <w:szCs w:val="24"/>
          <w:lang w:val="es-ES"/>
        </w:rPr>
        <w:t xml:space="preserve">Navarro, G., Gonzalez, A., Sánchez-Morales, A., Casajuana-Martin, N., Gómez-Ventura, M., Cordomí, A., et al. </w:t>
      </w:r>
      <w:r w:rsidRPr="00B340B5">
        <w:rPr>
          <w:rFonts w:cs="Times New Roman"/>
          <w:noProof/>
          <w:szCs w:val="24"/>
        </w:rPr>
        <w:t xml:space="preserve">(2021). Design of Negative and Positive Allosteric Modulators of the Cannabinoid CB 2 Receptor Derived from the Natural Product Cannabidiol. </w:t>
      </w:r>
      <w:r w:rsidRPr="006928A2">
        <w:rPr>
          <w:rFonts w:cs="Times New Roman"/>
          <w:i/>
          <w:iCs/>
          <w:noProof/>
          <w:szCs w:val="24"/>
          <w:lang w:val="es-ES"/>
        </w:rPr>
        <w:t>J. Med. Chem.</w:t>
      </w:r>
      <w:r w:rsidRPr="006928A2">
        <w:rPr>
          <w:rFonts w:cs="Times New Roman"/>
          <w:noProof/>
          <w:szCs w:val="24"/>
          <w:lang w:val="es-ES"/>
        </w:rPr>
        <w:t xml:space="preserve"> 64, 9354–9364. doi:10.1021/acs.jmedchem.1c00561.</w:t>
      </w:r>
    </w:p>
    <w:p w14:paraId="62D3FE49"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6928A2">
        <w:rPr>
          <w:rFonts w:cs="Times New Roman"/>
          <w:noProof/>
          <w:szCs w:val="24"/>
          <w:lang w:val="es-ES"/>
        </w:rPr>
        <w:t xml:space="preserve">Petrosino, S., Schiano Moriello, A., Cerrato, S., Fusco, M., Puigdemont, A., De Petrocellis, L., et al. </w:t>
      </w:r>
      <w:r w:rsidRPr="00B340B5">
        <w:rPr>
          <w:rFonts w:cs="Times New Roman"/>
          <w:noProof/>
          <w:szCs w:val="24"/>
        </w:rPr>
        <w:t xml:space="preserve">(2016). The anti-inflammatory mediator palmitoylethanolamide enhances the levels of 2-arachidonoyl-glycerol and potentiates its actions at TRPV1 cation channels. </w:t>
      </w:r>
      <w:r w:rsidRPr="00B340B5">
        <w:rPr>
          <w:rFonts w:cs="Times New Roman"/>
          <w:i/>
          <w:iCs/>
          <w:noProof/>
          <w:szCs w:val="24"/>
        </w:rPr>
        <w:t>Br. J. Pharmacol.</w:t>
      </w:r>
      <w:r w:rsidRPr="00B340B5">
        <w:rPr>
          <w:rFonts w:cs="Times New Roman"/>
          <w:noProof/>
          <w:szCs w:val="24"/>
        </w:rPr>
        <w:t xml:space="preserve"> 173, 1154–1162. doi:10.1111/bph.13084.</w:t>
      </w:r>
    </w:p>
    <w:p w14:paraId="79CF2E40"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Pumroy, R. A., Samanta, A., Liu, Y., Hughes, T., Zhao, S., Yudin, Y., et al. (2019). Molecular mechanism of TRPV2 channel modulation by cannabidiol. doi:10.7554/eLife.48792.001.</w:t>
      </w:r>
    </w:p>
    <w:p w14:paraId="1C2E577F"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Singh, A. K., McGoldrick, L. L., and Sobolevsky, A. I. (2018). Structure and gating mechanism of the transient receptor potential channel TRPV3. </w:t>
      </w:r>
      <w:r w:rsidRPr="00B340B5">
        <w:rPr>
          <w:rFonts w:cs="Times New Roman"/>
          <w:i/>
          <w:iCs/>
          <w:noProof/>
          <w:szCs w:val="24"/>
        </w:rPr>
        <w:t>Nat. Struct. Mol. Biol.</w:t>
      </w:r>
      <w:r w:rsidRPr="00B340B5">
        <w:rPr>
          <w:rFonts w:cs="Times New Roman"/>
          <w:noProof/>
          <w:szCs w:val="24"/>
        </w:rPr>
        <w:t xml:space="preserve"> 25, 805–813. doi:10.1038/s41594-018-0108-7.</w:t>
      </w:r>
    </w:p>
    <w:p w14:paraId="38DF5B8F"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Soethoudt, M., Grether, U., Fingerle, J., Grim, T. W., Fezza, F., de Petrocellis, L., et al. (2017). Cannabinoid CB2 receptor ligand profiling reveals biased signalling and off-target activity. </w:t>
      </w:r>
      <w:r w:rsidRPr="00B340B5">
        <w:rPr>
          <w:rFonts w:cs="Times New Roman"/>
          <w:i/>
          <w:iCs/>
          <w:noProof/>
          <w:szCs w:val="24"/>
        </w:rPr>
        <w:t>Nat. Commun.</w:t>
      </w:r>
      <w:r w:rsidRPr="00B340B5">
        <w:rPr>
          <w:rFonts w:cs="Times New Roman"/>
          <w:noProof/>
          <w:szCs w:val="24"/>
        </w:rPr>
        <w:t xml:space="preserve"> 8, 13958. doi:10.1038/ncomms13958.</w:t>
      </w:r>
    </w:p>
    <w:p w14:paraId="6BC84E2B"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Suo, Y., Wang, Z., Zubcevic, L., Hsu, A. L., He, Q., Borgnia, M. J., et al. (2020). Structural Insights into Electrophile Irritant Sensing by the Human TRPA1 Channel. </w:t>
      </w:r>
      <w:r w:rsidRPr="00B340B5">
        <w:rPr>
          <w:rFonts w:cs="Times New Roman"/>
          <w:i/>
          <w:iCs/>
          <w:noProof/>
          <w:szCs w:val="24"/>
        </w:rPr>
        <w:t>Neuron</w:t>
      </w:r>
      <w:r w:rsidRPr="00B340B5">
        <w:rPr>
          <w:rFonts w:cs="Times New Roman"/>
          <w:noProof/>
          <w:szCs w:val="24"/>
        </w:rPr>
        <w:t xml:space="preserve"> 105, 882-894.e5. doi:10.1016/j.neuron.2019.11.023.</w:t>
      </w:r>
    </w:p>
    <w:p w14:paraId="7E6BC3EC"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Yin, Y., Le, S. C., Hsu, A. L., Borgnia, M. J., Yang, H., and Lee, S. Y. (2019). Structural basis of cooling agent and lipid sensing by the cold-activated TRPM8 channel. </w:t>
      </w:r>
      <w:r w:rsidRPr="00B340B5">
        <w:rPr>
          <w:rFonts w:cs="Times New Roman"/>
          <w:i/>
          <w:iCs/>
          <w:noProof/>
          <w:szCs w:val="24"/>
        </w:rPr>
        <w:t>Science (80-. ).</w:t>
      </w:r>
      <w:r w:rsidRPr="00B340B5">
        <w:rPr>
          <w:rFonts w:cs="Times New Roman"/>
          <w:noProof/>
          <w:szCs w:val="24"/>
        </w:rPr>
        <w:t xml:space="preserve"> 363. doi:10.1126/science.aav9334.</w:t>
      </w:r>
    </w:p>
    <w:p w14:paraId="07484221"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t xml:space="preserve">Zagzoog, A., Mohamed, K. A., Kim, H. J. J., Kim, E. D., Frank, C. S., Black, T., et al. (2020). In vitro and in vivo pharmacological activity of minor cannabinoids isolated from Cannabis sativa. </w:t>
      </w:r>
      <w:r w:rsidRPr="00B340B5">
        <w:rPr>
          <w:rFonts w:cs="Times New Roman"/>
          <w:i/>
          <w:iCs/>
          <w:noProof/>
          <w:szCs w:val="24"/>
        </w:rPr>
        <w:t>Sci. Rep.</w:t>
      </w:r>
      <w:r w:rsidRPr="00B340B5">
        <w:rPr>
          <w:rFonts w:cs="Times New Roman"/>
          <w:noProof/>
          <w:szCs w:val="24"/>
        </w:rPr>
        <w:t xml:space="preserve"> 10, 1–13. doi:10.1038/s41598-020-77175-y.</w:t>
      </w:r>
    </w:p>
    <w:p w14:paraId="7A1D962B" w14:textId="77777777" w:rsidR="00B340B5" w:rsidRPr="00B340B5" w:rsidRDefault="00B340B5" w:rsidP="00B340B5">
      <w:pPr>
        <w:widowControl w:val="0"/>
        <w:autoSpaceDE w:val="0"/>
        <w:autoSpaceDN w:val="0"/>
        <w:adjustRightInd w:val="0"/>
        <w:spacing w:before="240"/>
        <w:ind w:left="480" w:hanging="480"/>
        <w:rPr>
          <w:rFonts w:cs="Times New Roman"/>
          <w:noProof/>
          <w:szCs w:val="24"/>
        </w:rPr>
      </w:pPr>
      <w:r w:rsidRPr="00B340B5">
        <w:rPr>
          <w:rFonts w:cs="Times New Roman"/>
          <w:noProof/>
          <w:szCs w:val="24"/>
        </w:rPr>
        <w:lastRenderedPageBreak/>
        <w:t xml:space="preserve">Zhao, J., Lin King, J. V., Paulsen, C. E., Cheng, Y., and Julius, D. (2020). Irritant-evoked activation and calcium modulation of the TRPA1 receptor. </w:t>
      </w:r>
      <w:r w:rsidRPr="00B340B5">
        <w:rPr>
          <w:rFonts w:cs="Times New Roman"/>
          <w:i/>
          <w:iCs/>
          <w:noProof/>
          <w:szCs w:val="24"/>
        </w:rPr>
        <w:t>Nature</w:t>
      </w:r>
      <w:r w:rsidRPr="00B340B5">
        <w:rPr>
          <w:rFonts w:cs="Times New Roman"/>
          <w:noProof/>
          <w:szCs w:val="24"/>
        </w:rPr>
        <w:t xml:space="preserve"> 585, 141–145. doi:10.1038/s41586-020-2480-9.</w:t>
      </w:r>
    </w:p>
    <w:p w14:paraId="5C16F9F0" w14:textId="77777777" w:rsidR="00B340B5" w:rsidRPr="00B340B5" w:rsidRDefault="00B340B5" w:rsidP="00B340B5">
      <w:pPr>
        <w:widowControl w:val="0"/>
        <w:autoSpaceDE w:val="0"/>
        <w:autoSpaceDN w:val="0"/>
        <w:adjustRightInd w:val="0"/>
        <w:spacing w:before="240"/>
        <w:ind w:left="480" w:hanging="480"/>
        <w:rPr>
          <w:rFonts w:cs="Times New Roman"/>
          <w:noProof/>
        </w:rPr>
      </w:pPr>
      <w:r w:rsidRPr="00B340B5">
        <w:rPr>
          <w:rFonts w:cs="Times New Roman"/>
          <w:noProof/>
          <w:szCs w:val="24"/>
        </w:rPr>
        <w:t xml:space="preserve">Zubcevic, L., Herzik, M. A., Wu, M., Borschel, W. F., Hirschi, M., Song, A. S., et al. (2018). Conformational ensemble of the human TRPV3 ion channel. </w:t>
      </w:r>
      <w:r w:rsidRPr="00B340B5">
        <w:rPr>
          <w:rFonts w:cs="Times New Roman"/>
          <w:i/>
          <w:iCs/>
          <w:noProof/>
          <w:szCs w:val="24"/>
        </w:rPr>
        <w:t>Nat. Commun.</w:t>
      </w:r>
      <w:r w:rsidRPr="00B340B5">
        <w:rPr>
          <w:rFonts w:cs="Times New Roman"/>
          <w:noProof/>
          <w:szCs w:val="24"/>
        </w:rPr>
        <w:t xml:space="preserve"> 9. doi:10.1038/s41467-018-07117-w.</w:t>
      </w:r>
    </w:p>
    <w:p w14:paraId="11067288" w14:textId="03D0D342" w:rsidR="00F938E4" w:rsidRPr="001549D3" w:rsidRDefault="001E7A9C" w:rsidP="00654E8F">
      <w:pPr>
        <w:spacing w:before="240"/>
      </w:pPr>
      <w:r>
        <w:fldChar w:fldCharType="end"/>
      </w:r>
    </w:p>
    <w:sectPr w:rsidR="00F938E4" w:rsidRPr="001549D3" w:rsidSect="0093429D">
      <w:footerReference w:type="first" r:id="rId84"/>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C01DB" w14:textId="77777777" w:rsidR="005E5EE5" w:rsidRDefault="005E5EE5" w:rsidP="00117666">
      <w:pPr>
        <w:spacing w:after="0"/>
      </w:pPr>
      <w:r>
        <w:separator/>
      </w:r>
    </w:p>
  </w:endnote>
  <w:endnote w:type="continuationSeparator" w:id="0">
    <w:p w14:paraId="36E7FD9C" w14:textId="77777777" w:rsidR="005E5EE5" w:rsidRDefault="005E5EE5"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E20EDE" w:rsidRPr="00577C4C" w:rsidRDefault="00E20EDE">
    <w:pPr>
      <w:rPr>
        <w:color w:val="C00000"/>
        <w:szCs w:val="24"/>
      </w:rPr>
    </w:pPr>
    <w:r>
      <w:rPr>
        <w:noProof/>
        <w:lang w:val="es-ES" w:eastAsia="es-ES"/>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446E257D" w:rsidR="00E20EDE" w:rsidRPr="00577C4C" w:rsidRDefault="00E20ED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87961">
                            <w:rPr>
                              <w:noProof/>
                              <w:color w:val="000000" w:themeColor="text1"/>
                              <w:szCs w:val="40"/>
                            </w:rPr>
                            <w:t>6</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50BC4D33" w14:textId="446E257D" w:rsidR="00E20EDE" w:rsidRPr="00577C4C" w:rsidRDefault="00E20ED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87961">
                      <w:rPr>
                        <w:noProof/>
                        <w:color w:val="000000" w:themeColor="text1"/>
                        <w:szCs w:val="40"/>
                      </w:rPr>
                      <w:t>6</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E20EDE" w:rsidRPr="00577C4C" w:rsidRDefault="00E20EDE">
    <w:pPr>
      <w:rPr>
        <w:b/>
        <w:sz w:val="20"/>
        <w:szCs w:val="24"/>
      </w:rPr>
    </w:pPr>
    <w:r>
      <w:rPr>
        <w:noProof/>
        <w:lang w:val="es-ES" w:eastAsia="es-ES"/>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118E256F" w:rsidR="00E20EDE" w:rsidRPr="00577C4C" w:rsidRDefault="00E20ED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87961">
                            <w:rPr>
                              <w:noProof/>
                              <w:color w:val="000000" w:themeColor="text1"/>
                              <w:szCs w:val="40"/>
                            </w:rPr>
                            <w:t>7</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570F0D09" w14:textId="118E256F" w:rsidR="00E20EDE" w:rsidRPr="00577C4C" w:rsidRDefault="00E20EDE">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87961">
                      <w:rPr>
                        <w:noProof/>
                        <w:color w:val="000000" w:themeColor="text1"/>
                        <w:szCs w:val="40"/>
                      </w:rPr>
                      <w:t>7</w:t>
                    </w:r>
                    <w:r w:rsidRPr="00577C4C">
                      <w:rPr>
                        <w:color w:val="000000" w:themeColor="text1"/>
                        <w:szCs w:val="40"/>
                      </w:rPr>
                      <w:fldChar w:fldCharType="end"/>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013E" w14:textId="77777777" w:rsidR="00294BFC" w:rsidRDefault="00294BFC">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FC5D" w14:textId="77777777" w:rsidR="00294BFC" w:rsidRDefault="00294BF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3BFBC" w14:textId="77777777" w:rsidR="005E5EE5" w:rsidRDefault="005E5EE5" w:rsidP="00117666">
      <w:pPr>
        <w:spacing w:after="0"/>
      </w:pPr>
      <w:r>
        <w:separator/>
      </w:r>
    </w:p>
  </w:footnote>
  <w:footnote w:type="continuationSeparator" w:id="0">
    <w:p w14:paraId="798A0AE8" w14:textId="77777777" w:rsidR="005E5EE5" w:rsidRDefault="005E5EE5"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E20EDE" w:rsidRPr="009151AA" w:rsidRDefault="00E20EDE">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E20EDE" w:rsidRDefault="00E20EDE" w:rsidP="0093429D">
    <w:r w:rsidRPr="005A1D84">
      <w:rPr>
        <w:b/>
        <w:noProof/>
        <w:color w:val="A6A6A6" w:themeColor="background1" w:themeShade="A6"/>
        <w:lang w:val="es-ES" w:eastAsia="es-ES"/>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35FE3" w14:textId="77777777" w:rsidR="00E20EDE" w:rsidRDefault="00E20EDE" w:rsidP="0093429D">
    <w:r w:rsidRPr="005A1D84">
      <w:rPr>
        <w:b/>
        <w:noProof/>
        <w:color w:val="A6A6A6" w:themeColor="background1" w:themeShade="A6"/>
        <w:lang w:val="es-ES" w:eastAsia="es-ES"/>
      </w:rPr>
      <w:drawing>
        <wp:inline distT="0" distB="0" distL="0" distR="0" wp14:anchorId="1482753D" wp14:editId="6BD85C9B">
          <wp:extent cx="1382534" cy="497091"/>
          <wp:effectExtent l="0" t="0" r="0" b="0"/>
          <wp:docPr id="2"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2BF8" w14:textId="77777777" w:rsidR="00E20EDE" w:rsidRDefault="00E20EDE" w:rsidP="0093429D">
    <w:r w:rsidRPr="005A1D84">
      <w:rPr>
        <w:b/>
        <w:noProof/>
        <w:color w:val="A6A6A6" w:themeColor="background1" w:themeShade="A6"/>
        <w:lang w:val="es-ES" w:eastAsia="es-ES"/>
      </w:rPr>
      <w:drawing>
        <wp:inline distT="0" distB="0" distL="0" distR="0" wp14:anchorId="70FFAFF8" wp14:editId="1C0EA5FF">
          <wp:extent cx="1382534" cy="497091"/>
          <wp:effectExtent l="0" t="0" r="0" b="0"/>
          <wp:docPr id="3"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0F50" w14:textId="77777777" w:rsidR="00294BFC" w:rsidRDefault="00294BFC" w:rsidP="0093429D">
    <w:r w:rsidRPr="005A1D84">
      <w:rPr>
        <w:b/>
        <w:noProof/>
        <w:color w:val="A6A6A6" w:themeColor="background1" w:themeShade="A6"/>
        <w:lang w:val="es-ES" w:eastAsia="es-ES"/>
      </w:rPr>
      <w:drawing>
        <wp:inline distT="0" distB="0" distL="0" distR="0" wp14:anchorId="6AA02483" wp14:editId="1CA59520">
          <wp:extent cx="1382534" cy="497091"/>
          <wp:effectExtent l="0" t="0" r="0" b="0"/>
          <wp:docPr id="5"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tulo1"/>
      <w:lvlText w:val="%1"/>
      <w:lvlJc w:val="left"/>
      <w:pPr>
        <w:tabs>
          <w:tab w:val="num" w:pos="567"/>
        </w:tabs>
        <w:ind w:left="567" w:hanging="567"/>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rrafodelist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Morales Lazaro">
    <w15:presenceInfo w15:providerId="Windows Live" w15:userId="be1919c1891c11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0B5"/>
    <w:rsid w:val="0000029D"/>
    <w:rsid w:val="0000534D"/>
    <w:rsid w:val="00007AE7"/>
    <w:rsid w:val="0001436A"/>
    <w:rsid w:val="00021254"/>
    <w:rsid w:val="0002128C"/>
    <w:rsid w:val="00030ECB"/>
    <w:rsid w:val="00034304"/>
    <w:rsid w:val="00035434"/>
    <w:rsid w:val="00052590"/>
    <w:rsid w:val="00052A14"/>
    <w:rsid w:val="000563E0"/>
    <w:rsid w:val="0006067B"/>
    <w:rsid w:val="00064911"/>
    <w:rsid w:val="000667A6"/>
    <w:rsid w:val="0007661D"/>
    <w:rsid w:val="00077C40"/>
    <w:rsid w:val="00077D53"/>
    <w:rsid w:val="000828C6"/>
    <w:rsid w:val="000940E6"/>
    <w:rsid w:val="00094781"/>
    <w:rsid w:val="000A717C"/>
    <w:rsid w:val="000B16DC"/>
    <w:rsid w:val="000B3EAF"/>
    <w:rsid w:val="000D6329"/>
    <w:rsid w:val="000E3044"/>
    <w:rsid w:val="00101127"/>
    <w:rsid w:val="00105FD9"/>
    <w:rsid w:val="00117666"/>
    <w:rsid w:val="001267EB"/>
    <w:rsid w:val="0014443E"/>
    <w:rsid w:val="00153134"/>
    <w:rsid w:val="001549D3"/>
    <w:rsid w:val="00160065"/>
    <w:rsid w:val="00163835"/>
    <w:rsid w:val="00164C2D"/>
    <w:rsid w:val="00173C16"/>
    <w:rsid w:val="00174939"/>
    <w:rsid w:val="00177D84"/>
    <w:rsid w:val="0018655E"/>
    <w:rsid w:val="00193B9B"/>
    <w:rsid w:val="001B0677"/>
    <w:rsid w:val="001B3302"/>
    <w:rsid w:val="001E0D2B"/>
    <w:rsid w:val="001E7A9C"/>
    <w:rsid w:val="001F5577"/>
    <w:rsid w:val="0020135D"/>
    <w:rsid w:val="00216C92"/>
    <w:rsid w:val="002243D3"/>
    <w:rsid w:val="00242B3D"/>
    <w:rsid w:val="00245631"/>
    <w:rsid w:val="0025706A"/>
    <w:rsid w:val="00266AAD"/>
    <w:rsid w:val="00267D18"/>
    <w:rsid w:val="00270B76"/>
    <w:rsid w:val="00274347"/>
    <w:rsid w:val="002868E2"/>
    <w:rsid w:val="002869C3"/>
    <w:rsid w:val="00292131"/>
    <w:rsid w:val="002936E4"/>
    <w:rsid w:val="00294BFC"/>
    <w:rsid w:val="002A1C95"/>
    <w:rsid w:val="002A68CB"/>
    <w:rsid w:val="002A6C3C"/>
    <w:rsid w:val="002B4A57"/>
    <w:rsid w:val="002B6718"/>
    <w:rsid w:val="002C4B8F"/>
    <w:rsid w:val="002C5124"/>
    <w:rsid w:val="002C657B"/>
    <w:rsid w:val="002C73C3"/>
    <w:rsid w:val="002C74CA"/>
    <w:rsid w:val="002F58CB"/>
    <w:rsid w:val="002F6970"/>
    <w:rsid w:val="002F7D49"/>
    <w:rsid w:val="0030138E"/>
    <w:rsid w:val="003074D3"/>
    <w:rsid w:val="003123F4"/>
    <w:rsid w:val="00312C05"/>
    <w:rsid w:val="00313275"/>
    <w:rsid w:val="003202B7"/>
    <w:rsid w:val="003329BB"/>
    <w:rsid w:val="00332AA7"/>
    <w:rsid w:val="003459F2"/>
    <w:rsid w:val="00346CAA"/>
    <w:rsid w:val="003473C0"/>
    <w:rsid w:val="003544FB"/>
    <w:rsid w:val="00381A15"/>
    <w:rsid w:val="00384DC9"/>
    <w:rsid w:val="003A3F6C"/>
    <w:rsid w:val="003B5923"/>
    <w:rsid w:val="003B593A"/>
    <w:rsid w:val="003C1827"/>
    <w:rsid w:val="003C203B"/>
    <w:rsid w:val="003D0D28"/>
    <w:rsid w:val="003D2F2D"/>
    <w:rsid w:val="003E5279"/>
    <w:rsid w:val="003E7A49"/>
    <w:rsid w:val="003F6901"/>
    <w:rsid w:val="00401222"/>
    <w:rsid w:val="00401590"/>
    <w:rsid w:val="0040641C"/>
    <w:rsid w:val="00423CC3"/>
    <w:rsid w:val="00436D4F"/>
    <w:rsid w:val="00441B31"/>
    <w:rsid w:val="00447801"/>
    <w:rsid w:val="00451938"/>
    <w:rsid w:val="0045242A"/>
    <w:rsid w:val="00452E9C"/>
    <w:rsid w:val="004735C8"/>
    <w:rsid w:val="00473C7E"/>
    <w:rsid w:val="00474D00"/>
    <w:rsid w:val="00491F54"/>
    <w:rsid w:val="004947A6"/>
    <w:rsid w:val="004961FF"/>
    <w:rsid w:val="004C3904"/>
    <w:rsid w:val="004C3FAD"/>
    <w:rsid w:val="004E5AF6"/>
    <w:rsid w:val="004F07F7"/>
    <w:rsid w:val="004F6E7F"/>
    <w:rsid w:val="00501E85"/>
    <w:rsid w:val="005120AC"/>
    <w:rsid w:val="00512FFA"/>
    <w:rsid w:val="00517A89"/>
    <w:rsid w:val="005250F2"/>
    <w:rsid w:val="00526BB3"/>
    <w:rsid w:val="00537B4C"/>
    <w:rsid w:val="00554E60"/>
    <w:rsid w:val="005558DF"/>
    <w:rsid w:val="0055678A"/>
    <w:rsid w:val="00561ECC"/>
    <w:rsid w:val="00570A3F"/>
    <w:rsid w:val="005727C9"/>
    <w:rsid w:val="00573BE7"/>
    <w:rsid w:val="0057507B"/>
    <w:rsid w:val="00576757"/>
    <w:rsid w:val="005821D4"/>
    <w:rsid w:val="0058774D"/>
    <w:rsid w:val="00593EEA"/>
    <w:rsid w:val="005A5EEE"/>
    <w:rsid w:val="005B43EC"/>
    <w:rsid w:val="005E5EE5"/>
    <w:rsid w:val="005E7A9F"/>
    <w:rsid w:val="005F0784"/>
    <w:rsid w:val="00604871"/>
    <w:rsid w:val="00612A4C"/>
    <w:rsid w:val="00616088"/>
    <w:rsid w:val="006275B6"/>
    <w:rsid w:val="00637197"/>
    <w:rsid w:val="006375C7"/>
    <w:rsid w:val="00643F9B"/>
    <w:rsid w:val="00654E8F"/>
    <w:rsid w:val="00657882"/>
    <w:rsid w:val="00660D05"/>
    <w:rsid w:val="006662D7"/>
    <w:rsid w:val="006820B1"/>
    <w:rsid w:val="00690770"/>
    <w:rsid w:val="006928A2"/>
    <w:rsid w:val="00692FF9"/>
    <w:rsid w:val="006A0EE9"/>
    <w:rsid w:val="006B7D14"/>
    <w:rsid w:val="006C457B"/>
    <w:rsid w:val="006C5B1C"/>
    <w:rsid w:val="006C6522"/>
    <w:rsid w:val="006D1030"/>
    <w:rsid w:val="006D247D"/>
    <w:rsid w:val="006E0697"/>
    <w:rsid w:val="006E5020"/>
    <w:rsid w:val="00701727"/>
    <w:rsid w:val="007049FE"/>
    <w:rsid w:val="0070566C"/>
    <w:rsid w:val="00710854"/>
    <w:rsid w:val="00714C50"/>
    <w:rsid w:val="00724544"/>
    <w:rsid w:val="00725A7D"/>
    <w:rsid w:val="00725ED7"/>
    <w:rsid w:val="007277BE"/>
    <w:rsid w:val="00736473"/>
    <w:rsid w:val="007501BE"/>
    <w:rsid w:val="00766701"/>
    <w:rsid w:val="00766797"/>
    <w:rsid w:val="00782438"/>
    <w:rsid w:val="0078549F"/>
    <w:rsid w:val="007879A7"/>
    <w:rsid w:val="00790BB3"/>
    <w:rsid w:val="007C206C"/>
    <w:rsid w:val="007C7F85"/>
    <w:rsid w:val="007E0ECC"/>
    <w:rsid w:val="007E463C"/>
    <w:rsid w:val="007E7936"/>
    <w:rsid w:val="007F04FF"/>
    <w:rsid w:val="007F3264"/>
    <w:rsid w:val="007F3914"/>
    <w:rsid w:val="00805FEA"/>
    <w:rsid w:val="00815B96"/>
    <w:rsid w:val="00817DD6"/>
    <w:rsid w:val="00824D06"/>
    <w:rsid w:val="0083140C"/>
    <w:rsid w:val="0083759F"/>
    <w:rsid w:val="008542FF"/>
    <w:rsid w:val="0086346D"/>
    <w:rsid w:val="00885156"/>
    <w:rsid w:val="008878B7"/>
    <w:rsid w:val="0089071C"/>
    <w:rsid w:val="00897591"/>
    <w:rsid w:val="008A1758"/>
    <w:rsid w:val="008B2EDF"/>
    <w:rsid w:val="008D1C0A"/>
    <w:rsid w:val="008E1231"/>
    <w:rsid w:val="008E1B74"/>
    <w:rsid w:val="008F1C67"/>
    <w:rsid w:val="00903863"/>
    <w:rsid w:val="009151AA"/>
    <w:rsid w:val="0093429D"/>
    <w:rsid w:val="00943573"/>
    <w:rsid w:val="00955F83"/>
    <w:rsid w:val="00964134"/>
    <w:rsid w:val="009642B2"/>
    <w:rsid w:val="00970F7D"/>
    <w:rsid w:val="00977CD4"/>
    <w:rsid w:val="0098667C"/>
    <w:rsid w:val="00991CA9"/>
    <w:rsid w:val="00994A3D"/>
    <w:rsid w:val="00996EA3"/>
    <w:rsid w:val="009A023B"/>
    <w:rsid w:val="009A131C"/>
    <w:rsid w:val="009A160D"/>
    <w:rsid w:val="009A53EB"/>
    <w:rsid w:val="009C2B12"/>
    <w:rsid w:val="009D082B"/>
    <w:rsid w:val="009D15AA"/>
    <w:rsid w:val="009D2D5C"/>
    <w:rsid w:val="009F714F"/>
    <w:rsid w:val="00A02079"/>
    <w:rsid w:val="00A031E1"/>
    <w:rsid w:val="00A1283C"/>
    <w:rsid w:val="00A174D9"/>
    <w:rsid w:val="00A17C52"/>
    <w:rsid w:val="00A21740"/>
    <w:rsid w:val="00A21922"/>
    <w:rsid w:val="00A363F7"/>
    <w:rsid w:val="00A364B7"/>
    <w:rsid w:val="00A42C4D"/>
    <w:rsid w:val="00A622EA"/>
    <w:rsid w:val="00A646B9"/>
    <w:rsid w:val="00A8066C"/>
    <w:rsid w:val="00A86AD2"/>
    <w:rsid w:val="00A8704E"/>
    <w:rsid w:val="00A928BC"/>
    <w:rsid w:val="00A955AE"/>
    <w:rsid w:val="00AA219D"/>
    <w:rsid w:val="00AA4D24"/>
    <w:rsid w:val="00AB6715"/>
    <w:rsid w:val="00AC1D1B"/>
    <w:rsid w:val="00AC205F"/>
    <w:rsid w:val="00AC27EF"/>
    <w:rsid w:val="00AC4637"/>
    <w:rsid w:val="00AC7F36"/>
    <w:rsid w:val="00AD018F"/>
    <w:rsid w:val="00AE7FA1"/>
    <w:rsid w:val="00AF3128"/>
    <w:rsid w:val="00B03002"/>
    <w:rsid w:val="00B1671E"/>
    <w:rsid w:val="00B1731D"/>
    <w:rsid w:val="00B17FA1"/>
    <w:rsid w:val="00B25EB8"/>
    <w:rsid w:val="00B340B5"/>
    <w:rsid w:val="00B34BDB"/>
    <w:rsid w:val="00B37F4D"/>
    <w:rsid w:val="00B44811"/>
    <w:rsid w:val="00B55FCF"/>
    <w:rsid w:val="00B56CBA"/>
    <w:rsid w:val="00B7760F"/>
    <w:rsid w:val="00B91FF1"/>
    <w:rsid w:val="00BA0E46"/>
    <w:rsid w:val="00BC3E73"/>
    <w:rsid w:val="00BD2A1A"/>
    <w:rsid w:val="00BD4222"/>
    <w:rsid w:val="00BE069D"/>
    <w:rsid w:val="00BE2FE1"/>
    <w:rsid w:val="00BF1721"/>
    <w:rsid w:val="00BF2CD2"/>
    <w:rsid w:val="00C01361"/>
    <w:rsid w:val="00C01C59"/>
    <w:rsid w:val="00C05752"/>
    <w:rsid w:val="00C10573"/>
    <w:rsid w:val="00C14B01"/>
    <w:rsid w:val="00C1662E"/>
    <w:rsid w:val="00C43BDD"/>
    <w:rsid w:val="00C52A7B"/>
    <w:rsid w:val="00C53676"/>
    <w:rsid w:val="00C56BAF"/>
    <w:rsid w:val="00C66362"/>
    <w:rsid w:val="00C679AA"/>
    <w:rsid w:val="00C71849"/>
    <w:rsid w:val="00C72D2B"/>
    <w:rsid w:val="00C75972"/>
    <w:rsid w:val="00C85072"/>
    <w:rsid w:val="00C87961"/>
    <w:rsid w:val="00C9230B"/>
    <w:rsid w:val="00C957E0"/>
    <w:rsid w:val="00C97EA3"/>
    <w:rsid w:val="00CA24B6"/>
    <w:rsid w:val="00CB2C12"/>
    <w:rsid w:val="00CD066B"/>
    <w:rsid w:val="00CD768B"/>
    <w:rsid w:val="00CE4FEE"/>
    <w:rsid w:val="00D030B9"/>
    <w:rsid w:val="00D060CF"/>
    <w:rsid w:val="00D17D33"/>
    <w:rsid w:val="00D24A8A"/>
    <w:rsid w:val="00D5144B"/>
    <w:rsid w:val="00D76C06"/>
    <w:rsid w:val="00D83C99"/>
    <w:rsid w:val="00DA51FA"/>
    <w:rsid w:val="00DB176A"/>
    <w:rsid w:val="00DB59C3"/>
    <w:rsid w:val="00DC259A"/>
    <w:rsid w:val="00DC2DCF"/>
    <w:rsid w:val="00DE23E8"/>
    <w:rsid w:val="00DE59EF"/>
    <w:rsid w:val="00DE6CED"/>
    <w:rsid w:val="00DE79BF"/>
    <w:rsid w:val="00DF52F4"/>
    <w:rsid w:val="00DF6E48"/>
    <w:rsid w:val="00E16660"/>
    <w:rsid w:val="00E17C41"/>
    <w:rsid w:val="00E20EDE"/>
    <w:rsid w:val="00E31A2A"/>
    <w:rsid w:val="00E35E47"/>
    <w:rsid w:val="00E40A72"/>
    <w:rsid w:val="00E52377"/>
    <w:rsid w:val="00E537AD"/>
    <w:rsid w:val="00E609D2"/>
    <w:rsid w:val="00E64E17"/>
    <w:rsid w:val="00E778F8"/>
    <w:rsid w:val="00E866C9"/>
    <w:rsid w:val="00EA3D3C"/>
    <w:rsid w:val="00EA61F4"/>
    <w:rsid w:val="00EA7A32"/>
    <w:rsid w:val="00EB5865"/>
    <w:rsid w:val="00EC090A"/>
    <w:rsid w:val="00ED20B5"/>
    <w:rsid w:val="00ED6CED"/>
    <w:rsid w:val="00EE175C"/>
    <w:rsid w:val="00EE5082"/>
    <w:rsid w:val="00EE52FF"/>
    <w:rsid w:val="00EE7C59"/>
    <w:rsid w:val="00EF7DB7"/>
    <w:rsid w:val="00F01C26"/>
    <w:rsid w:val="00F24250"/>
    <w:rsid w:val="00F34DA9"/>
    <w:rsid w:val="00F46900"/>
    <w:rsid w:val="00F503BF"/>
    <w:rsid w:val="00F559A3"/>
    <w:rsid w:val="00F61D89"/>
    <w:rsid w:val="00F660D9"/>
    <w:rsid w:val="00F669A1"/>
    <w:rsid w:val="00F671BF"/>
    <w:rsid w:val="00F71262"/>
    <w:rsid w:val="00F83E3A"/>
    <w:rsid w:val="00F84BB5"/>
    <w:rsid w:val="00F9085A"/>
    <w:rsid w:val="00F938E4"/>
    <w:rsid w:val="00F943D2"/>
    <w:rsid w:val="00FA04D4"/>
    <w:rsid w:val="00FA42C8"/>
    <w:rsid w:val="00FA7D27"/>
    <w:rsid w:val="00FB22FA"/>
    <w:rsid w:val="00FB26AB"/>
    <w:rsid w:val="00FB2E7A"/>
    <w:rsid w:val="00FC2809"/>
    <w:rsid w:val="00FE50F7"/>
    <w:rsid w:val="14879692"/>
    <w:rsid w:val="386FC3B5"/>
    <w:rsid w:val="7AE1A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B69CA758-0DF6-4A45-A933-861CB894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D3"/>
    <w:pPr>
      <w:spacing w:before="120" w:after="240" w:line="240" w:lineRule="auto"/>
    </w:pPr>
    <w:rPr>
      <w:rFonts w:ascii="Times New Roman" w:hAnsi="Times New Roman"/>
      <w:sz w:val="24"/>
    </w:rPr>
  </w:style>
  <w:style w:type="paragraph" w:styleId="Ttulo1">
    <w:name w:val="heading 1"/>
    <w:basedOn w:val="Prrafodelista"/>
    <w:next w:val="Normal"/>
    <w:link w:val="Ttulo1Car"/>
    <w:uiPriority w:val="2"/>
    <w:qFormat/>
    <w:rsid w:val="00AB6715"/>
    <w:pPr>
      <w:numPr>
        <w:numId w:val="19"/>
      </w:numPr>
      <w:spacing w:before="240"/>
      <w:contextualSpacing w:val="0"/>
      <w:outlineLvl w:val="0"/>
    </w:pPr>
    <w:rPr>
      <w:b/>
    </w:rPr>
  </w:style>
  <w:style w:type="paragraph" w:styleId="Ttulo2">
    <w:name w:val="heading 2"/>
    <w:basedOn w:val="Ttulo1"/>
    <w:next w:val="Normal"/>
    <w:link w:val="Ttulo2Car"/>
    <w:uiPriority w:val="2"/>
    <w:qFormat/>
    <w:rsid w:val="00AB6715"/>
    <w:pPr>
      <w:numPr>
        <w:ilvl w:val="1"/>
      </w:numPr>
      <w:spacing w:after="200"/>
      <w:outlineLvl w:val="1"/>
    </w:pPr>
  </w:style>
  <w:style w:type="paragraph" w:styleId="Ttulo3">
    <w:name w:val="heading 3"/>
    <w:basedOn w:val="Normal"/>
    <w:next w:val="Normal"/>
    <w:link w:val="Ttulo3C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Ttulo4">
    <w:name w:val="heading 4"/>
    <w:basedOn w:val="Ttulo3"/>
    <w:next w:val="Normal"/>
    <w:link w:val="Ttulo4Car"/>
    <w:uiPriority w:val="2"/>
    <w:qFormat/>
    <w:rsid w:val="00AB6715"/>
    <w:pPr>
      <w:numPr>
        <w:ilvl w:val="3"/>
      </w:numPr>
      <w:outlineLvl w:val="3"/>
    </w:pPr>
    <w:rPr>
      <w:iCs/>
    </w:rPr>
  </w:style>
  <w:style w:type="paragraph" w:styleId="Ttulo5">
    <w:name w:val="heading 5"/>
    <w:basedOn w:val="Ttulo4"/>
    <w:next w:val="Normal"/>
    <w:link w:val="Ttulo5Car"/>
    <w:uiPriority w:val="2"/>
    <w:qFormat/>
    <w:rsid w:val="00AB6715"/>
    <w:pPr>
      <w:numPr>
        <w:ilvl w:val="4"/>
      </w:num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2"/>
    <w:rsid w:val="00AB6715"/>
    <w:rPr>
      <w:rFonts w:ascii="Times New Roman" w:eastAsia="Cambria" w:hAnsi="Times New Roman" w:cs="Times New Roman"/>
      <w:b/>
      <w:sz w:val="24"/>
      <w:szCs w:val="24"/>
    </w:rPr>
  </w:style>
  <w:style w:type="character" w:customStyle="1" w:styleId="Ttulo2Car">
    <w:name w:val="Título 2 Car"/>
    <w:basedOn w:val="Fuentedeprrafopredeter"/>
    <w:link w:val="Ttulo2"/>
    <w:uiPriority w:val="2"/>
    <w:rsid w:val="00AB6715"/>
    <w:rPr>
      <w:rFonts w:ascii="Times New Roman" w:eastAsia="Cambria" w:hAnsi="Times New Roman" w:cs="Times New Roman"/>
      <w:b/>
      <w:sz w:val="24"/>
      <w:szCs w:val="24"/>
    </w:rPr>
  </w:style>
  <w:style w:type="paragraph" w:styleId="Subttulo">
    <w:name w:val="Subtitle"/>
    <w:basedOn w:val="Normal"/>
    <w:next w:val="Normal"/>
    <w:link w:val="SubttuloCar"/>
    <w:uiPriority w:val="99"/>
    <w:unhideWhenUsed/>
    <w:qFormat/>
    <w:rsid w:val="00AB6715"/>
    <w:pPr>
      <w:spacing w:before="240"/>
    </w:pPr>
    <w:rPr>
      <w:rFonts w:cs="Times New Roman"/>
      <w:b/>
      <w:szCs w:val="24"/>
    </w:rPr>
  </w:style>
  <w:style w:type="character" w:customStyle="1" w:styleId="SubttuloCar">
    <w:name w:val="Subtítulo Car"/>
    <w:basedOn w:val="Fuentedeprrafopredeter"/>
    <w:link w:val="Subttulo"/>
    <w:uiPriority w:val="99"/>
    <w:rsid w:val="00AB6715"/>
    <w:rPr>
      <w:rFonts w:ascii="Times New Roman" w:hAnsi="Times New Roman" w:cs="Times New Roman"/>
      <w:b/>
      <w:sz w:val="24"/>
      <w:szCs w:val="24"/>
    </w:rPr>
  </w:style>
  <w:style w:type="paragraph" w:customStyle="1" w:styleId="AuthorList">
    <w:name w:val="Author List"/>
    <w:aliases w:val="Keywords,Abstract"/>
    <w:basedOn w:val="Subttulo"/>
    <w:next w:val="Normal"/>
    <w:uiPriority w:val="1"/>
    <w:qFormat/>
    <w:rsid w:val="00AB6715"/>
  </w:style>
  <w:style w:type="paragraph" w:styleId="Textodeglobo">
    <w:name w:val="Balloon Text"/>
    <w:basedOn w:val="Normal"/>
    <w:link w:val="TextodegloboCar"/>
    <w:uiPriority w:val="99"/>
    <w:semiHidden/>
    <w:unhideWhenUsed/>
    <w:rsid w:val="00AB6715"/>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715"/>
    <w:rPr>
      <w:rFonts w:ascii="Tahoma" w:hAnsi="Tahoma" w:cs="Tahoma"/>
      <w:sz w:val="16"/>
      <w:szCs w:val="16"/>
    </w:rPr>
  </w:style>
  <w:style w:type="character" w:styleId="Ttulodellibro">
    <w:name w:val="Book Title"/>
    <w:basedOn w:val="Fuentedeprrafopredeter"/>
    <w:uiPriority w:val="33"/>
    <w:qFormat/>
    <w:rsid w:val="00AB6715"/>
    <w:rPr>
      <w:rFonts w:ascii="Times New Roman" w:hAnsi="Times New Roman"/>
      <w:b/>
      <w:bCs/>
      <w:i/>
      <w:iCs/>
      <w:spacing w:val="5"/>
    </w:rPr>
  </w:style>
  <w:style w:type="paragraph" w:styleId="Descripcin">
    <w:name w:val="caption"/>
    <w:basedOn w:val="Normal"/>
    <w:next w:val="Sinespaciado"/>
    <w:uiPriority w:val="35"/>
    <w:unhideWhenUsed/>
    <w:qFormat/>
    <w:rsid w:val="00AB6715"/>
    <w:pPr>
      <w:keepNext/>
    </w:pPr>
    <w:rPr>
      <w:rFonts w:cs="Times New Roman"/>
      <w:b/>
      <w:bCs/>
      <w:szCs w:val="24"/>
    </w:rPr>
  </w:style>
  <w:style w:type="paragraph" w:styleId="Sinespaciado">
    <w:name w:val="No Spacing"/>
    <w:uiPriority w:val="99"/>
    <w:unhideWhenUsed/>
    <w:qFormat/>
    <w:rsid w:val="00AB6715"/>
    <w:pPr>
      <w:spacing w:after="0" w:line="240" w:lineRule="auto"/>
    </w:pPr>
    <w:rPr>
      <w:rFonts w:ascii="Times New Roman" w:hAnsi="Times New Roman"/>
      <w:sz w:val="24"/>
    </w:rPr>
  </w:style>
  <w:style w:type="character" w:styleId="Refdecomentario">
    <w:name w:val="annotation reference"/>
    <w:basedOn w:val="Fuentedeprrafopredeter"/>
    <w:uiPriority w:val="99"/>
    <w:semiHidden/>
    <w:unhideWhenUsed/>
    <w:rsid w:val="00AB6715"/>
    <w:rPr>
      <w:sz w:val="16"/>
      <w:szCs w:val="16"/>
    </w:rPr>
  </w:style>
  <w:style w:type="paragraph" w:styleId="Textocomentario">
    <w:name w:val="annotation text"/>
    <w:basedOn w:val="Normal"/>
    <w:link w:val="TextocomentarioCar"/>
    <w:uiPriority w:val="99"/>
    <w:unhideWhenUsed/>
    <w:rsid w:val="00AB6715"/>
    <w:rPr>
      <w:sz w:val="20"/>
      <w:szCs w:val="20"/>
    </w:rPr>
  </w:style>
  <w:style w:type="character" w:customStyle="1" w:styleId="TextocomentarioCar">
    <w:name w:val="Texto comentario Car"/>
    <w:basedOn w:val="Fuentedeprrafopredeter"/>
    <w:link w:val="Textocomentario"/>
    <w:uiPriority w:val="99"/>
    <w:rsid w:val="00AB671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AB6715"/>
    <w:rPr>
      <w:b/>
      <w:bCs/>
    </w:rPr>
  </w:style>
  <w:style w:type="character" w:customStyle="1" w:styleId="AsuntodelcomentarioCar">
    <w:name w:val="Asunto del comentario Car"/>
    <w:basedOn w:val="TextocomentarioCar"/>
    <w:link w:val="Asuntodelcomentario"/>
    <w:uiPriority w:val="99"/>
    <w:semiHidden/>
    <w:rsid w:val="00AB6715"/>
    <w:rPr>
      <w:rFonts w:ascii="Times New Roman" w:hAnsi="Times New Roman"/>
      <w:b/>
      <w:bCs/>
      <w:sz w:val="20"/>
      <w:szCs w:val="20"/>
    </w:rPr>
  </w:style>
  <w:style w:type="character" w:styleId="nfasis">
    <w:name w:val="Emphasis"/>
    <w:basedOn w:val="Fuentedeprrafopredeter"/>
    <w:uiPriority w:val="20"/>
    <w:qFormat/>
    <w:rsid w:val="00AB6715"/>
    <w:rPr>
      <w:rFonts w:ascii="Times New Roman" w:hAnsi="Times New Roman"/>
      <w:i/>
      <w:iCs/>
    </w:rPr>
  </w:style>
  <w:style w:type="character" w:styleId="Refdenotaalfinal">
    <w:name w:val="endnote reference"/>
    <w:basedOn w:val="Fuentedeprrafopredeter"/>
    <w:uiPriority w:val="99"/>
    <w:semiHidden/>
    <w:unhideWhenUsed/>
    <w:rsid w:val="00AB6715"/>
    <w:rPr>
      <w:vertAlign w:val="superscript"/>
    </w:rPr>
  </w:style>
  <w:style w:type="paragraph" w:styleId="Textonotaalfinal">
    <w:name w:val="endnote text"/>
    <w:basedOn w:val="Normal"/>
    <w:link w:val="TextonotaalfinalCar"/>
    <w:uiPriority w:val="99"/>
    <w:semiHidden/>
    <w:unhideWhenUsed/>
    <w:rsid w:val="00AB6715"/>
    <w:pPr>
      <w:spacing w:after="0"/>
    </w:pPr>
    <w:rPr>
      <w:sz w:val="20"/>
      <w:szCs w:val="20"/>
    </w:rPr>
  </w:style>
  <w:style w:type="character" w:customStyle="1" w:styleId="TextonotaalfinalCar">
    <w:name w:val="Texto nota al final Car"/>
    <w:basedOn w:val="Fuentedeprrafopredeter"/>
    <w:link w:val="Textonotaalfinal"/>
    <w:uiPriority w:val="99"/>
    <w:semiHidden/>
    <w:rsid w:val="00AB6715"/>
    <w:rPr>
      <w:rFonts w:ascii="Times New Roman" w:hAnsi="Times New Roman"/>
      <w:sz w:val="20"/>
      <w:szCs w:val="20"/>
    </w:rPr>
  </w:style>
  <w:style w:type="character" w:styleId="Hipervnculovisitado">
    <w:name w:val="FollowedHyperlink"/>
    <w:basedOn w:val="Fuentedeprrafopredeter"/>
    <w:uiPriority w:val="99"/>
    <w:semiHidden/>
    <w:unhideWhenUsed/>
    <w:rsid w:val="00AB6715"/>
    <w:rPr>
      <w:color w:val="800080" w:themeColor="followedHyperlink"/>
      <w:u w:val="single"/>
    </w:rPr>
  </w:style>
  <w:style w:type="paragraph" w:styleId="Piedepgina">
    <w:name w:val="footer"/>
    <w:basedOn w:val="Normal"/>
    <w:link w:val="PiedepginaCar"/>
    <w:uiPriority w:val="99"/>
    <w:unhideWhenUsed/>
    <w:rsid w:val="00AB6715"/>
    <w:pPr>
      <w:tabs>
        <w:tab w:val="center" w:pos="4844"/>
        <w:tab w:val="right" w:pos="9689"/>
      </w:tabs>
      <w:spacing w:after="0"/>
    </w:pPr>
  </w:style>
  <w:style w:type="character" w:customStyle="1" w:styleId="PiedepginaCar">
    <w:name w:val="Pie de página Car"/>
    <w:basedOn w:val="Fuentedeprrafopredeter"/>
    <w:link w:val="Piedepgina"/>
    <w:uiPriority w:val="99"/>
    <w:rsid w:val="00AB6715"/>
    <w:rPr>
      <w:rFonts w:ascii="Times New Roman" w:hAnsi="Times New Roman"/>
      <w:sz w:val="24"/>
    </w:rPr>
  </w:style>
  <w:style w:type="character" w:styleId="Refdenotaalpie">
    <w:name w:val="footnote reference"/>
    <w:basedOn w:val="Fuentedeprrafopredeter"/>
    <w:uiPriority w:val="99"/>
    <w:semiHidden/>
    <w:unhideWhenUsed/>
    <w:rsid w:val="00AB6715"/>
    <w:rPr>
      <w:vertAlign w:val="superscript"/>
    </w:rPr>
  </w:style>
  <w:style w:type="paragraph" w:styleId="Textonotapie">
    <w:name w:val="footnote text"/>
    <w:basedOn w:val="Normal"/>
    <w:link w:val="TextonotapieCar"/>
    <w:uiPriority w:val="99"/>
    <w:semiHidden/>
    <w:unhideWhenUsed/>
    <w:rsid w:val="00AB6715"/>
    <w:pPr>
      <w:spacing w:after="0"/>
    </w:pPr>
    <w:rPr>
      <w:sz w:val="20"/>
      <w:szCs w:val="20"/>
    </w:rPr>
  </w:style>
  <w:style w:type="character" w:customStyle="1" w:styleId="TextonotapieCar">
    <w:name w:val="Texto nota pie Car"/>
    <w:basedOn w:val="Fuentedeprrafopredeter"/>
    <w:link w:val="Textonotapie"/>
    <w:uiPriority w:val="99"/>
    <w:semiHidden/>
    <w:rsid w:val="00AB6715"/>
    <w:rPr>
      <w:rFonts w:ascii="Times New Roman" w:hAnsi="Times New Roman"/>
      <w:sz w:val="20"/>
      <w:szCs w:val="20"/>
    </w:rPr>
  </w:style>
  <w:style w:type="paragraph" w:styleId="Encabezado">
    <w:name w:val="header"/>
    <w:basedOn w:val="Normal"/>
    <w:link w:val="EncabezadoCar"/>
    <w:uiPriority w:val="99"/>
    <w:unhideWhenUsed/>
    <w:rsid w:val="00AB6715"/>
    <w:pPr>
      <w:tabs>
        <w:tab w:val="center" w:pos="4844"/>
        <w:tab w:val="right" w:pos="9689"/>
      </w:tabs>
    </w:pPr>
    <w:rPr>
      <w:b/>
    </w:rPr>
  </w:style>
  <w:style w:type="character" w:customStyle="1" w:styleId="EncabezadoCar">
    <w:name w:val="Encabezado Car"/>
    <w:basedOn w:val="Fuentedeprrafopredeter"/>
    <w:link w:val="Encabezado"/>
    <w:uiPriority w:val="99"/>
    <w:rsid w:val="00AB6715"/>
    <w:rPr>
      <w:rFonts w:ascii="Times New Roman" w:hAnsi="Times New Roman"/>
      <w:b/>
      <w:sz w:val="24"/>
    </w:rPr>
  </w:style>
  <w:style w:type="paragraph" w:styleId="Prrafodelista">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ipervnculo">
    <w:name w:val="Hyperlink"/>
    <w:basedOn w:val="Fuentedeprrafopredeter"/>
    <w:uiPriority w:val="99"/>
    <w:unhideWhenUsed/>
    <w:rsid w:val="00AB6715"/>
    <w:rPr>
      <w:color w:val="0000FF"/>
      <w:u w:val="single"/>
    </w:rPr>
  </w:style>
  <w:style w:type="character" w:styleId="nfasisintenso">
    <w:name w:val="Intense Emphasis"/>
    <w:basedOn w:val="Fuentedeprrafopredeter"/>
    <w:uiPriority w:val="21"/>
    <w:unhideWhenUsed/>
    <w:rsid w:val="00AB6715"/>
    <w:rPr>
      <w:rFonts w:ascii="Times New Roman" w:hAnsi="Times New Roman"/>
      <w:i/>
      <w:iCs/>
      <w:color w:val="auto"/>
    </w:rPr>
  </w:style>
  <w:style w:type="character" w:styleId="Referenciaintensa">
    <w:name w:val="Intense Reference"/>
    <w:basedOn w:val="Fuentedeprrafopredeter"/>
    <w:uiPriority w:val="32"/>
    <w:qFormat/>
    <w:rsid w:val="00AB6715"/>
    <w:rPr>
      <w:b/>
      <w:bCs/>
      <w:smallCaps/>
      <w:color w:val="auto"/>
      <w:spacing w:val="5"/>
    </w:rPr>
  </w:style>
  <w:style w:type="character" w:styleId="Nmerodelnea">
    <w:name w:val="line number"/>
    <w:basedOn w:val="Fuentedeprrafopredeter"/>
    <w:uiPriority w:val="99"/>
    <w:semiHidden/>
    <w:unhideWhenUsed/>
    <w:rsid w:val="00AB6715"/>
  </w:style>
  <w:style w:type="character" w:customStyle="1" w:styleId="Ttulo3Car">
    <w:name w:val="Título 3 Car"/>
    <w:basedOn w:val="Fuentedeprrafopredeter"/>
    <w:link w:val="Ttulo3"/>
    <w:uiPriority w:val="2"/>
    <w:rsid w:val="00AB6715"/>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2"/>
    <w:rsid w:val="00AB6715"/>
    <w:rPr>
      <w:rFonts w:ascii="Times New Roman" w:eastAsiaTheme="majorEastAsia" w:hAnsi="Times New Roman" w:cstheme="majorBidi"/>
      <w:b/>
      <w:iCs/>
      <w:sz w:val="24"/>
      <w:szCs w:val="24"/>
    </w:rPr>
  </w:style>
  <w:style w:type="character" w:customStyle="1" w:styleId="Ttulo5Car">
    <w:name w:val="Título 5 Car"/>
    <w:basedOn w:val="Fuentedeprrafopredeter"/>
    <w:link w:val="Ttulo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Cita">
    <w:name w:val="Quote"/>
    <w:basedOn w:val="Normal"/>
    <w:next w:val="Normal"/>
    <w:link w:val="CitaCar"/>
    <w:uiPriority w:val="29"/>
    <w:qFormat/>
    <w:rsid w:val="00AB6715"/>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B6715"/>
    <w:rPr>
      <w:rFonts w:ascii="Times New Roman" w:hAnsi="Times New Roman"/>
      <w:i/>
      <w:iCs/>
      <w:color w:val="404040" w:themeColor="text1" w:themeTint="BF"/>
      <w:sz w:val="24"/>
    </w:rPr>
  </w:style>
  <w:style w:type="character" w:styleId="Textoennegrita">
    <w:name w:val="Strong"/>
    <w:basedOn w:val="Fuentedeprrafopredeter"/>
    <w:uiPriority w:val="22"/>
    <w:qFormat/>
    <w:rsid w:val="00AB6715"/>
    <w:rPr>
      <w:rFonts w:ascii="Times New Roman" w:hAnsi="Times New Roman"/>
      <w:b/>
      <w:bCs/>
    </w:rPr>
  </w:style>
  <w:style w:type="character" w:styleId="nfasissutil">
    <w:name w:val="Subtle Emphasis"/>
    <w:basedOn w:val="Fuentedeprrafopredeter"/>
    <w:uiPriority w:val="19"/>
    <w:qFormat/>
    <w:rsid w:val="00AB6715"/>
    <w:rPr>
      <w:rFonts w:ascii="Times New Roman" w:hAnsi="Times New Roman"/>
      <w:i/>
      <w:iCs/>
      <w:color w:val="404040" w:themeColor="text1" w:themeTint="BF"/>
    </w:rPr>
  </w:style>
  <w:style w:type="table" w:styleId="Tablaconcuadrcula">
    <w:name w:val="Table Grid"/>
    <w:basedOn w:val="Tabla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qFormat/>
    <w:rsid w:val="00AB6715"/>
    <w:pPr>
      <w:suppressLineNumbers/>
      <w:spacing w:before="240" w:after="360"/>
      <w:jc w:val="center"/>
    </w:pPr>
    <w:rPr>
      <w:rFonts w:cs="Times New Roman"/>
      <w:b/>
      <w:sz w:val="32"/>
      <w:szCs w:val="32"/>
    </w:rPr>
  </w:style>
  <w:style w:type="character" w:customStyle="1" w:styleId="TtuloCar">
    <w:name w:val="Título Car"/>
    <w:basedOn w:val="Fuentedeprrafopredeter"/>
    <w:link w:val="Ttulo"/>
    <w:rsid w:val="00AB6715"/>
    <w:rPr>
      <w:rFonts w:ascii="Times New Roman" w:hAnsi="Times New Roman" w:cs="Times New Roman"/>
      <w:b/>
      <w:sz w:val="32"/>
      <w:szCs w:val="32"/>
    </w:rPr>
  </w:style>
  <w:style w:type="paragraph" w:customStyle="1" w:styleId="SupplementaryMaterial">
    <w:name w:val="Supplementary Material"/>
    <w:basedOn w:val="Ttulo"/>
    <w:next w:val="Ttulo"/>
    <w:qFormat/>
    <w:rsid w:val="0001436A"/>
    <w:pPr>
      <w:spacing w:after="120"/>
    </w:pPr>
    <w:rPr>
      <w:i/>
    </w:rPr>
  </w:style>
  <w:style w:type="paragraph" w:customStyle="1" w:styleId="TCTableBody">
    <w:name w:val="TC_Table_Body"/>
    <w:basedOn w:val="Normal"/>
    <w:rsid w:val="004C3FAD"/>
    <w:pPr>
      <w:spacing w:before="0" w:after="200"/>
      <w:jc w:val="both"/>
    </w:pPr>
    <w:rPr>
      <w:rFonts w:ascii="Times" w:eastAsia="Times New Roman" w:hAnsi="Times" w:cs="Times New Roman"/>
      <w:szCs w:val="20"/>
    </w:rPr>
  </w:style>
  <w:style w:type="paragraph" w:styleId="Textosinformato">
    <w:name w:val="Plain Text"/>
    <w:basedOn w:val="Normal"/>
    <w:link w:val="TextosinformatoCar"/>
    <w:uiPriority w:val="99"/>
    <w:unhideWhenUsed/>
    <w:rsid w:val="004C3FAD"/>
    <w:pPr>
      <w:spacing w:before="0" w:after="0"/>
    </w:pPr>
    <w:rPr>
      <w:rFonts w:ascii="Consolas" w:hAnsi="Consolas" w:cs="Consolas"/>
      <w:sz w:val="21"/>
      <w:szCs w:val="21"/>
      <w:lang w:val="es-ES"/>
    </w:rPr>
  </w:style>
  <w:style w:type="character" w:customStyle="1" w:styleId="TextosinformatoCar">
    <w:name w:val="Texto sin formato Car"/>
    <w:basedOn w:val="Fuentedeprrafopredeter"/>
    <w:link w:val="Textosinformato"/>
    <w:uiPriority w:val="99"/>
    <w:rsid w:val="004C3FAD"/>
    <w:rPr>
      <w:rFonts w:ascii="Consolas" w:hAnsi="Consolas" w:cs="Consolas"/>
      <w:sz w:val="21"/>
      <w:szCs w:val="21"/>
      <w:lang w:val="es-ES"/>
    </w:rPr>
  </w:style>
  <w:style w:type="paragraph" w:customStyle="1" w:styleId="TAMainText">
    <w:name w:val="TA_Main_Text"/>
    <w:basedOn w:val="Normal"/>
    <w:rsid w:val="004C3FAD"/>
    <w:pPr>
      <w:spacing w:before="0" w:after="0" w:line="480" w:lineRule="auto"/>
      <w:ind w:firstLine="202"/>
      <w:jc w:val="both"/>
    </w:pPr>
    <w:rPr>
      <w:rFonts w:ascii="Times" w:eastAsia="Times New Roman" w:hAnsi="Times" w:cs="Times New Roman"/>
      <w:szCs w:val="20"/>
    </w:rPr>
  </w:style>
  <w:style w:type="paragraph" w:styleId="Revisin">
    <w:name w:val="Revision"/>
    <w:hidden/>
    <w:uiPriority w:val="99"/>
    <w:semiHidden/>
    <w:rsid w:val="007E463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369">
      <w:bodyDiv w:val="1"/>
      <w:marLeft w:val="0"/>
      <w:marRight w:val="0"/>
      <w:marTop w:val="0"/>
      <w:marBottom w:val="0"/>
      <w:divBdr>
        <w:top w:val="none" w:sz="0" w:space="0" w:color="auto"/>
        <w:left w:val="none" w:sz="0" w:space="0" w:color="auto"/>
        <w:bottom w:val="none" w:sz="0" w:space="0" w:color="auto"/>
        <w:right w:val="none" w:sz="0" w:space="0" w:color="auto"/>
      </w:divBdr>
    </w:div>
    <w:div w:id="219899220">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471292650">
      <w:bodyDiv w:val="1"/>
      <w:marLeft w:val="0"/>
      <w:marRight w:val="0"/>
      <w:marTop w:val="0"/>
      <w:marBottom w:val="0"/>
      <w:divBdr>
        <w:top w:val="none" w:sz="0" w:space="0" w:color="auto"/>
        <w:left w:val="none" w:sz="0" w:space="0" w:color="auto"/>
        <w:bottom w:val="none" w:sz="0" w:space="0" w:color="auto"/>
        <w:right w:val="none" w:sz="0" w:space="0" w:color="auto"/>
      </w:divBdr>
    </w:div>
    <w:div w:id="853422514">
      <w:bodyDiv w:val="1"/>
      <w:marLeft w:val="0"/>
      <w:marRight w:val="0"/>
      <w:marTop w:val="0"/>
      <w:marBottom w:val="0"/>
      <w:divBdr>
        <w:top w:val="none" w:sz="0" w:space="0" w:color="auto"/>
        <w:left w:val="none" w:sz="0" w:space="0" w:color="auto"/>
        <w:bottom w:val="none" w:sz="0" w:space="0" w:color="auto"/>
        <w:right w:val="none" w:sz="0" w:space="0" w:color="auto"/>
      </w:divBdr>
    </w:div>
    <w:div w:id="1179587676">
      <w:bodyDiv w:val="1"/>
      <w:marLeft w:val="0"/>
      <w:marRight w:val="0"/>
      <w:marTop w:val="0"/>
      <w:marBottom w:val="0"/>
      <w:divBdr>
        <w:top w:val="none" w:sz="0" w:space="0" w:color="auto"/>
        <w:left w:val="none" w:sz="0" w:space="0" w:color="auto"/>
        <w:bottom w:val="none" w:sz="0" w:space="0" w:color="auto"/>
        <w:right w:val="none" w:sz="0" w:space="0" w:color="auto"/>
      </w:divBdr>
    </w:div>
    <w:div w:id="1392195248">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3.emf"/><Relationship Id="rId42" Type="http://schemas.openxmlformats.org/officeDocument/2006/relationships/image" Target="media/image17.png"/><Relationship Id="rId47" Type="http://schemas.openxmlformats.org/officeDocument/2006/relationships/image" Target="media/image20.emf"/><Relationship Id="rId50" Type="http://schemas.openxmlformats.org/officeDocument/2006/relationships/oleObject" Target="embeddings/oleObject17.bin"/><Relationship Id="rId55" Type="http://schemas.openxmlformats.org/officeDocument/2006/relationships/image" Target="media/image24.emf"/><Relationship Id="rId63" Type="http://schemas.openxmlformats.org/officeDocument/2006/relationships/image" Target="media/image28.emf"/><Relationship Id="rId68" Type="http://schemas.openxmlformats.org/officeDocument/2006/relationships/oleObject" Target="embeddings/oleObject26.bin"/><Relationship Id="rId76" Type="http://schemas.openxmlformats.org/officeDocument/2006/relationships/oleObject" Target="embeddings/oleObject30.bin"/><Relationship Id="rId84"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32.emf"/><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oleObject" Target="embeddings/oleObject9.bin"/><Relationship Id="rId11" Type="http://schemas.openxmlformats.org/officeDocument/2006/relationships/header" Target="header2.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3.bin"/><Relationship Id="rId40" Type="http://schemas.openxmlformats.org/officeDocument/2006/relationships/header" Target="header3.xml"/><Relationship Id="rId45" Type="http://schemas.openxmlformats.org/officeDocument/2006/relationships/header" Target="header4.xml"/><Relationship Id="rId53" Type="http://schemas.openxmlformats.org/officeDocument/2006/relationships/image" Target="media/image23.e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oleObject" Target="embeddings/oleObject33.bin"/><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7.emf"/><Relationship Id="rId82" Type="http://schemas.openxmlformats.org/officeDocument/2006/relationships/header" Target="header5.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8.bin"/><Relationship Id="rId30" Type="http://schemas.openxmlformats.org/officeDocument/2006/relationships/image" Target="media/image11.emf"/><Relationship Id="rId35" Type="http://schemas.openxmlformats.org/officeDocument/2006/relationships/oleObject" Target="embeddings/oleObject12.bin"/><Relationship Id="rId43" Type="http://schemas.openxmlformats.org/officeDocument/2006/relationships/image" Target="media/image18.tif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1.emf"/><Relationship Id="rId77" Type="http://schemas.openxmlformats.org/officeDocument/2006/relationships/oleObject" Target="embeddings/oleObject31.bin"/><Relationship Id="rId8" Type="http://schemas.openxmlformats.org/officeDocument/2006/relationships/header" Target="header1.xml"/><Relationship Id="rId51" Type="http://schemas.openxmlformats.org/officeDocument/2006/relationships/image" Target="media/image22.emf"/><Relationship Id="rId72" Type="http://schemas.openxmlformats.org/officeDocument/2006/relationships/oleObject" Target="embeddings/oleObject28.bin"/><Relationship Id="rId80" Type="http://schemas.openxmlformats.org/officeDocument/2006/relationships/oleObject" Target="embeddings/oleObject34.bin"/><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5.emf"/><Relationship Id="rId46" Type="http://schemas.openxmlformats.org/officeDocument/2006/relationships/oleObject" Target="embeddings/oleObject15.bin"/><Relationship Id="rId59" Type="http://schemas.openxmlformats.org/officeDocument/2006/relationships/image" Target="media/image26.emf"/><Relationship Id="rId67" Type="http://schemas.openxmlformats.org/officeDocument/2006/relationships/image" Target="media/image30.emf"/><Relationship Id="rId20" Type="http://schemas.openxmlformats.org/officeDocument/2006/relationships/image" Target="media/image6.emf"/><Relationship Id="rId41" Type="http://schemas.openxmlformats.org/officeDocument/2006/relationships/image" Target="media/image16.jpeg"/><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4.emf"/><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image" Target="media/image21.emf"/><Relationship Id="rId57" Type="http://schemas.openxmlformats.org/officeDocument/2006/relationships/image" Target="media/image25.emf"/><Relationship Id="rId10" Type="http://schemas.openxmlformats.org/officeDocument/2006/relationships/footer" Target="footer2.xml"/><Relationship Id="rId31" Type="http://schemas.openxmlformats.org/officeDocument/2006/relationships/oleObject" Target="embeddings/oleObject10.bin"/><Relationship Id="rId44" Type="http://schemas.openxmlformats.org/officeDocument/2006/relationships/image" Target="media/image19.tiff"/><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29.emf"/><Relationship Id="rId73" Type="http://schemas.openxmlformats.org/officeDocument/2006/relationships/image" Target="media/image33.emf"/><Relationship Id="rId78" Type="http://schemas.openxmlformats.org/officeDocument/2006/relationships/oleObject" Target="embeddings/oleObject32.bin"/><Relationship Id="rId81" Type="http://schemas.openxmlformats.org/officeDocument/2006/relationships/image" Target="media/image35.tiff"/><Relationship Id="rId86"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A9BF394-B5E9-4272-A630-1DD2331F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0</TotalTime>
  <Pages>17</Pages>
  <Words>30966</Words>
  <Characters>170313</Characters>
  <Application>Microsoft Office Word</Application>
  <DocSecurity>0</DocSecurity>
  <Lines>1419</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Media SA</dc:creator>
  <cp:keywords/>
  <dc:description/>
  <cp:lastModifiedBy>Paula Morales Lazaro</cp:lastModifiedBy>
  <cp:revision>2</cp:revision>
  <cp:lastPrinted>2013-10-03T12:51:00Z</cp:lastPrinted>
  <dcterms:created xsi:type="dcterms:W3CDTF">2022-02-16T15:17:00Z</dcterms:created>
  <dcterms:modified xsi:type="dcterms:W3CDTF">2022-02-16T15:17:00Z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21d5f090-ef6d-3b7b-b95e-9d708859fa60</vt:lpwstr>
  </property>
  <property fmtid="{D5CDD505-2E9C-101B-9397-08002B2CF9AE}" pid="4" name="Mendeley Citation Style_1">
    <vt:lpwstr>http://www.zotero.org/styles/frontiers-in-pharmacology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http://www.zotero.org/styles/catalysts</vt:lpwstr>
  </property>
  <property fmtid="{D5CDD505-2E9C-101B-9397-08002B2CF9AE}" pid="8" name="Mendeley Recent Style Name 1_1">
    <vt:lpwstr>Catalysts</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http://www.zotero.org/styles/citation-compass-apa-note</vt:lpwstr>
  </property>
  <property fmtid="{D5CDD505-2E9C-101B-9397-08002B2CF9AE}" pid="12" name="Mendeley Recent Style Name 3_1">
    <vt:lpwstr>Citation Compass (Kildekompasset) - APA (note)</vt:lpwstr>
  </property>
  <property fmtid="{D5CDD505-2E9C-101B-9397-08002B2CF9AE}" pid="13" name="Mendeley Recent Style Id 4_1">
    <vt:lpwstr>http://www.zotero.org/styles/frontiers-in-pharmacology</vt:lpwstr>
  </property>
  <property fmtid="{D5CDD505-2E9C-101B-9397-08002B2CF9AE}" pid="14" name="Mendeley Recent Style Name 4_1">
    <vt:lpwstr>Frontiers in Pharmacology</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http://www.zotero.org/styles/journal-of-medicinal-chemistry</vt:lpwstr>
  </property>
  <property fmtid="{D5CDD505-2E9C-101B-9397-08002B2CF9AE}" pid="18" name="Mendeley Recent Style Name 6_1">
    <vt:lpwstr>Journal of Medicinal Chemistry</vt:lpwstr>
  </property>
  <property fmtid="{D5CDD505-2E9C-101B-9397-08002B2CF9AE}" pid="19" name="Mendeley Recent Style Id 7_1">
    <vt:lpwstr>http://www.zotero.org/styles/rsc-advances</vt:lpwstr>
  </property>
  <property fmtid="{D5CDD505-2E9C-101B-9397-08002B2CF9AE}" pid="20" name="Mendeley Recent Style Name 7_1">
    <vt:lpwstr>RSC Advances</vt:lpwstr>
  </property>
  <property fmtid="{D5CDD505-2E9C-101B-9397-08002B2CF9AE}" pid="21" name="Mendeley Recent Style Id 8_1">
    <vt:lpwstr>http://www.zotero.org/styles/taylor-and-francis-apa</vt:lpwstr>
  </property>
  <property fmtid="{D5CDD505-2E9C-101B-9397-08002B2CF9AE}" pid="22" name="Mendeley Recent Style Name 8_1">
    <vt:lpwstr>Taylor &amp; Francis - APA</vt:lpwstr>
  </property>
  <property fmtid="{D5CDD505-2E9C-101B-9397-08002B2CF9AE}" pid="23" name="Mendeley Recent Style Id 9_1">
    <vt:lpwstr>http://www.zotero.org/styles/world-patent-information</vt:lpwstr>
  </property>
  <property fmtid="{D5CDD505-2E9C-101B-9397-08002B2CF9AE}" pid="24" name="Mendeley Recent Style Name 9_1">
    <vt:lpwstr>World Patent Information</vt:lpwstr>
  </property>
</Properties>
</file>