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2"/>
        <w:rPr>
          <w:b w:val="0"/>
        </w:rPr>
      </w:pPr>
      <w:r>
        <w:t>Supplementary Material</w:t>
      </w:r>
    </w:p>
    <w:p>
      <w:pPr>
        <w:pStyle w:val="2"/>
        <w:numPr>
          <w:ilvl w:val="0"/>
          <w:numId w:val="0"/>
        </w:numPr>
        <w:ind w:leftChars="0"/>
        <w:rPr>
          <w:rFonts w:hint="default" w:eastAsia="宋体"/>
          <w:lang w:val="en-US" w:eastAsia="zh-CN"/>
        </w:rPr>
      </w:pPr>
      <w:r>
        <w:t>Supplementary  Table</w:t>
      </w:r>
      <w:r>
        <w:rPr>
          <w:rFonts w:hint="eastAsia" w:eastAsia="宋体"/>
          <w:lang w:val="en-US" w:eastAsia="zh-CN"/>
        </w:rPr>
        <w:t xml:space="preserve"> 1</w:t>
      </w:r>
    </w:p>
    <w:p>
      <w:pPr>
        <w:widowControl/>
        <w:spacing w:line="360" w:lineRule="auto"/>
        <w:jc w:val="left"/>
      </w:pPr>
      <w:r>
        <w:rPr>
          <w:rFonts w:hint="eastAsia" w:ascii="Times New Roman" w:hAnsi="Times New Roman"/>
          <w:color w:val="000000"/>
          <w:sz w:val="24"/>
        </w:rPr>
        <w:t xml:space="preserve"> </w:t>
      </w:r>
      <w:r>
        <w:rPr>
          <w:rFonts w:ascii="Times New Roman" w:hAnsi="Times New Roman"/>
          <w:color w:val="000000"/>
          <w:sz w:val="24"/>
        </w:rPr>
        <w:t>The PCR primers</w:t>
      </w:r>
      <w:r>
        <w:rPr>
          <w:rFonts w:hint="eastAsia" w:ascii="Times New Roman" w:hAnsi="Times New Roman"/>
          <w:color w:val="000000"/>
          <w:sz w:val="24"/>
        </w:rPr>
        <w:t xml:space="preserve"> for identification of transgenic mice</w:t>
      </w:r>
    </w:p>
    <w:tbl>
      <w:tblPr>
        <w:tblStyle w:val="19"/>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7"/>
        <w:gridCol w:w="4640"/>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17"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Gene name</w:t>
            </w:r>
          </w:p>
        </w:tc>
        <w:tc>
          <w:tcPr>
            <w:tcW w:w="4640"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sz w:val="24"/>
                <w:szCs w:val="24"/>
              </w:rPr>
              <w:t>Sequence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17"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 xml:space="preserve"> Cb1 flox-F1</w:t>
            </w:r>
          </w:p>
        </w:tc>
        <w:tc>
          <w:tcPr>
            <w:tcW w:w="4640"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CCGTCATGTTAGCCATCTGCATTT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17"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Cb1 flox-R1</w:t>
            </w:r>
          </w:p>
        </w:tc>
        <w:tc>
          <w:tcPr>
            <w:tcW w:w="4640"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TCATGGCACGGCAGATAAGAACTT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17"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Advillin cre-F</w:t>
            </w:r>
          </w:p>
        </w:tc>
        <w:tc>
          <w:tcPr>
            <w:tcW w:w="4640"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ACCCCGACTTTGTGATGTTTC</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17"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Advillin cre-R</w:t>
            </w:r>
          </w:p>
        </w:tc>
        <w:tc>
          <w:tcPr>
            <w:tcW w:w="4640"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CTGCCTGTCCCTGAACATG</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17"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Cb1-F1</w:t>
            </w:r>
          </w:p>
        </w:tc>
        <w:tc>
          <w:tcPr>
            <w:tcW w:w="4640"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CCGTCATGTTAGCCATCTGCATTT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17"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Cb1-R1</w:t>
            </w:r>
          </w:p>
        </w:tc>
        <w:tc>
          <w:tcPr>
            <w:tcW w:w="4640"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GCACGGTGACAGTCACTATTTTA</w:t>
            </w:r>
          </w:p>
        </w:tc>
      </w:tr>
    </w:tbl>
    <w:p/>
    <w:p/>
    <w:p>
      <w:pPr>
        <w:pStyle w:val="2"/>
        <w:numPr>
          <w:ilvl w:val="0"/>
          <w:numId w:val="0"/>
        </w:numPr>
        <w:ind w:leftChars="0"/>
        <w:rPr>
          <w:rFonts w:hint="eastAsia" w:ascii="Times New Roman" w:hAnsi="Times New Roman"/>
          <w:color w:val="000000"/>
          <w:sz w:val="24"/>
        </w:rPr>
      </w:pPr>
      <w:r>
        <w:t>Supplementary  Table</w:t>
      </w:r>
      <w:r>
        <w:rPr>
          <w:rFonts w:hint="eastAsia" w:eastAsia="宋体"/>
          <w:lang w:val="en-US" w:eastAsia="zh-CN"/>
        </w:rPr>
        <w:t xml:space="preserve"> 2</w:t>
      </w:r>
      <w:r>
        <w:rPr>
          <w:rFonts w:hint="eastAsia" w:ascii="Times New Roman" w:hAnsi="Times New Roman"/>
          <w:color w:val="000000"/>
          <w:sz w:val="24"/>
        </w:rPr>
        <w:t xml:space="preserve"> </w:t>
      </w:r>
      <w:r>
        <w:rPr>
          <w:rFonts w:ascii="Times New Roman" w:hAnsi="Times New Roman"/>
          <w:color w:val="000000"/>
          <w:sz w:val="24"/>
        </w:rPr>
        <w:t xml:space="preserve">PCR </w:t>
      </w:r>
      <w:r>
        <w:rPr>
          <w:rFonts w:hint="eastAsia" w:ascii="Times New Roman" w:hAnsi="Times New Roman"/>
          <w:color w:val="000000"/>
          <w:sz w:val="24"/>
        </w:rPr>
        <w:t>products for identification of transgenic mice</w:t>
      </w:r>
    </w:p>
    <w:tbl>
      <w:tblPr>
        <w:tblStyle w:val="19"/>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9"/>
        <w:gridCol w:w="1799"/>
        <w:gridCol w:w="1564"/>
        <w:gridCol w:w="1233"/>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9" w:type="dxa"/>
            <w:tcBorders>
              <w:bottom w:val="single" w:color="auto" w:sz="8" w:space="0"/>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PCR</w:t>
            </w:r>
            <w:r>
              <w:rPr>
                <w:rFonts w:hint="eastAsia" w:ascii="Times New Roman" w:hAnsi="Times New Roman"/>
                <w:color w:val="000000"/>
                <w:sz w:val="24"/>
                <w:szCs w:val="24"/>
              </w:rPr>
              <w:t xml:space="preserve"> </w:t>
            </w:r>
            <w:r>
              <w:rPr>
                <w:rFonts w:ascii="Times New Roman" w:hAnsi="Times New Roman"/>
                <w:color w:val="000000"/>
                <w:sz w:val="24"/>
                <w:szCs w:val="24"/>
              </w:rPr>
              <w:t>products</w:t>
            </w:r>
          </w:p>
        </w:tc>
        <w:tc>
          <w:tcPr>
            <w:tcW w:w="1799" w:type="dxa"/>
            <w:tcBorders>
              <w:bottom w:val="single" w:color="auto" w:sz="8" w:space="0"/>
            </w:tcBorders>
            <w:shd w:val="clear" w:color="auto" w:fill="auto"/>
          </w:tcPr>
          <w:p>
            <w:pPr>
              <w:widowControl/>
              <w:spacing w:line="360" w:lineRule="auto"/>
              <w:jc w:val="left"/>
              <w:rPr>
                <w:rFonts w:ascii="Times New Roman" w:hAnsi="Times New Roman"/>
                <w:color w:val="000000"/>
                <w:sz w:val="24"/>
                <w:szCs w:val="24"/>
              </w:rPr>
            </w:pPr>
            <w:r>
              <w:rPr>
                <w:rFonts w:hint="eastAsia" w:ascii="Times New Roman" w:hAnsi="Times New Roman"/>
                <w:color w:val="000000"/>
                <w:sz w:val="24"/>
                <w:szCs w:val="24"/>
              </w:rPr>
              <w:t>WT</w:t>
            </w:r>
          </w:p>
        </w:tc>
        <w:tc>
          <w:tcPr>
            <w:tcW w:w="1564" w:type="dxa"/>
            <w:tcBorders>
              <w:bottom w:val="single" w:color="auto" w:sz="8" w:space="0"/>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Flox</w:t>
            </w:r>
          </w:p>
        </w:tc>
        <w:tc>
          <w:tcPr>
            <w:tcW w:w="1233" w:type="dxa"/>
            <w:tcBorders>
              <w:bottom w:val="single" w:color="auto" w:sz="8" w:space="0"/>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null</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9" w:type="dxa"/>
            <w:tcBorders>
              <w:top w:val="single" w:color="auto" w:sz="8" w:space="0"/>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Cb1 flox</w:t>
            </w:r>
          </w:p>
        </w:tc>
        <w:tc>
          <w:tcPr>
            <w:tcW w:w="1799" w:type="dxa"/>
            <w:tcBorders>
              <w:top w:val="single" w:color="auto" w:sz="8" w:space="0"/>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244bp</w:t>
            </w:r>
          </w:p>
        </w:tc>
        <w:tc>
          <w:tcPr>
            <w:tcW w:w="1564" w:type="dxa"/>
            <w:tcBorders>
              <w:top w:val="single" w:color="auto" w:sz="8" w:space="0"/>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341bp</w:t>
            </w:r>
          </w:p>
        </w:tc>
        <w:tc>
          <w:tcPr>
            <w:tcW w:w="1233" w:type="dxa"/>
            <w:tcBorders>
              <w:top w:val="single" w:color="auto" w:sz="8" w:space="0"/>
              <w:tl2br w:val="nil"/>
              <w:tr2bl w:val="nil"/>
            </w:tcBorders>
            <w:shd w:val="clear" w:color="auto" w:fill="auto"/>
          </w:tcPr>
          <w:p>
            <w:pPr>
              <w:widowControl/>
              <w:spacing w:line="360" w:lineRule="auto"/>
              <w:jc w:val="left"/>
              <w:rPr>
                <w:rFonts w:ascii="Times New Roman" w:hAnsi="Times New Roman"/>
                <w:color w:val="000000"/>
                <w:sz w:val="24"/>
                <w:szCs w:val="24"/>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9"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 xml:space="preserve">Advillin cre </w:t>
            </w:r>
          </w:p>
        </w:tc>
        <w:tc>
          <w:tcPr>
            <w:tcW w:w="1799"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 xml:space="preserve"> no bands</w:t>
            </w:r>
          </w:p>
        </w:tc>
        <w:tc>
          <w:tcPr>
            <w:tcW w:w="1564"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152bp</w:t>
            </w:r>
          </w:p>
        </w:tc>
        <w:tc>
          <w:tcPr>
            <w:tcW w:w="1233"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9"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 xml:space="preserve"> Cb1</w:t>
            </w:r>
          </w:p>
        </w:tc>
        <w:tc>
          <w:tcPr>
            <w:tcW w:w="1799"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2438bp</w:t>
            </w:r>
          </w:p>
        </w:tc>
        <w:tc>
          <w:tcPr>
            <w:tcW w:w="1564"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2600bp</w:t>
            </w:r>
          </w:p>
        </w:tc>
        <w:tc>
          <w:tcPr>
            <w:tcW w:w="1233"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350bp</w:t>
            </w:r>
          </w:p>
        </w:tc>
      </w:tr>
    </w:tbl>
    <w:p/>
    <w:p/>
    <w:p>
      <w:pPr>
        <w:pStyle w:val="2"/>
        <w:numPr>
          <w:ilvl w:val="0"/>
          <w:numId w:val="0"/>
        </w:numPr>
        <w:ind w:leftChars="0"/>
        <w:rPr>
          <w:rFonts w:ascii="Times New Roman" w:hAnsi="Times New Roman"/>
          <w:color w:val="000000"/>
          <w:sz w:val="24"/>
        </w:rPr>
      </w:pPr>
      <w:r>
        <w:t>Supplementary  Table</w:t>
      </w:r>
      <w:r>
        <w:rPr>
          <w:rFonts w:hint="eastAsia" w:eastAsia="宋体"/>
          <w:lang w:val="en-US" w:eastAsia="zh-CN"/>
        </w:rPr>
        <w:t xml:space="preserve"> 3 </w:t>
      </w:r>
      <w:r>
        <w:rPr>
          <w:rFonts w:ascii="Times New Roman" w:hAnsi="Times New Roman"/>
          <w:color w:val="000000"/>
          <w:sz w:val="24"/>
        </w:rPr>
        <w:t>The primers for PCR</w:t>
      </w:r>
    </w:p>
    <w:tbl>
      <w:tblPr>
        <w:tblStyle w:val="19"/>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92"/>
        <w:gridCol w:w="5743"/>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bottom w:val="single" w:color="auto" w:sz="8" w:space="0"/>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Gene name</w:t>
            </w:r>
          </w:p>
        </w:tc>
        <w:tc>
          <w:tcPr>
            <w:tcW w:w="5743" w:type="dxa"/>
            <w:tcBorders>
              <w:bottom w:val="single" w:color="auto" w:sz="8" w:space="0"/>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sz w:val="24"/>
                <w:szCs w:val="24"/>
              </w:rPr>
              <w:t>Sequence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op w:val="single" w:color="auto" w:sz="8" w:space="0"/>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cnr1-forward</w:t>
            </w:r>
          </w:p>
        </w:tc>
        <w:tc>
          <w:tcPr>
            <w:tcW w:w="5743" w:type="dxa"/>
            <w:tcBorders>
              <w:top w:val="single" w:color="auto" w:sz="8" w:space="0"/>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sz w:val="24"/>
                <w:szCs w:val="24"/>
              </w:rPr>
              <w:t>CCTGCTGAACTCCACCGTGAAC</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color w:val="000000"/>
                <w:sz w:val="24"/>
                <w:szCs w:val="24"/>
              </w:rPr>
              <w:t>cnr1-reverse</w:t>
            </w:r>
          </w:p>
        </w:tc>
        <w:tc>
          <w:tcPr>
            <w:tcW w:w="5743" w:type="dxa"/>
            <w:tcBorders>
              <w:tl2br w:val="nil"/>
              <w:tr2bl w:val="nil"/>
            </w:tcBorders>
            <w:shd w:val="clear" w:color="auto" w:fill="auto"/>
          </w:tcPr>
          <w:p>
            <w:pPr>
              <w:widowControl/>
              <w:spacing w:line="360" w:lineRule="auto"/>
              <w:jc w:val="left"/>
              <w:rPr>
                <w:rFonts w:ascii="Times New Roman" w:hAnsi="Times New Roman"/>
                <w:color w:val="000000"/>
                <w:sz w:val="24"/>
                <w:szCs w:val="24"/>
              </w:rPr>
            </w:pPr>
            <w:r>
              <w:rPr>
                <w:rFonts w:ascii="Times New Roman" w:hAnsi="Times New Roman"/>
                <w:sz w:val="24"/>
                <w:szCs w:val="24"/>
              </w:rPr>
              <w:t>CTGTGTTGTTGGCGTGCTTGTG</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Cnr2-forward</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CGTGATCTTCGCCTGCAACT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Cnr2-reverse</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GTCAACAGCGGTTAGCAGCA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gfap-</w:t>
            </w:r>
            <w:r>
              <w:rPr>
                <w:rFonts w:ascii="Times New Roman" w:hAnsi="Times New Roman"/>
                <w:color w:val="000000"/>
                <w:sz w:val="24"/>
                <w:szCs w:val="24"/>
              </w:rPr>
              <w:t>forward</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GCCACGCTTCTCCTTGTCTC</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gfap-reverse</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CCATCATCTCTGCACGCTCG</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s100a8-</w:t>
            </w:r>
            <w:r>
              <w:rPr>
                <w:rFonts w:ascii="Times New Roman" w:hAnsi="Times New Roman"/>
                <w:color w:val="000000"/>
                <w:sz w:val="24"/>
                <w:szCs w:val="24"/>
              </w:rPr>
              <w:t>forward</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TCACCATGCCCTCTACAAGAATGAC</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s100a8-reverse</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CCATCGCAAGGAACTCCTCGAAG</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s100a9-</w:t>
            </w:r>
            <w:r>
              <w:rPr>
                <w:rFonts w:ascii="Times New Roman" w:hAnsi="Times New Roman"/>
                <w:color w:val="000000"/>
                <w:sz w:val="24"/>
                <w:szCs w:val="24"/>
              </w:rPr>
              <w:t>forward</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CCACCATCATCGACACCTTCCATC</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92" w:type="dxa"/>
            <w:tcBorders>
              <w:tl2br w:val="nil"/>
              <w:tr2bl w:val="nil"/>
            </w:tcBorders>
            <w:shd w:val="clear" w:color="auto" w:fill="auto"/>
          </w:tcPr>
          <w:p>
            <w:pPr>
              <w:widowControl/>
              <w:spacing w:line="360" w:lineRule="auto"/>
              <w:jc w:val="left"/>
              <w:rPr>
                <w:rFonts w:ascii="Times New Roman" w:hAnsi="Times New Roman"/>
                <w:sz w:val="24"/>
                <w:szCs w:val="24"/>
              </w:rPr>
            </w:pPr>
            <w:r>
              <w:rPr>
                <w:rFonts w:hint="eastAsia" w:ascii="Times New Roman" w:hAnsi="Times New Roman"/>
                <w:sz w:val="24"/>
                <w:szCs w:val="24"/>
              </w:rPr>
              <w:t>s100a9-</w:t>
            </w:r>
            <w:r>
              <w:rPr>
                <w:rFonts w:ascii="Times New Roman" w:hAnsi="Times New Roman"/>
                <w:sz w:val="24"/>
                <w:szCs w:val="24"/>
              </w:rPr>
              <w:t>reverse</w:t>
            </w:r>
            <w:r>
              <w:rPr>
                <w:rFonts w:hint="eastAsia" w:ascii="Times New Roman" w:hAnsi="Times New Roman"/>
                <w:sz w:val="24"/>
                <w:szCs w:val="24"/>
              </w:rPr>
              <w:t xml:space="preserve"> </w:t>
            </w:r>
          </w:p>
        </w:tc>
        <w:tc>
          <w:tcPr>
            <w:tcW w:w="5743" w:type="dxa"/>
            <w:tcBorders>
              <w:tl2br w:val="nil"/>
              <w:tr2bl w:val="nil"/>
            </w:tcBorders>
            <w:shd w:val="clear" w:color="auto" w:fill="auto"/>
          </w:tcPr>
          <w:p>
            <w:pPr>
              <w:widowControl/>
              <w:spacing w:line="360" w:lineRule="auto"/>
              <w:jc w:val="left"/>
              <w:rPr>
                <w:rFonts w:ascii="Times New Roman" w:hAnsi="Times New Roman"/>
                <w:sz w:val="24"/>
                <w:szCs w:val="24"/>
              </w:rPr>
            </w:pPr>
            <w:r>
              <w:rPr>
                <w:rFonts w:ascii="Times New Roman" w:hAnsi="Times New Roman"/>
                <w:sz w:val="24"/>
                <w:szCs w:val="24"/>
              </w:rPr>
              <w:t>GCCAACTGTGCTTCCACCATTTG</w:t>
            </w:r>
          </w:p>
        </w:tc>
      </w:tr>
    </w:tbl>
    <w:p/>
    <w:p>
      <w:pPr>
        <w:pStyle w:val="2"/>
        <w:numPr>
          <w:ilvl w:val="0"/>
          <w:numId w:val="0"/>
        </w:numPr>
        <w:ind w:leftChars="0"/>
        <w:rPr>
          <w:rFonts w:ascii="Times New Roman" w:hAnsi="Times New Roman" w:eastAsia="AdvOT5fcf1b24"/>
          <w:color w:val="000000"/>
          <w:kern w:val="0"/>
          <w:sz w:val="24"/>
          <w:lang w:bidi="ar"/>
        </w:rPr>
      </w:pPr>
      <w:r>
        <w:t>Supplementary  Table</w:t>
      </w:r>
      <w:r>
        <w:rPr>
          <w:rFonts w:hint="eastAsia" w:eastAsia="宋体"/>
          <w:lang w:val="en-US" w:eastAsia="zh-CN"/>
        </w:rPr>
        <w:t xml:space="preserve"> 4</w:t>
      </w:r>
      <w:r>
        <w:rPr>
          <w:rFonts w:hint="eastAsia" w:ascii="Times New Roman" w:hAnsi="Times New Roman"/>
          <w:color w:val="000000"/>
          <w:sz w:val="24"/>
        </w:rPr>
        <w:t xml:space="preserve"> </w:t>
      </w:r>
      <w:r>
        <w:rPr>
          <w:rFonts w:ascii="Times New Roman" w:hAnsi="Times New Roman" w:eastAsia="AdvOT5fcf1b24"/>
          <w:color w:val="000000"/>
          <w:kern w:val="0"/>
          <w:sz w:val="24"/>
          <w:lang w:bidi="ar"/>
        </w:rPr>
        <w:t xml:space="preserve">The detailed information of the top 20 up-regulated and </w:t>
      </w:r>
      <w:r>
        <w:rPr>
          <w:rFonts w:hint="eastAsia" w:eastAsia="宋体"/>
          <w:color w:val="000000"/>
          <w:kern w:val="0"/>
          <w:sz w:val="24"/>
          <w:lang w:val="en-US" w:eastAsia="zh-CN" w:bidi="ar"/>
        </w:rPr>
        <w:t>top 10</w:t>
      </w:r>
      <w:r>
        <w:rPr>
          <w:rFonts w:ascii="Times New Roman" w:hAnsi="Times New Roman" w:eastAsia="AdvOT5fcf1b24"/>
          <w:color w:val="000000"/>
          <w:kern w:val="0"/>
          <w:sz w:val="24"/>
          <w:lang w:bidi="ar"/>
        </w:rPr>
        <w:t xml:space="preserve"> down-regulated mRNAs in the early phase</w:t>
      </w:r>
      <w:r>
        <w:rPr>
          <w:rFonts w:hint="eastAsia" w:ascii="Times New Roman" w:hAnsi="Times New Roman" w:eastAsia="AdvOT5fcf1b24"/>
          <w:color w:val="000000"/>
          <w:kern w:val="0"/>
          <w:sz w:val="24"/>
          <w:lang w:bidi="ar"/>
        </w:rPr>
        <w:t xml:space="preserve"> of CB1R knock</w:t>
      </w:r>
      <w:r>
        <w:rPr>
          <w:rFonts w:hint="eastAsia" w:ascii="Times New Roman" w:hAnsi="Times New Roman"/>
          <w:color w:val="000000"/>
          <w:kern w:val="0"/>
          <w:sz w:val="24"/>
          <w:lang w:bidi="ar"/>
        </w:rPr>
        <w:t>out</w:t>
      </w:r>
      <w:r>
        <w:rPr>
          <w:rFonts w:hint="eastAsia" w:ascii="Times New Roman" w:hAnsi="Times New Roman" w:eastAsia="AdvOT5fcf1b24"/>
          <w:color w:val="000000"/>
          <w:kern w:val="0"/>
          <w:sz w:val="24"/>
          <w:lang w:bidi="ar"/>
        </w:rPr>
        <w:t>(</w:t>
      </w:r>
      <w:r>
        <w:rPr>
          <w:rFonts w:ascii="Times New Roman" w:hAnsi="Times New Roman" w:eastAsia="AdvOT5fcf1b24"/>
          <w:color w:val="000000"/>
          <w:kern w:val="0"/>
          <w:sz w:val="24"/>
          <w:lang w:bidi="ar"/>
        </w:rPr>
        <w:t>WT14 vs CB1cKO14</w:t>
      </w:r>
      <w:r>
        <w:rPr>
          <w:rFonts w:hint="eastAsia" w:ascii="Times New Roman" w:hAnsi="Times New Roman" w:eastAsia="AdvOT5fcf1b24"/>
          <w:color w:val="000000"/>
          <w:kern w:val="0"/>
          <w:sz w:val="24"/>
          <w:lang w:bidi="ar"/>
        </w:rPr>
        <w:t>)</w:t>
      </w:r>
      <w:r>
        <w:rPr>
          <w:rFonts w:ascii="Times New Roman" w:hAnsi="Times New Roman" w:eastAsia="AdvOT5fcf1b24"/>
          <w:color w:val="000000"/>
          <w:kern w:val="0"/>
          <w:sz w:val="24"/>
          <w:lang w:bidi="ar"/>
        </w:rPr>
        <w:t>.</w:t>
      </w:r>
    </w:p>
    <w:tbl>
      <w:tblPr>
        <w:tblStyle w:val="19"/>
        <w:tblW w:w="7879"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41"/>
        <w:gridCol w:w="506"/>
        <w:gridCol w:w="985"/>
        <w:gridCol w:w="240"/>
        <w:gridCol w:w="2072"/>
        <w:gridCol w:w="541"/>
        <w:gridCol w:w="994"/>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gridSpan w:val="3"/>
            <w:tcBorders>
              <w:bottom w:val="single" w:color="auto" w:sz="8" w:space="0"/>
            </w:tcBorders>
            <w:shd w:val="clear" w:color="auto" w:fill="auto"/>
          </w:tcPr>
          <w:p>
            <w:pPr>
              <w:pStyle w:val="16"/>
              <w:widowControl/>
              <w:spacing w:beforeAutospacing="0" w:afterAutospacing="0"/>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Up-regulated genes</w:t>
            </w:r>
          </w:p>
        </w:tc>
        <w:tc>
          <w:tcPr>
            <w:tcW w:w="240" w:type="dxa"/>
            <w:shd w:val="clear" w:color="auto" w:fill="auto"/>
          </w:tcPr>
          <w:p>
            <w:pPr>
              <w:widowControl/>
              <w:jc w:val="left"/>
              <w:rPr>
                <w:rFonts w:hint="default" w:ascii="Times New Roman" w:hAnsi="Times New Roman" w:cs="Times New Roman"/>
                <w:color w:val="000000"/>
                <w:sz w:val="18"/>
                <w:szCs w:val="18"/>
              </w:rPr>
            </w:pPr>
          </w:p>
        </w:tc>
        <w:tc>
          <w:tcPr>
            <w:tcW w:w="3607" w:type="dxa"/>
            <w:gridSpan w:val="3"/>
            <w:tcBorders>
              <w:bottom w:val="single" w:color="auto" w:sz="8" w:space="0"/>
            </w:tcBorders>
            <w:shd w:val="clear" w:color="auto" w:fill="auto"/>
          </w:tcPr>
          <w:p>
            <w:pPr>
              <w:pStyle w:val="16"/>
              <w:widowControl/>
              <w:spacing w:beforeAutospacing="0" w:afterAutospacing="0"/>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Down-regulated genes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op w:val="single" w:color="auto" w:sz="8" w:space="0"/>
              <w:bottom w:val="single" w:color="auto" w:sz="8" w:space="0"/>
            </w:tcBorders>
            <w:shd w:val="clear" w:color="auto" w:fill="auto"/>
          </w:tcPr>
          <w:p>
            <w:pPr>
              <w:jc w:val="left"/>
              <w:rPr>
                <w:rFonts w:hint="default" w:ascii="Times New Roman" w:hAnsi="Times New Roman" w:cs="Times New Roman"/>
                <w:sz w:val="18"/>
                <w:szCs w:val="18"/>
              </w:rPr>
            </w:pPr>
            <w:r>
              <w:rPr>
                <w:rFonts w:hint="default" w:ascii="Times New Roman" w:hAnsi="Times New Roman" w:cs="Times New Roman"/>
                <w:color w:val="000000"/>
                <w:sz w:val="18"/>
                <w:szCs w:val="18"/>
              </w:rPr>
              <w:t>Gene name/</w:t>
            </w:r>
            <w:r>
              <w:rPr>
                <w:rFonts w:hint="default" w:ascii="Times New Roman" w:hAnsi="Times New Roman" w:cs="Times New Roman"/>
                <w:color w:val="000000"/>
                <w:sz w:val="18"/>
                <w:szCs w:val="18"/>
                <w:lang w:bidi="ar"/>
              </w:rPr>
              <w:t>Gene Description</w:t>
            </w:r>
          </w:p>
        </w:tc>
        <w:tc>
          <w:tcPr>
            <w:tcW w:w="506" w:type="dxa"/>
            <w:tcBorders>
              <w:top w:val="single" w:color="auto" w:sz="8" w:space="0"/>
              <w:bottom w:val="single" w:color="auto" w:sz="8" w:space="0"/>
            </w:tcBorders>
            <w:shd w:val="clear" w:color="auto" w:fill="auto"/>
          </w:tcPr>
          <w:p>
            <w:pPr>
              <w:pStyle w:val="16"/>
              <w:widowControl/>
              <w:spacing w:beforeAutospacing="0" w:afterAutospacing="0"/>
              <w:jc w:val="center"/>
              <w:rPr>
                <w:rFonts w:hint="default" w:ascii="Times New Roman" w:hAnsi="Times New Roman" w:cs="Times New Roman"/>
                <w:sz w:val="18"/>
                <w:szCs w:val="18"/>
              </w:rPr>
            </w:pPr>
            <w:r>
              <w:rPr>
                <w:rFonts w:hint="default" w:ascii="Times New Roman" w:hAnsi="Times New Roman" w:cs="Times New Roman"/>
                <w:color w:val="000000"/>
                <w:sz w:val="18"/>
                <w:szCs w:val="18"/>
              </w:rPr>
              <w:t>log2</w:t>
            </w:r>
          </w:p>
        </w:tc>
        <w:tc>
          <w:tcPr>
            <w:tcW w:w="985" w:type="dxa"/>
            <w:tcBorders>
              <w:top w:val="single" w:color="auto" w:sz="8" w:space="0"/>
              <w:bottom w:val="single" w:color="auto" w:sz="8" w:space="0"/>
            </w:tcBorders>
            <w:shd w:val="clear" w:color="auto" w:fill="auto"/>
          </w:tcPr>
          <w:p>
            <w:pPr>
              <w:widowControl/>
              <w:jc w:val="left"/>
              <w:rPr>
                <w:rFonts w:hint="default" w:ascii="Times New Roman" w:hAnsi="Times New Roman" w:cs="Times New Roman"/>
                <w:color w:val="000000"/>
                <w:sz w:val="18"/>
                <w:szCs w:val="18"/>
                <w:lang w:bidi="ar"/>
              </w:rPr>
            </w:pPr>
            <w:r>
              <w:rPr>
                <w:rFonts w:hint="default" w:ascii="Times New Roman" w:hAnsi="Times New Roman" w:cs="Times New Roman"/>
                <w:color w:val="000000"/>
                <w:sz w:val="18"/>
                <w:szCs w:val="18"/>
                <w:lang w:bidi="ar"/>
              </w:rPr>
              <w:t xml:space="preserve">Information related to pain </w:t>
            </w:r>
          </w:p>
        </w:tc>
        <w:tc>
          <w:tcPr>
            <w:tcW w:w="240" w:type="dxa"/>
            <w:tcBorders>
              <w:bottom w:val="single" w:color="auto" w:sz="8" w:space="0"/>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op w:val="single" w:color="auto" w:sz="8" w:space="0"/>
              <w:bottom w:val="single" w:color="auto" w:sz="8" w:space="0"/>
            </w:tcBorders>
            <w:shd w:val="clear" w:color="auto" w:fill="auto"/>
          </w:tcPr>
          <w:p>
            <w:pPr>
              <w:jc w:val="left"/>
              <w:rPr>
                <w:rFonts w:hint="default" w:ascii="Times New Roman" w:hAnsi="Times New Roman" w:cs="Times New Roman"/>
                <w:sz w:val="18"/>
                <w:szCs w:val="18"/>
              </w:rPr>
            </w:pPr>
            <w:r>
              <w:rPr>
                <w:rFonts w:hint="default" w:ascii="Times New Roman" w:hAnsi="Times New Roman" w:cs="Times New Roman"/>
                <w:color w:val="000000"/>
                <w:sz w:val="18"/>
                <w:szCs w:val="18"/>
              </w:rPr>
              <w:t>Gene name/</w:t>
            </w:r>
            <w:r>
              <w:rPr>
                <w:rFonts w:hint="default" w:ascii="Times New Roman" w:hAnsi="Times New Roman" w:cs="Times New Roman"/>
                <w:color w:val="000000"/>
                <w:sz w:val="18"/>
                <w:szCs w:val="18"/>
                <w:lang w:bidi="ar"/>
              </w:rPr>
              <w:t>Gene Description</w:t>
            </w:r>
          </w:p>
        </w:tc>
        <w:tc>
          <w:tcPr>
            <w:tcW w:w="541" w:type="dxa"/>
            <w:tcBorders>
              <w:top w:val="single" w:color="auto" w:sz="8" w:space="0"/>
              <w:bottom w:val="single" w:color="auto" w:sz="8" w:space="0"/>
            </w:tcBorders>
            <w:shd w:val="clear" w:color="auto" w:fill="auto"/>
          </w:tcPr>
          <w:p>
            <w:pPr>
              <w:pStyle w:val="16"/>
              <w:widowControl/>
              <w:spacing w:beforeAutospacing="0" w:afterAutospacing="0"/>
              <w:jc w:val="center"/>
              <w:rPr>
                <w:rFonts w:hint="default" w:ascii="Times New Roman" w:hAnsi="Times New Roman" w:cs="Times New Roman"/>
                <w:sz w:val="18"/>
                <w:szCs w:val="18"/>
              </w:rPr>
            </w:pPr>
            <w:r>
              <w:rPr>
                <w:rFonts w:hint="default" w:ascii="Times New Roman" w:hAnsi="Times New Roman" w:cs="Times New Roman"/>
                <w:color w:val="000000"/>
                <w:sz w:val="18"/>
                <w:szCs w:val="18"/>
              </w:rPr>
              <w:t>log2</w:t>
            </w:r>
          </w:p>
        </w:tc>
        <w:tc>
          <w:tcPr>
            <w:tcW w:w="994" w:type="dxa"/>
            <w:tcBorders>
              <w:top w:val="single" w:color="auto" w:sz="8" w:space="0"/>
              <w:bottom w:val="single" w:color="auto" w:sz="8" w:space="0"/>
            </w:tcBorders>
            <w:shd w:val="clear" w:color="auto" w:fill="auto"/>
          </w:tcPr>
          <w:p>
            <w:pPr>
              <w:widowControl/>
              <w:jc w:val="left"/>
              <w:rPr>
                <w:rFonts w:hint="default" w:ascii="Times New Roman" w:hAnsi="Times New Roman" w:cs="Times New Roman"/>
                <w:color w:val="000000"/>
                <w:sz w:val="18"/>
                <w:szCs w:val="18"/>
                <w:lang w:bidi="ar"/>
              </w:rPr>
            </w:pPr>
            <w:r>
              <w:rPr>
                <w:rFonts w:hint="default" w:ascii="Times New Roman" w:hAnsi="Times New Roman" w:cs="Times New Roman"/>
                <w:color w:val="000000"/>
                <w:sz w:val="18"/>
                <w:szCs w:val="18"/>
                <w:lang w:bidi="ar"/>
              </w:rPr>
              <w:t xml:space="preserve">Information related to pain </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op w:val="single" w:color="auto" w:sz="8" w:space="0"/>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Mup7（major urinary protein 7）</w:t>
            </w:r>
          </w:p>
        </w:tc>
        <w:tc>
          <w:tcPr>
            <w:tcW w:w="506" w:type="dxa"/>
            <w:tcBorders>
              <w:top w:val="single" w:color="auto" w:sz="8" w:space="0"/>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8.35</w:t>
            </w:r>
          </w:p>
        </w:tc>
        <w:tc>
          <w:tcPr>
            <w:tcW w:w="985" w:type="dxa"/>
            <w:tcBorders>
              <w:top w:val="single" w:color="auto" w:sz="8" w:space="0"/>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op w:val="single" w:color="auto" w:sz="8" w:space="0"/>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op w:val="single" w:color="auto" w:sz="8" w:space="0"/>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S100a9(</w:t>
            </w:r>
            <w:r>
              <w:rPr>
                <w:rFonts w:hint="default" w:ascii="Times New Roman" w:hAnsi="Times New Roman" w:eastAsia="Segoe UI" w:cs="Times New Roman"/>
                <w:sz w:val="18"/>
                <w:szCs w:val="18"/>
                <w:shd w:val="clear" w:color="auto" w:fill="FFFFFF"/>
              </w:rPr>
              <w:t>S100 calcium binding protein A9 (calgranulin B)</w:t>
            </w:r>
            <w:r>
              <w:rPr>
                <w:rFonts w:hint="default" w:ascii="Times New Roman" w:hAnsi="Times New Roman" w:cs="Times New Roman"/>
                <w:color w:val="000000"/>
                <w:sz w:val="18"/>
                <w:szCs w:val="18"/>
              </w:rPr>
              <w:t>)</w:t>
            </w:r>
          </w:p>
        </w:tc>
        <w:tc>
          <w:tcPr>
            <w:tcW w:w="541" w:type="dxa"/>
            <w:tcBorders>
              <w:top w:val="single" w:color="auto" w:sz="8" w:space="0"/>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-1.32</w:t>
            </w:r>
          </w:p>
        </w:tc>
        <w:tc>
          <w:tcPr>
            <w:tcW w:w="994" w:type="dxa"/>
            <w:tcBorders>
              <w:top w:val="single" w:color="auto" w:sz="8" w:space="0"/>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t>
            </w:r>
            <w:r>
              <w:rPr>
                <w:rStyle w:val="22"/>
                <w:rFonts w:hint="default" w:ascii="Times New Roman" w:hAnsi="Times New Roman" w:cs="Times New Roman"/>
                <w:b w:val="0"/>
                <w:sz w:val="18"/>
                <w:szCs w:val="18"/>
              </w:rPr>
              <w:t>(Blom et al., 2020</w:t>
            </w:r>
            <w:r>
              <w:rPr>
                <w:rStyle w:val="22"/>
                <w:rFonts w:hint="default" w:ascii="Times New Roman" w:hAnsi="Times New Roman" w:cs="Times New Roman"/>
                <w:b w:val="0"/>
                <w:sz w:val="18"/>
                <w:szCs w:val="18"/>
                <w:lang w:val="en-US" w:eastAsia="zh-CN"/>
              </w:rPr>
              <w:t xml:space="preserve">, </w:t>
            </w:r>
            <w:r>
              <w:rPr>
                <w:rFonts w:hint="default" w:ascii="Times New Roman" w:hAnsi="Times New Roman" w:cs="Times New Roman"/>
                <w:sz w:val="18"/>
                <w:szCs w:val="18"/>
              </w:rPr>
              <w:t>Forouzan et al., 2018)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Mup22（major urinary protein 22）</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7.46</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Ngp(</w:t>
            </w:r>
            <w:r>
              <w:rPr>
                <w:rFonts w:hint="default" w:ascii="Times New Roman" w:hAnsi="Times New Roman" w:eastAsia="Segoe UI" w:cs="Times New Roman"/>
                <w:sz w:val="18"/>
                <w:szCs w:val="18"/>
                <w:shd w:val="clear" w:color="auto" w:fill="FFFFFF"/>
              </w:rPr>
              <w:t> neutrophilic granule protein</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-1.72</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Mup19（major urinary protein 19）</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7.45</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Cnr1(</w:t>
            </w:r>
            <w:r>
              <w:rPr>
                <w:rFonts w:hint="default" w:ascii="Times New Roman" w:hAnsi="Times New Roman" w:eastAsia="Segoe UI" w:cs="Times New Roman"/>
                <w:sz w:val="18"/>
                <w:szCs w:val="18"/>
                <w:shd w:val="clear" w:color="auto" w:fill="FFFFFF"/>
              </w:rPr>
              <w:t> cannabinoid receptor 1</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-2.37</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Mup11（major urinary protein 11）</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6.73</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Mrpl35(</w:t>
            </w:r>
            <w:r>
              <w:rPr>
                <w:rFonts w:hint="default" w:ascii="Times New Roman" w:hAnsi="Times New Roman" w:eastAsia="Segoe UI" w:cs="Times New Roman"/>
                <w:sz w:val="18"/>
                <w:szCs w:val="18"/>
                <w:shd w:val="clear" w:color="auto" w:fill="FFFFFF"/>
              </w:rPr>
              <w:t>mitochondrial ribosomal protein L35</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-0.52</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Mup14（major urinary protein14）</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6.70</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Fam234b(</w:t>
            </w:r>
            <w:r>
              <w:rPr>
                <w:rFonts w:hint="default" w:ascii="Times New Roman" w:hAnsi="Times New Roman" w:eastAsia="Segoe UI" w:cs="Times New Roman"/>
                <w:sz w:val="18"/>
                <w:szCs w:val="18"/>
                <w:shd w:val="clear" w:color="auto" w:fill="FFFFFF"/>
              </w:rPr>
              <w:t>family with sequence similarity 234, member B</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-0.52</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Mup15（major urinary protein 15）</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5.97</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Nnat(</w:t>
            </w:r>
            <w:r>
              <w:rPr>
                <w:rFonts w:hint="default" w:ascii="Times New Roman" w:hAnsi="Times New Roman" w:eastAsia="Segoe UI" w:cs="Times New Roman"/>
                <w:sz w:val="18"/>
                <w:szCs w:val="18"/>
                <w:shd w:val="clear" w:color="auto" w:fill="FFFFFF"/>
              </w:rPr>
              <w:t>neuronatin</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-0.52</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t>
            </w:r>
            <w:r>
              <w:rPr>
                <w:rStyle w:val="22"/>
                <w:rFonts w:hint="default" w:ascii="Times New Roman" w:hAnsi="Times New Roman" w:cs="Times New Roman"/>
                <w:b w:val="0"/>
                <w:sz w:val="18"/>
                <w:szCs w:val="18"/>
              </w:rPr>
              <w:t>(Chen et al., 2010)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Mup10（major urinary protein10）</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3.84</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Alkal2(</w:t>
            </w:r>
            <w:r>
              <w:rPr>
                <w:rFonts w:hint="default" w:ascii="Times New Roman" w:hAnsi="Times New Roman" w:eastAsia="Segoe UI" w:cs="Times New Roman"/>
                <w:sz w:val="18"/>
                <w:szCs w:val="18"/>
                <w:shd w:val="clear" w:color="auto" w:fill="FFFFFF"/>
              </w:rPr>
              <w:t>ALK and LTK ligand 2</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-0.58</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Mup20（major urinary protein 20）</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2.74</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Vgf</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-0.61</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t>
            </w:r>
            <w:r>
              <w:rPr>
                <w:rStyle w:val="22"/>
                <w:rFonts w:hint="default" w:ascii="Times New Roman" w:hAnsi="Times New Roman" w:cs="Times New Roman"/>
                <w:b w:val="0"/>
                <w:sz w:val="18"/>
                <w:szCs w:val="18"/>
              </w:rPr>
              <w:t>(Fairbanks et al., 2014</w:t>
            </w:r>
            <w:r>
              <w:rPr>
                <w:rStyle w:val="22"/>
                <w:rFonts w:hint="default" w:ascii="Times New Roman" w:hAnsi="Times New Roman" w:cs="Times New Roman"/>
                <w:b w:val="0"/>
                <w:sz w:val="18"/>
                <w:szCs w:val="18"/>
                <w:lang w:val="en-US" w:eastAsia="zh-CN"/>
              </w:rPr>
              <w:t xml:space="preserve">, </w:t>
            </w:r>
            <w:r>
              <w:rPr>
                <w:rFonts w:hint="default" w:ascii="Times New Roman" w:hAnsi="Times New Roman" w:cs="Times New Roman"/>
                <w:sz w:val="18"/>
                <w:szCs w:val="18"/>
              </w:rPr>
              <w:t>Rizzi et al., 2008)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Serpina1b（serine (or cysteine) preptidase inhibitor, clade A, member 1B）</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5.89</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Sting1(</w:t>
            </w:r>
            <w:r>
              <w:rPr>
                <w:rFonts w:hint="default" w:ascii="Times New Roman" w:hAnsi="Times New Roman" w:eastAsia="Segoe UI" w:cs="Times New Roman"/>
                <w:sz w:val="18"/>
                <w:szCs w:val="18"/>
                <w:shd w:val="clear" w:color="auto" w:fill="FFFFFF"/>
              </w:rPr>
              <w:t>stimulator of interferon response cGAMP interactor 1</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-0.85</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t>
            </w:r>
            <w:r>
              <w:rPr>
                <w:rStyle w:val="22"/>
                <w:rFonts w:hint="default" w:ascii="Times New Roman" w:hAnsi="Times New Roman" w:cs="Times New Roman"/>
                <w:b w:val="0"/>
                <w:sz w:val="18"/>
                <w:szCs w:val="18"/>
              </w:rPr>
              <w:t>(Donnelly et al., 2021</w:t>
            </w:r>
            <w:r>
              <w:rPr>
                <w:rStyle w:val="22"/>
                <w:rFonts w:hint="default" w:ascii="Times New Roman" w:hAnsi="Times New Roman" w:cs="Times New Roman"/>
                <w:b w:val="0"/>
                <w:sz w:val="18"/>
                <w:szCs w:val="18"/>
                <w:lang w:val="en-US" w:eastAsia="zh-CN"/>
              </w:rPr>
              <w:t xml:space="preserve">, </w:t>
            </w:r>
            <w:r>
              <w:rPr>
                <w:rFonts w:hint="default" w:ascii="Times New Roman" w:hAnsi="Times New Roman" w:cs="Times New Roman"/>
                <w:sz w:val="18"/>
                <w:szCs w:val="18"/>
              </w:rPr>
              <w:t>Wang et al., 2021a)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Serpina1c（serine (or cysteine) peptidase inhibitor, clade A, member 1C）</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5.82</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Tmem267(</w:t>
            </w:r>
            <w:r>
              <w:rPr>
                <w:rFonts w:hint="default" w:ascii="Times New Roman" w:hAnsi="Times New Roman" w:eastAsia="Segoe UI" w:cs="Times New Roman"/>
                <w:sz w:val="18"/>
                <w:szCs w:val="18"/>
                <w:shd w:val="clear" w:color="auto" w:fill="FFFFFF"/>
              </w:rPr>
              <w:t>transmembrane protein 267</w:t>
            </w:r>
            <w:r>
              <w:rPr>
                <w:rFonts w:hint="default" w:ascii="Times New Roman" w:hAnsi="Times New Roman" w:cs="Times New Roman"/>
                <w:color w:val="000000"/>
                <w:sz w:val="18"/>
                <w:szCs w:val="18"/>
              </w:rPr>
              <w:t>)</w:t>
            </w:r>
          </w:p>
        </w:tc>
        <w:tc>
          <w:tcPr>
            <w:tcW w:w="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-0.78</w:t>
            </w: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Serpina1a（serine (or cysteine) peptidase inhibitor, clade A, member 1a）</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5.41</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kern w:val="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kern w:val="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Serpina3k（serine (or cysteine) peptidase inhibitor, clade A, member 3k）</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4.01</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Serpina1d（serine (or cysteine) peptidase inhibitor, clade A, member 1d）</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6.14</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Pzp(</w:t>
            </w:r>
            <w:r>
              <w:rPr>
                <w:rFonts w:hint="default" w:ascii="Times New Roman" w:hAnsi="Times New Roman" w:eastAsia="Segoe UI" w:cs="Times New Roman"/>
                <w:sz w:val="18"/>
                <w:szCs w:val="18"/>
                <w:shd w:val="clear" w:color="auto" w:fill="FFFFFF"/>
              </w:rPr>
              <w:t>alpha-2-macroglobulin like</w:t>
            </w:r>
            <w:r>
              <w:rPr>
                <w:rFonts w:hint="default" w:ascii="Times New Roman" w:hAnsi="Times New Roman" w:cs="Times New Roman"/>
                <w:color w:val="000000"/>
                <w:sz w:val="18"/>
                <w:szCs w:val="18"/>
              </w:rPr>
              <w:t xml:space="preserve">) </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5.80</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t>
            </w: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A</w:t>
            </w:r>
            <w:r>
              <w:rPr>
                <w:rFonts w:hint="default" w:ascii="Times New Roman" w:hAnsi="Times New Roman" w:cs="Times New Roman"/>
                <w:sz w:val="18"/>
                <w:szCs w:val="18"/>
              </w:rPr>
              <w:t>lb(</w:t>
            </w:r>
            <w:r>
              <w:rPr>
                <w:rFonts w:hint="default" w:ascii="Times New Roman" w:hAnsi="Times New Roman" w:eastAsia="Segoe UI" w:cs="Times New Roman"/>
                <w:sz w:val="18"/>
                <w:szCs w:val="18"/>
                <w:shd w:val="clear" w:color="auto" w:fill="FFFFFF"/>
              </w:rPr>
              <w:t>albumin</w:t>
            </w:r>
            <w:r>
              <w:rPr>
                <w:rFonts w:hint="default" w:ascii="Times New Roman" w:hAnsi="Times New Roman" w:cs="Times New Roman"/>
                <w:sz w:val="18"/>
                <w:szCs w:val="18"/>
              </w:rPr>
              <w:t>)</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7.52</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t>
            </w:r>
            <w:r>
              <w:rPr>
                <w:rStyle w:val="22"/>
                <w:rFonts w:hint="default" w:ascii="Times New Roman" w:hAnsi="Times New Roman" w:cs="Times New Roman"/>
                <w:b w:val="0"/>
                <w:sz w:val="18"/>
                <w:szCs w:val="18"/>
              </w:rPr>
              <w:t>(Vincenzetti et al., 2019)</w:t>
            </w: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Ahsg(</w:t>
            </w:r>
            <w:r>
              <w:rPr>
                <w:rFonts w:hint="default" w:ascii="Times New Roman" w:hAnsi="Times New Roman" w:eastAsia="Segoe UI" w:cs="Times New Roman"/>
                <w:sz w:val="18"/>
                <w:szCs w:val="18"/>
                <w:shd w:val="clear" w:color="auto" w:fill="FFFFFF"/>
              </w:rPr>
              <w:t> alpha-2-HS-glycoprotein</w:t>
            </w:r>
            <w:r>
              <w:rPr>
                <w:rFonts w:hint="default" w:ascii="Times New Roman" w:hAnsi="Times New Roman" w:cs="Times New Roman"/>
                <w:color w:val="000000"/>
                <w:sz w:val="18"/>
                <w:szCs w:val="18"/>
              </w:rPr>
              <w:t>)</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6.31</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Ces1d(</w:t>
            </w:r>
            <w:r>
              <w:rPr>
                <w:rFonts w:hint="default" w:ascii="Times New Roman" w:hAnsi="Times New Roman" w:eastAsia="Segoe UI" w:cs="Times New Roman"/>
                <w:sz w:val="18"/>
                <w:szCs w:val="18"/>
                <w:shd w:val="clear" w:color="auto" w:fill="FFFFFF"/>
              </w:rPr>
              <w:t>carboxylesterase 1D</w:t>
            </w:r>
            <w:r>
              <w:rPr>
                <w:rFonts w:hint="default" w:ascii="Times New Roman" w:hAnsi="Times New Roman" w:cs="Times New Roman"/>
                <w:color w:val="000000"/>
                <w:sz w:val="18"/>
                <w:szCs w:val="18"/>
              </w:rPr>
              <w:t>)</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5.94</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Apoa1(</w:t>
            </w:r>
            <w:r>
              <w:rPr>
                <w:rFonts w:hint="default" w:ascii="Times New Roman" w:hAnsi="Times New Roman" w:eastAsia="Segoe UI" w:cs="Times New Roman"/>
                <w:sz w:val="18"/>
                <w:szCs w:val="18"/>
                <w:shd w:val="clear" w:color="auto" w:fill="FFFFFF"/>
              </w:rPr>
              <w:t>apolipoprotein A-I</w:t>
            </w:r>
            <w:r>
              <w:rPr>
                <w:rFonts w:hint="default" w:ascii="Times New Roman" w:hAnsi="Times New Roman" w:cs="Times New Roman"/>
                <w:color w:val="000000"/>
                <w:sz w:val="18"/>
                <w:szCs w:val="18"/>
              </w:rPr>
              <w:t>)</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4.72</w:t>
            </w:r>
          </w:p>
        </w:tc>
        <w:tc>
          <w:tcPr>
            <w:tcW w:w="985" w:type="dxa"/>
            <w:tcBorders>
              <w:tl2br w:val="nil"/>
              <w:tr2bl w:val="nil"/>
            </w:tcBorders>
            <w:shd w:val="clear" w:color="auto" w:fill="auto"/>
          </w:tcPr>
          <w:p>
            <w:pPr>
              <w:widowControl/>
              <w:jc w:val="left"/>
              <w:rPr>
                <w:rStyle w:val="22"/>
                <w:rFonts w:hint="default" w:ascii="Times New Roman" w:hAnsi="Times New Roman" w:cs="Times New Roman"/>
                <w:b w:val="0"/>
                <w:sz w:val="18"/>
                <w:szCs w:val="18"/>
              </w:rPr>
            </w:pPr>
            <w:r>
              <w:rPr>
                <w:rFonts w:hint="default" w:ascii="Times New Roman" w:hAnsi="Times New Roman" w:cs="Times New Roman"/>
                <w:color w:val="000000"/>
                <w:sz w:val="18"/>
                <w:szCs w:val="18"/>
              </w:rPr>
              <w:t>*</w:t>
            </w:r>
            <w:r>
              <w:rPr>
                <w:rStyle w:val="22"/>
                <w:rFonts w:hint="default" w:ascii="Times New Roman" w:hAnsi="Times New Roman" w:cs="Times New Roman"/>
                <w:b w:val="0"/>
                <w:sz w:val="18"/>
                <w:szCs w:val="18"/>
              </w:rPr>
              <w:t>(Bellei et al., 2017</w:t>
            </w:r>
            <w:r>
              <w:rPr>
                <w:rStyle w:val="22"/>
                <w:rFonts w:hint="default" w:ascii="Times New Roman" w:hAnsi="Times New Roman" w:cs="Times New Roman"/>
                <w:b w:val="0"/>
                <w:sz w:val="18"/>
                <w:szCs w:val="18"/>
                <w:lang w:val="en-US" w:eastAsia="zh-CN"/>
              </w:rPr>
              <w:t xml:space="preserve">, </w:t>
            </w:r>
            <w:r>
              <w:rPr>
                <w:rFonts w:hint="default" w:ascii="Times New Roman" w:hAnsi="Times New Roman" w:cs="Times New Roman"/>
                <w:sz w:val="18"/>
                <w:szCs w:val="18"/>
              </w:rPr>
              <w:t>Oehler et al., 2020b</w:t>
            </w:r>
            <w:r>
              <w:rPr>
                <w:rFonts w:hint="default" w:ascii="Times New Roman" w:hAnsi="Times New Roman" w:eastAsia="宋体" w:cs="Times New Roman"/>
                <w:sz w:val="18"/>
                <w:szCs w:val="18"/>
                <w:lang w:val="en-US" w:eastAsia="zh-CN"/>
              </w:rPr>
              <w:t xml:space="preserve">, </w:t>
            </w:r>
            <w:r>
              <w:rPr>
                <w:rStyle w:val="22"/>
                <w:rFonts w:hint="default" w:ascii="Times New Roman" w:hAnsi="Times New Roman" w:cs="Times New Roman"/>
                <w:b w:val="0"/>
                <w:sz w:val="18"/>
                <w:szCs w:val="18"/>
              </w:rPr>
              <w:t>Oehler et al., 2020a</w:t>
            </w:r>
            <w:r>
              <w:rPr>
                <w:rStyle w:val="22"/>
                <w:rFonts w:hint="default" w:ascii="Times New Roman" w:hAnsi="Times New Roman" w:cs="Times New Roman"/>
                <w:b w:val="0"/>
                <w:sz w:val="18"/>
                <w:szCs w:val="18"/>
                <w:lang w:val="en-US" w:eastAsia="zh-CN"/>
              </w:rPr>
              <w:t xml:space="preserve">, </w:t>
            </w:r>
            <w:r>
              <w:rPr>
                <w:rStyle w:val="22"/>
                <w:rFonts w:hint="default" w:ascii="Times New Roman" w:hAnsi="Times New Roman" w:cs="Times New Roman"/>
                <w:b w:val="0"/>
                <w:sz w:val="18"/>
                <w:szCs w:val="18"/>
              </w:rPr>
              <w:t>Chen et al., 2020)</w:t>
            </w: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Wdfy1(</w:t>
            </w:r>
            <w:r>
              <w:rPr>
                <w:rFonts w:hint="default" w:ascii="Times New Roman" w:hAnsi="Times New Roman" w:eastAsia="Segoe UI" w:cs="Times New Roman"/>
                <w:sz w:val="18"/>
                <w:szCs w:val="18"/>
                <w:shd w:val="clear" w:color="auto" w:fill="FFFFFF"/>
              </w:rPr>
              <w:t> WD repeat and FYVE domain containing 1</w:t>
            </w:r>
            <w:r>
              <w:rPr>
                <w:rFonts w:hint="default" w:ascii="Times New Roman" w:hAnsi="Times New Roman" w:cs="Times New Roman"/>
                <w:color w:val="000000"/>
                <w:sz w:val="18"/>
                <w:szCs w:val="18"/>
              </w:rPr>
              <w:t>)</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sz w:val="18"/>
                <w:szCs w:val="18"/>
              </w:rPr>
            </w:pPr>
            <w:r>
              <w:rPr>
                <w:rFonts w:hint="default" w:ascii="Times New Roman" w:hAnsi="Times New Roman" w:cs="Times New Roman"/>
                <w:color w:val="000000"/>
                <w:sz w:val="18"/>
                <w:szCs w:val="18"/>
              </w:rPr>
              <w:t>1.56</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Tsfm(</w:t>
            </w:r>
            <w:r>
              <w:rPr>
                <w:rFonts w:hint="default" w:ascii="Times New Roman" w:hAnsi="Times New Roman" w:eastAsia="Segoe UI" w:cs="Times New Roman"/>
                <w:sz w:val="18"/>
                <w:szCs w:val="18"/>
                <w:shd w:val="clear" w:color="auto" w:fill="FFFFFF"/>
              </w:rPr>
              <w:t>Ts translation elongation factor, mitochondrial</w:t>
            </w:r>
            <w:r>
              <w:rPr>
                <w:rFonts w:hint="default" w:ascii="Times New Roman" w:hAnsi="Times New Roman" w:cs="Times New Roman"/>
                <w:color w:val="000000"/>
                <w:sz w:val="18"/>
                <w:szCs w:val="18"/>
              </w:rPr>
              <w:t>)</w:t>
            </w:r>
          </w:p>
        </w:tc>
        <w:tc>
          <w:tcPr>
            <w:tcW w:w="506" w:type="dxa"/>
            <w:tcBorders>
              <w:tl2br w:val="nil"/>
              <w:tr2bl w:val="nil"/>
            </w:tcBorders>
            <w:shd w:val="clear" w:color="auto" w:fill="auto"/>
          </w:tcPr>
          <w:p>
            <w:pPr>
              <w:pStyle w:val="16"/>
              <w:widowControl/>
              <w:spacing w:beforeAutospacing="0" w:afterAutospacing="0"/>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1.27</w:t>
            </w:r>
          </w:p>
        </w:tc>
        <w:tc>
          <w:tcPr>
            <w:tcW w:w="985"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w:t>
            </w:r>
            <w:r>
              <w:rPr>
                <w:rStyle w:val="22"/>
                <w:rFonts w:hint="default" w:ascii="Times New Roman" w:hAnsi="Times New Roman" w:cs="Times New Roman"/>
                <w:b w:val="0"/>
                <w:sz w:val="18"/>
                <w:szCs w:val="18"/>
              </w:rPr>
              <w:t>(Traschütz et al., 2019)</w:t>
            </w:r>
          </w:p>
        </w:tc>
        <w:tc>
          <w:tcPr>
            <w:tcW w:w="240"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2072"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541"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c>
          <w:tcPr>
            <w:tcW w:w="994" w:type="dxa"/>
            <w:tcBorders>
              <w:tl2br w:val="nil"/>
              <w:tr2bl w:val="nil"/>
            </w:tcBorders>
            <w:shd w:val="clear" w:color="auto" w:fill="auto"/>
          </w:tcPr>
          <w:p>
            <w:pPr>
              <w:widowControl/>
              <w:jc w:val="left"/>
              <w:rPr>
                <w:rFonts w:hint="default" w:ascii="Times New Roman" w:hAnsi="Times New Roman" w:cs="Times New Roman"/>
                <w:color w:val="000000"/>
                <w:sz w:val="18"/>
                <w:szCs w:val="18"/>
              </w:rPr>
            </w:pPr>
          </w:p>
        </w:tc>
      </w:tr>
    </w:tbl>
    <w:p>
      <w:pPr>
        <w:widowControl/>
        <w:jc w:val="left"/>
        <w:rPr>
          <w:rFonts w:ascii="Times New Roman" w:hAnsi="Times New Roman"/>
          <w:color w:val="000000"/>
          <w:sz w:val="24"/>
        </w:rPr>
      </w:pPr>
      <w:r>
        <w:rPr>
          <w:rFonts w:ascii="Times New Roman" w:hAnsi="Times New Roman"/>
          <w:color w:val="000000"/>
          <w:sz w:val="24"/>
        </w:rPr>
        <w:t>*</w:t>
      </w:r>
      <w:r>
        <w:rPr>
          <w:rFonts w:ascii="Times New Roman" w:hAnsi="Times New Roman"/>
          <w:sz w:val="24"/>
        </w:rPr>
        <w:t>This gene is related to pain;</w:t>
      </w:r>
      <w:r>
        <w:rPr>
          <w:rFonts w:hint="eastAsia" w:ascii="Times New Roman" w:hAnsi="Times New Roman"/>
          <w:sz w:val="24"/>
        </w:rPr>
        <w:t xml:space="preserve"> </w:t>
      </w:r>
      <w:r>
        <w:rPr>
          <w:rFonts w:ascii="Times New Roman" w:hAnsi="Times New Roman"/>
          <w:sz w:val="24"/>
        </w:rPr>
        <w:t>#This gene is related to inflammation.</w:t>
      </w:r>
    </w:p>
    <w:p>
      <w:pPr>
        <w:widowControl/>
        <w:jc w:val="left"/>
        <w:rPr>
          <w:rFonts w:ascii="Times New Roman" w:hAnsi="Times New Roman"/>
          <w:color w:val="000000"/>
          <w:sz w:val="24"/>
        </w:rPr>
      </w:pPr>
    </w:p>
    <w:p>
      <w:pPr>
        <w:pStyle w:val="2"/>
        <w:numPr>
          <w:ilvl w:val="0"/>
          <w:numId w:val="0"/>
        </w:numPr>
        <w:ind w:leftChars="0"/>
        <w:rPr>
          <w:rFonts w:ascii="Times New Roman" w:hAnsi="Times New Roman"/>
          <w:color w:val="000000"/>
          <w:sz w:val="24"/>
        </w:rPr>
      </w:pPr>
      <w:r>
        <w:t>Supplementary  Table</w:t>
      </w:r>
      <w:r>
        <w:rPr>
          <w:rFonts w:hint="eastAsia" w:eastAsia="宋体"/>
          <w:lang w:val="en-US" w:eastAsia="zh-CN"/>
        </w:rPr>
        <w:t xml:space="preserve"> 5</w:t>
      </w:r>
      <w:r>
        <w:rPr>
          <w:rFonts w:hint="eastAsia" w:ascii="Times New Roman" w:hAnsi="Times New Roman"/>
          <w:color w:val="000000"/>
          <w:sz w:val="24"/>
        </w:rPr>
        <w:t xml:space="preserve"> </w:t>
      </w:r>
      <w:r>
        <w:rPr>
          <w:rFonts w:ascii="Times New Roman" w:hAnsi="Times New Roman" w:eastAsia="AdvOT5fcf1b24"/>
          <w:color w:val="000000"/>
          <w:kern w:val="0"/>
          <w:sz w:val="24"/>
          <w:lang w:bidi="ar"/>
        </w:rPr>
        <w:t xml:space="preserve">The detailed information of the top 20 up-regulated and 20 down-regulated mRNAs in the </w:t>
      </w:r>
      <w:r>
        <w:rPr>
          <w:rFonts w:hint="eastAsia" w:ascii="Times New Roman" w:hAnsi="Times New Roman" w:eastAsia="AdvOT5fcf1b24"/>
          <w:color w:val="000000"/>
          <w:kern w:val="0"/>
          <w:sz w:val="24"/>
          <w:lang w:bidi="ar"/>
        </w:rPr>
        <w:t>late</w:t>
      </w:r>
      <w:r>
        <w:rPr>
          <w:rFonts w:ascii="Times New Roman" w:hAnsi="Times New Roman" w:eastAsia="AdvOT5fcf1b24"/>
          <w:color w:val="000000"/>
          <w:kern w:val="0"/>
          <w:sz w:val="24"/>
          <w:lang w:bidi="ar"/>
        </w:rPr>
        <w:t xml:space="preserve"> phase</w:t>
      </w:r>
      <w:r>
        <w:rPr>
          <w:rFonts w:hint="eastAsia" w:ascii="Times New Roman" w:hAnsi="Times New Roman" w:eastAsia="AdvOT5fcf1b24"/>
          <w:color w:val="000000"/>
          <w:kern w:val="0"/>
          <w:sz w:val="24"/>
          <w:lang w:bidi="ar"/>
        </w:rPr>
        <w:t xml:space="preserve"> of CB1R knockdown</w:t>
      </w:r>
      <w:r>
        <w:rPr>
          <w:rFonts w:ascii="Times New Roman" w:hAnsi="Times New Roman" w:eastAsia="AdvOT5fcf1b24"/>
          <w:color w:val="000000"/>
          <w:kern w:val="0"/>
          <w:sz w:val="24"/>
          <w:lang w:bidi="ar"/>
        </w:rPr>
        <w:t xml:space="preserve"> </w:t>
      </w:r>
      <w:r>
        <w:rPr>
          <w:rFonts w:hint="eastAsia" w:ascii="Times New Roman" w:hAnsi="Times New Roman" w:eastAsia="AdvOT5fcf1b24"/>
          <w:color w:val="000000"/>
          <w:kern w:val="0"/>
          <w:sz w:val="24"/>
          <w:lang w:bidi="ar"/>
        </w:rPr>
        <w:t>(</w:t>
      </w:r>
      <w:r>
        <w:rPr>
          <w:rFonts w:ascii="Times New Roman" w:hAnsi="Times New Roman" w:eastAsia="AdvOT5fcf1b24"/>
          <w:color w:val="000000"/>
          <w:kern w:val="0"/>
          <w:sz w:val="24"/>
          <w:lang w:bidi="ar"/>
        </w:rPr>
        <w:t>WT</w:t>
      </w:r>
      <w:r>
        <w:rPr>
          <w:rFonts w:hint="eastAsia" w:ascii="Times New Roman" w:hAnsi="Times New Roman" w:eastAsia="AdvOT5fcf1b24"/>
          <w:color w:val="000000"/>
          <w:kern w:val="0"/>
          <w:sz w:val="24"/>
          <w:lang w:bidi="ar"/>
        </w:rPr>
        <w:t>28</w:t>
      </w:r>
      <w:r>
        <w:rPr>
          <w:rFonts w:ascii="Times New Roman" w:hAnsi="Times New Roman" w:eastAsia="AdvOT5fcf1b24"/>
          <w:color w:val="000000"/>
          <w:kern w:val="0"/>
          <w:sz w:val="24"/>
          <w:lang w:bidi="ar"/>
        </w:rPr>
        <w:t xml:space="preserve"> vs CB1cKO</w:t>
      </w:r>
      <w:r>
        <w:rPr>
          <w:rFonts w:hint="eastAsia" w:ascii="Times New Roman" w:hAnsi="Times New Roman" w:eastAsia="AdvOT5fcf1b24"/>
          <w:color w:val="000000"/>
          <w:kern w:val="0"/>
          <w:sz w:val="24"/>
          <w:lang w:bidi="ar"/>
        </w:rPr>
        <w:t>28)</w:t>
      </w:r>
      <w:r>
        <w:rPr>
          <w:rFonts w:ascii="Times New Roman" w:hAnsi="Times New Roman" w:eastAsia="AdvOT5fcf1b24"/>
          <w:color w:val="000000"/>
          <w:kern w:val="0"/>
          <w:sz w:val="24"/>
          <w:lang w:bidi="ar"/>
        </w:rPr>
        <w:t>.</w:t>
      </w:r>
    </w:p>
    <w:tbl>
      <w:tblPr>
        <w:tblStyle w:val="19"/>
        <w:tblW w:w="7879" w:type="dxa"/>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41"/>
        <w:gridCol w:w="506"/>
        <w:gridCol w:w="985"/>
        <w:gridCol w:w="240"/>
        <w:gridCol w:w="2051"/>
        <w:gridCol w:w="562"/>
        <w:gridCol w:w="994"/>
      </w:tblGrid>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gridSpan w:val="3"/>
            <w:tcBorders>
              <w:bottom w:val="single" w:color="000000" w:sz="8" w:space="0"/>
            </w:tcBorders>
            <w:shd w:val="clear" w:color="auto" w:fill="auto"/>
          </w:tcPr>
          <w:p>
            <w:pPr>
              <w:pStyle w:val="16"/>
              <w:widowControl/>
              <w:spacing w:beforeAutospacing="0" w:afterAutospacing="0"/>
              <w:jc w:val="center"/>
              <w:rPr>
                <w:rFonts w:ascii="Times New Roman" w:hAnsi="Times New Roman"/>
                <w:color w:val="000000"/>
                <w:sz w:val="16"/>
                <w:szCs w:val="16"/>
              </w:rPr>
            </w:pPr>
            <w:r>
              <w:rPr>
                <w:rFonts w:ascii="Times New Roman" w:hAnsi="Times New Roman"/>
                <w:color w:val="000000"/>
                <w:sz w:val="16"/>
                <w:szCs w:val="16"/>
              </w:rPr>
              <w:t>Up-regulated genes</w:t>
            </w:r>
          </w:p>
        </w:tc>
        <w:tc>
          <w:tcPr>
            <w:tcW w:w="240" w:type="dxa"/>
            <w:tcBorders>
              <w:bottom w:val="nil"/>
              <w:tl2br w:val="nil"/>
              <w:tr2bl w:val="nil"/>
            </w:tcBorders>
            <w:shd w:val="clear" w:color="auto" w:fill="auto"/>
          </w:tcPr>
          <w:p>
            <w:pPr>
              <w:widowControl/>
              <w:jc w:val="left"/>
              <w:rPr>
                <w:rFonts w:ascii="Times New Roman" w:hAnsi="Times New Roman"/>
                <w:color w:val="000000"/>
                <w:sz w:val="16"/>
                <w:szCs w:val="16"/>
              </w:rPr>
            </w:pPr>
          </w:p>
        </w:tc>
        <w:tc>
          <w:tcPr>
            <w:tcW w:w="3607" w:type="dxa"/>
            <w:gridSpan w:val="3"/>
            <w:tcBorders>
              <w:bottom w:val="single" w:color="000000" w:sz="8" w:space="0"/>
            </w:tcBorders>
            <w:shd w:val="clear" w:color="auto" w:fill="auto"/>
          </w:tcPr>
          <w:p>
            <w:pPr>
              <w:pStyle w:val="16"/>
              <w:widowControl/>
              <w:spacing w:beforeAutospacing="0" w:afterAutospacing="0"/>
              <w:jc w:val="center"/>
              <w:rPr>
                <w:rFonts w:ascii="Times New Roman" w:hAnsi="Times New Roman"/>
                <w:color w:val="000000"/>
                <w:sz w:val="16"/>
                <w:szCs w:val="16"/>
              </w:rPr>
            </w:pPr>
            <w:r>
              <w:rPr>
                <w:rFonts w:ascii="Times New Roman" w:hAnsi="Times New Roman"/>
                <w:color w:val="000000"/>
                <w:sz w:val="16"/>
                <w:szCs w:val="16"/>
              </w:rPr>
              <w:t>Down-regulated genes</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op w:val="single" w:color="000000" w:sz="8" w:space="0"/>
              <w:bottom w:val="single" w:color="auto" w:sz="4" w:space="0"/>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Gene name/</w:t>
            </w:r>
            <w:r>
              <w:rPr>
                <w:rFonts w:ascii="Times New Roman" w:hAnsi="Times New Roman"/>
                <w:color w:val="000000"/>
                <w:sz w:val="16"/>
                <w:szCs w:val="16"/>
                <w:lang w:bidi="ar"/>
              </w:rPr>
              <w:t>Gene Description</w:t>
            </w:r>
          </w:p>
          <w:p>
            <w:pPr>
              <w:pStyle w:val="16"/>
              <w:widowControl/>
              <w:spacing w:beforeAutospacing="0" w:afterAutospacing="0"/>
              <w:jc w:val="center"/>
              <w:rPr>
                <w:rFonts w:ascii="Times New Roman" w:hAnsi="Times New Roman"/>
                <w:sz w:val="16"/>
                <w:szCs w:val="16"/>
              </w:rPr>
            </w:pPr>
          </w:p>
        </w:tc>
        <w:tc>
          <w:tcPr>
            <w:tcW w:w="506" w:type="dxa"/>
            <w:tcBorders>
              <w:top w:val="single" w:color="000000" w:sz="8" w:space="0"/>
              <w:bottom w:val="single" w:color="auto" w:sz="4" w:space="0"/>
            </w:tcBorders>
            <w:shd w:val="clear" w:color="auto" w:fill="auto"/>
          </w:tcPr>
          <w:p>
            <w:pPr>
              <w:pStyle w:val="16"/>
              <w:widowControl/>
              <w:spacing w:beforeAutospacing="0" w:afterAutospacing="0"/>
              <w:jc w:val="center"/>
              <w:rPr>
                <w:rFonts w:ascii="Times New Roman" w:hAnsi="Times New Roman"/>
                <w:sz w:val="16"/>
                <w:szCs w:val="16"/>
              </w:rPr>
            </w:pPr>
            <w:r>
              <w:rPr>
                <w:rFonts w:ascii="Times New Roman" w:hAnsi="Times New Roman"/>
                <w:color w:val="000000"/>
                <w:sz w:val="16"/>
                <w:szCs w:val="16"/>
              </w:rPr>
              <w:t>log2</w:t>
            </w:r>
          </w:p>
        </w:tc>
        <w:tc>
          <w:tcPr>
            <w:tcW w:w="985" w:type="dxa"/>
            <w:tcBorders>
              <w:top w:val="single" w:color="000000" w:sz="8" w:space="0"/>
              <w:bottom w:val="single" w:color="auto" w:sz="4" w:space="0"/>
            </w:tcBorders>
            <w:shd w:val="clear" w:color="auto" w:fill="auto"/>
          </w:tcPr>
          <w:p>
            <w:pPr>
              <w:widowControl/>
              <w:jc w:val="left"/>
              <w:rPr>
                <w:rFonts w:ascii="Times New Roman" w:hAnsi="Times New Roman"/>
                <w:color w:val="000000"/>
                <w:sz w:val="16"/>
                <w:szCs w:val="16"/>
                <w:lang w:bidi="ar"/>
              </w:rPr>
            </w:pPr>
            <w:r>
              <w:rPr>
                <w:rFonts w:ascii="Times New Roman" w:hAnsi="Times New Roman"/>
                <w:color w:val="000000"/>
                <w:sz w:val="16"/>
                <w:szCs w:val="16"/>
                <w:lang w:bidi="ar"/>
              </w:rPr>
              <w:t xml:space="preserve">Information related to pain </w:t>
            </w:r>
          </w:p>
        </w:tc>
        <w:tc>
          <w:tcPr>
            <w:tcW w:w="240" w:type="dxa"/>
            <w:tcBorders>
              <w:top w:val="nil"/>
              <w:bottom w:val="single" w:color="auto" w:sz="4" w:space="0"/>
            </w:tcBorders>
            <w:shd w:val="clear" w:color="auto" w:fill="auto"/>
          </w:tcPr>
          <w:p>
            <w:pPr>
              <w:widowControl/>
              <w:jc w:val="left"/>
              <w:rPr>
                <w:rFonts w:ascii="Times New Roman" w:hAnsi="Times New Roman"/>
                <w:color w:val="000000"/>
                <w:sz w:val="16"/>
                <w:szCs w:val="16"/>
              </w:rPr>
            </w:pPr>
          </w:p>
        </w:tc>
        <w:tc>
          <w:tcPr>
            <w:tcW w:w="2051" w:type="dxa"/>
            <w:tcBorders>
              <w:top w:val="single" w:color="000000" w:sz="8" w:space="0"/>
              <w:bottom w:val="single" w:color="auto" w:sz="4" w:space="0"/>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Gene name/</w:t>
            </w:r>
            <w:r>
              <w:rPr>
                <w:rFonts w:ascii="Times New Roman" w:hAnsi="Times New Roman"/>
                <w:color w:val="000000"/>
                <w:sz w:val="16"/>
                <w:szCs w:val="16"/>
                <w:lang w:bidi="ar"/>
              </w:rPr>
              <w:t>Gene Description</w:t>
            </w:r>
          </w:p>
          <w:p>
            <w:pPr>
              <w:pStyle w:val="16"/>
              <w:widowControl/>
              <w:spacing w:beforeAutospacing="0" w:afterAutospacing="0"/>
              <w:jc w:val="center"/>
              <w:rPr>
                <w:rFonts w:ascii="Times New Roman" w:hAnsi="Times New Roman"/>
                <w:sz w:val="16"/>
                <w:szCs w:val="16"/>
              </w:rPr>
            </w:pPr>
          </w:p>
        </w:tc>
        <w:tc>
          <w:tcPr>
            <w:tcW w:w="562" w:type="dxa"/>
            <w:tcBorders>
              <w:top w:val="single" w:color="000000" w:sz="8" w:space="0"/>
              <w:bottom w:val="single" w:color="auto" w:sz="4" w:space="0"/>
            </w:tcBorders>
            <w:shd w:val="clear" w:color="auto" w:fill="auto"/>
          </w:tcPr>
          <w:p>
            <w:pPr>
              <w:pStyle w:val="16"/>
              <w:widowControl/>
              <w:spacing w:beforeAutospacing="0" w:afterAutospacing="0"/>
              <w:jc w:val="center"/>
              <w:rPr>
                <w:rFonts w:ascii="Times New Roman" w:hAnsi="Times New Roman"/>
                <w:sz w:val="16"/>
                <w:szCs w:val="16"/>
              </w:rPr>
            </w:pPr>
            <w:r>
              <w:rPr>
                <w:rFonts w:ascii="Times New Roman" w:hAnsi="Times New Roman"/>
                <w:color w:val="000000"/>
                <w:sz w:val="16"/>
                <w:szCs w:val="16"/>
              </w:rPr>
              <w:t>log2</w:t>
            </w:r>
          </w:p>
        </w:tc>
        <w:tc>
          <w:tcPr>
            <w:tcW w:w="994" w:type="dxa"/>
            <w:tcBorders>
              <w:top w:val="single" w:color="000000" w:sz="8" w:space="0"/>
              <w:bottom w:val="single" w:color="auto" w:sz="4" w:space="0"/>
            </w:tcBorders>
            <w:shd w:val="clear" w:color="auto" w:fill="auto"/>
          </w:tcPr>
          <w:p>
            <w:pPr>
              <w:widowControl/>
              <w:jc w:val="left"/>
              <w:rPr>
                <w:rFonts w:ascii="Times New Roman" w:hAnsi="Times New Roman"/>
                <w:color w:val="000000"/>
                <w:sz w:val="16"/>
                <w:szCs w:val="16"/>
                <w:lang w:bidi="ar"/>
              </w:rPr>
            </w:pPr>
            <w:r>
              <w:rPr>
                <w:rFonts w:ascii="Times New Roman" w:hAnsi="Times New Roman"/>
                <w:color w:val="000000"/>
                <w:sz w:val="16"/>
                <w:szCs w:val="16"/>
                <w:lang w:bidi="ar"/>
              </w:rPr>
              <w:t xml:space="preserve">Information related to pain </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op w:val="single" w:color="auto" w:sz="4" w:space="0"/>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Ucn(</w:t>
            </w:r>
            <w:r>
              <w:rPr>
                <w:rFonts w:ascii="Times New Roman" w:hAnsi="Times New Roman" w:eastAsia="Segoe UI"/>
                <w:sz w:val="16"/>
                <w:szCs w:val="16"/>
                <w:shd w:val="clear" w:color="auto" w:fill="FFFFFF"/>
              </w:rPr>
              <w:t> urocortin</w:t>
            </w:r>
            <w:r>
              <w:rPr>
                <w:rFonts w:ascii="Times New Roman" w:hAnsi="Times New Roman"/>
                <w:color w:val="000000"/>
                <w:sz w:val="16"/>
                <w:szCs w:val="16"/>
              </w:rPr>
              <w:t>)</w:t>
            </w:r>
          </w:p>
        </w:tc>
        <w:tc>
          <w:tcPr>
            <w:tcW w:w="506" w:type="dxa"/>
            <w:tcBorders>
              <w:top w:val="single" w:color="auto" w:sz="4" w:space="0"/>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5.98</w:t>
            </w:r>
          </w:p>
        </w:tc>
        <w:tc>
          <w:tcPr>
            <w:tcW w:w="985" w:type="dxa"/>
            <w:tcBorders>
              <w:top w:val="single" w:color="auto" w:sz="4" w:space="0"/>
              <w:tl2br w:val="nil"/>
              <w:tr2bl w:val="nil"/>
            </w:tcBorders>
            <w:shd w:val="clear" w:color="auto" w:fill="auto"/>
          </w:tcPr>
          <w:p>
            <w:pPr>
              <w:widowControl/>
              <w:jc w:val="left"/>
              <w:rPr>
                <w:rFonts w:ascii="Times New Roman" w:hAnsi="Times New Roman"/>
                <w:color w:val="000000"/>
                <w:sz w:val="16"/>
                <w:szCs w:val="16"/>
              </w:rPr>
            </w:pPr>
          </w:p>
        </w:tc>
        <w:tc>
          <w:tcPr>
            <w:tcW w:w="240" w:type="dxa"/>
            <w:tcBorders>
              <w:top w:val="single" w:color="auto" w:sz="4" w:space="0"/>
              <w:tl2br w:val="nil"/>
              <w:tr2bl w:val="nil"/>
            </w:tcBorders>
            <w:shd w:val="clear" w:color="auto" w:fill="auto"/>
          </w:tcPr>
          <w:p>
            <w:pPr>
              <w:widowControl/>
              <w:jc w:val="left"/>
              <w:rPr>
                <w:rFonts w:ascii="Times New Roman" w:hAnsi="Times New Roman"/>
                <w:color w:val="000000"/>
                <w:sz w:val="16"/>
                <w:szCs w:val="16"/>
              </w:rPr>
            </w:pPr>
          </w:p>
        </w:tc>
        <w:tc>
          <w:tcPr>
            <w:tcW w:w="2051" w:type="dxa"/>
            <w:tcBorders>
              <w:top w:val="single" w:color="auto" w:sz="4" w:space="0"/>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Slfn4(</w:t>
            </w:r>
            <w:r>
              <w:rPr>
                <w:rFonts w:ascii="Times New Roman" w:hAnsi="Times New Roman" w:eastAsia="Segoe UI"/>
                <w:sz w:val="16"/>
                <w:szCs w:val="16"/>
                <w:shd w:val="clear" w:color="auto" w:fill="FFFFFF"/>
              </w:rPr>
              <w:t> schlafen 4</w:t>
            </w:r>
            <w:r>
              <w:rPr>
                <w:rFonts w:ascii="Times New Roman" w:hAnsi="Times New Roman"/>
                <w:color w:val="000000"/>
                <w:sz w:val="16"/>
                <w:szCs w:val="16"/>
              </w:rPr>
              <w:t>)</w:t>
            </w:r>
          </w:p>
        </w:tc>
        <w:tc>
          <w:tcPr>
            <w:tcW w:w="562" w:type="dxa"/>
            <w:tcBorders>
              <w:top w:val="single" w:color="auto" w:sz="4" w:space="0"/>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-3.52</w:t>
            </w:r>
          </w:p>
        </w:tc>
        <w:tc>
          <w:tcPr>
            <w:tcW w:w="994" w:type="dxa"/>
            <w:tcBorders>
              <w:top w:val="single" w:color="auto" w:sz="4" w:space="0"/>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Sprr1a(</w:t>
            </w:r>
            <w:r>
              <w:rPr>
                <w:rFonts w:ascii="Times New Roman" w:hAnsi="Times New Roman" w:eastAsia="Segoe UI"/>
                <w:sz w:val="16"/>
                <w:szCs w:val="16"/>
                <w:shd w:val="clear" w:color="auto" w:fill="FFFFFF"/>
              </w:rPr>
              <w:t> small proline-rich protein 1A</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4.70</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(Danaher et al., 2018)</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Ngp(</w:t>
            </w:r>
            <w:r>
              <w:rPr>
                <w:rFonts w:ascii="Times New Roman" w:hAnsi="Times New Roman" w:eastAsia="Segoe UI"/>
                <w:sz w:val="16"/>
                <w:szCs w:val="16"/>
                <w:shd w:val="clear" w:color="auto" w:fill="FFFFFF"/>
              </w:rPr>
              <w:t> neutrophilic granule protein</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-2.56</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Npy（</w:t>
            </w:r>
            <w:r>
              <w:rPr>
                <w:rFonts w:ascii="Times New Roman" w:hAnsi="Times New Roman" w:eastAsia="Segoe UI"/>
                <w:sz w:val="16"/>
                <w:szCs w:val="16"/>
                <w:shd w:val="clear" w:color="auto" w:fill="FFFFFF"/>
              </w:rPr>
              <w:t>neuropeptide Y</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4.33</w:t>
            </w:r>
          </w:p>
        </w:tc>
        <w:tc>
          <w:tcPr>
            <w:tcW w:w="985" w:type="dxa"/>
            <w:tcBorders>
              <w:tl2br w:val="nil"/>
              <w:tr2bl w:val="nil"/>
            </w:tcBorders>
            <w:shd w:val="clear" w:color="auto" w:fill="auto"/>
          </w:tcPr>
          <w:p>
            <w:pPr>
              <w:widowControl/>
              <w:rPr>
                <w:rFonts w:ascii="Times New Roman" w:hAnsi="Times New Roman"/>
                <w:sz w:val="16"/>
                <w:szCs w:val="16"/>
              </w:rPr>
            </w:pPr>
            <w:r>
              <w:rPr>
                <w:rFonts w:ascii="Times New Roman" w:hAnsi="Times New Roman"/>
                <w:color w:val="000000"/>
                <w:sz w:val="16"/>
                <w:szCs w:val="16"/>
              </w:rPr>
              <w:t>*</w:t>
            </w:r>
            <w:r>
              <w:rPr>
                <w:rStyle w:val="22"/>
                <w:rFonts w:ascii="Times New Roman" w:hAnsi="Times New Roman"/>
                <w:b w:val="0"/>
                <w:sz w:val="16"/>
                <w:szCs w:val="16"/>
              </w:rPr>
              <w:t>(Nelson and Taylor, 2021)</w:t>
            </w:r>
            <w:r>
              <w:rPr>
                <w:rStyle w:val="22"/>
                <w:rFonts w:hint="eastAsia" w:ascii="Times New Roman" w:hAnsi="Times New Roman"/>
                <w:b w:val="0"/>
                <w:sz w:val="16"/>
                <w:szCs w:val="16"/>
              </w:rPr>
              <w:t>，</w:t>
            </w:r>
            <w:r>
              <w:rPr>
                <w:rFonts w:ascii="Times New Roman" w:hAnsi="Times New Roman"/>
                <w:sz w:val="16"/>
                <w:szCs w:val="16"/>
              </w:rPr>
              <w:t xml:space="preserve"> </w:t>
            </w:r>
            <w:r>
              <w:rPr>
                <w:rStyle w:val="22"/>
                <w:rFonts w:ascii="Times New Roman" w:hAnsi="Times New Roman"/>
                <w:b w:val="0"/>
                <w:sz w:val="16"/>
                <w:szCs w:val="16"/>
              </w:rPr>
              <w:t>(Alhadeff et al., 2018)</w:t>
            </w:r>
            <w:r>
              <w:rPr>
                <w:rStyle w:val="22"/>
                <w:rFonts w:hint="eastAsia" w:ascii="Times New Roman" w:hAnsi="Times New Roman"/>
                <w:b w:val="0"/>
                <w:sz w:val="16"/>
                <w:szCs w:val="16"/>
              </w:rPr>
              <w:t>，</w:t>
            </w:r>
            <w:r>
              <w:rPr>
                <w:rStyle w:val="22"/>
                <w:rFonts w:ascii="Times New Roman" w:hAnsi="Times New Roman"/>
                <w:b w:val="0"/>
                <w:sz w:val="16"/>
                <w:szCs w:val="16"/>
              </w:rPr>
              <w:t>(Intondi et al., 2008)</w:t>
            </w:r>
          </w:p>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Ly6c2(</w:t>
            </w:r>
            <w:r>
              <w:rPr>
                <w:rFonts w:ascii="Times New Roman" w:hAnsi="Times New Roman" w:eastAsia="Segoe UI"/>
                <w:sz w:val="16"/>
                <w:szCs w:val="16"/>
                <w:shd w:val="clear" w:color="auto" w:fill="FFFFFF"/>
              </w:rPr>
              <w:t>lymphocyte antigen 6 complex, locus C2</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-2.33</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Gm9265(</w:t>
            </w:r>
            <w:r>
              <w:rPr>
                <w:rFonts w:ascii="Times New Roman" w:hAnsi="Times New Roman" w:eastAsia="Segoe UI"/>
                <w:sz w:val="16"/>
                <w:szCs w:val="16"/>
                <w:shd w:val="clear" w:color="auto" w:fill="FFFFFF"/>
              </w:rPr>
              <w:t> predicted gene 9265</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sz w:val="16"/>
                <w:szCs w:val="16"/>
              </w:rPr>
              <w:t>1.66</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Ltf(</w:t>
            </w:r>
            <w:r>
              <w:rPr>
                <w:rFonts w:ascii="Times New Roman" w:hAnsi="Times New Roman" w:eastAsia="Segoe UI"/>
                <w:sz w:val="16"/>
                <w:szCs w:val="16"/>
                <w:shd w:val="clear" w:color="auto" w:fill="FFFFFF"/>
              </w:rPr>
              <w:t> lactotransferrin</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-2.30</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vAlign w:val="center"/>
          </w:tcPr>
          <w:p>
            <w:pPr>
              <w:widowControl/>
              <w:jc w:val="left"/>
              <w:textAlignment w:val="center"/>
              <w:rPr>
                <w:rFonts w:ascii="Times New Roman" w:hAnsi="Times New Roman"/>
                <w:color w:val="000000"/>
                <w:sz w:val="16"/>
                <w:szCs w:val="16"/>
              </w:rPr>
            </w:pPr>
            <w:r>
              <w:rPr>
                <w:rFonts w:ascii="Times New Roman" w:hAnsi="Times New Roman"/>
                <w:color w:val="000000"/>
                <w:kern w:val="0"/>
                <w:sz w:val="16"/>
                <w:szCs w:val="16"/>
                <w:lang w:bidi="ar"/>
              </w:rPr>
              <w:t>Gm42048(</w:t>
            </w:r>
            <w:r>
              <w:rPr>
                <w:rFonts w:ascii="Times New Roman" w:hAnsi="Times New Roman" w:eastAsia="Segoe UI"/>
                <w:sz w:val="16"/>
                <w:szCs w:val="16"/>
                <w:shd w:val="clear" w:color="auto" w:fill="FFFFFF"/>
              </w:rPr>
              <w:t xml:space="preserve"> predicted gene </w:t>
            </w:r>
            <w:r>
              <w:rPr>
                <w:rFonts w:ascii="Times New Roman" w:hAnsi="Times New Roman"/>
                <w:sz w:val="16"/>
                <w:szCs w:val="16"/>
                <w:shd w:val="clear" w:color="auto" w:fill="FFFFFF"/>
              </w:rPr>
              <w:t>42048</w:t>
            </w:r>
            <w:r>
              <w:rPr>
                <w:rFonts w:ascii="Times New Roman" w:hAnsi="Times New Roman"/>
                <w:color w:val="000000"/>
                <w:kern w:val="0"/>
                <w:sz w:val="16"/>
                <w:szCs w:val="16"/>
                <w:lang w:bidi="ar"/>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sz w:val="16"/>
                <w:szCs w:val="16"/>
              </w:rPr>
              <w:t>1.08</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S100a8(</w:t>
            </w:r>
            <w:r>
              <w:rPr>
                <w:rFonts w:ascii="Times New Roman" w:hAnsi="Times New Roman" w:eastAsia="Segoe UI"/>
                <w:sz w:val="16"/>
                <w:szCs w:val="16"/>
                <w:shd w:val="clear" w:color="auto" w:fill="FFFFFF"/>
              </w:rPr>
              <w:t xml:space="preserve"> S100 calcium binding protein A8 </w:t>
            </w:r>
            <w:r>
              <w:rPr>
                <w:rFonts w:ascii="Times New Roman" w:hAnsi="Times New Roman"/>
                <w:sz w:val="16"/>
                <w:szCs w:val="16"/>
                <w:shd w:val="clear" w:color="auto" w:fill="FFFFFF"/>
              </w:rPr>
              <w:t xml:space="preserve">, </w:t>
            </w:r>
            <w:r>
              <w:rPr>
                <w:rFonts w:ascii="Times New Roman" w:hAnsi="Times New Roman" w:eastAsia="Segoe UI"/>
                <w:sz w:val="16"/>
                <w:szCs w:val="16"/>
                <w:shd w:val="clear" w:color="auto" w:fill="FFFFFF"/>
              </w:rPr>
              <w:t>calgranulin A)</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-2.14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(Forouzan et al., 2018)</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Slc6a4(</w:t>
            </w:r>
            <w:r>
              <w:rPr>
                <w:rFonts w:ascii="Times New Roman" w:hAnsi="Times New Roman" w:eastAsia="Segoe UI"/>
                <w:sz w:val="16"/>
                <w:szCs w:val="16"/>
                <w:shd w:val="clear" w:color="auto" w:fill="FFFFFF"/>
              </w:rPr>
              <w:t>solute carrier family 6 (neurotransmitter transporter, serotonin), member 4</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2.77</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Fonts w:ascii="Times New Roman" w:hAnsi="Times New Roman"/>
                <w:sz w:val="16"/>
                <w:szCs w:val="16"/>
              </w:rPr>
              <w:t>(Lindstedt et al., 2011),</w:t>
            </w:r>
            <w:r>
              <w:rPr>
                <w:rStyle w:val="22"/>
                <w:rFonts w:ascii="Times New Roman" w:hAnsi="Times New Roman"/>
                <w:b w:val="0"/>
                <w:sz w:val="16"/>
                <w:szCs w:val="16"/>
              </w:rPr>
              <w:t>(Funke et al., 1990)</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Cnr1(</w:t>
            </w:r>
            <w:r>
              <w:rPr>
                <w:rFonts w:ascii="Times New Roman" w:hAnsi="Times New Roman" w:eastAsia="Segoe UI"/>
                <w:sz w:val="16"/>
                <w:szCs w:val="16"/>
                <w:shd w:val="clear" w:color="auto" w:fill="FFFFFF"/>
              </w:rPr>
              <w:t> cannabinoid receptor 1</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-2.11</w:t>
            </w:r>
          </w:p>
        </w:tc>
        <w:tc>
          <w:tcPr>
            <w:tcW w:w="994" w:type="dxa"/>
            <w:tcBorders>
              <w:tl2br w:val="nil"/>
              <w:tr2bl w:val="nil"/>
            </w:tcBorders>
            <w:shd w:val="clear" w:color="auto" w:fill="auto"/>
          </w:tcPr>
          <w:p>
            <w:pPr>
              <w:widowControl/>
              <w:jc w:val="left"/>
              <w:rPr>
                <w:rFonts w:hint="eastAsia" w:ascii="Times New Roman" w:hAnsi="Times New Roman"/>
                <w:color w:val="000000"/>
                <w:sz w:val="16"/>
                <w:szCs w:val="16"/>
              </w:rPr>
            </w:pPr>
            <w:r>
              <w:rPr>
                <w:rFonts w:hint="eastAsia" w:ascii="Times New Roman" w:hAnsi="Times New Roman"/>
                <w:color w:val="000000"/>
                <w:sz w:val="16"/>
                <w:szCs w:val="16"/>
              </w:rPr>
              <w:t>*</w:t>
            </w:r>
            <w:r>
              <w:rPr>
                <w:rStyle w:val="22"/>
                <w:rFonts w:ascii="Times New Roman" w:hAnsi="Times New Roman"/>
                <w:b w:val="0"/>
                <w:sz w:val="16"/>
                <w:szCs w:val="16"/>
              </w:rPr>
              <w:t>(Luo et al., 2020)</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Kcnk16(</w:t>
            </w:r>
            <w:r>
              <w:rPr>
                <w:rFonts w:ascii="Times New Roman" w:hAnsi="Times New Roman" w:eastAsia="Segoe UI"/>
                <w:sz w:val="16"/>
                <w:szCs w:val="16"/>
                <w:shd w:val="clear" w:color="auto" w:fill="FFFFFF"/>
              </w:rPr>
              <w:t> potassium channel, subfamily K, member 16</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2.31</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eastAsia="Segoe UI"/>
                <w:sz w:val="16"/>
                <w:szCs w:val="16"/>
                <w:shd w:val="clear" w:color="auto" w:fill="FFFFFF"/>
              </w:rPr>
              <w:t>Plvap</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plasmalemma vesicle associated protein</w:t>
            </w:r>
            <w:r>
              <w:rPr>
                <w:rFonts w:ascii="Times New Roman" w:hAnsi="Times New Roman"/>
                <w:sz w:val="16"/>
                <w:szCs w:val="16"/>
                <w:shd w:val="clear" w:color="auto" w:fill="FFFFFF"/>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-2.10</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Atf3(</w:t>
            </w:r>
            <w:r>
              <w:rPr>
                <w:rFonts w:ascii="Times New Roman" w:hAnsi="Times New Roman" w:eastAsia="Segoe UI"/>
                <w:sz w:val="16"/>
                <w:szCs w:val="16"/>
                <w:shd w:val="clear" w:color="auto" w:fill="FFFFFF"/>
              </w:rPr>
              <w:t>activating transcription factor 3</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2.15</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(Matsuura et al., 2013</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Bourassa et al., 2020)</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S100a9(</w:t>
            </w:r>
            <w:r>
              <w:rPr>
                <w:rFonts w:ascii="Times New Roman" w:hAnsi="Times New Roman" w:eastAsia="Segoe UI"/>
                <w:sz w:val="16"/>
                <w:szCs w:val="16"/>
                <w:shd w:val="clear" w:color="auto" w:fill="FFFFFF"/>
              </w:rPr>
              <w:t> S100 calcium binding protein A9 (calgranulin B)</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-3.32</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(Blom et al., 2020</w:t>
            </w:r>
            <w:r>
              <w:rPr>
                <w:rStyle w:val="22"/>
                <w:rFonts w:hint="eastAsia" w:ascii="Times New Roman" w:hAnsi="Times New Roman"/>
                <w:b w:val="0"/>
                <w:sz w:val="16"/>
                <w:szCs w:val="16"/>
                <w:lang w:val="en-US" w:eastAsia="zh-CN"/>
              </w:rPr>
              <w:t xml:space="preserve">, </w:t>
            </w:r>
            <w:r>
              <w:rPr>
                <w:rFonts w:ascii="Times New Roman" w:hAnsi="Times New Roman"/>
                <w:sz w:val="16"/>
                <w:szCs w:val="16"/>
              </w:rPr>
              <w:t>Forouzan et al., 2018)</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Gpr151(</w:t>
            </w:r>
            <w:r>
              <w:rPr>
                <w:rFonts w:ascii="Times New Roman" w:hAnsi="Times New Roman" w:eastAsia="Segoe UI"/>
                <w:sz w:val="16"/>
                <w:szCs w:val="16"/>
                <w:shd w:val="clear" w:color="auto" w:fill="FFFFFF"/>
              </w:rPr>
              <w:t> G protein-coupled receptor 151</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2.02</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Fonts w:ascii="Times New Roman" w:hAnsi="Times New Roman"/>
                <w:sz w:val="16"/>
                <w:szCs w:val="16"/>
              </w:rPr>
              <w:t>(Jiang et al., 2018)</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Igf2(</w:t>
            </w:r>
            <w:r>
              <w:rPr>
                <w:rFonts w:ascii="Times New Roman" w:hAnsi="Times New Roman" w:eastAsia="Segoe UI"/>
                <w:sz w:val="16"/>
                <w:szCs w:val="16"/>
                <w:shd w:val="clear" w:color="auto" w:fill="FFFFFF"/>
              </w:rPr>
              <w:t> insulin-like growth factor 2</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-1.74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(Grosman-Rimon et al., 2020)</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Gfap(</w:t>
            </w:r>
            <w:r>
              <w:rPr>
                <w:rFonts w:ascii="Times New Roman" w:hAnsi="Times New Roman" w:eastAsia="Segoe UI"/>
                <w:sz w:val="16"/>
                <w:szCs w:val="16"/>
                <w:shd w:val="clear" w:color="auto" w:fill="FFFFFF"/>
              </w:rPr>
              <w:t>glial fibrillary acidic protein</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1.93</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(Guo et al., 2012</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Hergenroeder et al., 2018)</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Ptgds(</w:t>
            </w:r>
            <w:r>
              <w:rPr>
                <w:rFonts w:ascii="Times New Roman" w:hAnsi="Times New Roman" w:eastAsia="Segoe UI"/>
                <w:sz w:val="16"/>
                <w:szCs w:val="16"/>
                <w:shd w:val="clear" w:color="auto" w:fill="FFFFFF"/>
              </w:rPr>
              <w:t> prostaglandin D2 synthase</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-1.60</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(Ouhaddi et al., 2020</w:t>
            </w:r>
            <w:r>
              <w:rPr>
                <w:rStyle w:val="22"/>
                <w:rFonts w:hint="eastAsia" w:ascii="Times New Roman" w:hAnsi="Times New Roman"/>
                <w:b w:val="0"/>
                <w:sz w:val="16"/>
                <w:szCs w:val="16"/>
                <w:lang w:val="en-US" w:eastAsia="zh-CN"/>
              </w:rPr>
              <w:t xml:space="preserve">, </w:t>
            </w:r>
            <w:r>
              <w:rPr>
                <w:rFonts w:ascii="Times New Roman" w:hAnsi="Times New Roman"/>
                <w:sz w:val="16"/>
                <w:szCs w:val="16"/>
              </w:rPr>
              <w:t>Xu et al., 2021)</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Nts(</w:t>
            </w:r>
            <w:r>
              <w:rPr>
                <w:rFonts w:ascii="Times New Roman" w:hAnsi="Times New Roman" w:eastAsia="Segoe UI"/>
                <w:sz w:val="16"/>
                <w:szCs w:val="16"/>
                <w:shd w:val="clear" w:color="auto" w:fill="FFFFFF"/>
              </w:rPr>
              <w:t> neurotensin</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1.78</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(Carr and Lipkowski, 1990</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Feng et al., 2015)</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eastAsia="Segoe UI"/>
                <w:sz w:val="16"/>
                <w:szCs w:val="16"/>
                <w:shd w:val="clear" w:color="auto" w:fill="FFFFFF"/>
              </w:rPr>
              <w:t>Chil3</w:t>
            </w:r>
            <w:r>
              <w:rPr>
                <w:rFonts w:ascii="Times New Roman" w:hAnsi="Times New Roman"/>
                <w:color w:val="000000"/>
                <w:sz w:val="16"/>
                <w:szCs w:val="16"/>
              </w:rPr>
              <w:t>(</w:t>
            </w:r>
            <w:r>
              <w:rPr>
                <w:rFonts w:ascii="Times New Roman" w:hAnsi="Times New Roman" w:eastAsia="Segoe UI"/>
                <w:sz w:val="16"/>
                <w:szCs w:val="16"/>
                <w:shd w:val="clear" w:color="auto" w:fill="FFFFFF"/>
              </w:rPr>
              <w:t>chitinase-like 3</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sz w:val="16"/>
                <w:szCs w:val="16"/>
              </w:rPr>
              <w:t>1.83</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vAlign w:val="center"/>
          </w:tcPr>
          <w:p>
            <w:pPr>
              <w:widowControl/>
              <w:jc w:val="left"/>
              <w:textAlignment w:val="center"/>
              <w:rPr>
                <w:rFonts w:ascii="Times New Roman" w:hAnsi="Times New Roman"/>
                <w:sz w:val="16"/>
                <w:szCs w:val="16"/>
              </w:rPr>
            </w:pPr>
            <w:r>
              <w:rPr>
                <w:rFonts w:ascii="Times New Roman" w:hAnsi="Times New Roman"/>
                <w:kern w:val="0"/>
                <w:sz w:val="16"/>
                <w:szCs w:val="16"/>
                <w:lang w:bidi="ar"/>
              </w:rPr>
              <w:t>Fos(</w:t>
            </w:r>
            <w:r>
              <w:rPr>
                <w:rFonts w:ascii="Times New Roman" w:hAnsi="Times New Roman" w:eastAsia="Segoe UI"/>
                <w:sz w:val="16"/>
                <w:szCs w:val="16"/>
                <w:shd w:val="clear" w:color="auto" w:fill="FFFFFF"/>
              </w:rPr>
              <w:t>FBJ osteosarcoma oncogene</w:t>
            </w:r>
            <w:r>
              <w:rPr>
                <w:rFonts w:ascii="Times New Roman" w:hAnsi="Times New Roman"/>
                <w:kern w:val="0"/>
                <w:sz w:val="16"/>
                <w:szCs w:val="16"/>
                <w:lang w:bidi="ar"/>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1.40</w:t>
            </w:r>
          </w:p>
        </w:tc>
        <w:tc>
          <w:tcPr>
            <w:tcW w:w="985" w:type="dxa"/>
            <w:tcBorders>
              <w:tl2br w:val="nil"/>
              <w:tr2bl w:val="nil"/>
            </w:tcBorders>
            <w:shd w:val="clear" w:color="auto" w:fill="auto"/>
          </w:tcPr>
          <w:p>
            <w:pPr>
              <w:widowControl/>
              <w:jc w:val="left"/>
              <w:rPr>
                <w:rFonts w:ascii="Times New Roman" w:hAnsi="Times New Roman"/>
                <w:i/>
                <w:iCs/>
                <w:color w:val="000000"/>
                <w:sz w:val="16"/>
                <w:szCs w:val="16"/>
              </w:rPr>
            </w:pPr>
            <w:r>
              <w:rPr>
                <w:rFonts w:ascii="Times New Roman" w:hAnsi="Times New Roman"/>
                <w:i/>
                <w:iCs/>
                <w:color w:val="000000"/>
                <w:sz w:val="16"/>
                <w:szCs w:val="16"/>
              </w:rPr>
              <w:t>*</w:t>
            </w:r>
            <w:r>
              <w:rPr>
                <w:rStyle w:val="22"/>
                <w:rFonts w:ascii="Times New Roman" w:hAnsi="Times New Roman"/>
                <w:b w:val="0"/>
                <w:sz w:val="16"/>
                <w:szCs w:val="16"/>
              </w:rPr>
              <w:t>(Marvaldi et al., 2020</w:t>
            </w:r>
            <w:r>
              <w:rPr>
                <w:rStyle w:val="22"/>
                <w:rFonts w:hint="eastAsia" w:ascii="Times New Roman" w:hAnsi="Times New Roman"/>
                <w:b w:val="0"/>
                <w:sz w:val="16"/>
                <w:szCs w:val="16"/>
                <w:lang w:val="en-US" w:eastAsia="zh-CN"/>
              </w:rPr>
              <w:t xml:space="preserve">, </w:t>
            </w:r>
            <w:r>
              <w:rPr>
                <w:rFonts w:ascii="Times New Roman" w:hAnsi="Times New Roman"/>
                <w:sz w:val="16"/>
                <w:szCs w:val="16"/>
              </w:rPr>
              <w:t>Lv et al., 2019)</w:t>
            </w:r>
          </w:p>
        </w:tc>
        <w:tc>
          <w:tcPr>
            <w:tcW w:w="240" w:type="dxa"/>
            <w:tcBorders>
              <w:tl2br w:val="nil"/>
              <w:tr2bl w:val="nil"/>
            </w:tcBorders>
            <w:shd w:val="clear" w:color="auto" w:fill="auto"/>
          </w:tcPr>
          <w:p>
            <w:pPr>
              <w:widowControl/>
              <w:jc w:val="left"/>
              <w:rPr>
                <w:rFonts w:ascii="Times New Roman" w:hAnsi="Times New Roman"/>
                <w:i/>
                <w:iCs/>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i/>
                <w:iCs/>
                <w:color w:val="000000"/>
                <w:sz w:val="16"/>
                <w:szCs w:val="16"/>
              </w:rPr>
            </w:pPr>
            <w:r>
              <w:rPr>
                <w:rFonts w:ascii="Times New Roman" w:hAnsi="Times New Roman" w:eastAsia="Segoe UI"/>
                <w:sz w:val="16"/>
                <w:szCs w:val="16"/>
                <w:shd w:val="clear" w:color="auto" w:fill="FFFFFF"/>
              </w:rPr>
              <w:t> Cfd</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complement factor D (adipsin)</w:t>
            </w:r>
            <w:r>
              <w:rPr>
                <w:rFonts w:ascii="Times New Roman" w:hAnsi="Times New Roman"/>
                <w:sz w:val="16"/>
                <w:szCs w:val="16"/>
                <w:shd w:val="clear" w:color="auto" w:fill="FFFFFF"/>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-1.55</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eastAsia="Segoe UI"/>
                <w:sz w:val="16"/>
                <w:szCs w:val="16"/>
                <w:shd w:val="clear" w:color="auto" w:fill="FFFFFF"/>
              </w:rPr>
              <w:t> </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sz w:val="16"/>
                <w:szCs w:val="16"/>
              </w:rPr>
              <w:t>Tsfm(</w:t>
            </w:r>
            <w:r>
              <w:rPr>
                <w:rFonts w:ascii="Times New Roman" w:hAnsi="Times New Roman" w:eastAsia="Segoe UI"/>
                <w:sz w:val="16"/>
                <w:szCs w:val="16"/>
                <w:shd w:val="clear" w:color="auto" w:fill="FFFFFF"/>
              </w:rPr>
              <w:t>Ts translation elongation factor, mitochondrial</w:t>
            </w:r>
            <w:r>
              <w:rPr>
                <w:rFonts w:ascii="Times New Roman" w:hAnsi="Times New Roman"/>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1.32</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(Traschütz et al., 2019)</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Ifitm1</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 interferon induced transmembrane protein 1</w:t>
            </w:r>
            <w:r>
              <w:rPr>
                <w:rFonts w:ascii="Times New Roman" w:hAnsi="Times New Roman"/>
                <w:sz w:val="16"/>
                <w:szCs w:val="16"/>
                <w:shd w:val="clear" w:color="auto" w:fill="FFFFFF"/>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-1.43</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vAlign w:val="center"/>
          </w:tcPr>
          <w:p>
            <w:pPr>
              <w:widowControl/>
              <w:jc w:val="left"/>
              <w:textAlignment w:val="center"/>
              <w:rPr>
                <w:rFonts w:ascii="Times New Roman" w:hAnsi="Times New Roman"/>
                <w:sz w:val="16"/>
                <w:szCs w:val="16"/>
              </w:rPr>
            </w:pPr>
            <w:r>
              <w:rPr>
                <w:rFonts w:ascii="Times New Roman" w:hAnsi="Times New Roman"/>
                <w:kern w:val="0"/>
                <w:sz w:val="16"/>
                <w:szCs w:val="16"/>
                <w:lang w:bidi="ar"/>
              </w:rPr>
              <w:t>Mettl1(</w:t>
            </w:r>
            <w:r>
              <w:rPr>
                <w:rFonts w:ascii="Times New Roman" w:hAnsi="Times New Roman" w:eastAsia="Segoe UI"/>
                <w:sz w:val="16"/>
                <w:szCs w:val="16"/>
                <w:shd w:val="clear" w:color="auto" w:fill="FFFFFF"/>
              </w:rPr>
              <w:t>methyltransferase like 1</w:t>
            </w:r>
            <w:r>
              <w:rPr>
                <w:rFonts w:ascii="Times New Roman" w:hAnsi="Times New Roman"/>
                <w:kern w:val="0"/>
                <w:sz w:val="16"/>
                <w:szCs w:val="16"/>
                <w:lang w:bidi="ar"/>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1.26</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vAlign w:val="center"/>
          </w:tcPr>
          <w:p>
            <w:pPr>
              <w:widowControl/>
              <w:jc w:val="left"/>
              <w:textAlignment w:val="center"/>
              <w:rPr>
                <w:rFonts w:ascii="Times New Roman" w:hAnsi="Times New Roman"/>
                <w:color w:val="000000"/>
                <w:sz w:val="16"/>
                <w:szCs w:val="16"/>
              </w:rPr>
            </w:pPr>
            <w:r>
              <w:rPr>
                <w:rFonts w:ascii="Times New Roman" w:hAnsi="Times New Roman"/>
                <w:color w:val="000000"/>
                <w:kern w:val="0"/>
                <w:sz w:val="16"/>
                <w:szCs w:val="16"/>
                <w:lang w:bidi="ar"/>
              </w:rPr>
              <w:t>Fmo2(</w:t>
            </w:r>
            <w:r>
              <w:rPr>
                <w:rFonts w:ascii="Times New Roman" w:hAnsi="Times New Roman" w:eastAsia="Segoe UI"/>
                <w:sz w:val="16"/>
                <w:szCs w:val="16"/>
                <w:shd w:val="clear" w:color="auto" w:fill="FFFFFF"/>
              </w:rPr>
              <w:t> flavin containing monooxygenase 2</w:t>
            </w:r>
            <w:r>
              <w:rPr>
                <w:rFonts w:ascii="Times New Roman" w:hAnsi="Times New Roman"/>
                <w:color w:val="000000"/>
                <w:kern w:val="0"/>
                <w:sz w:val="16"/>
                <w:szCs w:val="16"/>
                <w:lang w:bidi="ar"/>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-1.24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sz w:val="16"/>
                <w:szCs w:val="16"/>
              </w:rPr>
              <w:t>Wdfy1(</w:t>
            </w:r>
            <w:r>
              <w:rPr>
                <w:rFonts w:ascii="Times New Roman" w:hAnsi="Times New Roman" w:eastAsia="Segoe UI"/>
                <w:sz w:val="16"/>
                <w:szCs w:val="16"/>
                <w:shd w:val="clear" w:color="auto" w:fill="FFFFFF"/>
              </w:rPr>
              <w:t> WD repeat and FYVE domain containing 1</w:t>
            </w:r>
            <w:r>
              <w:rPr>
                <w:rFonts w:ascii="Times New Roman" w:hAnsi="Times New Roman"/>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1.26</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vAlign w:val="center"/>
          </w:tcPr>
          <w:p>
            <w:pPr>
              <w:widowControl/>
              <w:jc w:val="left"/>
              <w:textAlignment w:val="center"/>
              <w:rPr>
                <w:rFonts w:ascii="Times New Roman" w:hAnsi="Times New Roman"/>
                <w:color w:val="000000"/>
                <w:sz w:val="16"/>
                <w:szCs w:val="16"/>
              </w:rPr>
            </w:pPr>
            <w:r>
              <w:rPr>
                <w:rFonts w:ascii="Times New Roman" w:hAnsi="Times New Roman"/>
                <w:color w:val="000000"/>
                <w:kern w:val="0"/>
                <w:sz w:val="16"/>
                <w:szCs w:val="16"/>
                <w:lang w:bidi="ar"/>
              </w:rPr>
              <w:t>Elane(</w:t>
            </w:r>
            <w:r>
              <w:rPr>
                <w:rFonts w:ascii="Times New Roman" w:hAnsi="Times New Roman" w:eastAsia="Segoe UI"/>
                <w:sz w:val="16"/>
                <w:szCs w:val="16"/>
                <w:shd w:val="clear" w:color="auto" w:fill="FFFFFF"/>
              </w:rPr>
              <w:t> elastase, neutrophil expressed</w:t>
            </w:r>
            <w:r>
              <w:rPr>
                <w:rFonts w:ascii="Times New Roman" w:hAnsi="Times New Roman"/>
                <w:color w:val="000000"/>
                <w:kern w:val="0"/>
                <w:sz w:val="16"/>
                <w:szCs w:val="16"/>
                <w:lang w:bidi="ar"/>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-1.14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eastAsia="Segoe UI"/>
                <w:sz w:val="16"/>
                <w:szCs w:val="16"/>
                <w:shd w:val="clear" w:color="auto" w:fill="FFFFFF"/>
              </w:rPr>
              <w:t> </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 Slc7a11</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solute carrier family 7 (cationic amino acid transporter, y+ system), member 11</w:t>
            </w:r>
            <w:r>
              <w:rPr>
                <w:rFonts w:ascii="Times New Roman" w:hAnsi="Times New Roman"/>
                <w:sz w:val="16"/>
                <w:szCs w:val="16"/>
                <w:shd w:val="clear" w:color="auto" w:fill="FFFFFF"/>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1.22</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(Ungard et al., 2019</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Miladinovic and Singh, 2019)</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Retnlg</w:t>
            </w:r>
            <w:r>
              <w:rPr>
                <w:rFonts w:ascii="Times New Roman" w:hAnsi="Times New Roman"/>
                <w:color w:val="000000"/>
                <w:sz w:val="16"/>
                <w:szCs w:val="16"/>
              </w:rPr>
              <w:t>(</w:t>
            </w:r>
            <w:r>
              <w:rPr>
                <w:rFonts w:ascii="Times New Roman" w:hAnsi="Times New Roman" w:eastAsia="Segoe UI"/>
                <w:sz w:val="16"/>
                <w:szCs w:val="16"/>
                <w:shd w:val="clear" w:color="auto" w:fill="FFFFFF"/>
              </w:rPr>
              <w:t>resistin like gamma</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-1.07</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(Nagaev et al., 2006)</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 Atp23</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ATP23 metallopeptidase and ATP synthase assembly factor homolog</w:t>
            </w:r>
            <w:r>
              <w:rPr>
                <w:rFonts w:ascii="Times New Roman" w:hAnsi="Times New Roman"/>
                <w:sz w:val="16"/>
                <w:szCs w:val="16"/>
                <w:shd w:val="clear" w:color="auto" w:fill="FFFFFF"/>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1.18</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Pmp2</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 peripheral myelin protein 2</w:t>
            </w:r>
            <w:r>
              <w:rPr>
                <w:rFonts w:ascii="Times New Roman" w:hAnsi="Times New Roman"/>
                <w:sz w:val="16"/>
                <w:szCs w:val="16"/>
                <w:shd w:val="clear" w:color="auto" w:fill="FFFFFF"/>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-1.06</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eastAsia="Segoe UI"/>
                <w:sz w:val="16"/>
                <w:szCs w:val="16"/>
                <w:shd w:val="clear" w:color="auto" w:fill="FFFFFF"/>
              </w:rPr>
              <w:t> </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Nr4a3</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nuclear receptor subfamily 4, group A, member 3</w:t>
            </w:r>
            <w:r>
              <w:rPr>
                <w:rFonts w:ascii="Times New Roman" w:hAnsi="Times New Roman"/>
                <w:sz w:val="16"/>
                <w:szCs w:val="16"/>
                <w:shd w:val="clear" w:color="auto" w:fill="FFFFFF"/>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sz w:val="16"/>
                <w:szCs w:val="16"/>
              </w:rPr>
              <w:t>1.91</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(Zheng et al., 2017)</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 Selp</w:t>
            </w:r>
            <w:r>
              <w:rPr>
                <w:rFonts w:ascii="Times New Roman" w:hAnsi="Times New Roman"/>
                <w:sz w:val="16"/>
                <w:szCs w:val="16"/>
                <w:shd w:val="clear" w:color="auto" w:fill="FFFFFF"/>
              </w:rPr>
              <w:t>(P-</w:t>
            </w:r>
            <w:r>
              <w:rPr>
                <w:rFonts w:ascii="Times New Roman" w:hAnsi="Times New Roman" w:eastAsia="Segoe UI"/>
                <w:sz w:val="16"/>
                <w:szCs w:val="16"/>
                <w:shd w:val="clear" w:color="auto" w:fill="FFFFFF"/>
              </w:rPr>
              <w:t> selectin</w:t>
            </w:r>
            <w:r>
              <w:rPr>
                <w:rFonts w:ascii="Times New Roman" w:hAnsi="Times New Roman"/>
                <w:sz w:val="16"/>
                <w:szCs w:val="16"/>
                <w:shd w:val="clear" w:color="auto" w:fill="FFFFFF"/>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-1.01</w:t>
            </w:r>
          </w:p>
        </w:tc>
        <w:tc>
          <w:tcPr>
            <w:tcW w:w="994" w:type="dxa"/>
            <w:tcBorders>
              <w:tl2br w:val="nil"/>
              <w:tr2bl w:val="nil"/>
            </w:tcBorders>
            <w:shd w:val="clear" w:color="auto" w:fill="auto"/>
          </w:tcPr>
          <w:p>
            <w:pPr>
              <w:widowControl/>
              <w:rPr>
                <w:rFonts w:ascii="Times New Roman" w:hAnsi="Times New Roman"/>
                <w:color w:val="000000"/>
                <w:sz w:val="16"/>
                <w:szCs w:val="16"/>
              </w:rPr>
            </w:pPr>
            <w:r>
              <w:rPr>
                <w:rFonts w:ascii="Times New Roman" w:hAnsi="Times New Roman" w:eastAsia="Segoe UI"/>
                <w:sz w:val="16"/>
                <w:szCs w:val="16"/>
                <w:shd w:val="clear" w:color="auto" w:fill="FFFFFF"/>
              </w:rPr>
              <w:t> </w:t>
            </w:r>
            <w:r>
              <w:rPr>
                <w:rFonts w:ascii="Times New Roman" w:hAnsi="Times New Roman"/>
                <w:sz w:val="16"/>
                <w:szCs w:val="16"/>
                <w:shd w:val="clear" w:color="auto" w:fill="FFFFFF"/>
              </w:rPr>
              <w:t>*</w:t>
            </w:r>
            <w:r>
              <w:rPr>
                <w:rStyle w:val="22"/>
                <w:rFonts w:ascii="Times New Roman" w:hAnsi="Times New Roman"/>
                <w:b w:val="0"/>
                <w:sz w:val="16"/>
                <w:szCs w:val="16"/>
              </w:rPr>
              <w:t>(Bai et al., 2014</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Liu et al., 2007)</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eastAsia="Segoe UI"/>
                <w:sz w:val="16"/>
                <w:szCs w:val="16"/>
                <w:shd w:val="clear" w:color="auto" w:fill="FFFFFF"/>
              </w:rPr>
              <w:t> Grk1</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 G protein-coupled receptor kinase 1</w:t>
            </w:r>
            <w:r>
              <w:rPr>
                <w:rFonts w:ascii="Times New Roman" w:hAnsi="Times New Roman"/>
                <w:sz w:val="16"/>
                <w:szCs w:val="16"/>
                <w:shd w:val="clear" w:color="auto" w:fill="FFFFFF"/>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r>
              <w:rPr>
                <w:rFonts w:ascii="Times New Roman" w:hAnsi="Times New Roman"/>
                <w:color w:val="000000"/>
                <w:sz w:val="16"/>
                <w:szCs w:val="16"/>
              </w:rPr>
              <w:t>1.58</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(Li et al., 2019a)</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sz w:val="16"/>
                <w:szCs w:val="16"/>
                <w:shd w:val="clear" w:color="auto" w:fill="FFFFFF"/>
              </w:rPr>
              <w:t>I</w:t>
            </w:r>
            <w:r>
              <w:rPr>
                <w:rFonts w:ascii="Times New Roman" w:hAnsi="Times New Roman" w:eastAsia="Segoe UI"/>
                <w:sz w:val="16"/>
                <w:szCs w:val="16"/>
                <w:shd w:val="clear" w:color="auto" w:fill="FFFFFF"/>
              </w:rPr>
              <w:t>fi27l2a</w:t>
            </w:r>
            <w:r>
              <w:rPr>
                <w:rFonts w:ascii="Times New Roman" w:hAnsi="Times New Roman"/>
                <w:sz w:val="16"/>
                <w:szCs w:val="16"/>
                <w:shd w:val="clear" w:color="auto" w:fill="FFFFFF"/>
              </w:rPr>
              <w:t>(</w:t>
            </w:r>
            <w:r>
              <w:rPr>
                <w:rFonts w:ascii="Times New Roman" w:hAnsi="Times New Roman" w:eastAsia="Segoe UI"/>
                <w:sz w:val="16"/>
                <w:szCs w:val="16"/>
                <w:shd w:val="clear" w:color="auto" w:fill="FFFFFF"/>
              </w:rPr>
              <w:t> interferon, alpha-inducible protein 27 like 2A</w:t>
            </w:r>
            <w:r>
              <w:rPr>
                <w:rFonts w:ascii="Times New Roman" w:hAnsi="Times New Roman"/>
                <w:sz w:val="16"/>
                <w:szCs w:val="16"/>
                <w:shd w:val="clear" w:color="auto" w:fill="FFFFFF"/>
              </w:rPr>
              <w:t>)</w:t>
            </w:r>
          </w:p>
        </w:tc>
        <w:tc>
          <w:tcPr>
            <w:tcW w:w="562"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eastAsia="Segoe UI"/>
                <w:sz w:val="16"/>
                <w:szCs w:val="16"/>
                <w:shd w:val="clear" w:color="auto" w:fill="FFFFFF"/>
              </w:rPr>
              <w:t> </w:t>
            </w:r>
            <w:r>
              <w:rPr>
                <w:rFonts w:ascii="Times New Roman" w:hAnsi="Times New Roman"/>
                <w:sz w:val="16"/>
                <w:szCs w:val="16"/>
                <w:shd w:val="clear" w:color="auto" w:fill="FFFFFF"/>
              </w:rPr>
              <w:t>1.27</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eastAsia="Segoe UI"/>
                <w:sz w:val="16"/>
                <w:szCs w:val="16"/>
                <w:shd w:val="clear" w:color="auto" w:fill="FFFFFF"/>
              </w:rPr>
              <w:t> </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Agtr1b(</w:t>
            </w:r>
            <w:r>
              <w:rPr>
                <w:rFonts w:ascii="Times New Roman" w:hAnsi="Times New Roman" w:eastAsia="Segoe UI"/>
                <w:sz w:val="16"/>
                <w:szCs w:val="16"/>
                <w:shd w:val="clear" w:color="auto" w:fill="FFFFFF"/>
              </w:rPr>
              <w:t>angiotensin II receptor, type 1b</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color w:val="000000"/>
                <w:sz w:val="16"/>
                <w:szCs w:val="16"/>
              </w:rPr>
            </w:pP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(Shepherd et al., 2018</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Smith and Muralidharan, 2015)</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eastAsia="Segoe UI"/>
                <w:sz w:val="16"/>
                <w:szCs w:val="16"/>
                <w:shd w:val="clear" w:color="auto" w:fill="FFFFFF"/>
              </w:rPr>
              <w:t>Camp</w:t>
            </w:r>
          </w:p>
        </w:tc>
        <w:tc>
          <w:tcPr>
            <w:tcW w:w="562"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1.18</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(Wang et al., 2021b)</w:t>
            </w:r>
          </w:p>
        </w:tc>
      </w:tr>
    </w:tbl>
    <w:p>
      <w:pPr>
        <w:widowControl/>
        <w:jc w:val="left"/>
        <w:rPr>
          <w:rFonts w:ascii="Times New Roman" w:hAnsi="Times New Roman"/>
          <w:color w:val="000000"/>
          <w:sz w:val="24"/>
        </w:rPr>
      </w:pPr>
      <w:r>
        <w:rPr>
          <w:rFonts w:ascii="Times New Roman" w:hAnsi="Times New Roman"/>
          <w:color w:val="000000"/>
          <w:sz w:val="24"/>
        </w:rPr>
        <w:t>*</w:t>
      </w:r>
      <w:r>
        <w:rPr>
          <w:rFonts w:ascii="Times New Roman" w:hAnsi="Times New Roman"/>
          <w:sz w:val="24"/>
        </w:rPr>
        <w:t>This gene is related to pain;</w:t>
      </w:r>
      <w:r>
        <w:rPr>
          <w:rFonts w:hint="eastAsia" w:ascii="Times New Roman" w:hAnsi="Times New Roman"/>
          <w:sz w:val="24"/>
        </w:rPr>
        <w:t xml:space="preserve"> </w:t>
      </w:r>
      <w:r>
        <w:rPr>
          <w:rFonts w:ascii="Times New Roman" w:hAnsi="Times New Roman"/>
          <w:sz w:val="24"/>
        </w:rPr>
        <w:t>#This gene is related to inflammation.</w:t>
      </w:r>
    </w:p>
    <w:p>
      <w:pPr>
        <w:widowControl/>
        <w:jc w:val="left"/>
        <w:rPr>
          <w:rFonts w:ascii="Times New Roman" w:hAnsi="Times New Roman" w:eastAsia="AdvOT5fcf1b24"/>
          <w:color w:val="000000"/>
          <w:kern w:val="0"/>
          <w:sz w:val="24"/>
          <w:lang w:bidi="ar"/>
        </w:rPr>
      </w:pPr>
    </w:p>
    <w:p>
      <w:pPr>
        <w:widowControl/>
        <w:jc w:val="left"/>
        <w:rPr>
          <w:rFonts w:ascii="Times New Roman" w:hAnsi="Times New Roman" w:eastAsia="AdvOT5fcf1b24"/>
          <w:color w:val="000000"/>
          <w:kern w:val="0"/>
          <w:sz w:val="24"/>
          <w:lang w:bidi="ar"/>
        </w:rPr>
      </w:pPr>
    </w:p>
    <w:p>
      <w:pPr>
        <w:pStyle w:val="2"/>
        <w:numPr>
          <w:ilvl w:val="0"/>
          <w:numId w:val="0"/>
        </w:numPr>
        <w:ind w:leftChars="0"/>
        <w:rPr>
          <w:rFonts w:ascii="Times New Roman" w:hAnsi="Times New Roman"/>
          <w:color w:val="000000"/>
          <w:kern w:val="0"/>
          <w:sz w:val="24"/>
        </w:rPr>
      </w:pPr>
      <w:r>
        <w:t>Supplementary  Table</w:t>
      </w:r>
      <w:r>
        <w:rPr>
          <w:rFonts w:hint="eastAsia" w:eastAsia="宋体"/>
          <w:lang w:val="en-US" w:eastAsia="zh-CN"/>
        </w:rPr>
        <w:t xml:space="preserve"> 6</w:t>
      </w:r>
      <w:r>
        <w:rPr>
          <w:rFonts w:hint="eastAsia" w:ascii="Times New Roman" w:hAnsi="Times New Roman"/>
          <w:color w:val="000000"/>
          <w:sz w:val="24"/>
        </w:rPr>
        <w:t xml:space="preserve"> </w:t>
      </w:r>
      <w:r>
        <w:rPr>
          <w:rFonts w:ascii="Times New Roman" w:hAnsi="Times New Roman" w:eastAsia="AdvOT5fcf1b24"/>
          <w:color w:val="000000"/>
          <w:kern w:val="0"/>
          <w:sz w:val="24"/>
          <w:lang w:bidi="ar"/>
        </w:rPr>
        <w:t xml:space="preserve">The detailed information of the top 20 up-regulated and 20 down-regulated mRNAs </w:t>
      </w:r>
      <w:r>
        <w:rPr>
          <w:rFonts w:hint="eastAsia" w:ascii="Times New Roman" w:hAnsi="Times New Roman"/>
          <w:color w:val="000000"/>
          <w:sz w:val="24"/>
        </w:rPr>
        <w:t>in CB1</w:t>
      </w:r>
      <w:r>
        <w:rPr>
          <w:rFonts w:ascii="Times New Roman" w:hAnsi="Times New Roman"/>
          <w:color w:val="000000"/>
          <w:sz w:val="24"/>
        </w:rPr>
        <w:t xml:space="preserve">cKO </w:t>
      </w:r>
      <w:r>
        <w:rPr>
          <w:rFonts w:hint="eastAsia" w:ascii="Times New Roman" w:hAnsi="Times New Roman"/>
          <w:color w:val="000000"/>
          <w:sz w:val="24"/>
        </w:rPr>
        <w:t>mice subjected to CCI</w:t>
      </w:r>
      <w:r>
        <w:rPr>
          <w:rFonts w:ascii="Times New Roman" w:hAnsi="Times New Roman"/>
          <w:color w:val="000000"/>
          <w:sz w:val="24"/>
        </w:rPr>
        <w:t xml:space="preserve"> </w:t>
      </w:r>
      <w:r>
        <w:rPr>
          <w:rFonts w:hint="eastAsia" w:ascii="Times New Roman" w:hAnsi="Times New Roman" w:eastAsia="AdvOT5fcf1b24"/>
          <w:color w:val="000000"/>
          <w:kern w:val="0"/>
          <w:sz w:val="24"/>
          <w:lang w:bidi="ar"/>
        </w:rPr>
        <w:t>(</w:t>
      </w:r>
      <w:r>
        <w:rPr>
          <w:rFonts w:ascii="Times New Roman" w:hAnsi="Times New Roman" w:eastAsia="AdvOT5fcf1b24"/>
          <w:color w:val="000000"/>
          <w:kern w:val="0"/>
          <w:sz w:val="24"/>
          <w:lang w:bidi="ar"/>
        </w:rPr>
        <w:t>CB1cKO</w:t>
      </w:r>
      <w:r>
        <w:rPr>
          <w:rFonts w:hint="eastAsia" w:ascii="Times New Roman" w:hAnsi="Times New Roman" w:eastAsia="AdvOT5fcf1b24"/>
          <w:color w:val="000000"/>
          <w:kern w:val="0"/>
          <w:sz w:val="24"/>
          <w:lang w:bidi="ar"/>
        </w:rPr>
        <w:t xml:space="preserve"> sham28</w:t>
      </w:r>
      <w:r>
        <w:rPr>
          <w:rFonts w:ascii="Times New Roman" w:hAnsi="Times New Roman" w:eastAsia="AdvOT5fcf1b24"/>
          <w:color w:val="000000"/>
          <w:kern w:val="0"/>
          <w:sz w:val="24"/>
          <w:lang w:bidi="ar"/>
        </w:rPr>
        <w:t xml:space="preserve"> vs CB1cKO</w:t>
      </w:r>
      <w:r>
        <w:rPr>
          <w:rFonts w:hint="eastAsia" w:ascii="Times New Roman" w:hAnsi="Times New Roman" w:eastAsia="AdvOT5fcf1b24"/>
          <w:color w:val="000000"/>
          <w:kern w:val="0"/>
          <w:sz w:val="24"/>
          <w:lang w:bidi="ar"/>
        </w:rPr>
        <w:t xml:space="preserve"> CCI28)</w:t>
      </w:r>
      <w:r>
        <w:rPr>
          <w:rFonts w:ascii="Times New Roman" w:hAnsi="Times New Roman" w:eastAsia="AdvOT5fcf1b24"/>
          <w:color w:val="000000"/>
          <w:kern w:val="0"/>
          <w:sz w:val="24"/>
          <w:lang w:bidi="ar"/>
        </w:rPr>
        <w:t>.</w:t>
      </w:r>
    </w:p>
    <w:tbl>
      <w:tblPr>
        <w:tblStyle w:val="19"/>
        <w:tblW w:w="7879"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41"/>
        <w:gridCol w:w="506"/>
        <w:gridCol w:w="985"/>
        <w:gridCol w:w="240"/>
        <w:gridCol w:w="2051"/>
        <w:gridCol w:w="562"/>
        <w:gridCol w:w="994"/>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032" w:type="dxa"/>
            <w:gridSpan w:val="3"/>
            <w:tcBorders>
              <w:bottom w:val="single" w:color="auto" w:sz="8" w:space="0"/>
            </w:tcBorders>
            <w:shd w:val="clear" w:color="auto" w:fill="auto"/>
          </w:tcPr>
          <w:p>
            <w:pPr>
              <w:pStyle w:val="16"/>
              <w:widowControl/>
              <w:spacing w:beforeAutospacing="0" w:afterAutospacing="0"/>
              <w:jc w:val="center"/>
              <w:rPr>
                <w:rFonts w:ascii="Times New Roman" w:hAnsi="Times New Roman"/>
                <w:color w:val="000000"/>
                <w:sz w:val="16"/>
                <w:szCs w:val="16"/>
              </w:rPr>
            </w:pPr>
            <w:r>
              <w:rPr>
                <w:rFonts w:ascii="Times New Roman" w:hAnsi="Times New Roman"/>
                <w:color w:val="000000"/>
                <w:sz w:val="16"/>
                <w:szCs w:val="16"/>
              </w:rPr>
              <w:t>Up-regulated genes</w:t>
            </w:r>
          </w:p>
        </w:tc>
        <w:tc>
          <w:tcPr>
            <w:tcW w:w="240" w:type="dxa"/>
            <w:shd w:val="clear" w:color="auto" w:fill="auto"/>
          </w:tcPr>
          <w:p>
            <w:pPr>
              <w:widowControl/>
              <w:jc w:val="left"/>
              <w:rPr>
                <w:rFonts w:ascii="Times New Roman" w:hAnsi="Times New Roman"/>
                <w:color w:val="000000"/>
                <w:sz w:val="16"/>
                <w:szCs w:val="16"/>
              </w:rPr>
            </w:pPr>
          </w:p>
        </w:tc>
        <w:tc>
          <w:tcPr>
            <w:tcW w:w="3607" w:type="dxa"/>
            <w:gridSpan w:val="3"/>
            <w:tcBorders>
              <w:bottom w:val="single" w:color="auto" w:sz="8" w:space="0"/>
            </w:tcBorders>
            <w:shd w:val="clear" w:color="auto" w:fill="auto"/>
          </w:tcPr>
          <w:p>
            <w:pPr>
              <w:pStyle w:val="16"/>
              <w:widowControl/>
              <w:spacing w:beforeAutospacing="0" w:afterAutospacing="0"/>
              <w:jc w:val="center"/>
              <w:rPr>
                <w:rFonts w:ascii="Times New Roman" w:hAnsi="Times New Roman"/>
                <w:color w:val="000000"/>
                <w:sz w:val="16"/>
                <w:szCs w:val="16"/>
              </w:rPr>
            </w:pPr>
            <w:r>
              <w:rPr>
                <w:rFonts w:ascii="Times New Roman" w:hAnsi="Times New Roman"/>
                <w:color w:val="000000"/>
                <w:sz w:val="16"/>
                <w:szCs w:val="16"/>
              </w:rPr>
              <w:t>Down-regulated genes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op w:val="single" w:color="auto" w:sz="8" w:space="0"/>
              <w:bottom w:val="single" w:color="auto" w:sz="8" w:space="0"/>
            </w:tcBorders>
            <w:shd w:val="clear" w:color="auto" w:fill="auto"/>
          </w:tcPr>
          <w:p>
            <w:pPr>
              <w:jc w:val="left"/>
              <w:rPr>
                <w:rFonts w:ascii="Times New Roman" w:hAnsi="Times New Roman"/>
                <w:sz w:val="16"/>
                <w:szCs w:val="16"/>
              </w:rPr>
            </w:pPr>
            <w:r>
              <w:rPr>
                <w:rFonts w:ascii="Times New Roman" w:hAnsi="Times New Roman"/>
                <w:color w:val="000000"/>
                <w:sz w:val="16"/>
                <w:szCs w:val="16"/>
              </w:rPr>
              <w:t>Gene name/</w:t>
            </w:r>
            <w:r>
              <w:rPr>
                <w:rFonts w:ascii="Times New Roman" w:hAnsi="Times New Roman"/>
                <w:color w:val="000000"/>
                <w:sz w:val="16"/>
                <w:szCs w:val="16"/>
                <w:lang w:bidi="ar"/>
              </w:rPr>
              <w:t>Gene Description</w:t>
            </w:r>
          </w:p>
        </w:tc>
        <w:tc>
          <w:tcPr>
            <w:tcW w:w="506" w:type="dxa"/>
            <w:tcBorders>
              <w:top w:val="single" w:color="auto" w:sz="8" w:space="0"/>
              <w:bottom w:val="single" w:color="auto" w:sz="8" w:space="0"/>
            </w:tcBorders>
            <w:shd w:val="clear" w:color="auto" w:fill="auto"/>
          </w:tcPr>
          <w:p>
            <w:pPr>
              <w:pStyle w:val="16"/>
              <w:widowControl/>
              <w:spacing w:beforeAutospacing="0" w:afterAutospacing="0"/>
              <w:jc w:val="center"/>
              <w:rPr>
                <w:rFonts w:ascii="Times New Roman" w:hAnsi="Times New Roman"/>
                <w:sz w:val="16"/>
                <w:szCs w:val="16"/>
              </w:rPr>
            </w:pPr>
            <w:r>
              <w:rPr>
                <w:rFonts w:ascii="Times New Roman" w:hAnsi="Times New Roman"/>
                <w:color w:val="000000"/>
                <w:sz w:val="16"/>
                <w:szCs w:val="16"/>
              </w:rPr>
              <w:t>log2</w:t>
            </w:r>
          </w:p>
        </w:tc>
        <w:tc>
          <w:tcPr>
            <w:tcW w:w="985" w:type="dxa"/>
            <w:tcBorders>
              <w:top w:val="single" w:color="auto" w:sz="8" w:space="0"/>
              <w:bottom w:val="single" w:color="auto" w:sz="8" w:space="0"/>
            </w:tcBorders>
            <w:shd w:val="clear" w:color="auto" w:fill="auto"/>
          </w:tcPr>
          <w:p>
            <w:pPr>
              <w:widowControl/>
              <w:jc w:val="left"/>
              <w:rPr>
                <w:rFonts w:ascii="Times New Roman" w:hAnsi="Times New Roman"/>
                <w:color w:val="000000"/>
                <w:sz w:val="16"/>
                <w:szCs w:val="16"/>
                <w:lang w:bidi="ar"/>
              </w:rPr>
            </w:pPr>
            <w:r>
              <w:rPr>
                <w:rFonts w:ascii="Times New Roman" w:hAnsi="Times New Roman"/>
                <w:color w:val="000000"/>
                <w:sz w:val="16"/>
                <w:szCs w:val="16"/>
                <w:lang w:bidi="ar"/>
              </w:rPr>
              <w:t xml:space="preserve">Information related to pain </w:t>
            </w:r>
          </w:p>
        </w:tc>
        <w:tc>
          <w:tcPr>
            <w:tcW w:w="240" w:type="dxa"/>
            <w:tcBorders>
              <w:bottom w:val="single" w:color="auto" w:sz="8" w:space="0"/>
            </w:tcBorders>
            <w:shd w:val="clear" w:color="auto" w:fill="auto"/>
          </w:tcPr>
          <w:p>
            <w:pPr>
              <w:widowControl/>
              <w:jc w:val="left"/>
              <w:rPr>
                <w:rFonts w:ascii="Times New Roman" w:hAnsi="Times New Roman"/>
                <w:color w:val="000000"/>
                <w:sz w:val="16"/>
                <w:szCs w:val="16"/>
              </w:rPr>
            </w:pPr>
          </w:p>
        </w:tc>
        <w:tc>
          <w:tcPr>
            <w:tcW w:w="2051" w:type="dxa"/>
            <w:tcBorders>
              <w:top w:val="single" w:color="auto" w:sz="8" w:space="0"/>
              <w:bottom w:val="single" w:color="auto" w:sz="8" w:space="0"/>
            </w:tcBorders>
            <w:shd w:val="clear" w:color="auto" w:fill="auto"/>
          </w:tcPr>
          <w:p>
            <w:pPr>
              <w:jc w:val="left"/>
              <w:rPr>
                <w:rFonts w:ascii="Times New Roman" w:hAnsi="Times New Roman"/>
                <w:sz w:val="16"/>
                <w:szCs w:val="16"/>
              </w:rPr>
            </w:pPr>
            <w:r>
              <w:rPr>
                <w:rFonts w:ascii="Times New Roman" w:hAnsi="Times New Roman"/>
                <w:color w:val="000000"/>
                <w:sz w:val="16"/>
                <w:szCs w:val="16"/>
              </w:rPr>
              <w:t>Gene name/</w:t>
            </w:r>
            <w:r>
              <w:rPr>
                <w:rFonts w:ascii="Times New Roman" w:hAnsi="Times New Roman"/>
                <w:color w:val="000000"/>
                <w:sz w:val="16"/>
                <w:szCs w:val="16"/>
                <w:lang w:bidi="ar"/>
              </w:rPr>
              <w:t>Gene Description</w:t>
            </w:r>
          </w:p>
        </w:tc>
        <w:tc>
          <w:tcPr>
            <w:tcW w:w="562" w:type="dxa"/>
            <w:tcBorders>
              <w:top w:val="single" w:color="auto" w:sz="8" w:space="0"/>
              <w:bottom w:val="single" w:color="auto" w:sz="8" w:space="0"/>
            </w:tcBorders>
            <w:shd w:val="clear" w:color="auto" w:fill="auto"/>
          </w:tcPr>
          <w:p>
            <w:pPr>
              <w:pStyle w:val="16"/>
              <w:widowControl/>
              <w:spacing w:beforeAutospacing="0" w:afterAutospacing="0"/>
              <w:jc w:val="center"/>
              <w:rPr>
                <w:rFonts w:ascii="Times New Roman" w:hAnsi="Times New Roman"/>
                <w:sz w:val="16"/>
                <w:szCs w:val="16"/>
              </w:rPr>
            </w:pPr>
            <w:r>
              <w:rPr>
                <w:rFonts w:ascii="Times New Roman" w:hAnsi="Times New Roman"/>
                <w:color w:val="000000"/>
                <w:sz w:val="16"/>
                <w:szCs w:val="16"/>
              </w:rPr>
              <w:t>log2</w:t>
            </w:r>
          </w:p>
        </w:tc>
        <w:tc>
          <w:tcPr>
            <w:tcW w:w="994" w:type="dxa"/>
            <w:tcBorders>
              <w:top w:val="single" w:color="auto" w:sz="8" w:space="0"/>
              <w:bottom w:val="single" w:color="auto" w:sz="8" w:space="0"/>
            </w:tcBorders>
            <w:shd w:val="clear" w:color="auto" w:fill="auto"/>
          </w:tcPr>
          <w:p>
            <w:pPr>
              <w:widowControl/>
              <w:jc w:val="left"/>
              <w:rPr>
                <w:rFonts w:ascii="Times New Roman" w:hAnsi="Times New Roman"/>
                <w:color w:val="000000"/>
                <w:sz w:val="16"/>
                <w:szCs w:val="16"/>
                <w:lang w:bidi="ar"/>
              </w:rPr>
            </w:pPr>
            <w:r>
              <w:rPr>
                <w:rFonts w:ascii="Times New Roman" w:hAnsi="Times New Roman"/>
                <w:color w:val="000000"/>
                <w:sz w:val="16"/>
                <w:szCs w:val="16"/>
                <w:lang w:bidi="ar"/>
              </w:rPr>
              <w:t xml:space="preserve">Information related to pain </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op w:val="single" w:color="auto" w:sz="8" w:space="0"/>
              <w:tl2br w:val="nil"/>
              <w:tr2bl w:val="nil"/>
            </w:tcBorders>
            <w:shd w:val="clear" w:color="auto" w:fill="auto"/>
          </w:tcPr>
          <w:p>
            <w:pPr>
              <w:rPr>
                <w:rFonts w:hint="default"/>
                <w:color w:val="C00000"/>
              </w:rPr>
            </w:pPr>
            <w:r>
              <w:rPr>
                <w:rFonts w:ascii="Times New Roman" w:hAnsi="Times New Roman" w:eastAsia="Segoe UI"/>
                <w:color w:val="C00000"/>
                <w:sz w:val="16"/>
                <w:szCs w:val="16"/>
                <w:shd w:val="clear" w:color="auto" w:fill="FFFFFF"/>
              </w:rPr>
              <w:t> Cnr2</w:t>
            </w:r>
            <w:r>
              <w:rPr>
                <w:rFonts w:ascii="Times New Roman" w:hAnsi="Times New Roman"/>
                <w:color w:val="C00000"/>
                <w:sz w:val="16"/>
                <w:szCs w:val="16"/>
                <w:shd w:val="clear" w:color="auto" w:fill="FFFFFF"/>
              </w:rPr>
              <w:t>(</w:t>
            </w:r>
            <w:r>
              <w:rPr>
                <w:rFonts w:ascii="Times New Roman" w:hAnsi="Times New Roman" w:eastAsia="Segoe UI"/>
                <w:color w:val="C00000"/>
                <w:sz w:val="16"/>
                <w:szCs w:val="16"/>
                <w:shd w:val="clear" w:color="auto" w:fill="FFFFFF"/>
              </w:rPr>
              <w:t>cannabinoid receptor 2</w:t>
            </w:r>
            <w:r>
              <w:rPr>
                <w:rFonts w:ascii="Times New Roman" w:hAnsi="Times New Roman"/>
                <w:color w:val="C00000"/>
                <w:sz w:val="16"/>
                <w:szCs w:val="16"/>
                <w:shd w:val="clear" w:color="auto" w:fill="FFFFFF"/>
              </w:rPr>
              <w:t>)</w:t>
            </w:r>
          </w:p>
        </w:tc>
        <w:tc>
          <w:tcPr>
            <w:tcW w:w="506" w:type="dxa"/>
            <w:tcBorders>
              <w:top w:val="single" w:color="auto" w:sz="8" w:space="0"/>
              <w:tl2br w:val="nil"/>
              <w:tr2bl w:val="nil"/>
            </w:tcBorders>
            <w:shd w:val="clear" w:color="auto" w:fill="auto"/>
          </w:tcPr>
          <w:p>
            <w:pPr>
              <w:pStyle w:val="16"/>
              <w:widowControl/>
              <w:spacing w:beforeAutospacing="0" w:afterAutospacing="0" w:line="240" w:lineRule="atLeast"/>
              <w:rPr>
                <w:rFonts w:hint="default" w:ascii="Times New Roman" w:hAnsi="Times New Roman" w:eastAsia="宋体"/>
                <w:color w:val="C00000"/>
                <w:sz w:val="16"/>
                <w:szCs w:val="16"/>
                <w:lang w:val="en-US" w:eastAsia="zh-CN"/>
              </w:rPr>
            </w:pPr>
            <w:r>
              <w:rPr>
                <w:rFonts w:hint="eastAsia" w:eastAsia="宋体"/>
                <w:color w:val="C00000"/>
                <w:sz w:val="16"/>
                <w:szCs w:val="16"/>
                <w:lang w:val="en-US" w:eastAsia="zh-CN"/>
              </w:rPr>
              <w:t>5.7</w:t>
            </w:r>
          </w:p>
        </w:tc>
        <w:tc>
          <w:tcPr>
            <w:tcW w:w="985" w:type="dxa"/>
            <w:tcBorders>
              <w:top w:val="single" w:color="auto" w:sz="8" w:space="0"/>
              <w:tl2br w:val="nil"/>
              <w:tr2bl w:val="nil"/>
            </w:tcBorders>
            <w:shd w:val="clear" w:color="auto" w:fill="auto"/>
          </w:tcPr>
          <w:p>
            <w:pPr>
              <w:widowControl/>
              <w:jc w:val="left"/>
              <w:rPr>
                <w:rStyle w:val="22"/>
                <w:rFonts w:ascii="Times New Roman" w:hAnsi="Times New Roman"/>
                <w:b w:val="0"/>
                <w:color w:val="C00000"/>
                <w:sz w:val="16"/>
                <w:szCs w:val="16"/>
              </w:rPr>
            </w:pPr>
            <w:r>
              <w:rPr>
                <w:rFonts w:ascii="Times New Roman" w:hAnsi="Times New Roman"/>
                <w:color w:val="C00000"/>
                <w:sz w:val="16"/>
                <w:szCs w:val="16"/>
              </w:rPr>
              <w:t>*</w:t>
            </w:r>
            <w:r>
              <w:rPr>
                <w:rStyle w:val="22"/>
                <w:rFonts w:ascii="Times New Roman" w:hAnsi="Times New Roman"/>
                <w:b w:val="0"/>
                <w:color w:val="C00000"/>
                <w:sz w:val="16"/>
                <w:szCs w:val="16"/>
              </w:rPr>
              <w:t>(Lacombe et al., 1986</w:t>
            </w:r>
            <w:r>
              <w:rPr>
                <w:rStyle w:val="22"/>
                <w:rFonts w:hint="eastAsia" w:ascii="Times New Roman" w:hAnsi="Times New Roman"/>
                <w:b w:val="0"/>
                <w:color w:val="C00000"/>
                <w:sz w:val="16"/>
                <w:szCs w:val="16"/>
                <w:lang w:val="en-US" w:eastAsia="zh-CN"/>
              </w:rPr>
              <w:t xml:space="preserve">, </w:t>
            </w:r>
            <w:r>
              <w:rPr>
                <w:rStyle w:val="22"/>
                <w:rFonts w:ascii="Times New Roman" w:hAnsi="Times New Roman"/>
                <w:b w:val="0"/>
                <w:color w:val="C00000"/>
                <w:sz w:val="16"/>
                <w:szCs w:val="16"/>
              </w:rPr>
              <w:t>Luo et al., 2020)</w:t>
            </w:r>
          </w:p>
        </w:tc>
        <w:tc>
          <w:tcPr>
            <w:tcW w:w="240" w:type="dxa"/>
            <w:tcBorders>
              <w:top w:val="single" w:color="auto" w:sz="8" w:space="0"/>
              <w:tl2br w:val="nil"/>
              <w:tr2bl w:val="nil"/>
            </w:tcBorders>
            <w:shd w:val="clear" w:color="auto" w:fill="auto"/>
          </w:tcPr>
          <w:p>
            <w:pPr>
              <w:widowControl/>
              <w:jc w:val="left"/>
              <w:rPr>
                <w:rFonts w:ascii="Times New Roman" w:hAnsi="Times New Roman"/>
                <w:color w:val="000000"/>
                <w:sz w:val="16"/>
                <w:szCs w:val="16"/>
              </w:rPr>
            </w:pPr>
          </w:p>
        </w:tc>
        <w:tc>
          <w:tcPr>
            <w:tcW w:w="2051" w:type="dxa"/>
            <w:tcBorders>
              <w:top w:val="single" w:color="auto" w:sz="8" w:space="0"/>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Calb2(</w:t>
            </w:r>
            <w:r>
              <w:rPr>
                <w:rFonts w:ascii="Times New Roman" w:hAnsi="Times New Roman" w:eastAsia="Segoe UI"/>
                <w:sz w:val="16"/>
                <w:szCs w:val="16"/>
                <w:shd w:val="clear" w:color="auto" w:fill="FFFFFF"/>
              </w:rPr>
              <w:t>calbindin 2</w:t>
            </w:r>
            <w:r>
              <w:rPr>
                <w:rFonts w:ascii="Times New Roman" w:hAnsi="Times New Roman"/>
                <w:color w:val="000000"/>
                <w:sz w:val="16"/>
                <w:szCs w:val="16"/>
              </w:rPr>
              <w:t>)</w:t>
            </w:r>
          </w:p>
        </w:tc>
        <w:tc>
          <w:tcPr>
            <w:tcW w:w="562" w:type="dxa"/>
            <w:tcBorders>
              <w:top w:val="single" w:color="auto" w:sz="8" w:space="0"/>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-2.17</w:t>
            </w:r>
          </w:p>
        </w:tc>
        <w:tc>
          <w:tcPr>
            <w:tcW w:w="994" w:type="dxa"/>
            <w:tcBorders>
              <w:top w:val="single" w:color="auto" w:sz="8" w:space="0"/>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Alb(</w:t>
            </w:r>
            <w:r>
              <w:rPr>
                <w:rFonts w:ascii="Times New Roman" w:hAnsi="Times New Roman" w:eastAsia="Segoe UI"/>
                <w:sz w:val="16"/>
                <w:szCs w:val="16"/>
                <w:shd w:val="clear" w:color="auto" w:fill="FFFFFF"/>
              </w:rPr>
              <w:t>albumin</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8.61</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(Vincenzetti et al., 2019)</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Vstm2b(</w:t>
            </w:r>
            <w:r>
              <w:rPr>
                <w:rFonts w:ascii="Times New Roman" w:hAnsi="Times New Roman" w:eastAsia="Segoe UI"/>
                <w:sz w:val="16"/>
                <w:szCs w:val="16"/>
                <w:shd w:val="clear" w:color="auto" w:fill="FFFFFF"/>
              </w:rPr>
              <w:t>V-set and transmembrane domain containing 2B</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-1.16</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(Tang et al., 2020)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2"/>
              <w:widowControl/>
              <w:numPr>
                <w:ilvl w:val="0"/>
                <w:numId w:val="0"/>
              </w:numPr>
              <w:ind w:leftChars="0"/>
              <w:rPr>
                <w:rFonts w:hint="default"/>
              </w:rPr>
            </w:pPr>
            <w:r>
              <w:rPr>
                <w:rFonts w:hint="default" w:ascii="Times New Roman" w:hAnsi="Times New Roman" w:eastAsia="Segoe UI" w:cs="Times New Roman"/>
                <w:b w:val="0"/>
                <w:sz w:val="16"/>
                <w:szCs w:val="16"/>
                <w:shd w:val="clear" w:color="auto" w:fill="FFFFFF"/>
                <w:lang w:val="en-US" w:eastAsia="en-US" w:bidi="ar-SA"/>
              </w:rPr>
              <w:t>Mmp8(Matrix metalloproteinases -8)</w:t>
            </w:r>
          </w:p>
          <w:p>
            <w:pPr>
              <w:pStyle w:val="16"/>
              <w:widowControl/>
              <w:spacing w:beforeAutospacing="0" w:afterAutospacing="0" w:line="240" w:lineRule="atLeast"/>
              <w:rPr>
                <w:rFonts w:ascii="Times New Roman" w:hAnsi="Times New Roman"/>
                <w:sz w:val="16"/>
                <w:szCs w:val="16"/>
              </w:rPr>
            </w:pPr>
          </w:p>
        </w:tc>
        <w:tc>
          <w:tcPr>
            <w:tcW w:w="506" w:type="dxa"/>
            <w:tcBorders>
              <w:tl2br w:val="nil"/>
              <w:tr2bl w:val="nil"/>
            </w:tcBorders>
            <w:shd w:val="clear" w:color="auto" w:fill="auto"/>
          </w:tcPr>
          <w:p>
            <w:pPr>
              <w:pStyle w:val="16"/>
              <w:widowControl/>
              <w:spacing w:beforeAutospacing="0" w:afterAutospacing="0" w:line="240" w:lineRule="atLeast"/>
              <w:rPr>
                <w:rFonts w:hint="default" w:ascii="Times New Roman" w:hAnsi="Times New Roman" w:eastAsia="宋体"/>
                <w:sz w:val="16"/>
                <w:szCs w:val="16"/>
                <w:lang w:val="en-US" w:eastAsia="zh-CN"/>
              </w:rPr>
            </w:pPr>
            <w:r>
              <w:rPr>
                <w:rFonts w:hint="eastAsia" w:eastAsia="宋体"/>
                <w:sz w:val="16"/>
                <w:szCs w:val="16"/>
                <w:lang w:val="en-US" w:eastAsia="zh-CN"/>
              </w:rPr>
              <w:t>9.05</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(Cafferata et al., 2021</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Tajerian and Clark, 2019)</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Kcng4(</w:t>
            </w:r>
            <w:r>
              <w:rPr>
                <w:rFonts w:ascii="Times New Roman" w:hAnsi="Times New Roman" w:eastAsia="Segoe UI"/>
                <w:sz w:val="16"/>
                <w:szCs w:val="16"/>
                <w:shd w:val="clear" w:color="auto" w:fill="FFFFFF"/>
              </w:rPr>
              <w:t>potassium voltage-gated channel, subfamily G, member 4</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-0.96</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(Lee et al., 2020)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Ifitm6(</w:t>
            </w:r>
            <w:r>
              <w:rPr>
                <w:rFonts w:ascii="Times New Roman" w:hAnsi="Times New Roman" w:eastAsia="Segoe UI"/>
                <w:sz w:val="16"/>
                <w:szCs w:val="16"/>
                <w:shd w:val="clear" w:color="auto" w:fill="FFFFFF"/>
              </w:rPr>
              <w:t> interferon induced transmembrane protein 6</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8.00</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Agtr1b(</w:t>
            </w:r>
            <w:r>
              <w:rPr>
                <w:rFonts w:ascii="Times New Roman" w:hAnsi="Times New Roman" w:eastAsia="Segoe UI"/>
                <w:sz w:val="16"/>
                <w:szCs w:val="16"/>
                <w:shd w:val="clear" w:color="auto" w:fill="FFFFFF"/>
              </w:rPr>
              <w:t>angiotensin II receptor, type 1b</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-0.79</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(Shepherd et al., 2018</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Smith and Muralidharan, 2015)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Ly6a2(</w:t>
            </w:r>
            <w:r>
              <w:rPr>
                <w:rFonts w:ascii="Times New Roman" w:hAnsi="Times New Roman" w:eastAsia="Segoe UI"/>
                <w:sz w:val="16"/>
                <w:szCs w:val="16"/>
                <w:shd w:val="clear" w:color="auto" w:fill="FFFFFF"/>
              </w:rPr>
              <w:t>lymphocyte antigen 6 complex, locus A2</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7.63</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Tmem108(</w:t>
            </w:r>
            <w:r>
              <w:rPr>
                <w:rFonts w:ascii="Times New Roman" w:hAnsi="Times New Roman" w:eastAsia="Segoe UI"/>
                <w:sz w:val="16"/>
                <w:szCs w:val="16"/>
                <w:shd w:val="clear" w:color="auto" w:fill="FFFFFF"/>
              </w:rPr>
              <w:t>transmembrane protein 108</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-0.75</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Ngp(</w:t>
            </w:r>
            <w:r>
              <w:rPr>
                <w:rFonts w:ascii="Times New Roman" w:hAnsi="Times New Roman" w:eastAsia="Segoe UI"/>
                <w:sz w:val="16"/>
                <w:szCs w:val="16"/>
                <w:shd w:val="clear" w:color="auto" w:fill="FFFFFF"/>
              </w:rPr>
              <w:t>neutrophilic granule protein</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7.44</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Mid1(</w:t>
            </w:r>
            <w:r>
              <w:rPr>
                <w:rFonts w:ascii="Times New Roman" w:hAnsi="Times New Roman" w:eastAsia="Segoe UI"/>
                <w:sz w:val="16"/>
                <w:szCs w:val="16"/>
                <w:shd w:val="clear" w:color="auto" w:fill="FFFFFF"/>
              </w:rPr>
              <w:t> midline 1</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-0.74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S100a9(</w:t>
            </w:r>
            <w:r>
              <w:rPr>
                <w:rFonts w:ascii="Times New Roman" w:hAnsi="Times New Roman" w:eastAsia="Segoe UI"/>
                <w:sz w:val="16"/>
                <w:szCs w:val="16"/>
                <w:shd w:val="clear" w:color="auto" w:fill="FFFFFF"/>
              </w:rPr>
              <w:t> S100 calcium binding protein A9 (calgranulin B)</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7.38</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(Blom et al., 2020</w:t>
            </w:r>
            <w:r>
              <w:rPr>
                <w:rStyle w:val="22"/>
                <w:rFonts w:hint="eastAsia" w:ascii="Times New Roman" w:hAnsi="Times New Roman"/>
                <w:b w:val="0"/>
                <w:sz w:val="16"/>
                <w:szCs w:val="16"/>
                <w:lang w:val="en-US" w:eastAsia="zh-CN"/>
              </w:rPr>
              <w:t xml:space="preserve">, </w:t>
            </w:r>
            <w:r>
              <w:rPr>
                <w:rFonts w:ascii="Times New Roman" w:hAnsi="Times New Roman"/>
                <w:sz w:val="16"/>
                <w:szCs w:val="16"/>
              </w:rPr>
              <w:t>Forouzan et al., 2018)</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Prrt3(</w:t>
            </w:r>
            <w:r>
              <w:rPr>
                <w:rFonts w:ascii="Times New Roman" w:hAnsi="Times New Roman" w:eastAsia="Segoe UI"/>
                <w:sz w:val="16"/>
                <w:szCs w:val="16"/>
                <w:shd w:val="clear" w:color="auto" w:fill="FFFFFF"/>
              </w:rPr>
              <w:t> proline-rich transmembrane protein 3</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-0.72</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S100a8(</w:t>
            </w:r>
            <w:r>
              <w:rPr>
                <w:rFonts w:ascii="Times New Roman" w:hAnsi="Times New Roman" w:eastAsia="Segoe UI"/>
                <w:sz w:val="16"/>
                <w:szCs w:val="16"/>
                <w:shd w:val="clear" w:color="auto" w:fill="FFFFFF"/>
              </w:rPr>
              <w:t> S100 calcium binding protein A8 (calgranulin A)</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7.18</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(Forouzan et al., 2018)</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Omg(</w:t>
            </w:r>
            <w:r>
              <w:rPr>
                <w:rFonts w:ascii="Times New Roman" w:hAnsi="Times New Roman" w:eastAsia="Segoe UI"/>
                <w:sz w:val="16"/>
                <w:szCs w:val="16"/>
                <w:shd w:val="clear" w:color="auto" w:fill="FFFFFF"/>
              </w:rPr>
              <w:t> oligodendrocyte myelin glycoprotein</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-0.69</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Fonts w:ascii="Times New Roman" w:hAnsi="Times New Roman"/>
                <w:sz w:val="16"/>
                <w:szCs w:val="16"/>
              </w:rPr>
              <w:t>(Jarius et al., 2016</w:t>
            </w:r>
            <w:r>
              <w:rPr>
                <w:rFonts w:hint="eastAsia" w:ascii="Times New Roman" w:hAnsi="Times New Roman"/>
                <w:sz w:val="16"/>
                <w:szCs w:val="16"/>
                <w:lang w:val="en-US" w:eastAsia="zh-CN"/>
              </w:rPr>
              <w:t xml:space="preserve">, </w:t>
            </w:r>
            <w:r>
              <w:rPr>
                <w:rStyle w:val="22"/>
                <w:rFonts w:ascii="Times New Roman" w:hAnsi="Times New Roman"/>
                <w:b w:val="0"/>
                <w:sz w:val="16"/>
                <w:szCs w:val="16"/>
              </w:rPr>
              <w:t>Ishikawa et al., 2019)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Ltf(</w:t>
            </w:r>
            <w:r>
              <w:rPr>
                <w:rFonts w:ascii="Times New Roman" w:hAnsi="Times New Roman" w:eastAsia="Segoe UI"/>
                <w:sz w:val="16"/>
                <w:szCs w:val="16"/>
                <w:shd w:val="clear" w:color="auto" w:fill="FFFFFF"/>
              </w:rPr>
              <w:t> lactotransferrin</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7.11</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Gm765(</w:t>
            </w:r>
            <w:r>
              <w:rPr>
                <w:rFonts w:ascii="Times New Roman" w:hAnsi="Times New Roman" w:eastAsia="Segoe UI"/>
                <w:sz w:val="16"/>
                <w:szCs w:val="16"/>
                <w:shd w:val="clear" w:color="auto" w:fill="FFFFFF"/>
              </w:rPr>
              <w:t> predicted gene 765</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-0.68</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Slfn4(</w:t>
            </w:r>
            <w:r>
              <w:rPr>
                <w:rFonts w:ascii="Times New Roman" w:hAnsi="Times New Roman" w:eastAsia="Segoe UI"/>
                <w:sz w:val="16"/>
                <w:szCs w:val="16"/>
                <w:shd w:val="clear" w:color="auto" w:fill="FFFFFF"/>
              </w:rPr>
              <w:t> schlafen 4</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6.93</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Fam234b(</w:t>
            </w:r>
            <w:r>
              <w:rPr>
                <w:rFonts w:ascii="Times New Roman" w:hAnsi="Times New Roman" w:eastAsia="Segoe UI"/>
                <w:sz w:val="16"/>
                <w:szCs w:val="16"/>
                <w:shd w:val="clear" w:color="auto" w:fill="FFFFFF"/>
              </w:rPr>
              <w:t>family with sequence similarity 234, member B</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-0.67</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Retnlg(</w:t>
            </w:r>
            <w:r>
              <w:rPr>
                <w:rFonts w:ascii="Times New Roman" w:hAnsi="Times New Roman" w:eastAsia="Segoe UI"/>
                <w:sz w:val="16"/>
                <w:szCs w:val="16"/>
                <w:shd w:val="clear" w:color="auto" w:fill="FFFFFF"/>
              </w:rPr>
              <w:t>resistin like gamma</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6.77</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hint="eastAsia" w:ascii="Times New Roman" w:hAnsi="Times New Roman"/>
                <w:color w:val="000000"/>
                <w:sz w:val="16"/>
                <w:szCs w:val="16"/>
              </w:rPr>
              <w:t>#</w:t>
            </w:r>
            <w:r>
              <w:rPr>
                <w:rFonts w:ascii="Times New Roman" w:hAnsi="Times New Roman"/>
                <w:color w:val="000000"/>
                <w:sz w:val="16"/>
                <w:szCs w:val="16"/>
              </w:rPr>
              <w:t>(Nagaev et al., 2006)</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Kcnq5(</w:t>
            </w:r>
            <w:r>
              <w:rPr>
                <w:rFonts w:ascii="Times New Roman" w:hAnsi="Times New Roman" w:eastAsia="Segoe UI"/>
                <w:sz w:val="16"/>
                <w:szCs w:val="16"/>
                <w:shd w:val="clear" w:color="auto" w:fill="FFFFFF"/>
              </w:rPr>
              <w:t> potassium voltage-gated channel, subfamily Q, member 5</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Fonts w:ascii="Times New Roman" w:hAnsi="Times New Roman"/>
                <w:sz w:val="16"/>
                <w:szCs w:val="16"/>
              </w:rPr>
              <w:t>(Manville and Abbott, 2018)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Ear6(</w:t>
            </w:r>
            <w:r>
              <w:rPr>
                <w:rFonts w:ascii="Times New Roman" w:hAnsi="Times New Roman" w:eastAsia="Segoe UI"/>
                <w:sz w:val="16"/>
                <w:szCs w:val="16"/>
                <w:shd w:val="clear" w:color="auto" w:fill="FFFFFF"/>
              </w:rPr>
              <w:t>eosinophil-associated, ribonuclease A family, member 6</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6.71</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Kcnc3(</w:t>
            </w:r>
            <w:r>
              <w:rPr>
                <w:rFonts w:ascii="Times New Roman" w:hAnsi="Times New Roman" w:eastAsia="Segoe UI"/>
                <w:sz w:val="16"/>
                <w:szCs w:val="16"/>
                <w:shd w:val="clear" w:color="auto" w:fill="FFFFFF"/>
              </w:rPr>
              <w:t>potassium voltage gated channel, Shaw-related subfamily, member 3</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-0.63</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8" w:hRule="atLeast"/>
        </w:trPr>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Chil3(</w:t>
            </w:r>
            <w:r>
              <w:rPr>
                <w:rFonts w:ascii="Times New Roman" w:hAnsi="Times New Roman" w:eastAsia="Segoe UI"/>
                <w:sz w:val="16"/>
                <w:szCs w:val="16"/>
                <w:shd w:val="clear" w:color="auto" w:fill="FFFFFF"/>
              </w:rPr>
              <w:t>chitinase-like 3</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6.68</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Sema7a(</w:t>
            </w:r>
            <w:r>
              <w:rPr>
                <w:rFonts w:ascii="Times New Roman" w:hAnsi="Times New Roman" w:eastAsia="Segoe UI"/>
                <w:sz w:val="16"/>
                <w:szCs w:val="16"/>
                <w:shd w:val="clear" w:color="auto" w:fill="FFFFFF"/>
              </w:rPr>
              <w:t> sema domain, immunoglobulin domain (Ig), and GPI membrane anchor, (semaphorin) 7A</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-0.62</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(König et al., 2014</w:t>
            </w:r>
            <w:r>
              <w:rPr>
                <w:rStyle w:val="22"/>
                <w:rFonts w:hint="eastAsia" w:ascii="Times New Roman" w:hAnsi="Times New Roman"/>
                <w:b w:val="0"/>
                <w:sz w:val="16"/>
                <w:szCs w:val="16"/>
                <w:lang w:val="en-US" w:eastAsia="zh-CN"/>
              </w:rPr>
              <w:t xml:space="preserve">, </w:t>
            </w:r>
            <w:r>
              <w:rPr>
                <w:rFonts w:ascii="Times New Roman" w:hAnsi="Times New Roman"/>
                <w:sz w:val="16"/>
                <w:szCs w:val="16"/>
              </w:rPr>
              <w:t>Körner et al., 2021)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Reg3b(</w:t>
            </w:r>
            <w:r>
              <w:rPr>
                <w:rFonts w:ascii="Times New Roman" w:hAnsi="Times New Roman" w:eastAsia="Segoe UI"/>
                <w:sz w:val="16"/>
                <w:szCs w:val="16"/>
                <w:shd w:val="clear" w:color="auto" w:fill="FFFFFF"/>
              </w:rPr>
              <w:t> regenerating family member 3 beta</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6.62</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sz w:val="16"/>
                <w:szCs w:val="16"/>
              </w:rPr>
              <w:t>#(Mei et al., 2019</w:t>
            </w:r>
            <w:r>
              <w:rPr>
                <w:rFonts w:hint="eastAsia" w:ascii="Times New Roman" w:hAnsi="Times New Roman"/>
                <w:sz w:val="16"/>
                <w:szCs w:val="16"/>
                <w:lang w:val="en-US" w:eastAsia="zh-CN"/>
              </w:rPr>
              <w:t xml:space="preserve">, </w:t>
            </w:r>
            <w:r>
              <w:rPr>
                <w:rFonts w:ascii="Times New Roman" w:hAnsi="Times New Roman"/>
                <w:sz w:val="16"/>
                <w:szCs w:val="16"/>
              </w:rPr>
              <w:t>Sarkar et al., 2020)</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P2rx6(</w:t>
            </w:r>
            <w:r>
              <w:rPr>
                <w:rFonts w:ascii="Times New Roman" w:hAnsi="Times New Roman" w:eastAsia="Segoe UI"/>
                <w:sz w:val="16"/>
                <w:szCs w:val="16"/>
                <w:shd w:val="clear" w:color="auto" w:fill="FFFFFF"/>
              </w:rPr>
              <w:t>purinergic receptor P2X, ligand-gated ion channel, 6</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-0.61</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(Chen et al.,</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2016</w:t>
            </w:r>
            <w:r>
              <w:rPr>
                <w:rStyle w:val="22"/>
                <w:rFonts w:hint="eastAsia" w:ascii="Times New Roman" w:hAnsi="Times New Roman"/>
                <w:b w:val="0"/>
                <w:sz w:val="16"/>
                <w:szCs w:val="16"/>
                <w:lang w:val="en-US" w:eastAsia="zh-CN"/>
              </w:rPr>
              <w:t xml:space="preserve">, </w:t>
            </w:r>
            <w:r>
              <w:rPr>
                <w:rStyle w:val="22"/>
                <w:rFonts w:ascii="Times New Roman" w:hAnsi="Times New Roman"/>
                <w:b w:val="0"/>
                <w:sz w:val="16"/>
                <w:szCs w:val="16"/>
              </w:rPr>
              <w:t>Leng et al., 2019)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Camp(</w:t>
            </w:r>
            <w:r>
              <w:rPr>
                <w:rFonts w:ascii="Times New Roman" w:hAnsi="Times New Roman" w:eastAsia="Segoe UI"/>
                <w:sz w:val="16"/>
                <w:szCs w:val="16"/>
                <w:shd w:val="clear" w:color="auto" w:fill="FFFFFF"/>
              </w:rPr>
              <w:t> cathelicidin antimicrobial peptide</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6.61</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(Wang et al., 2021b)</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Rph3a(</w:t>
            </w:r>
            <w:r>
              <w:rPr>
                <w:rFonts w:ascii="Times New Roman" w:hAnsi="Times New Roman" w:eastAsia="Segoe UI"/>
                <w:sz w:val="16"/>
                <w:szCs w:val="16"/>
                <w:shd w:val="clear" w:color="auto" w:fill="FFFFFF"/>
              </w:rPr>
              <w:t>rabphilin 3A</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-0.60</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Pilrb1(</w:t>
            </w:r>
            <w:r>
              <w:rPr>
                <w:rFonts w:ascii="Times New Roman" w:hAnsi="Times New Roman" w:eastAsia="Segoe UI"/>
                <w:sz w:val="16"/>
                <w:szCs w:val="16"/>
                <w:shd w:val="clear" w:color="auto" w:fill="FFFFFF"/>
              </w:rPr>
              <w:t> paired immunoglobin-like type 2 receptor beta 1</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6.50</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Thrsp(</w:t>
            </w:r>
            <w:r>
              <w:rPr>
                <w:rFonts w:ascii="Times New Roman" w:hAnsi="Times New Roman" w:eastAsia="Segoe UI"/>
                <w:sz w:val="16"/>
                <w:szCs w:val="16"/>
                <w:shd w:val="clear" w:color="auto" w:fill="FFFFFF"/>
              </w:rPr>
              <w:t> thyroid hormone responsive</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-0.60</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Ear1(</w:t>
            </w:r>
            <w:r>
              <w:rPr>
                <w:rFonts w:ascii="Times New Roman" w:hAnsi="Times New Roman" w:eastAsia="Segoe UI"/>
                <w:sz w:val="16"/>
                <w:szCs w:val="16"/>
                <w:shd w:val="clear" w:color="auto" w:fill="FFFFFF"/>
              </w:rPr>
              <w:t> eosinophil-associated, ribonuclease A family, member 1</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6.46</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Patj(</w:t>
            </w:r>
            <w:r>
              <w:rPr>
                <w:rFonts w:ascii="Times New Roman" w:hAnsi="Times New Roman" w:eastAsia="Segoe UI"/>
                <w:sz w:val="16"/>
                <w:szCs w:val="16"/>
                <w:shd w:val="clear" w:color="auto" w:fill="FFFFFF"/>
              </w:rPr>
              <w:t> PATJ, crumbs cell polarity complex component</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-0.57</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Trem1(</w:t>
            </w:r>
            <w:r>
              <w:rPr>
                <w:rFonts w:ascii="Times New Roman" w:hAnsi="Times New Roman" w:eastAsia="Segoe UI"/>
                <w:sz w:val="16"/>
                <w:szCs w:val="16"/>
                <w:shd w:val="clear" w:color="auto" w:fill="FFFFFF"/>
              </w:rPr>
              <w:t> triggering receptor expressed on myeloid cells 1</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6.35</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Style w:val="22"/>
                <w:rFonts w:ascii="Times New Roman" w:hAnsi="Times New Roman"/>
                <w:b w:val="0"/>
                <w:sz w:val="16"/>
                <w:szCs w:val="16"/>
              </w:rPr>
              <w:t>#*(Li et al., 2019b</w:t>
            </w:r>
            <w:r>
              <w:rPr>
                <w:rStyle w:val="22"/>
                <w:rFonts w:hint="eastAsia" w:ascii="Times New Roman" w:hAnsi="Times New Roman"/>
                <w:b w:val="0"/>
                <w:sz w:val="16"/>
                <w:szCs w:val="16"/>
                <w:lang w:val="en-US" w:eastAsia="zh-CN"/>
              </w:rPr>
              <w:t xml:space="preserve">, </w:t>
            </w:r>
            <w:r>
              <w:rPr>
                <w:rFonts w:ascii="Times New Roman" w:hAnsi="Times New Roman"/>
                <w:sz w:val="16"/>
                <w:szCs w:val="16"/>
              </w:rPr>
              <w:t>Thankam et al., 2016</w:t>
            </w:r>
            <w:r>
              <w:rPr>
                <w:rFonts w:hint="eastAsia" w:ascii="Times New Roman" w:hAnsi="Times New Roman"/>
                <w:sz w:val="16"/>
                <w:szCs w:val="16"/>
                <w:lang w:val="en-US" w:eastAsia="zh-CN"/>
              </w:rPr>
              <w:t xml:space="preserve">, </w:t>
            </w:r>
            <w:r>
              <w:rPr>
                <w:rStyle w:val="22"/>
                <w:rFonts w:ascii="Times New Roman" w:hAnsi="Times New Roman"/>
                <w:b w:val="0"/>
                <w:sz w:val="16"/>
                <w:szCs w:val="16"/>
              </w:rPr>
              <w:t>Du et al., 2018)</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Kcnmb1(</w:t>
            </w:r>
            <w:r>
              <w:rPr>
                <w:rFonts w:ascii="Times New Roman" w:hAnsi="Times New Roman" w:eastAsia="Segoe UI"/>
                <w:sz w:val="16"/>
                <w:szCs w:val="16"/>
                <w:shd w:val="clear" w:color="auto" w:fill="FFFFFF"/>
              </w:rPr>
              <w:t>potassium large conductance calcium-activated channel, subfamily M, beta member 1</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-0.56</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Fcnb(</w:t>
            </w:r>
            <w:r>
              <w:rPr>
                <w:rFonts w:ascii="Times New Roman" w:hAnsi="Times New Roman" w:eastAsia="Segoe UI"/>
                <w:sz w:val="16"/>
                <w:szCs w:val="16"/>
                <w:shd w:val="clear" w:color="auto" w:fill="FFFFFF"/>
              </w:rPr>
              <w:t>ficolin B</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6.27</w:t>
            </w:r>
          </w:p>
        </w:tc>
        <w:tc>
          <w:tcPr>
            <w:tcW w:w="985" w:type="dxa"/>
            <w:tcBorders>
              <w:tl2br w:val="nil"/>
              <w:tr2bl w:val="nil"/>
            </w:tcBorders>
            <w:shd w:val="clear" w:color="auto" w:fill="auto"/>
          </w:tcPr>
          <w:p>
            <w:pPr>
              <w:widowControl/>
              <w:jc w:val="left"/>
              <w:rPr>
                <w:rFonts w:ascii="Times New Roman" w:hAnsi="Times New Roman"/>
                <w:sz w:val="16"/>
                <w:szCs w:val="16"/>
              </w:rPr>
            </w:pP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Faim2(</w:t>
            </w:r>
            <w:r>
              <w:rPr>
                <w:rFonts w:ascii="Times New Roman" w:hAnsi="Times New Roman" w:eastAsia="Segoe UI"/>
                <w:sz w:val="16"/>
                <w:szCs w:val="16"/>
                <w:shd w:val="clear" w:color="auto" w:fill="FFFFFF"/>
              </w:rPr>
              <w:t>Fas apoptotic inhibitory molecule 2</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-0.54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Slpi(</w:t>
            </w:r>
            <w:r>
              <w:rPr>
                <w:rFonts w:ascii="Times New Roman" w:hAnsi="Times New Roman" w:eastAsia="Segoe UI"/>
                <w:sz w:val="16"/>
                <w:szCs w:val="16"/>
                <w:shd w:val="clear" w:color="auto" w:fill="FFFFFF"/>
              </w:rPr>
              <w:t> secretory leukocyte peptidase inhibitor</w:t>
            </w:r>
            <w:r>
              <w:rPr>
                <w:rFonts w:ascii="Times New Roman" w:hAnsi="Times New Roman"/>
                <w:color w:val="000000"/>
                <w:sz w:val="16"/>
                <w:szCs w:val="16"/>
              </w:rPr>
              <w:t>)</w:t>
            </w:r>
          </w:p>
        </w:tc>
        <w:tc>
          <w:tcPr>
            <w:tcW w:w="506"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6.25</w:t>
            </w:r>
          </w:p>
        </w:tc>
        <w:tc>
          <w:tcPr>
            <w:tcW w:w="985" w:type="dxa"/>
            <w:tcBorders>
              <w:tl2br w:val="nil"/>
              <w:tr2bl w:val="nil"/>
            </w:tcBorders>
            <w:shd w:val="clear" w:color="auto" w:fill="auto"/>
          </w:tcPr>
          <w:p>
            <w:pPr>
              <w:widowControl/>
              <w:jc w:val="left"/>
              <w:rPr>
                <w:rFonts w:ascii="Times New Roman" w:hAnsi="Times New Roman"/>
                <w:color w:val="000000"/>
                <w:sz w:val="16"/>
                <w:szCs w:val="16"/>
              </w:rPr>
            </w:pPr>
            <w:r>
              <w:rPr>
                <w:rFonts w:ascii="Times New Roman" w:hAnsi="Times New Roman"/>
                <w:color w:val="000000"/>
                <w:sz w:val="16"/>
                <w:szCs w:val="16"/>
              </w:rPr>
              <w:t>*</w:t>
            </w:r>
            <w:r>
              <w:rPr>
                <w:rStyle w:val="22"/>
                <w:rFonts w:ascii="Times New Roman" w:hAnsi="Times New Roman"/>
                <w:b w:val="0"/>
                <w:sz w:val="16"/>
                <w:szCs w:val="16"/>
              </w:rPr>
              <w:t>(Shimoya et al., 2000)</w:t>
            </w:r>
          </w:p>
        </w:tc>
        <w:tc>
          <w:tcPr>
            <w:tcW w:w="240" w:type="dxa"/>
            <w:tcBorders>
              <w:tl2br w:val="nil"/>
              <w:tr2bl w:val="nil"/>
            </w:tcBorders>
            <w:shd w:val="clear" w:color="auto" w:fill="auto"/>
          </w:tcPr>
          <w:p>
            <w:pPr>
              <w:widowControl/>
              <w:jc w:val="left"/>
              <w:rPr>
                <w:rFonts w:ascii="Times New Roman" w:hAnsi="Times New Roman"/>
                <w:color w:val="000000"/>
                <w:sz w:val="16"/>
                <w:szCs w:val="16"/>
              </w:rPr>
            </w:pPr>
          </w:p>
        </w:tc>
        <w:tc>
          <w:tcPr>
            <w:tcW w:w="2051"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Pcdhac1(</w:t>
            </w:r>
            <w:r>
              <w:rPr>
                <w:rFonts w:ascii="Times New Roman" w:hAnsi="Times New Roman" w:eastAsia="Segoe UI"/>
                <w:sz w:val="16"/>
                <w:szCs w:val="16"/>
                <w:shd w:val="clear" w:color="auto" w:fill="FFFFFF"/>
              </w:rPr>
              <w:t> protocadherin alpha subfamily C, 1</w:t>
            </w:r>
            <w:r>
              <w:rPr>
                <w:rFonts w:ascii="Times New Roman" w:hAnsi="Times New Roman"/>
                <w:color w:val="000000"/>
                <w:sz w:val="16"/>
                <w:szCs w:val="16"/>
              </w:rPr>
              <w:t>)</w:t>
            </w:r>
          </w:p>
        </w:tc>
        <w:tc>
          <w:tcPr>
            <w:tcW w:w="562" w:type="dxa"/>
            <w:tcBorders>
              <w:tl2br w:val="nil"/>
              <w:tr2bl w:val="nil"/>
            </w:tcBorders>
            <w:shd w:val="clear" w:color="auto" w:fill="auto"/>
          </w:tcPr>
          <w:p>
            <w:pPr>
              <w:pStyle w:val="16"/>
              <w:widowControl/>
              <w:spacing w:beforeAutospacing="0" w:afterAutospacing="0" w:line="240" w:lineRule="atLeast"/>
              <w:rPr>
                <w:rFonts w:ascii="Times New Roman" w:hAnsi="Times New Roman"/>
                <w:sz w:val="16"/>
                <w:szCs w:val="16"/>
              </w:rPr>
            </w:pPr>
            <w:r>
              <w:rPr>
                <w:rFonts w:ascii="Times New Roman" w:hAnsi="Times New Roman"/>
                <w:color w:val="000000"/>
                <w:sz w:val="16"/>
                <w:szCs w:val="16"/>
              </w:rPr>
              <w:t>-0.54</w:t>
            </w:r>
          </w:p>
        </w:tc>
        <w:tc>
          <w:tcPr>
            <w:tcW w:w="994" w:type="dxa"/>
            <w:tcBorders>
              <w:tl2br w:val="nil"/>
              <w:tr2bl w:val="nil"/>
            </w:tcBorders>
            <w:shd w:val="clear" w:color="auto" w:fill="auto"/>
          </w:tcPr>
          <w:p>
            <w:pPr>
              <w:widowControl/>
              <w:jc w:val="left"/>
              <w:rPr>
                <w:rFonts w:ascii="Times New Roman" w:hAnsi="Times New Roman"/>
                <w:color w:val="000000"/>
                <w:sz w:val="16"/>
                <w:szCs w:val="16"/>
              </w:rPr>
            </w:pPr>
          </w:p>
        </w:tc>
      </w:tr>
    </w:tbl>
    <w:p>
      <w:pPr>
        <w:widowControl/>
        <w:jc w:val="left"/>
        <w:rPr>
          <w:rFonts w:ascii="Times New Roman" w:hAnsi="Times New Roman"/>
          <w:color w:val="000000"/>
          <w:sz w:val="24"/>
        </w:rPr>
      </w:pPr>
      <w:r>
        <w:rPr>
          <w:rFonts w:ascii="Times New Roman" w:hAnsi="Times New Roman"/>
          <w:color w:val="000000"/>
          <w:sz w:val="24"/>
        </w:rPr>
        <w:t>*</w:t>
      </w:r>
      <w:r>
        <w:rPr>
          <w:rFonts w:ascii="Times New Roman" w:hAnsi="Times New Roman"/>
          <w:sz w:val="24"/>
        </w:rPr>
        <w:t>This gene is related to pain;</w:t>
      </w:r>
      <w:r>
        <w:rPr>
          <w:rFonts w:hint="eastAsia" w:ascii="Times New Roman" w:hAnsi="Times New Roman"/>
          <w:sz w:val="24"/>
        </w:rPr>
        <w:t xml:space="preserve"> </w:t>
      </w:r>
      <w:r>
        <w:rPr>
          <w:rFonts w:ascii="Times New Roman" w:hAnsi="Times New Roman"/>
          <w:sz w:val="24"/>
        </w:rPr>
        <w:t>#This gene is related to inflammation.</w:t>
      </w:r>
    </w:p>
    <w:p>
      <w:pPr>
        <w:widowControl/>
        <w:jc w:val="left"/>
        <w:rPr>
          <w:rFonts w:ascii="Times New Roman" w:hAnsi="Times New Roman" w:eastAsia="AdvOT5fcf1b24"/>
          <w:color w:val="000000"/>
          <w:kern w:val="0"/>
          <w:sz w:val="24"/>
          <w:lang w:bidi="ar"/>
        </w:rPr>
      </w:pPr>
    </w:p>
    <w:p>
      <w:pPr>
        <w:widowControl/>
        <w:jc w:val="left"/>
        <w:rPr>
          <w:rFonts w:ascii="Times New Roman" w:hAnsi="Times New Roman" w:eastAsia="AdvOT5fcf1b24"/>
          <w:color w:val="000000"/>
          <w:kern w:val="0"/>
          <w:sz w:val="24"/>
          <w:lang w:bidi="ar"/>
        </w:rPr>
      </w:pPr>
    </w:p>
    <w:p>
      <w:pPr>
        <w:pStyle w:val="2"/>
        <w:numPr>
          <w:ilvl w:val="0"/>
          <w:numId w:val="0"/>
        </w:numPr>
        <w:ind w:leftChars="0"/>
        <w:rPr>
          <w:rFonts w:ascii="Times New Roman" w:hAnsi="Times New Roman" w:eastAsia="仿宋"/>
          <w:sz w:val="24"/>
        </w:rPr>
      </w:pPr>
      <w:r>
        <w:t>Supp</w:t>
      </w:r>
      <w:r>
        <w:rPr>
          <w:rFonts w:ascii="Times New Roman" w:hAnsi="Times New Roman" w:eastAsia="仿宋"/>
          <w:sz w:val="24"/>
        </w:rPr>
        <w:t>lementary  Table</w:t>
      </w:r>
      <w:r>
        <w:rPr>
          <w:rFonts w:hint="eastAsia" w:ascii="Times New Roman" w:hAnsi="Times New Roman" w:eastAsia="仿宋"/>
          <w:sz w:val="24"/>
          <w:lang w:val="en-US" w:eastAsia="zh-CN"/>
        </w:rPr>
        <w:t xml:space="preserve"> 7</w:t>
      </w:r>
      <w:r>
        <w:rPr>
          <w:rFonts w:hint="eastAsia" w:ascii="Times New Roman" w:hAnsi="Times New Roman" w:eastAsia="仿宋"/>
          <w:sz w:val="24"/>
        </w:rPr>
        <w:t xml:space="preserve"> </w:t>
      </w:r>
      <w:r>
        <w:rPr>
          <w:rFonts w:ascii="Times New Roman" w:hAnsi="Times New Roman" w:eastAsia="仿宋"/>
          <w:sz w:val="24"/>
        </w:rPr>
        <w:t xml:space="preserve">Molecules enriched in </w:t>
      </w:r>
      <w:r>
        <w:rPr>
          <w:rFonts w:hint="eastAsia" w:ascii="Times New Roman" w:hAnsi="Times New Roman" w:eastAsia="仿宋"/>
          <w:sz w:val="24"/>
        </w:rPr>
        <w:t xml:space="preserve">top 9 KEGG pathway in the late phase of CB1R </w:t>
      </w:r>
    </w:p>
    <w:p>
      <w:pPr>
        <w:pStyle w:val="2"/>
        <w:numPr>
          <w:ilvl w:val="0"/>
          <w:numId w:val="0"/>
        </w:numPr>
        <w:ind w:leftChars="0"/>
        <w:rPr>
          <w:rFonts w:ascii="Times New Roman" w:hAnsi="Times New Roman" w:eastAsia="仿宋"/>
          <w:sz w:val="24"/>
        </w:rPr>
      </w:pPr>
      <w:r>
        <w:rPr>
          <w:rFonts w:hint="eastAsia" w:ascii="Times New Roman" w:hAnsi="Times New Roman" w:eastAsia="仿宋"/>
          <w:sz w:val="24"/>
        </w:rPr>
        <w:t>knockout</w:t>
      </w:r>
    </w:p>
    <w:tbl>
      <w:tblPr>
        <w:tblStyle w:val="19"/>
        <w:tblpPr w:leftFromText="180" w:rightFromText="180" w:vertAnchor="text" w:horzAnchor="page" w:tblpX="1680" w:tblpY="305"/>
        <w:tblOverlap w:val="never"/>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60"/>
        <w:gridCol w:w="3996"/>
        <w:gridCol w:w="662"/>
        <w:gridCol w:w="70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bottom w:val="single" w:color="auto" w:sz="4" w:space="0"/>
            </w:tcBorders>
            <w:shd w:val="clear" w:color="auto" w:fill="auto"/>
          </w:tcPr>
          <w:p>
            <w:pPr>
              <w:widowControl/>
              <w:jc w:val="left"/>
              <w:rPr>
                <w:rFonts w:ascii="Times New Roman" w:hAnsi="Times New Roman"/>
                <w:sz w:val="18"/>
                <w:szCs w:val="18"/>
              </w:rPr>
            </w:pPr>
            <w:r>
              <w:rPr>
                <w:rFonts w:ascii="Times New Roman" w:hAnsi="Times New Roman"/>
                <w:sz w:val="18"/>
                <w:szCs w:val="18"/>
              </w:rPr>
              <w:t xml:space="preserve">KEGG pathway </w:t>
            </w:r>
            <w:r>
              <w:rPr>
                <w:rFonts w:hint="eastAsia" w:ascii="Times New Roman" w:hAnsi="Times New Roman"/>
                <w:sz w:val="18"/>
                <w:szCs w:val="18"/>
                <w:lang w:bidi="ar"/>
              </w:rPr>
              <w:t>t</w:t>
            </w:r>
            <w:r>
              <w:rPr>
                <w:rFonts w:ascii="Times New Roman" w:hAnsi="Times New Roman"/>
                <w:sz w:val="18"/>
                <w:szCs w:val="18"/>
                <w:lang w:bidi="ar"/>
              </w:rPr>
              <w:t>erm</w:t>
            </w:r>
          </w:p>
          <w:p>
            <w:pPr>
              <w:jc w:val="left"/>
              <w:rPr>
                <w:rFonts w:ascii="Times New Roman" w:hAnsi="Times New Roman"/>
                <w:sz w:val="18"/>
                <w:szCs w:val="18"/>
              </w:rPr>
            </w:pPr>
          </w:p>
        </w:tc>
        <w:tc>
          <w:tcPr>
            <w:tcW w:w="3996" w:type="dxa"/>
            <w:tcBorders>
              <w:bottom w:val="single" w:color="auto" w:sz="4" w:space="0"/>
            </w:tcBorders>
            <w:shd w:val="clear" w:color="auto" w:fill="auto"/>
          </w:tcPr>
          <w:p>
            <w:pPr>
              <w:jc w:val="left"/>
              <w:rPr>
                <w:rFonts w:ascii="Times New Roman" w:hAnsi="Times New Roman"/>
                <w:sz w:val="18"/>
                <w:szCs w:val="18"/>
              </w:rPr>
            </w:pPr>
            <w:r>
              <w:rPr>
                <w:rFonts w:ascii="Times New Roman" w:hAnsi="Times New Roman"/>
                <w:sz w:val="18"/>
                <w:szCs w:val="18"/>
              </w:rPr>
              <w:t>gene</w:t>
            </w:r>
          </w:p>
        </w:tc>
        <w:tc>
          <w:tcPr>
            <w:tcW w:w="662" w:type="dxa"/>
            <w:tcBorders>
              <w:bottom w:val="single" w:color="auto" w:sz="4" w:space="0"/>
            </w:tcBorders>
            <w:shd w:val="clear" w:color="auto" w:fill="auto"/>
          </w:tcPr>
          <w:p>
            <w:pPr>
              <w:jc w:val="left"/>
              <w:rPr>
                <w:rFonts w:ascii="Times New Roman" w:hAnsi="Times New Roman"/>
                <w:sz w:val="18"/>
                <w:szCs w:val="18"/>
              </w:rPr>
            </w:pPr>
            <w:r>
              <w:rPr>
                <w:rFonts w:ascii="Times New Roman" w:hAnsi="Times New Roman"/>
                <w:sz w:val="18"/>
                <w:szCs w:val="18"/>
              </w:rPr>
              <w:t>Gene counts</w:t>
            </w:r>
          </w:p>
        </w:tc>
        <w:tc>
          <w:tcPr>
            <w:tcW w:w="704" w:type="dxa"/>
            <w:tcBorders>
              <w:bottom w:val="single" w:color="auto" w:sz="4" w:space="0"/>
            </w:tcBorders>
            <w:shd w:val="clear" w:color="auto" w:fill="auto"/>
          </w:tcPr>
          <w:p>
            <w:pPr>
              <w:jc w:val="left"/>
              <w:rPr>
                <w:rFonts w:ascii="Times New Roman" w:hAnsi="Times New Roman"/>
                <w:sz w:val="18"/>
                <w:szCs w:val="18"/>
              </w:rPr>
            </w:pPr>
            <w:r>
              <w:rPr>
                <w:rFonts w:ascii="Times New Roman" w:hAnsi="Times New Roman"/>
                <w:sz w:val="18"/>
                <w:szCs w:val="18"/>
              </w:rPr>
              <w:t>P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op w:val="single" w:color="auto" w:sz="4" w:space="0"/>
              <w:tl2br w:val="nil"/>
              <w:tr2bl w:val="nil"/>
            </w:tcBorders>
            <w:shd w:val="clear" w:color="auto" w:fill="auto"/>
          </w:tcPr>
          <w:p>
            <w:pPr>
              <w:widowControl/>
              <w:jc w:val="left"/>
              <w:rPr>
                <w:rFonts w:ascii="Times New Roman" w:hAnsi="Times New Roman"/>
                <w:color w:val="auto"/>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04080</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Neuroactive ligand-receptor interaction </w:t>
            </w:r>
          </w:p>
        </w:tc>
        <w:tc>
          <w:tcPr>
            <w:tcW w:w="3996" w:type="dxa"/>
            <w:tcBorders>
              <w:top w:val="single" w:color="auto" w:sz="4" w:space="0"/>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Npy, Gabra5, Agtr1a, Calca, Cckbr, Cnr1, Gabrg1, Gal, Gria4, Grid2, Grik1, Npy1r, P2ry1, Ucn, Lpar3, Nts</w:t>
            </w:r>
          </w:p>
        </w:tc>
        <w:tc>
          <w:tcPr>
            <w:tcW w:w="662" w:type="dxa"/>
            <w:tcBorders>
              <w:top w:val="single" w:color="auto" w:sz="4" w:space="0"/>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16</w:t>
            </w:r>
          </w:p>
        </w:tc>
        <w:tc>
          <w:tcPr>
            <w:tcW w:w="704" w:type="dxa"/>
            <w:tcBorders>
              <w:top w:val="single" w:color="auto" w:sz="4" w:space="0"/>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tcPr>
          <w:p>
            <w:pPr>
              <w:widowControl/>
              <w:jc w:val="left"/>
              <w:rPr>
                <w:rFonts w:ascii="Times New Roman" w:hAnsi="Times New Roman"/>
                <w:color w:val="auto"/>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04723</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Retrograde endocannabinoid signaling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Gabra5, Cnr1, Gabrg1, Gnb4, Gria4, Prkcb, Adcy2, Slc17a8, Mgll</w:t>
            </w:r>
          </w:p>
        </w:tc>
        <w:tc>
          <w:tcPr>
            <w:tcW w:w="662"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9</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3160" w:type="dxa"/>
            <w:tcBorders>
              <w:tl2br w:val="nil"/>
              <w:tr2bl w:val="nil"/>
            </w:tcBorders>
            <w:shd w:val="clear" w:color="auto" w:fill="auto"/>
          </w:tcPr>
          <w:p>
            <w:pPr>
              <w:widowControl/>
              <w:jc w:val="left"/>
              <w:rPr>
                <w:rFonts w:ascii="Times New Roman" w:hAnsi="Times New Roman"/>
                <w:color w:val="auto"/>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05032</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Morphine addiction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Grk2, Gabra5, Gabrg1, Gnb4, Prkcb, Adcy2, Pde11a</w:t>
            </w:r>
          </w:p>
        </w:tc>
        <w:tc>
          <w:tcPr>
            <w:tcW w:w="662"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7</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tcPr>
          <w:p>
            <w:pPr>
              <w:widowControl/>
              <w:jc w:val="left"/>
              <w:rPr>
                <w:rFonts w:ascii="Times New Roman" w:hAnsi="Times New Roman"/>
                <w:color w:val="auto"/>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04713</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Circadian entrainment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Gnb4, Gria4, Nos1, Prkcb, Adcy2, Cacna1i, Rps6ka5</w:t>
            </w:r>
          </w:p>
        </w:tc>
        <w:tc>
          <w:tcPr>
            <w:tcW w:w="662"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7</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tcPr>
          <w:p>
            <w:pPr>
              <w:widowControl/>
              <w:jc w:val="left"/>
              <w:rPr>
                <w:rFonts w:ascii="Times New Roman" w:hAnsi="Times New Roman"/>
                <w:color w:val="auto"/>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05164</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Influenza A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Cdk4, Irf9, Prkcb, Stat2, Trim25, Tnfrsf1a, Oas1a, Irf7, Ifih1</w:t>
            </w:r>
          </w:p>
        </w:tc>
        <w:tc>
          <w:tcPr>
            <w:tcW w:w="662"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9</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tcPr>
          <w:p>
            <w:pPr>
              <w:widowControl/>
              <w:jc w:val="left"/>
              <w:rPr>
                <w:rFonts w:ascii="Times New Roman" w:hAnsi="Times New Roman"/>
                <w:color w:val="auto"/>
                <w:kern w:val="0"/>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04010</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MAPK signaling pathway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Bdnf, Csf1, Hspb1, Igf2, Jun, Ntrk1, Prkcb, Rasgrf2, Rasgrp1, Tnfrsf1a, Cacna1i, Rps6ka5</w:t>
            </w:r>
          </w:p>
        </w:tc>
        <w:tc>
          <w:tcPr>
            <w:tcW w:w="662"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12</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3160" w:type="dxa"/>
            <w:tcBorders>
              <w:tl2br w:val="nil"/>
              <w:tr2bl w:val="nil"/>
            </w:tcBorders>
            <w:shd w:val="clear" w:color="auto" w:fill="auto"/>
          </w:tcPr>
          <w:p>
            <w:pPr>
              <w:widowControl/>
              <w:jc w:val="left"/>
              <w:rPr>
                <w:rFonts w:ascii="Times New Roman" w:hAnsi="Times New Roman"/>
                <w:color w:val="auto"/>
                <w:kern w:val="0"/>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04724</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Glutamatergic synapse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Grk2, Gnb4, Gria4, Grik1, Prkcb, Adcy2, Slc17a8</w:t>
            </w:r>
          </w:p>
        </w:tc>
        <w:tc>
          <w:tcPr>
            <w:tcW w:w="662"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7</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tcPr>
          <w:p>
            <w:pPr>
              <w:widowControl/>
              <w:jc w:val="left"/>
              <w:rPr>
                <w:rFonts w:ascii="Times New Roman" w:hAnsi="Times New Roman"/>
                <w:color w:val="auto"/>
                <w:kern w:val="0"/>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04923</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Regulation of lipolysis in adipocytes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Npy, Npy1r, Adcy2, Mgll, Irs2</w:t>
            </w:r>
          </w:p>
        </w:tc>
        <w:tc>
          <w:tcPr>
            <w:tcW w:w="662"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5</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tcPr>
          <w:p>
            <w:pPr>
              <w:widowControl/>
              <w:jc w:val="left"/>
              <w:rPr>
                <w:color w:val="auto"/>
                <w:sz w:val="18"/>
                <w:szCs w:val="18"/>
                <w:u w:val="none"/>
              </w:rPr>
            </w:pPr>
            <w:r>
              <w:rPr>
                <w:color w:val="auto"/>
                <w:sz w:val="18"/>
                <w:szCs w:val="18"/>
                <w:u w:val="none"/>
              </w:rPr>
              <w:fldChar w:fldCharType="begin"/>
            </w:r>
            <w:r>
              <w:rPr>
                <w:color w:val="auto"/>
                <w:sz w:val="18"/>
                <w:szCs w:val="18"/>
                <w:u w:val="none"/>
              </w:rPr>
              <w:instrText xml:space="preserve"> HYPERLINK "https://biosys.bgi.com/" \l "/report/reanalysis/mrna/re-enrichment/gene/540f1e47b000/mus_musculus_10090.ncbi.gcf_000001635.26_grcm38.p6.v2005/kegg_pathway/false/_blank" \t "https://biosys.bgi.com/" </w:instrText>
            </w:r>
            <w:r>
              <w:rPr>
                <w:color w:val="auto"/>
                <w:sz w:val="18"/>
                <w:szCs w:val="18"/>
                <w:u w:val="none"/>
              </w:rPr>
              <w:fldChar w:fldCharType="separate"/>
            </w:r>
            <w:r>
              <w:rPr>
                <w:rStyle w:val="27"/>
                <w:rFonts w:ascii="Times New Roman" w:hAnsi="Times New Roman" w:eastAsia="Segoe UI"/>
                <w:color w:val="auto"/>
                <w:sz w:val="18"/>
                <w:szCs w:val="18"/>
                <w:u w:val="none"/>
                <w:shd w:val="clear" w:color="auto" w:fill="F0F6FF"/>
              </w:rPr>
              <w:t>04970</w:t>
            </w:r>
            <w:r>
              <w:rPr>
                <w:rStyle w:val="27"/>
                <w:rFonts w:ascii="Times New Roman" w:hAnsi="Times New Roman" w:eastAsia="Segoe UI"/>
                <w:color w:val="auto"/>
                <w:sz w:val="18"/>
                <w:szCs w:val="18"/>
                <w:u w:val="none"/>
                <w:shd w:val="clear" w:color="auto" w:fill="F0F6FF"/>
              </w:rPr>
              <w:fldChar w:fldCharType="end"/>
            </w:r>
            <w:r>
              <w:rPr>
                <w:rFonts w:ascii="Times New Roman" w:hAnsi="Times New Roman"/>
                <w:color w:val="auto"/>
                <w:sz w:val="18"/>
                <w:szCs w:val="18"/>
                <w:u w:val="none"/>
                <w:shd w:val="clear" w:color="auto" w:fill="F0F6FF"/>
              </w:rPr>
              <w:t xml:space="preserve">: </w:t>
            </w:r>
            <w:r>
              <w:rPr>
                <w:rFonts w:ascii="Times New Roman" w:hAnsi="Times New Roman"/>
                <w:color w:val="auto"/>
                <w:kern w:val="0"/>
                <w:sz w:val="18"/>
                <w:szCs w:val="18"/>
                <w:u w:val="none"/>
              </w:rPr>
              <w:t xml:space="preserve">Salivary secretion </w:t>
            </w:r>
          </w:p>
        </w:tc>
        <w:tc>
          <w:tcPr>
            <w:tcW w:w="3996"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Atp1b3, Fxyd2, Nos1, Prkcb, Adcy2, Atp2b4</w:t>
            </w:r>
          </w:p>
        </w:tc>
        <w:tc>
          <w:tcPr>
            <w:tcW w:w="662" w:type="dxa"/>
            <w:tcBorders>
              <w:tl2br w:val="nil"/>
              <w:tr2bl w:val="nil"/>
            </w:tcBorders>
            <w:shd w:val="clear" w:color="auto" w:fill="auto"/>
          </w:tcPr>
          <w:p>
            <w:pPr>
              <w:jc w:val="left"/>
              <w:rPr>
                <w:rFonts w:hint="eastAsia" w:ascii="Times New Roman" w:hAnsi="Times New Roman"/>
                <w:color w:val="auto"/>
                <w:sz w:val="18"/>
                <w:szCs w:val="18"/>
                <w:u w:val="none"/>
              </w:rPr>
            </w:pPr>
            <w:r>
              <w:rPr>
                <w:rFonts w:ascii="Times New Roman" w:hAnsi="Times New Roman"/>
                <w:color w:val="auto"/>
                <w:sz w:val="18"/>
                <w:szCs w:val="18"/>
                <w:u w:val="none"/>
              </w:rPr>
              <w:t>6</w:t>
            </w:r>
          </w:p>
        </w:tc>
        <w:tc>
          <w:tcPr>
            <w:tcW w:w="704" w:type="dxa"/>
            <w:tcBorders>
              <w:tl2br w:val="nil"/>
              <w:tr2bl w:val="nil"/>
            </w:tcBorders>
            <w:shd w:val="clear" w:color="auto" w:fill="auto"/>
          </w:tcPr>
          <w:p>
            <w:pPr>
              <w:jc w:val="left"/>
              <w:rPr>
                <w:rFonts w:ascii="Times New Roman" w:hAnsi="Times New Roman"/>
                <w:color w:val="auto"/>
                <w:sz w:val="18"/>
                <w:szCs w:val="18"/>
                <w:u w:val="none"/>
              </w:rPr>
            </w:pPr>
            <w:r>
              <w:rPr>
                <w:rFonts w:ascii="Times New Roman" w:hAnsi="Times New Roman"/>
                <w:color w:val="auto"/>
                <w:sz w:val="18"/>
                <w:szCs w:val="18"/>
                <w:u w:val="none"/>
              </w:rPr>
              <w:t>0.04</w:t>
            </w:r>
          </w:p>
        </w:tc>
      </w:tr>
    </w:tbl>
    <w:p>
      <w:pPr>
        <w:widowControl/>
        <w:jc w:val="left"/>
        <w:rPr>
          <w:rFonts w:hint="eastAsia" w:ascii="Times New Roman" w:hAnsi="Times New Roman"/>
          <w:color w:val="auto"/>
          <w:sz w:val="24"/>
        </w:rPr>
      </w:pPr>
    </w:p>
    <w:p>
      <w:pPr>
        <w:widowControl/>
        <w:jc w:val="left"/>
        <w:rPr>
          <w:rFonts w:hint="eastAsia" w:ascii="Times New Roman" w:hAnsi="Times New Roman"/>
          <w:color w:val="auto"/>
          <w:sz w:val="24"/>
        </w:rPr>
      </w:pPr>
    </w:p>
    <w:p>
      <w:pPr>
        <w:widowControl/>
        <w:jc w:val="left"/>
        <w:rPr>
          <w:rFonts w:hint="eastAsia" w:ascii="Times New Roman" w:hAnsi="Times New Roman"/>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widowControl/>
        <w:jc w:val="left"/>
        <w:rPr>
          <w:rFonts w:ascii="Times New Roman" w:hAnsi="Times New Roman" w:eastAsia="仿宋"/>
          <w:color w:val="auto"/>
          <w:sz w:val="24"/>
        </w:rPr>
      </w:pPr>
    </w:p>
    <w:p>
      <w:pPr>
        <w:pStyle w:val="2"/>
        <w:numPr>
          <w:ilvl w:val="0"/>
          <w:numId w:val="0"/>
        </w:numPr>
        <w:ind w:leftChars="0"/>
        <w:rPr>
          <w:rFonts w:ascii="Times New Roman" w:hAnsi="Times New Roman" w:eastAsia="仿宋"/>
          <w:color w:val="auto"/>
          <w:sz w:val="24"/>
        </w:rPr>
      </w:pPr>
    </w:p>
    <w:p>
      <w:pPr>
        <w:pStyle w:val="2"/>
        <w:numPr>
          <w:ilvl w:val="0"/>
          <w:numId w:val="0"/>
        </w:numPr>
        <w:ind w:leftChars="0"/>
        <w:rPr>
          <w:rFonts w:ascii="Times New Roman" w:hAnsi="Times New Roman" w:eastAsia="仿宋"/>
          <w:color w:val="auto"/>
          <w:sz w:val="24"/>
        </w:rPr>
      </w:pPr>
    </w:p>
    <w:p>
      <w:pPr>
        <w:pStyle w:val="2"/>
        <w:numPr>
          <w:ilvl w:val="0"/>
          <w:numId w:val="0"/>
        </w:numPr>
        <w:ind w:leftChars="0"/>
        <w:rPr>
          <w:rFonts w:hint="eastAsia" w:ascii="Times New Roman" w:hAnsi="Times New Roman" w:eastAsia="仿宋"/>
          <w:color w:val="auto"/>
          <w:sz w:val="24"/>
          <w:lang w:val="en-US" w:eastAsia="zh-CN"/>
        </w:rPr>
      </w:pPr>
      <w:r>
        <w:rPr>
          <w:rFonts w:ascii="Times New Roman" w:hAnsi="Times New Roman" w:eastAsia="仿宋"/>
          <w:color w:val="auto"/>
          <w:sz w:val="24"/>
        </w:rPr>
        <w:t>Supplementary  Table</w:t>
      </w:r>
      <w:r>
        <w:rPr>
          <w:rFonts w:hint="eastAsia" w:ascii="Times New Roman" w:hAnsi="Times New Roman" w:eastAsia="仿宋"/>
          <w:color w:val="auto"/>
          <w:sz w:val="24"/>
          <w:lang w:val="en-US" w:eastAsia="zh-CN"/>
        </w:rPr>
        <w:t xml:space="preserve"> </w:t>
      </w:r>
      <w:r>
        <w:rPr>
          <w:rFonts w:hint="eastAsia" w:eastAsia="仿宋"/>
          <w:color w:val="auto"/>
          <w:sz w:val="24"/>
          <w:lang w:val="en-US" w:eastAsia="zh-CN"/>
        </w:rPr>
        <w:t>8</w:t>
      </w:r>
      <w:r>
        <w:rPr>
          <w:rFonts w:hint="eastAsia" w:ascii="Times New Roman" w:hAnsi="Times New Roman" w:eastAsia="仿宋"/>
          <w:color w:val="auto"/>
          <w:sz w:val="24"/>
        </w:rPr>
        <w:t xml:space="preserve"> </w:t>
      </w:r>
      <w:r>
        <w:rPr>
          <w:rFonts w:ascii="Times New Roman" w:hAnsi="Times New Roman" w:eastAsia="仿宋"/>
          <w:color w:val="auto"/>
          <w:sz w:val="24"/>
        </w:rPr>
        <w:t xml:space="preserve">Molecules enriched in </w:t>
      </w:r>
      <w:r>
        <w:rPr>
          <w:rFonts w:hint="eastAsia" w:ascii="Times New Roman" w:hAnsi="Times New Roman" w:eastAsia="仿宋"/>
          <w:color w:val="auto"/>
          <w:sz w:val="24"/>
        </w:rPr>
        <w:t xml:space="preserve">top 8 </w:t>
      </w:r>
      <w:r>
        <w:rPr>
          <w:rFonts w:ascii="Times New Roman" w:hAnsi="Times New Roman" w:eastAsia="仿宋"/>
          <w:color w:val="auto"/>
          <w:sz w:val="24"/>
        </w:rPr>
        <w:t>biological process</w:t>
      </w:r>
      <w:r>
        <w:rPr>
          <w:rFonts w:hint="eastAsia" w:ascii="Times New Roman" w:hAnsi="Times New Roman" w:eastAsia="仿宋"/>
          <w:color w:val="auto"/>
          <w:sz w:val="24"/>
        </w:rPr>
        <w:t xml:space="preserve"> in the late phase of CB1R</w:t>
      </w:r>
      <w:r>
        <w:rPr>
          <w:rFonts w:hint="eastAsia" w:eastAsia="仿宋"/>
          <w:color w:val="auto"/>
          <w:sz w:val="24"/>
          <w:lang w:val="en-US" w:eastAsia="zh-CN"/>
        </w:rPr>
        <w:t xml:space="preserve"> </w:t>
      </w:r>
      <w:r>
        <w:rPr>
          <w:rFonts w:hint="eastAsia" w:ascii="Times New Roman" w:hAnsi="Times New Roman" w:eastAsia="仿宋"/>
          <w:color w:val="auto"/>
          <w:sz w:val="24"/>
        </w:rPr>
        <w:t>knockout</w:t>
      </w:r>
    </w:p>
    <w:tbl>
      <w:tblPr>
        <w:tblStyle w:val="19"/>
        <w:tblpPr w:leftFromText="180" w:rightFromText="180" w:vertAnchor="text" w:horzAnchor="page" w:tblpX="1680" w:tblpY="305"/>
        <w:tblOverlap w:val="never"/>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60"/>
        <w:gridCol w:w="3996"/>
        <w:gridCol w:w="662"/>
        <w:gridCol w:w="70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bottom w:val="single" w:color="auto" w:sz="4" w:space="0"/>
            </w:tcBorders>
            <w:shd w:val="clear" w:color="auto" w:fill="auto"/>
          </w:tcPr>
          <w:p>
            <w:pPr>
              <w:widowControl/>
              <w:jc w:val="left"/>
              <w:rPr>
                <w:rFonts w:ascii="Times New Roman" w:hAnsi="Times New Roman"/>
                <w:color w:val="auto"/>
                <w:sz w:val="18"/>
                <w:szCs w:val="18"/>
              </w:rPr>
            </w:pPr>
            <w:r>
              <w:rPr>
                <w:rFonts w:ascii="Times New Roman" w:hAnsi="Times New Roman"/>
                <w:color w:val="auto"/>
                <w:sz w:val="18"/>
                <w:szCs w:val="18"/>
              </w:rPr>
              <w:t xml:space="preserve">Go-process </w:t>
            </w:r>
            <w:r>
              <w:rPr>
                <w:rFonts w:hint="eastAsia" w:ascii="Times New Roman" w:hAnsi="Times New Roman"/>
                <w:color w:val="auto"/>
                <w:sz w:val="18"/>
                <w:szCs w:val="18"/>
                <w:lang w:bidi="ar"/>
              </w:rPr>
              <w:t>t</w:t>
            </w:r>
            <w:r>
              <w:rPr>
                <w:rFonts w:ascii="Times New Roman" w:hAnsi="Times New Roman"/>
                <w:color w:val="auto"/>
                <w:sz w:val="18"/>
                <w:szCs w:val="18"/>
                <w:lang w:bidi="ar"/>
              </w:rPr>
              <w:t>erm</w:t>
            </w:r>
          </w:p>
          <w:p>
            <w:pPr>
              <w:jc w:val="left"/>
              <w:rPr>
                <w:rFonts w:ascii="Times New Roman" w:hAnsi="Times New Roman"/>
                <w:color w:val="auto"/>
                <w:sz w:val="18"/>
                <w:szCs w:val="18"/>
              </w:rPr>
            </w:pPr>
          </w:p>
        </w:tc>
        <w:tc>
          <w:tcPr>
            <w:tcW w:w="3996" w:type="dxa"/>
            <w:tcBorders>
              <w:bottom w:val="single" w:color="auto" w:sz="4" w:space="0"/>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gene</w:t>
            </w:r>
          </w:p>
        </w:tc>
        <w:tc>
          <w:tcPr>
            <w:tcW w:w="662" w:type="dxa"/>
            <w:tcBorders>
              <w:bottom w:val="single" w:color="auto" w:sz="4" w:space="0"/>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Gene counts</w:t>
            </w:r>
          </w:p>
        </w:tc>
        <w:tc>
          <w:tcPr>
            <w:tcW w:w="704" w:type="dxa"/>
            <w:tcBorders>
              <w:bottom w:val="single" w:color="auto" w:sz="4" w:space="0"/>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P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op w:val="single" w:color="auto" w:sz="4" w:space="0"/>
              <w:tl2br w:val="nil"/>
              <w:tr2bl w:val="nil"/>
            </w:tcBorders>
            <w:shd w:val="clear" w:color="auto" w:fill="auto"/>
            <w:vAlign w:val="center"/>
          </w:tcPr>
          <w:p>
            <w:pPr>
              <w:widowControl/>
              <w:jc w:val="left"/>
              <w:textAlignment w:val="center"/>
              <w:rPr>
                <w:rFonts w:ascii="Times New Roman" w:hAnsi="Times New Roman"/>
                <w:color w:val="auto"/>
                <w:sz w:val="18"/>
                <w:szCs w:val="18"/>
              </w:rPr>
            </w:pPr>
            <w:r>
              <w:rPr>
                <w:rFonts w:ascii="Times New Roman" w:hAnsi="Times New Roman"/>
                <w:color w:val="auto"/>
                <w:kern w:val="0"/>
                <w:sz w:val="18"/>
                <w:szCs w:val="18"/>
              </w:rPr>
              <w:t>GO:0007399-nervous system development</w:t>
            </w:r>
          </w:p>
        </w:tc>
        <w:tc>
          <w:tcPr>
            <w:tcW w:w="3996" w:type="dxa"/>
            <w:tcBorders>
              <w:top w:val="single" w:color="auto" w:sz="4" w:space="0"/>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Bdnf</w:t>
            </w:r>
            <w:r>
              <w:rPr>
                <w:rFonts w:hint="eastAsia" w:ascii="Times New Roman" w:hAnsi="Times New Roman"/>
                <w:color w:val="auto"/>
                <w:sz w:val="18"/>
                <w:szCs w:val="18"/>
              </w:rPr>
              <w:t>,</w:t>
            </w:r>
            <w:r>
              <w:rPr>
                <w:rFonts w:ascii="Times New Roman" w:hAnsi="Times New Roman"/>
                <w:color w:val="auto"/>
                <w:sz w:val="18"/>
                <w:szCs w:val="18"/>
              </w:rPr>
              <w:t xml:space="preserve"> Chl1, Cntn1, Epha5, Gal, Gap43, Gfra2, Gfra3, Grik1, Ldb2, Myt1, Ntrk1, Sema6a, Sox11, Unc119, Scn3b, Plxna4, Tnik, Pcdh18, Mdga1'</w:t>
            </w:r>
          </w:p>
        </w:tc>
        <w:tc>
          <w:tcPr>
            <w:tcW w:w="662" w:type="dxa"/>
            <w:tcBorders>
              <w:top w:val="single" w:color="auto" w:sz="4" w:space="0"/>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20</w:t>
            </w:r>
          </w:p>
        </w:tc>
        <w:tc>
          <w:tcPr>
            <w:tcW w:w="704" w:type="dxa"/>
            <w:tcBorders>
              <w:top w:val="single" w:color="auto" w:sz="4" w:space="0"/>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1.44E-06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vAlign w:val="center"/>
          </w:tcPr>
          <w:p>
            <w:pPr>
              <w:widowControl/>
              <w:jc w:val="left"/>
              <w:textAlignment w:val="center"/>
              <w:rPr>
                <w:rFonts w:ascii="Times New Roman" w:hAnsi="Times New Roman"/>
                <w:color w:val="auto"/>
                <w:sz w:val="18"/>
                <w:szCs w:val="18"/>
              </w:rPr>
            </w:pPr>
            <w:r>
              <w:rPr>
                <w:rFonts w:ascii="Times New Roman" w:hAnsi="Times New Roman"/>
                <w:color w:val="auto"/>
                <w:kern w:val="0"/>
                <w:sz w:val="18"/>
                <w:szCs w:val="18"/>
              </w:rPr>
              <w:t>GO:0007411-axon guidance</w:t>
            </w:r>
          </w:p>
        </w:tc>
        <w:tc>
          <w:tcPr>
            <w:tcW w:w="3996"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Bdnf, Chl1, Epha5, Gap43, Gfra3, Ntrk1, Pou4f2, Sema6a, Wnt5a, Plxna4, Nrcam, Flrt3</w:t>
            </w:r>
          </w:p>
        </w:tc>
        <w:tc>
          <w:tcPr>
            <w:tcW w:w="662" w:type="dxa"/>
            <w:tcBorders>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12</w:t>
            </w:r>
          </w:p>
        </w:tc>
        <w:tc>
          <w:tcPr>
            <w:tcW w:w="704"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3.75E-06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3160" w:type="dxa"/>
            <w:tcBorders>
              <w:tl2br w:val="nil"/>
              <w:tr2bl w:val="nil"/>
            </w:tcBorders>
            <w:shd w:val="clear" w:color="auto" w:fill="auto"/>
            <w:vAlign w:val="center"/>
          </w:tcPr>
          <w:p>
            <w:pPr>
              <w:widowControl/>
              <w:jc w:val="left"/>
              <w:textAlignment w:val="center"/>
              <w:rPr>
                <w:rFonts w:ascii="Times New Roman" w:hAnsi="Times New Roman"/>
                <w:color w:val="auto"/>
                <w:sz w:val="18"/>
                <w:szCs w:val="18"/>
              </w:rPr>
            </w:pPr>
            <w:r>
              <w:rPr>
                <w:rFonts w:ascii="Times New Roman" w:hAnsi="Times New Roman"/>
                <w:color w:val="auto"/>
                <w:kern w:val="0"/>
                <w:sz w:val="18"/>
                <w:szCs w:val="18"/>
              </w:rPr>
              <w:t>GO:0007631-feeding behavior</w:t>
            </w:r>
          </w:p>
        </w:tc>
        <w:tc>
          <w:tcPr>
            <w:tcW w:w="3996"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Npy, Bdnf, Calca, Gal, Npy1r, Ucn</w:t>
            </w:r>
          </w:p>
        </w:tc>
        <w:tc>
          <w:tcPr>
            <w:tcW w:w="662" w:type="dxa"/>
            <w:tcBorders>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6</w:t>
            </w:r>
          </w:p>
        </w:tc>
        <w:tc>
          <w:tcPr>
            <w:tcW w:w="704"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3.14E-06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vAlign w:val="center"/>
          </w:tcPr>
          <w:p>
            <w:pPr>
              <w:widowControl/>
              <w:jc w:val="left"/>
              <w:textAlignment w:val="center"/>
              <w:rPr>
                <w:rFonts w:ascii="Times New Roman" w:hAnsi="Times New Roman"/>
                <w:color w:val="auto"/>
                <w:sz w:val="18"/>
                <w:szCs w:val="18"/>
              </w:rPr>
            </w:pPr>
            <w:r>
              <w:rPr>
                <w:rFonts w:ascii="Times New Roman" w:hAnsi="Times New Roman"/>
                <w:color w:val="auto"/>
                <w:kern w:val="0"/>
                <w:sz w:val="18"/>
                <w:szCs w:val="18"/>
              </w:rPr>
              <w:t>GO:0007218-neuropeptide signaling pathway</w:t>
            </w:r>
          </w:p>
        </w:tc>
        <w:tc>
          <w:tcPr>
            <w:tcW w:w="3996"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Npy, Calca, Ecel1, Gal, Npy1r, Ucn, Gpr149, Cartpt, Nts</w:t>
            </w:r>
          </w:p>
        </w:tc>
        <w:tc>
          <w:tcPr>
            <w:tcW w:w="662" w:type="dxa"/>
            <w:tcBorders>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9</w:t>
            </w:r>
          </w:p>
        </w:tc>
        <w:tc>
          <w:tcPr>
            <w:tcW w:w="704"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9.18E-06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vAlign w:val="center"/>
          </w:tcPr>
          <w:p>
            <w:pPr>
              <w:widowControl/>
              <w:jc w:val="left"/>
              <w:textAlignment w:val="center"/>
              <w:rPr>
                <w:rFonts w:ascii="Times New Roman" w:hAnsi="Times New Roman"/>
                <w:color w:val="auto"/>
                <w:sz w:val="18"/>
                <w:szCs w:val="18"/>
              </w:rPr>
            </w:pPr>
            <w:r>
              <w:rPr>
                <w:rFonts w:ascii="Times New Roman" w:hAnsi="Times New Roman"/>
                <w:color w:val="auto"/>
                <w:kern w:val="0"/>
                <w:sz w:val="18"/>
                <w:szCs w:val="18"/>
              </w:rPr>
              <w:t>GO:0007605-sensory perception of sound</w:t>
            </w:r>
          </w:p>
        </w:tc>
        <w:tc>
          <w:tcPr>
            <w:tcW w:w="3996"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Aqp1, Cnr1, Ndn, Npy1r, Ntrk1, P2ry1, Prx, Scn3b</w:t>
            </w:r>
          </w:p>
        </w:tc>
        <w:tc>
          <w:tcPr>
            <w:tcW w:w="662" w:type="dxa"/>
            <w:tcBorders>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8</w:t>
            </w:r>
          </w:p>
        </w:tc>
        <w:tc>
          <w:tcPr>
            <w:tcW w:w="704"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6.85E-06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vAlign w:val="center"/>
          </w:tcPr>
          <w:p>
            <w:pPr>
              <w:widowControl/>
              <w:jc w:val="left"/>
              <w:textAlignment w:val="center"/>
              <w:rPr>
                <w:rFonts w:ascii="Times New Roman" w:hAnsi="Times New Roman"/>
                <w:color w:val="auto"/>
                <w:kern w:val="0"/>
                <w:sz w:val="18"/>
                <w:szCs w:val="18"/>
              </w:rPr>
            </w:pPr>
            <w:r>
              <w:rPr>
                <w:rFonts w:ascii="Times New Roman" w:hAnsi="Times New Roman"/>
                <w:color w:val="auto"/>
                <w:kern w:val="0"/>
                <w:sz w:val="18"/>
                <w:szCs w:val="18"/>
              </w:rPr>
              <w:t>GO:0019233-sensory perception of pain</w:t>
            </w:r>
          </w:p>
        </w:tc>
        <w:tc>
          <w:tcPr>
            <w:tcW w:w="3996"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Cckbr, Nos1, Mgll, Tafa4, Acpp, Tmem100</w:t>
            </w:r>
          </w:p>
        </w:tc>
        <w:tc>
          <w:tcPr>
            <w:tcW w:w="662" w:type="dxa"/>
            <w:tcBorders>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6</w:t>
            </w:r>
          </w:p>
        </w:tc>
        <w:tc>
          <w:tcPr>
            <w:tcW w:w="704"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7.54E-06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3160" w:type="dxa"/>
            <w:tcBorders>
              <w:tl2br w:val="nil"/>
              <w:tr2bl w:val="nil"/>
            </w:tcBorders>
            <w:shd w:val="clear" w:color="auto" w:fill="auto"/>
            <w:vAlign w:val="center"/>
          </w:tcPr>
          <w:p>
            <w:pPr>
              <w:widowControl/>
              <w:jc w:val="left"/>
              <w:textAlignment w:val="center"/>
              <w:rPr>
                <w:rFonts w:ascii="Times New Roman" w:hAnsi="Times New Roman"/>
                <w:color w:val="auto"/>
                <w:kern w:val="0"/>
                <w:sz w:val="18"/>
                <w:szCs w:val="18"/>
              </w:rPr>
            </w:pPr>
            <w:r>
              <w:rPr>
                <w:rFonts w:ascii="Times New Roman" w:hAnsi="Times New Roman"/>
                <w:color w:val="auto"/>
                <w:kern w:val="0"/>
                <w:sz w:val="18"/>
                <w:szCs w:val="18"/>
              </w:rPr>
              <w:t>GO:0042552-myelination</w:t>
            </w:r>
          </w:p>
        </w:tc>
        <w:tc>
          <w:tcPr>
            <w:tcW w:w="3996"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Mal2, Mal, Mbp, Pmp22, Ugt8a, Pllp, Tnfrsf21</w:t>
            </w:r>
          </w:p>
        </w:tc>
        <w:tc>
          <w:tcPr>
            <w:tcW w:w="662" w:type="dxa"/>
            <w:tcBorders>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7</w:t>
            </w:r>
          </w:p>
        </w:tc>
        <w:tc>
          <w:tcPr>
            <w:tcW w:w="704"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7.17E-06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60" w:type="dxa"/>
            <w:tcBorders>
              <w:tl2br w:val="nil"/>
              <w:tr2bl w:val="nil"/>
            </w:tcBorders>
            <w:shd w:val="clear" w:color="auto" w:fill="auto"/>
            <w:vAlign w:val="center"/>
          </w:tcPr>
          <w:p>
            <w:pPr>
              <w:widowControl/>
              <w:jc w:val="left"/>
              <w:textAlignment w:val="center"/>
              <w:rPr>
                <w:rFonts w:ascii="Times New Roman" w:hAnsi="Times New Roman"/>
                <w:color w:val="auto"/>
                <w:kern w:val="0"/>
                <w:sz w:val="18"/>
                <w:szCs w:val="18"/>
              </w:rPr>
            </w:pPr>
            <w:r>
              <w:rPr>
                <w:color w:val="auto"/>
                <w:sz w:val="18"/>
                <w:szCs w:val="18"/>
              </w:rPr>
              <w:fldChar w:fldCharType="begin"/>
            </w:r>
            <w:r>
              <w:rPr>
                <w:color w:val="auto"/>
                <w:sz w:val="18"/>
                <w:szCs w:val="18"/>
              </w:rPr>
              <w:instrText xml:space="preserve"> HYPERLINK "http://amigo.geneontology.org/amigo/term/GO:0045087" \l "/report/reanalysis/mrna/re-enrichment/gene/540f44c9c000/mus_musculus_10090.ncbi.gcf_000001635.26_grcm38.p6.v2005/go_p/false/_blank" \t "https://biosys.bgi.com/" </w:instrText>
            </w:r>
            <w:r>
              <w:rPr>
                <w:color w:val="auto"/>
                <w:sz w:val="18"/>
                <w:szCs w:val="18"/>
              </w:rPr>
              <w:fldChar w:fldCharType="separate"/>
            </w:r>
            <w:r>
              <w:rPr>
                <w:rFonts w:ascii="Times New Roman" w:hAnsi="Times New Roman"/>
                <w:color w:val="auto"/>
                <w:kern w:val="0"/>
                <w:sz w:val="18"/>
                <w:szCs w:val="18"/>
              </w:rPr>
              <w:t>GO:0045087</w:t>
            </w:r>
            <w:r>
              <w:rPr>
                <w:rFonts w:ascii="Times New Roman" w:hAnsi="Times New Roman"/>
                <w:color w:val="auto"/>
                <w:kern w:val="0"/>
                <w:sz w:val="18"/>
                <w:szCs w:val="18"/>
              </w:rPr>
              <w:fldChar w:fldCharType="end"/>
            </w:r>
            <w:r>
              <w:rPr>
                <w:rFonts w:hint="eastAsia" w:ascii="Times New Roman" w:hAnsi="Times New Roman"/>
                <w:color w:val="auto"/>
                <w:kern w:val="0"/>
                <w:sz w:val="18"/>
                <w:szCs w:val="18"/>
              </w:rPr>
              <w:t>-</w:t>
            </w:r>
            <w:r>
              <w:rPr>
                <w:rFonts w:ascii="Times New Roman" w:hAnsi="Times New Roman"/>
                <w:color w:val="auto"/>
                <w:kern w:val="0"/>
                <w:sz w:val="18"/>
                <w:szCs w:val="18"/>
              </w:rPr>
              <w:t>innate immune response</w:t>
            </w:r>
          </w:p>
        </w:tc>
        <w:tc>
          <w:tcPr>
            <w:tcW w:w="3996"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Npy, C4b, Cd24a, Csf1, Ifit2, Lgals3, Ltf, S100a8, S100a9, Tifa, Trim25, Oas1a, Irf7, Wfdc2, Ifih1, Zc3hav1,Dhx58</w:t>
            </w:r>
          </w:p>
        </w:tc>
        <w:tc>
          <w:tcPr>
            <w:tcW w:w="662" w:type="dxa"/>
            <w:tcBorders>
              <w:tl2br w:val="nil"/>
              <w:tr2bl w:val="nil"/>
            </w:tcBorders>
            <w:shd w:val="clear" w:color="auto" w:fill="auto"/>
          </w:tcPr>
          <w:p>
            <w:pPr>
              <w:jc w:val="left"/>
              <w:rPr>
                <w:rFonts w:ascii="Times New Roman" w:hAnsi="Times New Roman"/>
                <w:color w:val="auto"/>
                <w:sz w:val="18"/>
                <w:szCs w:val="18"/>
              </w:rPr>
            </w:pPr>
            <w:r>
              <w:rPr>
                <w:rFonts w:hint="eastAsia" w:ascii="Times New Roman" w:hAnsi="Times New Roman"/>
                <w:color w:val="auto"/>
                <w:sz w:val="18"/>
                <w:szCs w:val="18"/>
              </w:rPr>
              <w:t>17</w:t>
            </w:r>
          </w:p>
        </w:tc>
        <w:tc>
          <w:tcPr>
            <w:tcW w:w="704" w:type="dxa"/>
            <w:tcBorders>
              <w:tl2br w:val="nil"/>
              <w:tr2bl w:val="nil"/>
            </w:tcBorders>
            <w:shd w:val="clear" w:color="auto" w:fill="auto"/>
          </w:tcPr>
          <w:p>
            <w:pPr>
              <w:jc w:val="left"/>
              <w:rPr>
                <w:rFonts w:ascii="Times New Roman" w:hAnsi="Times New Roman"/>
                <w:color w:val="auto"/>
                <w:sz w:val="18"/>
                <w:szCs w:val="18"/>
              </w:rPr>
            </w:pPr>
            <w:r>
              <w:rPr>
                <w:rFonts w:ascii="Times New Roman" w:hAnsi="Times New Roman"/>
                <w:color w:val="auto"/>
                <w:sz w:val="18"/>
                <w:szCs w:val="18"/>
              </w:rPr>
              <w:t>1.67E-05</w:t>
            </w:r>
          </w:p>
        </w:tc>
      </w:tr>
    </w:tbl>
    <w:p>
      <w:pPr>
        <w:widowControl/>
        <w:jc w:val="left"/>
        <w:rPr>
          <w:rFonts w:ascii="Times New Roman" w:hAnsi="Times New Roman" w:eastAsia="AdvOT5fcf1b24"/>
          <w:color w:val="auto"/>
          <w:kern w:val="0"/>
          <w:sz w:val="24"/>
          <w:lang w:bidi="ar"/>
        </w:rPr>
      </w:pPr>
    </w:p>
    <w:p>
      <w:pPr>
        <w:widowControl/>
        <w:jc w:val="left"/>
        <w:rPr>
          <w:rFonts w:ascii="Times New Roman" w:hAnsi="Times New Roman" w:eastAsia="AdvOT5fcf1b24"/>
          <w:color w:val="000000"/>
          <w:kern w:val="0"/>
          <w:sz w:val="24"/>
          <w:lang w:bidi="ar"/>
        </w:rPr>
      </w:pPr>
    </w:p>
    <w:p>
      <w:pPr>
        <w:jc w:val="left"/>
        <w:rPr>
          <w:rFonts w:hint="eastAsia" w:ascii="Times New Roman" w:hAnsi="Times New Roman"/>
          <w:color w:val="000000"/>
          <w:kern w:val="0"/>
          <w:sz w:val="24"/>
        </w:rPr>
      </w:pPr>
    </w:p>
    <w:p>
      <w:pPr>
        <w:jc w:val="left"/>
        <w:rPr>
          <w:rFonts w:hint="eastAsia" w:ascii="Times New Roman" w:hAnsi="Times New Roman"/>
          <w:color w:val="000000"/>
          <w:kern w:val="0"/>
          <w:sz w:val="24"/>
        </w:rPr>
      </w:pPr>
    </w:p>
    <w:p>
      <w:pPr>
        <w:jc w:val="left"/>
        <w:rPr>
          <w:rFonts w:hint="eastAsia" w:ascii="Times New Roman" w:hAnsi="Times New Roman"/>
          <w:color w:val="000000"/>
          <w:kern w:val="0"/>
          <w:sz w:val="24"/>
        </w:rPr>
      </w:pPr>
    </w:p>
    <w:p>
      <w:pPr>
        <w:jc w:val="left"/>
        <w:rPr>
          <w:rFonts w:hint="eastAsia" w:ascii="Times New Roman" w:hAnsi="Times New Roman"/>
          <w:color w:val="000000"/>
          <w:kern w:val="0"/>
          <w:sz w:val="24"/>
        </w:rPr>
      </w:pPr>
    </w:p>
    <w:p>
      <w:pPr>
        <w:jc w:val="left"/>
        <w:rPr>
          <w:rFonts w:hint="eastAsia" w:ascii="Times New Roman" w:hAnsi="Times New Roman" w:eastAsia="仿宋" w:cstheme="minorBidi"/>
          <w:b/>
          <w:sz w:val="24"/>
          <w:szCs w:val="22"/>
          <w:lang w:val="en-US" w:eastAsia="zh-CN" w:bidi="ar-SA"/>
        </w:rPr>
      </w:pPr>
    </w:p>
    <w:p>
      <w:pPr>
        <w:jc w:val="left"/>
        <w:rPr>
          <w:rFonts w:hint="eastAsia" w:ascii="Times New Roman" w:hAnsi="Times New Roman" w:eastAsia="仿宋" w:cstheme="minorBidi"/>
          <w:b/>
          <w:sz w:val="24"/>
          <w:szCs w:val="22"/>
          <w:lang w:val="en-US" w:eastAsia="zh-CN" w:bidi="ar-SA"/>
        </w:rPr>
      </w:pPr>
    </w:p>
    <w:p>
      <w:pPr>
        <w:jc w:val="left"/>
        <w:rPr>
          <w:rFonts w:hint="eastAsia" w:ascii="Times New Roman" w:hAnsi="Times New Roman" w:eastAsia="仿宋" w:cstheme="minorBidi"/>
          <w:b/>
          <w:sz w:val="24"/>
          <w:szCs w:val="22"/>
          <w:lang w:val="en-US" w:eastAsia="zh-CN" w:bidi="ar-SA"/>
        </w:rPr>
      </w:pPr>
      <w:r>
        <w:rPr>
          <w:rFonts w:hint="eastAsia" w:ascii="Times New Roman" w:hAnsi="Times New Roman" w:eastAsia="仿宋" w:cstheme="minorBidi"/>
          <w:b/>
          <w:sz w:val="24"/>
          <w:szCs w:val="22"/>
          <w:lang w:val="en-US" w:eastAsia="zh-CN" w:bidi="ar-SA"/>
        </w:rPr>
        <w:t>Supplementary  Table 9 Molecules enriched in the top 7 KEGG pathway in CB1cKO mice subjected to CCI</w:t>
      </w:r>
    </w:p>
    <w:tbl>
      <w:tblPr>
        <w:tblStyle w:val="19"/>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35"/>
        <w:gridCol w:w="4532"/>
        <w:gridCol w:w="686"/>
        <w:gridCol w:w="769"/>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2535" w:type="dxa"/>
            <w:tcBorders>
              <w:bottom w:val="single" w:color="auto" w:sz="8" w:space="0"/>
            </w:tcBorders>
            <w:shd w:val="clear" w:color="auto" w:fill="auto"/>
          </w:tcPr>
          <w:p>
            <w:pPr>
              <w:widowControl/>
              <w:jc w:val="left"/>
              <w:rPr>
                <w:rFonts w:hint="eastAsia" w:ascii="Times New Roman" w:hAnsi="Times New Roman"/>
                <w:color w:val="000000"/>
                <w:sz w:val="18"/>
                <w:szCs w:val="18"/>
              </w:rPr>
            </w:pPr>
            <w:r>
              <w:rPr>
                <w:rFonts w:ascii="Times New Roman" w:hAnsi="Times New Roman"/>
                <w:sz w:val="18"/>
                <w:szCs w:val="18"/>
              </w:rPr>
              <w:t xml:space="preserve">KEGG pathway </w:t>
            </w:r>
            <w:r>
              <w:rPr>
                <w:rFonts w:hint="eastAsia" w:ascii="Times New Roman" w:hAnsi="Times New Roman"/>
                <w:sz w:val="18"/>
                <w:szCs w:val="18"/>
                <w:lang w:bidi="ar"/>
              </w:rPr>
              <w:t>t</w:t>
            </w:r>
            <w:r>
              <w:rPr>
                <w:rFonts w:ascii="Times New Roman" w:hAnsi="Times New Roman"/>
                <w:sz w:val="18"/>
                <w:szCs w:val="18"/>
                <w:lang w:bidi="ar"/>
              </w:rPr>
              <w:t>erm</w:t>
            </w:r>
          </w:p>
        </w:tc>
        <w:tc>
          <w:tcPr>
            <w:tcW w:w="4532" w:type="dxa"/>
            <w:tcBorders>
              <w:bottom w:val="single" w:color="auto" w:sz="8" w:space="0"/>
            </w:tcBorders>
            <w:shd w:val="clear" w:color="auto" w:fill="auto"/>
          </w:tcPr>
          <w:p>
            <w:pPr>
              <w:jc w:val="left"/>
              <w:rPr>
                <w:rFonts w:ascii="Times New Roman" w:hAnsi="Times New Roman"/>
                <w:color w:val="000000"/>
                <w:sz w:val="18"/>
                <w:szCs w:val="18"/>
              </w:rPr>
            </w:pPr>
            <w:r>
              <w:rPr>
                <w:rFonts w:ascii="Times New Roman" w:hAnsi="Times New Roman"/>
                <w:sz w:val="18"/>
                <w:szCs w:val="18"/>
              </w:rPr>
              <w:t>gene</w:t>
            </w:r>
          </w:p>
        </w:tc>
        <w:tc>
          <w:tcPr>
            <w:tcW w:w="686" w:type="dxa"/>
            <w:tcBorders>
              <w:bottom w:val="single" w:color="auto" w:sz="8" w:space="0"/>
            </w:tcBorders>
            <w:shd w:val="clear" w:color="auto" w:fill="auto"/>
          </w:tcPr>
          <w:p>
            <w:pPr>
              <w:jc w:val="left"/>
              <w:rPr>
                <w:rFonts w:ascii="Times New Roman" w:hAnsi="Times New Roman"/>
                <w:color w:val="000000"/>
                <w:sz w:val="18"/>
                <w:szCs w:val="18"/>
              </w:rPr>
            </w:pPr>
            <w:r>
              <w:rPr>
                <w:rFonts w:ascii="Times New Roman" w:hAnsi="Times New Roman"/>
                <w:sz w:val="18"/>
                <w:szCs w:val="18"/>
              </w:rPr>
              <w:t>Gene counts</w:t>
            </w:r>
          </w:p>
        </w:tc>
        <w:tc>
          <w:tcPr>
            <w:tcW w:w="769" w:type="dxa"/>
            <w:tcBorders>
              <w:bottom w:val="single" w:color="auto" w:sz="8" w:space="0"/>
            </w:tcBorders>
            <w:shd w:val="clear" w:color="auto" w:fill="auto"/>
          </w:tcPr>
          <w:p>
            <w:pPr>
              <w:jc w:val="left"/>
              <w:rPr>
                <w:rFonts w:ascii="Times New Roman" w:hAnsi="Times New Roman"/>
                <w:color w:val="000000"/>
                <w:sz w:val="18"/>
                <w:szCs w:val="18"/>
              </w:rPr>
            </w:pPr>
            <w:r>
              <w:rPr>
                <w:rFonts w:ascii="Times New Roman" w:hAnsi="Times New Roman"/>
                <w:sz w:val="18"/>
                <w:szCs w:val="18"/>
              </w:rPr>
              <w:t>P value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35" w:type="dxa"/>
            <w:tcBorders>
              <w:top w:val="single" w:color="auto" w:sz="8" w:space="0"/>
              <w:tl2br w:val="nil"/>
              <w:tr2bl w:val="nil"/>
            </w:tcBorders>
            <w:shd w:val="clear" w:color="auto" w:fill="auto"/>
          </w:tcPr>
          <w:p>
            <w:pPr>
              <w:widowControl/>
              <w:jc w:val="left"/>
              <w:rPr>
                <w:rFonts w:ascii="Times New Roman" w:hAnsi="Times New Roman"/>
                <w:color w:val="000000"/>
                <w:sz w:val="18"/>
                <w:szCs w:val="18"/>
              </w:rPr>
            </w:pPr>
            <w:r>
              <w:rPr>
                <w:rFonts w:ascii="Times New Roman" w:hAnsi="Times New Roman"/>
                <w:sz w:val="18"/>
                <w:szCs w:val="18"/>
              </w:rPr>
              <w:t>5150: Staphylococcus aureus infection</w:t>
            </w:r>
          </w:p>
        </w:tc>
        <w:tc>
          <w:tcPr>
            <w:tcW w:w="4532" w:type="dxa"/>
            <w:tcBorders>
              <w:top w:val="single" w:color="auto" w:sz="8" w:space="0"/>
              <w:tl2br w:val="nil"/>
              <w:tr2bl w:val="nil"/>
            </w:tcBorders>
            <w:shd w:val="clear" w:color="auto" w:fill="auto"/>
          </w:tcPr>
          <w:p>
            <w:pPr>
              <w:jc w:val="left"/>
              <w:rPr>
                <w:rFonts w:ascii="Times New Roman" w:hAnsi="Times New Roman"/>
                <w:color w:val="000000"/>
                <w:sz w:val="18"/>
                <w:szCs w:val="18"/>
              </w:rPr>
            </w:pPr>
            <w:r>
              <w:rPr>
                <w:rFonts w:ascii="Times New Roman" w:hAnsi="Times New Roman"/>
                <w:sz w:val="18"/>
                <w:szCs w:val="18"/>
              </w:rPr>
              <w:t>Cfd, C3, C3ar1, C4b, Camp, Fcgr1, Fcgr2b, Fcgr3, Fpr2, Fpr1, H2-Ab1, Cfb, H2-Eb1, Icam1, Itgal, Itgam, Itgb2, Itgb2l, Krt19, Selplg</w:t>
            </w:r>
          </w:p>
        </w:tc>
        <w:tc>
          <w:tcPr>
            <w:tcW w:w="686" w:type="dxa"/>
            <w:tcBorders>
              <w:top w:val="single" w:color="auto" w:sz="8" w:space="0"/>
              <w:tl2br w:val="nil"/>
              <w:tr2bl w:val="nil"/>
            </w:tcBorders>
            <w:shd w:val="clear" w:color="auto" w:fill="auto"/>
            <w:vAlign w:val="center"/>
          </w:tcPr>
          <w:p>
            <w:pPr>
              <w:widowControl/>
              <w:jc w:val="right"/>
              <w:textAlignment w:val="center"/>
              <w:rPr>
                <w:rFonts w:ascii="Times New Roman" w:hAnsi="Times New Roman"/>
                <w:color w:val="000000"/>
                <w:sz w:val="18"/>
                <w:szCs w:val="18"/>
              </w:rPr>
            </w:pPr>
            <w:r>
              <w:rPr>
                <w:rFonts w:ascii="Times New Roman" w:hAnsi="Times New Roman"/>
                <w:color w:val="000000"/>
                <w:kern w:val="0"/>
                <w:sz w:val="18"/>
                <w:szCs w:val="18"/>
                <w:lang w:bidi="ar"/>
              </w:rPr>
              <w:t>20</w:t>
            </w:r>
          </w:p>
        </w:tc>
        <w:tc>
          <w:tcPr>
            <w:tcW w:w="769" w:type="dxa"/>
            <w:tcBorders>
              <w:top w:val="single" w:color="auto" w:sz="8" w:space="0"/>
              <w:tl2br w:val="nil"/>
              <w:tr2bl w:val="nil"/>
            </w:tcBorders>
            <w:shd w:val="clear" w:color="auto" w:fill="auto"/>
            <w:vAlign w:val="center"/>
          </w:tcPr>
          <w:p>
            <w:pPr>
              <w:widowControl/>
              <w:jc w:val="left"/>
              <w:textAlignment w:val="center"/>
              <w:rPr>
                <w:rFonts w:ascii="Times New Roman" w:hAnsi="Times New Roman"/>
                <w:color w:val="000000"/>
                <w:sz w:val="18"/>
                <w:szCs w:val="18"/>
              </w:rPr>
            </w:pPr>
            <w:r>
              <w:rPr>
                <w:rFonts w:ascii="Times New Roman" w:hAnsi="Times New Roman"/>
                <w:color w:val="000000"/>
                <w:kern w:val="0"/>
                <w:sz w:val="18"/>
                <w:szCs w:val="18"/>
                <w:lang w:bidi="ar"/>
              </w:rPr>
              <w:t>5.23E</w:t>
            </w:r>
            <w:r>
              <w:rPr>
                <w:rFonts w:hint="eastAsia" w:eastAsia="宋体"/>
                <w:color w:val="000000"/>
                <w:kern w:val="0"/>
                <w:sz w:val="18"/>
                <w:szCs w:val="18"/>
                <w:lang w:val="en-US" w:eastAsia="zh-CN" w:bidi="ar"/>
              </w:rPr>
              <w:t>-</w:t>
            </w:r>
            <w:r>
              <w:rPr>
                <w:rFonts w:ascii="Times New Roman" w:hAnsi="Times New Roman"/>
                <w:color w:val="000000"/>
                <w:kern w:val="0"/>
                <w:sz w:val="18"/>
                <w:szCs w:val="18"/>
                <w:lang w:bidi="ar"/>
              </w:rPr>
              <w:t>12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35" w:type="dxa"/>
            <w:tcBorders>
              <w:tl2br w:val="nil"/>
              <w:tr2bl w:val="nil"/>
            </w:tcBorders>
            <w:shd w:val="clear" w:color="auto" w:fill="auto"/>
          </w:tcPr>
          <w:p>
            <w:pPr>
              <w:widowControl/>
              <w:jc w:val="left"/>
              <w:rPr>
                <w:rFonts w:ascii="Times New Roman" w:hAnsi="Times New Roman"/>
                <w:color w:val="000000"/>
                <w:sz w:val="18"/>
                <w:szCs w:val="18"/>
              </w:rPr>
            </w:pPr>
            <w:r>
              <w:rPr>
                <w:rFonts w:ascii="Times New Roman" w:hAnsi="Times New Roman"/>
                <w:sz w:val="18"/>
                <w:szCs w:val="18"/>
              </w:rPr>
              <w:t>5140: Leishmaniasis</w:t>
            </w:r>
          </w:p>
        </w:tc>
        <w:tc>
          <w:tcPr>
            <w:tcW w:w="4532" w:type="dxa"/>
            <w:tcBorders>
              <w:tl2br w:val="nil"/>
              <w:tr2bl w:val="nil"/>
            </w:tcBorders>
            <w:shd w:val="clear" w:color="auto" w:fill="auto"/>
          </w:tcPr>
          <w:p>
            <w:pPr>
              <w:jc w:val="left"/>
              <w:rPr>
                <w:rFonts w:ascii="Times New Roman" w:hAnsi="Times New Roman"/>
                <w:color w:val="000000"/>
                <w:sz w:val="18"/>
                <w:szCs w:val="18"/>
              </w:rPr>
            </w:pPr>
            <w:r>
              <w:rPr>
                <w:rFonts w:ascii="Times New Roman" w:hAnsi="Times New Roman"/>
                <w:sz w:val="18"/>
                <w:szCs w:val="18"/>
              </w:rPr>
              <w:t>C3, Cyba, Cybb, Fcgr1, Fcgr3, H2-Ab1, H2-Eb1, Ptpn6, Itgam, Itgb2, Itgb2l, Ncf2, Tlr2</w:t>
            </w:r>
          </w:p>
        </w:tc>
        <w:tc>
          <w:tcPr>
            <w:tcW w:w="686" w:type="dxa"/>
            <w:tcBorders>
              <w:tl2br w:val="nil"/>
              <w:tr2bl w:val="nil"/>
            </w:tcBorders>
            <w:shd w:val="clear" w:color="auto" w:fill="auto"/>
            <w:vAlign w:val="center"/>
          </w:tcPr>
          <w:p>
            <w:pPr>
              <w:widowControl/>
              <w:jc w:val="right"/>
              <w:textAlignment w:val="center"/>
              <w:rPr>
                <w:rFonts w:ascii="Times New Roman" w:hAnsi="Times New Roman"/>
                <w:color w:val="000000"/>
                <w:sz w:val="18"/>
                <w:szCs w:val="18"/>
              </w:rPr>
            </w:pPr>
            <w:r>
              <w:rPr>
                <w:rFonts w:ascii="Times New Roman" w:hAnsi="Times New Roman"/>
                <w:color w:val="000000"/>
                <w:kern w:val="0"/>
                <w:sz w:val="18"/>
                <w:szCs w:val="18"/>
                <w:lang w:bidi="ar"/>
              </w:rPr>
              <w:t>13</w:t>
            </w:r>
          </w:p>
        </w:tc>
        <w:tc>
          <w:tcPr>
            <w:tcW w:w="769" w:type="dxa"/>
            <w:tcBorders>
              <w:tl2br w:val="nil"/>
              <w:tr2bl w:val="nil"/>
            </w:tcBorders>
            <w:shd w:val="clear" w:color="auto" w:fill="auto"/>
            <w:vAlign w:val="center"/>
          </w:tcPr>
          <w:p>
            <w:pPr>
              <w:widowControl/>
              <w:jc w:val="left"/>
              <w:textAlignment w:val="center"/>
              <w:rPr>
                <w:rFonts w:ascii="Times New Roman" w:hAnsi="Times New Roman"/>
                <w:color w:val="000000"/>
                <w:sz w:val="18"/>
                <w:szCs w:val="18"/>
              </w:rPr>
            </w:pPr>
            <w:r>
              <w:rPr>
                <w:rFonts w:ascii="Times New Roman" w:hAnsi="Times New Roman"/>
                <w:color w:val="000000"/>
                <w:kern w:val="0"/>
                <w:sz w:val="18"/>
                <w:szCs w:val="18"/>
                <w:lang w:bidi="ar"/>
              </w:rPr>
              <w:t>1.14E-08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35" w:type="dxa"/>
            <w:tcBorders>
              <w:tl2br w:val="nil"/>
              <w:tr2bl w:val="nil"/>
            </w:tcBorders>
            <w:shd w:val="clear" w:color="auto" w:fill="auto"/>
          </w:tcPr>
          <w:p>
            <w:pPr>
              <w:widowControl/>
              <w:jc w:val="left"/>
              <w:rPr>
                <w:rFonts w:ascii="Times New Roman" w:hAnsi="Times New Roman"/>
                <w:color w:val="000000"/>
                <w:sz w:val="18"/>
                <w:szCs w:val="18"/>
              </w:rPr>
            </w:pPr>
            <w:r>
              <w:rPr>
                <w:rFonts w:ascii="Times New Roman" w:hAnsi="Times New Roman"/>
                <w:sz w:val="18"/>
                <w:szCs w:val="18"/>
              </w:rPr>
              <w:t>4145: Phagosome</w:t>
            </w:r>
          </w:p>
        </w:tc>
        <w:tc>
          <w:tcPr>
            <w:tcW w:w="4532"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C3, Ctss, Cyba, Cybb, Fcgr1, Fcgr2b, Fcgr3, H2-Ab1, H2-Eb1, Itgam, Itgb2, Itgb2l, Mrc1, Ncf2, Nos1, Tuba1c, Tlr2, Tubb6, Tubb2b</w:t>
            </w:r>
          </w:p>
        </w:tc>
        <w:tc>
          <w:tcPr>
            <w:tcW w:w="686"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19</w:t>
            </w:r>
          </w:p>
        </w:tc>
        <w:tc>
          <w:tcPr>
            <w:tcW w:w="769"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8.35E-08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35" w:type="dxa"/>
            <w:tcBorders>
              <w:tl2br w:val="nil"/>
              <w:tr2bl w:val="nil"/>
            </w:tcBorders>
            <w:shd w:val="clear" w:color="auto" w:fill="auto"/>
          </w:tcPr>
          <w:p>
            <w:pPr>
              <w:widowControl/>
              <w:jc w:val="left"/>
              <w:rPr>
                <w:rFonts w:ascii="Times New Roman" w:hAnsi="Times New Roman"/>
                <w:color w:val="000000"/>
                <w:sz w:val="18"/>
                <w:szCs w:val="18"/>
              </w:rPr>
            </w:pPr>
            <w:r>
              <w:rPr>
                <w:rFonts w:ascii="Times New Roman" w:hAnsi="Times New Roman"/>
                <w:sz w:val="18"/>
                <w:szCs w:val="18"/>
              </w:rPr>
              <w:t>5152: Tuberculosis</w:t>
            </w:r>
            <w:r>
              <w:rPr>
                <w:rFonts w:ascii="Times New Roman" w:hAnsi="Times New Roman"/>
                <w:kern w:val="0"/>
                <w:sz w:val="18"/>
                <w:szCs w:val="18"/>
              </w:rPr>
              <w:t xml:space="preserve"> </w:t>
            </w:r>
          </w:p>
        </w:tc>
        <w:tc>
          <w:tcPr>
            <w:tcW w:w="4532"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C3, Casp3, Camp, Ctss, Fcgr1, Fcgr2b, Fcgr3, H2-Ab1, H2-Eb1, Itgam, Itgb2, Itgb2l, Lbp, Lsp1, Mrc1, Syk, Tlr1, Tlr2, Clec4e</w:t>
            </w:r>
          </w:p>
        </w:tc>
        <w:tc>
          <w:tcPr>
            <w:tcW w:w="686"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19</w:t>
            </w:r>
          </w:p>
        </w:tc>
        <w:tc>
          <w:tcPr>
            <w:tcW w:w="769"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8.35E-08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35" w:type="dxa"/>
            <w:tcBorders>
              <w:tl2br w:val="nil"/>
              <w:tr2bl w:val="nil"/>
            </w:tcBorders>
            <w:shd w:val="clear" w:color="auto" w:fill="auto"/>
          </w:tcPr>
          <w:p>
            <w:pPr>
              <w:widowControl/>
              <w:jc w:val="left"/>
              <w:rPr>
                <w:rFonts w:ascii="Times New Roman" w:hAnsi="Times New Roman"/>
                <w:color w:val="000000"/>
                <w:sz w:val="18"/>
                <w:szCs w:val="18"/>
              </w:rPr>
            </w:pPr>
            <w:r>
              <w:rPr>
                <w:rFonts w:ascii="Times New Roman" w:hAnsi="Times New Roman"/>
                <w:sz w:val="18"/>
                <w:szCs w:val="18"/>
              </w:rPr>
              <w:t>4380: Osteoclast differentiation</w:t>
            </w:r>
          </w:p>
        </w:tc>
        <w:tc>
          <w:tcPr>
            <w:tcW w:w="4532"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Acp5, Csf1, Csf1r, Cyba, Fcgr1, Fcgr2b, Fcgr3, Lilrb4a, Il1r1, Ncf2, Pirb, Spi1, Syk, Trem2</w:t>
            </w:r>
          </w:p>
        </w:tc>
        <w:tc>
          <w:tcPr>
            <w:tcW w:w="686"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p>
        </w:tc>
        <w:tc>
          <w:tcPr>
            <w:tcW w:w="769" w:type="dxa"/>
            <w:tcBorders>
              <w:tl2br w:val="nil"/>
              <w:tr2bl w:val="nil"/>
            </w:tcBorders>
            <w:shd w:val="clear" w:color="auto" w:fill="auto"/>
          </w:tcPr>
          <w:p>
            <w:pPr>
              <w:widowControl/>
              <w:jc w:val="left"/>
              <w:textAlignment w:val="center"/>
              <w:rPr>
                <w:rFonts w:hint="default" w:ascii="Times New Roman" w:hAnsi="Times New Roman"/>
                <w:color w:val="000000"/>
                <w:kern w:val="0"/>
                <w:sz w:val="18"/>
                <w:szCs w:val="18"/>
                <w:lang w:val="en-US" w:eastAsia="zh-CN" w:bidi="ar"/>
              </w:rPr>
            </w:pPr>
            <w:r>
              <w:rPr>
                <w:rFonts w:hint="eastAsia" w:ascii="Times New Roman" w:hAnsi="Times New Roman"/>
                <w:color w:val="000000"/>
                <w:kern w:val="0"/>
                <w:sz w:val="18"/>
                <w:szCs w:val="18"/>
                <w:lang w:val="en-US" w:eastAsia="zh-CN" w:bidi="ar"/>
              </w:rPr>
              <w:t>3.17</w:t>
            </w:r>
            <w:r>
              <w:rPr>
                <w:rFonts w:ascii="Times New Roman" w:hAnsi="Times New Roman"/>
                <w:color w:val="000000"/>
                <w:kern w:val="0"/>
                <w:sz w:val="18"/>
                <w:szCs w:val="18"/>
                <w:lang w:bidi="ar"/>
              </w:rPr>
              <w:t>E-08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35" w:type="dxa"/>
            <w:tcBorders>
              <w:tl2br w:val="nil"/>
              <w:tr2bl w:val="nil"/>
            </w:tcBorders>
            <w:shd w:val="clear" w:color="auto" w:fill="auto"/>
          </w:tcPr>
          <w:p>
            <w:pPr>
              <w:widowControl/>
              <w:jc w:val="left"/>
              <w:rPr>
                <w:rFonts w:ascii="Times New Roman" w:hAnsi="Times New Roman"/>
                <w:color w:val="000000"/>
                <w:sz w:val="18"/>
                <w:szCs w:val="18"/>
              </w:rPr>
            </w:pPr>
            <w:r>
              <w:rPr>
                <w:rFonts w:ascii="Times New Roman" w:hAnsi="Times New Roman"/>
                <w:sz w:val="18"/>
                <w:szCs w:val="18"/>
              </w:rPr>
              <w:t>4662: B cell receptor signaling pathway</w:t>
            </w:r>
          </w:p>
        </w:tc>
        <w:tc>
          <w:tcPr>
            <w:tcW w:w="4532"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Cd72, Fcgr2b, Lilrb4a, Ptpn6, Inpp5d, Lyn, Pirb, Rac2, Syk, Vav1,Pik3ap1</w:t>
            </w:r>
          </w:p>
        </w:tc>
        <w:tc>
          <w:tcPr>
            <w:tcW w:w="686"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p>
        </w:tc>
        <w:tc>
          <w:tcPr>
            <w:tcW w:w="769" w:type="dxa"/>
            <w:tcBorders>
              <w:tl2br w:val="nil"/>
              <w:tr2bl w:val="nil"/>
            </w:tcBorders>
            <w:shd w:val="clear" w:color="auto" w:fill="auto"/>
          </w:tcPr>
          <w:p>
            <w:pPr>
              <w:widowControl/>
              <w:jc w:val="left"/>
              <w:textAlignment w:val="center"/>
              <w:rPr>
                <w:rFonts w:hint="default" w:ascii="Times New Roman" w:hAnsi="Times New Roman"/>
                <w:color w:val="000000"/>
                <w:kern w:val="0"/>
                <w:sz w:val="18"/>
                <w:szCs w:val="18"/>
                <w:lang w:val="en-US" w:eastAsia="zh-CN" w:bidi="ar"/>
              </w:rPr>
            </w:pPr>
            <w:r>
              <w:rPr>
                <w:rFonts w:hint="eastAsia" w:ascii="Times New Roman" w:hAnsi="Times New Roman"/>
                <w:color w:val="000000"/>
                <w:kern w:val="0"/>
                <w:sz w:val="18"/>
                <w:szCs w:val="18"/>
                <w:lang w:val="en-US" w:eastAsia="zh-CN" w:bidi="ar"/>
              </w:rPr>
              <w:t>1.9</w:t>
            </w:r>
            <w:r>
              <w:rPr>
                <w:rFonts w:ascii="Times New Roman" w:hAnsi="Times New Roman"/>
                <w:color w:val="000000"/>
                <w:kern w:val="0"/>
                <w:sz w:val="18"/>
                <w:szCs w:val="18"/>
                <w:lang w:bidi="ar"/>
              </w:rPr>
              <w:t>E-08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535" w:type="dxa"/>
            <w:tcBorders>
              <w:tl2br w:val="nil"/>
              <w:tr2bl w:val="nil"/>
            </w:tcBorders>
            <w:shd w:val="clear" w:color="auto" w:fill="auto"/>
          </w:tcPr>
          <w:p>
            <w:pPr>
              <w:widowControl/>
              <w:jc w:val="left"/>
              <w:rPr>
                <w:rFonts w:ascii="Times New Roman" w:hAnsi="Times New Roman"/>
                <w:color w:val="000000"/>
                <w:sz w:val="18"/>
                <w:szCs w:val="18"/>
              </w:rPr>
            </w:pPr>
            <w:r>
              <w:rPr>
                <w:rFonts w:ascii="Times New Roman" w:hAnsi="Times New Roman"/>
                <w:sz w:val="18"/>
                <w:szCs w:val="18"/>
              </w:rPr>
              <w:t>4666: Fc gamma R-mediated phagocytosis</w:t>
            </w:r>
            <w:r>
              <w:rPr>
                <w:rFonts w:ascii="Times New Roman" w:hAnsi="Times New Roman"/>
                <w:kern w:val="0"/>
                <w:sz w:val="18"/>
                <w:szCs w:val="18"/>
              </w:rPr>
              <w:t xml:space="preserve"> </w:t>
            </w:r>
          </w:p>
        </w:tc>
        <w:tc>
          <w:tcPr>
            <w:tcW w:w="4532"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Fcgr1, Fcgr2b, Hck, Inpp5d, Lyn, Ptprc, Rac2, Syk, Vav1, Was, Dock2'</w:t>
            </w:r>
          </w:p>
        </w:tc>
        <w:tc>
          <w:tcPr>
            <w:tcW w:w="686" w:type="dxa"/>
            <w:tcBorders>
              <w:tl2br w:val="nil"/>
              <w:tr2bl w:val="nil"/>
            </w:tcBorders>
            <w:shd w:val="clear" w:color="auto" w:fill="auto"/>
          </w:tcPr>
          <w:p>
            <w:pPr>
              <w:widowControl/>
              <w:jc w:val="left"/>
              <w:textAlignment w:val="center"/>
              <w:rPr>
                <w:rFonts w:ascii="Times New Roman" w:hAnsi="Times New Roman"/>
                <w:color w:val="000000"/>
                <w:kern w:val="0"/>
                <w:sz w:val="18"/>
                <w:szCs w:val="18"/>
                <w:lang w:bidi="ar"/>
              </w:rPr>
            </w:pPr>
          </w:p>
        </w:tc>
        <w:tc>
          <w:tcPr>
            <w:tcW w:w="769" w:type="dxa"/>
            <w:tcBorders>
              <w:tl2br w:val="nil"/>
              <w:tr2bl w:val="nil"/>
            </w:tcBorders>
            <w:shd w:val="clear" w:color="auto" w:fill="auto"/>
          </w:tcPr>
          <w:p>
            <w:pPr>
              <w:widowControl/>
              <w:jc w:val="left"/>
              <w:textAlignment w:val="center"/>
              <w:rPr>
                <w:rFonts w:hint="eastAsia" w:ascii="Times New Roman" w:hAnsi="Times New Roman"/>
                <w:color w:val="000000"/>
                <w:kern w:val="0"/>
                <w:sz w:val="18"/>
                <w:szCs w:val="18"/>
                <w:lang w:val="en-US" w:eastAsia="zh-CN" w:bidi="ar"/>
              </w:rPr>
            </w:pPr>
            <w:r>
              <w:rPr>
                <w:rFonts w:hint="eastAsia" w:ascii="Times New Roman" w:hAnsi="Times New Roman"/>
                <w:color w:val="000000"/>
                <w:kern w:val="0"/>
                <w:sz w:val="18"/>
                <w:szCs w:val="18"/>
                <w:lang w:val="en-US" w:eastAsia="zh-CN" w:bidi="ar"/>
              </w:rPr>
              <w:t>8.9</w:t>
            </w:r>
            <w:r>
              <w:rPr>
                <w:rFonts w:ascii="Times New Roman" w:hAnsi="Times New Roman"/>
                <w:color w:val="000000"/>
                <w:kern w:val="0"/>
                <w:sz w:val="18"/>
                <w:szCs w:val="18"/>
                <w:lang w:bidi="ar"/>
              </w:rPr>
              <w:t>E-0</w:t>
            </w:r>
            <w:r>
              <w:rPr>
                <w:rFonts w:hint="eastAsia" w:ascii="Times New Roman" w:hAnsi="Times New Roman"/>
                <w:color w:val="000000"/>
                <w:kern w:val="0"/>
                <w:sz w:val="18"/>
                <w:szCs w:val="18"/>
                <w:lang w:val="en-US" w:eastAsia="zh-CN" w:bidi="ar"/>
              </w:rPr>
              <w:t>7</w:t>
            </w:r>
          </w:p>
        </w:tc>
      </w:tr>
    </w:tbl>
    <w:p>
      <w:pPr>
        <w:jc w:val="left"/>
        <w:rPr>
          <w:rFonts w:ascii="Times New Roman" w:hAnsi="Times New Roman"/>
          <w:color w:val="000000"/>
          <w:sz w:val="24"/>
        </w:rPr>
      </w:pPr>
    </w:p>
    <w:p>
      <w:pPr>
        <w:jc w:val="left"/>
        <w:rPr>
          <w:rFonts w:hint="eastAsia" w:ascii="Times New Roman" w:hAnsi="Times New Roman" w:eastAsia="仿宋" w:cstheme="minorBidi"/>
          <w:b/>
          <w:sz w:val="24"/>
          <w:szCs w:val="22"/>
          <w:lang w:val="en-US" w:eastAsia="zh-CN" w:bidi="ar-SA"/>
        </w:rPr>
      </w:pPr>
    </w:p>
    <w:p>
      <w:pPr>
        <w:jc w:val="left"/>
        <w:rPr>
          <w:rFonts w:hint="eastAsia" w:ascii="Times New Roman" w:hAnsi="Times New Roman" w:eastAsia="仿宋" w:cstheme="minorBidi"/>
          <w:b/>
          <w:sz w:val="24"/>
          <w:szCs w:val="22"/>
          <w:lang w:val="en-US" w:eastAsia="zh-CN" w:bidi="ar-SA"/>
        </w:rPr>
      </w:pPr>
      <w:r>
        <w:rPr>
          <w:rFonts w:hint="eastAsia" w:ascii="Times New Roman" w:hAnsi="Times New Roman" w:eastAsia="仿宋" w:cstheme="minorBidi"/>
          <w:b/>
          <w:sz w:val="24"/>
          <w:szCs w:val="22"/>
          <w:lang w:val="en-US" w:eastAsia="zh-CN" w:bidi="ar-SA"/>
        </w:rPr>
        <w:t>Supplementary  Table 10 Molecules enriched in the top 7 biological process in CB1cKO mice subjected to CCI</w:t>
      </w:r>
    </w:p>
    <w:tbl>
      <w:tblPr>
        <w:tblStyle w:val="19"/>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64"/>
        <w:gridCol w:w="4200"/>
        <w:gridCol w:w="621"/>
        <w:gridCol w:w="737"/>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bottom w:val="single" w:color="auto" w:sz="8" w:space="0"/>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sz w:val="18"/>
                <w:szCs w:val="18"/>
              </w:rPr>
              <w:t>Go-process</w:t>
            </w:r>
            <w:r>
              <w:rPr>
                <w:rFonts w:ascii="Times New Roman" w:hAnsi="Times New Roman"/>
                <w:color w:val="000000"/>
                <w:kern w:val="0"/>
                <w:sz w:val="18"/>
                <w:szCs w:val="18"/>
                <w:lang w:bidi="ar"/>
              </w:rPr>
              <w:t xml:space="preserve"> Term </w:t>
            </w:r>
          </w:p>
        </w:tc>
        <w:tc>
          <w:tcPr>
            <w:tcW w:w="4200" w:type="dxa"/>
            <w:tcBorders>
              <w:bottom w:val="single" w:color="auto" w:sz="8" w:space="0"/>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gene</w:t>
            </w:r>
          </w:p>
        </w:tc>
        <w:tc>
          <w:tcPr>
            <w:tcW w:w="621" w:type="dxa"/>
            <w:tcBorders>
              <w:bottom w:val="single" w:color="auto" w:sz="8" w:space="0"/>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Gene counts</w:t>
            </w:r>
          </w:p>
        </w:tc>
        <w:tc>
          <w:tcPr>
            <w:tcW w:w="737" w:type="dxa"/>
            <w:tcBorders>
              <w:bottom w:val="single" w:color="auto" w:sz="8" w:space="0"/>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P value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top w:val="single" w:color="auto" w:sz="8" w:space="0"/>
              <w:tl2br w:val="nil"/>
              <w:tr2bl w:val="nil"/>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GO:0045087-innate immune response</w:t>
            </w:r>
          </w:p>
        </w:tc>
        <w:tc>
          <w:tcPr>
            <w:tcW w:w="4200" w:type="dxa"/>
            <w:tcBorders>
              <w:top w:val="single" w:color="auto" w:sz="8" w:space="0"/>
              <w:tl2br w:val="nil"/>
              <w:tr2bl w:val="nil"/>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Wfdc17, Pld4, Npy, Cfd, C3, C4b, Camp, Csf1, Csf1r, Cyba, Cybb, Fcgr1, Fcnb, Cfb, Hck, Arhgef2, Lbp, Lcn2, Lgals3</w:t>
            </w:r>
          </w:p>
        </w:tc>
        <w:tc>
          <w:tcPr>
            <w:tcW w:w="621" w:type="dxa"/>
            <w:tcBorders>
              <w:top w:val="single" w:color="auto" w:sz="8" w:space="0"/>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52</w:t>
            </w:r>
          </w:p>
        </w:tc>
        <w:tc>
          <w:tcPr>
            <w:tcW w:w="737" w:type="dxa"/>
            <w:tcBorders>
              <w:top w:val="single" w:color="auto" w:sz="8" w:space="0"/>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3.91E-25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GO:0002376-immune system process</w:t>
            </w:r>
          </w:p>
        </w:tc>
        <w:tc>
          <w:tcPr>
            <w:tcW w:w="4200" w:type="dxa"/>
            <w:tcBorders>
              <w:tl2br w:val="nil"/>
              <w:tr2bl w:val="nil"/>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Pld4, Cfd, C3, Csf1, Csf1r, Cd300c2, Fcgr1, Fcnb, Lilrb4a, H2-Ab1, Cfb, H2-Eb1, Hck, Hp, Irf8, Inpp5d, Arhgef2, Lbp, Lcn2</w:t>
            </w:r>
          </w:p>
        </w:tc>
        <w:tc>
          <w:tcPr>
            <w:tcW w:w="621"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53</w:t>
            </w:r>
          </w:p>
        </w:tc>
        <w:tc>
          <w:tcPr>
            <w:tcW w:w="737"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1.07E-23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GO:0006954-inflammatory response</w:t>
            </w:r>
          </w:p>
        </w:tc>
        <w:tc>
          <w:tcPr>
            <w:tcW w:w="4200" w:type="dxa"/>
            <w:tcBorders>
              <w:tl2br w:val="nil"/>
              <w:tr2bl w:val="nil"/>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Pld4, Adam8, Agtr1b, C3, C3ar1, C4b, Chil3, Ccr1, Ccr2, Crh, Csf1, Csf1r, Cyba, Cybb, Fpr2, Fpr1, Gal, Lilrb4a, Hck</w:t>
            </w:r>
          </w:p>
        </w:tc>
        <w:tc>
          <w:tcPr>
            <w:tcW w:w="621"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44</w:t>
            </w:r>
          </w:p>
        </w:tc>
        <w:tc>
          <w:tcPr>
            <w:tcW w:w="737"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1.65E-21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GO:0009617-response to bacterium</w:t>
            </w:r>
          </w:p>
        </w:tc>
        <w:tc>
          <w:tcPr>
            <w:tcW w:w="4200" w:type="dxa"/>
            <w:tcBorders>
              <w:tl2br w:val="nil"/>
              <w:tr2bl w:val="nil"/>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Mnda, Ly6a, Cfd, Fabp4, C3, Car3, Cyp2e1, Fcgr1, Fcgr2b, Hp, Irf8, Ifi203, Ifi204, Lcn2, Myo1f, Reg3b, Trim30a, Slfn2, Slfn4</w:t>
            </w:r>
          </w:p>
        </w:tc>
        <w:tc>
          <w:tcPr>
            <w:tcW w:w="621"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29</w:t>
            </w:r>
          </w:p>
        </w:tc>
        <w:tc>
          <w:tcPr>
            <w:tcW w:w="737"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1.75E-17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GO:0030593-neutrophil chemotaxis</w:t>
            </w:r>
          </w:p>
        </w:tc>
        <w:tc>
          <w:tcPr>
            <w:tcW w:w="4200" w:type="dxa"/>
            <w:tcBorders>
              <w:tl2br w:val="nil"/>
              <w:tr2bl w:val="nil"/>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Nckap1, Csf3r, Fcgr3, Itgam, Itgb2, Lgals3, S100a8, S100a9, Ccl12, Ccl6, Ccl7, Ccl8, Ccl9, Spp1, Syk, Vav1, Trem1</w:t>
            </w:r>
          </w:p>
        </w:tc>
        <w:tc>
          <w:tcPr>
            <w:tcW w:w="621"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17</w:t>
            </w:r>
          </w:p>
        </w:tc>
        <w:tc>
          <w:tcPr>
            <w:tcW w:w="737"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3.00E-13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GO:0006935-chemotaxis</w:t>
            </w:r>
          </w:p>
        </w:tc>
        <w:tc>
          <w:tcPr>
            <w:tcW w:w="4200" w:type="dxa"/>
            <w:tcBorders>
              <w:tl2br w:val="nil"/>
              <w:tr2bl w:val="nil"/>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Nckap1l, C3ar1, Ccr1, Ccr2, Ear2, Fpr2, Fpr1, Lsp1, Rac2, S100a8, S100a9, Ccl12, Ccl6, Ccl7, Ccl8, Ccl9, Pik3cg, Dock2, Hmgb2</w:t>
            </w:r>
          </w:p>
        </w:tc>
        <w:tc>
          <w:tcPr>
            <w:tcW w:w="621"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19</w:t>
            </w:r>
          </w:p>
        </w:tc>
        <w:tc>
          <w:tcPr>
            <w:tcW w:w="737"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5.12E-11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964" w:type="dxa"/>
            <w:tcBorders>
              <w:tl2br w:val="nil"/>
              <w:tr2bl w:val="nil"/>
            </w:tcBorders>
            <w:shd w:val="clear" w:color="auto" w:fill="auto"/>
            <w:vAlign w:val="center"/>
          </w:tcPr>
          <w:p>
            <w:pPr>
              <w:widowControl/>
              <w:jc w:val="lef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GO:0042742-defense response to bacterium</w:t>
            </w:r>
          </w:p>
        </w:tc>
        <w:tc>
          <w:tcPr>
            <w:tcW w:w="4200" w:type="dxa"/>
            <w:tcBorders>
              <w:tl2br w:val="nil"/>
              <w:tr2bl w:val="nil"/>
            </w:tcBorders>
            <w:shd w:val="clear" w:color="auto" w:fill="auto"/>
          </w:tcPr>
          <w:p>
            <w:pPr>
              <w:jc w:val="left"/>
              <w:rPr>
                <w:rFonts w:ascii="Times New Roman" w:hAnsi="Times New Roman"/>
                <w:color w:val="000000"/>
                <w:kern w:val="0"/>
                <w:sz w:val="18"/>
                <w:szCs w:val="18"/>
              </w:rPr>
            </w:pPr>
            <w:r>
              <w:rPr>
                <w:rFonts w:ascii="Times New Roman" w:hAnsi="Times New Roman"/>
                <w:sz w:val="18"/>
                <w:szCs w:val="18"/>
              </w:rPr>
              <w:t>Chga, Camp, Epx, Fcgr1, Fpr2, Hp, Irf8, Lbp, Lcn2, Lyz2, Mpeg1, Prg2, Stab1, S100a11, Slpi, Spn, Syk, Pglyrp1, Plac8</w:t>
            </w:r>
          </w:p>
        </w:tc>
        <w:tc>
          <w:tcPr>
            <w:tcW w:w="621"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21</w:t>
            </w:r>
          </w:p>
        </w:tc>
        <w:tc>
          <w:tcPr>
            <w:tcW w:w="737" w:type="dxa"/>
            <w:tcBorders>
              <w:tl2br w:val="nil"/>
              <w:tr2bl w:val="nil"/>
            </w:tcBorders>
            <w:shd w:val="clear" w:color="auto" w:fill="auto"/>
            <w:vAlign w:val="center"/>
          </w:tcPr>
          <w:p>
            <w:pPr>
              <w:widowControl/>
              <w:jc w:val="right"/>
              <w:textAlignment w:val="center"/>
              <w:rPr>
                <w:rFonts w:ascii="Times New Roman" w:hAnsi="Times New Roman"/>
                <w:color w:val="000000"/>
                <w:kern w:val="0"/>
                <w:sz w:val="18"/>
                <w:szCs w:val="18"/>
              </w:rPr>
            </w:pPr>
            <w:r>
              <w:rPr>
                <w:rFonts w:ascii="Times New Roman" w:hAnsi="Times New Roman"/>
                <w:color w:val="000000"/>
                <w:kern w:val="0"/>
                <w:sz w:val="18"/>
                <w:szCs w:val="18"/>
                <w:lang w:bidi="ar"/>
              </w:rPr>
              <w:t>1.01E-10</w:t>
            </w:r>
          </w:p>
        </w:tc>
      </w:tr>
    </w:tbl>
    <w:p>
      <w:pPr>
        <w:widowControl/>
        <w:jc w:val="left"/>
        <w:rPr>
          <w:rFonts w:ascii="Times New Roman" w:hAnsi="Times New Roman" w:eastAsia="AdvOT5fcf1b24"/>
          <w:color w:val="000000"/>
          <w:kern w:val="0"/>
          <w:sz w:val="24"/>
          <w:lang w:bidi="ar"/>
        </w:rPr>
      </w:pPr>
    </w:p>
    <w:p/>
    <w:p>
      <w:pPr>
        <w:rPr>
          <w:b/>
          <w:bCs/>
        </w:rPr>
      </w:pPr>
      <w:r>
        <w:rPr>
          <w:b/>
          <w:bCs/>
        </w:rPr>
        <w:t>References:</w:t>
      </w:r>
    </w:p>
    <w:p>
      <w:pPr>
        <w:pStyle w:val="53"/>
        <w:ind w:left="720" w:hanging="720"/>
      </w:pPr>
      <w:r>
        <w:t xml:space="preserve">Alhadeff, A.L., Su, Z., Hernandez, E., Klima, M.L., Phillips, S.Z., Holland, R.A., Guo, C., Hantman, A.W., De Jonghe, B.C., and Betley, J.N. (2018). A Neural Circuit for the Suppression of Pain by a Competing Need State. </w:t>
      </w:r>
      <w:r>
        <w:rPr>
          <w:i/>
        </w:rPr>
        <w:t>Cell</w:t>
      </w:r>
      <w:r>
        <w:t xml:space="preserve"> 173</w:t>
      </w:r>
      <w:r>
        <w:rPr>
          <w:b/>
        </w:rPr>
        <w:t>,</w:t>
      </w:r>
      <w:r>
        <w:t xml:space="preserve"> 140-152.e115.</w:t>
      </w:r>
    </w:p>
    <w:p>
      <w:pPr>
        <w:pStyle w:val="53"/>
        <w:ind w:left="720" w:hanging="720"/>
      </w:pPr>
      <w:r>
        <w:t xml:space="preserve">Bai, Y.M., Chiou, W.F., Su, T.P., Li, C.T., and Chen, M.H. (2014). Pro-inflammatory cytokine associated with somatic and pain symptoms in depression. </w:t>
      </w:r>
      <w:r>
        <w:rPr>
          <w:i/>
        </w:rPr>
        <w:t>J Affect Disord</w:t>
      </w:r>
      <w:r>
        <w:t xml:space="preserve"> 155</w:t>
      </w:r>
      <w:r>
        <w:rPr>
          <w:b/>
        </w:rPr>
        <w:t>,</w:t>
      </w:r>
      <w:r>
        <w:t xml:space="preserve"> 28-34.</w:t>
      </w:r>
    </w:p>
    <w:p>
      <w:pPr>
        <w:pStyle w:val="53"/>
        <w:ind w:left="720" w:hanging="720"/>
      </w:pPr>
      <w:r>
        <w:t xml:space="preserve">Bellei, E., Vilella, A., Monari, E., Bergamini, S., Tomasi, A., Cuoghi, A., Guerzoni, S., Manca, L., Zoli, M., and Pini, L.A. (2017). Serum protein changes in a rat model of chronic pain show a correlation between animal and humans. </w:t>
      </w:r>
      <w:r>
        <w:rPr>
          <w:i/>
        </w:rPr>
        <w:t>Sci Rep</w:t>
      </w:r>
      <w:r>
        <w:t xml:space="preserve"> 7</w:t>
      </w:r>
      <w:r>
        <w:rPr>
          <w:b/>
        </w:rPr>
        <w:t>,</w:t>
      </w:r>
      <w:r>
        <w:t xml:space="preserve"> 41723.</w:t>
      </w:r>
    </w:p>
    <w:p>
      <w:pPr>
        <w:pStyle w:val="53"/>
        <w:ind w:left="720" w:hanging="720"/>
      </w:pPr>
      <w:r>
        <w:t xml:space="preserve">Blom, A.B., Van Den Bosch, M.H., Blaney Davidson, E.N., Roth, J., Vogl, T., Van De Loo, F.A., Koenders, M., Van Der Kraan, P.M., Geven, E.J., and Van Lent, P.L. (2020). The alarmins S100A8 and S100A9 mediate acute pain in experimental synovitis. </w:t>
      </w:r>
      <w:r>
        <w:rPr>
          <w:i/>
        </w:rPr>
        <w:t>Arthritis Res Ther</w:t>
      </w:r>
      <w:r>
        <w:t xml:space="preserve"> 22</w:t>
      </w:r>
      <w:r>
        <w:rPr>
          <w:b/>
        </w:rPr>
        <w:t>,</w:t>
      </w:r>
      <w:r>
        <w:t xml:space="preserve"> 199.</w:t>
      </w:r>
    </w:p>
    <w:p>
      <w:pPr>
        <w:pStyle w:val="53"/>
        <w:ind w:left="720" w:hanging="720"/>
      </w:pPr>
      <w:r>
        <w:t xml:space="preserve">Bourassa, V., Deamond, H., Yousefpour, N., Fitzcharles, M.A., and Ribeiro-Da-Silva, A. (2020). Pain-related behavior is associated with increased joint innervation, ipsilateral dorsal horn gliosis, and dorsal root ganglia activating transcription factor 3 expression in a rat ankle joint model of osteoarthritis. </w:t>
      </w:r>
      <w:r>
        <w:rPr>
          <w:i/>
        </w:rPr>
        <w:t>Pain Rep</w:t>
      </w:r>
      <w:r>
        <w:t xml:space="preserve"> 5</w:t>
      </w:r>
      <w:r>
        <w:rPr>
          <w:b/>
        </w:rPr>
        <w:t>,</w:t>
      </w:r>
      <w:r>
        <w:t xml:space="preserve"> e846.</w:t>
      </w:r>
    </w:p>
    <w:p>
      <w:pPr>
        <w:pStyle w:val="53"/>
        <w:ind w:left="720" w:hanging="720"/>
      </w:pPr>
      <w:r>
        <w:t xml:space="preserve">Cafferata, E.A., Monasterio, G., Castillo, F., Carvajal, P., Flores, G., Díaz, W., Fuentes, A.D., and Vernal, R. (2021). Overexpression of MMPs, cytokines, and RANKL/OPG in temporomandibular joint osteoarthritis and their association with joint pain, mouth opening, and bone degeneration: A preliminary report. </w:t>
      </w:r>
      <w:r>
        <w:rPr>
          <w:i/>
        </w:rPr>
        <w:t>Oral Dis</w:t>
      </w:r>
      <w:r>
        <w:t xml:space="preserve"> 27</w:t>
      </w:r>
      <w:r>
        <w:rPr>
          <w:b/>
        </w:rPr>
        <w:t>,</w:t>
      </w:r>
      <w:r>
        <w:t xml:space="preserve"> 970-980.</w:t>
      </w:r>
    </w:p>
    <w:p>
      <w:pPr>
        <w:pStyle w:val="53"/>
        <w:ind w:left="720" w:hanging="720"/>
      </w:pPr>
      <w:r>
        <w:t xml:space="preserve">Carr, D.B., and Lipkowski, A.W. (1990). Neuropeptides and pain. </w:t>
      </w:r>
      <w:r>
        <w:rPr>
          <w:i/>
        </w:rPr>
        <w:t>Agressologie</w:t>
      </w:r>
      <w:r>
        <w:t xml:space="preserve"> 31</w:t>
      </w:r>
      <w:r>
        <w:rPr>
          <w:b/>
        </w:rPr>
        <w:t>,</w:t>
      </w:r>
      <w:r>
        <w:t xml:space="preserve"> 173-177.</w:t>
      </w:r>
    </w:p>
    <w:p>
      <w:pPr>
        <w:pStyle w:val="53"/>
        <w:ind w:left="720" w:hanging="720"/>
      </w:pPr>
      <w:r>
        <w:t xml:space="preserve">Chen, C.P.C., Hsu, C.C., Huang, S.C., Lin, M.Y., Chen, J.L., and Lin, S.Y. (2020). The application of thermal oscillation method to augment the effectiveness of autologous platelet rich plasma in treating elderly patients with knee osteoarthritis. </w:t>
      </w:r>
      <w:r>
        <w:rPr>
          <w:i/>
        </w:rPr>
        <w:t>Exp Gerontol</w:t>
      </w:r>
      <w:r>
        <w:t xml:space="preserve"> 142</w:t>
      </w:r>
      <w:r>
        <w:rPr>
          <w:b/>
        </w:rPr>
        <w:t>,</w:t>
      </w:r>
      <w:r>
        <w:t xml:space="preserve"> 111120.</w:t>
      </w:r>
    </w:p>
    <w:p>
      <w:pPr>
        <w:pStyle w:val="53"/>
        <w:ind w:left="720" w:hanging="720"/>
      </w:pPr>
      <w:r>
        <w:t xml:space="preserve">Chen, K.H., Yang, C.H., Cheng, J.T., Wu, C.H., Sy, W.D., and Lin, C.R. (2010). Altered neuronatin expression in the rat dorsal root ganglion after sciatic nerve transection. </w:t>
      </w:r>
      <w:r>
        <w:rPr>
          <w:i/>
        </w:rPr>
        <w:t>J Biomed Sci</w:t>
      </w:r>
      <w:r>
        <w:t xml:space="preserve"> 17</w:t>
      </w:r>
      <w:r>
        <w:rPr>
          <w:b/>
        </w:rPr>
        <w:t>,</w:t>
      </w:r>
      <w:r>
        <w:t xml:space="preserve"> 41.</w:t>
      </w:r>
    </w:p>
    <w:p>
      <w:pPr>
        <w:pStyle w:val="53"/>
        <w:ind w:left="720" w:hanging="720"/>
      </w:pPr>
      <w:r>
        <w:t xml:space="preserve">Chen, L., Liu, Y.W., Yue, K., Ru, Q., Xiong, Q., Ma, B.M., Tian, X., and Li, C.Y. (2016). Differential expression of ATP-gated P2X receptors in DRG between chronic neuropathic pain and visceralgia rat models. </w:t>
      </w:r>
      <w:r>
        <w:rPr>
          <w:i/>
        </w:rPr>
        <w:t>Purinergic Signal</w:t>
      </w:r>
      <w:r>
        <w:t xml:space="preserve"> 12</w:t>
      </w:r>
      <w:r>
        <w:rPr>
          <w:b/>
        </w:rPr>
        <w:t>,</w:t>
      </w:r>
      <w:r>
        <w:t xml:space="preserve"> 79-87.</w:t>
      </w:r>
    </w:p>
    <w:p>
      <w:pPr>
        <w:pStyle w:val="53"/>
        <w:ind w:left="720" w:hanging="720"/>
      </w:pPr>
      <w:r>
        <w:t xml:space="preserve">Danaher, R.J., Zhang, L., Donley, C.J., Laungani, N.A., Hui, S.E., Miller, C.S., and Westlund, K.N. (2018). Histone deacetylase inhibitors prevent persistent hypersensitivity in an orofacial neuropathic pain model. </w:t>
      </w:r>
      <w:r>
        <w:rPr>
          <w:i/>
        </w:rPr>
        <w:t>Mol Pain</w:t>
      </w:r>
      <w:r>
        <w:t xml:space="preserve"> 14</w:t>
      </w:r>
      <w:r>
        <w:rPr>
          <w:b/>
        </w:rPr>
        <w:t>,</w:t>
      </w:r>
      <w:r>
        <w:t xml:space="preserve"> 1744806918796763.</w:t>
      </w:r>
    </w:p>
    <w:p>
      <w:pPr>
        <w:pStyle w:val="53"/>
        <w:ind w:left="720" w:hanging="720"/>
      </w:pPr>
      <w:r>
        <w:t xml:space="preserve">Donnelly, C.R., Jiang, C., Andriessen, A.S., Wang, K., Wang, Z., Ding, H., Zhao, J., Luo, X., Lee, M.S., Lei, Y.L., Maixner, W., Ko, M.C., and Ji, R.R. (2021). STING controls nociception via type I interferon signalling in sensory neurons. </w:t>
      </w:r>
      <w:r>
        <w:rPr>
          <w:i/>
        </w:rPr>
        <w:t>Nature</w:t>
      </w:r>
      <w:r>
        <w:t xml:space="preserve"> 591</w:t>
      </w:r>
      <w:r>
        <w:rPr>
          <w:b/>
        </w:rPr>
        <w:t>,</w:t>
      </w:r>
      <w:r>
        <w:t xml:space="preserve"> 275-280.</w:t>
      </w:r>
    </w:p>
    <w:p>
      <w:pPr>
        <w:pStyle w:val="53"/>
        <w:ind w:left="720" w:hanging="720"/>
      </w:pPr>
      <w:r>
        <w:t xml:space="preserve">Du, C., Peng, L., Kou, G., Wang, P., Lu, L., and Li, Y. (2018). Assessment of Serum sTREM-1 as a Marker of Subclinical Inflammation in Diarrhea-Predominant Patients with Irritable Bowel Syndrome. </w:t>
      </w:r>
      <w:r>
        <w:rPr>
          <w:i/>
        </w:rPr>
        <w:t>Dig Dis Sci</w:t>
      </w:r>
      <w:r>
        <w:t xml:space="preserve"> 63</w:t>
      </w:r>
      <w:r>
        <w:rPr>
          <w:b/>
        </w:rPr>
        <w:t>,</w:t>
      </w:r>
      <w:r>
        <w:t xml:space="preserve"> 1182-1191.</w:t>
      </w:r>
    </w:p>
    <w:p>
      <w:pPr>
        <w:pStyle w:val="53"/>
        <w:ind w:left="720" w:hanging="720"/>
      </w:pPr>
      <w:r>
        <w:t xml:space="preserve">Fairbanks, C.A., Peterson, C.D., Speltz, R.H., Riedl, M.S., Kitto, K.F., Dykstra, J.A., Braun, P.D., Sadahiro, M., Salton, S.R., and Vulchanova, L. (2014). The VGF-derived peptide TLQP-21 contributes to inflammatory and nerve injury-induced hypersensitivity. </w:t>
      </w:r>
      <w:r>
        <w:rPr>
          <w:i/>
        </w:rPr>
        <w:t>Pain</w:t>
      </w:r>
      <w:r>
        <w:t xml:space="preserve"> 155</w:t>
      </w:r>
      <w:r>
        <w:rPr>
          <w:b/>
        </w:rPr>
        <w:t>,</w:t>
      </w:r>
      <w:r>
        <w:t xml:space="preserve"> 1229-1237.</w:t>
      </w:r>
    </w:p>
    <w:p>
      <w:pPr>
        <w:pStyle w:val="53"/>
        <w:ind w:left="720" w:hanging="720"/>
      </w:pPr>
      <w:r>
        <w:t xml:space="preserve">Feng, Y.P., Wang, J., Dong, Y.L., Wang, Y.Y., and Li, Y.Q. (2015). The roles of neurotensin and its analogues in pain. </w:t>
      </w:r>
      <w:r>
        <w:rPr>
          <w:i/>
        </w:rPr>
        <w:t>Curr Pharm Des</w:t>
      </w:r>
      <w:r>
        <w:t xml:space="preserve"> 21</w:t>
      </w:r>
      <w:r>
        <w:rPr>
          <w:b/>
        </w:rPr>
        <w:t>,</w:t>
      </w:r>
      <w:r>
        <w:t xml:space="preserve"> 840-848.</w:t>
      </w:r>
    </w:p>
    <w:p>
      <w:pPr>
        <w:pStyle w:val="53"/>
        <w:ind w:left="720" w:hanging="720"/>
      </w:pPr>
      <w:r>
        <w:t xml:space="preserve">Forouzan, A., Masoumi, K., Rahim, F., Moezzi, M., Khavanin, A., Ranjbari, N., Amal Saki, M., Fallah Amoli, A., Akhiani, N., and Ghourchian, F. (2018). Diagnostic Accuracy of Serum and Urine S100A8/A9 and Serum Amyloid A in Probable Acute Abdominal Pain at Emergency Department. </w:t>
      </w:r>
      <w:r>
        <w:rPr>
          <w:i/>
        </w:rPr>
        <w:t>Dis Markers</w:t>
      </w:r>
      <w:r>
        <w:t xml:space="preserve"> 2018</w:t>
      </w:r>
      <w:r>
        <w:rPr>
          <w:b/>
        </w:rPr>
        <w:t>,</w:t>
      </w:r>
      <w:r>
        <w:t xml:space="preserve"> 6457347.</w:t>
      </w:r>
    </w:p>
    <w:p>
      <w:pPr>
        <w:pStyle w:val="53"/>
        <w:ind w:left="720" w:hanging="720"/>
      </w:pPr>
      <w:r>
        <w:t xml:space="preserve">Funke, H.J., Moritz, E., Hellstern, K., and Malanowski, H. (1990). Moclobemide versus clomipramine in the treatment of depression: a single-centre study, Federal Republic of Germany. </w:t>
      </w:r>
      <w:r>
        <w:rPr>
          <w:i/>
        </w:rPr>
        <w:t>Acta Psychiatr Scand Suppl</w:t>
      </w:r>
      <w:r>
        <w:t xml:space="preserve"> 360</w:t>
      </w:r>
      <w:r>
        <w:rPr>
          <w:b/>
        </w:rPr>
        <w:t>,</w:t>
      </w:r>
      <w:r>
        <w:t xml:space="preserve"> 46-47.</w:t>
      </w:r>
    </w:p>
    <w:p>
      <w:pPr>
        <w:pStyle w:val="53"/>
        <w:ind w:left="720" w:hanging="720"/>
      </w:pPr>
      <w:r>
        <w:t xml:space="preserve">Grosman-Rimon, L., Vadasz, B., Parkinson, W., Clarke, H., Katz, J.D., and Kumbhare, D. (2020). The Levels of Insulin-Like Growth Factor in Patients with Myofascial Pain Syndrome and in Healthy Controls. </w:t>
      </w:r>
      <w:r>
        <w:rPr>
          <w:i/>
        </w:rPr>
        <w:t>Pm r</w:t>
      </w:r>
      <w:r>
        <w:t>.</w:t>
      </w:r>
    </w:p>
    <w:p>
      <w:pPr>
        <w:pStyle w:val="53"/>
        <w:ind w:left="720" w:hanging="720"/>
      </w:pPr>
      <w:r>
        <w:t xml:space="preserve">Guo, J., Jia, D., Jin, B., Xu, F., Yuan, X., and Shen, H. (2012). Effects of glial cell line-derived neurotrophic factor intrathecal injection on spinal dorsal horn glial fibrillary acidic protein expression in a rat model of neuropathic pain. </w:t>
      </w:r>
      <w:r>
        <w:rPr>
          <w:i/>
        </w:rPr>
        <w:t>Int J Neurosci</w:t>
      </w:r>
      <w:r>
        <w:t xml:space="preserve"> 122</w:t>
      </w:r>
      <w:r>
        <w:rPr>
          <w:b/>
        </w:rPr>
        <w:t>,</w:t>
      </w:r>
      <w:r>
        <w:t xml:space="preserve"> 388-394.</w:t>
      </w:r>
    </w:p>
    <w:p>
      <w:pPr>
        <w:pStyle w:val="53"/>
        <w:ind w:left="720" w:hanging="720"/>
      </w:pPr>
      <w:r>
        <w:t xml:space="preserve">Hergenroeder, G.W., Redell, J.B., Choi, H.A., Schmitt, L., Donovan, W., Francisco, G.E., Schmitt, K., Moore, A.N., and Dash, P.K. (2018). Increased Levels of Circulating Glial Fibrillary Acidic Protein and Collapsin Response Mediator Protein-2 Autoantibodies in the Acute Stage of Spinal Cord Injury Predict the Subsequent Development of Neuropathic Pain. </w:t>
      </w:r>
      <w:r>
        <w:rPr>
          <w:i/>
        </w:rPr>
        <w:t>J Neurotrauma</w:t>
      </w:r>
      <w:r>
        <w:t xml:space="preserve"> 35</w:t>
      </w:r>
      <w:r>
        <w:rPr>
          <w:b/>
        </w:rPr>
        <w:t>,</w:t>
      </w:r>
      <w:r>
        <w:t xml:space="preserve"> 2530-2539.</w:t>
      </w:r>
    </w:p>
    <w:p>
      <w:pPr>
        <w:pStyle w:val="53"/>
        <w:ind w:left="720" w:hanging="720"/>
      </w:pPr>
      <w:r>
        <w:t xml:space="preserve">Intondi, A.B., Dahlgren, M.N., Eilers, M.A., and Taylor, B.K. (2008). Intrathecal neuropeptide Y reduces behavioral and molecular markers of inflammatory or neuropathic pain. </w:t>
      </w:r>
      <w:r>
        <w:rPr>
          <w:i/>
        </w:rPr>
        <w:t>Pain</w:t>
      </w:r>
      <w:r>
        <w:t xml:space="preserve"> 137</w:t>
      </w:r>
      <w:r>
        <w:rPr>
          <w:b/>
        </w:rPr>
        <w:t>,</w:t>
      </w:r>
      <w:r>
        <w:t xml:space="preserve"> 352-365.</w:t>
      </w:r>
    </w:p>
    <w:p>
      <w:pPr>
        <w:pStyle w:val="53"/>
        <w:ind w:left="720" w:hanging="720"/>
      </w:pPr>
      <w:r>
        <w:t xml:space="preserve">Ishikawa, H., Kezuka, T., Shikishima, K., Yamagami, A., Hiraoka, M., Chuman, H., Nakamura, M., Hoshi, K., Goseki, T., Mashimo, K., Mimura, O., Yoshitomi, T., and Tanaka, K. (2019). Epidemiologic and Clinical Characteristics of Optic Neuritis in Japan. </w:t>
      </w:r>
      <w:r>
        <w:rPr>
          <w:i/>
        </w:rPr>
        <w:t>Ophthalmology</w:t>
      </w:r>
      <w:r>
        <w:t xml:space="preserve"> 126</w:t>
      </w:r>
      <w:r>
        <w:rPr>
          <w:b/>
        </w:rPr>
        <w:t>,</w:t>
      </w:r>
      <w:r>
        <w:t xml:space="preserve"> 1385-1398.</w:t>
      </w:r>
    </w:p>
    <w:p>
      <w:pPr>
        <w:pStyle w:val="53"/>
        <w:ind w:left="720" w:hanging="720"/>
      </w:pPr>
      <w:r>
        <w:t xml:space="preserve">Jarius, S., Ruprecht, K., Kleiter, I., Borisow, N., Asgari, N., Pitarokoili, K., Pache, F., Stich, O., Beume, L.A., Hümmert, M.W., Ringelstein, M., Trebst, C., Winkelmann, A., Schwarz, A., Buttmann, M., Zimmermann, H., Kuchling, J., Franciotta, D., Capobianco, M., Siebert, E., Lukas, C., Korporal-Kuhnke, M., Haas, J., Fechner, K., Brandt, A.U., Schanda, K., Aktas, O., Paul, F., Reindl, M., and Wildemann, B. (2016). MOG-IgG in NMO and related disorders: a multicenter study of 50 patients. Part 2: Epidemiology, clinical presentation, radiological and laboratory features, treatment responses, and long-term outcome. </w:t>
      </w:r>
      <w:r>
        <w:rPr>
          <w:i/>
        </w:rPr>
        <w:t>J Neuroinflammation</w:t>
      </w:r>
      <w:r>
        <w:t xml:space="preserve"> 13</w:t>
      </w:r>
      <w:r>
        <w:rPr>
          <w:b/>
        </w:rPr>
        <w:t>,</w:t>
      </w:r>
      <w:r>
        <w:t xml:space="preserve"> 280.</w:t>
      </w:r>
    </w:p>
    <w:p>
      <w:pPr>
        <w:pStyle w:val="53"/>
        <w:ind w:left="720" w:hanging="720"/>
      </w:pPr>
      <w:r>
        <w:t xml:space="preserve">Jiang, B.C., Zhang, W.W., Yang, T., Guo, C.Y., Cao, D.L., Zhang, Z.J., and Gao, Y.J. (2018). Demethylation of G-Protein-Coupled Receptor 151 Promoter Facilitates the Binding of Krüppel-Like Factor 5 and Enhances Neuropathic Pain after Nerve Injury in Mice. </w:t>
      </w:r>
      <w:r>
        <w:rPr>
          <w:i/>
        </w:rPr>
        <w:t>J Neurosci</w:t>
      </w:r>
      <w:r>
        <w:t xml:space="preserve"> 38</w:t>
      </w:r>
      <w:r>
        <w:rPr>
          <w:b/>
        </w:rPr>
        <w:t>,</w:t>
      </w:r>
      <w:r>
        <w:t xml:space="preserve"> 10535-10551.</w:t>
      </w:r>
    </w:p>
    <w:p>
      <w:pPr>
        <w:pStyle w:val="53"/>
        <w:ind w:left="720" w:hanging="720"/>
      </w:pPr>
      <w:r>
        <w:t xml:space="preserve">König, K., Marth, L., Roissant, J., Granja, T., Jennewein, C., Devanathan, V., Schneider, M., Köhler, D., Zarbock, A., and Rosenberger, P. (2014). The plexin C1 receptor promotes acute inflammation. </w:t>
      </w:r>
      <w:r>
        <w:rPr>
          <w:i/>
        </w:rPr>
        <w:t>Eur J Immunol</w:t>
      </w:r>
      <w:r>
        <w:t xml:space="preserve"> 44</w:t>
      </w:r>
      <w:r>
        <w:rPr>
          <w:b/>
        </w:rPr>
        <w:t>,</w:t>
      </w:r>
      <w:r>
        <w:t xml:space="preserve"> 2648-2658.</w:t>
      </w:r>
    </w:p>
    <w:p>
      <w:pPr>
        <w:pStyle w:val="53"/>
        <w:ind w:left="720" w:hanging="720"/>
      </w:pPr>
      <w:r>
        <w:t xml:space="preserve">Körner, A., Bernard, A., Fitzgerald, J.C., Alarcon-Barrera, J.C., Kostidis, S., Kaussen, T., Giera, M., and Mirakaj, V. (2021). Sema7A is crucial for resolution of severe inflammation. </w:t>
      </w:r>
      <w:r>
        <w:rPr>
          <w:i/>
        </w:rPr>
        <w:t>Proc Natl Acad Sci U S A</w:t>
      </w:r>
      <w:r>
        <w:t xml:space="preserve"> 118.</w:t>
      </w:r>
    </w:p>
    <w:p>
      <w:pPr>
        <w:pStyle w:val="53"/>
        <w:ind w:left="720" w:hanging="720"/>
      </w:pPr>
      <w:r>
        <w:t xml:space="preserve">Lacombe, C., Corraze, G., and Nibbelink, M. (1986). The effect of cholestyramine on apolipoproteins in cholesterol-fed rabbits. </w:t>
      </w:r>
      <w:r>
        <w:rPr>
          <w:i/>
        </w:rPr>
        <w:t>Artery</w:t>
      </w:r>
      <w:r>
        <w:t xml:space="preserve"> 13</w:t>
      </w:r>
      <w:r>
        <w:rPr>
          <w:b/>
        </w:rPr>
        <w:t>,</w:t>
      </w:r>
      <w:r>
        <w:t xml:space="preserve"> 203-212.</w:t>
      </w:r>
    </w:p>
    <w:p>
      <w:pPr>
        <w:pStyle w:val="53"/>
        <w:ind w:left="720" w:hanging="720"/>
      </w:pPr>
      <w:r>
        <w:t xml:space="preserve">Lee, M.C., Nahorski, M.S., Hockley, J.R.F., Lu, V.B., Ison, G., Pattison, L.A., Callejo, G., Stouffer, K., Fletcher, E., Brown, C., Drissi, I., Wheeler, D., Ernfors, P., Menon, D., Reimann, F., Smith, E.S.J., and Woods, C.G. (2020). Human Labor Pain Is Influenced by the Voltage-Gated Potassium Channel K(V)6.4 Subunit. </w:t>
      </w:r>
      <w:r>
        <w:rPr>
          <w:i/>
        </w:rPr>
        <w:t>Cell Rep</w:t>
      </w:r>
      <w:r>
        <w:t xml:space="preserve"> 32</w:t>
      </w:r>
      <w:r>
        <w:rPr>
          <w:b/>
        </w:rPr>
        <w:t>,</w:t>
      </w:r>
      <w:r>
        <w:t xml:space="preserve"> 107941.</w:t>
      </w:r>
    </w:p>
    <w:p>
      <w:pPr>
        <w:pStyle w:val="53"/>
        <w:ind w:left="720" w:hanging="720"/>
      </w:pPr>
      <w:r>
        <w:t xml:space="preserve">Leng, C., Chen, L., and Li, C. (2019). Alteration of P2X1-6 receptor expression in retrograde Fluorogold-labeled DRG neurons from rat chronic neuropathic pain model. </w:t>
      </w:r>
      <w:r>
        <w:rPr>
          <w:i/>
        </w:rPr>
        <w:t>Biomed Rep</w:t>
      </w:r>
      <w:r>
        <w:t xml:space="preserve"> 10</w:t>
      </w:r>
      <w:r>
        <w:rPr>
          <w:b/>
        </w:rPr>
        <w:t>,</w:t>
      </w:r>
      <w:r>
        <w:t xml:space="preserve"> 225-230.</w:t>
      </w:r>
    </w:p>
    <w:p>
      <w:pPr>
        <w:pStyle w:val="53"/>
        <w:ind w:left="720" w:hanging="720"/>
      </w:pPr>
      <w:r>
        <w:t xml:space="preserve">Li, H., Wan, H.Q., Zhao, H.J., Luan, S.X., and Zhang, C.G. (2019a). Identification of candidate genes and miRNAs associated with neuropathic pain induced by spared nerve injury. </w:t>
      </w:r>
      <w:r>
        <w:rPr>
          <w:i/>
        </w:rPr>
        <w:t>Int J Mol Med</w:t>
      </w:r>
      <w:r>
        <w:t xml:space="preserve"> 44</w:t>
      </w:r>
      <w:r>
        <w:rPr>
          <w:b/>
        </w:rPr>
        <w:t>,</w:t>
      </w:r>
      <w:r>
        <w:t xml:space="preserve"> 1205-1218.</w:t>
      </w:r>
    </w:p>
    <w:p>
      <w:pPr>
        <w:pStyle w:val="53"/>
        <w:ind w:left="720" w:hanging="720"/>
      </w:pPr>
      <w:r>
        <w:t xml:space="preserve">Li, Z., Wu, F., Xu, D., Zhi, Z., and Xu, G. (2019b). Inhibition of TREM1 reduces inflammation and oxidative stress after spinal cord injury (SCI) associated with HO-1 expressions. </w:t>
      </w:r>
      <w:r>
        <w:rPr>
          <w:i/>
        </w:rPr>
        <w:t>Biomed Pharmacother</w:t>
      </w:r>
      <w:r>
        <w:t xml:space="preserve"> 109</w:t>
      </w:r>
      <w:r>
        <w:rPr>
          <w:b/>
        </w:rPr>
        <w:t>,</w:t>
      </w:r>
      <w:r>
        <w:t xml:space="preserve"> 2014-2021.</w:t>
      </w:r>
    </w:p>
    <w:p>
      <w:pPr>
        <w:pStyle w:val="53"/>
        <w:ind w:left="720" w:hanging="720"/>
      </w:pPr>
      <w:r>
        <w:t xml:space="preserve">Lindstedt, F., Lonsdorf, T.B., Schalling, M., Kosek, E., and Ingvar, M. (2011). Perception of thermal pain and the thermal grill illusion is associated with polymorphisms in the serotonin transporter gene. </w:t>
      </w:r>
      <w:r>
        <w:rPr>
          <w:i/>
        </w:rPr>
        <w:t>PLoS One</w:t>
      </w:r>
      <w:r>
        <w:t xml:space="preserve"> 6</w:t>
      </w:r>
      <w:r>
        <w:rPr>
          <w:b/>
        </w:rPr>
        <w:t>,</w:t>
      </w:r>
      <w:r>
        <w:t xml:space="preserve"> e17752.</w:t>
      </w:r>
    </w:p>
    <w:p>
      <w:pPr>
        <w:pStyle w:val="53"/>
        <w:ind w:left="720" w:hanging="720"/>
      </w:pPr>
      <w:r>
        <w:t xml:space="preserve">Liu, Y.F., Yu, H.M., Zhang, C., Yang, R.X., Yan, F.F., Liu, Y., Zhang, Y., and Zhao, Y.X. (2007). Effects of Quyu Xiaoban capsules on clinical outcomes and platelet activation and aggregation in patients with unstable angina pectoris. </w:t>
      </w:r>
      <w:r>
        <w:rPr>
          <w:i/>
        </w:rPr>
        <w:t>J Altern Complement Med</w:t>
      </w:r>
      <w:r>
        <w:t xml:space="preserve"> 13</w:t>
      </w:r>
      <w:r>
        <w:rPr>
          <w:b/>
        </w:rPr>
        <w:t>,</w:t>
      </w:r>
      <w:r>
        <w:t xml:space="preserve"> 571-576.</w:t>
      </w:r>
    </w:p>
    <w:p>
      <w:pPr>
        <w:pStyle w:val="53"/>
        <w:ind w:left="720" w:hanging="720"/>
      </w:pPr>
      <w:r>
        <w:t xml:space="preserve">Luo, Y., Zhang, J., Chen, L., Chen, S.R., Chen, H., Zhang, G., and Pan, H.L. (2020). Histone methyltransferase G9a diminishes expression of cannabinoid CB(1) receptors in primary sensory neurons in neuropathic pain. </w:t>
      </w:r>
      <w:r>
        <w:rPr>
          <w:i/>
        </w:rPr>
        <w:t>J Biol Chem</w:t>
      </w:r>
      <w:r>
        <w:t xml:space="preserve"> 295</w:t>
      </w:r>
      <w:r>
        <w:rPr>
          <w:b/>
        </w:rPr>
        <w:t>,</w:t>
      </w:r>
      <w:r>
        <w:t xml:space="preserve"> 3553-3562.</w:t>
      </w:r>
    </w:p>
    <w:p>
      <w:pPr>
        <w:pStyle w:val="53"/>
        <w:ind w:left="720" w:hanging="720"/>
      </w:pPr>
      <w:r>
        <w:t xml:space="preserve">Lv, S.Y., Cui, B., Yang, Y., Du, H., Zhang, X., Zhou, Y., Ye, W., Nie, X., Li, Y., Wang, Q., Chen, W.D., and Wang, Y.D. (2019). Spexin/NPQ Induces FBJ Osteosarcoma Oncogene (Fos) and Produces Antinociceptive Effect against Inflammatory Pain in the Mouse Model. </w:t>
      </w:r>
      <w:r>
        <w:rPr>
          <w:i/>
        </w:rPr>
        <w:t>Am J Pathol</w:t>
      </w:r>
      <w:r>
        <w:t xml:space="preserve"> 189</w:t>
      </w:r>
      <w:r>
        <w:rPr>
          <w:b/>
        </w:rPr>
        <w:t>,</w:t>
      </w:r>
      <w:r>
        <w:t xml:space="preserve"> 886-899.</w:t>
      </w:r>
    </w:p>
    <w:p>
      <w:pPr>
        <w:pStyle w:val="53"/>
        <w:ind w:left="720" w:hanging="720"/>
      </w:pPr>
      <w:r>
        <w:t xml:space="preserve">Manville, R.W., and Abbott, G.W. (2018). Gabapentin Is a Potent Activator of KCNQ3 and KCNQ5 Potassium Channels. </w:t>
      </w:r>
      <w:r>
        <w:rPr>
          <w:i/>
        </w:rPr>
        <w:t>Mol Pharmacol</w:t>
      </w:r>
      <w:r>
        <w:t xml:space="preserve"> 94</w:t>
      </w:r>
      <w:r>
        <w:rPr>
          <w:b/>
        </w:rPr>
        <w:t>,</w:t>
      </w:r>
      <w:r>
        <w:t xml:space="preserve"> 1155-1163.</w:t>
      </w:r>
    </w:p>
    <w:p>
      <w:pPr>
        <w:pStyle w:val="53"/>
        <w:ind w:left="720" w:hanging="720"/>
      </w:pPr>
      <w:r>
        <w:t xml:space="preserve">Marvaldi, L., Panayotis, N., Alber, S., Dagan, S.Y., Okladnikov, N., Koppel, I., Di Pizio, A., Song, D.A., Tzur, Y., Terenzio, M., Rishal, I., Gordon, D., Rother, F., Hartmann, E., Bader, M., and Fainzilber, M. (2020). Importin α3 regulates chronic pain pathways in peripheral sensory neurons. </w:t>
      </w:r>
      <w:r>
        <w:rPr>
          <w:i/>
        </w:rPr>
        <w:t>Science</w:t>
      </w:r>
      <w:r>
        <w:t xml:space="preserve"> 369</w:t>
      </w:r>
      <w:r>
        <w:rPr>
          <w:b/>
        </w:rPr>
        <w:t>,</w:t>
      </w:r>
      <w:r>
        <w:t xml:space="preserve"> 842-846.</w:t>
      </w:r>
    </w:p>
    <w:p>
      <w:pPr>
        <w:pStyle w:val="53"/>
        <w:ind w:left="720" w:hanging="720"/>
      </w:pPr>
      <w:r>
        <w:t xml:space="preserve">Matsuura, Y., Ohtori, S., Iwakura, N., Suzuki, T., Kuniyoshi, K., and Takahashi, K. (2013). Expression of activating transcription factor 3 (ATF3) in uninjured dorsal root ganglion neurons in a lower trunk avulsion pain model in rats. </w:t>
      </w:r>
      <w:r>
        <w:rPr>
          <w:i/>
        </w:rPr>
        <w:t>Eur Spine J</w:t>
      </w:r>
      <w:r>
        <w:t xml:space="preserve"> 22</w:t>
      </w:r>
      <w:r>
        <w:rPr>
          <w:b/>
        </w:rPr>
        <w:t>,</w:t>
      </w:r>
      <w:r>
        <w:t xml:space="preserve"> 1794-1799.</w:t>
      </w:r>
    </w:p>
    <w:p>
      <w:pPr>
        <w:pStyle w:val="53"/>
        <w:ind w:left="720" w:hanging="720"/>
      </w:pPr>
      <w:r>
        <w:t xml:space="preserve">Mei, Y., Fang, C., Ding, S., Liu, X., Hu, J., Xu, J., and Mei, Q. (2019). PAP-1 ameliorates DSS-induced colitis with involvement of NLRP3 inflammasome pathway. </w:t>
      </w:r>
      <w:r>
        <w:rPr>
          <w:i/>
        </w:rPr>
        <w:t>Int Immunopharmacol</w:t>
      </w:r>
      <w:r>
        <w:t xml:space="preserve"> 75</w:t>
      </w:r>
      <w:r>
        <w:rPr>
          <w:b/>
        </w:rPr>
        <w:t>,</w:t>
      </w:r>
      <w:r>
        <w:t xml:space="preserve"> 105776.</w:t>
      </w:r>
    </w:p>
    <w:p>
      <w:pPr>
        <w:pStyle w:val="53"/>
        <w:ind w:left="720" w:hanging="720"/>
      </w:pPr>
      <w:r>
        <w:t xml:space="preserve">Miladinovic, T., and Singh, G. (2019). Spinal microglia contribute to cancer-induced pain through system x(C) (-)-mediated glutamate release. </w:t>
      </w:r>
      <w:r>
        <w:rPr>
          <w:i/>
        </w:rPr>
        <w:t>Pain Rep</w:t>
      </w:r>
      <w:r>
        <w:t xml:space="preserve"> 4</w:t>
      </w:r>
      <w:r>
        <w:rPr>
          <w:b/>
        </w:rPr>
        <w:t>,</w:t>
      </w:r>
      <w:r>
        <w:t xml:space="preserve"> e738.</w:t>
      </w:r>
    </w:p>
    <w:p>
      <w:pPr>
        <w:pStyle w:val="53"/>
        <w:ind w:left="720" w:hanging="720"/>
      </w:pPr>
      <w:r>
        <w:t xml:space="preserve">Nagaev, I., Bokarewa, M., Tarkowski, A., and Smith, U. (2006). Human resistin is a systemic immune-derived proinflammatory cytokine targeting both leukocytes and adipocytes. </w:t>
      </w:r>
      <w:r>
        <w:rPr>
          <w:i/>
        </w:rPr>
        <w:t>PLoS One</w:t>
      </w:r>
      <w:r>
        <w:t xml:space="preserve"> 1</w:t>
      </w:r>
      <w:r>
        <w:rPr>
          <w:b/>
        </w:rPr>
        <w:t>,</w:t>
      </w:r>
      <w:r>
        <w:t xml:space="preserve"> e31.</w:t>
      </w:r>
    </w:p>
    <w:p>
      <w:pPr>
        <w:pStyle w:val="53"/>
        <w:ind w:left="720" w:hanging="720"/>
      </w:pPr>
      <w:r>
        <w:t xml:space="preserve">Nelson, T.S., and Taylor, B.K. (2021). Targeting spinal neuropeptide Y1 receptor-expressing interneurons to alleviate chronic pain and itch. </w:t>
      </w:r>
      <w:r>
        <w:rPr>
          <w:i/>
        </w:rPr>
        <w:t>Prog Neurobiol</w:t>
      </w:r>
      <w:r>
        <w:t xml:space="preserve"> 196</w:t>
      </w:r>
      <w:r>
        <w:rPr>
          <w:b/>
        </w:rPr>
        <w:t>,</w:t>
      </w:r>
      <w:r>
        <w:t xml:space="preserve"> 101894.</w:t>
      </w:r>
    </w:p>
    <w:p>
      <w:pPr>
        <w:pStyle w:val="53"/>
        <w:ind w:left="720" w:hanging="720"/>
      </w:pPr>
      <w:r>
        <w:t xml:space="preserve">Oehler, B., Brack, A., Blum, R., and Rittner, H.L. (2020a). Pain Control by Targeting Oxidized Phospholipids: Functions, Mechanisms, Perspectives. </w:t>
      </w:r>
      <w:r>
        <w:rPr>
          <w:i/>
        </w:rPr>
        <w:t>Front Endocrinol (Lausanne)</w:t>
      </w:r>
      <w:r>
        <w:t xml:space="preserve"> 11</w:t>
      </w:r>
      <w:r>
        <w:rPr>
          <w:b/>
        </w:rPr>
        <w:t>,</w:t>
      </w:r>
      <w:r>
        <w:t xml:space="preserve"> 613868.</w:t>
      </w:r>
    </w:p>
    <w:p>
      <w:pPr>
        <w:pStyle w:val="53"/>
        <w:ind w:left="720" w:hanging="720"/>
      </w:pPr>
      <w:r>
        <w:t xml:space="preserve">Oehler, B., Kloka, J., Mohammadi, M., Ben-Kraiem, A., and Rittner, H.L. (2020b). D-4F, an ApoA-I mimetic peptide ameliorating TRPA1-mediated nocifensive behaviour in a model of neurogenic inflammation. </w:t>
      </w:r>
      <w:r>
        <w:rPr>
          <w:i/>
        </w:rPr>
        <w:t>Mol Pain</w:t>
      </w:r>
      <w:r>
        <w:t xml:space="preserve"> 16</w:t>
      </w:r>
      <w:r>
        <w:rPr>
          <w:b/>
        </w:rPr>
        <w:t>,</w:t>
      </w:r>
      <w:r>
        <w:t xml:space="preserve"> 1744806920903848.</w:t>
      </w:r>
    </w:p>
    <w:p>
      <w:pPr>
        <w:pStyle w:val="53"/>
        <w:ind w:left="720" w:hanging="720"/>
      </w:pPr>
      <w:r>
        <w:t xml:space="preserve">Ouhaddi, Y., Najar, M., Paré, F., Lussier, B., Urade, Y., Benderdour, M., Pelletier, J.P., Martel-Pelletier, J., and Fahmi, H. (2020). L-PGDS deficiency accelerated the development of naturally occurring age-related osteoarthritis. </w:t>
      </w:r>
      <w:r>
        <w:rPr>
          <w:i/>
        </w:rPr>
        <w:t>Aging (Albany NY)</w:t>
      </w:r>
      <w:r>
        <w:t xml:space="preserve"> 12</w:t>
      </w:r>
      <w:r>
        <w:rPr>
          <w:b/>
        </w:rPr>
        <w:t>,</w:t>
      </w:r>
      <w:r>
        <w:t xml:space="preserve"> 24778-24797.</w:t>
      </w:r>
    </w:p>
    <w:p>
      <w:pPr>
        <w:pStyle w:val="53"/>
        <w:ind w:left="720" w:hanging="720"/>
      </w:pPr>
      <w:r>
        <w:t xml:space="preserve">Rizzi, R., Bartolomucci, A., Moles, A., D'amato, F., Sacerdote, P., Levi, A., La Corte, G., Ciotti, M.T., Possenti, R., and Pavone, F. (2008). The VGF-derived peptide TLQP-21: a new modulatory peptide for inflammatory pain. </w:t>
      </w:r>
      <w:r>
        <w:rPr>
          <w:i/>
        </w:rPr>
        <w:t>Neurosci Lett</w:t>
      </w:r>
      <w:r>
        <w:t xml:space="preserve"> 441</w:t>
      </w:r>
      <w:r>
        <w:rPr>
          <w:b/>
        </w:rPr>
        <w:t>,</w:t>
      </w:r>
      <w:r>
        <w:t xml:space="preserve"> 129-133.</w:t>
      </w:r>
    </w:p>
    <w:p>
      <w:pPr>
        <w:pStyle w:val="53"/>
        <w:ind w:left="720" w:hanging="720"/>
      </w:pPr>
      <w:r>
        <w:t xml:space="preserve">Sarkar, S., Nguyen, H.M., Malovic, E., Luo, J., Langley, M., Palanisamy, B.N., Singh, N., Manne, S., Neal, M., Gabrielle, M., Abdalla, A., Anantharam, P., Rokad, D., Panicker, N., Singh, V., Ay, M., Charli, A., Harischandra, D., Jin, L.W., Jin, H., Rangaraju, S., Anantharam, V., Wulff, H., and Kanthasamy, A.G. (2020). Kv1.3 modulates neuroinflammation and neurodegeneration in Parkinson's disease. </w:t>
      </w:r>
      <w:r>
        <w:rPr>
          <w:i/>
        </w:rPr>
        <w:t>J Clin Invest</w:t>
      </w:r>
      <w:r>
        <w:t xml:space="preserve"> 130</w:t>
      </w:r>
      <w:r>
        <w:rPr>
          <w:b/>
        </w:rPr>
        <w:t>,</w:t>
      </w:r>
      <w:r>
        <w:t xml:space="preserve"> 4195-4212.</w:t>
      </w:r>
    </w:p>
    <w:p>
      <w:pPr>
        <w:pStyle w:val="53"/>
        <w:ind w:left="720" w:hanging="720"/>
      </w:pPr>
      <w:r>
        <w:t xml:space="preserve">Shepherd, A.J., Mickle, A.D., Golden, J.P., Mack, M.R., Halabi, C.M., De Kloet, A.D., Samineni, V.K., Kim, B.S., Krause, E.G., Gereau, R.W.T., and Mohapatra, D.P. (2018). Macrophage angiotensin II type 2 receptor triggers neuropathic pain. </w:t>
      </w:r>
      <w:r>
        <w:rPr>
          <w:i/>
        </w:rPr>
        <w:t>Proc Natl Acad Sci U S A</w:t>
      </w:r>
      <w:r>
        <w:t xml:space="preserve"> 115</w:t>
      </w:r>
      <w:r>
        <w:rPr>
          <w:b/>
        </w:rPr>
        <w:t>,</w:t>
      </w:r>
      <w:r>
        <w:t xml:space="preserve"> E8057-e8066.</w:t>
      </w:r>
    </w:p>
    <w:p>
      <w:pPr>
        <w:pStyle w:val="53"/>
        <w:ind w:left="720" w:hanging="720"/>
      </w:pPr>
      <w:r>
        <w:t xml:space="preserve">Shimoya, K., Moriyama, A., Ogata, I., Nobunaga, T., Koyama, M., Azuma, C., and Murata, Y. (2000). Increased concentrations of secretory leukocyte protease inhibitor in peritoneal fluid of women with endometriosis. </w:t>
      </w:r>
      <w:r>
        <w:rPr>
          <w:i/>
        </w:rPr>
        <w:t>Mol Hum Reprod</w:t>
      </w:r>
      <w:r>
        <w:t xml:space="preserve"> 6</w:t>
      </w:r>
      <w:r>
        <w:rPr>
          <w:b/>
        </w:rPr>
        <w:t>,</w:t>
      </w:r>
      <w:r>
        <w:t xml:space="preserve"> 829-834.</w:t>
      </w:r>
    </w:p>
    <w:p>
      <w:pPr>
        <w:pStyle w:val="53"/>
        <w:ind w:left="720" w:hanging="720"/>
      </w:pPr>
      <w:r>
        <w:t xml:space="preserve">Smith, M.T., and Muralidharan, A. (2015). Targeting angiotensin II type 2 receptor pathways to treat neuropathic pain and inflammatory pain. </w:t>
      </w:r>
      <w:r>
        <w:rPr>
          <w:i/>
        </w:rPr>
        <w:t>Expert Opin Ther Targets</w:t>
      </w:r>
      <w:r>
        <w:t xml:space="preserve"> 19</w:t>
      </w:r>
      <w:r>
        <w:rPr>
          <w:b/>
        </w:rPr>
        <w:t>,</w:t>
      </w:r>
      <w:r>
        <w:t xml:space="preserve"> 25-35.</w:t>
      </w:r>
    </w:p>
    <w:p>
      <w:pPr>
        <w:pStyle w:val="53"/>
        <w:ind w:left="720" w:hanging="720"/>
      </w:pPr>
      <w:r>
        <w:t xml:space="preserve">Tajerian, M., and Clark, J.D. (2019). Spinal matrix metalloproteinase 8 regulates pain after peripheral trauma. </w:t>
      </w:r>
      <w:r>
        <w:rPr>
          <w:i/>
        </w:rPr>
        <w:t>J Pain Res</w:t>
      </w:r>
      <w:r>
        <w:t xml:space="preserve"> 12</w:t>
      </w:r>
      <w:r>
        <w:rPr>
          <w:b/>
        </w:rPr>
        <w:t>,</w:t>
      </w:r>
      <w:r>
        <w:t xml:space="preserve"> 1133-1138.</w:t>
      </w:r>
    </w:p>
    <w:p>
      <w:pPr>
        <w:pStyle w:val="53"/>
        <w:ind w:left="720" w:hanging="720"/>
      </w:pPr>
      <w:r>
        <w:t xml:space="preserve">Tang, S., Jing, H., Huang, Z., Huang, T., Lin, S., Liao, M., and Zhou, J. (2020). Identification of key candidate genes in neuropathic pain by integrated bioinformatic analysis. </w:t>
      </w:r>
      <w:r>
        <w:rPr>
          <w:i/>
        </w:rPr>
        <w:t>J Cell Biochem</w:t>
      </w:r>
      <w:r>
        <w:t xml:space="preserve"> 121</w:t>
      </w:r>
      <w:r>
        <w:rPr>
          <w:b/>
        </w:rPr>
        <w:t>,</w:t>
      </w:r>
      <w:r>
        <w:t xml:space="preserve"> 1635-1648.</w:t>
      </w:r>
    </w:p>
    <w:p>
      <w:pPr>
        <w:pStyle w:val="53"/>
        <w:ind w:left="720" w:hanging="720"/>
      </w:pPr>
      <w:r>
        <w:t xml:space="preserve">Thankam, F.G., Dilisio, M.F., Dietz, N.E., and Agrawal, D.K. (2016). TREM-1, HMGB1 and RAGE in the Shoulder Tendon: Dual Mechanisms for Inflammation Based on the Coincidence of Glenohumeral Arthritis. </w:t>
      </w:r>
      <w:r>
        <w:rPr>
          <w:i/>
        </w:rPr>
        <w:t>PLoS One</w:t>
      </w:r>
      <w:r>
        <w:t xml:space="preserve"> 11</w:t>
      </w:r>
      <w:r>
        <w:rPr>
          <w:b/>
        </w:rPr>
        <w:t>,</w:t>
      </w:r>
      <w:r>
        <w:t xml:space="preserve"> e0165492.</w:t>
      </w:r>
    </w:p>
    <w:p>
      <w:pPr>
        <w:pStyle w:val="53"/>
        <w:ind w:left="720" w:hanging="720"/>
      </w:pPr>
      <w:r>
        <w:t xml:space="preserve">Traschütz, A., Hayer, S.N., Bender, B., Schöls, L., Biskup, S., and Synofzik, M. (2019). TSFM mutations cause a complex hyperkinetic movement disorder with strong relief by cannabinoids. </w:t>
      </w:r>
      <w:r>
        <w:rPr>
          <w:i/>
        </w:rPr>
        <w:t>Parkinsonism Relat Disord</w:t>
      </w:r>
      <w:r>
        <w:t xml:space="preserve"> 60</w:t>
      </w:r>
      <w:r>
        <w:rPr>
          <w:b/>
        </w:rPr>
        <w:t>,</w:t>
      </w:r>
      <w:r>
        <w:t xml:space="preserve"> 176-178.</w:t>
      </w:r>
    </w:p>
    <w:p>
      <w:pPr>
        <w:pStyle w:val="53"/>
        <w:ind w:left="720" w:hanging="720"/>
      </w:pPr>
      <w:r>
        <w:t xml:space="preserve">Ungard, R.G., Linher-Melville, K., Nashed, M.G., Sharma, M., Wen, J., and Singh, G. (2019). xCT knockdown in human breast cancer cells delays onset of cancer-induced bone pain. </w:t>
      </w:r>
      <w:r>
        <w:rPr>
          <w:i/>
        </w:rPr>
        <w:t>Mol Pain</w:t>
      </w:r>
      <w:r>
        <w:t xml:space="preserve"> 15</w:t>
      </w:r>
      <w:r>
        <w:rPr>
          <w:b/>
        </w:rPr>
        <w:t>,</w:t>
      </w:r>
      <w:r>
        <w:t xml:space="preserve"> 1744806918822185.</w:t>
      </w:r>
    </w:p>
    <w:p>
      <w:pPr>
        <w:pStyle w:val="53"/>
        <w:ind w:left="720" w:hanging="720"/>
      </w:pPr>
      <w:r>
        <w:t xml:space="preserve">Vincenzetti, S., Pucciarelli, S., Huang, Y., Ricciutelli, M., Lambertucci, C., Volpini, R., Scuppa, G., Soverchia, L., Ubaldi, M., and Polzonetti, V. (2019). Biomarkers mapping of neuropathic pain in a nerve chronic constriction injury mice model. </w:t>
      </w:r>
      <w:r>
        <w:rPr>
          <w:i/>
        </w:rPr>
        <w:t>Biochimie</w:t>
      </w:r>
      <w:r>
        <w:t xml:space="preserve"> 158</w:t>
      </w:r>
      <w:r>
        <w:rPr>
          <w:b/>
        </w:rPr>
        <w:t>,</w:t>
      </w:r>
      <w:r>
        <w:t xml:space="preserve"> 172-179.</w:t>
      </w:r>
    </w:p>
    <w:p>
      <w:pPr>
        <w:pStyle w:val="53"/>
        <w:ind w:left="720" w:hanging="720"/>
      </w:pPr>
      <w:r>
        <w:t xml:space="preserve">Wang, K., Donnelly, C.R., Jiang, C., Liao, Y., Luo, X., Tao, X., Bang, S., Mcginnis, A., Lee, M., Hilton, M.J., and Ji, R.R. (2021a). STING suppresses bone cancer pain via immune and neuronal modulation. </w:t>
      </w:r>
      <w:r>
        <w:rPr>
          <w:i/>
        </w:rPr>
        <w:t>Nat Commun</w:t>
      </w:r>
      <w:r>
        <w:t xml:space="preserve"> 12</w:t>
      </w:r>
      <w:r>
        <w:rPr>
          <w:b/>
        </w:rPr>
        <w:t>,</w:t>
      </w:r>
      <w:r>
        <w:t xml:space="preserve"> 4558.</w:t>
      </w:r>
    </w:p>
    <w:p>
      <w:pPr>
        <w:pStyle w:val="53"/>
        <w:ind w:left="720" w:hanging="720"/>
      </w:pPr>
      <w:r>
        <w:t xml:space="preserve">Wang, Y., Dai, G., Jiang, L., Liao, S., and Xia, J. (2021b). Microarray analysis reveals an inflammatory transcriptomic signature in peripheral blood for sciatica. </w:t>
      </w:r>
      <w:r>
        <w:rPr>
          <w:i/>
        </w:rPr>
        <w:t>BMC Neurol</w:t>
      </w:r>
      <w:r>
        <w:t xml:space="preserve"> 21</w:t>
      </w:r>
      <w:r>
        <w:rPr>
          <w:b/>
        </w:rPr>
        <w:t>,</w:t>
      </w:r>
      <w:r>
        <w:t xml:space="preserve"> 50.</w:t>
      </w:r>
    </w:p>
    <w:p>
      <w:pPr>
        <w:pStyle w:val="53"/>
        <w:ind w:left="720" w:hanging="720"/>
      </w:pPr>
      <w:r>
        <w:t xml:space="preserve">Xu, W., Ding, W., Sheng, H., Lu, D., Xu, X., and Xu, B. (2021). Dexamethasone Suppresses Radicular Pain Through Targeting the L-PGDS/PI3K/Akt Pathway in Rats With Lumbar Disc Herniation. </w:t>
      </w:r>
      <w:r>
        <w:rPr>
          <w:i/>
        </w:rPr>
        <w:t>Pain Pract</w:t>
      </w:r>
      <w:r>
        <w:t xml:space="preserve"> 21</w:t>
      </w:r>
      <w:r>
        <w:rPr>
          <w:b/>
        </w:rPr>
        <w:t>,</w:t>
      </w:r>
      <w:r>
        <w:t xml:space="preserve"> 64-74.</w:t>
      </w:r>
    </w:p>
    <w:p>
      <w:pPr>
        <w:pStyle w:val="53"/>
        <w:ind w:left="720" w:hanging="720"/>
      </w:pPr>
      <w:r>
        <w:t xml:space="preserve">Zheng, X., Cong, J., Zhang, H., and Chu, X. (2017). Personalized analysis of pathway aberrance induced by sevoflurane and propofol. </w:t>
      </w:r>
      <w:r>
        <w:rPr>
          <w:i/>
        </w:rPr>
        <w:t>Mol Med Rep</w:t>
      </w:r>
      <w:r>
        <w:t xml:space="preserve"> 16</w:t>
      </w:r>
      <w:r>
        <w:rPr>
          <w:b/>
        </w:rPr>
        <w:t>,</w:t>
      </w:r>
      <w:r>
        <w:t xml:space="preserve"> 5312-5320.</w:t>
      </w:r>
    </w:p>
    <w:p/>
    <w:p/>
    <w:p>
      <w:pPr>
        <w:keepNext/>
        <w:rPr>
          <w:rFonts w:cs="Times New Roman"/>
          <w:szCs w:val="24"/>
        </w:rPr>
      </w:pPr>
    </w:p>
    <w:p>
      <w:pPr>
        <w:spacing w:before="240"/>
      </w:pPr>
    </w:p>
    <w:sectPr>
      <w:headerReference r:id="rId6" w:type="firs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A0204"/>
    <w:charset w:val="00"/>
    <w:family w:val="roman"/>
    <w:pitch w:val="default"/>
    <w:sig w:usb0="E00002FF" w:usb1="4000045F" w:usb2="00000000" w:usb3="00000000" w:csb0="2000019F" w:csb1="00000000"/>
  </w:font>
  <w:font w:name="AdvOT5fcf1b24">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b/>
        <w:color w:val="A6A6A6" w:themeColor="background1" w:themeShade="A6"/>
        <w:lang w:val="en-GB" w:eastAsia="en-GB"/>
      </w:rPr>
      <w:drawing>
        <wp:inline distT="0" distB="0" distL="0" distR="0">
          <wp:extent cx="1382395" cy="496570"/>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34909" cy="551877"/>
                  </a:xfrm>
                  <a:prstGeom prst="rect">
                    <a:avLst/>
                  </a:prstGeom>
                  <a:noFill/>
                  <a:ln>
                    <a:noFill/>
                  </a:ln>
                </pic:spPr>
              </pic:pic>
            </a:graphicData>
          </a:graphic>
        </wp:inline>
      </w:drawing>
    </w:r>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3"/>
      <w:lvlText w:val="%1.%2"/>
      <w:lvlJc w:val="left"/>
      <w:pPr>
        <w:tabs>
          <w:tab w:val="left" w:pos="567"/>
        </w:tabs>
        <w:ind w:left="567" w:hanging="567"/>
      </w:pPr>
      <w:rPr>
        <w:rFonts w:hint="default"/>
      </w:rPr>
    </w:lvl>
    <w:lvl w:ilvl="2" w:tentative="0">
      <w:start w:val="1"/>
      <w:numFmt w:val="decimal"/>
      <w:pStyle w:val="4"/>
      <w:lvlText w:val="%1.%2.%3"/>
      <w:lvlJc w:val="left"/>
      <w:pPr>
        <w:tabs>
          <w:tab w:val="left" w:pos="567"/>
        </w:tabs>
        <w:ind w:left="567" w:hanging="567"/>
      </w:pPr>
      <w:rPr>
        <w:rFonts w:hint="default"/>
      </w:rPr>
    </w:lvl>
    <w:lvl w:ilvl="3" w:tentative="0">
      <w:start w:val="1"/>
      <w:numFmt w:val="decimal"/>
      <w:pStyle w:val="5"/>
      <w:lvlText w:val="%1.%2.%3.%4"/>
      <w:lvlJc w:val="left"/>
      <w:pPr>
        <w:tabs>
          <w:tab w:val="left" w:pos="567"/>
        </w:tabs>
        <w:ind w:left="567" w:hanging="567"/>
      </w:pPr>
      <w:rPr>
        <w:rFonts w:hint="default"/>
      </w:rPr>
    </w:lvl>
    <w:lvl w:ilvl="4" w:tentative="0">
      <w:start w:val="1"/>
      <w:numFmt w:val="decimal"/>
      <w:pStyle w:val="6"/>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42"/>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3123F4"/>
    <w:rsid w:val="003544FB"/>
    <w:rsid w:val="003D2F2D"/>
    <w:rsid w:val="00401590"/>
    <w:rsid w:val="00447801"/>
    <w:rsid w:val="00452E9C"/>
    <w:rsid w:val="004735C8"/>
    <w:rsid w:val="004947A6"/>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4A3D"/>
    <w:rsid w:val="009C2B12"/>
    <w:rsid w:val="00A174D9"/>
    <w:rsid w:val="00AA4D24"/>
    <w:rsid w:val="00AB6715"/>
    <w:rsid w:val="00B1671E"/>
    <w:rsid w:val="00B25EB8"/>
    <w:rsid w:val="00B37F4D"/>
    <w:rsid w:val="00C52A7B"/>
    <w:rsid w:val="00C56BAF"/>
    <w:rsid w:val="00C679AA"/>
    <w:rsid w:val="00C75972"/>
    <w:rsid w:val="00CD066B"/>
    <w:rsid w:val="00CE4FEE"/>
    <w:rsid w:val="00D060CF"/>
    <w:rsid w:val="00DB59C3"/>
    <w:rsid w:val="00DC259A"/>
    <w:rsid w:val="00DE23E8"/>
    <w:rsid w:val="00E52377"/>
    <w:rsid w:val="00E537AD"/>
    <w:rsid w:val="00E64E17"/>
    <w:rsid w:val="00E866C9"/>
    <w:rsid w:val="00EA3D3C"/>
    <w:rsid w:val="00EC090A"/>
    <w:rsid w:val="00ED20B5"/>
    <w:rsid w:val="00F46900"/>
    <w:rsid w:val="00F61D89"/>
    <w:rsid w:val="18613B47"/>
    <w:rsid w:val="28A11522"/>
    <w:rsid w:val="398C29B8"/>
    <w:rsid w:val="569A1401"/>
    <w:rsid w:val="63887017"/>
    <w:rsid w:val="6C562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1"/>
    <w:next w:val="1"/>
    <w:link w:val="30"/>
    <w:qFormat/>
    <w:uiPriority w:val="2"/>
    <w:pPr>
      <w:numPr>
        <w:ilvl w:val="0"/>
        <w:numId w:val="1"/>
      </w:numPr>
      <w:spacing w:before="240"/>
      <w:contextualSpacing w:val="0"/>
      <w:outlineLvl w:val="0"/>
    </w:pPr>
    <w:rPr>
      <w:b/>
    </w:rPr>
  </w:style>
  <w:style w:type="paragraph" w:styleId="3">
    <w:name w:val="heading 2"/>
    <w:basedOn w:val="2"/>
    <w:next w:val="1"/>
    <w:link w:val="31"/>
    <w:qFormat/>
    <w:uiPriority w:val="2"/>
    <w:pPr>
      <w:numPr>
        <w:ilvl w:val="1"/>
      </w:numPr>
      <w:spacing w:after="200"/>
      <w:outlineLvl w:val="1"/>
    </w:pPr>
  </w:style>
  <w:style w:type="paragraph" w:styleId="4">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5">
    <w:name w:val="heading 4"/>
    <w:basedOn w:val="4"/>
    <w:next w:val="1"/>
    <w:link w:val="46"/>
    <w:qFormat/>
    <w:uiPriority w:val="2"/>
    <w:pPr>
      <w:numPr>
        <w:ilvl w:val="3"/>
      </w:numPr>
      <w:outlineLvl w:val="3"/>
    </w:pPr>
    <w:rPr>
      <w:iCs/>
    </w:rPr>
  </w:style>
  <w:style w:type="paragraph" w:styleId="6">
    <w:name w:val="heading 5"/>
    <w:basedOn w:val="5"/>
    <w:next w:val="1"/>
    <w:link w:val="47"/>
    <w:qFormat/>
    <w:uiPriority w:val="2"/>
    <w:pPr>
      <w:numPr>
        <w:ilvl w:val="4"/>
      </w:numPr>
      <w:outlineLvl w:val="4"/>
    </w:p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8"/>
    <w:unhideWhenUsed/>
    <w:qFormat/>
    <w:uiPriority w:val="35"/>
    <w:pPr>
      <w:keepNext/>
    </w:pPr>
    <w:rPr>
      <w:rFonts w:cs="Times New Roman"/>
      <w:b/>
      <w:bCs/>
      <w:szCs w:val="24"/>
    </w:rPr>
  </w:style>
  <w:style w:type="paragraph" w:styleId="8">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9">
    <w:name w:val="annotation text"/>
    <w:basedOn w:val="1"/>
    <w:link w:val="36"/>
    <w:semiHidden/>
    <w:unhideWhenUsed/>
    <w:qFormat/>
    <w:uiPriority w:val="99"/>
    <w:rPr>
      <w:sz w:val="20"/>
      <w:szCs w:val="20"/>
    </w:rPr>
  </w:style>
  <w:style w:type="paragraph" w:styleId="10">
    <w:name w:val="endnote text"/>
    <w:basedOn w:val="1"/>
    <w:link w:val="38"/>
    <w:semiHidden/>
    <w:unhideWhenUsed/>
    <w:qFormat/>
    <w:uiPriority w:val="99"/>
    <w:pPr>
      <w:spacing w:after="0"/>
    </w:pPr>
    <w:rPr>
      <w:sz w:val="20"/>
      <w:szCs w:val="20"/>
    </w:rPr>
  </w:style>
  <w:style w:type="paragraph" w:styleId="11">
    <w:name w:val="Balloon Text"/>
    <w:basedOn w:val="1"/>
    <w:link w:val="34"/>
    <w:semiHidden/>
    <w:unhideWhenUsed/>
    <w:qFormat/>
    <w:uiPriority w:val="99"/>
    <w:pPr>
      <w:spacing w:after="0"/>
    </w:pPr>
    <w:rPr>
      <w:rFonts w:ascii="Tahoma" w:hAnsi="Tahoma" w:cs="Tahoma"/>
      <w:sz w:val="16"/>
      <w:szCs w:val="16"/>
    </w:rPr>
  </w:style>
  <w:style w:type="paragraph" w:styleId="12">
    <w:name w:val="footer"/>
    <w:basedOn w:val="1"/>
    <w:link w:val="39"/>
    <w:unhideWhenUsed/>
    <w:qFormat/>
    <w:uiPriority w:val="99"/>
    <w:pPr>
      <w:tabs>
        <w:tab w:val="center" w:pos="4844"/>
        <w:tab w:val="right" w:pos="9689"/>
      </w:tabs>
      <w:spacing w:after="0"/>
    </w:pPr>
  </w:style>
  <w:style w:type="paragraph" w:styleId="13">
    <w:name w:val="header"/>
    <w:basedOn w:val="1"/>
    <w:link w:val="41"/>
    <w:unhideWhenUsed/>
    <w:qFormat/>
    <w:uiPriority w:val="99"/>
    <w:pPr>
      <w:tabs>
        <w:tab w:val="center" w:pos="4844"/>
        <w:tab w:val="right" w:pos="9689"/>
      </w:tabs>
    </w:pPr>
    <w:rPr>
      <w:b/>
    </w:rPr>
  </w:style>
  <w:style w:type="paragraph" w:styleId="14">
    <w:name w:val="Subtitle"/>
    <w:basedOn w:val="1"/>
    <w:next w:val="1"/>
    <w:link w:val="32"/>
    <w:unhideWhenUsed/>
    <w:qFormat/>
    <w:uiPriority w:val="99"/>
    <w:pPr>
      <w:spacing w:before="240"/>
    </w:pPr>
    <w:rPr>
      <w:rFonts w:cs="Times New Roman"/>
      <w:b/>
      <w:szCs w:val="24"/>
    </w:rPr>
  </w:style>
  <w:style w:type="paragraph" w:styleId="15">
    <w:name w:val="footnote text"/>
    <w:basedOn w:val="1"/>
    <w:link w:val="40"/>
    <w:semiHidden/>
    <w:unhideWhenUsed/>
    <w:qFormat/>
    <w:uiPriority w:val="99"/>
    <w:pPr>
      <w:spacing w:after="0"/>
    </w:pPr>
    <w:rPr>
      <w:sz w:val="20"/>
      <w:szCs w:val="20"/>
    </w:rPr>
  </w:style>
  <w:style w:type="paragraph" w:styleId="16">
    <w:name w:val="Normal (Web)"/>
    <w:basedOn w:val="1"/>
    <w:unhideWhenUsed/>
    <w:qFormat/>
    <w:uiPriority w:val="99"/>
    <w:pPr>
      <w:spacing w:before="100" w:beforeAutospacing="1" w:after="100" w:afterAutospacing="1"/>
    </w:pPr>
    <w:rPr>
      <w:rFonts w:eastAsia="Times New Roman" w:cs="Times New Roman"/>
      <w:szCs w:val="24"/>
    </w:rPr>
  </w:style>
  <w:style w:type="paragraph" w:styleId="17">
    <w:name w:val="Title"/>
    <w:basedOn w:val="1"/>
    <w:next w:val="1"/>
    <w:link w:val="51"/>
    <w:qFormat/>
    <w:uiPriority w:val="0"/>
    <w:pPr>
      <w:suppressLineNumbers/>
      <w:spacing w:before="240" w:after="360"/>
      <w:jc w:val="center"/>
    </w:pPr>
    <w:rPr>
      <w:rFonts w:cs="Times New Roman"/>
      <w:b/>
      <w:sz w:val="32"/>
      <w:szCs w:val="32"/>
    </w:rPr>
  </w:style>
  <w:style w:type="paragraph" w:styleId="18">
    <w:name w:val="annotation subject"/>
    <w:basedOn w:val="9"/>
    <w:next w:val="9"/>
    <w:link w:val="37"/>
    <w:semiHidden/>
    <w:unhideWhenUsed/>
    <w:qFormat/>
    <w:uiPriority w:val="99"/>
    <w:rPr>
      <w:b/>
      <w:bCs/>
    </w:rPr>
  </w:style>
  <w:style w:type="table" w:styleId="20">
    <w:name w:val="Table Grid"/>
    <w:basedOn w:val="19"/>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rFonts w:ascii="Times New Roman" w:hAnsi="Times New Roman"/>
      <w:b/>
      <w:bCs/>
    </w:rPr>
  </w:style>
  <w:style w:type="character" w:styleId="23">
    <w:name w:val="endnote reference"/>
    <w:basedOn w:val="21"/>
    <w:semiHidden/>
    <w:unhideWhenUsed/>
    <w:qFormat/>
    <w:uiPriority w:val="99"/>
    <w:rPr>
      <w:vertAlign w:val="superscript"/>
    </w:rPr>
  </w:style>
  <w:style w:type="character" w:styleId="24">
    <w:name w:val="FollowedHyperlink"/>
    <w:basedOn w:val="21"/>
    <w:semiHidden/>
    <w:unhideWhenUsed/>
    <w:qFormat/>
    <w:uiPriority w:val="99"/>
    <w:rPr>
      <w:color w:val="800080" w:themeColor="followedHyperlink"/>
      <w:u w:val="single"/>
      <w14:textFill>
        <w14:solidFill>
          <w14:schemeClr w14:val="folHlink"/>
        </w14:solidFill>
      </w14:textFill>
    </w:rPr>
  </w:style>
  <w:style w:type="character" w:styleId="25">
    <w:name w:val="Emphasis"/>
    <w:basedOn w:val="21"/>
    <w:qFormat/>
    <w:uiPriority w:val="20"/>
    <w:rPr>
      <w:rFonts w:ascii="Times New Roman" w:hAnsi="Times New Roman"/>
      <w:i/>
      <w:iCs/>
    </w:rPr>
  </w:style>
  <w:style w:type="character" w:styleId="26">
    <w:name w:val="line number"/>
    <w:basedOn w:val="21"/>
    <w:semiHidden/>
    <w:unhideWhenUsed/>
    <w:qFormat/>
    <w:uiPriority w:val="99"/>
  </w:style>
  <w:style w:type="character" w:styleId="27">
    <w:name w:val="Hyperlink"/>
    <w:basedOn w:val="21"/>
    <w:unhideWhenUsed/>
    <w:qFormat/>
    <w:uiPriority w:val="99"/>
    <w:rPr>
      <w:color w:val="0000FF"/>
      <w:u w:val="single"/>
    </w:rPr>
  </w:style>
  <w:style w:type="character" w:styleId="28">
    <w:name w:val="annotation reference"/>
    <w:basedOn w:val="21"/>
    <w:semiHidden/>
    <w:unhideWhenUsed/>
    <w:qFormat/>
    <w:uiPriority w:val="99"/>
    <w:rPr>
      <w:sz w:val="16"/>
      <w:szCs w:val="16"/>
    </w:rPr>
  </w:style>
  <w:style w:type="character" w:styleId="29">
    <w:name w:val="footnote reference"/>
    <w:basedOn w:val="21"/>
    <w:semiHidden/>
    <w:unhideWhenUsed/>
    <w:qFormat/>
    <w:uiPriority w:val="99"/>
    <w:rPr>
      <w:vertAlign w:val="superscript"/>
    </w:rPr>
  </w:style>
  <w:style w:type="character" w:customStyle="1" w:styleId="30">
    <w:name w:val="Heading 1 Char"/>
    <w:basedOn w:val="21"/>
    <w:link w:val="2"/>
    <w:qFormat/>
    <w:uiPriority w:val="2"/>
    <w:rPr>
      <w:rFonts w:ascii="Times New Roman" w:hAnsi="Times New Roman" w:eastAsia="Cambria" w:cs="Times New Roman"/>
      <w:b/>
      <w:sz w:val="24"/>
      <w:szCs w:val="24"/>
    </w:rPr>
  </w:style>
  <w:style w:type="character" w:customStyle="1" w:styleId="31">
    <w:name w:val="Heading 2 Char"/>
    <w:basedOn w:val="21"/>
    <w:link w:val="3"/>
    <w:qFormat/>
    <w:uiPriority w:val="2"/>
    <w:rPr>
      <w:rFonts w:ascii="Times New Roman" w:hAnsi="Times New Roman" w:eastAsia="Cambria" w:cs="Times New Roman"/>
      <w:b/>
      <w:sz w:val="24"/>
      <w:szCs w:val="24"/>
    </w:rPr>
  </w:style>
  <w:style w:type="character" w:customStyle="1" w:styleId="32">
    <w:name w:val="Subtitle Char"/>
    <w:basedOn w:val="21"/>
    <w:link w:val="14"/>
    <w:qFormat/>
    <w:uiPriority w:val="99"/>
    <w:rPr>
      <w:rFonts w:ascii="Times New Roman" w:hAnsi="Times New Roman" w:cs="Times New Roman"/>
      <w:b/>
      <w:sz w:val="24"/>
      <w:szCs w:val="24"/>
    </w:rPr>
  </w:style>
  <w:style w:type="paragraph" w:customStyle="1" w:styleId="33">
    <w:name w:val="Author List"/>
    <w:basedOn w:val="14"/>
    <w:next w:val="1"/>
    <w:qFormat/>
    <w:uiPriority w:val="1"/>
  </w:style>
  <w:style w:type="character" w:customStyle="1" w:styleId="34">
    <w:name w:val="Balloon Text Char"/>
    <w:basedOn w:val="21"/>
    <w:link w:val="11"/>
    <w:semiHidden/>
    <w:qFormat/>
    <w:uiPriority w:val="99"/>
    <w:rPr>
      <w:rFonts w:ascii="Tahoma" w:hAnsi="Tahoma" w:cs="Tahoma"/>
      <w:sz w:val="16"/>
      <w:szCs w:val="16"/>
    </w:rPr>
  </w:style>
  <w:style w:type="character" w:customStyle="1" w:styleId="35">
    <w:name w:val="Book Title"/>
    <w:basedOn w:val="21"/>
    <w:qFormat/>
    <w:uiPriority w:val="33"/>
    <w:rPr>
      <w:rFonts w:ascii="Times New Roman" w:hAnsi="Times New Roman"/>
      <w:b/>
      <w:bCs/>
      <w:i/>
      <w:iCs/>
      <w:spacing w:val="5"/>
    </w:rPr>
  </w:style>
  <w:style w:type="character" w:customStyle="1" w:styleId="36">
    <w:name w:val="Comment Text Char"/>
    <w:basedOn w:val="21"/>
    <w:link w:val="9"/>
    <w:semiHidden/>
    <w:qFormat/>
    <w:uiPriority w:val="99"/>
    <w:rPr>
      <w:rFonts w:ascii="Times New Roman" w:hAnsi="Times New Roman"/>
      <w:sz w:val="20"/>
      <w:szCs w:val="20"/>
    </w:rPr>
  </w:style>
  <w:style w:type="character" w:customStyle="1" w:styleId="37">
    <w:name w:val="Comment Subject Char"/>
    <w:basedOn w:val="36"/>
    <w:link w:val="18"/>
    <w:semiHidden/>
    <w:qFormat/>
    <w:uiPriority w:val="99"/>
    <w:rPr>
      <w:rFonts w:ascii="Times New Roman" w:hAnsi="Times New Roman"/>
      <w:b/>
      <w:bCs/>
      <w:sz w:val="20"/>
      <w:szCs w:val="20"/>
    </w:rPr>
  </w:style>
  <w:style w:type="character" w:customStyle="1" w:styleId="38">
    <w:name w:val="Endnote Text Char"/>
    <w:basedOn w:val="21"/>
    <w:link w:val="10"/>
    <w:semiHidden/>
    <w:qFormat/>
    <w:uiPriority w:val="99"/>
    <w:rPr>
      <w:rFonts w:ascii="Times New Roman" w:hAnsi="Times New Roman"/>
      <w:sz w:val="20"/>
      <w:szCs w:val="20"/>
    </w:rPr>
  </w:style>
  <w:style w:type="character" w:customStyle="1" w:styleId="39">
    <w:name w:val="Footer Char"/>
    <w:basedOn w:val="21"/>
    <w:link w:val="12"/>
    <w:qFormat/>
    <w:uiPriority w:val="99"/>
    <w:rPr>
      <w:rFonts w:ascii="Times New Roman" w:hAnsi="Times New Roman"/>
      <w:sz w:val="24"/>
    </w:rPr>
  </w:style>
  <w:style w:type="character" w:customStyle="1" w:styleId="40">
    <w:name w:val="Footnote Text Char"/>
    <w:basedOn w:val="21"/>
    <w:link w:val="15"/>
    <w:semiHidden/>
    <w:qFormat/>
    <w:uiPriority w:val="99"/>
    <w:rPr>
      <w:rFonts w:ascii="Times New Roman" w:hAnsi="Times New Roman"/>
      <w:sz w:val="20"/>
      <w:szCs w:val="20"/>
    </w:rPr>
  </w:style>
  <w:style w:type="character" w:customStyle="1" w:styleId="41">
    <w:name w:val="Header Char"/>
    <w:basedOn w:val="21"/>
    <w:link w:val="13"/>
    <w:qFormat/>
    <w:uiPriority w:val="99"/>
    <w:rPr>
      <w:rFonts w:ascii="Times New Roman" w:hAnsi="Times New Roman"/>
      <w:b/>
      <w:sz w:val="24"/>
    </w:rPr>
  </w:style>
  <w:style w:type="paragraph" w:styleId="42">
    <w:name w:val="List Paragraph"/>
    <w:basedOn w:val="1"/>
    <w:qFormat/>
    <w:uiPriority w:val="3"/>
    <w:pPr>
      <w:numPr>
        <w:ilvl w:val="0"/>
        <w:numId w:val="2"/>
      </w:numPr>
      <w:contextualSpacing/>
    </w:pPr>
    <w:rPr>
      <w:rFonts w:eastAsia="Cambria" w:cs="Times New Roman"/>
      <w:szCs w:val="24"/>
    </w:rPr>
  </w:style>
  <w:style w:type="character" w:customStyle="1" w:styleId="43">
    <w:name w:val="Intense Emphasis"/>
    <w:basedOn w:val="21"/>
    <w:unhideWhenUsed/>
    <w:qFormat/>
    <w:uiPriority w:val="21"/>
    <w:rPr>
      <w:rFonts w:ascii="Times New Roman" w:hAnsi="Times New Roman"/>
      <w:i/>
      <w:iCs/>
      <w:color w:val="auto"/>
    </w:rPr>
  </w:style>
  <w:style w:type="character" w:customStyle="1" w:styleId="44">
    <w:name w:val="Intense Reference"/>
    <w:basedOn w:val="21"/>
    <w:qFormat/>
    <w:uiPriority w:val="32"/>
    <w:rPr>
      <w:b/>
      <w:bCs/>
      <w:smallCaps/>
      <w:color w:val="auto"/>
      <w:spacing w:val="5"/>
    </w:rPr>
  </w:style>
  <w:style w:type="character" w:customStyle="1" w:styleId="45">
    <w:name w:val="Heading 3 Char"/>
    <w:basedOn w:val="21"/>
    <w:link w:val="4"/>
    <w:qFormat/>
    <w:uiPriority w:val="2"/>
    <w:rPr>
      <w:rFonts w:ascii="Times New Roman" w:hAnsi="Times New Roman" w:eastAsiaTheme="majorEastAsia" w:cstheme="majorBidi"/>
      <w:b/>
      <w:sz w:val="24"/>
      <w:szCs w:val="24"/>
    </w:rPr>
  </w:style>
  <w:style w:type="character" w:customStyle="1" w:styleId="46">
    <w:name w:val="Heading 4 Char"/>
    <w:basedOn w:val="21"/>
    <w:link w:val="5"/>
    <w:qFormat/>
    <w:uiPriority w:val="2"/>
    <w:rPr>
      <w:rFonts w:ascii="Times New Roman" w:hAnsi="Times New Roman" w:eastAsiaTheme="majorEastAsia" w:cstheme="majorBidi"/>
      <w:b/>
      <w:iCs/>
      <w:sz w:val="24"/>
      <w:szCs w:val="24"/>
    </w:rPr>
  </w:style>
  <w:style w:type="character" w:customStyle="1" w:styleId="47">
    <w:name w:val="Heading 5 Char"/>
    <w:basedOn w:val="21"/>
    <w:link w:val="6"/>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1"/>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1"/>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1"/>
    <w:link w:val="17"/>
    <w:qFormat/>
    <w:uiPriority w:val="0"/>
    <w:rPr>
      <w:rFonts w:ascii="Times New Roman" w:hAnsi="Times New Roman" w:cs="Times New Roman"/>
      <w:b/>
      <w:sz w:val="32"/>
      <w:szCs w:val="32"/>
    </w:rPr>
  </w:style>
  <w:style w:type="paragraph" w:customStyle="1" w:styleId="52">
    <w:name w:val="Supplementary Material"/>
    <w:basedOn w:val="17"/>
    <w:next w:val="17"/>
    <w:qFormat/>
    <w:uiPriority w:val="0"/>
    <w:pPr>
      <w:spacing w:after="120"/>
    </w:pPr>
    <w:rPr>
      <w:i/>
    </w:rPr>
  </w:style>
  <w:style w:type="paragraph" w:customStyle="1" w:styleId="53">
    <w:name w:val="EndNote Bibliography"/>
    <w:basedOn w:val="1"/>
    <w:qFormat/>
    <w:uiPriority w:val="0"/>
    <w:rPr>
      <w:rFonts w:cs="Calibri"/>
      <w:sz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A95B22-B4E8-4C8E-ABCB-1E2B9143F8CF}">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1</Pages>
  <Words>247</Words>
  <Characters>1410</Characters>
  <Lines>11</Lines>
  <Paragraphs>3</Paragraphs>
  <TotalTime>10</TotalTime>
  <ScaleCrop>false</ScaleCrop>
  <LinksUpToDate>false</LinksUpToDate>
  <CharactersWithSpaces>1654</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2018-11-23T08:58:00Z</dcterms:created>
  <dc:creator>Frontiers Media SA</dc:creator>
  <cp:lastModifiedBy>刘永敏</cp:lastModifiedBy>
  <cp:lastPrinted>2013-10-03T12:51:00Z</cp:lastPrinted>
  <dcterms:modified xsi:type="dcterms:W3CDTF">2021-11-07T06:19:28Z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ABAD4B82EB224C488D746FDEDD568C58</vt:lpwstr>
  </property>
</Properties>
</file>