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2C18F1" w14:textId="203B63EA" w:rsidR="008E51BA" w:rsidRDefault="008E51BA" w:rsidP="00577FAB">
      <w:pPr>
        <w:pStyle w:val="Heading2"/>
        <w:spacing w:line="360" w:lineRule="auto"/>
        <w:jc w:val="both"/>
        <w:rPr>
          <w:lang w:val="en-US"/>
        </w:rPr>
      </w:pPr>
      <w:r>
        <w:rPr>
          <w:rFonts w:hint="eastAsia"/>
          <w:lang w:val="en-US"/>
        </w:rPr>
        <w:t>Su</w:t>
      </w:r>
      <w:r>
        <w:rPr>
          <w:lang w:val="en-US"/>
        </w:rPr>
        <w:t xml:space="preserve">pplementary </w:t>
      </w:r>
      <w:r w:rsidR="000A63AB">
        <w:rPr>
          <w:lang w:val="en-US"/>
        </w:rPr>
        <w:t>appendix</w:t>
      </w:r>
    </w:p>
    <w:p w14:paraId="47F1C91D" w14:textId="7DF48315" w:rsidR="008E51BA" w:rsidRDefault="000A63AB" w:rsidP="00833F76">
      <w:pPr>
        <w:jc w:val="both"/>
        <w:rPr>
          <w:b/>
          <w:bCs/>
        </w:rPr>
      </w:pPr>
      <w:r>
        <w:rPr>
          <w:b/>
          <w:bCs/>
        </w:rPr>
        <w:t>Appendix</w:t>
      </w:r>
      <w:r w:rsidR="003824BA">
        <w:rPr>
          <w:b/>
          <w:bCs/>
        </w:rPr>
        <w:t xml:space="preserve"> </w:t>
      </w:r>
      <w:r w:rsidR="008E51BA">
        <w:rPr>
          <w:b/>
          <w:bCs/>
        </w:rPr>
        <w:t>Figure 1</w:t>
      </w:r>
      <w:r w:rsidR="00763BD6">
        <w:rPr>
          <w:b/>
          <w:bCs/>
        </w:rPr>
        <w:t xml:space="preserve">. </w:t>
      </w:r>
      <w:r w:rsidR="00D20537">
        <w:rPr>
          <w:b/>
          <w:bCs/>
        </w:rPr>
        <w:t xml:space="preserve">Three </w:t>
      </w:r>
      <w:r w:rsidR="006B4526">
        <w:rPr>
          <w:b/>
          <w:bCs/>
        </w:rPr>
        <w:t xml:space="preserve">sets of </w:t>
      </w:r>
      <w:r w:rsidR="00D20537">
        <w:rPr>
          <w:b/>
          <w:bCs/>
        </w:rPr>
        <w:t>instrument</w:t>
      </w:r>
      <w:r w:rsidR="006B4526">
        <w:rPr>
          <w:b/>
          <w:bCs/>
        </w:rPr>
        <w:t>s been</w:t>
      </w:r>
      <w:r w:rsidR="00D20537">
        <w:rPr>
          <w:b/>
          <w:bCs/>
        </w:rPr>
        <w:t xml:space="preserve"> </w:t>
      </w:r>
      <w:r w:rsidR="006B4526">
        <w:rPr>
          <w:b/>
          <w:bCs/>
        </w:rPr>
        <w:t>used</w:t>
      </w:r>
      <w:r w:rsidR="00D20537">
        <w:rPr>
          <w:b/>
          <w:bCs/>
        </w:rPr>
        <w:t xml:space="preserve"> in </w:t>
      </w:r>
      <w:r w:rsidR="00B174C2">
        <w:rPr>
          <w:b/>
          <w:bCs/>
        </w:rPr>
        <w:t>the</w:t>
      </w:r>
      <w:r w:rsidR="00D20537">
        <w:rPr>
          <w:b/>
          <w:bCs/>
        </w:rPr>
        <w:t xml:space="preserve"> Mendelian randomization </w:t>
      </w:r>
      <w:r w:rsidR="00B174C2">
        <w:rPr>
          <w:b/>
          <w:bCs/>
        </w:rPr>
        <w:t>analysis</w:t>
      </w:r>
      <w:r w:rsidR="00E87580">
        <w:rPr>
          <w:b/>
          <w:bCs/>
        </w:rPr>
        <w:t>.</w:t>
      </w:r>
    </w:p>
    <w:p w14:paraId="2411B88F" w14:textId="77777777" w:rsidR="00763BD6" w:rsidRDefault="00763BD6" w:rsidP="00833F76">
      <w:pPr>
        <w:jc w:val="both"/>
        <w:rPr>
          <w:b/>
          <w:bCs/>
        </w:rPr>
      </w:pPr>
    </w:p>
    <w:p w14:paraId="6497F938" w14:textId="783EE406" w:rsidR="00590F82" w:rsidRDefault="000B3685" w:rsidP="00833F76">
      <w:pPr>
        <w:jc w:val="both"/>
        <w:rPr>
          <w:b/>
          <w:bCs/>
        </w:rPr>
      </w:pPr>
      <w:r>
        <w:rPr>
          <w:b/>
          <w:bCs/>
          <w:noProof/>
        </w:rPr>
        <w:drawing>
          <wp:inline distT="0" distB="0" distL="0" distR="0" wp14:anchorId="1FBEAFBF" wp14:editId="473B5C9D">
            <wp:extent cx="8864600" cy="3594735"/>
            <wp:effectExtent l="0" t="0" r="0" b="0"/>
            <wp:docPr id="18844086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4408651" name="Picture 1884408651"/>
                    <pic:cNvPicPr/>
                  </pic:nvPicPr>
                  <pic:blipFill>
                    <a:blip r:embed="rId8" cstate="print">
                      <a:extLst>
                        <a:ext uri="{28A0092B-C50C-407E-A947-70E740481C1C}">
                          <a14:useLocalDpi xmlns:a14="http://schemas.microsoft.com/office/drawing/2010/main" val="0"/>
                        </a:ext>
                      </a:extLst>
                    </a:blip>
                    <a:stretch>
                      <a:fillRect/>
                    </a:stretch>
                  </pic:blipFill>
                  <pic:spPr>
                    <a:xfrm>
                      <a:off x="0" y="0"/>
                      <a:ext cx="8864600" cy="3594735"/>
                    </a:xfrm>
                    <a:prstGeom prst="rect">
                      <a:avLst/>
                    </a:prstGeom>
                  </pic:spPr>
                </pic:pic>
              </a:graphicData>
            </a:graphic>
          </wp:inline>
        </w:drawing>
      </w:r>
    </w:p>
    <w:p w14:paraId="4301A8B3" w14:textId="392DD110" w:rsidR="0017403B" w:rsidRDefault="0017403B" w:rsidP="00833F76">
      <w:pPr>
        <w:jc w:val="both"/>
        <w:rPr>
          <w:b/>
          <w:bCs/>
        </w:rPr>
      </w:pPr>
    </w:p>
    <w:p w14:paraId="59362103" w14:textId="77777777" w:rsidR="00370980" w:rsidRDefault="00370980" w:rsidP="00833F76">
      <w:pPr>
        <w:jc w:val="both"/>
        <w:rPr>
          <w:b/>
          <w:bCs/>
        </w:rPr>
        <w:sectPr w:rsidR="00370980" w:rsidSect="008659B8">
          <w:pgSz w:w="16840" w:h="11900" w:orient="landscape"/>
          <w:pgMar w:top="1440" w:right="1440" w:bottom="1440" w:left="1440" w:header="708" w:footer="708" w:gutter="0"/>
          <w:cols w:space="708"/>
          <w:docGrid w:linePitch="360"/>
        </w:sectPr>
      </w:pPr>
    </w:p>
    <w:p w14:paraId="2DBA254F" w14:textId="391316C2" w:rsidR="00370980" w:rsidRDefault="000A63AB" w:rsidP="00833F76">
      <w:pPr>
        <w:jc w:val="both"/>
        <w:rPr>
          <w:b/>
          <w:bCs/>
        </w:rPr>
      </w:pPr>
      <w:r>
        <w:rPr>
          <w:b/>
          <w:bCs/>
        </w:rPr>
        <w:lastRenderedPageBreak/>
        <w:t xml:space="preserve">Appendix </w:t>
      </w:r>
      <w:r w:rsidR="00370980">
        <w:rPr>
          <w:b/>
          <w:bCs/>
        </w:rPr>
        <w:t>Figure 2.</w:t>
      </w:r>
      <w:r w:rsidR="0016081E">
        <w:rPr>
          <w:b/>
          <w:bCs/>
        </w:rPr>
        <w:t xml:space="preserve"> Scatter plot and forest plot for the </w:t>
      </w:r>
      <w:r w:rsidR="00B17A26">
        <w:rPr>
          <w:b/>
          <w:bCs/>
        </w:rPr>
        <w:t xml:space="preserve">genetically proxied </w:t>
      </w:r>
      <w:r w:rsidR="0016081E">
        <w:rPr>
          <w:b/>
          <w:bCs/>
        </w:rPr>
        <w:t>effect of SGLT2 inhibition on total prostate cancer.</w:t>
      </w:r>
    </w:p>
    <w:p w14:paraId="4676270A" w14:textId="77777777" w:rsidR="007D7B12" w:rsidRDefault="007D7B12" w:rsidP="00833F76">
      <w:pPr>
        <w:jc w:val="both"/>
        <w:rPr>
          <w:b/>
          <w:bCs/>
        </w:rPr>
      </w:pPr>
    </w:p>
    <w:p w14:paraId="0C20DEFF" w14:textId="1F2571AB" w:rsidR="00370980" w:rsidRDefault="00BF7850" w:rsidP="00833F76">
      <w:pPr>
        <w:jc w:val="both"/>
        <w:rPr>
          <w:b/>
          <w:bCs/>
        </w:rPr>
      </w:pPr>
      <w:r>
        <w:rPr>
          <w:b/>
          <w:bCs/>
          <w:noProof/>
        </w:rPr>
        <w:drawing>
          <wp:inline distT="0" distB="0" distL="0" distR="0" wp14:anchorId="7A867007" wp14:editId="487DEBC1">
            <wp:extent cx="4946073" cy="4946073"/>
            <wp:effectExtent l="0" t="0" r="0" b="0"/>
            <wp:docPr id="176578138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5781389" name="Picture 1765781389"/>
                    <pic:cNvPicPr/>
                  </pic:nvPicPr>
                  <pic:blipFill>
                    <a:blip r:embed="rId9" cstate="print">
                      <a:extLst>
                        <a:ext uri="{28A0092B-C50C-407E-A947-70E740481C1C}">
                          <a14:useLocalDpi xmlns:a14="http://schemas.microsoft.com/office/drawing/2010/main" val="0"/>
                        </a:ext>
                      </a:extLst>
                    </a:blip>
                    <a:stretch>
                      <a:fillRect/>
                    </a:stretch>
                  </pic:blipFill>
                  <pic:spPr>
                    <a:xfrm>
                      <a:off x="0" y="0"/>
                      <a:ext cx="4946403" cy="4946403"/>
                    </a:xfrm>
                    <a:prstGeom prst="rect">
                      <a:avLst/>
                    </a:prstGeom>
                  </pic:spPr>
                </pic:pic>
              </a:graphicData>
            </a:graphic>
          </wp:inline>
        </w:drawing>
      </w:r>
    </w:p>
    <w:p w14:paraId="00ADBC59" w14:textId="77777777" w:rsidR="00370980" w:rsidRDefault="00370980" w:rsidP="00833F76">
      <w:pPr>
        <w:jc w:val="both"/>
        <w:rPr>
          <w:b/>
          <w:bCs/>
        </w:rPr>
      </w:pPr>
    </w:p>
    <w:p w14:paraId="42E7B73E" w14:textId="77777777" w:rsidR="00DE799C" w:rsidRDefault="00DE799C" w:rsidP="00833F76">
      <w:pPr>
        <w:jc w:val="both"/>
        <w:rPr>
          <w:b/>
          <w:bCs/>
        </w:rPr>
        <w:sectPr w:rsidR="00DE799C" w:rsidSect="008659B8">
          <w:pgSz w:w="16840" w:h="11900" w:orient="landscape"/>
          <w:pgMar w:top="1440" w:right="1440" w:bottom="1440" w:left="1440" w:header="708" w:footer="708" w:gutter="0"/>
          <w:cols w:space="708"/>
          <w:docGrid w:linePitch="360"/>
        </w:sectPr>
      </w:pPr>
    </w:p>
    <w:p w14:paraId="52D7FBE7" w14:textId="023A26C0" w:rsidR="00DE799C" w:rsidRDefault="000A63AB" w:rsidP="00833F76">
      <w:pPr>
        <w:jc w:val="both"/>
        <w:rPr>
          <w:b/>
          <w:bCs/>
        </w:rPr>
      </w:pPr>
      <w:r>
        <w:rPr>
          <w:b/>
          <w:bCs/>
        </w:rPr>
        <w:lastRenderedPageBreak/>
        <w:t xml:space="preserve">Appendix </w:t>
      </w:r>
      <w:r w:rsidR="000A7CF4">
        <w:rPr>
          <w:b/>
          <w:bCs/>
        </w:rPr>
        <w:t xml:space="preserve">Figure </w:t>
      </w:r>
      <w:r w:rsidR="00334E24">
        <w:rPr>
          <w:b/>
          <w:bCs/>
        </w:rPr>
        <w:t>3</w:t>
      </w:r>
      <w:r w:rsidR="000A7CF4">
        <w:rPr>
          <w:b/>
          <w:bCs/>
        </w:rPr>
        <w:t>. Summary of key findings of the current study</w:t>
      </w:r>
      <w:r w:rsidR="00225213">
        <w:rPr>
          <w:b/>
          <w:bCs/>
        </w:rPr>
        <w:t>.</w:t>
      </w:r>
    </w:p>
    <w:p w14:paraId="357AC1F8" w14:textId="77777777" w:rsidR="0079500D" w:rsidRDefault="0079500D" w:rsidP="00833F76">
      <w:pPr>
        <w:jc w:val="both"/>
        <w:rPr>
          <w:b/>
          <w:bCs/>
        </w:rPr>
      </w:pPr>
    </w:p>
    <w:p w14:paraId="4BF1555C" w14:textId="211D62AC" w:rsidR="000A7CF4" w:rsidRDefault="000C25BA" w:rsidP="00833F76">
      <w:pPr>
        <w:jc w:val="both"/>
        <w:rPr>
          <w:b/>
          <w:bCs/>
        </w:rPr>
      </w:pPr>
      <w:r>
        <w:rPr>
          <w:b/>
          <w:bCs/>
          <w:noProof/>
        </w:rPr>
        <w:drawing>
          <wp:inline distT="0" distB="0" distL="0" distR="0" wp14:anchorId="7F5F1F6C" wp14:editId="417B96D5">
            <wp:extent cx="8864600" cy="2960370"/>
            <wp:effectExtent l="0" t="0" r="0" b="0"/>
            <wp:docPr id="992688904" name="Picture 1" descr="A diagram of a cancer treatme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2688904" name="Picture 1" descr="A diagram of a cancer treatment&#10;&#10;Description automatically generated"/>
                    <pic:cNvPicPr/>
                  </pic:nvPicPr>
                  <pic:blipFill>
                    <a:blip r:embed="rId10" cstate="print">
                      <a:extLst>
                        <a:ext uri="{28A0092B-C50C-407E-A947-70E740481C1C}">
                          <a14:useLocalDpi xmlns:a14="http://schemas.microsoft.com/office/drawing/2010/main" val="0"/>
                        </a:ext>
                      </a:extLst>
                    </a:blip>
                    <a:stretch>
                      <a:fillRect/>
                    </a:stretch>
                  </pic:blipFill>
                  <pic:spPr>
                    <a:xfrm>
                      <a:off x="0" y="0"/>
                      <a:ext cx="8864600" cy="2960370"/>
                    </a:xfrm>
                    <a:prstGeom prst="rect">
                      <a:avLst/>
                    </a:prstGeom>
                  </pic:spPr>
                </pic:pic>
              </a:graphicData>
            </a:graphic>
          </wp:inline>
        </w:drawing>
      </w:r>
    </w:p>
    <w:p w14:paraId="272523B9" w14:textId="77777777" w:rsidR="000C25BA" w:rsidRDefault="000C25BA" w:rsidP="00833F76">
      <w:pPr>
        <w:jc w:val="both"/>
        <w:rPr>
          <w:b/>
          <w:bCs/>
        </w:rPr>
      </w:pPr>
    </w:p>
    <w:p w14:paraId="0C158967" w14:textId="77777777" w:rsidR="000A7CF4" w:rsidRDefault="000A7CF4" w:rsidP="00833F76">
      <w:pPr>
        <w:jc w:val="both"/>
        <w:rPr>
          <w:b/>
          <w:bCs/>
        </w:rPr>
      </w:pPr>
    </w:p>
    <w:p w14:paraId="2DDC5F62" w14:textId="77777777" w:rsidR="001958B4" w:rsidRDefault="001958B4" w:rsidP="00833F76">
      <w:pPr>
        <w:jc w:val="both"/>
        <w:rPr>
          <w:b/>
          <w:bCs/>
        </w:rPr>
        <w:sectPr w:rsidR="001958B4" w:rsidSect="008659B8">
          <w:pgSz w:w="16840" w:h="11900" w:orient="landscape"/>
          <w:pgMar w:top="1440" w:right="1440" w:bottom="1440" w:left="1440" w:header="708" w:footer="708" w:gutter="0"/>
          <w:cols w:space="708"/>
          <w:docGrid w:linePitch="360"/>
        </w:sectPr>
      </w:pPr>
    </w:p>
    <w:p w14:paraId="79D55934" w14:textId="72E3C5FA" w:rsidR="00BF6E72" w:rsidRDefault="000A63AB" w:rsidP="00577FAB">
      <w:pPr>
        <w:pStyle w:val="Heading2"/>
        <w:spacing w:line="360" w:lineRule="auto"/>
        <w:jc w:val="both"/>
        <w:rPr>
          <w:lang w:val="en-US"/>
        </w:rPr>
      </w:pPr>
      <w:r>
        <w:rPr>
          <w:lang w:val="en-US"/>
        </w:rPr>
        <w:lastRenderedPageBreak/>
        <w:t>Appendix</w:t>
      </w:r>
      <w:r w:rsidR="003824BA" w:rsidRPr="003824BA">
        <w:rPr>
          <w:lang w:val="en-US"/>
        </w:rPr>
        <w:t xml:space="preserve"> </w:t>
      </w:r>
      <w:r w:rsidR="00BF6E72">
        <w:rPr>
          <w:lang w:val="en-US"/>
        </w:rPr>
        <w:t xml:space="preserve">Note </w:t>
      </w:r>
      <w:r w:rsidR="00827106">
        <w:rPr>
          <w:lang w:val="en-US"/>
        </w:rPr>
        <w:t>1</w:t>
      </w:r>
      <w:r w:rsidR="00272ACE">
        <w:rPr>
          <w:lang w:val="en-US"/>
        </w:rPr>
        <w:t xml:space="preserve">. Details of instrument selection </w:t>
      </w:r>
    </w:p>
    <w:p w14:paraId="146430EC" w14:textId="7E097337" w:rsidR="003D7409" w:rsidRPr="003D7409" w:rsidRDefault="00ED4E06" w:rsidP="00833F76">
      <w:pPr>
        <w:spacing w:line="360" w:lineRule="auto"/>
        <w:jc w:val="both"/>
        <w:rPr>
          <w:b/>
          <w:bCs/>
        </w:rPr>
      </w:pPr>
      <w:r>
        <w:rPr>
          <w:b/>
          <w:bCs/>
        </w:rPr>
        <w:t>Identification of</w:t>
      </w:r>
      <w:r w:rsidRPr="009F2AE0">
        <w:rPr>
          <w:b/>
          <w:bCs/>
        </w:rPr>
        <w:t xml:space="preserve"> drug</w:t>
      </w:r>
      <w:r>
        <w:rPr>
          <w:b/>
          <w:bCs/>
        </w:rPr>
        <w:t xml:space="preserve"> target of SGLT2 and </w:t>
      </w:r>
      <w:r w:rsidR="004D6EF2">
        <w:rPr>
          <w:b/>
          <w:bCs/>
        </w:rPr>
        <w:t>exposure data</w:t>
      </w:r>
    </w:p>
    <w:p w14:paraId="0ACD308B" w14:textId="725C9023" w:rsidR="00ED4E06" w:rsidRDefault="00ED4E06" w:rsidP="00ED4E06">
      <w:pPr>
        <w:spacing w:line="360" w:lineRule="auto"/>
        <w:jc w:val="both"/>
        <w:rPr>
          <w:color w:val="000000" w:themeColor="text1"/>
        </w:rPr>
      </w:pPr>
      <w:r>
        <w:rPr>
          <w:color w:val="000000" w:themeColor="text1"/>
        </w:rPr>
        <w:t xml:space="preserve">This study investigated drug target for SGLT2 inhibitors. The drug targeted gene of for SGLT2, </w:t>
      </w:r>
      <w:r w:rsidRPr="005F1F05">
        <w:rPr>
          <w:i/>
          <w:iCs/>
          <w:color w:val="000000" w:themeColor="text1"/>
        </w:rPr>
        <w:t>SLC5A2</w:t>
      </w:r>
      <w:r>
        <w:rPr>
          <w:color w:val="000000" w:themeColor="text1"/>
        </w:rPr>
        <w:t xml:space="preserve"> was well defined in the literature</w:t>
      </w:r>
      <w:r>
        <w:fldChar w:fldCharType="begin"/>
      </w:r>
      <w:r w:rsidR="00052B0E">
        <w:instrText xml:space="preserve"> ADDIN ZOTERO_ITEM CSL_CITATION {"citationID":"8oqpI2wM","properties":{"formattedCitation":"\\super 1\\nosupersub{}","plainCitation":"1","noteIndex":0},"citationItems":[{"id":"xmpeSjVn/fnFdekCU","uris":["http://zotero.org/users/local/ONYY32YX/items/JX8NV2NC"],"itemData":{"id":123776,"type":"article-journal","abstract":"Sodium-glucose cotransporter 2 (SGLT2) inhibitors are a novel class of\noral hypoglycemic agents which increase urinary glucose excretion by\nsuppressing glucose reabsorption at the proximal tubule in the kidney.\nSGLT2 inhibitors lower glycated hemoglobin (HbA1c) by 0.6-0.8% (6-8\nmmol/mol) without increasing the risk of hypoglycemia and induce weight\nloss and improve various metabolic parameters including blood pressure,\nlipid profile and hyperuricemia. Recent cardiovascular (CV) outcome trials\nhave shown the improvement of CV and renal outcomes by treatment with the\nSGLT2 inhibitors, empagliflozin, canagliflozin, and dapagliflozin. The\nmechanisms by which SGLT2 inhibitors improve CV outcome appear not to be\nglucose-lowering or anti-atherosclerotic effects, but rather hemodynamic\neffects through osmotic diuresis and natriuresis. Generally, SGLT2\ninhibitors are well-tolerated, but their adverse effects include\ngenitourinary tract infection and dehydration. Euglycemic diabetic\nketoacidosis is a rare but severe adverse event for which patients under\nSGLT2 inhibitor treatment should be carefully monitored. The possibility\nof an increase in risk of lower-extremity amputation and bone fracture has\nalso been reported with canagliflozin. Clinical trials and real-world data\nhave suggested that SGLT2 inhibitors improve CV and renal outcomes and\nmortality in patients with type 2 diabetes (T2DM), especially in those\nwith prior CV events, heart failure, or chronic kidney disease. Results of\nrecent trials including individuals without diabetes may change the\npositioning of this drug as ″a drug for cardiorenal protection″. This\nreview summarizes the potential of SGLT2 inhibitors and discusses their\nrole in the treatment of T2DM.","container-title":"Diseases","DOI":"10.3390/diseases8020014","ISSN":"2079-9721","issue":"2","title":"SGLT2 Inhibitors: the Star in the Treatment of Type 2 Diabetes?","URL":"http://dx.doi.org/10.3390/diseases8020014","volume":"8","author":[{"family":"Saisho","given":"Yoshifumi"}],"issued":{"date-parts":[["2020",5,11]]}}}],"schema":"https://github.com/citation-style-language/schema/raw/master/csl-citation.json"} </w:instrText>
      </w:r>
      <w:r>
        <w:fldChar w:fldCharType="separate"/>
      </w:r>
      <w:r w:rsidR="00052B0E" w:rsidRPr="00052B0E">
        <w:rPr>
          <w:vertAlign w:val="superscript"/>
        </w:rPr>
        <w:t>1</w:t>
      </w:r>
      <w:r>
        <w:fldChar w:fldCharType="end"/>
      </w:r>
      <w:r>
        <w:rPr>
          <w:color w:val="000000" w:themeColor="text1"/>
        </w:rPr>
        <w:t xml:space="preserve">. </w:t>
      </w:r>
    </w:p>
    <w:p w14:paraId="4B25F8F8" w14:textId="77777777" w:rsidR="00ED4E06" w:rsidRPr="00ED4E06" w:rsidRDefault="00ED4E06" w:rsidP="00833F76">
      <w:pPr>
        <w:spacing w:line="360" w:lineRule="auto"/>
        <w:jc w:val="both"/>
      </w:pPr>
    </w:p>
    <w:p w14:paraId="3B2B6815" w14:textId="1BC754C8" w:rsidR="00FB1A90" w:rsidRPr="00B758F9" w:rsidRDefault="00FB1A90" w:rsidP="00833F76">
      <w:pPr>
        <w:spacing w:line="360" w:lineRule="auto"/>
        <w:jc w:val="both"/>
      </w:pPr>
      <w:r>
        <w:t xml:space="preserve">Three sets of </w:t>
      </w:r>
      <w:r w:rsidR="00E114C8">
        <w:t>genetic instruments</w:t>
      </w:r>
      <w:r>
        <w:t xml:space="preserve"> were used to proxy effect of </w:t>
      </w:r>
      <w:r w:rsidR="00C72C16">
        <w:t>SGLT2 inhibition</w:t>
      </w:r>
      <w:r>
        <w:t xml:space="preserve"> </w:t>
      </w:r>
      <w:r w:rsidR="00B758F9">
        <w:t>(</w:t>
      </w:r>
      <w:r w:rsidR="00B758F9" w:rsidRPr="003824BA">
        <w:rPr>
          <w:b/>
          <w:bCs/>
          <w:color w:val="000000" w:themeColor="text1"/>
        </w:rPr>
        <w:t>Supplementary</w:t>
      </w:r>
      <w:r w:rsidR="00B758F9" w:rsidRPr="003824BA">
        <w:rPr>
          <w:color w:val="000000" w:themeColor="text1"/>
        </w:rPr>
        <w:t xml:space="preserve"> </w:t>
      </w:r>
      <w:r w:rsidR="00B758F9" w:rsidRPr="002214F0">
        <w:rPr>
          <w:b/>
          <w:bCs/>
          <w:color w:val="000000" w:themeColor="text1"/>
        </w:rPr>
        <w:t>Figure 1</w:t>
      </w:r>
      <w:r w:rsidR="00B758F9">
        <w:t>)</w:t>
      </w:r>
      <w:r>
        <w:t xml:space="preserve">. </w:t>
      </w:r>
      <w:r w:rsidR="00D343EE">
        <w:t xml:space="preserve">For main drug target MR, </w:t>
      </w:r>
      <w:r>
        <w:t>summary data were obtained from a GWAS of HbA</w:t>
      </w:r>
      <w:r w:rsidRPr="00F84F98">
        <w:rPr>
          <w:vertAlign w:val="subscript"/>
        </w:rPr>
        <w:t>1c</w:t>
      </w:r>
      <w:r>
        <w:t xml:space="preserve"> level</w:t>
      </w:r>
      <w:r w:rsidR="006B4C28">
        <w:t>s</w:t>
      </w:r>
      <w:r>
        <w:t xml:space="preserve"> in the UK Biobank (N=</w:t>
      </w:r>
      <w:r w:rsidR="009E5836" w:rsidRPr="009E5836">
        <w:t>159</w:t>
      </w:r>
      <w:r w:rsidR="009E5836">
        <w:t>,</w:t>
      </w:r>
      <w:r w:rsidR="009E5836" w:rsidRPr="009E5836">
        <w:t>160</w:t>
      </w:r>
      <w:r w:rsidR="009E5836">
        <w:t xml:space="preserve"> males</w:t>
      </w:r>
      <w:r>
        <w:t>)</w:t>
      </w:r>
      <w:r w:rsidR="00B758F9">
        <w:t xml:space="preserve">, in which genetic variants associated with HbA1c in the SGLT2 region were selected as instruments. For the validation MR, a set of genetic variants associated with both HbA1c and expression levels of SGLT2 (data from </w:t>
      </w:r>
      <w:r>
        <w:t xml:space="preserve">the GTEX and eQTLGen consortia </w:t>
      </w:r>
      <w:r w:rsidR="00B758F9">
        <w:t>[</w:t>
      </w:r>
      <w:r w:rsidRPr="00F576A8">
        <w:t>N≤31,684</w:t>
      </w:r>
      <w:r w:rsidR="00B758F9">
        <w:t>]</w:t>
      </w:r>
      <w:r>
        <w:fldChar w:fldCharType="begin"/>
      </w:r>
      <w:r w:rsidR="00052B0E">
        <w:instrText xml:space="preserve"> ADDIN ZOTERO_ITEM CSL_CITATION {"citationID":"HwNNJ3tj","properties":{"formattedCitation":"\\super 2\\nosupersub{}","plainCitation":"2","noteIndex":0},"citationItems":[{"id":"xmpeSjVn/GPufD5fc","uris":["http://zotero.org/users/local/ONYY32YX/items/9A2QVV7I"],"itemData":{"id":63114,"type":"article-journal","abstract":"The Genotype-Tissue Expression (GTEx) project was established to\ncharacterize genetic effects on the transcriptome across human tissues and\nto link these regulatory mechanisms to trait and disease associations.\nHere, we present analyses of the version 8 data, examining 15,201\nRNA-sequencing samples from 49 tissues of 838 postmortem donors. We\ncomprehensively characterize genetic associations for gene expression and\nsplicing in cis and trans, showing that regulatory associations are found\nfor almost all genes, and describe the underlying molecular mechanisms and\ntheir contribution to allelic heterogeneity and pleiotropy of complex\ntraits. Leveraging the large diversity of tissues, we provide insights\ninto the tissue specificity of genetic effects and show that cell type\ncomposition is a key factor in understanding gene regulatory mechanisms in\nhuman tissues.","container-title":"Science","DOI":"10.1126/science.aaz1776","ISSN":"0036-8075","issue":"6509","page":"1318-1330","title":"The GTEx Consortium atlas of genetic regulatory effects across human tissues","volume":"369","author":[{"literal":"GTEx Consortium"}],"issued":{"date-parts":[["2020",9,11]]}}}],"schema":"https://github.com/citation-style-language/schema/raw/master/csl-citation.json"} </w:instrText>
      </w:r>
      <w:r>
        <w:fldChar w:fldCharType="separate"/>
      </w:r>
      <w:r w:rsidR="00052B0E" w:rsidRPr="00052B0E">
        <w:rPr>
          <w:vertAlign w:val="superscript"/>
        </w:rPr>
        <w:t>2</w:t>
      </w:r>
      <w:r>
        <w:fldChar w:fldCharType="end"/>
      </w:r>
      <w:r w:rsidRPr="00145552">
        <w:rPr>
          <w:vertAlign w:val="superscript"/>
        </w:rPr>
        <w:t>,</w:t>
      </w:r>
      <w:r>
        <w:rPr>
          <w:vertAlign w:val="superscript"/>
        </w:rPr>
        <w:fldChar w:fldCharType="begin"/>
      </w:r>
      <w:r w:rsidR="00052B0E">
        <w:rPr>
          <w:vertAlign w:val="superscript"/>
        </w:rPr>
        <w:instrText xml:space="preserve"> ADDIN ZOTERO_ITEM CSL_CITATION {"citationID":"L5FLBpM4","properties":{"formattedCitation":"\\super 3\\nosupersub{}","plainCitation":"3","noteIndex":0},"citationItems":[{"id":"xmpeSjVn/Jg2c6zC8","uris":["http://zotero.org/users/local/ONYY32YX/items/UV6H253F"],"itemData":{"id":123775,"type":"article-journal","abstract":"Trait-associated genetic variants affect complex phenotypes primarily via regulatory mechanisms on the transcriptome. To investigate the genetics of gene expression, we performed cis- and trans-expression quantitative trait locus (eQTL) analyses using blood-derived expression from 31,684 individuals through the eQTLGen Consortium. We detected cis-eQTL for 88% of genes, and these were replicable in numerous tissues. Distal trans-eQTL (detected for 37% of 10,317 trait-associated variants tested) showed lower replication rates, partially due to low replication power and confounding by cell type composition. However, replication analyses in single-cell RNA-seq data prioritized intracellular trans-eQTL. Trans-eQTL exerted their effects via several mechanisms, primarily through regulation by transcription factors. Expression of 13% of the genes correlated with polygenic scores for 1,263 phenotypes, pinpointing potential drivers for those traits. In summary, this work represents a large eQTL resource, and its results serve as a starting point for in-depth interpretation of complex phenotypes.","container-title":"Nat. Genet.","DOI":"10.1038/s41588-021-00913-z","ISSN":"1061-4036","issue":"9","page":"1300-1310","title":"Large-scale cis- and trans-eQTL analyses identify thousands of genetic loci and polygenic scores that regulate blood gene expression","volume":"53","author":[{"family":"Võsa","given":"Urmo"},{"family":"Claringbould","given":"Annique"},{"family":"Westra","given":"Harm-Jan"},{"family":"Bonder","given":"Marc Jan"},{"family":"Deelen","given":"Patrick"},{"family":"Zeng","given":"Biao"},{"family":"Kirsten","given":"Holger"},{"family":"Saha","given":"Ashis"},{"family":"Kreuzhuber","given":"Roman"},{"family":"Yazar","given":"Seyhan"},{"family":"Brugge","given":"Harm"},{"family":"Oelen","given":"Roy"},{"family":"Vries","given":"Dylan H","non-dropping-particle":"de"},{"family":"Wijst","given":"Monique G P","non-dropping-particle":"van der"},{"family":"Kasela","given":"Silva"},{"family":"Pervjakova","given":"Natalia"},{"family":"Alves","given":"Isabel"},{"family":"Favé","given":"Marie-Julie"},{"family":"Agbessi","given":"Mawussé"},{"family":"Christiansen","given":"Mark W"},{"family":"Jansen","given":"Rick"},{"family":"Seppälä","given":"Ilkka"},{"family":"Tong","given":"Lin"},{"family":"Teumer","given":"Alexander"},{"family":"Schramm","given":"Katharina"},{"family":"Hemani","given":"Gibran"},{"family":"Verlouw","given":"Joost"},{"family":"Yaghootkar","given":"Hanieh"},{"family":"Sönmez Flitman","given":"Reyhan"},{"family":"Brown","given":"Andrew"},{"family":"Kukushkina","given":"Viktorija"},{"family":"Kalnapenkis","given":"Anette"},{"family":"Rüeger","given":"Sina"},{"family":"Porcu","given":"Eleonora"},{"family":"Kronberg","given":"Jaanika"},{"family":"Kettunen","given":"Johannes"},{"family":"Lee","given":"Bernett"},{"family":"Zhang","given":"Futao"},{"family":"Qi","given":"Ting"},{"family":"Hernandez","given":"Jose Alquicira"},{"family":"Arindrarto","given":"Wibowo"},{"family":"Beutner","given":"Frank"},{"literal":"BIOS Consortium"},{"literal":"i2QTL Consortium"},{"family":"Dmitrieva","given":"Julia"},{"family":"Elansary","given":"Mahmoud"},{"family":"Fairfax","given":"Benjamin P"},{"family":"Georges","given":"Michel"},{"family":"Heijmans","given":"Bastiaan T"},{"family":"Hewitt","given":"Alex W"},{"family":"Kähönen","given":"Mika"},{"family":"Kim","given":"Yungil"},{"family":"Knight","given":"Julian C"},{"family":"Kovacs","given":"Peter"},{"family":"Krohn","given":"Knut"},{"family":"Li","given":"Shuang"},{"family":"Loeffler","given":"Markus"},{"family":"Marigorta","given":"Urko M"},{"family":"Mei","given":"Hailang"},{"family":"Momozawa","given":"Yukihide"},{"family":"Müller-Nurasyid","given":"Martina"},{"family":"Nauck","given":"Matthias"},{"family":"Nivard","given":"Michel G"},{"family":"Penninx","given":"Brenda W J H"},{"family":"Pritchard","given":"Jonathan K"},{"family":"Raitakari","given":"Olli T"},{"family":"Rotzschke","given":"Olaf"},{"family":"Slagboom","given":"Eline P"},{"family":"Stehouwer","given":"Coen D A"},{"family":"Stumvoll","given":"Michael"},{"family":"Sullivan","given":"Patrick"},{"family":"Hoen","given":"Peter A C","non-dropping-particle":"'t"},{"family":"Thiery","given":"Joachim"},{"family":"Tönjes","given":"Anke"},{"family":"Dongen","given":"Jenny","non-dropping-particle":"van"},{"family":"Iterson","given":"Maarten","non-dropping-particle":"van"},{"family":"Veldink","given":"Jan H"},{"family":"Völker","given":"Uwe"},{"family":"Warmerdam","given":"Robert"},{"family":"Wijmenga","given":"Cisca"},{"family":"Swertz","given":"Morris"},{"family":"Andiappan","given":"Anand"},{"family":"Montgomery","given":"Grant W"},{"family":"Ripatti","given":"Samuli"},{"family":"Perola","given":"Markus"},{"family":"Kutalik","given":"Zoltan"},{"family":"Dermitzakis","given":"Emmanouil"},{"family":"Bergmann","given":"Sven"},{"family":"Frayling","given":"Timothy"},{"family":"Meurs","given":"Joyce","non-dropping-particle":"van"},{"family":"Prokisch","given":"Holger"},{"family":"Ahsan","given":"Habibul"},{"family":"Pierce","given":"Brandon L"},{"family":"Lehtimäki","given":"Terho"},{"family":"Boomsma","given":"Dorret I"},{"family":"Psaty","given":"Bruce M"},{"family":"Gharib","given":"Sina A"},{"family":"Awadalla","given":"Philip"},{"family":"Milani","given":"Lili"},{"family":"Ouwehand","given":"Willem H"},{"family":"Downes","given":"Kate"},{"family":"Stegle","given":"Oliver"},{"family":"Battle","given":"Alexis"},{"family":"Visscher","given":"Peter M"},{"family":"Yang","given":"Jian"},{"family":"Scholz","given":"Markus"},{"family":"Powell","given":"Joseph"},{"family":"Gibson","given":"Greg"},{"family":"Esko","given":"Tõnu"},{"family":"Franke","given":"Lude"}],"issued":{"date-parts":[["2021",9]]}}}],"schema":"https://github.com/citation-style-language/schema/raw/master/csl-citation.json"} </w:instrText>
      </w:r>
      <w:r>
        <w:rPr>
          <w:vertAlign w:val="superscript"/>
        </w:rPr>
        <w:fldChar w:fldCharType="separate"/>
      </w:r>
      <w:r w:rsidR="00052B0E" w:rsidRPr="00052B0E">
        <w:rPr>
          <w:vertAlign w:val="superscript"/>
        </w:rPr>
        <w:t>3</w:t>
      </w:r>
      <w:r>
        <w:rPr>
          <w:vertAlign w:val="superscript"/>
        </w:rPr>
        <w:fldChar w:fldCharType="end"/>
      </w:r>
      <w:r w:rsidR="00B758F9">
        <w:t>).</w:t>
      </w:r>
      <w:r w:rsidR="00D343EE">
        <w:t xml:space="preserve"> </w:t>
      </w:r>
    </w:p>
    <w:p w14:paraId="63B95266" w14:textId="6DAED0F4" w:rsidR="00FB1A90" w:rsidRDefault="00FB1A90" w:rsidP="00833F76">
      <w:pPr>
        <w:spacing w:line="360" w:lineRule="auto"/>
        <w:jc w:val="both"/>
      </w:pPr>
    </w:p>
    <w:p w14:paraId="66931381" w14:textId="6408BE6D" w:rsidR="001D5865" w:rsidRDefault="001D5865" w:rsidP="00833F76">
      <w:pPr>
        <w:spacing w:line="360" w:lineRule="auto"/>
        <w:jc w:val="both"/>
      </w:pPr>
      <w:r>
        <w:t xml:space="preserve">For </w:t>
      </w:r>
      <w:r w:rsidR="00B758F9">
        <w:t xml:space="preserve">independent validation </w:t>
      </w:r>
      <w:r>
        <w:t>MR analyses, the GWAS of HbA</w:t>
      </w:r>
      <w:r w:rsidRPr="00F84F98">
        <w:rPr>
          <w:vertAlign w:val="subscript"/>
        </w:rPr>
        <w:t>1c</w:t>
      </w:r>
      <w:r>
        <w:t xml:space="preserve"> level</w:t>
      </w:r>
      <w:r w:rsidR="005350B4">
        <w:t>s</w:t>
      </w:r>
      <w:r>
        <w:t xml:space="preserve"> from the MAGIC consortium</w:t>
      </w:r>
      <w:r>
        <w:fldChar w:fldCharType="begin"/>
      </w:r>
      <w:r w:rsidR="00052B0E">
        <w:instrText xml:space="preserve"> ADDIN ZOTERO_ITEM CSL_CITATION {"citationID":"m0neSHLE","properties":{"formattedCitation":"\\super 4\\nosupersub{}","plainCitation":"4","noteIndex":0},"citationItems":[{"id":"xmpeSjVn/UUN3pZY3","uris":["http://zotero.org/users/local/ONYY32YX/items/HCUACU2N"],"itemData":{"id":80570,"type":"article-journal","abstract":"Glycemic traits are used to diagnose and monitor type 2 diabetes and\ncardiometabolic health. To date, most genetic studies of glycemic traits\nhave focused on individuals of European ancestry. Here we aggregated\ngenome-wide association studies comprising up to 281,416 individuals\nwithout diabetes (30% non-European ancestry) for whom fasting glucose, 2-h\nglucose after an oral glucose challenge, glycated hemoglobin and fasting\ninsulin data were available. Trans-ancestry and single-ancestry\nmeta-analyses identified 242 loci (99 novel; P &lt; 5 × 10-8), 80% of which\nhad no significant evidence of between-ancestry heterogeneity. Analyses\nrestricted to individuals of European ancestry with equivalent sample size\nwould have led to 24 fewer new loci. Compared with single-ancestry\nanalyses, equivalent-sized trans-ancestry fine-mapping reduced the number\nof estimated variants in 99% credible sets by a median of 37.5%.\nGenomic-feature, gene-expression and gene-set analyses revealed distinct\nbiological signatures for each trait, highlighting different underlying\nbiological pathways. Our results increase our understanding of diabetes\npathophysiology by using trans-ancestry studies for improved power and\nresolution.","container-title":"Nat. Genet.","DOI":"10.1038/s41588-021-00852-9","ISSN":"1061-4036","issue":"6","page":"840-860","title":"The trans-ancestral genomic architecture of glycemic traits","volume":"53","author":[{"family":"Chen","given":"Ji"},{"family":"Spracklen","given":"Cassandra N"},{"family":"Marenne","given":"Gaëlle"},{"family":"Varshney","given":"Arushi"},{"family":"Corbin","given":"Laura J"},{"family":"Luan","given":"Jian'an"},{"family":"Willems","given":"Sara M"},{"family":"Wu","given":"Ying"},{"family":"Zhang","given":"Xiaoshuai"},{"family":"Horikoshi","given":"Momoko"},{"family":"Boutin","given":"Thibaud S"},{"family":"Mägi","given":"Reedik"},{"family":"Waage","given":"Johannes"},{"family":"Li-Gao","given":"Ruifang"},{"family":"Chan","given":"Kei Hang Katie"},{"family":"Yao","given":"Jie"},{"family":"Anasanti","given":"Mila D"},{"family":"Chu","given":"Audrey Y"},{"family":"Claringbould","given":"Annique"},{"family":"Heikkinen","given":"Jani"},{"family":"Hong","given":"Jaeyoung"},{"family":"Hottenga","given":"Jouke-Jan"},{"family":"Huo","given":"Shaofeng"},{"family":"Kaakinen","given":"Marika A"},{"family":"Louie","given":"Tin"},{"family":"März","given":"Winfried"},{"family":"Moreno-Macias","given":"Hortensia"},{"family":"Ndungu","given":"Anne"},{"family":"Nelson","given":"Sarah C"},{"family":"Nolte","given":"Ilja M"},{"family":"North","given":"Kari E"},{"family":"Raulerson","given":"Chelsea K"},{"family":"Ray","given":"Debashree"},{"family":"Rohde","given":"Rebecca"},{"family":"Rybin","given":"Denis"},{"family":"Schurmann","given":"Claudia"},{"family":"Sim","given":"Xueling"},{"family":"Southam","given":"Lorraine"},{"family":"Stewart","given":"Isobel D"},{"family":"Wang","given":"Carol A"},{"family":"Wang","given":"Yujie"},{"family":"Wu","given":"Peitao"},{"family":"Zhang","given":"Weihua"},{"family":"Ahluwalia","given":"Tarunveer S"},{"family":"Appel","given":"Emil V R"},{"family":"Bielak","given":"Lawrence F"},{"family":"Brody","given":"Jennifer A"},{"family":"Burtt","given":"Noël P"},{"family":"Cabrera","given":"Claudia P"},{"family":"Cade","given":"Brian E"},{"family":"Chai","given":"Jin Fang"},{"family":"Chai","given":"Xiaoran"},{"family":"Chang","given":"Li-Ching"},{"family":"Chen","given":"Chien-Hsiun"},{"family":"Chen","given":"Brian H"},{"family":"Chitrala","given":"Kumaraswamy Naidu"},{"family":"Chiu","given":"Yen-Feng"},{"family":"Haan","given":"Hugoline G","non-dropping-particle":"de"},{"family":"Delgado","given":"Graciela E"},{"family":"Demirkan","given":"Ayse"},{"family":"Duan","given":"Qing"},{"family":"Engmann","given":"Jorgen"},{"family":"Fatumo","given":"Segun A"},{"family":"Gayán","given":"Javier"},{"family":"Giulianini","given":"Franco"},{"family":"Gong","given":"Jung Ho"},{"family":"Gustafsson","given":"Stefan"},{"family":"Hai","given":"Yang"},{"family":"Hartwig","given":"Fernando P"},{"family":"He","given":"Jing"},{"family":"Heianza","given":"Yoriko"},{"family":"Huang","given":"Tao"},{"family":"Huerta-Chagoya","given":"Alicia"},{"family":"Hwang","given":"Mi Yeong"},{"family":"Jensen","given":"Richard A"},{"family":"Kawaguchi","given":"Takahisa"},{"family":"Kentistou","given":"Katherine A"},{"family":"Kim","given":"Young Jin"},{"family":"Kleber","given":"Marcus E"},{"family":"Kooner","given":"Ishminder K"},{"family":"Lai","given":"Shuiqing"},{"family":"Lange","given":"Leslie A"},{"family":"Langefeld","given":"Carl D"},{"family":"Lauzon","given":"Marie"},{"family":"Li","given":"Man"},{"family":"Ligthart","given":"Symen"},{"family":"Liu","given":"Jun"},{"family":"Loh","given":"Marie"},{"family":"Long","given":"Jirong"},{"family":"Lyssenko","given":"Valeriya"},{"family":"Mangino","given":"Massimo"},{"family":"Marzi","given":"Carola"},{"family":"Montasser","given":"May E"},{"family":"Nag","given":"Abhishek"},{"family":"Nakatochi","given":"Masahiro"},{"family":"Noce","given":"Damia"},{"family":"Noordam","given":"Raymond"},{"family":"Pistis","given":"Giorgio"},{"family":"Preuss","given":"Michael"},{"family":"Raffield","given":"Laura"},{"family":"Rasmussen-Torvik","given":"Laura J"},{"family":"Rich","given":"Stephen S"},{"family":"Robertson","given":"Neil R"},{"family":"Rueedi","given":"Rico"},{"family":"Ryan","given":"Kathleen"},{"family":"Sanna","given":"Serena"},{"family":"Saxena","given":"Richa"},{"family":"Schraut","given":"Katharina E"},{"family":"Sennblad","given":"Bengt"},{"family":"Setoh","given":"Kazuya"},{"family":"Smith","given":"Albert V"},{"family":"Sparsø","given":"Thomas"},{"family":"Strawbridge","given":"Rona J"},{"family":"Takeuchi","given":"Fumihiko"},{"family":"Tan","given":"Jingyi"},{"family":"Trompet","given":"Stella"},{"family":"Akker","given":"Erik","non-dropping-particle":"van den"},{"family":"Most","given":"Peter J","non-dropping-particle":"van der"},{"family":"Verweij","given":"Niek"},{"family":"Vogel","given":"Mandy"},{"family":"Wang","given":"Heming"},{"family":"Wang","given":"Chaolong"},{"family":"Wang","given":"Nan"},{"family":"Warren","given":"Helen R"},{"family":"Wen","given":"Wanqing"},{"family":"Wilsgaard","given":"Tom"},{"family":"Wong","given":"Andrew"},{"family":"Wood","given":"Andrew R"},{"family":"Xie","given":"Tian"},{"family":"Zafarmand","given":"Mohammad Hadi"},{"family":"Zhao","given":"Jing-Hua"},{"family":"Zhao","given":"Wei"},{"family":"Amin","given":"Najaf"},{"family":"Arzumanyan","given":"Zorayr"},{"family":"Astrup","given":"Arne"},{"family":"Bakker","given":"Stephan J L"},{"family":"Baldassarre","given":"Damiano"},{"family":"Beekman","given":"Marian"},{"family":"Bergman","given":"Richard N"},{"family":"Bertoni","given":"Alain"},{"family":"Blüher","given":"Matthias"},{"family":"Bonnycastle","given":"Lori L"},{"family":"Bornstein","given":"Stefan R"},{"family":"Bowden","given":"Donald W"},{"family":"Cai","given":"Qiuyin"},{"family":"Campbell","given":"Archie"},{"family":"Campbell","given":"Harry"},{"family":"Chang","given":"Yi Cheng"},{"family":"Geus","given":"Eco J C","non-dropping-particle":"de"},{"family":"Dehghan","given":"Abbas"},{"family":"Du","given":"Shufa"},{"family":"Eiriksdottir","given":"Gudny"},{"family":"Farmaki","given":"Aliki Eleni"},{"family":"Frånberg","given":"Mattias"},{"family":"Fuchsberger","given":"Christian"},{"family":"Gao","given":"Yutang"},{"family":"Gjesing","given":"Anette P"},{"family":"Goel","given":"Anuj"},{"family":"Han","given":"Sohee"},{"family":"Hartman","given":"Catharina A"},{"family":"Herder","given":"Christian"},{"family":"Hicks","given":"Andrew A"},{"family":"Hsieh","given":"Chang-Hsun"},{"family":"Hsueh","given":"Willa A"},{"family":"Ichihara","given":"Sahoko"},{"family":"Igase","given":"Michiya"},{"family":"Ikram","given":"M Arfan"},{"family":"Johnson","given":"W Craig"},{"family":"Jørgensen","given":"Marit E"},{"family":"Joshi","given":"Peter K"},{"family":"Kalyani","given":"Rita R"},{"family":"Kandeel","given":"Fouad R"},{"family":"Katsuya","given":"Tomohiro"},{"family":"Khor","given":"Chiea Chuen"},{"family":"Kiess","given":"Wieland"},{"family":"Kolcic","given":"Ivana"},{"family":"Kuulasmaa","given":"Teemu"},{"family":"Kuusisto","given":"Johanna"},{"family":"Läll","given":"Kristi"},{"family":"Lam","given":"Kelvin"},{"family":"Lawlor","given":"Deborah A"},{"family":"Lee","given":"Nanette R"},{"family":"Lemaitre","given":"Rozenn N"},{"family":"Li","given":"Honglan"},{"literal":"Lifelines Cohort Study"},{"family":"Lin","given":"Shih-Yi"},{"family":"Lindström","given":"Jaana"},{"family":"Linneberg","given":"Allan"},{"family":"Liu","given":"Jianjun"},{"family":"Lorenzo","given":"Carlos"},{"family":"Matsubara","given":"Tatsuaki"},{"family":"Matsuda","given":"Fumihiko"},{"family":"Mingrone","given":"Geltrude"},{"family":"Mooijaart","given":"Simon"},{"family":"Moon","given":"Sanghoon"},{"family":"Nabika","given":"Toru"},{"family":"Nadkarni","given":"Girish N"},{"family":"Nadler","given":"Jerry L"},{"family":"Nelis","given":"Mari"},{"family":"Neville","given":"Matt J"},{"family":"Norris","given":"Jill M"},{"family":"Ohyagi","given":"Yasumasa"},{"family":"Peters","given":"Annette"},{"family":"Peyser","given":"Patricia A"},{"family":"Polasek","given":"Ozren"},{"family":"Qi","given":"Qibin"},{"family":"Raven","given":"Dennis"},{"family":"Reilly","given":"Dermot F"},{"family":"Reiner","given":"Alex"},{"family":"Rivideneira","given":"Fernando"},{"family":"Roll","given":"Kathryn"},{"family":"Rudan","given":"Igor"},{"family":"Sabanayagam","given":"Charumathi"},{"family":"Sandow","given":"Kevin"},{"family":"Sattar","given":"Naveed"},{"family":"Schürmann","given":"Annette"},{"family":"Shi","given":"Jinxiu"},{"family":"Stringham","given":"Heather M"},{"family":"Taylor","given":"Kent D"},{"family":"Teslovich","given":"Tanya M"},{"family":"Thuesen","given":"Betina"},{"family":"Timmers","given":"Paul R H J"},{"family":"Tremoli","given":"Elena"},{"family":"Tsai","given":"Michael Y"},{"family":"Uitterlinden","given":"Andre"},{"family":"Dam","given":"Rob M","non-dropping-particle":"van"},{"family":"Heemst","given":"Diana","non-dropping-particle":"van"},{"family":"Hylckama Vlieg","given":"Astrid","non-dropping-particle":"van"},{"family":"Vliet-Ostaptchouk","given":"Jana V","non-dropping-particle":"van"},{"family":"Vangipurapu","given":"Jagadish"},{"family":"Vestergaard","given":"Henrik"},{"family":"Wang","given":"Tao"},{"family":"Willems van Dijk","given":"Ko"},{"family":"Zemunik","given":"Tatijana"},{"family":"Abecasis","given":"Gonçalo R"},{"family":"Adair","given":"Linda S"},{"family":"Aguilar-Salinas","given":"Carlos Alberto"},{"family":"Alarcón-Riquelme","given":"Marta E"},{"family":"An","given":"Ping"},{"family":"Aviles-Santa","given":"Larissa"},{"family":"Becker","given":"Diane M"},{"family":"Beilin","given":"Lawrence J"},{"family":"Bergmann","given":"Sven"},{"family":"Bisgaard","given":"Hans"},{"family":"Black","given":"Corri"},{"family":"Boehnke","given":"Michael"},{"family":"Boerwinkle","given":"Eric"},{"family":"Böhm","given":"Bernhard O"},{"family":"Bønnelykke","given":"Klaus"},{"family":"Boomsma","given":"D I"},{"family":"Bottinger","given":"Erwin P"},{"family":"Buchanan","given":"Thomas A"},{"family":"Canouil","given":"Mickaël"},{"family":"Caulfield","given":"Mark J"},{"family":"Chambers","given":"John C"},{"family":"Chasman","given":"Daniel I"},{"family":"Chen","given":"Yii-Der Ida"},{"family":"Cheng","given":"Ching-Yu"},{"family":"Collins","given":"Francis S"},{"family":"Correa","given":"Adolfo"},{"family":"Cucca","given":"Francesco"},{"family":"Silva","given":"H Janaka","non-dropping-particle":"de"},{"family":"Dedoussis","given":"George"},{"family":"Elmståhl","given":"Sölve"},{"family":"Evans","given":"Michele K"},{"family":"Ferrannini","given":"Ele"},{"family":"Ferrucci","given":"Luigi"},{"family":"Florez","given":"Jose C"},{"family":"Franks","given":"Paul W"},{"family":"Frayling","given":"Timothy M"},{"family":"Froguel","given":"Philippe"},{"family":"Gigante","given":"Bruna"},{"family":"Goodarzi","given":"Mark O"},{"family":"Gordon-Larsen","given":"Penny"},{"family":"Grallert","given":"Harald"},{"family":"Grarup","given":"Niels"},{"family":"Grimsgaard","given":"Sameline"},{"family":"Groop","given":"Leif"},{"family":"Gudnason","given":"Vilmundur"},{"family":"Guo","given":"Xiuqing"},{"family":"Hamsten","given":"Anders"},{"family":"Hansen","given":"Torben"},{"family":"Hayward","given":"Caroline"},{"family":"Heckbert","given":"Susan R"},{"family":"Horta","given":"Bernardo L"},{"family":"Huang","given":"Wei"},{"family":"Ingelsson","given":"Erik"},{"family":"James","given":"Pankow S"},{"family":"Jarvelin","given":"Marjo-Ritta"},{"family":"Jonas","given":"Jost B"},{"family":"Jukema","given":"J Wouter"},{"family":"Kaleebu","given":"Pontiano"},{"family":"Kaplan","given":"Robert"},{"family":"Kardia","given":"Sharon L R"},{"family":"Kato","given":"Norihiro"},{"family":"Keinanen-Kiukaanniemi","given":"Sirkka M"},{"family":"Kim","given":"Bong-Jo"},{"family":"Kivimaki","given":"Mika"},{"family":"Koistinen","given":"Heikki A"},{"family":"Kooner","given":"Jaspal S"},{"family":"Körner","given":"Antje"},{"family":"Kovacs","given":"Peter"},{"family":"Kuh","given":"Diana"},{"family":"Kumari","given":"Meena"},{"family":"Kutalik","given":"Zoltan"},{"family":"Laakso","given":"Markku"},{"family":"Lakka","given":"Timo A"},{"family":"Launer","given":"Lenore J"},{"family":"Leander","given":"Karin"},{"family":"Li","given":"Huaixing"},{"family":"Lin","given":"Xu"},{"family":"Lind","given":"Lars"},{"family":"Lindgren","given":"Cecilia"},{"family":"Liu","given":"Simin"},{"family":"Loos","given":"Ruth J F"},{"family":"Magnusson","given":"Patrik K E"},{"family":"Mahajan","given":"Anubha"},{"family":"Metspalu","given":"Andres"},{"family":"Mook-Kanamori","given":"Dennis O"},{"family":"Mori","given":"Trevor A"},{"family":"Munroe","given":"Patricia B"},{"family":"Njølstad","given":"Inger"},{"family":"O'Connell","given":"Jeffrey R"},{"family":"Oldehinkel","given":"Albertine J"},{"family":"Ong","given":"Ken K"},{"family":"Padmanabhan","given":"Sandosh"},{"family":"Palmer","given":"Colin N A"},{"family":"Palmer","given":"Nicholette D"},{"family":"Pedersen","given":"Oluf"},{"family":"Pennell","given":"Craig E"},{"family":"Porteous","given":"David J"},{"family":"Pramstaller","given":"Peter P"},{"family":"Province","given":"Michael A"},{"family":"Psaty","given":"Bruce M"},{"family":"Qi","given":"Lu"},{"family":"Raffel","given":"Leslie J"},{"family":"Rauramaa","given":"Rainer"},{"family":"Redline","given":"Susan"},{"family":"Ridker","given":"Paul M"},{"family":"Rosendaal","given":"Frits R"},{"family":"Saaristo","given":"Timo E"},{"family":"Sandhu","given":"Manjinder"},{"family":"Saramies","given":"Jouko"},{"family":"Schneiderman","given":"Neil"},{"family":"Schwarz","given":"Peter"},{"family":"Scott","given":"Laura J"},{"family":"Selvin","given":"Elizabeth"},{"family":"Sever","given":"Peter"},{"family":"Shu","given":"Xiao-Ou"},{"family":"Slagboom","given":"P Eline"},{"family":"Small","given":"Kerrin S"},{"family":"Smith","given":"Blair H"},{"family":"Snieder","given":"Harold"},{"family":"Sofer","given":"Tamar"},{"family":"Sørensen","given":"Thorkild I A"},{"family":"Spector","given":"Tim D"},{"family":"Stanton","given":"Alice"},{"family":"Steves","given":"Claire J"},{"family":"Stumvoll","given":"Michael"},{"family":"Sun","given":"Liang"},{"family":"Tabara","given":"Yasuharu"},{"family":"Tai","given":"E Shyong"},{"family":"Timpson","given":"Nicholas J"},{"family":"Tönjes","given":"Anke"},{"family":"Tuomilehto","given":"Jaakko"},{"family":"Tusie","given":"Teresa"},{"family":"Uusitupa","given":"Matti"},{"family":"Harst","given":"Pim","non-dropping-particle":"van der"},{"family":"Duijn","given":"Cornelia","non-dropping-particle":"van"},{"family":"Vitart","given":"Veronique"},{"family":"Vollenweider","given":"Peter"},{"family":"Vrijkotte","given":"Tanja G M"},{"family":"Wagenknecht","given":"Lynne E"},{"family":"Walker","given":"Mark"},{"family":"Wang","given":"Ya X"},{"family":"Wareham","given":"Nick J"},{"family":"Watanabe","given":"Richard M"},{"family":"Watkins","given":"Hugh"},{"family":"Wei","given":"Wen B"},{"family":"Wickremasinghe","given":"Ananda R"},{"family":"Willemsen","given":"Gonneke"},{"family":"Wilson","given":"James F"},{"family":"Wong","given":"Tien-Yin"},{"family":"Wu","given":"Jer-Yuarn"},{"family":"Xiang","given":"Anny H"},{"family":"Yanek","given":"Lisa R"},{"family":"Yengo","given":"Loïc"},{"family":"Yokota","given":"Mitsuhiro"},{"family":"Zeggini","given":"Eleftheria"},{"family":"Zheng","given":"Wei"},{"family":"Zonderman","given":"Alan B"},{"family":"Rotter","given":"Jerome I"},{"family":"Gloyn","given":"Anna L"},{"family":"McCarthy","given":"Mark I"},{"family":"Dupuis","given":"Josée"},{"family":"Meigs","given":"James B"},{"family":"Scott","given":"Robert A"},{"family":"Prokopenko","given":"Inga"},{"family":"Leong","given":"Aaron"},{"family":"Liu","given":"Ching-Ti"},{"family":"Parker","given":"Stephen C J"},{"family":"Mohlke","given":"Karen L"},{"family":"Langenberg","given":"Claudia"},{"family":"Wheeler","given":"Eleanor"},{"family":"Morris","given":"Andrew P"},{"family":"Barroso","given":"Inês"},{"literal":"Meta-Analysis of Glucose and Insulin-related Traits Consortium (MAGIC)"}],"issued":{"date-parts":[["2021",6]]}}}],"schema":"https://github.com/citation-style-language/schema/raw/master/csl-citation.json"} </w:instrText>
      </w:r>
      <w:r>
        <w:fldChar w:fldCharType="separate"/>
      </w:r>
      <w:r w:rsidR="00052B0E" w:rsidRPr="00052B0E">
        <w:rPr>
          <w:vertAlign w:val="superscript"/>
        </w:rPr>
        <w:t>4</w:t>
      </w:r>
      <w:r>
        <w:fldChar w:fldCharType="end"/>
      </w:r>
      <w:r>
        <w:t xml:space="preserve"> were used</w:t>
      </w:r>
      <w:r w:rsidR="00E414A7">
        <w:t xml:space="preserve">. The primary </w:t>
      </w:r>
      <w:r w:rsidR="005135CF">
        <w:t xml:space="preserve">MAGIC </w:t>
      </w:r>
      <w:r w:rsidR="00E414A7">
        <w:t xml:space="preserve">GWAS was a trans-ancestry meta-analysis, </w:t>
      </w:r>
      <w:r w:rsidR="005350B4">
        <w:t xml:space="preserve">for </w:t>
      </w:r>
      <w:r w:rsidR="00E414A7">
        <w:t xml:space="preserve">which we consider population structure may </w:t>
      </w:r>
      <w:r w:rsidR="005326BA">
        <w:t xml:space="preserve">be a confounder to </w:t>
      </w:r>
      <w:r w:rsidR="00E414A7">
        <w:t xml:space="preserve">bias the </w:t>
      </w:r>
      <w:r w:rsidR="005326BA">
        <w:t>MR estimates. We therefore used the European</w:t>
      </w:r>
      <w:r w:rsidR="005135CF">
        <w:t>-</w:t>
      </w:r>
      <w:r w:rsidR="005326BA">
        <w:t xml:space="preserve">only GWAS results from </w:t>
      </w:r>
      <w:r w:rsidRPr="005E56D8">
        <w:t>146</w:t>
      </w:r>
      <w:r>
        <w:t>,</w:t>
      </w:r>
      <w:r w:rsidRPr="005E56D8">
        <w:t>806</w:t>
      </w:r>
      <w:r w:rsidR="005326BA">
        <w:t xml:space="preserve"> European individuals. In addition, since the genetic effects of the MAGIC HbA</w:t>
      </w:r>
      <w:r w:rsidR="005326BA" w:rsidRPr="00F84F98">
        <w:rPr>
          <w:vertAlign w:val="subscript"/>
        </w:rPr>
        <w:t>1c</w:t>
      </w:r>
      <w:r w:rsidR="005326BA">
        <w:t xml:space="preserve"> GWAS was scaled to percentage unit</w:t>
      </w:r>
      <w:r>
        <w:t xml:space="preserve"> </w:t>
      </w:r>
      <w:r w:rsidR="005326BA">
        <w:t>in the original study. We conducted a beta transformation for the genetic effects of HbA</w:t>
      </w:r>
      <w:r w:rsidR="005326BA" w:rsidRPr="00F84F98">
        <w:rPr>
          <w:vertAlign w:val="subscript"/>
        </w:rPr>
        <w:t>1c</w:t>
      </w:r>
      <w:r w:rsidR="005326BA">
        <w:t>. After transformation, the unit of HbA</w:t>
      </w:r>
      <w:r w:rsidR="005326BA" w:rsidRPr="00F84F98">
        <w:rPr>
          <w:vertAlign w:val="subscript"/>
        </w:rPr>
        <w:t>1c</w:t>
      </w:r>
      <w:r w:rsidR="005326BA">
        <w:t xml:space="preserve"> GWAS was changed to standard deviation </w:t>
      </w:r>
      <w:r w:rsidR="00ED4E06">
        <w:t xml:space="preserve">(SD) decreasing </w:t>
      </w:r>
      <w:r w:rsidR="005326BA">
        <w:t>unit. By applying this transformation, the MR effect estimates were comparable between UK Biobank and MAGIC.</w:t>
      </w:r>
      <w:r w:rsidR="00ED4E06">
        <w:t xml:space="preserve"> In addition, For the MAGIC GWAS, individuals with type 1 or type 2 diabetes, with usage of diabetes-relevant medications or has a fasting glucose </w:t>
      </w:r>
      <w:r w:rsidR="00ED4E06" w:rsidRPr="00AA5B30">
        <w:t>7 mmol l</w:t>
      </w:r>
      <w:r w:rsidR="00ED4E06" w:rsidRPr="00AA5B30">
        <w:rPr>
          <w:vertAlign w:val="superscript"/>
        </w:rPr>
        <w:t>−1</w:t>
      </w:r>
      <w:r w:rsidR="00ED4E06" w:rsidRPr="00AA5B30">
        <w:t xml:space="preserve">, </w:t>
      </w:r>
      <w:r w:rsidR="00ED4E06">
        <w:t>2-hour glucose</w:t>
      </w:r>
      <w:r w:rsidR="00ED4E06" w:rsidRPr="00AA5B30">
        <w:t> ≥ 11.1 mmol l</w:t>
      </w:r>
      <w:r w:rsidR="00ED4E06" w:rsidRPr="00AA5B30">
        <w:rPr>
          <w:vertAlign w:val="superscript"/>
        </w:rPr>
        <w:t xml:space="preserve">−1 </w:t>
      </w:r>
      <w:r w:rsidR="00ED4E06" w:rsidRPr="00AA5B30">
        <w:t>or HbA</w:t>
      </w:r>
      <w:r w:rsidR="00ED4E06" w:rsidRPr="000048B3">
        <w:rPr>
          <w:vertAlign w:val="subscript"/>
        </w:rPr>
        <w:t>1c</w:t>
      </w:r>
      <w:r w:rsidR="00ED4E06" w:rsidRPr="00AA5B30">
        <w:t> ≥ 6.5%</w:t>
      </w:r>
      <w:r w:rsidR="00ED4E06">
        <w:t xml:space="preserve"> were excluded from the analysis. </w:t>
      </w:r>
    </w:p>
    <w:p w14:paraId="547AA71C" w14:textId="77777777" w:rsidR="009F2AE0" w:rsidRDefault="009F2AE0" w:rsidP="00833F76">
      <w:pPr>
        <w:jc w:val="both"/>
      </w:pPr>
    </w:p>
    <w:p w14:paraId="40C11632" w14:textId="3106D834" w:rsidR="00F614D3" w:rsidRDefault="00F614D3" w:rsidP="00833F76">
      <w:pPr>
        <w:spacing w:line="360" w:lineRule="auto"/>
        <w:jc w:val="both"/>
        <w:rPr>
          <w:b/>
          <w:bCs/>
          <w:color w:val="000000" w:themeColor="text1"/>
        </w:rPr>
      </w:pPr>
      <w:r w:rsidRPr="009160FE">
        <w:rPr>
          <w:b/>
          <w:bCs/>
          <w:color w:val="000000" w:themeColor="text1"/>
        </w:rPr>
        <w:t>Instrument selection</w:t>
      </w:r>
    </w:p>
    <w:p w14:paraId="355D6B44" w14:textId="44B6B7CC" w:rsidR="00413324" w:rsidRDefault="00F614D3" w:rsidP="00833F76">
      <w:pPr>
        <w:spacing w:line="360" w:lineRule="auto"/>
        <w:jc w:val="both"/>
        <w:rPr>
          <w:color w:val="000000" w:themeColor="text1"/>
        </w:rPr>
      </w:pPr>
      <w:r w:rsidRPr="002214F0">
        <w:rPr>
          <w:color w:val="000000" w:themeColor="text1"/>
        </w:rPr>
        <w:t xml:space="preserve">As demonstrated in </w:t>
      </w:r>
      <w:r w:rsidR="003824BA" w:rsidRPr="003824BA">
        <w:rPr>
          <w:b/>
          <w:bCs/>
          <w:color w:val="000000" w:themeColor="text1"/>
        </w:rPr>
        <w:t>Supplementary</w:t>
      </w:r>
      <w:r w:rsidR="003824BA" w:rsidRPr="003824BA">
        <w:rPr>
          <w:color w:val="000000" w:themeColor="text1"/>
        </w:rPr>
        <w:t xml:space="preserve"> </w:t>
      </w:r>
      <w:r w:rsidRPr="002214F0">
        <w:rPr>
          <w:b/>
          <w:bCs/>
          <w:color w:val="000000" w:themeColor="text1"/>
        </w:rPr>
        <w:t>Figure 1</w:t>
      </w:r>
      <w:r w:rsidRPr="002214F0">
        <w:rPr>
          <w:color w:val="000000" w:themeColor="text1"/>
        </w:rPr>
        <w:t xml:space="preserve">, we </w:t>
      </w:r>
      <w:r w:rsidR="00E87580">
        <w:rPr>
          <w:color w:val="000000" w:themeColor="text1"/>
        </w:rPr>
        <w:t xml:space="preserve">applied </w:t>
      </w:r>
      <w:r w:rsidR="007022F3">
        <w:rPr>
          <w:color w:val="000000" w:themeColor="text1"/>
        </w:rPr>
        <w:t>three</w:t>
      </w:r>
      <w:r w:rsidR="00E87580">
        <w:rPr>
          <w:color w:val="000000" w:themeColor="text1"/>
        </w:rPr>
        <w:t xml:space="preserve"> instrument selection</w:t>
      </w:r>
      <w:r w:rsidRPr="002214F0">
        <w:rPr>
          <w:color w:val="000000" w:themeColor="text1"/>
        </w:rPr>
        <w:t xml:space="preserve"> </w:t>
      </w:r>
      <w:r w:rsidR="00E87580">
        <w:rPr>
          <w:color w:val="000000" w:themeColor="text1"/>
        </w:rPr>
        <w:t>approaches</w:t>
      </w:r>
      <w:r w:rsidRPr="002214F0">
        <w:rPr>
          <w:color w:val="000000" w:themeColor="text1"/>
        </w:rPr>
        <w:t xml:space="preserve"> to </w:t>
      </w:r>
      <w:r w:rsidR="00E87580">
        <w:rPr>
          <w:color w:val="000000" w:themeColor="text1"/>
        </w:rPr>
        <w:t xml:space="preserve">select </w:t>
      </w:r>
      <w:r w:rsidRPr="002214F0">
        <w:rPr>
          <w:color w:val="000000" w:themeColor="text1"/>
        </w:rPr>
        <w:t>genetic</w:t>
      </w:r>
      <w:r w:rsidR="00E87580">
        <w:rPr>
          <w:color w:val="000000" w:themeColor="text1"/>
        </w:rPr>
        <w:t xml:space="preserve"> instruments</w:t>
      </w:r>
      <w:r w:rsidRPr="002214F0">
        <w:rPr>
          <w:color w:val="000000" w:themeColor="text1"/>
        </w:rPr>
        <w:t xml:space="preserve"> </w:t>
      </w:r>
      <w:r w:rsidR="00E87580">
        <w:rPr>
          <w:color w:val="000000" w:themeColor="text1"/>
        </w:rPr>
        <w:t>for SGLT2</w:t>
      </w:r>
      <w:r w:rsidR="00650D26">
        <w:rPr>
          <w:color w:val="000000" w:themeColor="text1"/>
        </w:rPr>
        <w:t xml:space="preserve"> inhibition</w:t>
      </w:r>
      <w:r w:rsidR="00E87580">
        <w:rPr>
          <w:color w:val="000000" w:themeColor="text1"/>
        </w:rPr>
        <w:t xml:space="preserve"> </w:t>
      </w:r>
      <w:r w:rsidR="007022F3">
        <w:rPr>
          <w:color w:val="000000" w:themeColor="text1"/>
        </w:rPr>
        <w:t>from two independent datasets.</w:t>
      </w:r>
    </w:p>
    <w:p w14:paraId="11402C14" w14:textId="77777777" w:rsidR="00413324" w:rsidRDefault="00413324" w:rsidP="00833F76">
      <w:pPr>
        <w:spacing w:line="360" w:lineRule="auto"/>
        <w:jc w:val="both"/>
        <w:rPr>
          <w:color w:val="000000" w:themeColor="text1"/>
        </w:rPr>
      </w:pPr>
    </w:p>
    <w:p w14:paraId="4D1B1AEB" w14:textId="52198F86" w:rsidR="00A1668B" w:rsidRDefault="00A1668B" w:rsidP="00A1668B">
      <w:pPr>
        <w:spacing w:line="360" w:lineRule="auto"/>
        <w:jc w:val="both"/>
        <w:rPr>
          <w:color w:val="000000" w:themeColor="text1"/>
        </w:rPr>
      </w:pPr>
      <w:r>
        <w:rPr>
          <w:color w:val="000000" w:themeColor="text1"/>
        </w:rPr>
        <w:t>The first approach selected SGLT2 instruments from a classic drug target instrument selection process (primary instruments). The genetic variants associated with HbA</w:t>
      </w:r>
      <w:r w:rsidRPr="000048B3">
        <w:rPr>
          <w:color w:val="000000" w:themeColor="text1"/>
          <w:vertAlign w:val="subscript"/>
        </w:rPr>
        <w:t>1c</w:t>
      </w:r>
      <w:r>
        <w:rPr>
          <w:color w:val="000000" w:themeColor="text1"/>
        </w:rPr>
        <w:t xml:space="preserve"> with a genome-wide association threshold of P&lt;5</w:t>
      </w:r>
      <w:r w:rsidRPr="001336F9">
        <w:t>×</w:t>
      </w:r>
      <w:r>
        <w:rPr>
          <w:color w:val="000000" w:themeColor="text1"/>
        </w:rPr>
        <w:t>10</w:t>
      </w:r>
      <w:r w:rsidRPr="00413324">
        <w:rPr>
          <w:color w:val="000000" w:themeColor="text1"/>
          <w:vertAlign w:val="superscript"/>
        </w:rPr>
        <w:t>-8</w:t>
      </w:r>
      <w:r>
        <w:rPr>
          <w:color w:val="000000" w:themeColor="text1"/>
        </w:rPr>
        <w:t xml:space="preserve"> in the </w:t>
      </w:r>
      <w:r w:rsidRPr="0080190C">
        <w:rPr>
          <w:i/>
          <w:iCs/>
          <w:color w:val="000000" w:themeColor="text1"/>
        </w:rPr>
        <w:t>SLC5A2</w:t>
      </w:r>
      <w:r>
        <w:rPr>
          <w:color w:val="000000" w:themeColor="text1"/>
        </w:rPr>
        <w:t xml:space="preserve"> gene region </w:t>
      </w:r>
      <w:r w:rsidR="00FD5067">
        <w:rPr>
          <w:color w:val="000000" w:themeColor="text1"/>
        </w:rPr>
        <w:t xml:space="preserve">(target gene for SGLT2 inhibition) </w:t>
      </w:r>
      <w:r>
        <w:rPr>
          <w:color w:val="000000" w:themeColor="text1"/>
        </w:rPr>
        <w:t>were selected as candidate instruments. After selection, seven variants that proxying SGLT2 inhibition were selected as set 2 instruments for SGLT2 inhibition (</w:t>
      </w:r>
      <w:r w:rsidRPr="007D1EDA">
        <w:rPr>
          <w:b/>
          <w:bCs/>
          <w:color w:val="000000" w:themeColor="text1"/>
        </w:rPr>
        <w:t>Supplementary</w:t>
      </w:r>
      <w:r w:rsidRPr="007D1EDA">
        <w:rPr>
          <w:color w:val="000000" w:themeColor="text1"/>
        </w:rPr>
        <w:t xml:space="preserve"> </w:t>
      </w:r>
      <w:r w:rsidRPr="008D779B">
        <w:rPr>
          <w:b/>
          <w:bCs/>
          <w:color w:val="000000" w:themeColor="text1"/>
        </w:rPr>
        <w:t xml:space="preserve">Table </w:t>
      </w:r>
      <w:r w:rsidR="009B6BF7">
        <w:rPr>
          <w:b/>
          <w:bCs/>
          <w:color w:val="000000" w:themeColor="text1"/>
        </w:rPr>
        <w:t>1</w:t>
      </w:r>
      <w:r>
        <w:rPr>
          <w:color w:val="000000" w:themeColor="text1"/>
        </w:rPr>
        <w:t>).</w:t>
      </w:r>
    </w:p>
    <w:p w14:paraId="1CA04F9E" w14:textId="77777777" w:rsidR="00A1668B" w:rsidRDefault="00A1668B" w:rsidP="00833F76">
      <w:pPr>
        <w:spacing w:line="360" w:lineRule="auto"/>
        <w:jc w:val="both"/>
        <w:rPr>
          <w:color w:val="000000" w:themeColor="text1"/>
        </w:rPr>
      </w:pPr>
    </w:p>
    <w:p w14:paraId="3E49B98E" w14:textId="73A5032A" w:rsidR="008A5B6F" w:rsidRDefault="005B34B4" w:rsidP="00833F76">
      <w:pPr>
        <w:spacing w:line="360" w:lineRule="auto"/>
        <w:jc w:val="both"/>
        <w:rPr>
          <w:color w:val="000000" w:themeColor="text1"/>
        </w:rPr>
      </w:pPr>
      <w:r>
        <w:rPr>
          <w:color w:val="000000" w:themeColor="text1"/>
        </w:rPr>
        <w:lastRenderedPageBreak/>
        <w:t xml:space="preserve">The </w:t>
      </w:r>
      <w:r w:rsidR="00ED4E06">
        <w:rPr>
          <w:color w:val="000000" w:themeColor="text1"/>
        </w:rPr>
        <w:t>second</w:t>
      </w:r>
      <w:r w:rsidR="0039133E">
        <w:rPr>
          <w:color w:val="000000" w:themeColor="text1"/>
        </w:rPr>
        <w:t xml:space="preserve"> approach selected instruments for the main drug target MR</w:t>
      </w:r>
      <w:r w:rsidR="00413324">
        <w:rPr>
          <w:color w:val="000000" w:themeColor="text1"/>
        </w:rPr>
        <w:t xml:space="preserve"> analyses</w:t>
      </w:r>
      <w:r w:rsidR="008D779B">
        <w:rPr>
          <w:color w:val="000000" w:themeColor="text1"/>
        </w:rPr>
        <w:t xml:space="preserve"> (</w:t>
      </w:r>
      <w:r w:rsidR="00ED4E06">
        <w:rPr>
          <w:color w:val="000000" w:themeColor="text1"/>
        </w:rPr>
        <w:t>stringent</w:t>
      </w:r>
      <w:r w:rsidR="00136A3D">
        <w:rPr>
          <w:color w:val="000000" w:themeColor="text1"/>
        </w:rPr>
        <w:t xml:space="preserve"> instruments</w:t>
      </w:r>
      <w:r w:rsidR="008D779B">
        <w:rPr>
          <w:color w:val="000000" w:themeColor="text1"/>
        </w:rPr>
        <w:t>)</w:t>
      </w:r>
      <w:r w:rsidR="0039133E">
        <w:rPr>
          <w:color w:val="000000" w:themeColor="text1"/>
        </w:rPr>
        <w:t>. Genetic variants associated with expression levels of drug target genes in a region</w:t>
      </w:r>
      <w:r w:rsidR="0067081B">
        <w:rPr>
          <w:color w:val="000000" w:themeColor="text1"/>
        </w:rPr>
        <w:t>al</w:t>
      </w:r>
      <w:r w:rsidR="0039133E">
        <w:rPr>
          <w:color w:val="000000" w:themeColor="text1"/>
        </w:rPr>
        <w:t>-wide significance threshold (P&lt;0.001) and HbA</w:t>
      </w:r>
      <w:r w:rsidR="0039133E" w:rsidRPr="00F84F98">
        <w:rPr>
          <w:color w:val="000000" w:themeColor="text1"/>
          <w:vertAlign w:val="subscript"/>
        </w:rPr>
        <w:t>1c</w:t>
      </w:r>
      <w:r w:rsidR="0039133E">
        <w:rPr>
          <w:color w:val="000000" w:themeColor="text1"/>
        </w:rPr>
        <w:t xml:space="preserve"> in a genome-wide significance level (P&lt;5</w:t>
      </w:r>
      <w:r w:rsidR="0039133E" w:rsidRPr="001336F9">
        <w:t>×</w:t>
      </w:r>
      <w:r w:rsidR="0039133E">
        <w:rPr>
          <w:color w:val="000000" w:themeColor="text1"/>
        </w:rPr>
        <w:t>10</w:t>
      </w:r>
      <w:r w:rsidR="0039133E" w:rsidRPr="0039133E">
        <w:rPr>
          <w:color w:val="000000" w:themeColor="text1"/>
          <w:vertAlign w:val="superscript"/>
        </w:rPr>
        <w:t>-8</w:t>
      </w:r>
      <w:r w:rsidR="0039133E">
        <w:rPr>
          <w:color w:val="000000" w:themeColor="text1"/>
        </w:rPr>
        <w:t>)</w:t>
      </w:r>
      <w:r w:rsidR="009160FE">
        <w:rPr>
          <w:color w:val="000000" w:themeColor="text1"/>
        </w:rPr>
        <w:t xml:space="preserve"> in a genomic region near the drug target gene (</w:t>
      </w:r>
      <w:r w:rsidR="009160FE" w:rsidRPr="00F329BF">
        <w:t>±</w:t>
      </w:r>
      <w:r w:rsidR="009160FE">
        <w:t>1Mb window</w:t>
      </w:r>
      <w:r w:rsidR="009160FE">
        <w:rPr>
          <w:color w:val="000000" w:themeColor="text1"/>
        </w:rPr>
        <w:t xml:space="preserve">) were selected as candidate instruments. </w:t>
      </w:r>
      <w:r w:rsidR="00ED4E06">
        <w:rPr>
          <w:color w:val="000000" w:themeColor="text1"/>
        </w:rPr>
        <w:t>We</w:t>
      </w:r>
      <w:r w:rsidR="00ED4E06" w:rsidRPr="002214F0">
        <w:rPr>
          <w:color w:val="000000" w:themeColor="text1"/>
        </w:rPr>
        <w:t xml:space="preserve"> systematically scanned genetic variants associated with the expression levels of </w:t>
      </w:r>
      <w:r w:rsidR="00ED4E06" w:rsidRPr="00332155">
        <w:rPr>
          <w:i/>
          <w:iCs/>
          <w:color w:val="000000" w:themeColor="text1"/>
        </w:rPr>
        <w:t>SLC5A2</w:t>
      </w:r>
      <w:r w:rsidR="00ED4E06" w:rsidRPr="002214F0">
        <w:rPr>
          <w:color w:val="000000" w:themeColor="text1"/>
        </w:rPr>
        <w:t xml:space="preserve"> using data from seven recent GWAS studies of genes level in 49 human tissues and proteins in plasma</w:t>
      </w:r>
      <w:r w:rsidR="00ED4E06" w:rsidRPr="002214F0">
        <w:rPr>
          <w:color w:val="000000" w:themeColor="text1"/>
        </w:rPr>
        <w:fldChar w:fldCharType="begin"/>
      </w:r>
      <w:r w:rsidR="00052B0E">
        <w:rPr>
          <w:color w:val="000000" w:themeColor="text1"/>
        </w:rPr>
        <w:instrText xml:space="preserve"> ADDIN ZOTERO_ITEM CSL_CITATION {"citationID":"KbU6cAOQ","properties":{"formattedCitation":"\\super 5\\nosupersub{}","plainCitation":"5","noteIndex":0},"citationItems":[{"id":391,"uris":["http://zotero.org/users/local/ONYY32YX/items/N6CK46XF"],"itemData":{"id":391,"type":"article-journal","abstract":"Although plasma proteins have important roles in biological processes and\nare the direct targets of many drugs, the genetic factors that control\ninter-individual variation in plasma protein levels are not well\nunderstood. Here we characterize the genetic architecture of the human\nplasma proteome in healthy blood donors from the INTERVAL study. We\nidentify 1,927 genetic associations with 1,478 proteins, a fourfold\nincrease on existing knowledge, including trans associations for 1,104\nproteins. To understand the consequences of perturbations in plasma\nprotein levels, we apply an integrated approach that links genetic\nvariation with biological pathway, disease, and drug databases. We show\nthat protein quantitative trait loci overlap with gene expression\nquantitative trait loci, as well as with disease-associated loci, and find\nevidence that protein biomarkers have causal roles in disease using\nMendelian randomization analysis. By linking genetic factors to diseases\nvia specific proteins, our analyses highlight potential therapeutic\ntargets, opportunities for matching existing drugs with new disease\nindications, and potential safety concerns for drugs under development.","container-title":"Nature","DOI":"10.1038/s41586-018-0175-2","ISSN":"0028-0836","issue":"7708","page":"73-79","title":"Genomic atlas of the human plasma proteome","volume":"558","author":[{"family":"Sun","given":"Benjamin B"},{"family":"Maranville","given":"Joseph C"},{"family":"Peters","given":"James E"},{"family":"Stacey","given":"David"},{"family":"Staley","given":"James R"},{"family":"Blackshaw","given":"James"},{"family":"Burgess","given":"Stephen"},{"family":"Jiang","given":"Tao"},{"family":"Paige","given":"Ellie"},{"family":"Surendran","given":"Praveen"},{"family":"Oliver-Williams","given":"Clare"},{"family":"Kamat","given":"Mihir A"},{"family":"Prins","given":"Bram P"},{"family":"Wilcox","given":"Sheri K"},{"family":"Zimmerman","given":"Erik S"},{"family":"Chi","given":"An"},{"family":"Bansal","given":"Narinder"},{"family":"Spain","given":"Sarah L"},{"family":"Wood","given":"Angela M"},{"family":"Morrell","given":"Nicholas W"},{"family":"Bradley","given":"John R"},{"family":"Janjic","given":"Nebojsa"},{"family":"Roberts","given":"David J"},{"family":"Ouwehand","given":"Willem H"},{"family":"Todd","given":"John A"},{"family":"Soranzo","given":"Nicole"},{"family":"Suhre","given":"Karsten"},{"family":"Paul","given":"Dirk S"},{"family":"Fox","given":"Caroline S"},{"family":"Plenge","given":"Robert M"},{"family":"Danesh","given":"John"},{"family":"Runz","given":"Heiko"},{"family":"Butterworth","given":"Adam S"}],"issued":{"date-parts":[["2018",6]]}}}],"schema":"https://github.com/citation-style-language/schema/raw/master/csl-citation.json"}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5</w:t>
      </w:r>
      <w:r w:rsidR="00ED4E06" w:rsidRPr="002214F0">
        <w:rPr>
          <w:color w:val="000000" w:themeColor="text1"/>
        </w:rPr>
        <w:fldChar w:fldCharType="end"/>
      </w:r>
      <w:r w:rsidR="00ED4E06" w:rsidRPr="00673A68">
        <w:rPr>
          <w:color w:val="000000" w:themeColor="text1"/>
          <w:vertAlign w:val="superscript"/>
        </w:rPr>
        <w:t>,</w:t>
      </w:r>
      <w:r w:rsidR="00ED4E06" w:rsidRPr="002214F0">
        <w:rPr>
          <w:color w:val="000000" w:themeColor="text1"/>
        </w:rPr>
        <w:fldChar w:fldCharType="begin"/>
      </w:r>
      <w:r w:rsidR="00052B0E">
        <w:rPr>
          <w:color w:val="000000" w:themeColor="text1"/>
        </w:rPr>
        <w:instrText xml:space="preserve"> ADDIN ZOTERO_ITEM CSL_CITATION {"citationID":"W7lSD2vC","properties":{"formattedCitation":"\\super 6\\nosupersub{}","plainCitation":"6","noteIndex":0},"citationItems":[{"id":412,"uris":["http://zotero.org/users/local/ONYY32YX/items/HLJAVWEP"],"itemData":{"id":412,"type":"article-journal","abstract":"Recent advances in highly multiplexed immunoassays have allowed systematic\nlarge-scale measurement of hundreds of plasma proteins in large cohort\nstudies. In combination with genotyping, such studies offer the prospect\nto 1) identify mechanisms involved with regulation of protein expression\nin plasma, and 2) determine whether the plasma proteins are likely to be\ncausally implicated in disease. We report here the results of genome-wide\nassociation (GWA) studies of 83 proteins considered relevant to\ncardiovascular disease (CVD), measured in 3,394 individuals with multiple\nCVD risk factors. We identified 79 genome-wide significant (p&lt;5e-8)\nassociation signals, 55 of which replicated at P&lt;0.0007 in separate\nvalidation studies (n = 2,639 individuals). Using automated text mining,\nmanual curation, and network-based methods incorporating information on\nexpression quantitative trait loci (eQTL), we propose plausible causal\nmechanisms for 25 trans-acting loci, including a potential\npost-translational regulation of stem cell factor by matrix\nmetalloproteinase 9 and receptor-ligand pairs such as RANK-RANK ligand.\nUsing public GWA study data, we further evaluate all 79 loci for their\ncausal effect on coronary artery disease, and highlight several\npotentially causal associations. Overall, a majority of the plasma\nproteins studied showed evidence of regulation at the genetic level. Our\nresults enable future studies of the causal architecture of human disease,\nwhich in turn should aid discovery of new drug targets.","container-title":"PLoS Genet.","DOI":"10.1371/journal.pgen.1006706","ISSN":"1553-7390","issue":"4","page":"e1006706","title":"Mapping of 79 loci for 83 plasma protein biomarkers in cardiovascular disease","volume":"13","author":[{"family":"Folkersen","given":"Lasse"},{"family":"Fauman","given":"Eric"},{"family":"Sabater-Lleal","given":"Maria"},{"family":"Strawbridge","given":"Rona J"},{"family":"Frånberg","given":"Mattias"},{"family":"Sennblad","given":"Bengt"},{"family":"Baldassarre","given":"Damiano"},{"family":"Veglia","given":"Fabrizio"},{"family":"Humphries","given":"Steve E"},{"family":"Rauramaa","given":"Rainer"},{"family":"Faire","given":"Ulf","non-dropping-particle":"de"},{"family":"Smit","given":"Andries J"},{"family":"Giral","given":"Philippe"},{"family":"Kurl","given":"Sudhir"},{"family":"Mannarino","given":"Elmo"},{"family":"Enroth","given":"Stefan"},{"family":"Johansson","given":"Åsa"},{"family":"Enroth","given":"Sofia Bosdotter"},{"family":"Gustafsson","given":"Stefan"},{"family":"Lind","given":"Lars"},{"family":"Lindgren","given":"Cecilia"},{"family":"Morris","given":"Andrew P"},{"family":"Giedraitis","given":"Vilmantas"},{"family":"Silveira","given":"Angela"},{"family":"Franco-Cereceda","given":"Anders"},{"family":"Tremoli","given":"Elena"},{"literal":"IMPROVE study group"},{"family":"Gyllensten","given":"Ulf"},{"family":"Ingelsson","given":"Erik"},{"family":"Brunak","given":"Søren"},{"family":"Eriksson","given":"Per"},{"family":"Ziemek","given":"Daniel"},{"family":"Hamsten","given":"Anders"},{"family":"Mälarstig","given":"Anders"}],"issued":{"date-parts":[["2017",4]]}}}],"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6</w:t>
      </w:r>
      <w:r w:rsidR="00ED4E06" w:rsidRPr="002214F0">
        <w:rPr>
          <w:color w:val="000000" w:themeColor="text1"/>
        </w:rPr>
        <w:fldChar w:fldCharType="end"/>
      </w:r>
      <w:r w:rsidR="00ED4E06" w:rsidRPr="00673A68">
        <w:rPr>
          <w:color w:val="000000" w:themeColor="text1"/>
          <w:vertAlign w:val="superscript"/>
        </w:rPr>
        <w:t>,</w:t>
      </w:r>
      <w:r w:rsidR="00ED4E06" w:rsidRPr="002214F0">
        <w:rPr>
          <w:color w:val="000000" w:themeColor="text1"/>
        </w:rPr>
        <w:fldChar w:fldCharType="begin"/>
      </w:r>
      <w:r w:rsidR="00052B0E">
        <w:rPr>
          <w:color w:val="000000" w:themeColor="text1"/>
        </w:rPr>
        <w:instrText xml:space="preserve"> ADDIN ZOTERO_ITEM CSL_CITATION {"citationID":"QQLdXTjx","properties":{"formattedCitation":"\\super 7\\nosupersub{}","plainCitation":"7","noteIndex":0},"citationItems":[{"id":414,"uris":["http://zotero.org/users/local/ONYY32YX/items/VTN7ZE6P"],"itemData":{"id":414,"type":"article-journal","abstract":"Genome-wide association studies (GWAS) with intermediate phenotypes, like\nchanges in metabolite and protein levels, provide functional evidence to\nmap disease associations and translate them into clinical applications.\nHowever, although hundreds of genetic variants have been associated with\ncomplex disorders, the underlying molecular pathways often remain elusive.\nAssociations with intermediate traits are key in establishing functional\nlinks between GWAS-identified risk-variants and disease end points. Here\nwe describe a GWAS using a highly multiplexed aptamer-based affinity\nproteomics platform. We quantify 539 associations between protein levels\nand gene variants (pQTLs) in a German cohort and replicate over half of\nthem in an Arab and Asian cohort. Fifty-five of the replicated pQTLs are\nlocated in trans. Our associations overlap with 57 genetic risk loci for\n42 unique disease end points. We integrate this information into a\ngenome-proteome network and provide an interactive web-tool for\ninterrogations. Our results provide a basis for novel approaches to\npharmaceutical and diagnostic applications.","container-title":"Nat. Commun.","DOI":"10.1038/ncomms14357","ISSN":"2041-1723","page":"14357","title":"Connecting genetic risk to disease end points through the human blood plasma proteome","volume":"8","author":[{"family":"Suhre","given":"Karsten"},{"family":"Arnold","given":"Matthias"},{"family":"Bhagwat","given":"Aditya Mukund"},{"family":"Cotton","given":"Richard J"},{"family":"Engelke","given":"Rudolf"},{"family":"Raffler","given":"Johannes"},{"family":"Sarwath","given":"Hina"},{"family":"Thareja","given":"Gaurav"},{"family":"Wahl","given":"Annika"},{"family":"DeLisle","given":"Robert Kirk"},{"family":"Gold","given":"Larry"},{"family":"Pezer","given":"Marija"},{"family":"Lauc","given":"Gordan"},{"family":"El-Din Selim","given":"Mohammed A"},{"family":"Mook-Kanamori","given":"Dennis O"},{"family":"Al-Dous","given":"Eman K"},{"family":"Mohamoud","given":"Yasmin A"},{"family":"Malek","given":"Joel"},{"family":"Strauch","given":"Konstantin"},{"family":"Grallert","given":"Harald"},{"family":"Peters","given":"Annette"},{"family":"Kastenmüller","given":"Gabi"},{"family":"Gieger","given":"Christian"},{"family":"Graumann","given":"Johannes"}],"issued":{"date-parts":[["2017",2,27]]}}}],"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7</w:t>
      </w:r>
      <w:r w:rsidR="00ED4E06" w:rsidRPr="002214F0">
        <w:rPr>
          <w:color w:val="000000" w:themeColor="text1"/>
        </w:rPr>
        <w:fldChar w:fldCharType="end"/>
      </w:r>
      <w:r w:rsidR="00ED4E06" w:rsidRPr="00673A68">
        <w:rPr>
          <w:color w:val="000000" w:themeColor="text1"/>
          <w:vertAlign w:val="superscript"/>
        </w:rPr>
        <w:t>,</w:t>
      </w:r>
      <w:r w:rsidR="00ED4E06" w:rsidRPr="002214F0">
        <w:rPr>
          <w:color w:val="000000" w:themeColor="text1"/>
        </w:rPr>
        <w:fldChar w:fldCharType="begin"/>
      </w:r>
      <w:r w:rsidR="00052B0E">
        <w:rPr>
          <w:color w:val="000000" w:themeColor="text1"/>
        </w:rPr>
        <w:instrText xml:space="preserve"> ADDIN ZOTERO_ITEM CSL_CITATION {"citationID":"cCdWGRH7","properties":{"formattedCitation":"\\super 8\\nosupersub{}","plainCitation":"8","noteIndex":0},"citationItems":[{"id":1021,"uris":["http://zotero.org/users/local/ONYY32YX/items/YKCDLD45"],"itemData":{"id":1021,"type":"article-journal","abstract":"Identifying genetic variants associated with circulating protein\nconcentrations (protein quantitative trait loci; pQTLs) and integrating\nthem with variants from genome-wide association studies (GWAS) may\nilluminate the proteome's causal role in disease and bridge a knowledge\ngap regarding SNP-disease associations. We provide the results of GWAS of\n71 high-value cardiovascular disease proteins in 6861 Framingham Heart\nStudy participants and independent external replication. We report the\nmapping of over 16,000 pQTL variants and their functional relevance. We\nprovide an integrated plasma protein-QTL database. Thirteen proteins\nharbor pQTL variants that match coronary disease-risk variants from GWAS\nor test causal for coronary disease by Mendelian randomization. Eight of\nthese proteins predict new-onset cardiovascular disease events in\nFramingham participants. We demonstrate that identifying pQTLs,\nintegrating them with GWAS results, employing Mendelian randomization, and\nprospectively testing protein-trait associations holds potential for\nelucidating causal genes, proteins, and pathways for cardiovascular\ndisease and may identify targets for its prevention and treatment.","container-title":"Nat. Commun.","DOI":"10.1038/s41467-018-05512-x","ISSN":"2041-1723","issue":"1","page":"3268","title":"Genome-wide mapping of plasma protein QTLs identifies putatively causal genes and pathways for cardiovascular disease","volume":"9","author":[{"family":"Yao","given":"Chen"},{"family":"Chen","given":"George"},{"family":"Song","given":"Ci"},{"family":"Keefe","given":"Joshua"},{"family":"Mendelson","given":"Michael"},{"family":"Huan","given":"Tianxiao"},{"family":"Sun","given":"Benjamin B"},{"family":"Laser","given":"Annika"},{"family":"Maranville","given":"Joseph C"},{"family":"Wu","given":"Hongsheng"},{"family":"Ho","given":"Jennifer E"},{"family":"Courchesne","given":"Paul"},{"family":"Lyass","given":"Asya"},{"family":"Larson","given":"Martin G"},{"family":"Gieger","given":"Christian"},{"family":"Graumann","given":"Johannes"},{"family":"Johnson","given":"Andrew D"},{"family":"Danesh","given":"John"},{"family":"Runz","given":"Heiko"},{"family":"Hwang","given":"Shih-Jen"},{"family":"Liu","given":"Chunyu"},{"family":"Butterworth","given":"Adam S"},{"family":"Suhre","given":"Karsten"},{"family":"Levy","given":"Daniel"}],"issued":{"date-parts":[["2018",8,15]]}}}],"schema":"https://github.com/citation-style-language/schema/raw/master/csl-citation.json"}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8</w:t>
      </w:r>
      <w:r w:rsidR="00ED4E06" w:rsidRPr="002214F0">
        <w:rPr>
          <w:color w:val="000000" w:themeColor="text1"/>
        </w:rPr>
        <w:fldChar w:fldCharType="end"/>
      </w:r>
      <w:r w:rsidR="00ED4E06" w:rsidRPr="00673A68">
        <w:rPr>
          <w:color w:val="000000" w:themeColor="text1"/>
          <w:vertAlign w:val="superscript"/>
        </w:rPr>
        <w:t>,</w:t>
      </w:r>
      <w:r w:rsidR="00ED4E06" w:rsidRPr="002214F0">
        <w:rPr>
          <w:color w:val="000000" w:themeColor="text1"/>
        </w:rPr>
        <w:fldChar w:fldCharType="begin"/>
      </w:r>
      <w:r w:rsidR="00052B0E">
        <w:rPr>
          <w:color w:val="000000" w:themeColor="text1"/>
        </w:rPr>
        <w:instrText xml:space="preserve"> ADDIN ZOTERO_ITEM CSL_CITATION {"citationID":"WK7GheGV","properties":{"formattedCitation":"\\super 9\\nosupersub{}","plainCitation":"9","noteIndex":0},"citationItems":[{"id":911,"uris":["http://zotero.org/users/local/ONYY32YX/items/DJ7VSC6C"],"itemData":{"id":911,"type":"article-journal","abstract":"Proteins circulating in the blood are critical for age-related disease processes, however the serum proteome has remained largely unexplored. To this end, 4,137 proteins covering most predicted extracellular proteins, were measured in the serum of 5,457 Icelanders over 65 years of age. Pair-wise correlation between proteins as they varied across individuals, revealed 27 different network modules of serum proteins, many of which were associated with cardiovascular and metabolic disease states as well as overall survival. The protein modules were controlled by cis and trans acting genetic variants; which in many cases were also associated with complex disease. This revealed co-regulated groups of circulating proteins that incorporated regulatory control between tissues and demonstrated close relationships to past, current and future disease states.","container-title":"Science","DOI":"10.1126/science.aaq1327","ISSN":"0036-8075","title":"Co-regulatory networks of human serum proteins link genetics to disease","URL":"http://dx.doi.org/10.1126/science.aaq1327","author":[{"family":"Emilsson","given":"Valur"},{"family":"Ilkov","given":"Marjan"},{"family":"Lamb","given":"John R"},{"family":"Finkel","given":"Nancy"},{"family":"Gudmundsson","given":"Elias F"},{"family":"Pitts","given":"Rebecca"},{"family":"Hoover","given":"Heather"},{"family":"Gudmundsdottir","given":"Valborg"},{"family":"Horman","given":"Shane R"},{"family":"Aspelund","given":"Thor"},{"family":"Shu","given":"Le"},{"family":"Trifonov","given":"Vladimir"},{"family":"Sigurdsson","given":"Sigurdur"},{"family":"Manolescu","given":"Andrei"},{"family":"Zhu","given":"Jun"},{"family":"Olafsson","given":"Örn"},{"family":"Jakobsdottir","given":"Johanna"},{"family":"Lesley","given":"Scott A"},{"family":"To","given":"Jeremy"},{"family":"Zhang","given":"Jia"},{"family":"Harris","given":"Tamara B"},{"family":"Launer","given":"Lenore J"},{"family":"Zhang","given":"Bin"},{"family":"Eiriksdottir","given":"Gudny"},{"family":"Yang","given":"Xia"},{"family":"Orth","given":"Anthony P"},{"family":"Jennings","given":"Lori L"},{"family":"Gudnason","given":"Vilmundur"}],"issued":{"date-parts":[["2018",8,2]]}}}],"schema":"https://github.com/citation-style-language/schema/raw/master/csl-citation.json"}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9</w:t>
      </w:r>
      <w:r w:rsidR="00ED4E06" w:rsidRPr="002214F0">
        <w:rPr>
          <w:color w:val="000000" w:themeColor="text1"/>
        </w:rPr>
        <w:fldChar w:fldCharType="end"/>
      </w:r>
      <w:r w:rsidR="00ED4E06" w:rsidRPr="00673A68">
        <w:rPr>
          <w:color w:val="000000" w:themeColor="text1"/>
          <w:vertAlign w:val="superscript"/>
        </w:rPr>
        <w:t>,</w:t>
      </w:r>
      <w:r w:rsidR="00ED4E06" w:rsidRPr="002214F0">
        <w:rPr>
          <w:color w:val="000000" w:themeColor="text1"/>
        </w:rPr>
        <w:fldChar w:fldCharType="begin"/>
      </w:r>
      <w:r w:rsidR="00052B0E">
        <w:rPr>
          <w:color w:val="000000" w:themeColor="text1"/>
        </w:rPr>
        <w:instrText xml:space="preserve"> ADDIN ZOTERO_ITEM CSL_CITATION {"citationID":"VUgA3Mql","properties":{"formattedCitation":"\\super 10\\nosupersub{}","plainCitation":"10","noteIndex":0},"citationItems":[{"id":17302,"uris":["http://zotero.org/users/local/ONYY32YX/items/XV4NVHUA"],"itemData":{"id":17302,"type":"manuscript","abstract":"Summary While many disease-associated variants have been identified\nthrough genome-wide association studies, their downstream molecular\nconsequences remain unclear.To identify these effects, we performed cis-\nand trans-expression quantitative trait locus (eQTL) analysis in blood\nfrom 31,684 individuals through the eQTLGen Consortium.We observed that\ncis-eQTLs can be detected for 88% of the studied genes, but that they have\na different genetic architecture compared to disease-associated variants,\nlimiting our ability to use cis-eQTLs to pinpoint causal genes within\nsusceptibility loci.In contrast, trans-eQTLs (detected for 37% of 10,317\nstudied trait-associated variants) were more informative. Multiple\nunlinked variants, associated to the same complex trait, often converged\non trans-genes that are known to play central roles in disease etiology.We\nobserved the same when ascertaining the effect of polygenic scores\ncalculated for 1,263 genome-wide association study (GWAS) traits.\nExpression levels of 13% of the studied genes correlated with polygenic\nscores, and many resulting genes are known to drive these traits.","note":"DOI: 10.1101/447367","title":"Unraveling the polygenic architecture of complex traits using blood eQTL metaanalysis","URL":"https://www.biorxiv.org/content/10.1101/447367v1","author":[{"family":"Võsa","given":"Urmo"},{"family":"Claringbould","given":"Annique"},{"family":"Westra","given":"Harm-Jan"},{"family":"Bonder","given":"Marc Jan"},{"family":"Deelen","given":"Patrick"},{"family":"Zeng","given":"Biao"},{"family":"Kirsten","given":"Holger"},{"family":"Saha","given":"Ashis"},{"family":"Kreuzhuber","given":"Roman"},{"family":"Kasela","given":"Silva"},{"family":"Pervjakova","given":"Natalia"},{"family":"Alvaes","given":"Isabel"},{"family":"Fave","given":"Marie-Julie"},{"family":"Agbessi","given":"Mawusse"},{"family":"Christiansen","given":"Mark"},{"family":"Jansen","given":"Rick"},{"family":"Seppälä","given":"Ilkka"},{"family":"Tong","given":"Lin"},{"family":"Teumer","given":"Alexander"},{"family":"Schramm","given":"Katharina"},{"family":"Hemani","given":"Gibran"},{"family":"Verlouw","given":"Joost"},{"family":"Yaghootkar","given":"Hanieh"},{"family":"Sönmez","given":"Reyhan"},{"family":"Brown","given":"Andrew"},{"family":"Kukushkina","given":"Viktorija"},{"family":"Kalnapenkis","given":"Anette"},{"family":"Rüeger","given":"Sina"},{"family":"Porcu","given":"Eleonora"},{"family":"Kronberg-Guzman","given":"Jaanika"},{"family":"Kettunen","given":"Johannes"},{"family":"Powell","given":"Joseph"},{"family":"Lee","given":"Bernett"},{"family":"Zhang","given":"Futao"},{"family":"Arindrarto","given":"Wibowo"},{"family":"Beutner","given":"Frank"},{"literal":"BIOS Consortium"},{"family":"Brugge","given":"Harm"},{"literal":"i2QTL Consortium"},{"family":"Dmitreva","given":"Julia"},{"family":"Elansary","given":"Mahmoud"},{"family":"Fairfax","given":"Benjamin P"},{"family":"Georges","given":"Michel"},{"family":"Heijmans","given":"Bastiaan T"},{"family":"Kähönen","given":"Mika"},{"family":"Kim","given":"Yungil"},{"family":"Knight","given":"Julian C"},{"family":"Kovacs","given":"Peter"},{"family":"Krohn","given":"Knut"},{"family":"Li","given":"Shuang"},{"family":"Loeffler","given":"Markus"},{"family":"Marigorta","given":"Urko M"},{"family":"Mei","given":"Hailang"},{"family":"Momozawa","given":"Yukihide"},{"family":"Müller-Nurasyid","given":"Martina"},{"family":"Nauck","given":"Matthias"},{"family":"Nivard","given":"Michel"},{"family":"Penninx","given":"Brenda"},{"family":"Pritchard","given":"Jonathan"},{"family":"Raitakari","given":"Olli"},{"family":"Rotzchke","given":"Olaf"},{"family":"Slagboom","given":"Eline P"},{"family":"Stehouwer","given":"Coen D A"},{"family":"Stumvoll","given":"Michael"},{"family":"Sullivan","given":"Patrick"},{"family":"‘t","given":"Peter A"},{"family":"Thiery","given":"Joachim"},{"family":"Tönjes","given":"Anke"},{"family":"Dongen","given":"Jenny","non-dropping-particle":"van"},{"family":"Iterson","given":"Maarten","non-dropping-particle":"van"},{"family":"Veldink","given":"Jan"},{"family":"Völker","given":"Uwe"},{"family":"Wijmenga","given":"Cisca"},{"family":"Swertz","given":"Morris"},{"family":"Andiappan","given":"Anand"},{"family":"Montgomery","given":"Grant W"},{"family":"Ripatti","given":"Samuli"},{"family":"Perola","given":"Markus"},{"family":"Kutalik","given":"Zoltan"},{"family":"Dermitzakis","given":"Emmanouil"},{"family":"Bergmann","given":"Sven"},{"family":"Frayling","given":"Timothy"},{"family":"Meurs","given":"Joyce","non-dropping-particle":"van"},{"family":"Prokisch","given":"Holger"},{"family":"Ahsan","given":"Habibul"},{"family":"Pierce","given":"Brandon"},{"family":"Lehtimäki","given":"Terho"},{"family":"Boomsma","given":"Dorret"},{"family":"Psaty","given":"Bruce M"},{"family":"Gharib","given":"Sina A"},{"family":"Awadalla","given":"Philip"},{"family":"Milani","given":"Lili"},{"family":"Ouwehand","given":"Willem"},{"family":"Downes","given":"Kate"},{"family":"Stegle","given":"Oliver"},{"family":"Battle","given":"Alexis"},{"family":"Yang","given":"Jian"},{"family":"Visscher","given":"Peter M"},{"family":"Scholz","given":"Markus"},{"family":"Gibson","given":"Gregory"},{"family":"Esko","given":"Tõnu"},{"family":"Franke","given":"Lude"}],"accessed":{"date-parts":[["2019",7,12]]},"issued":{"date-parts":[["2018",10,19]]}}}],"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10</w:t>
      </w:r>
      <w:r w:rsidR="00ED4E06" w:rsidRPr="002214F0">
        <w:rPr>
          <w:color w:val="000000" w:themeColor="text1"/>
        </w:rPr>
        <w:fldChar w:fldCharType="end"/>
      </w:r>
      <w:r w:rsidR="00ED4E06" w:rsidRPr="00673A68">
        <w:rPr>
          <w:color w:val="000000" w:themeColor="text1"/>
          <w:vertAlign w:val="superscript"/>
        </w:rPr>
        <w:t>,</w:t>
      </w:r>
      <w:r w:rsidR="00ED4E06" w:rsidRPr="002214F0">
        <w:rPr>
          <w:color w:val="000000" w:themeColor="text1"/>
        </w:rPr>
        <w:fldChar w:fldCharType="begin"/>
      </w:r>
      <w:r w:rsidR="00052B0E">
        <w:rPr>
          <w:color w:val="000000" w:themeColor="text1"/>
        </w:rPr>
        <w:instrText xml:space="preserve"> ADDIN ZOTERO_ITEM CSL_CITATION {"citationID":"XLyb7ZLp","properties":{"formattedCitation":"\\super 11\\nosupersub{}","plainCitation":"11","noteIndex":0},"citationItems":[{"id":"xmpeSjVn/z2W6BZ3B","uris":["http://zotero.org/users/local/ONYY32YX/items/AQQIFDWN"],"itemData":{"id":35816,"type":"manuscript","abstract":"Abstract The Genotype-Tissue Expression (GTEx) project was established to\ncharacterize genetic effects on the transcriptome across human tissues,\nand to link these regulatory mechanisms to trait and disease associations.\nHere, we present analyses of the v8 data, based on 17,382 RNA-sequencing\nsamples from 54 tissues of 948 post-mortem donors. We comprehensively\ncharacterize genetic associations for gene expression and splicing in cis\nand trans, showing that regulatory associations are found for almost all\ngenes, and describe the underlying molecular mechanisms and their\ncontribution to allelic heterogeneity and pleiotropy of complex traits.\nLeveraging the large diversity of tissues, we provide insights into the\ntissue-specificity of genetic effects, and show that cell type composition\nis a key factor in understanding gene regulatory mechanisms in human\ntissues.","note":"DOI: 10.1101/787903","title":"The GTEx Consortium atlas of genetic regulatory effects across human tissues","URL":"https://www.biorxiv.org/content/10.1101/787903v1","author":[{"family":"Aguet","given":"François"},{"family":"Barbeira","given":"Alvaro N"},{"family":"Bonazzola","given":"Rodrigo"},{"family":"Brown","given":"Andrew"},{"family":"Castel","given":"Stephane E"},{"family":"Jo","given":"Brian"},{"family":"Kasela","given":"Silva"},{"family":"Kim-Hellmuth","given":"Sarah"},{"family":"Liang","given":"Yanyu"},{"family":"Oliva","given":"Meritxell"},{"family":"Parsana","given":"Princy E"},{"family":"Flynn","given":"Elise"},{"family":"Fresard","given":"Laure"},{"family":"Gaamzon","given":"Eric R"},{"family":"Hamel","given":"Andrew R"},{"family":"He","given":"Yuan"},{"family":"Hormozdiari","given":"Farhad"},{"family":"Mohammadi","given":"Pejman"},{"family":"Muñoz-Aguirre","given":"Manuel"},{"family":"Park","given":"Yoson"},{"family":"Saha","given":"Ashis"},{"family":"Segrć","given":"Ayellet V"},{"family":"Strober","given":"Benjamin J"},{"family":"Wen","given":"Xiaoquan"},{"family":"Wucher","given":"Valentin"},{"family":"Das","given":"Sayantan"},{"family":"Garrido-Martín","given":"Diego"},{"family":"Gay","given":"Nicole R"},{"family":"Handsaker","given":"Robert E"},{"family":"Hoffman","given":"Paul J"},{"family":"Kashin","given":"Seva"},{"family":"Kwong","given":"Alan"},{"family":"Li","given":"Xiao"},{"family":"MacArthur","given":"Daniel"},{"family":"Rouhana","given":"John M"},{"family":"Stephens","given":"Matthew"},{"family":"Todres","given":"Ellen"},{"family":"Viñuela","given":"Ana"},{"family":"Wang","given":"Gao"},{"family":"Zou","given":"Yuxin"},{"literal":"The GTEx Consortium"},{"family":"Brown","given":"Christopher D"},{"family":"Cox","given":"Nancy"},{"family":"Dermitzakis","given":"Emmanouil"},{"family":"Engelhardt","given":"Barbara E"},{"family":"Getz","given":"Gad"},{"family":"Guigo","given":"Roderic"},{"family":"Montgomery","given":"Stephen B"},{"family":"Stranger","given":"Barbara E"},{"family":"Im","given":"Hae Kyung"},{"family":"Battle","given":"Alexis"},{"family":"Ardlie","given":"Kristin G"},{"family":"Lappalainen","given":"Tuuli"}],"accessed":{"date-parts":[["2020",4,4]]},"issued":{"date-parts":[["2019",10,3]]}}}],"schema":"https://github.com/citation-style-language/schema/raw/master/csl-citation.json"} </w:instrText>
      </w:r>
      <w:r w:rsidR="00ED4E06" w:rsidRPr="002214F0">
        <w:rPr>
          <w:color w:val="000000" w:themeColor="text1"/>
        </w:rPr>
        <w:fldChar w:fldCharType="separate"/>
      </w:r>
      <w:r w:rsidR="00052B0E" w:rsidRPr="00052B0E">
        <w:rPr>
          <w:color w:val="000000"/>
          <w:vertAlign w:val="superscript"/>
        </w:rPr>
        <w:t>11</w:t>
      </w:r>
      <w:r w:rsidR="00ED4E06" w:rsidRPr="002214F0">
        <w:rPr>
          <w:color w:val="000000" w:themeColor="text1"/>
        </w:rPr>
        <w:fldChar w:fldCharType="end"/>
      </w:r>
      <w:r w:rsidR="00ED4E06" w:rsidRPr="002214F0">
        <w:rPr>
          <w:color w:val="000000" w:themeColor="text1"/>
        </w:rPr>
        <w:t xml:space="preserve">. </w:t>
      </w:r>
      <w:r w:rsidR="00533CF2">
        <w:rPr>
          <w:color w:val="000000" w:themeColor="text1"/>
        </w:rPr>
        <w:t xml:space="preserve">This is because </w:t>
      </w:r>
      <w:r w:rsidR="00F10100">
        <w:rPr>
          <w:color w:val="000000" w:themeColor="text1"/>
        </w:rPr>
        <w:t xml:space="preserve">targets for </w:t>
      </w:r>
      <w:r w:rsidR="00C72C16">
        <w:rPr>
          <w:color w:val="000000" w:themeColor="text1"/>
        </w:rPr>
        <w:t>SGLT2 inhibition</w:t>
      </w:r>
      <w:r w:rsidR="00F10100">
        <w:rPr>
          <w:color w:val="000000" w:themeColor="text1"/>
        </w:rPr>
        <w:t xml:space="preserve"> may influence glycemic traits via biological mechanism</w:t>
      </w:r>
      <w:r w:rsidR="0006037A">
        <w:rPr>
          <w:color w:val="000000" w:themeColor="text1"/>
        </w:rPr>
        <w:t>s</w:t>
      </w:r>
      <w:r w:rsidR="00F10100">
        <w:rPr>
          <w:color w:val="000000" w:themeColor="text1"/>
        </w:rPr>
        <w:t xml:space="preserve"> in different tissues. </w:t>
      </w:r>
      <w:r w:rsidR="009160FE">
        <w:rPr>
          <w:color w:val="000000" w:themeColor="text1"/>
        </w:rPr>
        <w:t xml:space="preserve">A </w:t>
      </w:r>
      <w:r w:rsidR="0006037A">
        <w:rPr>
          <w:color w:val="000000" w:themeColor="text1"/>
        </w:rPr>
        <w:t xml:space="preserve">set of </w:t>
      </w:r>
      <w:r w:rsidR="009160FE">
        <w:rPr>
          <w:color w:val="000000" w:themeColor="text1"/>
        </w:rPr>
        <w:t xml:space="preserve">genetic colocalization </w:t>
      </w:r>
      <w:r w:rsidR="00FD7ED8">
        <w:rPr>
          <w:color w:val="000000" w:themeColor="text1"/>
        </w:rPr>
        <w:t>methods</w:t>
      </w:r>
      <w:r w:rsidR="00FD7ED8" w:rsidRPr="002214F0">
        <w:rPr>
          <w:color w:val="000000" w:themeColor="text1"/>
        </w:rPr>
        <w:fldChar w:fldCharType="begin"/>
      </w:r>
      <w:r w:rsidR="00052B0E">
        <w:rPr>
          <w:color w:val="000000" w:themeColor="text1"/>
        </w:rPr>
        <w:instrText xml:space="preserve"> ADDIN ZOTERO_ITEM CSL_CITATION {"citationID":"KiYBeoZC","properties":{"formattedCitation":"\\super 12\\nosupersub{}","plainCitation":"12","noteIndex":0},"citationItems":[{"id":381,"uris":["http://zotero.org/users/local/ONYY32YX/items/THZ6X33N"],"itemData":{"id":381,"type":"article-journal","abstract":"Genetic association studies, in particular the genome-wide association\nstudy (GWAS) design, have provided a wealth of novel insights into the\naetiology of a wide range of human diseases and traits, in particular\ncardiovascular diseases and lipid biomarkers. The next challenge consists\nof understanding the molecular basis of these associations. The\nintegration of multiple association datasets, including gene expression\ndatasets, can contribute to this goal. We have developed a novel\nstatistical methodology to assess whether two association signals are\nconsistent with a shared causal variant. An application is the integration\nof disease scans with expression quantitative trait locus (eQTL) studies,\nbut any pair of GWAS datasets can be integrated in this framework. We\ndemonstrate the value of the approach by re-analysing a gene expression\ndataset in 966 liver samples with a published meta-analysis of lipid\ntraits including &gt;100,000 individuals of European ancestry. Combining all\nlipid biomarkers, our re-analysis supported 26 out of 38 reported\ncolocalisation results with eQTLs and identified 14 new colocalisation\nresults, hence highlighting the value of a formal statistical test. In\nthree cases of reported eQTL-lipid pairs (SYPL2, IFT172, TBKBP1) for which\nour analysis suggests that the eQTL pattern is not consistent with the\nlipid association, we identify alternative colocalisation results with\nSORT1, GCKR, and KPNB1, indicating that these genes are more likely to be\ncausal in these genomic intervals. A key feature of the method is the\nability to derive the output statistics from single SNP summary\nstatistics, hence making it possible to perform systematic meta-analysis\ntype comparisons across multiple GWAS datasets (implemented online at\nhttp://coloc.cs.ucl.ac.uk/coloc/). Our methodology provides information\nabout candidate causal genes in associated intervals and has direct\nimplications for the understanding of complex diseases as well as the\ndesign of drugs to target disease pathways.","container-title":"PLoS Genet.","DOI":"10.1371/journal.pgen.1004383","ISSN":"1553-7390","issue":"5","page":"e1004383","title":"Bayesian test for colocalisation between pairs of genetic association studies using summary statistics","volume":"10","author":[{"family":"Giambartolomei","given":"Claudia"},{"family":"Vukcevic","given":"Damjan"},{"family":"Schadt","given":"Eric E"},{"family":"Franke","given":"Lude"},{"family":"Hingorani","given":"Aroon D"},{"family":"Wallace","given":"Chris"},{"family":"Plagnol","given":"Vincent"}],"issued":{"date-parts":[["2014",5]]}}}],"schema":"https://github.com/citation-style-language/schema/raw/master/csl-citation.json"} </w:instrText>
      </w:r>
      <w:r w:rsidR="00FD7ED8" w:rsidRPr="002214F0">
        <w:rPr>
          <w:color w:val="000000" w:themeColor="text1"/>
        </w:rPr>
        <w:fldChar w:fldCharType="separate"/>
      </w:r>
      <w:r w:rsidR="00052B0E" w:rsidRPr="00052B0E">
        <w:rPr>
          <w:color w:val="000000"/>
          <w:vertAlign w:val="superscript"/>
        </w:rPr>
        <w:t>12</w:t>
      </w:r>
      <w:r w:rsidR="00FD7ED8" w:rsidRPr="002214F0">
        <w:rPr>
          <w:color w:val="000000" w:themeColor="text1"/>
        </w:rPr>
        <w:fldChar w:fldCharType="end"/>
      </w:r>
      <w:r w:rsidR="00FD7ED8" w:rsidRPr="00673A68">
        <w:rPr>
          <w:color w:val="000000" w:themeColor="text1"/>
          <w:vertAlign w:val="superscript"/>
        </w:rPr>
        <w:t>,</w:t>
      </w:r>
      <w:r w:rsidR="00FD7ED8" w:rsidRPr="002214F0">
        <w:rPr>
          <w:color w:val="000000" w:themeColor="text1"/>
        </w:rPr>
        <w:fldChar w:fldCharType="begin"/>
      </w:r>
      <w:r w:rsidR="00052B0E">
        <w:rPr>
          <w:color w:val="000000" w:themeColor="text1"/>
        </w:rPr>
        <w:instrText xml:space="preserve"> ADDIN ZOTERO_ITEM CSL_CITATION {"citationID":"URA5fTOW","properties":{"formattedCitation":"\\super 13\\nosupersub{}","plainCitation":"13","noteIndex":0},"citationItems":[{"id":"xmpeSjVn/jAfZjUu3","uris":["http://zotero.org/users/local/ONYY32YX/items/UHJMCLXM"],"itemData":{"id":59097,"type":"article-journal","abstract":"The human proteome is a major source of therapeutic targets. Recent genetic association analyses of the plasma proteome enable systematic evaluation of the causal consequences of variation in plasma protein levels. Here we estimated the effects of 1,002 proteins on 225 phenotypes using two-sample Mendelian randomization (MR) and colocalization. Of 413 associations supported by evidence from MR, 130 (31.5%) were not supported by results of colocalization analyses, suggesting that genetic confounding due to linkage disequilibrium is widespread in naïve phenome-wide association studies of proteins. Combining MR and colocalization evidence in cis-only analyses, we identified 111 putatively causal effects between 65 proteins and 52 disease-related phenotypes (\nhttps://www.epigraphdb.org/pqtl/ ). Evaluation of data from historic drug development programs showed that target-indication pairs with MR and colocalization support were more likely to be approved, evidencing the value of this approach in identifying and prioritizing potential therapeutic targets.","container-title":"Nat. Genet.","DOI":"10.1038/s41588-020-0682-6","ISSN":"1061-4036","issue":"10","page":"1122-1131","title":"Phenome-wide Mendelian randomization mapping the influence of the plasma proteome on complex diseases","volume":"52","author":[{"family":"Zheng","given":"Jie"},{"family":"Haberland","given":"Valeriia"},{"family":"Baird","given":"Denis"},{"family":"Walker","given":"Venexia"},{"family":"Haycock","given":"Philip C"},{"family":"Hurle","given":"Mark R"},{"family":"Gutteridge","given":"Alex"},{"family":"Erola","given":"Pau"},{"family":"Liu","given":"Yi"},{"family":"Luo","given":"Shan"},{"family":"Robinson","given":"Jamie"},{"family":"Richardson","given":"Tom G"},{"family":"Staley","given":"James R"},{"family":"Elsworth","given":"Benjamin"},{"family":"Burgess","given":"Stephen"},{"family":"Sun","given":"Benjamin B"},{"family":"Danesh","given":"John"},{"family":"Runz","given":"Heiko"},{"family":"Maranville","given":"Joseph C"},{"family":"Martin","given":"Hannah M"},{"family":"Yarmolinsky","given":"James"},{"family":"Laurin","given":"Charles"},{"family":"Holmes","given":"Michael V"},{"family":"Liu","given":"Jimmy Z"},{"family":"Estrada","given":"Karol"},{"family":"Santos","given":"Rita"},{"family":"McCarthy","given":"Linda"},{"family":"Waterworth","given":"Dawn"},{"family":"Nelson","given":"Matthew R"},{"family":"Smith","given":"George Davey"},{"family":"Butterworth","given":"Adam S"},{"family":"Hemani","given":"Gibran"},{"family":"Scott","given":"Robert A"},{"family":"Gaunt","given":"Tom R"}],"issued":{"date-parts":[["2020",10]]}}}],"schema":"https://github.com/citation-style-language/schema/raw/master/csl-citation.json"} </w:instrText>
      </w:r>
      <w:r w:rsidR="00FD7ED8" w:rsidRPr="002214F0">
        <w:rPr>
          <w:color w:val="000000" w:themeColor="text1"/>
        </w:rPr>
        <w:fldChar w:fldCharType="separate"/>
      </w:r>
      <w:r w:rsidR="00052B0E" w:rsidRPr="00052B0E">
        <w:rPr>
          <w:color w:val="000000"/>
          <w:vertAlign w:val="superscript"/>
        </w:rPr>
        <w:t>13</w:t>
      </w:r>
      <w:r w:rsidR="00FD7ED8" w:rsidRPr="002214F0">
        <w:rPr>
          <w:color w:val="000000" w:themeColor="text1"/>
        </w:rPr>
        <w:fldChar w:fldCharType="end"/>
      </w:r>
      <w:r w:rsidR="00FD7ED8">
        <w:rPr>
          <w:color w:val="000000" w:themeColor="text1"/>
        </w:rPr>
        <w:t xml:space="preserve"> were</w:t>
      </w:r>
      <w:r w:rsidR="009160FE">
        <w:rPr>
          <w:color w:val="000000" w:themeColor="text1"/>
        </w:rPr>
        <w:t xml:space="preserve"> then</w:t>
      </w:r>
      <w:r w:rsidR="00FD7ED8">
        <w:rPr>
          <w:color w:val="000000" w:themeColor="text1"/>
        </w:rPr>
        <w:t xml:space="preserve"> used to </w:t>
      </w:r>
      <w:r w:rsidR="009160FE">
        <w:rPr>
          <w:color w:val="000000" w:themeColor="text1"/>
        </w:rPr>
        <w:t xml:space="preserve">select genetic variants </w:t>
      </w:r>
      <w:r w:rsidR="008A5B6F">
        <w:rPr>
          <w:color w:val="000000" w:themeColor="text1"/>
        </w:rPr>
        <w:t>with shared causal variants of expression level of the drug target gene and HbA</w:t>
      </w:r>
      <w:r w:rsidR="008A5B6F" w:rsidRPr="000048B3">
        <w:rPr>
          <w:color w:val="000000" w:themeColor="text1"/>
          <w:vertAlign w:val="subscript"/>
        </w:rPr>
        <w:t>1c</w:t>
      </w:r>
      <w:r w:rsidR="008A5B6F">
        <w:rPr>
          <w:color w:val="000000" w:themeColor="text1"/>
        </w:rPr>
        <w:t xml:space="preserve"> in the gene coding region. </w:t>
      </w:r>
      <w:r w:rsidR="00ED4E06" w:rsidRPr="002214F0">
        <w:rPr>
          <w:color w:val="000000" w:themeColor="text1"/>
        </w:rPr>
        <w:t xml:space="preserve">This step mapped </w:t>
      </w:r>
      <w:r w:rsidR="00ED4E06">
        <w:rPr>
          <w:color w:val="000000" w:themeColor="text1"/>
        </w:rPr>
        <w:t>44 genetic variants for SGLT2 (</w:t>
      </w:r>
      <w:r w:rsidR="00ED4E06" w:rsidRPr="003824BA">
        <w:rPr>
          <w:b/>
          <w:bCs/>
          <w:color w:val="000000" w:themeColor="text1"/>
        </w:rPr>
        <w:t xml:space="preserve">Supplementary </w:t>
      </w:r>
      <w:r w:rsidR="00ED4E06" w:rsidRPr="00F3483A">
        <w:rPr>
          <w:b/>
          <w:bCs/>
          <w:color w:val="000000" w:themeColor="text1"/>
        </w:rPr>
        <w:t xml:space="preserve">Table </w:t>
      </w:r>
      <w:r w:rsidR="00474436">
        <w:rPr>
          <w:b/>
          <w:bCs/>
          <w:color w:val="000000" w:themeColor="text1"/>
        </w:rPr>
        <w:t>2</w:t>
      </w:r>
      <w:r w:rsidR="00ED4E06">
        <w:rPr>
          <w:color w:val="000000" w:themeColor="text1"/>
        </w:rPr>
        <w:t xml:space="preserve">). </w:t>
      </w:r>
      <w:r w:rsidR="00F04AA4">
        <w:rPr>
          <w:color w:val="000000" w:themeColor="text1"/>
        </w:rPr>
        <w:t>W</w:t>
      </w:r>
      <w:r w:rsidR="00FE3B8E" w:rsidRPr="002214F0">
        <w:rPr>
          <w:color w:val="000000" w:themeColor="text1"/>
        </w:rPr>
        <w:t xml:space="preserve">e </w:t>
      </w:r>
      <w:r w:rsidR="00F04AA4">
        <w:rPr>
          <w:color w:val="000000" w:themeColor="text1"/>
        </w:rPr>
        <w:t xml:space="preserve">further </w:t>
      </w:r>
      <w:r w:rsidR="007C703C">
        <w:rPr>
          <w:color w:val="000000" w:themeColor="text1"/>
        </w:rPr>
        <w:t xml:space="preserve">applied </w:t>
      </w:r>
      <w:r w:rsidR="00332155">
        <w:rPr>
          <w:color w:val="000000" w:themeColor="text1"/>
        </w:rPr>
        <w:t xml:space="preserve">linkage </w:t>
      </w:r>
      <w:r w:rsidR="00332155" w:rsidRPr="00332155">
        <w:rPr>
          <w:color w:val="000000" w:themeColor="text1"/>
        </w:rPr>
        <w:t xml:space="preserve">disequilibrium </w:t>
      </w:r>
      <w:r w:rsidR="00332155">
        <w:rPr>
          <w:color w:val="000000" w:themeColor="text1"/>
        </w:rPr>
        <w:t>(</w:t>
      </w:r>
      <w:r w:rsidR="007C703C">
        <w:rPr>
          <w:color w:val="000000" w:themeColor="text1"/>
        </w:rPr>
        <w:t>LD</w:t>
      </w:r>
      <w:r w:rsidR="00332155">
        <w:rPr>
          <w:color w:val="000000" w:themeColor="text1"/>
        </w:rPr>
        <w:t>)</w:t>
      </w:r>
      <w:r w:rsidR="007C703C">
        <w:rPr>
          <w:color w:val="000000" w:themeColor="text1"/>
        </w:rPr>
        <w:t xml:space="preserve"> clumping to </w:t>
      </w:r>
      <w:r w:rsidR="00FE3B8E" w:rsidRPr="002214F0">
        <w:rPr>
          <w:color w:val="000000" w:themeColor="text1"/>
        </w:rPr>
        <w:t xml:space="preserve">select those with the lowest P value that had a </w:t>
      </w:r>
      <w:r w:rsidR="00332155">
        <w:rPr>
          <w:color w:val="000000" w:themeColor="text1"/>
        </w:rPr>
        <w:t xml:space="preserve">LD (which refers to </w:t>
      </w:r>
      <w:r w:rsidR="00FE3B8E" w:rsidRPr="002214F0">
        <w:rPr>
          <w:color w:val="000000" w:themeColor="text1"/>
        </w:rPr>
        <w:t xml:space="preserve">pairwise squared correlation </w:t>
      </w:r>
      <w:r w:rsidR="00332155">
        <w:rPr>
          <w:color w:val="000000" w:themeColor="text1"/>
        </w:rPr>
        <w:t>[</w:t>
      </w:r>
      <w:r w:rsidR="00FE3B8E" w:rsidRPr="002214F0">
        <w:rPr>
          <w:color w:val="000000" w:themeColor="text1"/>
        </w:rPr>
        <w:t>r</w:t>
      </w:r>
      <w:r w:rsidR="00FE3B8E" w:rsidRPr="002214F0">
        <w:rPr>
          <w:color w:val="000000" w:themeColor="text1"/>
          <w:vertAlign w:val="superscript"/>
        </w:rPr>
        <w:t>2</w:t>
      </w:r>
      <w:r w:rsidR="00332155">
        <w:rPr>
          <w:color w:val="000000" w:themeColor="text1"/>
        </w:rPr>
        <w:t>])</w:t>
      </w:r>
      <w:r w:rsidR="00FE3B8E" w:rsidRPr="002214F0">
        <w:rPr>
          <w:color w:val="000000" w:themeColor="text1"/>
        </w:rPr>
        <w:t xml:space="preserve"> less than 0.1 as this indicates </w:t>
      </w:r>
      <w:r w:rsidR="00A365BE">
        <w:rPr>
          <w:color w:val="000000" w:themeColor="text1"/>
        </w:rPr>
        <w:t>weak</w:t>
      </w:r>
      <w:r w:rsidR="00FE3B8E" w:rsidRPr="002214F0">
        <w:rPr>
          <w:color w:val="000000" w:themeColor="text1"/>
        </w:rPr>
        <w:t xml:space="preserve"> correlation among the selected genetic variants. European population specific </w:t>
      </w:r>
      <w:r w:rsidR="00D91293">
        <w:rPr>
          <w:color w:val="000000" w:themeColor="text1"/>
        </w:rPr>
        <w:t>LD</w:t>
      </w:r>
      <w:r w:rsidR="00FE3B8E" w:rsidRPr="002214F0">
        <w:rPr>
          <w:color w:val="000000" w:themeColor="text1"/>
        </w:rPr>
        <w:t xml:space="preserve"> among variants were estimated from the 1000 Genomes Project (phase 3) implemented in the two-sample MR package</w:t>
      </w:r>
      <w:r w:rsidR="00FE3B8E">
        <w:rPr>
          <w:vertAlign w:val="superscript"/>
        </w:rPr>
        <w:t>15</w:t>
      </w:r>
      <w:r w:rsidR="00FE3B8E" w:rsidRPr="00673A68">
        <w:rPr>
          <w:color w:val="000000" w:themeColor="text1"/>
          <w:vertAlign w:val="superscript"/>
        </w:rPr>
        <w:t>,</w:t>
      </w:r>
      <w:r w:rsidR="00FE3B8E" w:rsidRPr="002214F0">
        <w:rPr>
          <w:color w:val="000000" w:themeColor="text1"/>
        </w:rPr>
        <w:fldChar w:fldCharType="begin"/>
      </w:r>
      <w:r w:rsidR="00052B0E">
        <w:rPr>
          <w:color w:val="000000" w:themeColor="text1"/>
        </w:rPr>
        <w:instrText xml:space="preserve"> ADDIN ZOTERO_ITEM CSL_CITATION {"citationID":"ipw6MiqS","properties":{"formattedCitation":"\\super 14\\nosupersub{}","plainCitation":"14","noteIndex":0},"citationItems":[{"id":380,"uris":["http://zotero.org/users/local/ONYY32YX/items/CTACSEMV"],"itemData":{"id":380,"type":"article-journal","abstract":"Results from genome-wide association studies (GWAS) can be used to infer\ncausal relationships between phenotypes, using a strategy known as\n2-sample Mendelian randomization (2SMR) and bypassing the need for\nindividual-level data. However, 2SMR methods are evolving rapidly and GWAS\nresults are often insufficiently curated, undermining efficient\nimplementation of the approach. We therefore developed MR-Base\n(http://www.mrbase.org): a platform that integrates a curated database of\ncomplete GWAS results (no restrictions according to statistical\nsignificance) with an application programming interface, web app and R\npackages that automate 2SMR. The software includes several sensitivity\nanalyses for assessing the impact of horizontal pleiotropy and other\nviolations of assumptions. The database currently comprises 11 billion\nsingle nucleotide polymorphism-trait associations from 1673 GWAS and is\nupdated on a regular basis. Integrating data with software ensures more\nrigorous application of hypothesis-driven analyses and allows millions of\npotential causal relationships to be efficiently evaluated in phenome-wide\nassociation studies.","container-title":"Elife","DOI":"10.7554/eLife.34408","ISSN":"2050-084X","title":"The MR-Base platform supports systematic causal inference across the human phenome","URL":"http://dx.doi.org/10.7554/eLife.34408","volume":"7","author":[{"family":"Hemani","given":"Gibran"},{"family":"Zheng","given":"Jie"},{"family":"Elsworth","given":"Benjamin"},{"family":"Wade","given":"Kaitlin H"},{"family":"Haberland","given":"Valeriia"},{"family":"Baird","given":"Denis"},{"family":"Laurin","given":"Charles"},{"family":"Burgess","given":"Stephen"},{"family":"Bowden","given":"Jack"},{"family":"Langdon","given":"Ryan"},{"family":"Tan","given":"Vanessa Y"},{"family":"Yarmolinsky","given":"James"},{"family":"Shihab","given":"Hashem A"},{"family":"Timpson","given":"Nicholas J"},{"family":"Evans","given":"David M"},{"family":"Relton","given":"Caroline"},{"family":"Martin","given":"Richard M"},{"family":"Davey Smith","given":"George"},{"family":"Gaunt","given":"Tom R"},{"family":"Haycock","given":"Philip C"}],"issued":{"date-parts":[["2018",5,30]]}}}],"schema":"https://github.com/citation-style-language/schema/raw/master/csl-citation.json"} </w:instrText>
      </w:r>
      <w:r w:rsidR="00FE3B8E" w:rsidRPr="002214F0">
        <w:rPr>
          <w:color w:val="000000" w:themeColor="text1"/>
        </w:rPr>
        <w:fldChar w:fldCharType="separate"/>
      </w:r>
      <w:r w:rsidR="00052B0E" w:rsidRPr="00052B0E">
        <w:rPr>
          <w:color w:val="000000"/>
          <w:vertAlign w:val="superscript"/>
        </w:rPr>
        <w:t>14</w:t>
      </w:r>
      <w:r w:rsidR="00FE3B8E" w:rsidRPr="002214F0">
        <w:rPr>
          <w:color w:val="000000" w:themeColor="text1"/>
        </w:rPr>
        <w:fldChar w:fldCharType="end"/>
      </w:r>
      <w:r w:rsidR="00FE3B8E" w:rsidRPr="002214F0">
        <w:rPr>
          <w:color w:val="000000" w:themeColor="text1"/>
        </w:rPr>
        <w:t>.</w:t>
      </w:r>
      <w:r w:rsidR="007C703C">
        <w:rPr>
          <w:color w:val="000000" w:themeColor="text1"/>
        </w:rPr>
        <w:t xml:space="preserve"> </w:t>
      </w:r>
      <w:r w:rsidR="008A5B6F">
        <w:rPr>
          <w:color w:val="000000" w:themeColor="text1"/>
        </w:rPr>
        <w:t xml:space="preserve">After filtering, two variants were selected as instruments for </w:t>
      </w:r>
      <w:r w:rsidR="00650D26">
        <w:rPr>
          <w:color w:val="000000" w:themeColor="text1"/>
        </w:rPr>
        <w:t>SGLT2 inhibition</w:t>
      </w:r>
      <w:r w:rsidR="009D2942">
        <w:rPr>
          <w:color w:val="000000" w:themeColor="text1"/>
        </w:rPr>
        <w:t xml:space="preserve"> (</w:t>
      </w:r>
      <w:r w:rsidR="00677AAE" w:rsidRPr="00677AAE">
        <w:rPr>
          <w:b/>
          <w:bCs/>
          <w:color w:val="000000" w:themeColor="text1"/>
        </w:rPr>
        <w:t>Supplementary</w:t>
      </w:r>
      <w:r w:rsidR="00677AAE" w:rsidRPr="00677AAE">
        <w:rPr>
          <w:color w:val="000000" w:themeColor="text1"/>
        </w:rPr>
        <w:t xml:space="preserve"> </w:t>
      </w:r>
      <w:r w:rsidR="009D2942" w:rsidRPr="009D2942">
        <w:rPr>
          <w:b/>
          <w:bCs/>
          <w:color w:val="000000" w:themeColor="text1"/>
        </w:rPr>
        <w:t xml:space="preserve">Table </w:t>
      </w:r>
      <w:r w:rsidR="002270B2">
        <w:rPr>
          <w:b/>
          <w:bCs/>
          <w:color w:val="000000" w:themeColor="text1"/>
        </w:rPr>
        <w:t>1</w:t>
      </w:r>
      <w:r w:rsidR="009D2942">
        <w:rPr>
          <w:color w:val="000000" w:themeColor="text1"/>
        </w:rPr>
        <w:t>).</w:t>
      </w:r>
      <w:r w:rsidR="00ED4E06">
        <w:rPr>
          <w:color w:val="000000" w:themeColor="text1"/>
        </w:rPr>
        <w:t xml:space="preserve"> </w:t>
      </w:r>
    </w:p>
    <w:p w14:paraId="5EDA4DB8" w14:textId="77777777" w:rsidR="00650D26" w:rsidRDefault="00650D26" w:rsidP="00833F76">
      <w:pPr>
        <w:spacing w:line="360" w:lineRule="auto"/>
        <w:jc w:val="both"/>
        <w:rPr>
          <w:color w:val="000000" w:themeColor="text1"/>
        </w:rPr>
      </w:pPr>
    </w:p>
    <w:p w14:paraId="65D116CD" w14:textId="4AB5DD32" w:rsidR="00413324" w:rsidRDefault="005B34B4" w:rsidP="00833F76">
      <w:pPr>
        <w:spacing w:line="360" w:lineRule="auto"/>
        <w:jc w:val="both"/>
        <w:rPr>
          <w:color w:val="000000" w:themeColor="text1"/>
        </w:rPr>
      </w:pPr>
      <w:r>
        <w:rPr>
          <w:color w:val="000000" w:themeColor="text1"/>
        </w:rPr>
        <w:t>The t</w:t>
      </w:r>
      <w:r w:rsidR="00650D26">
        <w:rPr>
          <w:color w:val="000000" w:themeColor="text1"/>
        </w:rPr>
        <w:t>hird</w:t>
      </w:r>
      <w:r w:rsidR="00413324">
        <w:rPr>
          <w:color w:val="000000" w:themeColor="text1"/>
        </w:rPr>
        <w:t xml:space="preserve"> approach selected instruments </w:t>
      </w:r>
      <w:r w:rsidR="00F06C67">
        <w:rPr>
          <w:color w:val="000000" w:themeColor="text1"/>
        </w:rPr>
        <w:t>of SGLT2 inhibition from an independent dataset</w:t>
      </w:r>
      <w:r w:rsidR="00916313">
        <w:rPr>
          <w:color w:val="000000" w:themeColor="text1"/>
        </w:rPr>
        <w:t xml:space="preserve"> from MAGIC consortium</w:t>
      </w:r>
      <w:r w:rsidR="00413324">
        <w:rPr>
          <w:color w:val="000000" w:themeColor="text1"/>
        </w:rPr>
        <w:t xml:space="preserve">. The genetic variants passed </w:t>
      </w:r>
      <w:r w:rsidR="00F06C67">
        <w:rPr>
          <w:color w:val="000000" w:themeColor="text1"/>
        </w:rPr>
        <w:t>regional</w:t>
      </w:r>
      <w:r w:rsidR="00413324">
        <w:rPr>
          <w:color w:val="000000" w:themeColor="text1"/>
        </w:rPr>
        <w:t>-wide association threshold of P&lt;</w:t>
      </w:r>
      <w:r w:rsidR="00F06C67">
        <w:rPr>
          <w:color w:val="000000" w:themeColor="text1"/>
        </w:rPr>
        <w:t>1</w:t>
      </w:r>
      <w:r w:rsidR="00413324" w:rsidRPr="001336F9">
        <w:t>×</w:t>
      </w:r>
      <w:r w:rsidR="00413324">
        <w:rPr>
          <w:color w:val="000000" w:themeColor="text1"/>
        </w:rPr>
        <w:t>10</w:t>
      </w:r>
      <w:r w:rsidR="00413324" w:rsidRPr="00413324">
        <w:rPr>
          <w:color w:val="000000" w:themeColor="text1"/>
          <w:vertAlign w:val="superscript"/>
        </w:rPr>
        <w:t>-</w:t>
      </w:r>
      <w:r w:rsidR="00916313">
        <w:rPr>
          <w:color w:val="000000" w:themeColor="text1"/>
          <w:vertAlign w:val="superscript"/>
        </w:rPr>
        <w:t>5</w:t>
      </w:r>
      <w:r w:rsidR="00413324">
        <w:rPr>
          <w:color w:val="000000" w:themeColor="text1"/>
        </w:rPr>
        <w:t xml:space="preserve"> </w:t>
      </w:r>
      <w:r w:rsidR="00916313">
        <w:t xml:space="preserve">in the </w:t>
      </w:r>
      <w:r w:rsidR="00916313" w:rsidRPr="00916313">
        <w:rPr>
          <w:i/>
          <w:iCs/>
        </w:rPr>
        <w:t>SLC5A2</w:t>
      </w:r>
      <w:r w:rsidR="00916313">
        <w:t xml:space="preserve"> region </w:t>
      </w:r>
      <w:r w:rsidR="0080190C">
        <w:rPr>
          <w:color w:val="000000" w:themeColor="text1"/>
        </w:rPr>
        <w:t>were</w:t>
      </w:r>
      <w:r w:rsidR="00413324">
        <w:rPr>
          <w:color w:val="000000" w:themeColor="text1"/>
        </w:rPr>
        <w:t xml:space="preserve"> </w:t>
      </w:r>
      <w:r w:rsidR="00A365BE">
        <w:rPr>
          <w:color w:val="000000" w:themeColor="text1"/>
        </w:rPr>
        <w:t>selected</w:t>
      </w:r>
      <w:r w:rsidR="00413324">
        <w:rPr>
          <w:color w:val="000000" w:themeColor="text1"/>
        </w:rPr>
        <w:t xml:space="preserve"> as </w:t>
      </w:r>
      <w:r w:rsidR="00A365BE">
        <w:rPr>
          <w:color w:val="000000" w:themeColor="text1"/>
        </w:rPr>
        <w:t xml:space="preserve">candidate </w:t>
      </w:r>
      <w:r w:rsidR="00413324">
        <w:rPr>
          <w:color w:val="000000" w:themeColor="text1"/>
        </w:rPr>
        <w:t>instruments</w:t>
      </w:r>
      <w:r w:rsidR="00A365BE">
        <w:rPr>
          <w:color w:val="000000" w:themeColor="text1"/>
        </w:rPr>
        <w:t xml:space="preserve">. LD clumping with a threshold of 0.01 was further applied to select complete independent genetic variants as genetic instruments. After selection, </w:t>
      </w:r>
      <w:r w:rsidR="00916313">
        <w:rPr>
          <w:color w:val="000000" w:themeColor="text1"/>
        </w:rPr>
        <w:t>one</w:t>
      </w:r>
      <w:r w:rsidR="00A365BE">
        <w:rPr>
          <w:color w:val="000000" w:themeColor="text1"/>
        </w:rPr>
        <w:t xml:space="preserve"> genetic variant that proxying </w:t>
      </w:r>
      <w:r w:rsidR="00916313">
        <w:rPr>
          <w:color w:val="000000" w:themeColor="text1"/>
        </w:rPr>
        <w:t>SGLT2 inhibition</w:t>
      </w:r>
      <w:r w:rsidR="00A365BE">
        <w:rPr>
          <w:color w:val="000000" w:themeColor="text1"/>
        </w:rPr>
        <w:t xml:space="preserve"> were selected as instrument (</w:t>
      </w:r>
      <w:r w:rsidR="00AA4A3A" w:rsidRPr="00AA4A3A">
        <w:rPr>
          <w:b/>
          <w:bCs/>
          <w:color w:val="000000" w:themeColor="text1"/>
        </w:rPr>
        <w:t>Supplementary</w:t>
      </w:r>
      <w:r w:rsidR="00AA4A3A" w:rsidRPr="00AA4A3A">
        <w:rPr>
          <w:color w:val="000000" w:themeColor="text1"/>
        </w:rPr>
        <w:t xml:space="preserve"> </w:t>
      </w:r>
      <w:r w:rsidR="00A365BE" w:rsidRPr="00A365BE">
        <w:rPr>
          <w:b/>
          <w:bCs/>
          <w:color w:val="000000" w:themeColor="text1"/>
        </w:rPr>
        <w:t xml:space="preserve">Table </w:t>
      </w:r>
      <w:r w:rsidR="00F06C67">
        <w:rPr>
          <w:b/>
          <w:bCs/>
          <w:color w:val="000000" w:themeColor="text1"/>
        </w:rPr>
        <w:t>3</w:t>
      </w:r>
      <w:r w:rsidR="00A365BE">
        <w:rPr>
          <w:color w:val="000000" w:themeColor="text1"/>
        </w:rPr>
        <w:t>).</w:t>
      </w:r>
    </w:p>
    <w:p w14:paraId="1EEF2FE9" w14:textId="77777777" w:rsidR="00827106" w:rsidRDefault="00827106" w:rsidP="00833F76">
      <w:pPr>
        <w:spacing w:line="360" w:lineRule="auto"/>
        <w:jc w:val="both"/>
        <w:sectPr w:rsidR="00827106" w:rsidSect="00B6377B">
          <w:pgSz w:w="11900" w:h="16840"/>
          <w:pgMar w:top="1440" w:right="1440" w:bottom="1440" w:left="1440" w:header="708" w:footer="708" w:gutter="0"/>
          <w:cols w:space="708"/>
          <w:docGrid w:linePitch="360"/>
        </w:sectPr>
      </w:pPr>
    </w:p>
    <w:p w14:paraId="7D850A8B" w14:textId="2BC3F99E" w:rsidR="00827106" w:rsidRDefault="000A63AB" w:rsidP="00827106">
      <w:pPr>
        <w:pStyle w:val="Heading2"/>
        <w:spacing w:line="360" w:lineRule="auto"/>
        <w:jc w:val="both"/>
        <w:rPr>
          <w:lang w:val="en-US"/>
        </w:rPr>
      </w:pPr>
      <w:r>
        <w:rPr>
          <w:lang w:val="en-US"/>
        </w:rPr>
        <w:lastRenderedPageBreak/>
        <w:t>Appendix</w:t>
      </w:r>
      <w:r w:rsidR="00827106" w:rsidRPr="003824BA">
        <w:rPr>
          <w:lang w:val="en-US"/>
        </w:rPr>
        <w:t xml:space="preserve"> </w:t>
      </w:r>
      <w:r w:rsidR="00827106">
        <w:rPr>
          <w:lang w:val="en-US"/>
        </w:rPr>
        <w:t xml:space="preserve">Note 2. The observational analysis in </w:t>
      </w:r>
      <w:r w:rsidR="00827106" w:rsidRPr="00F17987">
        <w:rPr>
          <w:lang w:val="en-US"/>
        </w:rPr>
        <w:t xml:space="preserve">the Shanghai Link Healthcare Database </w:t>
      </w:r>
      <w:r w:rsidR="00827106">
        <w:rPr>
          <w:lang w:val="en-US"/>
        </w:rPr>
        <w:t xml:space="preserve">and the </w:t>
      </w:r>
      <w:r w:rsidR="00827106" w:rsidRPr="00A60E18">
        <w:rPr>
          <w:lang w:val="en-US"/>
        </w:rPr>
        <w:t xml:space="preserve">REACTION </w:t>
      </w:r>
      <w:r w:rsidR="00827106">
        <w:rPr>
          <w:lang w:val="en-US"/>
        </w:rPr>
        <w:t>study</w:t>
      </w:r>
    </w:p>
    <w:p w14:paraId="73F26A1C" w14:textId="77777777" w:rsidR="00827106" w:rsidRPr="007F55EF" w:rsidRDefault="00827106" w:rsidP="00827106">
      <w:pPr>
        <w:spacing w:line="360" w:lineRule="auto"/>
        <w:jc w:val="both"/>
        <w:rPr>
          <w:b/>
          <w:bCs/>
        </w:rPr>
      </w:pPr>
      <w:r w:rsidRPr="007F55EF">
        <w:rPr>
          <w:b/>
          <w:bCs/>
        </w:rPr>
        <w:t xml:space="preserve">The </w:t>
      </w:r>
      <w:r>
        <w:rPr>
          <w:b/>
          <w:bCs/>
        </w:rPr>
        <w:t>survival</w:t>
      </w:r>
      <w:r w:rsidRPr="007F55EF">
        <w:rPr>
          <w:b/>
          <w:bCs/>
        </w:rPr>
        <w:t xml:space="preserve"> analysis </w:t>
      </w:r>
      <w:r>
        <w:rPr>
          <w:b/>
          <w:bCs/>
        </w:rPr>
        <w:t xml:space="preserve">of use of SGLT2 inhibitors on prostate cancer/high risk of prostate cancer </w:t>
      </w:r>
      <w:r w:rsidRPr="007F55EF">
        <w:rPr>
          <w:b/>
          <w:bCs/>
        </w:rPr>
        <w:t xml:space="preserve">in the </w:t>
      </w:r>
      <w:r>
        <w:rPr>
          <w:b/>
          <w:bCs/>
        </w:rPr>
        <w:t>Shanghai Link Healthcare Database</w:t>
      </w:r>
    </w:p>
    <w:p w14:paraId="35DD9880" w14:textId="75D21A17" w:rsidR="00827106" w:rsidRDefault="00827106" w:rsidP="00827106">
      <w:pPr>
        <w:spacing w:line="360" w:lineRule="auto"/>
        <w:jc w:val="both"/>
      </w:pPr>
      <w:r w:rsidRPr="0039272C">
        <w:t>The survival analysis was conducted using data from the Shanghai Link Healthcare Database (SLHD)</w:t>
      </w:r>
      <w:r w:rsidRPr="0039272C">
        <w:fldChar w:fldCharType="begin"/>
      </w:r>
      <w:r w:rsidR="00052B0E">
        <w:instrText xml:space="preserve"> ADDIN ZOTERO_ITEM CSL_CITATION {"citationID":"a2acps5f17g","properties":{"formattedCitation":"\\super 15\\nosupersub{}","plainCitation":"15","noteIndex":0},"citationItems":[{"id":"xmpeSjVn/Lix8cur2","uris":["http://zotero.org/users/local/ONYY32YX/items/JAQ7TK2S"],"itemData":{"id":193089,"type":"article-journal","abstract":"BACKGROUND: The aim of this study was to investigate the risk of 23 common types of cancer among patients with type 2 diabetes (T2D) compared with the general Chinese population. METHODS: Based on the Shanghai Hospital Link database, 410 191 patients with T2D (age 20-99 years) were identified from July 2013 to December 2016, and were followed-up for cancer incidence until December 2017. RESULTS: In all, 8485 cases of newly diagnosed cancer were identified. The standardized incidence ratios (SIRs) of total cancer were 1.34 and 1.62 among males and females, respectively. Among males with T2D, the risk of cancer of the prostate (highest SIR of 1.86), blood (leukemia, lymphoma), skin, thyroid, kidney, liver, pancreas, lung, colorectum, and stomach was increased significantly. There was a significant decrease in the risk of esophageal cancer. In females with T2D, there were significantly greater risks of cancer of the nasopharynx (highest SIR of 2.33), liver, esophagus, thyroid, lung, pancreas, blood (lymphoma, leukemia), uterus, colorectum, breast, cervix, and stomach. In contrast, there was significantly decrease risk of gallbladder cancer in females with T2D. CONCLUSIONS: This study shows significantly increased risks of overall and some site-specific cancers among patients with T2D. We suggest that establishing strategies for regular cancer-specific screening and prevention care among patients with T2D are necessary.","container-title":"J. Diabetes","DOI":"10.1111/1753-0407.12926","ISSN":"1753-0393","issue":"11","page":"878-883","title":"Cancer risk among patients with type 2 diabetes: A real-world study in Shanghai, China","volume":"11","author":[{"family":"Qi","given":"Jiying"},{"family":"He","given":"Ping"},{"family":"Yao","given":"Huayi"},{"family":"Song","given":"Ruogang"},{"family":"Ma","given":"Chenglong"},{"family":"Cao","given":"Min"},{"family":"Cui","given":"Bin"},{"family":"Ning","given":"Guang"}],"issued":{"date-parts":[["2019",11]]}}}],"schema":"https://github.com/citation-style-language/schema/raw/master/csl-citation.json"} </w:instrText>
      </w:r>
      <w:r w:rsidRPr="0039272C">
        <w:fldChar w:fldCharType="separate"/>
      </w:r>
      <w:r w:rsidR="00052B0E" w:rsidRPr="00052B0E">
        <w:rPr>
          <w:vertAlign w:val="superscript"/>
        </w:rPr>
        <w:t>15</w:t>
      </w:r>
      <w:r w:rsidRPr="0039272C">
        <w:fldChar w:fldCharType="end"/>
      </w:r>
      <w:r w:rsidRPr="0039272C">
        <w:t>, a representative clinical database covering &gt; 99% of Shanghai residents. The SLHD is developed and operated by the Shanghai Hospital Development Center (SHDC), which is an administrative department of the Shanghai Municipal Government. The SHDC is responsible for the surveillance of 35 tertiary hospitals in Shanghai. In China, government-run hospitals are classified as primary (grade I), secondary (grade II), or tertiary (grade III) hospitals according to their abilities in medical care, medical education, and medical research, with tertiary hospitals being the best. According to administrative regulations, all 35 tertiary hospitals are required to upload general medical practice data (i.e., outpatient visits, emergency department visits, and hospital admissions) to the SLHD. Any personally identifiable information is scrambled to protect privacy. The SLHD has released data for academic research since 2013, which requires review and approval to access.</w:t>
      </w:r>
    </w:p>
    <w:p w14:paraId="113048BC" w14:textId="77777777" w:rsidR="00827106" w:rsidRDefault="00827106" w:rsidP="00827106">
      <w:pPr>
        <w:spacing w:line="360" w:lineRule="auto"/>
        <w:jc w:val="both"/>
      </w:pPr>
    </w:p>
    <w:p w14:paraId="04630CCC" w14:textId="77777777" w:rsidR="00827106" w:rsidRDefault="00827106" w:rsidP="00827106">
      <w:pPr>
        <w:spacing w:line="360" w:lineRule="auto"/>
        <w:jc w:val="both"/>
        <w:rPr>
          <w:rFonts w:eastAsia="SimSun"/>
        </w:rPr>
      </w:pPr>
      <w:bookmarkStart w:id="0" w:name="_Hlk63031000"/>
      <w:r w:rsidRPr="00833F76">
        <w:rPr>
          <w:rFonts w:eastAsia="SimSun"/>
          <w:b/>
        </w:rPr>
        <w:t xml:space="preserve">Figure </w:t>
      </w:r>
      <w:r>
        <w:rPr>
          <w:rFonts w:eastAsia="SimSun"/>
          <w:b/>
        </w:rPr>
        <w:t>2</w:t>
      </w:r>
      <w:r w:rsidRPr="00833F76">
        <w:rPr>
          <w:rFonts w:eastAsia="SimSun" w:hint="eastAsia"/>
          <w:b/>
        </w:rPr>
        <w:t>A</w:t>
      </w:r>
      <w:r w:rsidRPr="00AA02A8">
        <w:rPr>
          <w:rFonts w:eastAsia="SimSun"/>
          <w:bCs/>
        </w:rPr>
        <w:t xml:space="preserve"> </w:t>
      </w:r>
      <w:r>
        <w:rPr>
          <w:rFonts w:eastAsia="SimSun"/>
          <w:bCs/>
        </w:rPr>
        <w:t>illustrates</w:t>
      </w:r>
      <w:r w:rsidRPr="00AA02A8">
        <w:rPr>
          <w:rFonts w:eastAsia="SimSun"/>
          <w:bCs/>
        </w:rPr>
        <w:t xml:space="preserve"> the selection process of the study </w:t>
      </w:r>
      <w:r w:rsidRPr="00991585">
        <w:rPr>
          <w:rFonts w:eastAsia="SimSun"/>
          <w:bCs/>
        </w:rPr>
        <w:t>population</w:t>
      </w:r>
      <w:r w:rsidRPr="00AA02A8">
        <w:rPr>
          <w:rFonts w:eastAsia="SimSun"/>
          <w:bCs/>
        </w:rPr>
        <w:t xml:space="preserve">. </w:t>
      </w:r>
      <w:r w:rsidRPr="00AA02A8">
        <w:rPr>
          <w:rFonts w:eastAsia="SimSun"/>
        </w:rPr>
        <w:t xml:space="preserve">First, </w:t>
      </w:r>
      <w:bookmarkStart w:id="1" w:name="OLE_LINK14"/>
      <w:r>
        <w:rPr>
          <w:rFonts w:hint="eastAsia"/>
        </w:rPr>
        <w:t>all</w:t>
      </w:r>
      <w:r>
        <w:t xml:space="preserve"> </w:t>
      </w:r>
      <w:r>
        <w:rPr>
          <w:rFonts w:hint="eastAsia"/>
        </w:rPr>
        <w:t>m</w:t>
      </w:r>
      <w:r w:rsidRPr="00D85713">
        <w:t xml:space="preserve">ales </w:t>
      </w:r>
      <w:r w:rsidRPr="00D85713">
        <w:rPr>
          <w:rFonts w:eastAsia="SimSun"/>
        </w:rPr>
        <w:t xml:space="preserve">aged </w:t>
      </w:r>
      <w:r>
        <w:rPr>
          <w:rFonts w:eastAsia="SimSun"/>
        </w:rPr>
        <w:t xml:space="preserve">between </w:t>
      </w:r>
      <w:r w:rsidRPr="00D85713">
        <w:rPr>
          <w:rFonts w:eastAsia="SimSun"/>
        </w:rPr>
        <w:t>40</w:t>
      </w:r>
      <w:r>
        <w:rPr>
          <w:rFonts w:eastAsia="SimSun"/>
        </w:rPr>
        <w:t>-</w:t>
      </w:r>
      <w:r w:rsidRPr="00D85713">
        <w:rPr>
          <w:rFonts w:eastAsia="SimSun"/>
        </w:rPr>
        <w:t>99 years</w:t>
      </w:r>
      <w:r w:rsidRPr="00D85713">
        <w:t xml:space="preserve"> newly treated with </w:t>
      </w:r>
      <w:r>
        <w:t>SGLT2 inhibitors</w:t>
      </w:r>
      <w:r w:rsidRPr="00D85713">
        <w:t xml:space="preserve"> or </w:t>
      </w:r>
      <w:r>
        <w:t>DPP4 inhibitors</w:t>
      </w:r>
      <w:r w:rsidRPr="00D85713">
        <w:t xml:space="preserve"> from March 1, </w:t>
      </w:r>
      <w:proofErr w:type="gramStart"/>
      <w:r w:rsidRPr="00D85713">
        <w:t>2017</w:t>
      </w:r>
      <w:proofErr w:type="gramEnd"/>
      <w:r w:rsidRPr="00D85713">
        <w:t xml:space="preserve"> to December 31, 2021</w:t>
      </w:r>
      <w:r>
        <w:t xml:space="preserve"> </w:t>
      </w:r>
      <w:r w:rsidRPr="00AA02A8">
        <w:rPr>
          <w:rFonts w:eastAsia="SimSun"/>
        </w:rPr>
        <w:t>we</w:t>
      </w:r>
      <w:r>
        <w:rPr>
          <w:rFonts w:eastAsia="SimSun"/>
        </w:rPr>
        <w:t>re</w:t>
      </w:r>
      <w:r w:rsidRPr="00AA02A8">
        <w:rPr>
          <w:rFonts w:eastAsia="SimSun"/>
        </w:rPr>
        <w:t xml:space="preserve"> identified</w:t>
      </w:r>
      <w:r>
        <w:t xml:space="preserve">. </w:t>
      </w:r>
      <w:r w:rsidRPr="00AA02A8">
        <w:t xml:space="preserve">Cohort entry was defined as the date </w:t>
      </w:r>
      <w:r>
        <w:t xml:space="preserve">of the </w:t>
      </w:r>
      <w:r w:rsidRPr="00AA02A8">
        <w:t>first prescription.</w:t>
      </w:r>
      <w:r w:rsidRPr="00AA02A8">
        <w:rPr>
          <w:rFonts w:eastAsia="SimSun"/>
        </w:rPr>
        <w:t xml:space="preserve"> </w:t>
      </w:r>
      <w:bookmarkStart w:id="2" w:name="OLE_LINK30"/>
      <w:r w:rsidRPr="00FF59E3">
        <w:t xml:space="preserve">Exclusion criteria were </w:t>
      </w:r>
      <w:r>
        <w:t xml:space="preserve">defined </w:t>
      </w:r>
      <w:r w:rsidRPr="00FF59E3">
        <w:t>as follows:</w:t>
      </w:r>
      <w:r>
        <w:t xml:space="preserve"> </w:t>
      </w:r>
      <w:r w:rsidRPr="00AA02A8">
        <w:rPr>
          <w:rFonts w:eastAsia="SimSun"/>
        </w:rPr>
        <w:t>patients without any medical record before cohort entry</w:t>
      </w:r>
      <w:r>
        <w:rPr>
          <w:rFonts w:eastAsia="SimSun"/>
        </w:rPr>
        <w:t>;</w:t>
      </w:r>
      <w:r w:rsidRPr="00AA02A8">
        <w:rPr>
          <w:rFonts w:eastAsia="SimSun"/>
        </w:rPr>
        <w:t xml:space="preserve"> </w:t>
      </w:r>
      <w:bookmarkEnd w:id="2"/>
      <w:r w:rsidRPr="00AA02A8">
        <w:rPr>
          <w:rFonts w:eastAsia="SimSun"/>
        </w:rPr>
        <w:t xml:space="preserve">patients </w:t>
      </w:r>
      <w:r w:rsidRPr="00987216">
        <w:rPr>
          <w:rFonts w:eastAsia="SimSun"/>
        </w:rPr>
        <w:t xml:space="preserve">who had been treated with both </w:t>
      </w:r>
      <w:r>
        <w:rPr>
          <w:rFonts w:eastAsia="SimSun"/>
        </w:rPr>
        <w:t>SGLT2 inhibitors</w:t>
      </w:r>
      <w:r w:rsidRPr="00987216">
        <w:rPr>
          <w:rFonts w:eastAsia="SimSun"/>
        </w:rPr>
        <w:t xml:space="preserve"> and </w:t>
      </w:r>
      <w:r>
        <w:rPr>
          <w:rFonts w:eastAsia="SimSun"/>
        </w:rPr>
        <w:t>DPP4 inhibitors;</w:t>
      </w:r>
      <w:r w:rsidRPr="00AA02A8">
        <w:rPr>
          <w:rFonts w:eastAsia="SimSun"/>
        </w:rPr>
        <w:t xml:space="preserve"> patients with a history of </w:t>
      </w:r>
      <w:r w:rsidRPr="00D85713">
        <w:rPr>
          <w:rFonts w:eastAsia="SimSun"/>
        </w:rPr>
        <w:t xml:space="preserve">prostate </w:t>
      </w:r>
      <w:r w:rsidRPr="00AA02A8">
        <w:rPr>
          <w:rFonts w:eastAsia="SimSun"/>
        </w:rPr>
        <w:t>cancer</w:t>
      </w:r>
      <w:r>
        <w:rPr>
          <w:rFonts w:eastAsia="SimSun"/>
        </w:rPr>
        <w:t>; p</w:t>
      </w:r>
      <w:r w:rsidRPr="00D85713">
        <w:rPr>
          <w:rFonts w:eastAsia="SimSun"/>
        </w:rPr>
        <w:t xml:space="preserve">atients with </w:t>
      </w:r>
      <w:r w:rsidRPr="00C038A3">
        <w:rPr>
          <w:rFonts w:eastAsia="SimSun"/>
        </w:rPr>
        <w:t>total prostate specific antigen</w:t>
      </w:r>
      <w:r>
        <w:rPr>
          <w:rFonts w:eastAsia="SimSun"/>
        </w:rPr>
        <w:t xml:space="preserve"> (</w:t>
      </w:r>
      <w:r w:rsidRPr="00C038A3">
        <w:rPr>
          <w:rFonts w:eastAsia="SimSun"/>
        </w:rPr>
        <w:t>PSA</w:t>
      </w:r>
      <w:r>
        <w:rPr>
          <w:rFonts w:eastAsia="SimSun"/>
        </w:rPr>
        <w:t>)</w:t>
      </w:r>
      <w:r w:rsidRPr="00D85713">
        <w:rPr>
          <w:rFonts w:eastAsia="SimSun"/>
        </w:rPr>
        <w:t xml:space="preserve"> &gt; 10 ng/mL prior to enrolment</w:t>
      </w:r>
      <w:r>
        <w:rPr>
          <w:rFonts w:eastAsia="SimSun"/>
        </w:rPr>
        <w:t>; p</w:t>
      </w:r>
      <w:r w:rsidRPr="00D85713">
        <w:rPr>
          <w:rFonts w:eastAsia="SimSun"/>
        </w:rPr>
        <w:t>atients with less than 1 day of follow-up</w:t>
      </w:r>
      <w:r w:rsidRPr="00AA02A8">
        <w:rPr>
          <w:rFonts w:eastAsia="SimSun"/>
        </w:rPr>
        <w:t>.</w:t>
      </w:r>
      <w:bookmarkEnd w:id="1"/>
      <w:r w:rsidRPr="00AA02A8">
        <w:rPr>
          <w:rFonts w:eastAsia="SimSun"/>
        </w:rPr>
        <w:t xml:space="preserve"> </w:t>
      </w:r>
      <w:r w:rsidRPr="00FF59E3">
        <w:t xml:space="preserve">All </w:t>
      </w:r>
      <w:r w:rsidRPr="00FF59E3">
        <w:rPr>
          <w:rFonts w:eastAsia="SimSun"/>
        </w:rPr>
        <w:t xml:space="preserve">patients </w:t>
      </w:r>
      <w:r w:rsidRPr="00FF59E3">
        <w:t>were followed until</w:t>
      </w:r>
      <w:r w:rsidRPr="00D02BC9">
        <w:t xml:space="preserve"> diagnosis of prostate cancer or death, or December 31, 2021</w:t>
      </w:r>
      <w:r w:rsidRPr="00AA02A8">
        <w:rPr>
          <w:rFonts w:eastAsia="SimSun"/>
        </w:rPr>
        <w:t xml:space="preserve">, whichever </w:t>
      </w:r>
      <w:r w:rsidRPr="00991585">
        <w:rPr>
          <w:rFonts w:eastAsia="SimSun"/>
        </w:rPr>
        <w:t xml:space="preserve">occurred </w:t>
      </w:r>
      <w:r w:rsidRPr="00AA02A8">
        <w:rPr>
          <w:rFonts w:eastAsia="SimSun"/>
        </w:rPr>
        <w:t>first.</w:t>
      </w:r>
    </w:p>
    <w:p w14:paraId="66EE9FEF" w14:textId="77777777" w:rsidR="00827106" w:rsidRDefault="00827106" w:rsidP="00827106">
      <w:pPr>
        <w:spacing w:line="360" w:lineRule="auto"/>
        <w:jc w:val="both"/>
      </w:pPr>
    </w:p>
    <w:p w14:paraId="6B7A8C02" w14:textId="77777777" w:rsidR="00827106" w:rsidRDefault="00827106" w:rsidP="00827106">
      <w:pPr>
        <w:spacing w:line="360" w:lineRule="auto"/>
        <w:jc w:val="both"/>
        <w:rPr>
          <w:rFonts w:eastAsia="SimSun"/>
        </w:rPr>
      </w:pPr>
      <w:r>
        <w:t>T</w:t>
      </w:r>
      <w:r w:rsidRPr="00FF59E3">
        <w:t xml:space="preserve">he following </w:t>
      </w:r>
      <w:r>
        <w:t>c</w:t>
      </w:r>
      <w:r w:rsidRPr="002B6ECB">
        <w:t>ovariate</w:t>
      </w:r>
      <w:r w:rsidRPr="00FF59E3">
        <w:t xml:space="preserve">s that may affect </w:t>
      </w:r>
      <w:r w:rsidRPr="00D02BC9">
        <w:t>prostate cancer</w:t>
      </w:r>
      <w:r w:rsidRPr="00FF59E3">
        <w:t xml:space="preserve"> risk and/or </w:t>
      </w:r>
      <w:r w:rsidRPr="00C038A3">
        <w:rPr>
          <w:rFonts w:eastAsia="SimSun"/>
        </w:rPr>
        <w:t xml:space="preserve">total </w:t>
      </w:r>
      <w:r w:rsidRPr="00D02BC9">
        <w:t>PSA</w:t>
      </w:r>
      <w:r w:rsidRPr="00FF59E3">
        <w:t xml:space="preserve"> levels were </w:t>
      </w:r>
      <w:r>
        <w:t>adjusted in the cox model</w:t>
      </w:r>
      <w:r>
        <w:rPr>
          <w:rFonts w:eastAsia="SimSun"/>
        </w:rPr>
        <w:t>:</w:t>
      </w:r>
      <w:r w:rsidRPr="00AA02A8">
        <w:rPr>
          <w:rFonts w:eastAsia="SimSun"/>
        </w:rPr>
        <w:t xml:space="preserve"> </w:t>
      </w:r>
      <w:r>
        <w:t>d</w:t>
      </w:r>
      <w:r w:rsidRPr="00FF59E3">
        <w:t>emographic data includ</w:t>
      </w:r>
      <w:r>
        <w:t>ed</w:t>
      </w:r>
      <w:r w:rsidRPr="00FF59E3">
        <w:t xml:space="preserve"> age</w:t>
      </w:r>
      <w:r>
        <w:t>;</w:t>
      </w:r>
      <w:r>
        <w:rPr>
          <w:rFonts w:eastAsia="SimSun"/>
        </w:rPr>
        <w:t xml:space="preserve"> c</w:t>
      </w:r>
      <w:r w:rsidRPr="00CE76E9">
        <w:rPr>
          <w:rFonts w:eastAsia="SimSun"/>
        </w:rPr>
        <w:t>omorbidities</w:t>
      </w:r>
      <w:r>
        <w:rPr>
          <w:rFonts w:eastAsia="SimSun"/>
        </w:rPr>
        <w:t xml:space="preserve"> included</w:t>
      </w:r>
      <w:r w:rsidRPr="00AA02A8">
        <w:rPr>
          <w:rFonts w:eastAsia="SimSun"/>
        </w:rPr>
        <w:t xml:space="preserve"> </w:t>
      </w:r>
      <w:r w:rsidRPr="00CE76E9">
        <w:rPr>
          <w:rFonts w:eastAsia="SimSun"/>
        </w:rPr>
        <w:t>benign prostatic hyperplasia</w:t>
      </w:r>
      <w:r>
        <w:rPr>
          <w:rFonts w:eastAsia="SimSun"/>
        </w:rPr>
        <w:t xml:space="preserve">, </w:t>
      </w:r>
      <w:r w:rsidRPr="00CE76E9">
        <w:rPr>
          <w:rFonts w:eastAsia="SimSun"/>
        </w:rPr>
        <w:t xml:space="preserve">hypertension, dyslipidemia, diabetic complications, ischemic heart disease, peripheral vascular disease, heart failure, cerebrovascular disease, chronic lung disease, </w:t>
      </w:r>
      <w:bookmarkStart w:id="3" w:name="OLE_LINK6"/>
      <w:r w:rsidRPr="00CE76E9">
        <w:rPr>
          <w:rFonts w:eastAsia="SimSun"/>
        </w:rPr>
        <w:t>moderate or severe kidney disease</w:t>
      </w:r>
      <w:bookmarkEnd w:id="3"/>
      <w:r w:rsidRPr="00CE76E9">
        <w:rPr>
          <w:rFonts w:eastAsia="SimSun"/>
        </w:rPr>
        <w:t>, moderate or severe liver disease</w:t>
      </w:r>
      <w:r>
        <w:rPr>
          <w:rFonts w:eastAsia="SimSun"/>
        </w:rPr>
        <w:t>, and other cancers; a</w:t>
      </w:r>
      <w:r w:rsidRPr="00785E6F">
        <w:rPr>
          <w:rFonts w:eastAsia="SimSun"/>
        </w:rPr>
        <w:t>ntidiabetic drugs</w:t>
      </w:r>
      <w:r>
        <w:rPr>
          <w:rFonts w:eastAsia="SimSun"/>
        </w:rPr>
        <w:t xml:space="preserve"> included</w:t>
      </w:r>
      <w:r w:rsidRPr="00785E6F">
        <w:rPr>
          <w:rFonts w:eastAsia="SimSun"/>
        </w:rPr>
        <w:t xml:space="preserve"> metformin, insulin, glucagon-like peptide-1 receptor agonist, </w:t>
      </w:r>
      <w:r w:rsidRPr="00785E6F">
        <w:rPr>
          <w:rFonts w:eastAsia="SimSun"/>
        </w:rPr>
        <w:lastRenderedPageBreak/>
        <w:t xml:space="preserve">sulfonylurea, glinide, α-glucosidase inhibitor, </w:t>
      </w:r>
      <w:r>
        <w:rPr>
          <w:rFonts w:eastAsia="SimSun"/>
        </w:rPr>
        <w:t xml:space="preserve">and </w:t>
      </w:r>
      <w:r w:rsidRPr="00785E6F">
        <w:rPr>
          <w:rFonts w:eastAsia="SimSun"/>
        </w:rPr>
        <w:t>thiazolidinedione</w:t>
      </w:r>
      <w:r>
        <w:rPr>
          <w:rFonts w:eastAsia="SimSun"/>
        </w:rPr>
        <w:t>;</w:t>
      </w:r>
      <w:r w:rsidRPr="00785E6F">
        <w:rPr>
          <w:rFonts w:eastAsia="SimSun"/>
        </w:rPr>
        <w:t xml:space="preserve"> </w:t>
      </w:r>
      <w:r>
        <w:rPr>
          <w:rFonts w:eastAsia="SimSun"/>
        </w:rPr>
        <w:t>other m</w:t>
      </w:r>
      <w:r w:rsidRPr="00CE76E9">
        <w:rPr>
          <w:rFonts w:eastAsia="SimSun"/>
        </w:rPr>
        <w:t>edications</w:t>
      </w:r>
      <w:r>
        <w:rPr>
          <w:rFonts w:eastAsia="SimSun"/>
        </w:rPr>
        <w:t xml:space="preserve"> included </w:t>
      </w:r>
      <w:r w:rsidRPr="00CE76E9">
        <w:t>angiotensin converting enzyme inhibitor, angiotensin receptor blocker, calcium channel blocker,</w:t>
      </w:r>
      <w:r>
        <w:rPr>
          <w:rFonts w:hint="eastAsia"/>
        </w:rPr>
        <w:t xml:space="preserve"> </w:t>
      </w:r>
      <w:r w:rsidRPr="00CE76E9">
        <w:t xml:space="preserve">α/β-blockers, diuretic, statin, fibrate, aspirin, </w:t>
      </w:r>
      <w:r w:rsidRPr="00CE76E9">
        <w:rPr>
          <w:rFonts w:eastAsia="SimSun"/>
        </w:rPr>
        <w:t xml:space="preserve">other antiplatelet drugs, </w:t>
      </w:r>
      <w:r w:rsidRPr="00CE76E9">
        <w:t>non-steroidal anti-inflammatory drug, and 5α-reductase inhibitor</w:t>
      </w:r>
      <w:r>
        <w:t xml:space="preserve">. All </w:t>
      </w:r>
      <w:r>
        <w:rPr>
          <w:rFonts w:eastAsia="SimSun"/>
        </w:rPr>
        <w:t>c</w:t>
      </w:r>
      <w:r w:rsidRPr="00AA02A8">
        <w:rPr>
          <w:rFonts w:eastAsia="SimSun"/>
        </w:rPr>
        <w:t xml:space="preserve">omorbidities and medications </w:t>
      </w:r>
      <w:r>
        <w:rPr>
          <w:rFonts w:eastAsia="SimSun"/>
        </w:rPr>
        <w:t xml:space="preserve">records </w:t>
      </w:r>
      <w:r w:rsidRPr="00AA02A8">
        <w:rPr>
          <w:rFonts w:eastAsia="SimSun"/>
        </w:rPr>
        <w:t xml:space="preserve">were assessed by relevant medical records </w:t>
      </w:r>
      <w:r w:rsidRPr="00F20CD3">
        <w:rPr>
          <w:rFonts w:eastAsia="SimSun"/>
        </w:rPr>
        <w:t>prior to</w:t>
      </w:r>
      <w:r>
        <w:rPr>
          <w:rFonts w:eastAsia="SimSun"/>
        </w:rPr>
        <w:t xml:space="preserve"> </w:t>
      </w:r>
      <w:r w:rsidRPr="00AA02A8">
        <w:rPr>
          <w:rFonts w:eastAsia="SimSun"/>
        </w:rPr>
        <w:t>cohort entry.</w:t>
      </w:r>
      <w:bookmarkEnd w:id="0"/>
      <w:r>
        <w:rPr>
          <w:rFonts w:eastAsia="SimSun"/>
        </w:rPr>
        <w:t xml:space="preserve"> </w:t>
      </w:r>
      <w:r w:rsidRPr="0093161B">
        <w:t>In addition to</w:t>
      </w:r>
      <w:r w:rsidRPr="00FF59E3">
        <w:t xml:space="preserve"> the original cohort, </w:t>
      </w:r>
      <w:r>
        <w:t xml:space="preserve">we also </w:t>
      </w:r>
      <w:r w:rsidRPr="00FF59E3">
        <w:t>establish</w:t>
      </w:r>
      <w:r>
        <w:t>ed</w:t>
      </w:r>
      <w:r w:rsidRPr="00FF59E3">
        <w:t xml:space="preserve"> a 1:</w:t>
      </w:r>
      <w:r>
        <w:t>1</w:t>
      </w:r>
      <w:r w:rsidRPr="00FF59E3">
        <w:t xml:space="preserve"> propensity </w:t>
      </w:r>
      <w:proofErr w:type="gramStart"/>
      <w:r w:rsidRPr="00FF59E3">
        <w:t>score</w:t>
      </w:r>
      <w:proofErr w:type="gramEnd"/>
      <w:r>
        <w:t xml:space="preserve"> </w:t>
      </w:r>
      <w:r w:rsidRPr="00FF59E3">
        <w:t xml:space="preserve">matched cohort of </w:t>
      </w:r>
      <w:r>
        <w:rPr>
          <w:rFonts w:eastAsia="SimSun"/>
        </w:rPr>
        <w:t>SGLT2 inhibitors</w:t>
      </w:r>
      <w:r w:rsidRPr="00987216">
        <w:rPr>
          <w:rFonts w:eastAsia="SimSun"/>
        </w:rPr>
        <w:t xml:space="preserve"> </w:t>
      </w:r>
      <w:r w:rsidRPr="00FF59E3">
        <w:t xml:space="preserve">users and </w:t>
      </w:r>
      <w:r>
        <w:rPr>
          <w:rFonts w:eastAsia="SimSun"/>
        </w:rPr>
        <w:t>DPP4 inhibitors</w:t>
      </w:r>
      <w:r w:rsidRPr="00FF59E3">
        <w:t xml:space="preserve"> users</w:t>
      </w:r>
      <w:r w:rsidRPr="009C58C5">
        <w:t xml:space="preserve"> </w:t>
      </w:r>
      <w:r>
        <w:t>(</w:t>
      </w:r>
      <w:r w:rsidRPr="00AA02A8">
        <w:rPr>
          <w:rFonts w:eastAsia="SimSun"/>
        </w:rPr>
        <w:t>caliper</w:t>
      </w:r>
      <w:r>
        <w:rPr>
          <w:rFonts w:eastAsia="SimSun"/>
        </w:rPr>
        <w:t>:</w:t>
      </w:r>
      <w:r w:rsidRPr="00AA02A8">
        <w:rPr>
          <w:rFonts w:eastAsia="SimSun"/>
        </w:rPr>
        <w:t xml:space="preserve"> 0.20 standard deviation of the logit of the estimated </w:t>
      </w:r>
      <w:r w:rsidRPr="00FF59E3">
        <w:t>propensity score</w:t>
      </w:r>
      <w:r>
        <w:t>)</w:t>
      </w:r>
      <w:r w:rsidRPr="00FF59E3">
        <w:t>.</w:t>
      </w:r>
      <w:bookmarkStart w:id="4" w:name="_Hlk99219086"/>
      <w:r>
        <w:rPr>
          <w:rFonts w:hint="eastAsia"/>
        </w:rPr>
        <w:t xml:space="preserve"> </w:t>
      </w:r>
      <w:r w:rsidRPr="00AA02A8">
        <w:rPr>
          <w:rFonts w:eastAsia="SimSun"/>
        </w:rPr>
        <w:t xml:space="preserve">Standardized mean differences (SMDs) were calculated for all </w:t>
      </w:r>
      <w:r w:rsidRPr="00FF59E3">
        <w:t>covariates</w:t>
      </w:r>
      <w:r w:rsidRPr="00AA02A8">
        <w:t xml:space="preserve"> </w:t>
      </w:r>
      <w:r w:rsidRPr="00AA02A8">
        <w:rPr>
          <w:rFonts w:eastAsia="SimSun"/>
        </w:rPr>
        <w:t xml:space="preserve">between </w:t>
      </w:r>
      <w:r>
        <w:rPr>
          <w:rFonts w:eastAsia="SimSun"/>
        </w:rPr>
        <w:t>SGLT2 inhibitors</w:t>
      </w:r>
      <w:r w:rsidRPr="00987216">
        <w:rPr>
          <w:rFonts w:eastAsia="SimSun"/>
        </w:rPr>
        <w:t xml:space="preserve"> </w:t>
      </w:r>
      <w:r w:rsidRPr="00FF59E3">
        <w:t xml:space="preserve">users and </w:t>
      </w:r>
      <w:r>
        <w:rPr>
          <w:rFonts w:eastAsia="SimSun"/>
        </w:rPr>
        <w:t>DPP4 inhibitors</w:t>
      </w:r>
      <w:r w:rsidRPr="00FF59E3">
        <w:t xml:space="preserve"> users</w:t>
      </w:r>
      <w:r w:rsidRPr="00AA02A8">
        <w:rPr>
          <w:rFonts w:eastAsia="SimSun"/>
        </w:rPr>
        <w:t xml:space="preserve">, </w:t>
      </w:r>
      <w:r>
        <w:rPr>
          <w:rFonts w:eastAsia="SimSun"/>
        </w:rPr>
        <w:t>with</w:t>
      </w:r>
      <w:r w:rsidRPr="00AA02A8">
        <w:rPr>
          <w:rFonts w:eastAsia="SimSun"/>
        </w:rPr>
        <w:t xml:space="preserve"> values less than 10% </w:t>
      </w:r>
      <w:r w:rsidRPr="0093161B">
        <w:rPr>
          <w:rFonts w:eastAsia="SimSun"/>
        </w:rPr>
        <w:t>likely to</w:t>
      </w:r>
      <w:r>
        <w:rPr>
          <w:rFonts w:eastAsia="SimSun"/>
        </w:rPr>
        <w:t xml:space="preserve"> </w:t>
      </w:r>
      <w:r w:rsidRPr="00AA02A8">
        <w:rPr>
          <w:rFonts w:eastAsia="SimSun"/>
        </w:rPr>
        <w:t>indicate relative balance.</w:t>
      </w:r>
      <w:bookmarkEnd w:id="4"/>
    </w:p>
    <w:p w14:paraId="575A100D" w14:textId="77777777" w:rsidR="00827106" w:rsidRPr="00DE1004" w:rsidRDefault="00827106" w:rsidP="00827106">
      <w:pPr>
        <w:spacing w:line="360" w:lineRule="auto"/>
        <w:jc w:val="both"/>
      </w:pPr>
    </w:p>
    <w:p w14:paraId="3526AF25" w14:textId="77777777" w:rsidR="00827106" w:rsidRPr="00AA02A8" w:rsidRDefault="00827106" w:rsidP="00827106">
      <w:pPr>
        <w:spacing w:line="360" w:lineRule="auto"/>
        <w:jc w:val="both"/>
        <w:rPr>
          <w:rFonts w:eastAsia="SimSun"/>
        </w:rPr>
      </w:pPr>
      <w:r>
        <w:rPr>
          <w:rFonts w:eastAsia="SimSun"/>
        </w:rPr>
        <w:t>For the survival analysis, b</w:t>
      </w:r>
      <w:r w:rsidRPr="00AA02A8">
        <w:rPr>
          <w:rFonts w:eastAsia="SimSun"/>
        </w:rPr>
        <w:t>aselin</w:t>
      </w:r>
      <w:r w:rsidRPr="00AA02A8">
        <w:rPr>
          <w:rFonts w:eastAsia="SimSun"/>
          <w:color w:val="000000" w:themeColor="text1"/>
        </w:rPr>
        <w:t xml:space="preserve">e characteristics of </w:t>
      </w:r>
      <w:r>
        <w:rPr>
          <w:rFonts w:eastAsia="SimSun"/>
        </w:rPr>
        <w:t>SGLT2 inhibitors</w:t>
      </w:r>
      <w:r w:rsidRPr="00987216">
        <w:rPr>
          <w:rFonts w:eastAsia="SimSun"/>
        </w:rPr>
        <w:t xml:space="preserve"> </w:t>
      </w:r>
      <w:r w:rsidRPr="00FF59E3">
        <w:t xml:space="preserve">users and </w:t>
      </w:r>
      <w:r>
        <w:rPr>
          <w:rFonts w:eastAsia="SimSun"/>
        </w:rPr>
        <w:t>DPP4 inhibitors</w:t>
      </w:r>
      <w:r w:rsidRPr="00FF59E3">
        <w:t xml:space="preserve"> users</w:t>
      </w:r>
      <w:r w:rsidRPr="00AA02A8">
        <w:rPr>
          <w:rFonts w:eastAsia="SimSun"/>
          <w:color w:val="000000" w:themeColor="text1"/>
        </w:rPr>
        <w:t xml:space="preserve"> are presented as </w:t>
      </w:r>
      <w:r>
        <w:rPr>
          <w:rFonts w:eastAsia="SimSun"/>
          <w:color w:val="000000" w:themeColor="text1"/>
        </w:rPr>
        <w:t>median</w:t>
      </w:r>
      <w:r w:rsidRPr="00AA02A8">
        <w:rPr>
          <w:rFonts w:eastAsia="SimSun"/>
          <w:color w:val="000000" w:themeColor="text1"/>
        </w:rPr>
        <w:t xml:space="preserve">s with </w:t>
      </w:r>
      <w:r>
        <w:rPr>
          <w:rFonts w:eastAsia="SimSun"/>
          <w:color w:val="000000" w:themeColor="text1"/>
        </w:rPr>
        <w:t>i</w:t>
      </w:r>
      <w:r w:rsidRPr="00DE1004">
        <w:rPr>
          <w:rFonts w:eastAsia="SimSun"/>
          <w:color w:val="000000" w:themeColor="text1"/>
        </w:rPr>
        <w:t>nterquartile range</w:t>
      </w:r>
      <w:r w:rsidRPr="00AA02A8">
        <w:rPr>
          <w:rFonts w:eastAsia="SimSun"/>
          <w:color w:val="000000" w:themeColor="text1"/>
        </w:rPr>
        <w:t>s (</w:t>
      </w:r>
      <w:r>
        <w:rPr>
          <w:rFonts w:eastAsia="SimSun"/>
          <w:color w:val="000000" w:themeColor="text1"/>
        </w:rPr>
        <w:t>IQR</w:t>
      </w:r>
      <w:r w:rsidRPr="00AA02A8">
        <w:rPr>
          <w:rFonts w:eastAsia="SimSun"/>
          <w:color w:val="000000" w:themeColor="text1"/>
        </w:rPr>
        <w:t>s) for continuous variables and frequencies with percentages for categorical variabl</w:t>
      </w:r>
      <w:r w:rsidRPr="00AA02A8">
        <w:rPr>
          <w:rFonts w:eastAsia="SimSun"/>
        </w:rPr>
        <w:t>es.</w:t>
      </w:r>
      <w:r>
        <w:rPr>
          <w:rFonts w:eastAsia="SimSun" w:hint="eastAsia"/>
        </w:rPr>
        <w:t xml:space="preserve"> </w:t>
      </w:r>
      <w:r w:rsidRPr="00AA02A8">
        <w:t xml:space="preserve">The crude incidence rate of </w:t>
      </w:r>
      <w:bookmarkStart w:id="5" w:name="_Hlk97492937"/>
      <w:r w:rsidRPr="0096272C">
        <w:t>prostate cancer-by-proxy</w:t>
      </w:r>
      <w:r w:rsidRPr="00AA02A8">
        <w:t xml:space="preserve"> </w:t>
      </w:r>
      <w:bookmarkEnd w:id="5"/>
      <w:r w:rsidRPr="00AA02A8">
        <w:t xml:space="preserve">was calculated by dividing the number of cases by the number of person-years. </w:t>
      </w:r>
      <w:r w:rsidRPr="00AA02A8">
        <w:rPr>
          <w:rFonts w:eastAsia="SimSun"/>
        </w:rPr>
        <w:t>Cox</w:t>
      </w:r>
      <w:r w:rsidRPr="00AA02A8">
        <w:t xml:space="preserve"> </w:t>
      </w:r>
      <w:r w:rsidRPr="00AA02A8">
        <w:rPr>
          <w:rFonts w:eastAsia="SimSun"/>
        </w:rPr>
        <w:t xml:space="preserve">proportional hazards models were </w:t>
      </w:r>
      <w:r>
        <w:rPr>
          <w:rFonts w:eastAsia="SimSun"/>
        </w:rPr>
        <w:t>used</w:t>
      </w:r>
      <w:r w:rsidRPr="00AA02A8">
        <w:rPr>
          <w:rFonts w:eastAsia="SimSun"/>
        </w:rPr>
        <w:t xml:space="preserve"> to estimate hazard ratios (HRs) and 95% confidence intervals (CIs) of incident </w:t>
      </w:r>
      <w:r w:rsidRPr="0096272C">
        <w:t>prostate cancer-by-proxy</w:t>
      </w:r>
      <w:r w:rsidRPr="00AA02A8">
        <w:rPr>
          <w:rFonts w:eastAsia="SimSun"/>
        </w:rPr>
        <w:t xml:space="preserve">, comparing </w:t>
      </w:r>
      <w:r>
        <w:rPr>
          <w:rFonts w:eastAsia="SimSun"/>
        </w:rPr>
        <w:t>SGLT2 inhibitors</w:t>
      </w:r>
      <w:r w:rsidRPr="00987216">
        <w:rPr>
          <w:rFonts w:eastAsia="SimSun"/>
        </w:rPr>
        <w:t xml:space="preserve"> </w:t>
      </w:r>
      <w:r w:rsidRPr="00FF59E3">
        <w:t>use</w:t>
      </w:r>
      <w:r w:rsidRPr="00AA02A8">
        <w:rPr>
          <w:rFonts w:eastAsia="SimSun"/>
        </w:rPr>
        <w:t xml:space="preserve"> with </w:t>
      </w:r>
      <w:r>
        <w:rPr>
          <w:rFonts w:eastAsia="SimSun"/>
        </w:rPr>
        <w:t>DPP4 inhibitors</w:t>
      </w:r>
      <w:r w:rsidRPr="00FF59E3">
        <w:t xml:space="preserve"> use</w:t>
      </w:r>
      <w:r w:rsidRPr="00AA02A8">
        <w:rPr>
          <w:rFonts w:eastAsia="SimSun"/>
        </w:rPr>
        <w:t xml:space="preserve">. Sensitivity analyses were performed by setting different lag periods: 1-month, </w:t>
      </w:r>
      <w:r>
        <w:rPr>
          <w:rFonts w:eastAsia="SimSun"/>
        </w:rPr>
        <w:t>2</w:t>
      </w:r>
      <w:r w:rsidRPr="00AA02A8">
        <w:rPr>
          <w:rFonts w:eastAsia="SimSun"/>
        </w:rPr>
        <w:t xml:space="preserve">-month, </w:t>
      </w:r>
      <w:r>
        <w:rPr>
          <w:rFonts w:eastAsia="SimSun"/>
        </w:rPr>
        <w:t>3</w:t>
      </w:r>
      <w:r w:rsidRPr="00AA02A8">
        <w:rPr>
          <w:rFonts w:eastAsia="SimSun"/>
        </w:rPr>
        <w:t xml:space="preserve">-month, </w:t>
      </w:r>
      <w:r>
        <w:rPr>
          <w:rFonts w:eastAsia="SimSun"/>
        </w:rPr>
        <w:t>and</w:t>
      </w:r>
      <w:r w:rsidRPr="00AA02A8">
        <w:rPr>
          <w:rFonts w:eastAsia="SimSun"/>
        </w:rPr>
        <w:t xml:space="preserve"> </w:t>
      </w:r>
      <w:r>
        <w:rPr>
          <w:rFonts w:eastAsia="SimSun"/>
        </w:rPr>
        <w:t>6</w:t>
      </w:r>
      <w:r w:rsidRPr="00AA02A8">
        <w:rPr>
          <w:rFonts w:eastAsia="SimSun"/>
        </w:rPr>
        <w:t xml:space="preserve">-month lag period. </w:t>
      </w:r>
      <w:r>
        <w:rPr>
          <w:rFonts w:eastAsia="SimSun"/>
          <w:color w:val="000000" w:themeColor="text1"/>
        </w:rPr>
        <w:t>S</w:t>
      </w:r>
      <w:r w:rsidRPr="00AA02A8">
        <w:rPr>
          <w:rFonts w:eastAsia="SimSun"/>
          <w:color w:val="000000" w:themeColor="text1"/>
        </w:rPr>
        <w:t>tatistical analyses were performed using R language software (version 4.1.2).</w:t>
      </w:r>
    </w:p>
    <w:p w14:paraId="2819F1EA" w14:textId="77777777" w:rsidR="00827106" w:rsidRDefault="00827106" w:rsidP="00827106">
      <w:pPr>
        <w:spacing w:line="360" w:lineRule="auto"/>
        <w:jc w:val="both"/>
      </w:pPr>
    </w:p>
    <w:p w14:paraId="06625ED3" w14:textId="77777777" w:rsidR="00827106" w:rsidRPr="007F55EF" w:rsidRDefault="00827106" w:rsidP="00827106">
      <w:pPr>
        <w:spacing w:line="360" w:lineRule="auto"/>
        <w:jc w:val="both"/>
        <w:rPr>
          <w:b/>
          <w:bCs/>
        </w:rPr>
      </w:pPr>
      <w:r w:rsidRPr="007476D3">
        <w:rPr>
          <w:b/>
          <w:bCs/>
        </w:rPr>
        <w:t>The prospective association of HbA</w:t>
      </w:r>
      <w:r w:rsidRPr="007476D3">
        <w:rPr>
          <w:b/>
          <w:bCs/>
          <w:vertAlign w:val="subscript"/>
        </w:rPr>
        <w:t>1c</w:t>
      </w:r>
      <w:r w:rsidRPr="007476D3">
        <w:rPr>
          <w:b/>
          <w:bCs/>
        </w:rPr>
        <w:t xml:space="preserve"> </w:t>
      </w:r>
      <w:r w:rsidRPr="007476D3">
        <w:rPr>
          <w:rFonts w:hint="eastAsia"/>
          <w:b/>
          <w:bCs/>
        </w:rPr>
        <w:t>with</w:t>
      </w:r>
      <w:r w:rsidRPr="007476D3">
        <w:rPr>
          <w:b/>
          <w:bCs/>
        </w:rPr>
        <w:t xml:space="preserve"> incident prostate cancer in </w:t>
      </w:r>
      <w:r w:rsidRPr="00361C56">
        <w:rPr>
          <w:b/>
          <w:bCs/>
        </w:rPr>
        <w:t xml:space="preserve">the Risk Evaluation of Cancers in Chinese diabetic individuals: a longitudinal (REACTION) </w:t>
      </w:r>
      <w:r>
        <w:rPr>
          <w:b/>
          <w:bCs/>
        </w:rPr>
        <w:t>Study</w:t>
      </w:r>
    </w:p>
    <w:p w14:paraId="06DC7CB4" w14:textId="4876F6CF" w:rsidR="00827106" w:rsidRPr="00203B0D" w:rsidRDefault="00827106" w:rsidP="00827106">
      <w:pPr>
        <w:spacing w:line="360" w:lineRule="auto"/>
        <w:jc w:val="both"/>
      </w:pPr>
      <w:r w:rsidRPr="007476D3">
        <w:t>We estimated the association between HbA</w:t>
      </w:r>
      <w:r w:rsidRPr="007476D3">
        <w:rPr>
          <w:vertAlign w:val="subscript"/>
        </w:rPr>
        <w:t>1c</w:t>
      </w:r>
      <w:r w:rsidRPr="007476D3">
        <w:t xml:space="preserve"> and incident prostate cancer </w:t>
      </w:r>
      <w:r w:rsidRPr="007476D3">
        <w:rPr>
          <w:rFonts w:hint="eastAsia"/>
        </w:rPr>
        <w:t>du</w:t>
      </w:r>
      <w:r>
        <w:t>ring a</w:t>
      </w:r>
      <w:r w:rsidRPr="007476D3">
        <w:t xml:space="preserve"> </w:t>
      </w:r>
      <w:r>
        <w:t xml:space="preserve">median of </w:t>
      </w:r>
      <w:r w:rsidRPr="007476D3">
        <w:t>10</w:t>
      </w:r>
      <w:r>
        <w:t>.1</w:t>
      </w:r>
      <w:r w:rsidRPr="007476D3">
        <w:t xml:space="preserve"> years of follow-up in the </w:t>
      </w:r>
      <w:r w:rsidRPr="007476D3">
        <w:rPr>
          <w:rFonts w:hint="eastAsia"/>
        </w:rPr>
        <w:t>R</w:t>
      </w:r>
      <w:r w:rsidRPr="007476D3">
        <w:t>isk Evaluation of Cancers in Chinese diabetic individuals: a longitudinal (REACTION) study</w:t>
      </w:r>
      <w:r w:rsidRPr="007476D3">
        <w:fldChar w:fldCharType="begin"/>
      </w:r>
      <w:r w:rsidR="00052B0E">
        <w:instrText xml:space="preserve"> ADDIN ZOTERO_ITEM CSL_CITATION {"citationID":"KYWcfGSJ","properties":{"formattedCitation":"\\super 16\\nosupersub{}","plainCitation":"16","noteIndex":0},"citationItems":[{"id":"xmpeSjVn/p0fmGFG6","uris":["http://zotero.org/users/local/ONYY32YX/items/T58KKVY6"],"itemData":{"id":118126,"type":"article-journal","abstract":"OBJECTIVE: To demonstrate whether abnormal glucose metabolism (diabetes\nand prediabetes) is associated with increased risk for cancer in the\nChinese population and to identify factors that modify the risk of cancer\namong individuals with abnormal glucose metabolism. METHODS: Between 2011\nand 2012, 259 657 community-dwelling adults, aged 40 years and older, were\nrecruited from 25 centers across mainland China to participant in the\nbaseline survey of the REACTION study, with follow-up investigations\nperformed 3, 5, and 10 years later. Detailed questionnaires about\nlifestyles, physical and biochemical measurement, bio-samples including\nserum, urine, and whole blood for DNA extraction were collected for all\nthe participants. RESULTS: The mean ± standard deviation (SD) age of this\ncohort was 57 ± 10 years. And the prevalence of pre-existing and newly\ndiagnosed diabetes was 10.32% and 10.57%, respectively. A total of 4511\nprevalent cancer cases (988 men and 3523 women) were identified, the\nprevalence was 1.79. Compared to those with normal glucose metabolism, men\nwith diabetes had a significantly lower adjusted prevalence ratio (PR) of\nstomach cancer (PR: 0.38, 95% CI: 0.16-0.89), and women with diabetes had\nsignificantly higher adjusted PRs of cancer of all sites (PR: 1.36, 95%\nCI: 1.20-1.56), and cancer of the breast (PR: 1.56, 95% CI: 1.21-2.00),\nthe endometrium (PR: 1.58, 95% CI: 1.16-2.15), and the thyroid (PR: 1.53,\n95% CI: 1.03-2.27). CONCLUSION: The multi-center REACTION study has\ncaptured a broad range of data on physical, psychological and metabolic\nfunction as well as health status, biochemical and lifestyle information\nin 259 657 adults from the general population across the China.","container-title":"J. Diabetes","DOI":"10.1111/1753-0407.12108","ISSN":"1753-0393","issue":"2","page":"147-157","title":"Cohort profile: risk evaluation of cancers in Chinese diabetic individuals: a longitudinal (REACTION) study","volume":"6","author":[{"family":"Bi","given":"Yufang"},{"family":"Lu","given":"Jieli"},{"family":"Wang","given":"Weiqing"},{"family":"Mu","given":"Yiming"},{"family":"Zhao","given":"Jiajun"},{"family":"Liu","given":"Chao"},{"family":"Chen","given":"Lulu"},{"family":"Shi","given":"Lixin"},{"family":"Li","given":"Qiang"},{"family":"Wan","given":"Qin"},{"family":"Wu","given":"Shengli"},{"family":"Yang","given":"Tao"},{"family":"Yan","given":"Li"},{"family":"Liu","given":"Yan"},{"family":"Wang","given":"Guixia"},{"family":"Luo","given":"Zuojie"},{"family":"Tang","given":"Xulei"},{"family":"Chen","given":"Gang"},{"family":"Huo","given":"Yanan"},{"family":"Gao","given":"Zhengnan"},{"family":"Su","given":"Qing"},{"family":"Ye","given":"Zhen"},{"family":"Wang","given":"Youming"},{"family":"Qin","given":"Guijun"},{"family":"Deng","given":"Huacong"},{"family":"Yu","given":"Xuefeng"},{"family":"Shen","given":"Feixia"},{"family":"Chen","given":"Li"},{"family":"Zhao","given":"Liebin"},{"family":"Zhang","given":"Jie"},{"family":"Sun","given":"Jichao"},{"family":"Dai","given":"Meng"},{"family":"Xu","given":"Min"},{"family":"Xu","given":"Yu"},{"family":"Chen","given":"Yuhong"},{"family":"Lai","given":"Shenghan"},{"family":"Bloomgarden","given":"Zachary T"},{"family":"Li","given":"Donghui"},{"family":"Ning","given":"Guang"}],"issued":{"date-parts":[["2014",3]]}}}],"schema":"https://github.com/citation-style-language/schema/raw/master/csl-citation.json"} </w:instrText>
      </w:r>
      <w:r w:rsidRPr="007476D3">
        <w:fldChar w:fldCharType="separate"/>
      </w:r>
      <w:r w:rsidR="00052B0E" w:rsidRPr="00052B0E">
        <w:rPr>
          <w:vertAlign w:val="superscript"/>
        </w:rPr>
        <w:t>16</w:t>
      </w:r>
      <w:r w:rsidRPr="007476D3">
        <w:fldChar w:fldCharType="end"/>
      </w:r>
      <w:r w:rsidRPr="00DB01EB">
        <w:rPr>
          <w:vertAlign w:val="superscript"/>
        </w:rPr>
        <w:t>,</w:t>
      </w:r>
      <w:r>
        <w:rPr>
          <w:vertAlign w:val="superscript"/>
        </w:rPr>
        <w:fldChar w:fldCharType="begin"/>
      </w:r>
      <w:r w:rsidR="00052B0E">
        <w:rPr>
          <w:vertAlign w:val="superscript"/>
        </w:rPr>
        <w:instrText xml:space="preserve"> ADDIN ZOTERO_ITEM CSL_CITATION {"citationID":"agbdaadfrv","properties":{"formattedCitation":"\\super 17\\nosupersub{}","plainCitation":"17","noteIndex":0},"citationItems":[{"id":"xmpeSjVn/HdMyOwDI","uris":["http://zotero.org/users/local/ONYY32YX/items/65P3XITA"],"itemData":{"id":202653,"type":"article-journal","abstract":"Hyperinsulinemia and insulin resistance were reported to play a crucial\nrole in diabetes-cancer relationship. This study aimed to explore the\nassociations between insulin resistance and several female cancers in a\nnon-diabetic population. This cross-sectional study was conducted in\n121,230 middle-aged and elderly non-diabetic women. Cancer diagnosis was\nself-reported and further validated by medical records. Insulin resistance\nwas defined as homeostasis model assessment of insulin resistance\n(HOMA-IR) ≥ 2.50. The prevalence of both premenopausal and postmenopausal\nbreast cancer, postmenopausal ovarian cancer and premenopausal endometrial\ncancer were higher in insulin-resistant participants than in\ninsulin-sensitive participants (premenopausal breast cancer, 0.45 vs\n0.28%; postmenopausal breast cancer, 0.86 vs 0.63%; postmenopausal ovarian\ncancer, 0.17 vs 0.09%; premenopausal endometrial cancer, 0.43 vs 0.25%,\nrespectively, all P &lt; 0.05). Individuals with insulin resistance had\nhigher odds ratio (OR) of breast cancer, both premenopausal and\npostmenopausal (OR 1.98, 95% confidence interval (CI) 1.19-3.32; OR 1.29,\n95% CI 1.01-1.63), postmenopausal ovarian cancer (OR 2.17, 95% CI\n1.10-3.40) as well as total endometrial cancer (OR 1.47, 95% CI\n1.02-2.12). Subgroup analysis revealed that the possitive association\nbetween insulin resistance and risk of prevalent breast cancer was\nobserved in popualtion with younger age, overweight or obesity, higher\neducation and impaired glucose tolerance (IGR). No relationships were\nobserved for the risk of prevalent cervical cancers with insulin\nresistance. Non-diabetic women with insulin resistance had higher risk of\nprevalent breast, ovarian and endomatrial cancer, which suggests special\nattentions to these female cancer screening and prevention.","container-title":"Am. J. Cancer Res.","ISSN":"2156-6976","issue":"10","page":"2334-2344","title":"Association of insulin resistance with breast, ovarian, endometrial and cervical cancers in non-diabetic women","volume":"6","author":[{"family":"Sun","given":"Wanwan"},{"family":"Lu","given":"Jieli"},{"family":"Wu","given":"Shengli"},{"family":"Bi","given":"Yufang"},{"family":"Mu","given":"Yiming"},{"family":"Zhao","given":"Jiajun"},{"family":"Liu","given":"Chao"},{"family":"Chen","given":"Lulu"},{"family":"Shi","given":"Lixin"},{"family":"Li","given":"Qiang"},{"family":"Yang","given":"Tao"},{"family":"Yan","given":"Li"},{"family":"Wan","given":"Qin"},{"family":"Liu","given":"Yan"},{"family":"Wang","given":"Guixia"},{"family":"Luo","given":"Zuojie"},{"family":"Tang","given":"Xulei"},{"family":"Chen","given":"Gang"},{"family":"Huo","given":"Yanan"},{"family":"Gao","given":"Zhengnan"},{"family":"Su","given":"Qing"},{"family":"Ye","given":"Zhen"},{"family":"Wang","given":"Youmin"},{"family":"Qin","given":"Guijun"},{"family":"Deng","given":"Huacong"},{"family":"Yu","given":"Xuefeng"},{"family":"Shen","given":"Feixia"},{"family":"Chen","given":"Li"},{"family":"Zhao","given":"Liebin"},{"family":"Wang","given":"Tiange"},{"family":"Sun","given":"Jichao"},{"family":"Xu","given":"Min"},{"family":"Xu","given":"Yu"},{"family":"Chen","given":"Yuhong"},{"family":"Dai","given":"Meng"},{"family":"Zhang","given":"Jie"},{"family":"Zhang","given":"Di"},{"family":"Lai","given":"Shenghan"},{"family":"Li","given":"Donghui"},{"family":"Ning","given":"Guang"},{"family":"Wang","given":"Weiqing"}],"issued":{"date-parts":[["2016",10,1]]}}}],"schema":"https://github.com/citation-style-language/schema/raw/master/csl-citation.json"} </w:instrText>
      </w:r>
      <w:r>
        <w:rPr>
          <w:vertAlign w:val="superscript"/>
        </w:rPr>
        <w:fldChar w:fldCharType="separate"/>
      </w:r>
      <w:r w:rsidR="00052B0E" w:rsidRPr="00052B0E">
        <w:rPr>
          <w:vertAlign w:val="superscript"/>
        </w:rPr>
        <w:t>17</w:t>
      </w:r>
      <w:r>
        <w:rPr>
          <w:vertAlign w:val="superscript"/>
        </w:rPr>
        <w:fldChar w:fldCharType="end"/>
      </w:r>
      <w:r>
        <w:rPr>
          <w:vertAlign w:val="superscript"/>
        </w:rPr>
        <w:t>,</w:t>
      </w:r>
      <w:r>
        <w:rPr>
          <w:vertAlign w:val="superscript"/>
        </w:rPr>
        <w:fldChar w:fldCharType="begin"/>
      </w:r>
      <w:r w:rsidR="00052B0E">
        <w:rPr>
          <w:vertAlign w:val="superscript"/>
        </w:rPr>
        <w:instrText xml:space="preserve"> ADDIN ZOTERO_ITEM CSL_CITATION {"citationID":"at9m409gl","properties":{"formattedCitation":"\\super 18\\nosupersub{}","plainCitation":"18","noteIndex":0},"citationItems":[{"id":"xmpeSjVn/f8udkVQR","uris":["http://zotero.org/users/local/ONYY32YX/items/DENQNJCZ"],"itemData":{"id":202652,"type":"article-journal","abstract":"BACKGROUND: Chronic kidney disease (CKD) increases cardiovascular disease\n(CVD) risk. However, the association of mildly reduced kidney function\nwith CVD risk is unclear. METHODS AND RESULTS: This study investigated the\nassociation of estimated glomerular filtration rate (eGFR) with prevalent\nCVDs, 10-year Framingham risk for coronary heart disease (CHD), and\n10-year risk of atherosclerotic cardiovascular diseases (ASCVD) in 239 832\nparticipants from the baseline of the Risk Evaluation of cAncers in\nChinese diabeTic Individuals: a lONgitudinal study. With an\ninterviewer-assisted questionnaire, we collected information on CVD,\nincluding reported CHD, stroke, or myocardial infarction. Chronic Kidney\nDisease-Epidemiology Collaboration (CKD-EPI) equation was used to\ncalculate eGFR. Compared with individuals with normal eGFR (≥90 mL/min per\n1.73 m(2)), those with decreased eGFR (75-89, 60-74, and &lt;60 mL/min per\n1.73 m(2)) had higher risk of prevalent obesity, diabetes mellitus,\nhypertension, and dyslipidemia in both men and women (P for trend all\n&lt;0.001). Moreover, a significantly higher 10-year Framingham risk for CHD\nand 10-year risk for ASCVD was observed in both men and women with mildly\ndecreased eGFR (60-89 mL/min per 1.73 m(2)). CONCLUSIONS: Even mildly\nreduced eGFR (under 90 mL/min per 1.73 m(2)) is associated with elevated\n10-year Framingham risk for CHD and 10-year ASCVD risk among Chinese\nadults.","container-title":"J. Am. Heart Assoc.","DOI":"10.1161/JAHA.116.003328","ISSN":"2047-9980","issue":"7","title":"Reduced Kidney Function Is Associated With Cardiometabolic Risk Factors, Prevalent and Predicted Risk of Cardiovascular Disease in Chinese Adults: Results From the REACTION Study","URL":"http://dx.doi.org/10.1161/JAHA.116.003328","volume":"5","author":[{"family":"Lu","given":"Jieli"},{"family":"Mu","given":"Yiming"},{"family":"Su","given":"Qing"},{"family":"Shi","given":"Lixin"},{"family":"Liu","given":"Chao"},{"family":"Zhao","given":"Jiajun"},{"family":"Chen","given":"Lulu"},{"family":"Li","given":"Qiang"},{"family":"Yang","given":"Tao"},{"family":"Yan","given":"Li"},{"family":"Wan","given":"Qin"},{"family":"Wu","given":"Shengli"},{"family":"Liu","given":"Yan"},{"family":"Wang","given":"Guixia"},{"family":"Luo","given":"Zuojie"},{"family":"Tang","given":"Xulei"},{"family":"Chen","given":"Gang"},{"family":"Huo","given":"Yanan"},{"family":"Gao","given":"Zhengnan"},{"family":"Ye","given":"Zhen"},{"family":"Wang","given":"Youmin"},{"family":"Qin","given":"Guijun"},{"family":"Deng","given":"Huacong"},{"family":"Yu","given":"Xuefeng"},{"family":"Shen","given":"Feixia"},{"family":"Chen","given":"Li"},{"family":"Zhao","given":"Liebin"},{"family":"Sun","given":"Jichao"},{"family":"Sun","given":"Wanwan"},{"family":"Wang","given":"Tiange"},{"family":"Du","given":"Rui"},{"family":"Lin","given":"Lin"},{"family":"Dai","given":"Meng"},{"family":"Xu","given":"Yu"},{"family":"Xu","given":"Min"},{"family":"Bi","given":"Yufang"},{"family":"Lai","given":"Shenghan"},{"family":"Li","given":"Donghui"},{"family":"Wang","given":"Weiqing"},{"family":"Ning","given":"Guang"},{"literal":"REACTION Study Group"}],"issued":{"date-parts":[["2016",7,22]]}}}],"schema":"https://github.com/citation-style-language/schema/raw/master/csl-citation.json"} </w:instrText>
      </w:r>
      <w:r>
        <w:rPr>
          <w:vertAlign w:val="superscript"/>
        </w:rPr>
        <w:fldChar w:fldCharType="separate"/>
      </w:r>
      <w:r w:rsidR="00052B0E" w:rsidRPr="00052B0E">
        <w:rPr>
          <w:vertAlign w:val="superscript"/>
        </w:rPr>
        <w:t>18</w:t>
      </w:r>
      <w:r>
        <w:rPr>
          <w:vertAlign w:val="superscript"/>
        </w:rPr>
        <w:fldChar w:fldCharType="end"/>
      </w:r>
      <w:r>
        <w:rPr>
          <w:vertAlign w:val="superscript"/>
        </w:rPr>
        <w:t>,</w:t>
      </w:r>
      <w:r>
        <w:rPr>
          <w:vertAlign w:val="superscript"/>
        </w:rPr>
        <w:fldChar w:fldCharType="begin"/>
      </w:r>
      <w:r w:rsidR="00052B0E">
        <w:rPr>
          <w:vertAlign w:val="superscript"/>
        </w:rPr>
        <w:instrText xml:space="preserve"> ADDIN ZOTERO_ITEM CSL_CITATION {"citationID":"a2jv7vbhl4i","properties":{"formattedCitation":"\\super 19\\nosupersub{}","plainCitation":"19","noteIndex":0},"citationItems":[{"id":"xmpeSjVn/rel26ynp","uris":["http://zotero.org/users/local/ONYY32YX/items/JRCIL3YI"],"itemData":{"id":202651,"type":"article-journal","abstract":"Pairs of spouses share common lifestyle factors. In a cross-sectional analysis, we investigated whether spouses of diabetic individuals had a higher prevalence of diabetes and cardiometabolic disorders in a community-based population of Chinese adults aged 40 years or older between 2011 and 2012. A total of 34,805 pairs of spouses were identified. All participants underwent a standard oral glucose tolerance test and provided detailed clinical, sociodemographic, and lifestyle information. Diabetes and multiple cardiometabolic disorders were defined according to standard criteria. Compared with participants whose spouses did not have diabetes, participants whose spouses had diabetes had higher odds of having diabetes (for men, odds ratio (OR) = 1.33, 95% confidence interval (CI): 1.22, 1.45; for women, OR = 1.35, 95% CI: 1.24, 1.47), obesity (for men, OR = 1.34, 95% CI: 1.13, 1.59; for women, OR = 1.19, 95% CI: 1.05, 1.35), metabolic syndrome (for men, OR = 1.31, 95% CI: 1.21, 1.42; for women, OR = 1.12, 95% CI: 1.04, 1.20), and cardiovascular disease (for men, OR = 1.18, 95% CI: 1.03, 1.34; for women, OR = 1.18, 95% CI: 1.03, 1.35). The associations were independent of age, body mass index, education, family history of diabetes, cigarette smoking, alcohol drinking, physical activity, and diet. Spousal diabetes was simple and valuable information for identifying individuals at risk for diabetes and cardiometabolic disorders.","container-title":"Am. J. Epidemiol.","DOI":"10.1093/aje/kwv330","ISSN":"0002-9262","issue":"5","page":"400-409","title":"Prevalence of Diabetes and Cardiometabolic Disorders in Spouses of Diabetic Individuals","volume":"184","author":[{"family":"Sun","given":"Jichao"},{"family":"Lu","given":"Jieli"},{"family":"Wang","given":"Weiqing"},{"family":"Mu","given":"Yiming"},{"family":"Zhao","given":"Jiajun"},{"family":"Liu","given":"Chao"},{"family":"Chen","given":"Lulu"},{"family":"Shi","given":"Lixin"},{"family":"Li","given":"Qiang"},{"family":"Yang","given":"Tao"},{"family":"Yan","given":"Li"},{"family":"Wan","given":"Qin"},{"family":"Wu","given":"Shengli"},{"family":"Liu","given":"Yan"},{"family":"Wang","given":"Guixia"},{"family":"Luo","given":"Zuojie"},{"family":"Tang","given":"Xulei"},{"family":"Chen","given":"Gang"},{"family":"Huo","given":"Yanan"},{"family":"Gao","given":"Zhengnan"},{"family":"Su","given":"Qing"},{"family":"Ye","given":"Zhen"},{"family":"Wang","given":"Youmin"},{"family":"Qin","given":"Guijun"},{"family":"Deng","given":"Huacong"},{"family":"Yu","given":"Xuefeng"},{"family":"Shen","given":"Feixia"},{"family":"Chen","given":"Li"},{"family":"Zhao","given":"Liebin"},{"family":"Bi","given":"Yufang"},{"family":"Xu","given":"Min"},{"family":"Xu","given":"Yu"},{"family":"Dai","given":"Meng"},{"family":"Wang","given":"Tiange"},{"family":"Zhang","given":"Di"},{"family":"Lai","given":"Shenghan"},{"family":"Ning","given":"Guang"},{"literal":"REACTION Study Group"}],"issued":{"date-parts":[["2016",9,1]]}}}],"schema":"https://github.com/citation-style-language/schema/raw/master/csl-citation.json"} </w:instrText>
      </w:r>
      <w:r>
        <w:rPr>
          <w:vertAlign w:val="superscript"/>
        </w:rPr>
        <w:fldChar w:fldCharType="separate"/>
      </w:r>
      <w:r w:rsidR="00052B0E" w:rsidRPr="00052B0E">
        <w:rPr>
          <w:vertAlign w:val="superscript"/>
        </w:rPr>
        <w:t>19</w:t>
      </w:r>
      <w:r>
        <w:rPr>
          <w:vertAlign w:val="superscript"/>
        </w:rPr>
        <w:fldChar w:fldCharType="end"/>
      </w:r>
      <w:r>
        <w:rPr>
          <w:vertAlign w:val="superscript"/>
        </w:rPr>
        <w:t>,</w:t>
      </w:r>
      <w:r>
        <w:rPr>
          <w:vertAlign w:val="superscript"/>
        </w:rPr>
        <w:fldChar w:fldCharType="begin"/>
      </w:r>
      <w:r w:rsidR="00052B0E">
        <w:rPr>
          <w:vertAlign w:val="superscript"/>
        </w:rPr>
        <w:instrText xml:space="preserve"> ADDIN ZOTERO_ITEM CSL_CITATION {"citationID":"aefl6jmsv7","properties":{"formattedCitation":"\\super 20\\nosupersub{}","plainCitation":"20","noteIndex":0},"citationItems":[{"id":"xmpeSjVn/TrGyhtoM","uris":["http://zotero.org/users/local/ONYY32YX/items/M88RZZNM"],"itemData":{"id":204033,"type":"article-journal","abstract":"BACKGROUND: Gestational hyperglycemia increases the risk of diabetes in later life. However, the risk of future cardiovascular diseases (CVD) related to gestational hyperglycemia remains inconclusive. The purpose of this study was to investigate the impact of gestational hyperglycemia on the subsequent risk of CVD and its modifying factors among elderly Chinese women. METHODS: We conducted a case-control study of elderly women from the baseline survey of Risk Evaluation of cAncers in Chinese diabeTic Individuals: a lONgitudinal (REACTION) study. Women with gestational hyperglycemia (n = 82), and controls matched by age and study site (n = 410) were included. Information on CVD, including reported coronary heart disease, stroke, or myocardial infarction, was collected through an interviewer-assisted questionnaire. RESULTS: Women with gestational hyperglycemia were more likely to develop diabetes (odds ratio [OR], 2.51; 95% confidence interval [CI], 1.50-4.18) and CVD (OR, 1.98; 95% CI, 1.05-3.74). Even without progressing to type 2 diabetes, gestational hyperglycemia was associated with an increased risk of CVD (OR, 2.88; 95% CI, 1.18-7.00). However, subgroup analysis indicated that compared with those without gestational hyperglycemia or hypertension, women with both gestational hyperglycemia and hypertension had higher risk of CVD (OR, 3.98; 95% CI, 1.65-9.58), whereas the risk estimate did not significantly change in women with gestational hyperglycemia alone (OR, 2.15; 95% CI, 0.71-6.57). Stratified analysis indicated that among those with overweight/obesity, inactive physical activity, or unhealthy dietary habits, gestational hyperglycemia increased the risk of CVD. CONCLUSIONS: In elderly Chinese women, gestational hyperglycemia was associated with an increased risk of CVD in later life. This association was independent of the progression to diabetes and might be modified by lifestyle factors and hypertension.","container-title":"J. Diabetes","DOI":"10.1111/1753-0407.13222","ISSN":"1753-0393","issue":"12","page":"949-959","title":"Gestational hyperglycemia and the risk of cardiovascular diseases among elderly Chinese women: Findings from the REACTION study","volume":"13","author":[{"family":"Hu","given":"Chunyan"},{"family":"Zhang","given":"Yi"},{"family":"Lin","given":"Lin"},{"family":"Wang","given":"Shuangyuan"},{"family":"Du","given":"Rui"},{"family":"Zhang","given":"Jie"},{"family":"Qi","given":"Hongyan"},{"family":"Li","given":"Mian"},{"family":"Zhu","given":"Yuanyue"},{"family":"Huo","given":"Yanan"},{"family":"Wan","given":"Qin"},{"family":"Qin","given":"Yingfen"},{"family":"Hu","given":"Ruying"},{"family":"Shi","given":"Lixin"},{"family":"Su","given":"Qing"},{"family":"Yu","given":"Xuefeng"},{"family":"Yan","given":"Li"},{"family":"Qin","given":"Guijun"},{"family":"Tang","given":"Xulei"},{"family":"Chen","given":"Gang"},{"family":"Xu","given":"Min"},{"family":"Xu","given":"Yu"},{"family":"Wang","given":"Tiange"},{"family":"Zhao","given":"Zhiyun"},{"family":"Gao","given":"Zhengnan"},{"family":"Wang","given":"Guixia"},{"family":"Shen","given":"Feixia"},{"family":"Luo","given":"Zuojie"},{"family":"Chen","given":"Li"},{"family":"Li","given":"Qiang"},{"family":"Ye","given":"Zhen"},{"family":"Zhang","given":"Yinfei"},{"family":"Liu","given":"Chao"},{"family":"Wang","given":"Youmin"},{"family":"Wu","given":"Shengli"},{"family":"Yang","given":"Tao"},{"family":"Deng","given":"Huacong"},{"family":"Chen","given":"Lulu"},{"family":"Zeng","given":"Tianshu"},{"family":"Zhao","given":"Jiajun"},{"family":"Mu","given":"Yiming"},{"family":"Bi","given":"Yufang"},{"family":"Wang","given":"Weiqing"},{"family":"Chen","given":"Yuhong"},{"family":"Lu","given":"Jieli"},{"family":"Ning","given":"Guang"}],"issued":{"date-parts":[["2021",12]]}}}],"schema":"https://github.com/citation-style-language/schema/raw/master/csl-citation.json"} </w:instrText>
      </w:r>
      <w:r>
        <w:rPr>
          <w:vertAlign w:val="superscript"/>
        </w:rPr>
        <w:fldChar w:fldCharType="separate"/>
      </w:r>
      <w:r w:rsidR="00052B0E" w:rsidRPr="00052B0E">
        <w:rPr>
          <w:vertAlign w:val="superscript"/>
        </w:rPr>
        <w:t>20</w:t>
      </w:r>
      <w:r>
        <w:rPr>
          <w:vertAlign w:val="superscript"/>
        </w:rPr>
        <w:fldChar w:fldCharType="end"/>
      </w:r>
      <w:r w:rsidRPr="007476D3">
        <w:t xml:space="preserve">. </w:t>
      </w:r>
      <w:r w:rsidRPr="00B141F8">
        <w:t>The REACTION study was a multicent</w:t>
      </w:r>
      <w:r>
        <w:t>er</w:t>
      </w:r>
      <w:r w:rsidRPr="00B141F8">
        <w:t xml:space="preserve">, population-based, prospective cohort study aiming to demonstrate whether abnormal glucose metabolism (diabetes and prediabetes) was associated with increased risk for cancer in the Chinese population and to identify factors that modify the risk of cancer among individuals with abnormal glucose metabolism. Between 2011 and 2012, a total of 259657 individuals aged 40 years and older were recruited from 25 communities of various regions of China. Eligible men and women aged ≥40 years were identified from local resident registration systems. Trained community health workers visited eligible individuals’ homes and invited them to participate in the study. Due to limited funds, a total of 193846 participants of 20 </w:t>
      </w:r>
      <w:r w:rsidRPr="00B141F8">
        <w:lastRenderedPageBreak/>
        <w:t>communities from REACTION were followed up during 2021-2022. After excluding participants with prostate cancer at baseline, we included 57,779 men aged 40 years or older in the current analysis.</w:t>
      </w:r>
    </w:p>
    <w:p w14:paraId="53A8B3C5" w14:textId="77777777" w:rsidR="00827106" w:rsidRDefault="00827106" w:rsidP="00827106">
      <w:pPr>
        <w:spacing w:line="360" w:lineRule="auto"/>
        <w:jc w:val="both"/>
      </w:pPr>
    </w:p>
    <w:p w14:paraId="0A05771E" w14:textId="77777777" w:rsidR="00827106" w:rsidRDefault="00827106" w:rsidP="00827106">
      <w:pPr>
        <w:spacing w:line="360" w:lineRule="auto"/>
        <w:jc w:val="both"/>
      </w:pPr>
      <w:r>
        <w:t xml:space="preserve">The study was approved by the Medical Ethics Committee of Ruijin Hospital, Shanghai Jiao-Tong University. All study participants provided written informed consent. </w:t>
      </w:r>
    </w:p>
    <w:p w14:paraId="0EB7789E" w14:textId="77777777" w:rsidR="00827106" w:rsidRDefault="00827106" w:rsidP="00827106">
      <w:pPr>
        <w:spacing w:line="360" w:lineRule="auto"/>
        <w:jc w:val="both"/>
      </w:pPr>
    </w:p>
    <w:p w14:paraId="2F9AFA26" w14:textId="3233E2CF" w:rsidR="00827106" w:rsidRDefault="00827106" w:rsidP="00827106">
      <w:pPr>
        <w:spacing w:line="360" w:lineRule="auto"/>
        <w:jc w:val="both"/>
      </w:pPr>
      <w:r w:rsidRPr="005F3429">
        <w:t>As described previously</w:t>
      </w:r>
      <w:r w:rsidRPr="005F3429">
        <w:fldChar w:fldCharType="begin"/>
      </w:r>
      <w:r w:rsidR="00052B0E">
        <w:instrText xml:space="preserve"> ADDIN ZOTERO_ITEM CSL_CITATION {"citationID":"TjNitine","properties":{"formattedCitation":"\\super 16\\nosupersub{}","plainCitation":"16","noteIndex":0},"citationItems":[{"id":"xmpeSjVn/p0fmGFG6","uris":["http://zotero.org/users/local/ONYY32YX/items/T58KKVY6"],"itemData":{"id":118126,"type":"article-journal","abstract":"OBJECTIVE: To demonstrate whether abnormal glucose metabolism (diabetes\nand prediabetes) is associated with increased risk for cancer in the\nChinese population and to identify factors that modify the risk of cancer\namong individuals with abnormal glucose metabolism. METHODS: Between 2011\nand 2012, 259 657 community-dwelling adults, aged 40 years and older, were\nrecruited from 25 centers across mainland China to participant in the\nbaseline survey of the REACTION study, with follow-up investigations\nperformed 3, 5, and 10 years later. Detailed questionnaires about\nlifestyles, physical and biochemical measurement, bio-samples including\nserum, urine, and whole blood for DNA extraction were collected for all\nthe participants. RESULTS: The mean ± standard deviation (SD) age of this\ncohort was 57 ± 10 years. And the prevalence of pre-existing and newly\ndiagnosed diabetes was 10.32% and 10.57%, respectively. A total of 4511\nprevalent cancer cases (988 men and 3523 women) were identified, the\nprevalence was 1.79. Compared to those with normal glucose metabolism, men\nwith diabetes had a significantly lower adjusted prevalence ratio (PR) of\nstomach cancer (PR: 0.38, 95% CI: 0.16-0.89), and women with diabetes had\nsignificantly higher adjusted PRs of cancer of all sites (PR: 1.36, 95%\nCI: 1.20-1.56), and cancer of the breast (PR: 1.56, 95% CI: 1.21-2.00),\nthe endometrium (PR: 1.58, 95% CI: 1.16-2.15), and the thyroid (PR: 1.53,\n95% CI: 1.03-2.27). CONCLUSION: The multi-center REACTION study has\ncaptured a broad range of data on physical, psychological and metabolic\nfunction as well as health status, biochemical and lifestyle information\nin 259 657 adults from the general population across the China.","container-title":"J. Diabetes","DOI":"10.1111/1753-0407.12108","ISSN":"1753-0393","issue":"2","page":"147-157","title":"Cohort profile: risk evaluation of cancers in Chinese diabetic individuals: a longitudinal (REACTION) study","volume":"6","author":[{"family":"Bi","given":"Yufang"},{"family":"Lu","given":"Jieli"},{"family":"Wang","given":"Weiqing"},{"family":"Mu","given":"Yiming"},{"family":"Zhao","given":"Jiajun"},{"family":"Liu","given":"Chao"},{"family":"Chen","given":"Lulu"},{"family":"Shi","given":"Lixin"},{"family":"Li","given":"Qiang"},{"family":"Wan","given":"Qin"},{"family":"Wu","given":"Shengli"},{"family":"Yang","given":"Tao"},{"family":"Yan","given":"Li"},{"family":"Liu","given":"Yan"},{"family":"Wang","given":"Guixia"},{"family":"Luo","given":"Zuojie"},{"family":"Tang","given":"Xulei"},{"family":"Chen","given":"Gang"},{"family":"Huo","given":"Yanan"},{"family":"Gao","given":"Zhengnan"},{"family":"Su","given":"Qing"},{"family":"Ye","given":"Zhen"},{"family":"Wang","given":"Youming"},{"family":"Qin","given":"Guijun"},{"family":"Deng","given":"Huacong"},{"family":"Yu","given":"Xuefeng"},{"family":"Shen","given":"Feixia"},{"family":"Chen","given":"Li"},{"family":"Zhao","given":"Liebin"},{"family":"Zhang","given":"Jie"},{"family":"Sun","given":"Jichao"},{"family":"Dai","given":"Meng"},{"family":"Xu","given":"Min"},{"family":"Xu","given":"Yu"},{"family":"Chen","given":"Yuhong"},{"family":"Lai","given":"Shenghan"},{"family":"Bloomgarden","given":"Zachary T"},{"family":"Li","given":"Donghui"},{"family":"Ning","given":"Guang"}],"issued":{"date-parts":[["2014",3]]}}}],"schema":"https://github.com/citation-style-language/schema/raw/master/csl-citation.json"} </w:instrText>
      </w:r>
      <w:r w:rsidRPr="005F3429">
        <w:fldChar w:fldCharType="separate"/>
      </w:r>
      <w:r w:rsidR="00052B0E" w:rsidRPr="00052B0E">
        <w:rPr>
          <w:vertAlign w:val="superscript"/>
        </w:rPr>
        <w:t>16</w:t>
      </w:r>
      <w:r w:rsidRPr="005F3429">
        <w:fldChar w:fldCharType="end"/>
      </w:r>
      <w:r w:rsidRPr="005F3429">
        <w:rPr>
          <w:vertAlign w:val="superscript"/>
        </w:rPr>
        <w:t>,</w:t>
      </w:r>
      <w:r w:rsidRPr="005F3429">
        <w:rPr>
          <w:vertAlign w:val="superscript"/>
        </w:rPr>
        <w:fldChar w:fldCharType="begin"/>
      </w:r>
      <w:r w:rsidR="00052B0E">
        <w:rPr>
          <w:vertAlign w:val="superscript"/>
        </w:rPr>
        <w:instrText xml:space="preserve"> ADDIN ZOTERO_ITEM CSL_CITATION {"citationID":"2awIj1K1","properties":{"formattedCitation":"\\super 17\\nosupersub{}","plainCitation":"17","noteIndex":0},"citationItems":[{"id":"xmpeSjVn/HdMyOwDI","uris":["http://zotero.org/users/local/ONYY32YX/items/65P3XITA"],"itemData":{"id":202653,"type":"article-journal","abstract":"Hyperinsulinemia and insulin resistance were reported to play a crucial\nrole in diabetes-cancer relationship. This study aimed to explore the\nassociations between insulin resistance and several female cancers in a\nnon-diabetic population. This cross-sectional study was conducted in\n121,230 middle-aged and elderly non-diabetic women. Cancer diagnosis was\nself-reported and further validated by medical records. Insulin resistance\nwas defined as homeostasis model assessment of insulin resistance\n(HOMA-IR) ≥ 2.50. The prevalence of both premenopausal and postmenopausal\nbreast cancer, postmenopausal ovarian cancer and premenopausal endometrial\ncancer were higher in insulin-resistant participants than in\ninsulin-sensitive participants (premenopausal breast cancer, 0.45 vs\n0.28%; postmenopausal breast cancer, 0.86 vs 0.63%; postmenopausal ovarian\ncancer, 0.17 vs 0.09%; premenopausal endometrial cancer, 0.43 vs 0.25%,\nrespectively, all P &lt; 0.05). Individuals with insulin resistance had\nhigher odds ratio (OR) of breast cancer, both premenopausal and\npostmenopausal (OR 1.98, 95% confidence interval (CI) 1.19-3.32; OR 1.29,\n95% CI 1.01-1.63), postmenopausal ovarian cancer (OR 2.17, 95% CI\n1.10-3.40) as well as total endometrial cancer (OR 1.47, 95% CI\n1.02-2.12). Subgroup analysis revealed that the possitive association\nbetween insulin resistance and risk of prevalent breast cancer was\nobserved in popualtion with younger age, overweight or obesity, higher\neducation and impaired glucose tolerance (IGR). No relationships were\nobserved for the risk of prevalent cervical cancers with insulin\nresistance. Non-diabetic women with insulin resistance had higher risk of\nprevalent breast, ovarian and endomatrial cancer, which suggests special\nattentions to these female cancer screening and prevention.","container-title":"Am. J. Cancer Res.","ISSN":"2156-6976","issue":"10","page":"2334-2344","title":"Association of insulin resistance with breast, ovarian, endometrial and cervical cancers in non-diabetic women","volume":"6","author":[{"family":"Sun","given":"Wanwan"},{"family":"Lu","given":"Jieli"},{"family":"Wu","given":"Shengli"},{"family":"Bi","given":"Yufang"},{"family":"Mu","given":"Yiming"},{"family":"Zhao","given":"Jiajun"},{"family":"Liu","given":"Chao"},{"family":"Chen","given":"Lulu"},{"family":"Shi","given":"Lixin"},{"family":"Li","given":"Qiang"},{"family":"Yang","given":"Tao"},{"family":"Yan","given":"Li"},{"family":"Wan","given":"Qin"},{"family":"Liu","given":"Yan"},{"family":"Wang","given":"Guixia"},{"family":"Luo","given":"Zuojie"},{"family":"Tang","given":"Xulei"},{"family":"Chen","given":"Gang"},{"family":"Huo","given":"Yanan"},{"family":"Gao","given":"Zhengnan"},{"family":"Su","given":"Qing"},{"family":"Ye","given":"Zhen"},{"family":"Wang","given":"Youmin"},{"family":"Qin","given":"Guijun"},{"family":"Deng","given":"Huacong"},{"family":"Yu","given":"Xuefeng"},{"family":"Shen","given":"Feixia"},{"family":"Chen","given":"Li"},{"family":"Zhao","given":"Liebin"},{"family":"Wang","given":"Tiange"},{"family":"Sun","given":"Jichao"},{"family":"Xu","given":"Min"},{"family":"Xu","given":"Yu"},{"family":"Chen","given":"Yuhong"},{"family":"Dai","given":"Meng"},{"family":"Zhang","given":"Jie"},{"family":"Zhang","given":"Di"},{"family":"Lai","given":"Shenghan"},{"family":"Li","given":"Donghui"},{"family":"Ning","given":"Guang"},{"family":"Wang","given":"Weiqing"}],"issued":{"date-parts":[["2016",10,1]]}}}],"schema":"https://github.com/citation-style-language/schema/raw/master/csl-citation.json"} </w:instrText>
      </w:r>
      <w:r w:rsidRPr="005F3429">
        <w:rPr>
          <w:vertAlign w:val="superscript"/>
        </w:rPr>
        <w:fldChar w:fldCharType="separate"/>
      </w:r>
      <w:r w:rsidR="00052B0E" w:rsidRPr="00052B0E">
        <w:rPr>
          <w:vertAlign w:val="superscript"/>
        </w:rPr>
        <w:t>17</w:t>
      </w:r>
      <w:r w:rsidRPr="005F3429">
        <w:rPr>
          <w:vertAlign w:val="superscript"/>
        </w:rPr>
        <w:fldChar w:fldCharType="end"/>
      </w:r>
      <w:r w:rsidRPr="005F3429">
        <w:rPr>
          <w:vertAlign w:val="superscript"/>
        </w:rPr>
        <w:t>,</w:t>
      </w:r>
      <w:r w:rsidRPr="005F3429">
        <w:rPr>
          <w:vertAlign w:val="superscript"/>
        </w:rPr>
        <w:fldChar w:fldCharType="begin"/>
      </w:r>
      <w:r w:rsidR="00052B0E">
        <w:rPr>
          <w:vertAlign w:val="superscript"/>
        </w:rPr>
        <w:instrText xml:space="preserve"> ADDIN ZOTERO_ITEM CSL_CITATION {"citationID":"zmBAuLh8","properties":{"formattedCitation":"\\super 18\\nosupersub{}","plainCitation":"18","noteIndex":0},"citationItems":[{"id":"xmpeSjVn/f8udkVQR","uris":["http://zotero.org/users/local/ONYY32YX/items/DENQNJCZ"],"itemData":{"id":202652,"type":"article-journal","abstract":"BACKGROUND: Chronic kidney disease (CKD) increases cardiovascular disease\n(CVD) risk. However, the association of mildly reduced kidney function\nwith CVD risk is unclear. METHODS AND RESULTS: This study investigated the\nassociation of estimated glomerular filtration rate (eGFR) with prevalent\nCVDs, 10-year Framingham risk for coronary heart disease (CHD), and\n10-year risk of atherosclerotic cardiovascular diseases (ASCVD) in 239 832\nparticipants from the baseline of the Risk Evaluation of cAncers in\nChinese diabeTic Individuals: a lONgitudinal study. With an\ninterviewer-assisted questionnaire, we collected information on CVD,\nincluding reported CHD, stroke, or myocardial infarction. Chronic Kidney\nDisease-Epidemiology Collaboration (CKD-EPI) equation was used to\ncalculate eGFR. Compared with individuals with normal eGFR (≥90 mL/min per\n1.73 m(2)), those with decreased eGFR (75-89, 60-74, and &lt;60 mL/min per\n1.73 m(2)) had higher risk of prevalent obesity, diabetes mellitus,\nhypertension, and dyslipidemia in both men and women (P for trend all\n&lt;0.001). Moreover, a significantly higher 10-year Framingham risk for CHD\nand 10-year risk for ASCVD was observed in both men and women with mildly\ndecreased eGFR (60-89 mL/min per 1.73 m(2)). CONCLUSIONS: Even mildly\nreduced eGFR (under 90 mL/min per 1.73 m(2)) is associated with elevated\n10-year Framingham risk for CHD and 10-year ASCVD risk among Chinese\nadults.","container-title":"J. Am. Heart Assoc.","DOI":"10.1161/JAHA.116.003328","ISSN":"2047-9980","issue":"7","title":"Reduced Kidney Function Is Associated With Cardiometabolic Risk Factors, Prevalent and Predicted Risk of Cardiovascular Disease in Chinese Adults: Results From the REACTION Study","URL":"http://dx.doi.org/10.1161/JAHA.116.003328","volume":"5","author":[{"family":"Lu","given":"Jieli"},{"family":"Mu","given":"Yiming"},{"family":"Su","given":"Qing"},{"family":"Shi","given":"Lixin"},{"family":"Liu","given":"Chao"},{"family":"Zhao","given":"Jiajun"},{"family":"Chen","given":"Lulu"},{"family":"Li","given":"Qiang"},{"family":"Yang","given":"Tao"},{"family":"Yan","given":"Li"},{"family":"Wan","given":"Qin"},{"family":"Wu","given":"Shengli"},{"family":"Liu","given":"Yan"},{"family":"Wang","given":"Guixia"},{"family":"Luo","given":"Zuojie"},{"family":"Tang","given":"Xulei"},{"family":"Chen","given":"Gang"},{"family":"Huo","given":"Yanan"},{"family":"Gao","given":"Zhengnan"},{"family":"Ye","given":"Zhen"},{"family":"Wang","given":"Youmin"},{"family":"Qin","given":"Guijun"},{"family":"Deng","given":"Huacong"},{"family":"Yu","given":"Xuefeng"},{"family":"Shen","given":"Feixia"},{"family":"Chen","given":"Li"},{"family":"Zhao","given":"Liebin"},{"family":"Sun","given":"Jichao"},{"family":"Sun","given":"Wanwan"},{"family":"Wang","given":"Tiange"},{"family":"Du","given":"Rui"},{"family":"Lin","given":"Lin"},{"family":"Dai","given":"Meng"},{"family":"Xu","given":"Yu"},{"family":"Xu","given":"Min"},{"family":"Bi","given":"Yufang"},{"family":"Lai","given":"Shenghan"},{"family":"Li","given":"Donghui"},{"family":"Wang","given":"Weiqing"},{"family":"Ning","given":"Guang"},{"literal":"REACTION Study Group"}],"issued":{"date-parts":[["2016",7,22]]}}}],"schema":"https://github.com/citation-style-language/schema/raw/master/csl-citation.json"} </w:instrText>
      </w:r>
      <w:r w:rsidRPr="005F3429">
        <w:rPr>
          <w:vertAlign w:val="superscript"/>
        </w:rPr>
        <w:fldChar w:fldCharType="separate"/>
      </w:r>
      <w:r w:rsidR="00052B0E" w:rsidRPr="00052B0E">
        <w:rPr>
          <w:vertAlign w:val="superscript"/>
        </w:rPr>
        <w:t>18</w:t>
      </w:r>
      <w:r w:rsidRPr="005F3429">
        <w:rPr>
          <w:vertAlign w:val="superscript"/>
        </w:rPr>
        <w:fldChar w:fldCharType="end"/>
      </w:r>
      <w:r w:rsidRPr="005F3429">
        <w:rPr>
          <w:vertAlign w:val="superscript"/>
        </w:rPr>
        <w:t>,</w:t>
      </w:r>
      <w:r w:rsidRPr="005F3429">
        <w:rPr>
          <w:vertAlign w:val="superscript"/>
        </w:rPr>
        <w:fldChar w:fldCharType="begin"/>
      </w:r>
      <w:r w:rsidR="00052B0E">
        <w:rPr>
          <w:vertAlign w:val="superscript"/>
        </w:rPr>
        <w:instrText xml:space="preserve"> ADDIN ZOTERO_ITEM CSL_CITATION {"citationID":"YbiuGBaP","properties":{"formattedCitation":"\\super 19\\nosupersub{}","plainCitation":"19","noteIndex":0},"citationItems":[{"id":"xmpeSjVn/rel26ynp","uris":["http://zotero.org/users/local/ONYY32YX/items/JRCIL3YI"],"itemData":{"id":202651,"type":"article-journal","abstract":"Pairs of spouses share common lifestyle factors. In a cross-sectional analysis, we investigated whether spouses of diabetic individuals had a higher prevalence of diabetes and cardiometabolic disorders in a community-based population of Chinese adults aged 40 years or older between 2011 and 2012. A total of 34,805 pairs of spouses were identified. All participants underwent a standard oral glucose tolerance test and provided detailed clinical, sociodemographic, and lifestyle information. Diabetes and multiple cardiometabolic disorders were defined according to standard criteria. Compared with participants whose spouses did not have diabetes, participants whose spouses had diabetes had higher odds of having diabetes (for men, odds ratio (OR) = 1.33, 95% confidence interval (CI): 1.22, 1.45; for women, OR = 1.35, 95% CI: 1.24, 1.47), obesity (for men, OR = 1.34, 95% CI: 1.13, 1.59; for women, OR = 1.19, 95% CI: 1.05, 1.35), metabolic syndrome (for men, OR = 1.31, 95% CI: 1.21, 1.42; for women, OR = 1.12, 95% CI: 1.04, 1.20), and cardiovascular disease (for men, OR = 1.18, 95% CI: 1.03, 1.34; for women, OR = 1.18, 95% CI: 1.03, 1.35). The associations were independent of age, body mass index, education, family history of diabetes, cigarette smoking, alcohol drinking, physical activity, and diet. Spousal diabetes was simple and valuable information for identifying individuals at risk for diabetes and cardiometabolic disorders.","container-title":"Am. J. Epidemiol.","DOI":"10.1093/aje/kwv330","ISSN":"0002-9262","issue":"5","page":"400-409","title":"Prevalence of Diabetes and Cardiometabolic Disorders in Spouses of Diabetic Individuals","volume":"184","author":[{"family":"Sun","given":"Jichao"},{"family":"Lu","given":"Jieli"},{"family":"Wang","given":"Weiqing"},{"family":"Mu","given":"Yiming"},{"family":"Zhao","given":"Jiajun"},{"family":"Liu","given":"Chao"},{"family":"Chen","given":"Lulu"},{"family":"Shi","given":"Lixin"},{"family":"Li","given":"Qiang"},{"family":"Yang","given":"Tao"},{"family":"Yan","given":"Li"},{"family":"Wan","given":"Qin"},{"family":"Wu","given":"Shengli"},{"family":"Liu","given":"Yan"},{"family":"Wang","given":"Guixia"},{"family":"Luo","given":"Zuojie"},{"family":"Tang","given":"Xulei"},{"family":"Chen","given":"Gang"},{"family":"Huo","given":"Yanan"},{"family":"Gao","given":"Zhengnan"},{"family":"Su","given":"Qing"},{"family":"Ye","given":"Zhen"},{"family":"Wang","given":"Youmin"},{"family":"Qin","given":"Guijun"},{"family":"Deng","given":"Huacong"},{"family":"Yu","given":"Xuefeng"},{"family":"Shen","given":"Feixia"},{"family":"Chen","given":"Li"},{"family":"Zhao","given":"Liebin"},{"family":"Bi","given":"Yufang"},{"family":"Xu","given":"Min"},{"family":"Xu","given":"Yu"},{"family":"Dai","given":"Meng"},{"family":"Wang","given":"Tiange"},{"family":"Zhang","given":"Di"},{"family":"Lai","given":"Shenghan"},{"family":"Ning","given":"Guang"},{"literal":"REACTION Study Group"}],"issued":{"date-parts":[["2016",9,1]]}}}],"schema":"https://github.com/citation-style-language/schema/raw/master/csl-citation.json"} </w:instrText>
      </w:r>
      <w:r w:rsidRPr="005F3429">
        <w:rPr>
          <w:vertAlign w:val="superscript"/>
        </w:rPr>
        <w:fldChar w:fldCharType="separate"/>
      </w:r>
      <w:r w:rsidR="00052B0E" w:rsidRPr="00052B0E">
        <w:rPr>
          <w:vertAlign w:val="superscript"/>
        </w:rPr>
        <w:t>19</w:t>
      </w:r>
      <w:r w:rsidRPr="005F3429">
        <w:rPr>
          <w:vertAlign w:val="superscript"/>
        </w:rPr>
        <w:fldChar w:fldCharType="end"/>
      </w:r>
      <w:r w:rsidRPr="005F3429">
        <w:rPr>
          <w:vertAlign w:val="superscript"/>
        </w:rPr>
        <w:t>,</w:t>
      </w:r>
      <w:r w:rsidRPr="005F3429">
        <w:rPr>
          <w:vertAlign w:val="superscript"/>
        </w:rPr>
        <w:fldChar w:fldCharType="begin"/>
      </w:r>
      <w:r w:rsidR="00052B0E">
        <w:rPr>
          <w:vertAlign w:val="superscript"/>
        </w:rPr>
        <w:instrText xml:space="preserve"> ADDIN ZOTERO_ITEM CSL_CITATION {"citationID":"rhDlCJ5J","properties":{"formattedCitation":"\\super 20\\nosupersub{}","plainCitation":"20","noteIndex":0},"citationItems":[{"id":"xmpeSjVn/TrGyhtoM","uris":["http://zotero.org/users/local/ONYY32YX/items/M88RZZNM"],"itemData":{"id":204033,"type":"article-journal","abstract":"BACKGROUND: Gestational hyperglycemia increases the risk of diabetes in later life. However, the risk of future cardiovascular diseases (CVD) related to gestational hyperglycemia remains inconclusive. The purpose of this study was to investigate the impact of gestational hyperglycemia on the subsequent risk of CVD and its modifying factors among elderly Chinese women. METHODS: We conducted a case-control study of elderly women from the baseline survey of Risk Evaluation of cAncers in Chinese diabeTic Individuals: a lONgitudinal (REACTION) study. Women with gestational hyperglycemia (n = 82), and controls matched by age and study site (n = 410) were included. Information on CVD, including reported coronary heart disease, stroke, or myocardial infarction, was collected through an interviewer-assisted questionnaire. RESULTS: Women with gestational hyperglycemia were more likely to develop diabetes (odds ratio [OR], 2.51; 95% confidence interval [CI], 1.50-4.18) and CVD (OR, 1.98; 95% CI, 1.05-3.74). Even without progressing to type 2 diabetes, gestational hyperglycemia was associated with an increased risk of CVD (OR, 2.88; 95% CI, 1.18-7.00). However, subgroup analysis indicated that compared with those without gestational hyperglycemia or hypertension, women with both gestational hyperglycemia and hypertension had higher risk of CVD (OR, 3.98; 95% CI, 1.65-9.58), whereas the risk estimate did not significantly change in women with gestational hyperglycemia alone (OR, 2.15; 95% CI, 0.71-6.57). Stratified analysis indicated that among those with overweight/obesity, inactive physical activity, or unhealthy dietary habits, gestational hyperglycemia increased the risk of CVD. CONCLUSIONS: In elderly Chinese women, gestational hyperglycemia was associated with an increased risk of CVD in later life. This association was independent of the progression to diabetes and might be modified by lifestyle factors and hypertension.","container-title":"J. Diabetes","DOI":"10.1111/1753-0407.13222","ISSN":"1753-0393","issue":"12","page":"949-959","title":"Gestational hyperglycemia and the risk of cardiovascular diseases among elderly Chinese women: Findings from the REACTION study","volume":"13","author":[{"family":"Hu","given":"Chunyan"},{"family":"Zhang","given":"Yi"},{"family":"Lin","given":"Lin"},{"family":"Wang","given":"Shuangyuan"},{"family":"Du","given":"Rui"},{"family":"Zhang","given":"Jie"},{"family":"Qi","given":"Hongyan"},{"family":"Li","given":"Mian"},{"family":"Zhu","given":"Yuanyue"},{"family":"Huo","given":"Yanan"},{"family":"Wan","given":"Qin"},{"family":"Qin","given":"Yingfen"},{"family":"Hu","given":"Ruying"},{"family":"Shi","given":"Lixin"},{"family":"Su","given":"Qing"},{"family":"Yu","given":"Xuefeng"},{"family":"Yan","given":"Li"},{"family":"Qin","given":"Guijun"},{"family":"Tang","given":"Xulei"},{"family":"Chen","given":"Gang"},{"family":"Xu","given":"Min"},{"family":"Xu","given":"Yu"},{"family":"Wang","given":"Tiange"},{"family":"Zhao","given":"Zhiyun"},{"family":"Gao","given":"Zhengnan"},{"family":"Wang","given":"Guixia"},{"family":"Shen","given":"Feixia"},{"family":"Luo","given":"Zuojie"},{"family":"Chen","given":"Li"},{"family":"Li","given":"Qiang"},{"family":"Ye","given":"Zhen"},{"family":"Zhang","given":"Yinfei"},{"family":"Liu","given":"Chao"},{"family":"Wang","given":"Youmin"},{"family":"Wu","given":"Shengli"},{"family":"Yang","given":"Tao"},{"family":"Deng","given":"Huacong"},{"family":"Chen","given":"Lulu"},{"family":"Zeng","given":"Tianshu"},{"family":"Zhao","given":"Jiajun"},{"family":"Mu","given":"Yiming"},{"family":"Bi","given":"Yufang"},{"family":"Wang","given":"Weiqing"},{"family":"Chen","given":"Yuhong"},{"family":"Lu","given":"Jieli"},{"family":"Ning","given":"Guang"}],"issued":{"date-parts":[["2021",12]]}}}],"schema":"https://github.com/citation-style-language/schema/raw/master/csl-citation.json"} </w:instrText>
      </w:r>
      <w:r w:rsidRPr="005F3429">
        <w:rPr>
          <w:vertAlign w:val="superscript"/>
        </w:rPr>
        <w:fldChar w:fldCharType="separate"/>
      </w:r>
      <w:r w:rsidR="00052B0E" w:rsidRPr="00052B0E">
        <w:rPr>
          <w:vertAlign w:val="superscript"/>
        </w:rPr>
        <w:t>20</w:t>
      </w:r>
      <w:r w:rsidRPr="005F3429">
        <w:rPr>
          <w:vertAlign w:val="superscript"/>
        </w:rPr>
        <w:fldChar w:fldCharType="end"/>
      </w:r>
      <w:r>
        <w:t xml:space="preserve"> HbA</w:t>
      </w:r>
      <w:r w:rsidRPr="00E71755">
        <w:rPr>
          <w:vertAlign w:val="subscript"/>
        </w:rPr>
        <w:t>1c</w:t>
      </w:r>
      <w:r>
        <w:t xml:space="preserve"> was determined by using high-performance liquid chromatography (VARIANT II System; Bio-Rad Laboratories) in the central laboratory located at Ruijin Hospital, Shanghai, China, which is certificated by the U.S. National Glycohemoglobin Standardization Program and passed the Laboratory Accreditation Program of the College of American Pathologists. </w:t>
      </w:r>
      <w:r w:rsidRPr="00846D85">
        <w:t>Information on prostate cancer were collected from local death and disease registries of the National Disease Surveillance Point System and National Health Insurance System with use of the ICD 10 code “C61” in the study.</w:t>
      </w:r>
      <w:r>
        <w:t xml:space="preserve"> </w:t>
      </w:r>
      <w:r w:rsidRPr="002A4CF6">
        <w:t>Cox proportional hazard</w:t>
      </w:r>
      <w:r>
        <w:t>s model</w:t>
      </w:r>
      <w:r w:rsidRPr="00151149">
        <w:t xml:space="preserve"> was applied to estimate the </w:t>
      </w:r>
      <w:r w:rsidRPr="00E53676">
        <w:t>hazard</w:t>
      </w:r>
      <w:r w:rsidRPr="00151149">
        <w:t xml:space="preserve"> ratio of HbA</w:t>
      </w:r>
      <w:r w:rsidRPr="00F84F98">
        <w:rPr>
          <w:vertAlign w:val="subscript"/>
        </w:rPr>
        <w:t>1c</w:t>
      </w:r>
      <w:r w:rsidRPr="00151149">
        <w:t xml:space="preserve"> on incident prostate cancer</w:t>
      </w:r>
      <w:r>
        <w:t xml:space="preserve"> in the overall population (N=57,779).</w:t>
      </w:r>
      <w:r w:rsidRPr="00151149">
        <w:t xml:space="preserve"> </w:t>
      </w:r>
      <w:r>
        <w:rPr>
          <w:rFonts w:hint="eastAsia"/>
        </w:rPr>
        <w:t>A</w:t>
      </w:r>
      <w:r>
        <w:t xml:space="preserve"> s</w:t>
      </w:r>
      <w:r w:rsidRPr="0088636F">
        <w:t>ensitivity analysis was performed</w:t>
      </w:r>
      <w:r>
        <w:t xml:space="preserve"> in participants without receiving </w:t>
      </w:r>
      <w:r w:rsidRPr="0088636F">
        <w:t>glucose-lowering therapy</w:t>
      </w:r>
      <w:r>
        <w:t xml:space="preserve"> at baseline (N=53,037). A</w:t>
      </w:r>
      <w:r w:rsidRPr="00151149">
        <w:t xml:space="preserve">ge, body mass index, </w:t>
      </w:r>
      <w:r w:rsidRPr="0028225C">
        <w:t>tobacco consumption</w:t>
      </w:r>
      <w:r>
        <w:t>,</w:t>
      </w:r>
      <w:r w:rsidRPr="0028225C">
        <w:t xml:space="preserve"> alcohol consumption</w:t>
      </w:r>
      <w:r w:rsidRPr="00151149">
        <w:t xml:space="preserve">, </w:t>
      </w:r>
      <w:r>
        <w:t>physical activity,</w:t>
      </w:r>
      <w:r w:rsidRPr="00151149">
        <w:t xml:space="preserve"> and diet score were</w:t>
      </w:r>
      <w:r>
        <w:t xml:space="preserve"> </w:t>
      </w:r>
      <w:r w:rsidRPr="00B141F8">
        <w:t>included as covariates in the model.</w:t>
      </w:r>
      <w:r>
        <w:t xml:space="preserve"> </w:t>
      </w:r>
    </w:p>
    <w:p w14:paraId="627D5725" w14:textId="77777777" w:rsidR="00827106" w:rsidRPr="00DB6B4A" w:rsidRDefault="00827106" w:rsidP="00833F76">
      <w:pPr>
        <w:spacing w:line="360" w:lineRule="auto"/>
        <w:jc w:val="both"/>
      </w:pPr>
    </w:p>
    <w:p w14:paraId="773D8192" w14:textId="77777777" w:rsidR="00DD1CC5" w:rsidRDefault="00DD1CC5" w:rsidP="00833F76">
      <w:pPr>
        <w:jc w:val="both"/>
        <w:rPr>
          <w:b/>
          <w:bCs/>
        </w:rPr>
        <w:sectPr w:rsidR="00DD1CC5" w:rsidSect="00B6377B">
          <w:pgSz w:w="11900" w:h="16840"/>
          <w:pgMar w:top="1440" w:right="1440" w:bottom="1440" w:left="1440" w:header="708" w:footer="708" w:gutter="0"/>
          <w:cols w:space="708"/>
          <w:docGrid w:linePitch="360"/>
        </w:sectPr>
      </w:pPr>
    </w:p>
    <w:p w14:paraId="62FFC707" w14:textId="3C969D5E" w:rsidR="00BF6E72" w:rsidRDefault="000A63AB" w:rsidP="00577FAB">
      <w:pPr>
        <w:pStyle w:val="Heading2"/>
        <w:spacing w:line="360" w:lineRule="auto"/>
        <w:jc w:val="both"/>
        <w:rPr>
          <w:lang w:val="en-US"/>
        </w:rPr>
      </w:pPr>
      <w:r>
        <w:rPr>
          <w:lang w:val="en-US"/>
        </w:rPr>
        <w:lastRenderedPageBreak/>
        <w:t>Appendix</w:t>
      </w:r>
      <w:r w:rsidR="00545DB9" w:rsidRPr="00545DB9">
        <w:rPr>
          <w:lang w:val="en-US"/>
        </w:rPr>
        <w:t xml:space="preserve"> </w:t>
      </w:r>
      <w:r w:rsidR="00BF6E72">
        <w:rPr>
          <w:lang w:val="en-US"/>
        </w:rPr>
        <w:t xml:space="preserve">Note </w:t>
      </w:r>
      <w:r w:rsidR="00803EFE">
        <w:rPr>
          <w:lang w:val="en-US"/>
        </w:rPr>
        <w:t>3</w:t>
      </w:r>
      <w:r w:rsidR="00BB465F">
        <w:rPr>
          <w:lang w:val="en-US"/>
        </w:rPr>
        <w:t>. Description of MR sensitivity analyses</w:t>
      </w:r>
    </w:p>
    <w:p w14:paraId="5C8C6044" w14:textId="6793B2B4" w:rsidR="00BB465F" w:rsidRPr="006A4A7C" w:rsidRDefault="006A4A7C" w:rsidP="00833F76">
      <w:pPr>
        <w:jc w:val="both"/>
      </w:pPr>
      <w:r w:rsidRPr="006A4A7C">
        <w:t xml:space="preserve">The MR assumptions were tested using the </w:t>
      </w:r>
      <w:r>
        <w:t xml:space="preserve">following </w:t>
      </w:r>
      <w:r w:rsidRPr="006A4A7C">
        <w:t>sensitivity methods</w:t>
      </w:r>
      <w:r>
        <w:t>.</w:t>
      </w:r>
    </w:p>
    <w:p w14:paraId="4DF20AF2" w14:textId="77777777" w:rsidR="006A4A7C" w:rsidRDefault="006A4A7C" w:rsidP="00833F76">
      <w:pPr>
        <w:jc w:val="both"/>
        <w:rPr>
          <w:b/>
          <w:bCs/>
        </w:rPr>
      </w:pPr>
    </w:p>
    <w:p w14:paraId="4180172A" w14:textId="67ADC944" w:rsidR="00B109C6" w:rsidRDefault="00B109C6" w:rsidP="00833F76">
      <w:pPr>
        <w:spacing w:line="360" w:lineRule="auto"/>
        <w:jc w:val="both"/>
      </w:pPr>
      <w:r>
        <w:t xml:space="preserve">MR exploits both Mendel’s Law of </w:t>
      </w:r>
      <w:r w:rsidRPr="006601AC">
        <w:t>Heredity</w:t>
      </w:r>
      <w:r>
        <w:fldChar w:fldCharType="begin"/>
      </w:r>
      <w:r w:rsidR="005402BE">
        <w:instrText xml:space="preserve"> ADDIN ZOTERO_ITEM CSL_CITATION {"citationID":"a1v8e2eosu8","properties":{"formattedCitation":"\\super 21\\nosupersub{}","plainCitation":"21","noteIndex":0},"citationItems":[{"id":"xmpeSjVn/mRXGHbX2","uris":["http://zotero.org/users/local/ONYY32YX/items/BMGP68CG"],"itemData":{"id":171949,"type":"article-journal","abstract":"We respond to criticisms of Mendelian randomization (MR) by Mukamal, Stampfer and Rimm (MSR). MSR consider that MR is receiving too much attention and should be renamed. We explain how MR links to Mendel's laws, the origin of the name and our lack of concern regarding nomenclature. We address MSR's substantive points regarding MR of alcohol and cardiovascular disease, an issue on which they dispute the MR findings. We demonstrate that their strictures with respect to population stratification, confounding, weak instrument bias, pleiotropy and confounding have been addressed, and summarise how the field has advanced in relation to the issues they raise. We agree with MSR that \"the hard problem of conducting high-quality, reproducible epidemiology\" should be addressed by epidemiologists. However we see more evidence of confrontation of this issue within MR, as opposed to conventional observational epidemiology, within which the same methods that have demonstrably failed in the past are simply rolled out into new areas, leaving their previous failures unexamined.","container-title":"Eur. J. Epidemiol.","DOI":"10.1007/s10654-020-00622-7","ISSN":"0393-2990","issue":"2","page":"99-111","title":"Mendel's laws, Mendelian randomization and causal inference in observational data: substantive and nomenclatural issues","volume":"35","author":[{"family":"Davey Smith","given":"George"},{"family":"Holmes","given":"Michael V"},{"family":"Davies","given":"Neil M"},{"family":"Ebrahim","given":"Shah"}],"issued":{"date-parts":[["2020",2]]}}}],"schema":"https://github.com/citation-style-language/schema/raw/master/csl-citation.json"} </w:instrText>
      </w:r>
      <w:r>
        <w:fldChar w:fldCharType="separate"/>
      </w:r>
      <w:r w:rsidR="005402BE" w:rsidRPr="005402BE">
        <w:rPr>
          <w:vertAlign w:val="superscript"/>
        </w:rPr>
        <w:t>21</w:t>
      </w:r>
      <w:r>
        <w:fldChar w:fldCharType="end"/>
      </w:r>
      <w:r>
        <w:t>.</w:t>
      </w:r>
      <w:r w:rsidRPr="006601AC">
        <w:t xml:space="preserve"> The Law of Independent Assortment refers to the fact that alleles of genes in different parts of the genome are inherited independently.</w:t>
      </w:r>
      <w:r>
        <w:t xml:space="preserve"> Compliance with this Law was evaluated</w:t>
      </w:r>
      <w:r w:rsidRPr="00687455">
        <w:t xml:space="preserve"> </w:t>
      </w:r>
      <w:r>
        <w:t>using a generalized inverse variance weighted (</w:t>
      </w:r>
      <w:proofErr w:type="spellStart"/>
      <w:r>
        <w:t>gIVW</w:t>
      </w:r>
      <w:proofErr w:type="spellEnd"/>
      <w:r>
        <w:t>) model</w:t>
      </w:r>
      <w:r>
        <w:fldChar w:fldCharType="begin"/>
      </w:r>
      <w:r w:rsidR="005402BE">
        <w:instrText xml:space="preserve"> ADDIN ZOTERO_ITEM CSL_CITATION {"citationID":"a2e20hrp65d","properties":{"formattedCitation":"\\super 22\\nosupersub{}","plainCitation":"22","noteIndex":0},"citationItems":[{"id":398,"uris":["http://zotero.org/users/local/ONYY32YX/items/8QBCP5SC"],"itemData":{"id":398,"type":"article-journal","abstract":"Mendelian randomization uses genetic variants to make causal inferences\nabout the effect of a risk factor on an outcome. With fine-mapped genetic\ndata, there may be hundreds of genetic variants in a single gene region\nany of which could be used to assess this causal relationship. However,\nusing too many genetic variants in the analysis can lead to spurious\nestimates and inflated Type 1 error rates. But if only a few genetic\nvariants are used, then the majority of the data is ignored and estimates\nare highly sensitive to the particular choice of variants. We propose an\napproach based on summarized data only (genetic association and\ncorrelation estimates) that uses principal components analysis to form\ninstruments. This approach has desirable theoretical properties: it takes\nthe totality of data into account and does not suffer from numerical\ninstabilities. It also has good properties in simulation studies: it is\nnot particularly sensitive to varying the genetic variants included in the\nanalysis or the genetic correlation matrix, and it does not have greatly\ninflated Type 1 error rates. Overall, the method gives estimates that are\nless precise than those from variable selection approaches (such as using\na conditional analysis or pruning approach to select variants), but are\nmore robust to seemingly arbitrary choices in the variable selection step.\nMethods are illustrated by an example using genetic associations with\ntestosterone for 320 genetic variants to assess the effect of sex hormone\nrelated pathways on coronary artery disease risk, in which variable\nselection approaches give inconsistent inferences.","container-title":"Genet. Epidemiol.","DOI":"10.1002/gepi.22077","ISSN":"0741-0395","issue":"8","page":"714-725","title":"Mendelian randomization with fine-mapped genetic data: Choosing from large numbers of correlated instrumental variables","volume":"41","author":[{"family":"Burgess","given":"Stephen"},{"family":"Zuber","given":"Verena"},{"family":"Valdes-Marquez","given":"Elsa"},{"family":"Sun","given":"Benjamin B"},{"family":"Hopewell","given":"Jemma C"}],"issued":{"date-parts":[["2017",12]]}}}],"schema":"https://github.com/citation-style-language/schema/raw/master/csl-citation.json"} </w:instrText>
      </w:r>
      <w:r>
        <w:fldChar w:fldCharType="separate"/>
      </w:r>
      <w:r w:rsidR="005402BE" w:rsidRPr="005402BE">
        <w:rPr>
          <w:vertAlign w:val="superscript"/>
        </w:rPr>
        <w:t>22</w:t>
      </w:r>
      <w:r>
        <w:fldChar w:fldCharType="end"/>
      </w:r>
      <w:r>
        <w:t xml:space="preserve">, </w:t>
      </w:r>
      <w:r w:rsidRPr="00A91E1F">
        <w:t xml:space="preserve">which takes into account the </w:t>
      </w:r>
      <w:r>
        <w:t>weak LD</w:t>
      </w:r>
      <w:r w:rsidRPr="001576F3">
        <w:t xml:space="preserve"> </w:t>
      </w:r>
      <w:r>
        <w:t>(r</w:t>
      </w:r>
      <w:r w:rsidRPr="007A33C2">
        <w:rPr>
          <w:vertAlign w:val="superscript"/>
        </w:rPr>
        <w:t>2</w:t>
      </w:r>
      <w:r>
        <w:t xml:space="preserve">=0.089) </w:t>
      </w:r>
      <w:r w:rsidRPr="00A91E1F">
        <w:t>between</w:t>
      </w:r>
      <w:r>
        <w:t xml:space="preserve"> the SGLT2 </w:t>
      </w:r>
      <w:r w:rsidRPr="00A91E1F">
        <w:t>instruments</w:t>
      </w:r>
      <w:r>
        <w:t>.</w:t>
      </w:r>
    </w:p>
    <w:p w14:paraId="6A058E2E" w14:textId="77777777" w:rsidR="00B109C6" w:rsidRDefault="00B109C6" w:rsidP="00833F76">
      <w:pPr>
        <w:spacing w:line="360" w:lineRule="auto"/>
        <w:jc w:val="both"/>
      </w:pPr>
    </w:p>
    <w:p w14:paraId="722C7870" w14:textId="03A655DC" w:rsidR="00B109C6" w:rsidRDefault="00B109C6" w:rsidP="00833F76">
      <w:pPr>
        <w:spacing w:line="360" w:lineRule="auto"/>
        <w:jc w:val="both"/>
      </w:pPr>
      <w:r w:rsidRPr="00C610E5">
        <w:t xml:space="preserve">The </w:t>
      </w:r>
      <w:r>
        <w:t>MR assumption of relevance</w:t>
      </w:r>
      <w:r w:rsidRPr="00C610E5">
        <w:t xml:space="preserve"> </w:t>
      </w:r>
      <w:r>
        <w:t>was</w:t>
      </w:r>
      <w:r w:rsidRPr="00C610E5">
        <w:t xml:space="preserve"> tested by generating estimates of the proportion of variance in each </w:t>
      </w:r>
      <w:r>
        <w:t>drug target</w:t>
      </w:r>
      <w:r w:rsidRPr="00C610E5">
        <w:t xml:space="preserve"> explained by the instrument (R</w:t>
      </w:r>
      <w:r w:rsidRPr="00123FD9">
        <w:rPr>
          <w:vertAlign w:val="superscript"/>
        </w:rPr>
        <w:t>2</w:t>
      </w:r>
      <w:r w:rsidRPr="00C610E5">
        <w:t xml:space="preserve">) and F statistics. </w:t>
      </w:r>
      <w:r>
        <w:t>A</w:t>
      </w:r>
      <w:r w:rsidRPr="00C610E5">
        <w:t>n F statistic of at least 10 is indicative of evidence against weak instrument bias (a reduction in statistical power to reject the null hypothesis when an instrument explains only a small proportion of variance in an exposure)</w:t>
      </w:r>
      <w:r>
        <w:fldChar w:fldCharType="begin"/>
      </w:r>
      <w:r w:rsidR="005402BE">
        <w:instrText xml:space="preserve"> ADDIN ZOTERO_ITEM CSL_CITATION {"citationID":"JKfYPEwH","properties":{"formattedCitation":"\\super 23\\nosupersub{}","plainCitation":"23","noteIndex":0},"citationItems":[{"id":"xmpeSjVn/HTAYdEqR","uris":["http://zotero.org/users/local/ONYY32YX/items/BU7FIKDN"],"itemData":{"id":118114,"type":"article-journal","abstract":"BACKGROUND: Mendelian randomization is used to test and estimate the magnitude of a causal effect of a phenotype on an outcome by using genetic variants as instrumental variables (IVs). Estimates of association from IV analysis are biased in the direction of the confounded, observational association between phenotype and outcome. The magnitude of the bias depends on the F-statistic for the strength of relationship between IVs and phenotype. We seek to develop guidelines for the design and analysis of Mendelian randomization studies to minimize bias. METHODS: IV analysis was performed on simulated and real data to investigate the effect on bias of size of study, number and choice of instruments and method of analysis. RESULTS: Bias is shown to increase as the expected F-statistic decreases, and can be reduced by using parsimonious models of genetic association (i.e. not over-parameterized) and by adjusting for measured covariates. Using data from a single study, the causal estimate of a unit increase in log-transformed C-reactive protein on fibrinogen (μmol/l) is shown to increase from -0.005 (P = 0.99) to 0.792 (P = 0.00003) due to injudicious choice of instrument. Moreover, when the observed F-statistic is larger than expected in a particular study, the causal estimate is more biased towards the observational association and its standard error is smaller. This correlation between causal estimate and standard error introduces a second source of bias into meta-analysis of Mendelian randomization studies. Bias can be alleviated in meta-analyses by using individual level data and by pooling genetic effects across studies. CONCLUSIONS: Weak instrument bias is of practical importance for the design and analysis of Mendelian randomization studies. Post hoc choice of instruments, genetic models or data based on measured F-statistics can exacerbate bias. In particular, the commonly cited rule of thumb that F &gt; 10 avoids bias in IV analysis is misleading.","container-title":"Int. J. Epidemiol.","DOI":"10.1093/ije/dyr036","ISSN":"0300-5771","issue":"3","page":"755-764","title":"Avoiding bias from weak instruments in Mendelian randomization studies","volume":"40","author":[{"family":"Burgess","given":"Stephen"},{"family":"Thompson","given":"Simon G"},{"literal":"CRP CHD Genetics Collaboration"}],"issued":{"date-parts":[["2011",6]]}}}],"schema":"https://github.com/citation-style-language/schema/raw/master/csl-citation.json"} </w:instrText>
      </w:r>
      <w:r>
        <w:fldChar w:fldCharType="separate"/>
      </w:r>
      <w:r w:rsidR="005402BE" w:rsidRPr="005402BE">
        <w:rPr>
          <w:vertAlign w:val="superscript"/>
        </w:rPr>
        <w:t>23</w:t>
      </w:r>
      <w:r>
        <w:fldChar w:fldCharType="end"/>
      </w:r>
      <w:r w:rsidRPr="00C610E5">
        <w:t>.</w:t>
      </w:r>
    </w:p>
    <w:p w14:paraId="2F1558F3" w14:textId="77777777" w:rsidR="00B109C6" w:rsidRDefault="00B109C6" w:rsidP="00833F76">
      <w:pPr>
        <w:spacing w:line="360" w:lineRule="auto"/>
        <w:jc w:val="both"/>
      </w:pPr>
    </w:p>
    <w:p w14:paraId="61022A48" w14:textId="0A260658" w:rsidR="00B109C6" w:rsidRDefault="00B109C6" w:rsidP="00833F76">
      <w:pPr>
        <w:spacing w:line="360" w:lineRule="auto"/>
        <w:jc w:val="both"/>
      </w:pPr>
      <w:r w:rsidRPr="00A71BF4">
        <w:t xml:space="preserve">The </w:t>
      </w:r>
      <w:r>
        <w:t xml:space="preserve">MR assumption of </w:t>
      </w:r>
      <w:r w:rsidRPr="00A71BF4">
        <w:t xml:space="preserve">exchangeability was tested by performing </w:t>
      </w:r>
      <w:r>
        <w:t xml:space="preserve">a genetic </w:t>
      </w:r>
      <w:r w:rsidRPr="00A71BF4">
        <w:t>colocalization</w:t>
      </w:r>
      <w:r>
        <w:t xml:space="preserve"> analysis between the drug target and prostate cancer</w:t>
      </w:r>
      <w:r>
        <w:fldChar w:fldCharType="begin"/>
      </w:r>
      <w:r w:rsidR="00052B0E">
        <w:instrText xml:space="preserve"> ADDIN ZOTERO_ITEM CSL_CITATION {"citationID":"gBXt8lsw","properties":{"formattedCitation":"\\super 12\\nosupersub{}","plainCitation":"12","noteIndex":0},"citationItems":[{"id":381,"uris":["http://zotero.org/users/local/ONYY32YX/items/THZ6X33N"],"itemData":{"id":381,"type":"article-journal","abstract":"Genetic association studies, in particular the genome-wide association\nstudy (GWAS) design, have provided a wealth of novel insights into the\naetiology of a wide range of human diseases and traits, in particular\ncardiovascular diseases and lipid biomarkers. The next challenge consists\nof understanding the molecular basis of these associations. The\nintegration of multiple association datasets, including gene expression\ndatasets, can contribute to this goal. We have developed a novel\nstatistical methodology to assess whether two association signals are\nconsistent with a shared causal variant. An application is the integration\nof disease scans with expression quantitative trait locus (eQTL) studies,\nbut any pair of GWAS datasets can be integrated in this framework. We\ndemonstrate the value of the approach by re-analysing a gene expression\ndataset in 966 liver samples with a published meta-analysis of lipid\ntraits including &gt;100,000 individuals of European ancestry. Combining all\nlipid biomarkers, our re-analysis supported 26 out of 38 reported\ncolocalisation results with eQTLs and identified 14 new colocalisation\nresults, hence highlighting the value of a formal statistical test. In\nthree cases of reported eQTL-lipid pairs (SYPL2, IFT172, TBKBP1) for which\nour analysis suggests that the eQTL pattern is not consistent with the\nlipid association, we identify alternative colocalisation results with\nSORT1, GCKR, and KPNB1, indicating that these genes are more likely to be\ncausal in these genomic intervals. A key feature of the method is the\nability to derive the output statistics from single SNP summary\nstatistics, hence making it possible to perform systematic meta-analysis\ntype comparisons across multiple GWAS datasets (implemented online at\nhttp://coloc.cs.ucl.ac.uk/coloc/). Our methodology provides information\nabout candidate causal genes in associated intervals and has direct\nimplications for the understanding of complex diseases as well as the\ndesign of drugs to target disease pathways.","container-title":"PLoS Genet.","DOI":"10.1371/journal.pgen.1004383","ISSN":"1553-7390","issue":"5","page":"e1004383","title":"Bayesian test for colocalisation between pairs of genetic association studies using summary statistics","volume":"10","author":[{"family":"Giambartolomei","given":"Claudia"},{"family":"Vukcevic","given":"Damjan"},{"family":"Schadt","given":"Eric E"},{"family":"Franke","given":"Lude"},{"family":"Hingorani","given":"Aroon D"},{"family":"Wallace","given":"Chris"},{"family":"Plagnol","given":"Vincent"}],"issued":{"date-parts":[["2014",5]]}}}],"schema":"https://github.com/citation-style-language/schema/raw/master/csl-citation.json"} </w:instrText>
      </w:r>
      <w:r>
        <w:fldChar w:fldCharType="separate"/>
      </w:r>
      <w:r w:rsidR="00052B0E" w:rsidRPr="00052B0E">
        <w:rPr>
          <w:vertAlign w:val="superscript"/>
        </w:rPr>
        <w:t>12</w:t>
      </w:r>
      <w:r>
        <w:fldChar w:fldCharType="end"/>
      </w:r>
      <w:r w:rsidRPr="00F52B39">
        <w:rPr>
          <w:vertAlign w:val="superscript"/>
        </w:rPr>
        <w:t>,</w:t>
      </w:r>
      <w:r>
        <w:rPr>
          <w:vertAlign w:val="superscript"/>
        </w:rPr>
        <w:fldChar w:fldCharType="begin"/>
      </w:r>
      <w:r w:rsidR="00052B0E">
        <w:rPr>
          <w:vertAlign w:val="superscript"/>
        </w:rPr>
        <w:instrText xml:space="preserve"> ADDIN ZOTERO_ITEM CSL_CITATION {"citationID":"ewvfrUQL","properties":{"formattedCitation":"\\super 13\\nosupersub{}","plainCitation":"13","noteIndex":0},"citationItems":[{"id":"xmpeSjVn/jAfZjUu3","uris":["http://zotero.org/users/local/ONYY32YX/items/UHJMCLXM"],"itemData":{"id":59097,"type":"article-journal","abstract":"The human proteome is a major source of therapeutic targets. Recent genetic association analyses of the plasma proteome enable systematic evaluation of the causal consequences of variation in plasma protein levels. Here we estimated the effects of 1,002 proteins on 225 phenotypes using two-sample Mendelian randomization (MR) and colocalization. Of 413 associations supported by evidence from MR, 130 (31.5%) were not supported by results of colocalization analyses, suggesting that genetic confounding due to linkage disequilibrium is widespread in naïve phenome-wide association studies of proteins. Combining MR and colocalization evidence in cis-only analyses, we identified 111 putatively causal effects between 65 proteins and 52 disease-related phenotypes (\nhttps://www.epigraphdb.org/pqtl/ ). Evaluation of data from historic drug development programs showed that target-indication pairs with MR and colocalization support were more likely to be approved, evidencing the value of this approach in identifying and prioritizing potential therapeutic targets.","container-title":"Nat. Genet.","DOI":"10.1038/s41588-020-0682-6","ISSN":"1061-4036","issue":"10","page":"1122-1131","title":"Phenome-wide Mendelian randomization mapping the influence of the plasma proteome on complex diseases","volume":"52","author":[{"family":"Zheng","given":"Jie"},{"family":"Haberland","given":"Valeriia"},{"family":"Baird","given":"Denis"},{"family":"Walker","given":"Venexia"},{"family":"Haycock","given":"Philip C"},{"family":"Hurle","given":"Mark R"},{"family":"Gutteridge","given":"Alex"},{"family":"Erola","given":"Pau"},{"family":"Liu","given":"Yi"},{"family":"Luo","given":"Shan"},{"family":"Robinson","given":"Jamie"},{"family":"Richardson","given":"Tom G"},{"family":"Staley","given":"James R"},{"family":"Elsworth","given":"Benjamin"},{"family":"Burgess","given":"Stephen"},{"family":"Sun","given":"Benjamin B"},{"family":"Danesh","given":"John"},{"family":"Runz","given":"Heiko"},{"family":"Maranville","given":"Joseph C"},{"family":"Martin","given":"Hannah M"},{"family":"Yarmolinsky","given":"James"},{"family":"Laurin","given":"Charles"},{"family":"Holmes","given":"Michael V"},{"family":"Liu","given":"Jimmy Z"},{"family":"Estrada","given":"Karol"},{"family":"Santos","given":"Rita"},{"family":"McCarthy","given":"Linda"},{"family":"Waterworth","given":"Dawn"},{"family":"Nelson","given":"Matthew R"},{"family":"Smith","given":"George Davey"},{"family":"Butterworth","given":"Adam S"},{"family":"Hemani","given":"Gibran"},{"family":"Scott","given":"Robert A"},{"family":"Gaunt","given":"Tom R"}],"issued":{"date-parts":[["2020",10]]}}}],"schema":"https://github.com/citation-style-language/schema/raw/master/csl-citation.json"} </w:instrText>
      </w:r>
      <w:r>
        <w:rPr>
          <w:vertAlign w:val="superscript"/>
        </w:rPr>
        <w:fldChar w:fldCharType="separate"/>
      </w:r>
      <w:r w:rsidR="00052B0E" w:rsidRPr="00052B0E">
        <w:rPr>
          <w:vertAlign w:val="superscript"/>
        </w:rPr>
        <w:t>13</w:t>
      </w:r>
      <w:r>
        <w:rPr>
          <w:vertAlign w:val="superscript"/>
        </w:rPr>
        <w:fldChar w:fldCharType="end"/>
      </w:r>
      <w:r>
        <w:t xml:space="preserve">. </w:t>
      </w:r>
      <w:r>
        <w:rPr>
          <w:vertAlign w:val="superscript"/>
        </w:rPr>
        <w:t xml:space="preserve"> </w:t>
      </w:r>
      <w:r w:rsidRPr="00A71BF4">
        <w:t xml:space="preserve">This can be used to assess whether </w:t>
      </w:r>
      <w:r>
        <w:t>false-positive drug target</w:t>
      </w:r>
      <w:r w:rsidRPr="00F65AE9">
        <w:t>-disease association</w:t>
      </w:r>
      <w:r>
        <w:t>s</w:t>
      </w:r>
      <w:r w:rsidRPr="00F65AE9">
        <w:t xml:space="preserve"> </w:t>
      </w:r>
      <w:r>
        <w:t>were</w:t>
      </w:r>
      <w:r w:rsidRPr="00F65AE9">
        <w:t xml:space="preserve"> created due to confounding by </w:t>
      </w:r>
      <w:r>
        <w:t>LD between nearby</w:t>
      </w:r>
      <w:r w:rsidRPr="00F65AE9">
        <w:t xml:space="preserve"> genetic variants</w:t>
      </w:r>
      <w:r w:rsidRPr="00A71BF4">
        <w:t xml:space="preserve"> (genetic confounding). </w:t>
      </w:r>
      <w:r>
        <w:t>A</w:t>
      </w:r>
      <w:r w:rsidRPr="00F65AE9">
        <w:t xml:space="preserve"> </w:t>
      </w:r>
      <w:r>
        <w:t xml:space="preserve">posterior </w:t>
      </w:r>
      <w:r w:rsidRPr="00F65AE9">
        <w:t>probability</w:t>
      </w:r>
      <w:r>
        <w:t xml:space="preserve"> of colocalization</w:t>
      </w:r>
      <w:r w:rsidRPr="00F65AE9">
        <w:t xml:space="preserve"> over </w:t>
      </w:r>
      <w:r>
        <w:t>7</w:t>
      </w:r>
      <w:r w:rsidRPr="00F65AE9">
        <w:t>0%</w:t>
      </w:r>
      <w:r>
        <w:t xml:space="preserve"> </w:t>
      </w:r>
      <w:r w:rsidRPr="00F65AE9">
        <w:t xml:space="preserve">between </w:t>
      </w:r>
      <w:r>
        <w:t>a</w:t>
      </w:r>
      <w:r w:rsidRPr="00F65AE9">
        <w:t xml:space="preserve"> </w:t>
      </w:r>
      <w:r>
        <w:t>drug target</w:t>
      </w:r>
      <w:r w:rsidRPr="00F65AE9">
        <w:t xml:space="preserve"> and </w:t>
      </w:r>
      <w:r>
        <w:t xml:space="preserve">prostate cancer </w:t>
      </w:r>
      <w:r w:rsidRPr="00F65AE9">
        <w:t xml:space="preserve">was used as evidence </w:t>
      </w:r>
      <w:r>
        <w:t>of colocalization.</w:t>
      </w:r>
    </w:p>
    <w:p w14:paraId="2B1CFB5A" w14:textId="77777777" w:rsidR="00B109C6" w:rsidRDefault="00B109C6" w:rsidP="00833F76">
      <w:pPr>
        <w:jc w:val="both"/>
      </w:pPr>
    </w:p>
    <w:p w14:paraId="214096BD" w14:textId="09A868A9" w:rsidR="00256CA8" w:rsidRDefault="00B109C6" w:rsidP="00833F76">
      <w:pPr>
        <w:spacing w:line="360" w:lineRule="auto"/>
        <w:jc w:val="both"/>
      </w:pPr>
      <w:r w:rsidRPr="00C3772E">
        <w:t xml:space="preserve">The </w:t>
      </w:r>
      <w:r>
        <w:t>MR</w:t>
      </w:r>
      <w:r w:rsidRPr="00C3772E">
        <w:t xml:space="preserve"> assumption </w:t>
      </w:r>
      <w:r>
        <w:t xml:space="preserve">involving the </w:t>
      </w:r>
      <w:r w:rsidRPr="00C3772E">
        <w:t>exclusion restriction was tested using</w:t>
      </w:r>
      <w:r w:rsidR="00D75303">
        <w:t xml:space="preserve"> a whole set of sensitivity methods</w:t>
      </w:r>
      <w:r>
        <w:t>. First, the presence of an association between an instrument for SGLT2 inhibition and an off-target phenotype could provide evidence of horizontal pleiotropy (which means a genetic variant influences a phenotype through biological pathways that are independent of the exposure under investigation), which is a violation of the exclusion restriction criterion. A phenome-wide association study (PheWAS) of the genetic instruments for SGLT2 inhibition was performed among a comprehensive list of 22,479 human phenotypes included in the IEU OpenGWAS database</w:t>
      </w:r>
      <w:r>
        <w:rPr>
          <w:vertAlign w:val="superscript"/>
        </w:rPr>
        <w:t>41,</w:t>
      </w:r>
      <w:r>
        <w:fldChar w:fldCharType="begin"/>
      </w:r>
      <w:r w:rsidR="005402BE">
        <w:instrText xml:space="preserve"> ADDIN ZOTERO_ITEM CSL_CITATION {"citationID":"v8wjxjX9","properties":{"formattedCitation":"\\super 24\\nosupersub{}","plainCitation":"24","noteIndex":0},"citationItems":[{"id":"xmpeSjVn/Ig2BK27V","uris":["http://zotero.org/users/local/ONYY32YX/items/ZLEKE584"],"itemData":{"id":52249,"type":"manuscript","abstract":"Data generated by genome-wide association studies (GWAS) are growing fast\nwith the linkage of biobank samples to health records, and expanding\ncapture of high-dimensional molecular phenotypes. However the utility of\nthese efforts can only be fully realised if their complete results are\ncollected from their heterogeneous sources and formats, harmonised and\nmade programmatically accessible. Here we present the OpenGWAS database,\nan open source, open access, scalable and high-performance cloud-based\ndata infrastructure that imports and publishes complete GWAS summary\ndatasets and metadata for the scientific community. Our import pipeline\nharmonises these datasets against dbSNP and the human genome reference\nsequence, generates summary reports and standardises the format of results\nand metadata. Users can access the data via a website, an application\nprogramming interface, R and Python packages, and also as downloadable\nfiles that can be rapidly queried in high performance computing\nenvironments. OpenGWAS currently contains 126 billion genetic associations\nfrom 14,582 complete GWAS datasets representing a range of different human\nphenotypes and disease outcomes across different populations. We developed\nR and Python packages to serve as conduits between these GWAS data sources\nand a range of available analytical tools, enabling Mendelian\nrandomization, genetic colocalisation analysis, fine mapping, genetic\ncorrelation and locus visualisation. OpenGWAS is freely accessible at ,\nand has been designed to facilitate integration with third party\nanalytical tools. ### Competing Interest Statement TRG, GH and GDS have\nreceived research funding from GlaxoSmithKline and Biogen for projects\nthat use the MRC IEU OpenGWAS database. VH has previously been supported\nby funding from GlaxoSmithKline. Neither company had any input into or\ncontrol over the contents of this manuscript. Oracle have provided cloud\nresources to host the OpenGWAS database.","note":"DOI: 10.1101/2020.08.10.244293","title":"The MRC IEU OpenGWAS data infrastructure","URL":"https://www.biorxiv.org/content/10.1101/2020.08.10.244293v1","author":[{"family":"Elsworth","given":"Ben"},{"family":"Lyon","given":"Matthew"},{"family":"Alexander","given":"Tessa"},{"family":"Liu","given":"Yi"},{"family":"Matthews","given":"Peter"},{"family":"Hallett","given":"Jon"},{"family":"Bates","given":"Phil"},{"family":"Palmer","given":"Tom"},{"family":"Haberland","given":"Valeriia"},{"family":"Smith","given":"George Davey"},{"family":"Zheng","given":"Jie"},{"family":"Haycock","given":"Philip"},{"family":"Gaunt","given":"Tom R"},{"family":"Hemani","given":"Gibran"}],"accessed":{"date-parts":[["2020",8,16]]},"issued":{"date-parts":[["2020",8,10]]}}}],"schema":"https://github.com/citation-style-language/schema/raw/master/csl-citation.json"} </w:instrText>
      </w:r>
      <w:r>
        <w:fldChar w:fldCharType="separate"/>
      </w:r>
      <w:r w:rsidR="005402BE" w:rsidRPr="005402BE">
        <w:rPr>
          <w:vertAlign w:val="superscript"/>
        </w:rPr>
        <w:t>24</w:t>
      </w:r>
      <w:r>
        <w:fldChar w:fldCharType="end"/>
      </w:r>
      <w:r>
        <w:t xml:space="preserve">. </w:t>
      </w:r>
      <w:r w:rsidRPr="005D77D4">
        <w:t xml:space="preserve">If there was evidence of </w:t>
      </w:r>
      <w:r>
        <w:t>effect</w:t>
      </w:r>
      <w:r w:rsidRPr="005D77D4">
        <w:t xml:space="preserve"> of </w:t>
      </w:r>
      <w:r>
        <w:t xml:space="preserve">genetic instruments for SGLT2 inhibition </w:t>
      </w:r>
      <w:r w:rsidRPr="005D77D4">
        <w:t xml:space="preserve">with </w:t>
      </w:r>
      <w:r>
        <w:t>unintended phenotype</w:t>
      </w:r>
      <w:r w:rsidR="0082391A">
        <w:t>s</w:t>
      </w:r>
      <w:r>
        <w:t xml:space="preserve"> at a genetic association threshold of </w:t>
      </w:r>
      <w:r w:rsidR="009C7422">
        <w:t>5</w:t>
      </w:r>
      <w:r>
        <w:t>×10</w:t>
      </w:r>
      <w:r w:rsidRPr="00D1669A">
        <w:rPr>
          <w:vertAlign w:val="superscript"/>
        </w:rPr>
        <w:t>-</w:t>
      </w:r>
      <w:r w:rsidR="009C7422">
        <w:rPr>
          <w:vertAlign w:val="superscript"/>
        </w:rPr>
        <w:t>8</w:t>
      </w:r>
      <w:r>
        <w:t>, m</w:t>
      </w:r>
      <w:r w:rsidRPr="005D77D4">
        <w:t xml:space="preserve">ultivariable analyses were performed to examine associations between </w:t>
      </w:r>
      <w:r>
        <w:t xml:space="preserve">the genetic instruments for SGLT2 inhibition </w:t>
      </w:r>
      <w:r w:rsidRPr="005D77D4">
        <w:t xml:space="preserve">and </w:t>
      </w:r>
      <w:r>
        <w:t>prostate</w:t>
      </w:r>
      <w:r w:rsidRPr="005D77D4">
        <w:t xml:space="preserve"> cancer outcomes, adjusted for genetically proxied </w:t>
      </w:r>
      <w:r>
        <w:t>phenotype</w:t>
      </w:r>
      <w:r>
        <w:fldChar w:fldCharType="begin"/>
      </w:r>
      <w:r w:rsidR="005402BE">
        <w:instrText xml:space="preserve"> ADDIN ZOTERO_ITEM CSL_CITATION {"citationID":"a1ivdo6n2du","properties":{"formattedCitation":"\\super 25\\nosupersub{}","plainCitation":"25","noteIndex":0},"citationItems":[{"id":72,"uris":["http://zotero.org/users/local/ONYY32YX/items/VW8IDMXG"],"itemData":{"id":72,"type":"article-journal","abstract":"A conventional Mendelian randomization analysis assesses the causal effect\nof a risk factor on an outcome by using genetic variants that are solely\nassociated with the risk factor of interest as instrumental variables.\nHowever, in some cases, such as the case of triglyceride level as a risk\nfactor for cardiovascular disease, it may be difficult to find a relevant\ngenetic variant that is not also associated with related risk factors,\nsuch as other lipid fractions. Such a variant is known as pleiotropic. In\nthis paper, we propose an extension of Mendelian randomization that uses\nmultiple genetic variants associated with several measured risk factors to\nsimultaneously estimate the causal effect of each of the risk factors on\nthe outcome. This \"multivariable Mendelian randomization\" approach is\nsimilar to the simultaneous assessment of several treatments in a\nfactorial randomized trial. In this paper, methods for estimating the\ncausal effects are presented and compared using real and simulated data,\nand the assumptions necessary for a valid multivariable Mendelian\nrandomization analysis are discussed. Subject to these assumptions, we\ndemonstrate that triglyceride-related pathways have a causal effect on the\nrisk of coronary heart disease independent of the effects of low-density\nlipoprotein cholesterol and high-density lipoprotein cholesterol.","container-title":"Am. J. Epidemiol.","DOI":"10.1093/aje/kwu283","ISSN":"0002-9262","issue":"4","page":"251-260","title":"Multivariable Mendelian randomization: the use of pleiotropic genetic variants to estimate causal effects","volume":"181","author":[{"family":"Burgess","given":"Stephen"},{"family":"Thompson","given":"Simon G"}],"issued":{"date-parts":[["2015",2,15]]}}}],"schema":"https://github.com/citation-style-language/schema/raw/master/csl-citation.json"} </w:instrText>
      </w:r>
      <w:r>
        <w:fldChar w:fldCharType="separate"/>
      </w:r>
      <w:r w:rsidR="005402BE" w:rsidRPr="005402BE">
        <w:rPr>
          <w:vertAlign w:val="superscript"/>
        </w:rPr>
        <w:t>25</w:t>
      </w:r>
      <w:r>
        <w:fldChar w:fldCharType="end"/>
      </w:r>
      <w:r>
        <w:t xml:space="preserve">. </w:t>
      </w:r>
    </w:p>
    <w:p w14:paraId="47170471" w14:textId="77777777" w:rsidR="00256CA8" w:rsidRDefault="00256CA8" w:rsidP="00833F76">
      <w:pPr>
        <w:spacing w:line="360" w:lineRule="auto"/>
        <w:jc w:val="both"/>
      </w:pPr>
    </w:p>
    <w:p w14:paraId="71744837" w14:textId="581988AC" w:rsidR="009C7422" w:rsidRDefault="009C7422" w:rsidP="00833F76">
      <w:pPr>
        <w:spacing w:line="360" w:lineRule="auto"/>
        <w:jc w:val="both"/>
      </w:pPr>
      <w:r>
        <w:lastRenderedPageBreak/>
        <w:t xml:space="preserve">Second, </w:t>
      </w:r>
      <w:r w:rsidR="00256CA8">
        <w:t xml:space="preserve">if there was evidence of genetic effect of the SGLT2 instruments on expression levels of other genes, where the expression levels of these genes were associated with prostate cancer, then this will violate the </w:t>
      </w:r>
      <w:r w:rsidR="00256CA8" w:rsidRPr="00C3772E">
        <w:t>exclusion restriction</w:t>
      </w:r>
      <w:r w:rsidR="00256CA8">
        <w:t xml:space="preserve"> assumption of MR. We therefore conducted a transcriptome wide variant lookup to identify all genes that are associated with the SGLT2 instruments</w:t>
      </w:r>
      <w:r w:rsidR="009D2F55">
        <w:t xml:space="preserve"> with P&lt;1×10</w:t>
      </w:r>
      <w:r w:rsidR="009D2F55" w:rsidRPr="009D2F55">
        <w:rPr>
          <w:vertAlign w:val="superscript"/>
        </w:rPr>
        <w:t>-4</w:t>
      </w:r>
      <w:r w:rsidR="0014521B">
        <w:t xml:space="preserve"> (</w:t>
      </w:r>
      <w:r w:rsidR="0014521B" w:rsidRPr="0014521B">
        <w:rPr>
          <w:b/>
          <w:bCs/>
        </w:rPr>
        <w:t>Supplementary Table 11</w:t>
      </w:r>
      <w:r w:rsidR="0014521B">
        <w:t>)</w:t>
      </w:r>
      <w:r w:rsidR="00256CA8">
        <w:t xml:space="preserve">. Differential expression analysis was then applied for expression levels of these genes in prostate tumour tissue versus normal prostate tissue. If expression level did not different between the two tissues, we will be more confident that these genes are not likely to be pleiotropic exposures that linking SGLT2 instruments with prostate cancer risk. </w:t>
      </w:r>
    </w:p>
    <w:p w14:paraId="3D125AA7" w14:textId="77777777" w:rsidR="009C7422" w:rsidRDefault="009C7422" w:rsidP="00833F76">
      <w:pPr>
        <w:spacing w:line="360" w:lineRule="auto"/>
        <w:jc w:val="both"/>
      </w:pPr>
    </w:p>
    <w:p w14:paraId="2E548A5E" w14:textId="747832F9" w:rsidR="00256CA8" w:rsidRDefault="009C7422" w:rsidP="00833F76">
      <w:pPr>
        <w:spacing w:line="360" w:lineRule="auto"/>
        <w:jc w:val="both"/>
      </w:pPr>
      <w:r>
        <w:t>Third</w:t>
      </w:r>
      <w:r w:rsidR="00B109C6">
        <w:t xml:space="preserve">, the violations of the exclusion restriction assumption were further tested by examining associations of the genetic instruments with </w:t>
      </w:r>
      <w:r w:rsidR="00B109C6" w:rsidRPr="00E44FB3">
        <w:t xml:space="preserve">four previously reported </w:t>
      </w:r>
      <w:r w:rsidR="00B109C6">
        <w:t xml:space="preserve">causal </w:t>
      </w:r>
      <w:r w:rsidR="00B109C6" w:rsidRPr="00E44FB3">
        <w:t>prostate cancer risk factors (a</w:t>
      </w:r>
      <w:r w:rsidR="00B109C6" w:rsidRPr="000E45ED">
        <w:t>ccelerometer-based physical activity measurement</w:t>
      </w:r>
      <w:r w:rsidR="00B109C6">
        <w:t>, s</w:t>
      </w:r>
      <w:r w:rsidR="00B109C6" w:rsidRPr="000E45ED">
        <w:t>erum iron</w:t>
      </w:r>
      <w:r w:rsidR="00B109C6">
        <w:t xml:space="preserve">, </w:t>
      </w:r>
      <w:r w:rsidR="00B109C6" w:rsidRPr="000E45ED">
        <w:t>body mass index</w:t>
      </w:r>
      <w:r w:rsidR="00B109C6">
        <w:t xml:space="preserve"> and m</w:t>
      </w:r>
      <w:r w:rsidR="00B109C6" w:rsidRPr="000E45ED">
        <w:t>onounsaturated fatty acids</w:t>
      </w:r>
      <w:r w:rsidR="00B109C6">
        <w:t>)</w:t>
      </w:r>
      <w:r w:rsidR="00B109C6">
        <w:fldChar w:fldCharType="begin"/>
      </w:r>
      <w:r w:rsidR="005402BE">
        <w:instrText xml:space="preserve"> ADDIN ZOTERO_ITEM CSL_CITATION {"citationID":"JHmwhwrO","properties":{"formattedCitation":"\\super 26\\nosupersub{}","plainCitation":"26","noteIndex":0},"citationItems":[{"id":"xmpeSjVn/MLxHZIRG","uris":["http://zotero.org/users/local/ONYY32YX/items/GCEVBEFV"],"itemData":{"id":118132,"type":"article-journal","abstract":"BACKGROUND: Prostate cancer is the second most common male cancer\nworldwide, but there is substantial geographical variation, suggesting a\npotential role for modifiable risk factors in prostate carcinogenesis.\nMETHODS: We identified previously reported prostate cancer risk factors\nfrom the World Cancer Research Fund (WCRF)'s systematic appraisal of the\nglobal evidence (2018). We assessed whether each identified risk factor\nwas causally associated with risk of overall (79 148 cases and 61 106\ncontrols) or aggressive (15 167 cases and 58 308 controls) prostate cancer\nusing Mendelian randomization (MR) based on genome-wide association-study\nsummary statistics from the PRACTICAL and GAME-ON/ELLIPSE consortia. We\nassessed evidence for replication in UK Biobank (7844 prostate-cancer\ncases and 204 001 controls). RESULTS: WCRF identified 57 potential risk\nfactors, of which 22 could be instrumented for MR analyses using single\nnucleotide polymorphisms. For overall prostate cancer, we identified\nevidence compatible with causality for the following risk factors (odds\nratio [OR] per standard deviation increase; 95% confidence interval):\naccelerometer-measured physical activity, OR = 0.49 (0.33-0.72; P =\n0.0003); serum iron, OR = 0.92 (0.86-0.98; P = 0.007); body mass index\n(BMI), OR = 0.90 (0.84-0.97; P = 0.003); and monounsaturated fat, OR =\n1.11 (1.02-1.20; P = 0.02). Findings in our replication analyses in UK\nBiobank were compatible with our main analyses (albeit with wide\nconfidence intervals). In MR analysis, height was positively associated\nwith aggressive-prostate-cancer risk: OR = 1.07 (1.01-1.15; P = 0.03).\nCONCLUSIONS: The results for physical activity, serum iron, BMI,\nmonounsaturated fat and height are compatible with causality for prostate\ncancer. The results suggest that interventions aimed at increasing\nphysical activity may reduce prostate-cancer risk, although interventions\nto change other risk factors may have negative consequences on other\ndiseases.","container-title":"Int. J. Epidemiol.","DOI":"10.1093/ije/dyz235","ISSN":"0300-5771","issue":"2","page":"587-596","title":"Appraising causal relationships of dietary, nutritional and physical-activity exposures with overall and aggressive prostate cancer: two-sample Mendelian-randomization study based on 79 148 prostate-cancer cases and 61 106 controls","volume":"49","author":[{"family":"Kazmi","given":"Nabila"},{"family":"Haycock","given":"Philip"},{"family":"Tsilidis","given":"Konstantinos"},{"family":"Lynch","given":"Brigid M"},{"family":"Truong","given":"Therese"},{"family":"PRACTICAL Consortium","given":"CRUK","suffix":"BPC3, CAPS, PEGASUS"},{"family":"Martin","given":"Richard M"},{"family":"Lewis","given":"Sarah J"}],"issued":{"date-parts":[["2020",4,1]]}}}],"schema":"https://github.com/citation-style-language/schema/raw/master/csl-citation.json"} </w:instrText>
      </w:r>
      <w:r w:rsidR="00B109C6">
        <w:fldChar w:fldCharType="separate"/>
      </w:r>
      <w:r w:rsidR="005402BE" w:rsidRPr="005402BE">
        <w:rPr>
          <w:vertAlign w:val="superscript"/>
        </w:rPr>
        <w:t>26</w:t>
      </w:r>
      <w:r w:rsidR="00B109C6">
        <w:fldChar w:fldCharType="end"/>
      </w:r>
      <w:r w:rsidR="00B109C6">
        <w:t xml:space="preserve">. A marginal MR threshold (P&lt;0.05) was used as evidence of a potential pleitropy effect of the genetic instruments for SGLT2 inhibition on prostate cancer via a prostate cancer risk factor. </w:t>
      </w:r>
    </w:p>
    <w:p w14:paraId="337B8B4D" w14:textId="77777777" w:rsidR="00256CA8" w:rsidRDefault="00256CA8" w:rsidP="00833F76">
      <w:pPr>
        <w:spacing w:line="360" w:lineRule="auto"/>
        <w:jc w:val="both"/>
      </w:pPr>
    </w:p>
    <w:p w14:paraId="0CB0809B" w14:textId="0C9DA366" w:rsidR="0050684E" w:rsidRDefault="009C7422" w:rsidP="00833F76">
      <w:pPr>
        <w:spacing w:line="360" w:lineRule="auto"/>
        <w:jc w:val="both"/>
      </w:pPr>
      <w:r>
        <w:t>Fourth</w:t>
      </w:r>
      <w:r w:rsidR="00B109C6">
        <w:t xml:space="preserve">, for genetic instruments for SGLT2 inhibition with two or more SNPs, evidence of horizontal pleiotropy was examined via the following sensitivity analyses: heterogeneity test across instruments using Cochran’s Q and </w:t>
      </w:r>
      <w:proofErr w:type="spellStart"/>
      <w:r w:rsidR="00B109C6" w:rsidRPr="005C52B8">
        <w:t>Rücker’s</w:t>
      </w:r>
      <w:proofErr w:type="spellEnd"/>
      <w:r w:rsidR="00B109C6" w:rsidRPr="005C52B8">
        <w:t xml:space="preserve"> Q</w:t>
      </w:r>
      <w:r w:rsidR="00B109C6">
        <w:fldChar w:fldCharType="begin"/>
      </w:r>
      <w:r w:rsidR="005402BE">
        <w:instrText xml:space="preserve"> ADDIN ZOTERO_ITEM CSL_CITATION {"citationID":"5NVNAvaP","properties":{"formattedCitation":"\\super 27\\nosupersub{}","plainCitation":"27","noteIndex":0},"citationItems":[{"id":425,"uris":["http://zotero.org/users/local/ONYY32YX/items/F34PW4NI"],"itemData":{"id":425,"type":"article-journal","abstract":"Mendelian randomization (MR) uses genetic data to probe questions of\ncausality in epidemiological research, by invoking the Instrumental\nVariable (IV) assumptions. In recent years, it has become commonplace to\nattempt MR analyses by synthesising summary data estimates of genetic\nassociation gleaned from large and independent study populations. This is\nreferred to as two-sample summary data MR. Unfortunately, due to the sheer\nnumber of variants that can be easily included into summary data MR\nanalyses, it is increasingly likely that some do not meet the IV\nassumptions due to pleiotropy. There is a pressing need to develop methods\nthat can both detect and correct for pleiotropy, in order to preserve the\nvalidity of the MR approach in this context. In this paper, we aim to\nclarify how established methods of meta-regression and random effects\nmodelling from mainstream meta-analysis are being adapted to perform this\ntask. Specifically, we focus on two contrastin g approaches: the Inverse\nVariance Weighted (IVW) method which assumes in its simplest form that all\ngenetic variants are valid IVs, and the method of MR-Egger regression that\nallows all variants to violate the IV assumptions, albeit in a specific\nway. We investigate the ability of two popular random effects models to\nprovide robustness to pleiotropy under the IVW approach, and propose\nstatistics to quantify the relative goodness-of-fit of the IVW approach\nover MR-Egger regression. © 2017 The Authors. Statistics in Medicine\nPublished by JohnWiley &amp; Sons Ltd.","container-title":"Stat. Med.","DOI":"10.1002/sim.7221","ISSN":"0277-6715","issue":"11","page":"1783-1802","title":"A framework for the investigation of pleiotropy in two-sample summary data Mendelian randomization","volume":"36","author":[{"family":"Bowden","given":"Jack"},{"family":"Del Greco M","given":"Fabiola"},{"family":"Minelli","given":"Cosetta"},{"family":"Davey Smith","given":"George"},{"family":"Sheehan","given":"Nuala"},{"family":"Thompson","given":"John"}],"issued":{"date-parts":[["2017",5,20]]}}}],"schema":"https://github.com/citation-style-language/schema/raw/master/csl-citation.json"} </w:instrText>
      </w:r>
      <w:r w:rsidR="00B109C6">
        <w:fldChar w:fldCharType="separate"/>
      </w:r>
      <w:r w:rsidR="005402BE" w:rsidRPr="005402BE">
        <w:rPr>
          <w:vertAlign w:val="superscript"/>
        </w:rPr>
        <w:t>27</w:t>
      </w:r>
      <w:r w:rsidR="00B109C6">
        <w:fldChar w:fldCharType="end"/>
      </w:r>
      <w:r w:rsidR="00B109C6" w:rsidRPr="009D75A3">
        <w:rPr>
          <w:vertAlign w:val="superscript"/>
        </w:rPr>
        <w:t>,</w:t>
      </w:r>
      <w:r w:rsidR="00B109C6">
        <w:fldChar w:fldCharType="begin"/>
      </w:r>
      <w:r w:rsidR="005402BE">
        <w:instrText xml:space="preserve"> ADDIN ZOTERO_ITEM CSL_CITATION {"citationID":"Xd4Jokhu","properties":{"formattedCitation":"\\super 28\\nosupersub{}","plainCitation":"28","noteIndex":0},"citationItems":[{"id":1263,"uris":["http://zotero.org/users/local/ONYY32YX/items/BL866Z9D"],"itemData":{"id":1263,"type":"manuscript","abstract":"Two-sample summary data Mendelian randomization (MR) incorporating\nmultiple genetic variants in a meta-analysis framework is a popular\ntechnique for assessing causality in epidemiology. If all genetic variants\nsatisfy the instrumental variable (IV) assumptions, then their individual\ncausal ratio estimates should be homogeneous. Observed heterogeneity,\ntherefore, supports the notion that a portion of variants violate the IV\nassumptions due to pleiotropy. Model fitting and heterogeneity assessment\nin MR requires an approximation for the variance of each ratio estimate.\nWe show that the most popular approximation can lead to an inflation in\nthe chances of detecting heterogeneity when in fact it is not present.\nConversely, an ostensibly more accurate approximation can dramatically\nincrease the chances of failing to detect heterogeneity, when it is truly\npresent. Here we derive a ‘modified 2nd order’ approximation to the\nvariance that makes use of the derived causal estimate to mitigate both of\nthese adverse effects. Using Monte Carlo simulations, we show that the\nmodified 2nd order approximation outperforms both its 1st and 2nd order\ncounterparts in the presence of weak instruments or a large causal effect.\nWe illustrate the utility of the new method using data from a recent\ntwo-sample summary data MR analysis to assess the causal role of systolic\nblood pressure on coronary heart disease risk. Modified 2nd order\nweighting should be used as standard within two-sample summary data MR\nstudies for model fitting, the quantification of heterogeneity and the\ndetection of outliers. R code is provided to apply these weights in\npractice.","note":"DOI: 10.1101/159442","title":"Improving the accuracy of two-sample summary data Mendelian randomization: moving beyond the NOME assumption","URL":"https://www.biorxiv.org/content/early/2017/07/05/159442.abstract","author":[{"family":"Bowden","given":"Jack"},{"family":"Del Greco M","given":"Fabiola"},{"family":"Minelli","given":"Cosetta"},{"family":"Lawlor","given":"Debbie"},{"family":"Sheehan","given":"Nuala"},{"family":"Thompson","given":"John"},{"family":"Smith","given":"George Davey"}],"accessed":{"date-parts":[["2017",10,5]]},"issued":{"date-parts":[["2017",7,5]]}}}],"schema":"https://github.com/citation-style-language/schema/raw/master/csl-citation.json"} </w:instrText>
      </w:r>
      <w:r w:rsidR="00B109C6">
        <w:fldChar w:fldCharType="separate"/>
      </w:r>
      <w:r w:rsidR="005402BE" w:rsidRPr="005402BE">
        <w:rPr>
          <w:vertAlign w:val="superscript"/>
        </w:rPr>
        <w:t>28</w:t>
      </w:r>
      <w:r w:rsidR="00B109C6">
        <w:fldChar w:fldCharType="end"/>
      </w:r>
      <w:r w:rsidR="00B109C6">
        <w:t>, weighted median</w:t>
      </w:r>
      <w:r w:rsidR="00B109C6">
        <w:fldChar w:fldCharType="begin"/>
      </w:r>
      <w:r w:rsidR="005402BE">
        <w:instrText xml:space="preserve"> ADDIN ZOTERO_ITEM CSL_CITATION {"citationID":"16PHtIfn","properties":{"formattedCitation":"\\super 29\\nosupersub{}","plainCitation":"29","noteIndex":0},"citationItems":[{"id":75,"uris":["http://zotero.org/users/local/ONYY32YX/items/CCLKJ2LL"],"itemData":{"id":75,"type":"article-journal","abstract":"Developments in genome-wide association studies and the increasing\navailability of summary genetic association data have made application of\nMendelian randomization relatively straightforward. However, obtaining\nreliable results from a Mendelian randomization investigation remains\nproblematic, as the conventional inverse-variance weighted method only\ngives consistent estimates if all of the genetic variants in the analysis\nare valid instrumental variables. We present a novel weighted median\nestimator for combining data on multiple genetic variants into a single\ncausal estimate. This estimator is consistent even when up to 50% of the\ninformation comes from invalid instrumental variables. In a simulation\nanalysis, it is shown to have better finite-sample Type 1 error rates than\nthe inverse-variance weighted method, and is complementary to the recently\nproposed MR-Egger (Mendelian randomization-Egger) regression method. In\nanalyses of the causal effects of low-density lipoprotein cholesterol and\nhigh-density lipoprotein cholesterol on coronary artery disease risk, the\ninverse-variance weighted method suggests a causal effect of both lipid\nfractions, whereas the weighted median and MR-Egger regression methods\nsuggest a null effect of high-density lipoprotein cholesterol that\ncorresponds with the experimental evidence. Both median-based and MR-Egger\nregression methods should be considered as sensitivity analyses for\nMendelian randomization investigations with multiple genetic variants.","container-title":"Genet. Epidemiol.","DOI":"10.1002/gepi.21965","ISSN":"0741-0395","issue":"4","page":"304-314","title":"Consistent Estimation in Mendelian Randomization with Some Invalid Instruments Using a Weighted Median Estimator","volume":"40","author":[{"family":"Bowden","given":"Jack"},{"family":"Davey Smith","given":"George"},{"family":"Haycock","given":"Philip C"},{"family":"Burgess","given":"Stephen"}],"issued":{"date-parts":[["2016",5]]}}}],"schema":"https://github.com/citation-style-language/schema/raw/master/csl-citation.json"} </w:instrText>
      </w:r>
      <w:r w:rsidR="00B109C6">
        <w:fldChar w:fldCharType="separate"/>
      </w:r>
      <w:r w:rsidR="005402BE" w:rsidRPr="005402BE">
        <w:rPr>
          <w:vertAlign w:val="superscript"/>
        </w:rPr>
        <w:t>29</w:t>
      </w:r>
      <w:r w:rsidR="00B109C6">
        <w:fldChar w:fldCharType="end"/>
      </w:r>
      <w:r w:rsidR="00B109C6">
        <w:t xml:space="preserve"> and mode-based estimate approaches</w:t>
      </w:r>
      <w:r w:rsidR="00B109C6">
        <w:fldChar w:fldCharType="begin"/>
      </w:r>
      <w:r w:rsidR="005402BE">
        <w:instrText xml:space="preserve"> ADDIN ZOTERO_ITEM CSL_CITATION {"citationID":"qTEbyvy1","properties":{"formattedCitation":"\\super 30\\nosupersub{}","plainCitation":"30","noteIndex":0},"citationItems":[{"id":1222,"uris":["http://zotero.org/users/local/ONYY32YX/items/HAT8EVGI"],"itemData":{"id":1222,"type":"article-journal","abstract":"Background: Mendelian randomization (MR) is being increasingly used to\nstrengthen causal inference in observational studies. Availability of\nsummary data of genetic associations for a variety of phenotypes from\nlarge genome-wide association studies (GWAS) allows straightforward\napplication of MR using summary data methods, typically in a two-sample\ndesign. In addition to the conventional inverse variance weighting (IVW)\nmethod, recently developed summary data MR methods, such as the MR-Egger\nand weighted median approaches, allow a relaxation of the instrumental\nvariable assumptions.Methods: Here, a new method - the mode-based estimate\n(MBE) - is proposed to obtain a single causal effect estimate from\nmultiple genetic instruments. The MBE is consistent when the largest\nnumber of similar (identical in infinite samples) individual-instrument\ncausal effect estimates comes from valid instruments, even if the majority\nof instruments are invalid. We evaluate the performance of the method in\nsimulations designed to mimic the two-sample summary data setting, and\ndemonstrate its use by investigating the causal effect of plasma lipid\nfractions and urate levels on coronary heart disease risk.Results: The MBE\npresented less bias and lower type-I error rates than other methods under\nthe null in many situations. Its power to detect a causal effect was\nsmaller compared with the IVW and weighted median methods, but was larger\nthan that of MR-Egger regression, with sample size requirements typically\nsmaller than those available from GWAS consortia.Conclusions: The MBE\nrelaxes the instrumental variable assumptions, and should be used in\ncombination with other approaches in sensitivity analyses.","container-title":"Int. J. Epidemiol.","DOI":"10.1093/ije/dyx102","ISSN":"0300-5771","title":"Robust inference in summary data Mendelian randomization via the zero modal pleiotropy assumption","URL":"https://academic.oup.com/ije/article-abstract/3957932/Robust-inference-in-summary-data-Mendelian","author":[{"family":"Hartwig","given":"Fernando Pires"},{"family":"Davey Smith","given":"George"},{"family":"Bowden","given":"Jack"}],"accessed":{"date-parts":[["2017",10,5]]},"issued":{"date-parts":[["2017",7,12]]}}}],"schema":"https://github.com/citation-style-language/schema/raw/master/csl-citation.json"} </w:instrText>
      </w:r>
      <w:r w:rsidR="00B109C6">
        <w:fldChar w:fldCharType="separate"/>
      </w:r>
      <w:r w:rsidR="005402BE" w:rsidRPr="005402BE">
        <w:rPr>
          <w:vertAlign w:val="superscript"/>
        </w:rPr>
        <w:t>30</w:t>
      </w:r>
      <w:r w:rsidR="00B109C6">
        <w:fldChar w:fldCharType="end"/>
      </w:r>
      <w:r w:rsidR="00B109C6">
        <w:t>.</w:t>
      </w:r>
      <w:r w:rsidR="008F16AB">
        <w:t xml:space="preserve"> </w:t>
      </w:r>
      <w:r w:rsidR="0050684E">
        <w:t>W</w:t>
      </w:r>
      <w:r w:rsidR="00B96315" w:rsidRPr="00B96315">
        <w:t xml:space="preserve">eighted median MR </w:t>
      </w:r>
      <w:r w:rsidR="0050684E">
        <w:t xml:space="preserve">and mode </w:t>
      </w:r>
      <w:r w:rsidR="003D2CB0">
        <w:t xml:space="preserve">estimator </w:t>
      </w:r>
      <w:r w:rsidR="00B96315" w:rsidRPr="00B96315">
        <w:t>approaches</w:t>
      </w:r>
      <w:r w:rsidR="0050684E">
        <w:fldChar w:fldCharType="begin"/>
      </w:r>
      <w:r w:rsidR="005402BE">
        <w:instrText xml:space="preserve"> ADDIN ZOTERO_ITEM CSL_CITATION {"citationID":"8HVSvxPN","properties":{"formattedCitation":"\\super 29\\nosupersub{}","plainCitation":"29","noteIndex":0},"citationItems":[{"id":75,"uris":["http://zotero.org/users/local/ONYY32YX/items/CCLKJ2LL"],"itemData":{"id":75,"type":"article-journal","abstract":"Developments in genome-wide association studies and the increasing\navailability of summary genetic association data have made application of\nMendelian randomization relatively straightforward. However, obtaining\nreliable results from a Mendelian randomization investigation remains\nproblematic, as the conventional inverse-variance weighted method only\ngives consistent estimates if all of the genetic variants in the analysis\nare valid instrumental variables. We present a novel weighted median\nestimator for combining data on multiple genetic variants into a single\ncausal estimate. This estimator is consistent even when up to 50% of the\ninformation comes from invalid instrumental variables. In a simulation\nanalysis, it is shown to have better finite-sample Type 1 error rates than\nthe inverse-variance weighted method, and is complementary to the recently\nproposed MR-Egger (Mendelian randomization-Egger) regression method. In\nanalyses of the causal effects of low-density lipoprotein cholesterol and\nhigh-density lipoprotein cholesterol on coronary artery disease risk, the\ninverse-variance weighted method suggests a causal effect of both lipid\nfractions, whereas the weighted median and MR-Egger regression methods\nsuggest a null effect of high-density lipoprotein cholesterol that\ncorresponds with the experimental evidence. Both median-based and MR-Egger\nregression methods should be considered as sensitivity analyses for\nMendelian randomization investigations with multiple genetic variants.","container-title":"Genet. Epidemiol.","DOI":"10.1002/gepi.21965","ISSN":"0741-0395","issue":"4","page":"304-314","title":"Consistent Estimation in Mendelian Randomization with Some Invalid Instruments Using a Weighted Median Estimator","volume":"40","author":[{"family":"Bowden","given":"Jack"},{"family":"Davey Smith","given":"George"},{"family":"Haycock","given":"Philip C"},{"family":"Burgess","given":"Stephen"}],"issued":{"date-parts":[["2016",5]]}}}],"schema":"https://github.com/citation-style-language/schema/raw/master/csl-citation.json"} </w:instrText>
      </w:r>
      <w:r w:rsidR="0050684E">
        <w:fldChar w:fldCharType="separate"/>
      </w:r>
      <w:r w:rsidR="005402BE" w:rsidRPr="005402BE">
        <w:rPr>
          <w:vertAlign w:val="superscript"/>
        </w:rPr>
        <w:t>29</w:t>
      </w:r>
      <w:r w:rsidR="0050684E">
        <w:fldChar w:fldCharType="end"/>
      </w:r>
      <w:r w:rsidR="003D2CB0" w:rsidRPr="003D2CB0">
        <w:rPr>
          <w:vertAlign w:val="superscript"/>
        </w:rPr>
        <w:t>,</w:t>
      </w:r>
      <w:r w:rsidR="003D2CB0">
        <w:fldChar w:fldCharType="begin"/>
      </w:r>
      <w:r w:rsidR="005402BE">
        <w:instrText xml:space="preserve"> ADDIN ZOTERO_ITEM CSL_CITATION {"citationID":"fhzxnOat","properties":{"formattedCitation":"\\super 30\\nosupersub{}","plainCitation":"30","noteIndex":0},"citationItems":[{"id":1222,"uris":["http://zotero.org/users/local/ONYY32YX/items/HAT8EVGI"],"itemData":{"id":1222,"type":"article-journal","abstract":"Background: Mendelian randomization (MR) is being increasingly used to\nstrengthen causal inference in observational studies. Availability of\nsummary data of genetic associations for a variety of phenotypes from\nlarge genome-wide association studies (GWAS) allows straightforward\napplication of MR using summary data methods, typically in a two-sample\ndesign. In addition to the conventional inverse variance weighting (IVW)\nmethod, recently developed summary data MR methods, such as the MR-Egger\nand weighted median approaches, allow a relaxation of the instrumental\nvariable assumptions.Methods: Here, a new method - the mode-based estimate\n(MBE) - is proposed to obtain a single causal effect estimate from\nmultiple genetic instruments. The MBE is consistent when the largest\nnumber of similar (identical in infinite samples) individual-instrument\ncausal effect estimates comes from valid instruments, even if the majority\nof instruments are invalid. We evaluate the performance of the method in\nsimulations designed to mimic the two-sample summary data setting, and\ndemonstrate its use by investigating the causal effect of plasma lipid\nfractions and urate levels on coronary heart disease risk.Results: The MBE\npresented less bias and lower type-I error rates than other methods under\nthe null in many situations. Its power to detect a causal effect was\nsmaller compared with the IVW and weighted median methods, but was larger\nthan that of MR-Egger regression, with sample size requirements typically\nsmaller than those available from GWAS consortia.Conclusions: The MBE\nrelaxes the instrumental variable assumptions, and should be used in\ncombination with other approaches in sensitivity analyses.","container-title":"Int. J. Epidemiol.","DOI":"10.1093/ije/dyx102","ISSN":"0300-5771","title":"Robust inference in summary data Mendelian randomization via the zero modal pleiotropy assumption","URL":"https://academic.oup.com/ije/article-abstract/3957932/Robust-inference-in-summary-data-Mendelian","author":[{"family":"Hartwig","given":"Fernando Pires"},{"family":"Davey Smith","given":"George"},{"family":"Bowden","given":"Jack"}],"accessed":{"date-parts":[["2017",10,5]]},"issued":{"date-parts":[["2017",7,12]]}}}],"schema":"https://github.com/citation-style-language/schema/raw/master/csl-citation.json"} </w:instrText>
      </w:r>
      <w:r w:rsidR="003D2CB0">
        <w:fldChar w:fldCharType="separate"/>
      </w:r>
      <w:r w:rsidR="005402BE" w:rsidRPr="005402BE">
        <w:rPr>
          <w:vertAlign w:val="superscript"/>
        </w:rPr>
        <w:t>30</w:t>
      </w:r>
      <w:r w:rsidR="003D2CB0">
        <w:fldChar w:fldCharType="end"/>
      </w:r>
      <w:r w:rsidR="00B96315" w:rsidRPr="00B96315">
        <w:t xml:space="preserve"> </w:t>
      </w:r>
      <w:r w:rsidR="003D2CB0">
        <w:t>are two</w:t>
      </w:r>
      <w:r w:rsidR="0050684E">
        <w:t xml:space="preserve"> </w:t>
      </w:r>
      <w:r w:rsidR="00B96315" w:rsidRPr="00B96315">
        <w:t xml:space="preserve">additional sensitivity analyses, which provide consistent causal estimates of the exposure on the outcome even when up to 50% </w:t>
      </w:r>
      <w:r w:rsidR="003D2CB0">
        <w:t xml:space="preserve">(or up to </w:t>
      </w:r>
      <w:r w:rsidR="0082391A">
        <w:t>10</w:t>
      </w:r>
      <w:r w:rsidR="003D2CB0">
        <w:t xml:space="preserve">0% for </w:t>
      </w:r>
      <w:r w:rsidR="0082391A">
        <w:t xml:space="preserve">the </w:t>
      </w:r>
      <w:r w:rsidR="003D2CB0">
        <w:t xml:space="preserve">mode estimator approach) </w:t>
      </w:r>
      <w:r w:rsidR="00B96315" w:rsidRPr="00B96315">
        <w:t xml:space="preserve">of the information contributing to the analysis comes from genetic variants that exhibit pleiotropy (or even the majority of information in the case of the mode-based MR). </w:t>
      </w:r>
    </w:p>
    <w:p w14:paraId="64D1F547" w14:textId="77777777" w:rsidR="003D2CB0" w:rsidRDefault="003D2CB0" w:rsidP="00833F76">
      <w:pPr>
        <w:spacing w:line="360" w:lineRule="auto"/>
        <w:jc w:val="both"/>
      </w:pPr>
    </w:p>
    <w:p w14:paraId="2D32231A" w14:textId="10C74E20" w:rsidR="003D2CB0" w:rsidRDefault="003D2CB0" w:rsidP="00833F76">
      <w:pPr>
        <w:spacing w:line="360" w:lineRule="auto"/>
        <w:jc w:val="both"/>
      </w:pPr>
      <w:r>
        <w:t xml:space="preserve">If all MR sensitivity methods </w:t>
      </w:r>
      <w:r w:rsidR="00B96315" w:rsidRPr="00B96315">
        <w:t xml:space="preserve">provide similar causal </w:t>
      </w:r>
      <w:r>
        <w:t>estimates</w:t>
      </w:r>
      <w:r w:rsidR="00B96315" w:rsidRPr="00B96315">
        <w:t xml:space="preserve"> of </w:t>
      </w:r>
      <w:r>
        <w:t xml:space="preserve">genetic proxied </w:t>
      </w:r>
      <w:r w:rsidR="00C72C16">
        <w:t>SGLT2 inhibition</w:t>
      </w:r>
      <w:r>
        <w:t xml:space="preserve"> on prostate cancer, we are more confident that the causal estimates were robust to various MR assumptions.</w:t>
      </w:r>
    </w:p>
    <w:p w14:paraId="2FD4733B" w14:textId="77777777" w:rsidR="007B7C8C" w:rsidRDefault="007B7C8C" w:rsidP="00833F76">
      <w:pPr>
        <w:spacing w:line="360" w:lineRule="auto"/>
        <w:jc w:val="both"/>
      </w:pPr>
    </w:p>
    <w:p w14:paraId="7FE96C98" w14:textId="77777777" w:rsidR="007B7C8C" w:rsidRDefault="007B7C8C" w:rsidP="00833F76">
      <w:pPr>
        <w:spacing w:line="360" w:lineRule="auto"/>
        <w:jc w:val="both"/>
        <w:sectPr w:rsidR="007B7C8C" w:rsidSect="00B6377B">
          <w:pgSz w:w="11900" w:h="16840"/>
          <w:pgMar w:top="1440" w:right="1440" w:bottom="1440" w:left="1440" w:header="708" w:footer="708" w:gutter="0"/>
          <w:cols w:space="708"/>
          <w:docGrid w:linePitch="360"/>
        </w:sectPr>
      </w:pPr>
    </w:p>
    <w:p w14:paraId="511D4AA0" w14:textId="388ED6F4" w:rsidR="007B7C8C" w:rsidRDefault="000A63AB" w:rsidP="007B7C8C">
      <w:pPr>
        <w:pStyle w:val="Heading2"/>
        <w:spacing w:line="360" w:lineRule="auto"/>
        <w:jc w:val="both"/>
        <w:rPr>
          <w:lang w:val="en-US"/>
        </w:rPr>
      </w:pPr>
      <w:r>
        <w:rPr>
          <w:lang w:val="en-US"/>
        </w:rPr>
        <w:lastRenderedPageBreak/>
        <w:t>Appendix</w:t>
      </w:r>
      <w:r w:rsidR="007B7C8C" w:rsidRPr="00545DB9">
        <w:rPr>
          <w:lang w:val="en-US"/>
        </w:rPr>
        <w:t xml:space="preserve"> </w:t>
      </w:r>
      <w:r w:rsidR="007B7C8C">
        <w:rPr>
          <w:lang w:val="en-US"/>
        </w:rPr>
        <w:t>Note 4. Description of d</w:t>
      </w:r>
      <w:r w:rsidR="007B7C8C">
        <w:rPr>
          <w:rFonts w:hint="eastAsia"/>
          <w:lang w:val="en-US"/>
        </w:rPr>
        <w:t>ifferential</w:t>
      </w:r>
      <w:r w:rsidR="007B7C8C">
        <w:rPr>
          <w:lang w:val="en-US"/>
        </w:rPr>
        <w:t xml:space="preserve"> expression analysis and survival analysis</w:t>
      </w:r>
    </w:p>
    <w:p w14:paraId="13457D50" w14:textId="4851CB70" w:rsidR="00782D80" w:rsidRPr="00782D80" w:rsidRDefault="00782D80" w:rsidP="00833F76">
      <w:pPr>
        <w:spacing w:line="360" w:lineRule="auto"/>
        <w:jc w:val="both"/>
        <w:rPr>
          <w:b/>
          <w:bCs/>
          <w:color w:val="000000" w:themeColor="text1"/>
        </w:rPr>
      </w:pPr>
      <w:r>
        <w:rPr>
          <w:rFonts w:hint="eastAsia"/>
          <w:b/>
          <w:bCs/>
          <w:color w:val="000000" w:themeColor="text1"/>
        </w:rPr>
        <w:t>Diffe</w:t>
      </w:r>
      <w:r>
        <w:rPr>
          <w:b/>
          <w:bCs/>
          <w:color w:val="000000" w:themeColor="text1"/>
        </w:rPr>
        <w:t xml:space="preserve">rential expression analysis </w:t>
      </w:r>
    </w:p>
    <w:p w14:paraId="03154E04" w14:textId="3A31AAB8" w:rsidR="00B73F17" w:rsidRDefault="00703F3F" w:rsidP="00585E00">
      <w:pPr>
        <w:spacing w:line="360" w:lineRule="auto"/>
        <w:jc w:val="both"/>
        <w:rPr>
          <w:rFonts w:eastAsia="SimSun"/>
        </w:rPr>
      </w:pPr>
      <w:r>
        <w:rPr>
          <w:rFonts w:eastAsia="SimSun"/>
        </w:rPr>
        <w:t xml:space="preserve">The differential expression analysis was conducted using data from the TCGA-PRAD project. The </w:t>
      </w:r>
      <w:r w:rsidR="00CC1F82">
        <w:t>expression data (raw counts)</w:t>
      </w:r>
      <w:r>
        <w:t xml:space="preserve"> </w:t>
      </w:r>
      <w:r w:rsidR="000A2332">
        <w:t xml:space="preserve">and tissue type information </w:t>
      </w:r>
      <w:r w:rsidR="0048260E">
        <w:t xml:space="preserve">(tumour or normal solid tissue) </w:t>
      </w:r>
      <w:r>
        <w:t>of 1</w:t>
      </w:r>
      <w:r w:rsidR="000A2332">
        <w:t>8</w:t>
      </w:r>
      <w:r>
        <w:t xml:space="preserve"> selected genes</w:t>
      </w:r>
      <w:r w:rsidR="00CC1F82">
        <w:t xml:space="preserve"> </w:t>
      </w:r>
      <w:r w:rsidR="000A2332">
        <w:t xml:space="preserve">were downloaded </w:t>
      </w:r>
      <w:r w:rsidR="00CC1F82">
        <w:t>from GDC data portal</w:t>
      </w:r>
      <w:r w:rsidR="003C42BF">
        <w:t xml:space="preserve"> (refers to tissue samples obtained from prostate cancer patients)</w:t>
      </w:r>
      <w:r w:rsidR="00CC1F82">
        <w:t xml:space="preserve">. </w:t>
      </w:r>
      <w:r w:rsidR="00B73F17">
        <w:t xml:space="preserve">After selection, </w:t>
      </w:r>
      <w:r w:rsidR="00B73F17">
        <w:rPr>
          <w:rFonts w:eastAsia="SimSun"/>
        </w:rPr>
        <w:t>691 prostate samples for 639 individuals were selected from three databases, TCGA, DTB and PC project, in which 639 were prostate tumour samples and 52 were normal solid tissues.</w:t>
      </w:r>
    </w:p>
    <w:p w14:paraId="21EDC2FC" w14:textId="77777777" w:rsidR="00662A15" w:rsidRDefault="00662A15" w:rsidP="00585E00">
      <w:pPr>
        <w:spacing w:line="360" w:lineRule="auto"/>
        <w:jc w:val="both"/>
      </w:pPr>
    </w:p>
    <w:p w14:paraId="4F68510B" w14:textId="769BD3B1" w:rsidR="003C42BF" w:rsidRPr="00703F3F" w:rsidRDefault="00CC1F82" w:rsidP="00585E00">
      <w:pPr>
        <w:spacing w:line="360" w:lineRule="auto"/>
        <w:jc w:val="both"/>
        <w:rPr>
          <w:rFonts w:eastAsia="SimSun"/>
        </w:rPr>
      </w:pPr>
      <w:r>
        <w:t>R package “Deseq2”</w:t>
      </w:r>
      <w:r w:rsidR="00C24B4B" w:rsidRPr="00C24B4B">
        <w:t xml:space="preserve"> </w:t>
      </w:r>
      <w:r w:rsidR="00C24B4B">
        <w:fldChar w:fldCharType="begin"/>
      </w:r>
      <w:r w:rsidR="005402BE">
        <w:instrText xml:space="preserve"> ADDIN ZOTERO_ITEM CSL_CITATION {"citationID":"atcgrmraul","properties":{"formattedCitation":"\\super 31\\nosupersub{}","plainCitation":"31","noteIndex":0},"citationItems":[{"id":"xmpeSjVn/1vI5ZC3N","uris":["http://zotero.org/users/local/ONYY32YX/items/AAFW28R7"],"itemData":{"id":235978,"type":"article-journal","abstract":"In comparative high-throughput sequencing assays, a fundamental task is\nthe analysis of count data, such as read counts per gene in RNA-seq, for\nevidence of systematic changes across experimental conditions. Small\nreplicate numbers, discreteness, large dynamic range and the presence of\noutliers require a suitable statistical approach. We present DESeq2, a\nmethod for differential analysis of count data, using shrinkage estimation\nfor dispersions and fold changes to improve stability and interpretability\nof estimates. This enables a more quantitative analysis focused on the\nstrength rather than the mere presence of differential expression. The\nDESeq2 package is available at\nhttp://www.bioconductor.org/packages/release/bioc/html/DESeq2.html\nwebcite.","container-title":"Genome Biol.","DOI":"10.1186/s13059-014-0550-8","ISSN":"1465-6906","issue":"12","page":"550","title":"Moderated estimation of fold change and dispersion for RNA-seq data with DESeq2","volume":"15","author":[{"family":"Love","given":"Michael I"},{"family":"Huber","given":"Wolfgang"},{"family":"Anders","given":"Simon"}],"issued":{"date-parts":[["2014"]]}}}],"schema":"https://github.com/citation-style-language/schema/raw/master/csl-citation.json"} </w:instrText>
      </w:r>
      <w:r w:rsidR="00C24B4B">
        <w:fldChar w:fldCharType="separate"/>
      </w:r>
      <w:r w:rsidR="005402BE" w:rsidRPr="005402BE">
        <w:rPr>
          <w:vertAlign w:val="superscript"/>
        </w:rPr>
        <w:t>31</w:t>
      </w:r>
      <w:r w:rsidR="00C24B4B">
        <w:fldChar w:fldCharType="end"/>
      </w:r>
      <w:r>
        <w:t xml:space="preserve"> was used to detect d</w:t>
      </w:r>
      <w:r>
        <w:rPr>
          <w:rFonts w:hint="eastAsia"/>
        </w:rPr>
        <w:t>ifferential</w:t>
      </w:r>
      <w:r>
        <w:t xml:space="preserve">ly expressed genes between tumor and normal </w:t>
      </w:r>
      <w:r w:rsidR="003C42BF">
        <w:t>tissues</w:t>
      </w:r>
      <w:r>
        <w:t xml:space="preserve">. </w:t>
      </w:r>
      <w:r w:rsidR="003C42BF">
        <w:t xml:space="preserve">We applied the default normalization and differential expression analysis method using </w:t>
      </w:r>
      <w:r w:rsidR="00585E00">
        <w:t>Deseq2</w:t>
      </w:r>
      <w:r w:rsidR="003C42BF">
        <w:fldChar w:fldCharType="begin"/>
      </w:r>
      <w:r w:rsidR="005402BE">
        <w:instrText xml:space="preserve"> ADDIN ZOTERO_ITEM CSL_CITATION {"citationID":"HHh5uRhZ","properties":{"formattedCitation":"\\super 31\\nosupersub{}","plainCitation":"31","noteIndex":0},"citationItems":[{"id":"xmpeSjVn/1vI5ZC3N","uris":["http://zotero.org/users/local/ONYY32YX/items/AAFW28R7"],"itemData":{"id":235978,"type":"article-journal","abstract":"In comparative high-throughput sequencing assays, a fundamental task is\nthe analysis of count data, such as read counts per gene in RNA-seq, for\nevidence of systematic changes across experimental conditions. Small\nreplicate numbers, discreteness, large dynamic range and the presence of\noutliers require a suitable statistical approach. We present DESeq2, a\nmethod for differential analysis of count data, using shrinkage estimation\nfor dispersions and fold changes to improve stability and interpretability\nof estimates. This enables a more quantitative analysis focused on the\nstrength rather than the mere presence of differential expression. The\nDESeq2 package is available at\nhttp://www.bioconductor.org/packages/release/bioc/html/DESeq2.html\nwebcite.","container-title":"Genome Biol.","DOI":"10.1186/s13059-014-0550-8","ISSN":"1465-6906","issue":"12","page":"550","title":"Moderated estimation of fold change and dispersion for RNA-seq data with DESeq2","volume":"15","author":[{"family":"Love","given":"Michael I"},{"family":"Huber","given":"Wolfgang"},{"family":"Anders","given":"Simon"}],"issued":{"date-parts":[["2014"]]}}}],"schema":"https://github.com/citation-style-language/schema/raw/master/csl-citation.json"} </w:instrText>
      </w:r>
      <w:r w:rsidR="003C42BF">
        <w:fldChar w:fldCharType="separate"/>
      </w:r>
      <w:r w:rsidR="005402BE" w:rsidRPr="005402BE">
        <w:rPr>
          <w:vertAlign w:val="superscript"/>
        </w:rPr>
        <w:t>31</w:t>
      </w:r>
      <w:r w:rsidR="003C42BF">
        <w:fldChar w:fldCharType="end"/>
      </w:r>
      <w:r w:rsidR="003C42BF">
        <w:t xml:space="preserve">, which </w:t>
      </w:r>
      <w:r w:rsidR="00585E00">
        <w:t>estima</w:t>
      </w:r>
      <w:r w:rsidR="003C42BF">
        <w:t>ted</w:t>
      </w:r>
      <w:r w:rsidR="00585E00">
        <w:t xml:space="preserve"> size factors and dispersions, and then </w:t>
      </w:r>
      <w:proofErr w:type="spellStart"/>
      <w:r w:rsidR="00585E00">
        <w:t>conduct</w:t>
      </w:r>
      <w:r w:rsidR="003C42BF">
        <w:t>d</w:t>
      </w:r>
      <w:proofErr w:type="spellEnd"/>
      <w:r w:rsidR="00585E00">
        <w:t xml:space="preserve"> Negative Binomial GLM fitting and calculate</w:t>
      </w:r>
      <w:r w:rsidR="003C42BF">
        <w:t>d</w:t>
      </w:r>
      <w:r w:rsidR="00585E00">
        <w:t xml:space="preserve"> Wald statistics. </w:t>
      </w:r>
      <w:r w:rsidR="003C42BF">
        <w:t xml:space="preserve">Genes with differential expression log2(FC) &gt; 1 and </w:t>
      </w:r>
      <w:proofErr w:type="spellStart"/>
      <w:r w:rsidR="003C42BF">
        <w:t>P</w:t>
      </w:r>
      <w:r w:rsidR="003C42BF" w:rsidRPr="003C42BF">
        <w:rPr>
          <w:vertAlign w:val="subscript"/>
        </w:rPr>
        <w:t>adjusted</w:t>
      </w:r>
      <w:proofErr w:type="spellEnd"/>
      <w:r w:rsidR="003C42BF">
        <w:t xml:space="preserve">&lt;0.05 were defined as showing differential expression between tumour and normal prostate tissues. </w:t>
      </w:r>
    </w:p>
    <w:p w14:paraId="45DDDBDE" w14:textId="176DEAAA" w:rsidR="004D3DE1" w:rsidRDefault="004D3DE1" w:rsidP="00833F76">
      <w:pPr>
        <w:jc w:val="both"/>
        <w:rPr>
          <w:b/>
          <w:bCs/>
        </w:rPr>
        <w:sectPr w:rsidR="004D3DE1" w:rsidSect="00B6377B">
          <w:pgSz w:w="11900" w:h="16840"/>
          <w:pgMar w:top="1440" w:right="1440" w:bottom="1440" w:left="1440" w:header="708" w:footer="708" w:gutter="0"/>
          <w:cols w:space="708"/>
          <w:docGrid w:linePitch="360"/>
        </w:sectPr>
      </w:pPr>
    </w:p>
    <w:p w14:paraId="62F42B43" w14:textId="255BA5A5" w:rsidR="00545D1E" w:rsidRDefault="00545D1E" w:rsidP="00833F76">
      <w:pPr>
        <w:pStyle w:val="Heading2"/>
        <w:jc w:val="both"/>
        <w:rPr>
          <w:lang w:val="en-US"/>
        </w:rPr>
      </w:pPr>
      <w:r>
        <w:rPr>
          <w:lang w:val="en-US"/>
        </w:rPr>
        <w:lastRenderedPageBreak/>
        <w:t>References</w:t>
      </w:r>
    </w:p>
    <w:p w14:paraId="0A866567" w14:textId="77777777" w:rsidR="00E47E55" w:rsidRDefault="00E47E55" w:rsidP="00E47E55">
      <w:pPr>
        <w:widowControl w:val="0"/>
        <w:autoSpaceDE w:val="0"/>
        <w:autoSpaceDN w:val="0"/>
        <w:adjustRightInd w:val="0"/>
      </w:pPr>
      <w:r>
        <w:t>1.</w:t>
      </w:r>
      <w:r>
        <w:tab/>
      </w:r>
      <w:proofErr w:type="spellStart"/>
      <w:r>
        <w:t>Saisho</w:t>
      </w:r>
      <w:proofErr w:type="spellEnd"/>
      <w:r>
        <w:t xml:space="preserve"> Y. SGLT2 Inhibitors: </w:t>
      </w:r>
      <w:proofErr w:type="gramStart"/>
      <w:r>
        <w:t>the</w:t>
      </w:r>
      <w:proofErr w:type="gramEnd"/>
      <w:r>
        <w:t xml:space="preserve"> Star in the Treatment of Type 2 Diabetes? </w:t>
      </w:r>
      <w:r>
        <w:rPr>
          <w:i/>
          <w:iCs/>
        </w:rPr>
        <w:t>Diseases</w:t>
      </w:r>
      <w:r>
        <w:t>. 2020;8(2). doi:10.3390/diseases8020014</w:t>
      </w:r>
    </w:p>
    <w:p w14:paraId="60ECDCF5" w14:textId="77777777" w:rsidR="00E47E55" w:rsidRDefault="00E47E55" w:rsidP="00E47E55">
      <w:pPr>
        <w:widowControl w:val="0"/>
        <w:autoSpaceDE w:val="0"/>
        <w:autoSpaceDN w:val="0"/>
        <w:adjustRightInd w:val="0"/>
      </w:pPr>
      <w:r>
        <w:t>2.</w:t>
      </w:r>
      <w:r>
        <w:tab/>
      </w:r>
      <w:proofErr w:type="spellStart"/>
      <w:r>
        <w:t>GTEx</w:t>
      </w:r>
      <w:proofErr w:type="spellEnd"/>
      <w:r>
        <w:t xml:space="preserve"> Consortium. The </w:t>
      </w:r>
      <w:proofErr w:type="spellStart"/>
      <w:r>
        <w:t>GTEx</w:t>
      </w:r>
      <w:proofErr w:type="spellEnd"/>
      <w:r>
        <w:t xml:space="preserve"> Consortium atlas of genetic regulatory effects across human tissues. </w:t>
      </w:r>
      <w:r>
        <w:rPr>
          <w:i/>
          <w:iCs/>
        </w:rPr>
        <w:t>Science</w:t>
      </w:r>
      <w:r>
        <w:t>. 2020;369(6509):1318-1330. doi:10.1126/</w:t>
      </w:r>
      <w:proofErr w:type="gramStart"/>
      <w:r>
        <w:t>science.aaz</w:t>
      </w:r>
      <w:proofErr w:type="gramEnd"/>
      <w:r>
        <w:t>1776</w:t>
      </w:r>
    </w:p>
    <w:p w14:paraId="79E59A36" w14:textId="77777777" w:rsidR="00E47E55" w:rsidRDefault="00E47E55" w:rsidP="00E47E55">
      <w:pPr>
        <w:widowControl w:val="0"/>
        <w:autoSpaceDE w:val="0"/>
        <w:autoSpaceDN w:val="0"/>
        <w:adjustRightInd w:val="0"/>
      </w:pPr>
      <w:r>
        <w:t>3.</w:t>
      </w:r>
      <w:r>
        <w:tab/>
      </w:r>
      <w:proofErr w:type="spellStart"/>
      <w:r>
        <w:t>Võsa</w:t>
      </w:r>
      <w:proofErr w:type="spellEnd"/>
      <w:r>
        <w:t xml:space="preserve"> U, </w:t>
      </w:r>
      <w:proofErr w:type="spellStart"/>
      <w:r>
        <w:t>Claringbould</w:t>
      </w:r>
      <w:proofErr w:type="spellEnd"/>
      <w:r>
        <w:t xml:space="preserve"> A, </w:t>
      </w:r>
      <w:proofErr w:type="spellStart"/>
      <w:r>
        <w:t>Westra</w:t>
      </w:r>
      <w:proofErr w:type="spellEnd"/>
      <w:r>
        <w:t xml:space="preserve"> HJ, et al. Large-scale cis- and trans-eQTL analyses identify thousands of genetic loci and polygenic scores that regulate blood gene expression. </w:t>
      </w:r>
      <w:r>
        <w:rPr>
          <w:i/>
          <w:iCs/>
        </w:rPr>
        <w:t>Nat Genet</w:t>
      </w:r>
      <w:r>
        <w:t>. 2021;53(9):1300-1310. doi:10.1038/s41588-021-00913-z</w:t>
      </w:r>
    </w:p>
    <w:p w14:paraId="785A0971" w14:textId="77777777" w:rsidR="00E47E55" w:rsidRDefault="00E47E55" w:rsidP="00E47E55">
      <w:pPr>
        <w:widowControl w:val="0"/>
        <w:autoSpaceDE w:val="0"/>
        <w:autoSpaceDN w:val="0"/>
        <w:adjustRightInd w:val="0"/>
      </w:pPr>
      <w:r>
        <w:t>4.</w:t>
      </w:r>
      <w:r>
        <w:tab/>
        <w:t xml:space="preserve">Chen J, </w:t>
      </w:r>
      <w:proofErr w:type="spellStart"/>
      <w:r>
        <w:t>Spracklen</w:t>
      </w:r>
      <w:proofErr w:type="spellEnd"/>
      <w:r>
        <w:t xml:space="preserve"> CN, </w:t>
      </w:r>
      <w:proofErr w:type="spellStart"/>
      <w:r>
        <w:t>Marenne</w:t>
      </w:r>
      <w:proofErr w:type="spellEnd"/>
      <w:r>
        <w:t xml:space="preserve"> G, et al. The trans-ancestral genomic architecture of glycemic traits. </w:t>
      </w:r>
      <w:r>
        <w:rPr>
          <w:i/>
          <w:iCs/>
        </w:rPr>
        <w:t>Nat Genet</w:t>
      </w:r>
      <w:r>
        <w:t>. 2021;53(6):840-860. doi:10.1038/s41588-021-00852-9</w:t>
      </w:r>
    </w:p>
    <w:p w14:paraId="31292FC2" w14:textId="77777777" w:rsidR="00E47E55" w:rsidRDefault="00E47E55" w:rsidP="00E47E55">
      <w:pPr>
        <w:widowControl w:val="0"/>
        <w:autoSpaceDE w:val="0"/>
        <w:autoSpaceDN w:val="0"/>
        <w:adjustRightInd w:val="0"/>
      </w:pPr>
      <w:r>
        <w:t>5.</w:t>
      </w:r>
      <w:r>
        <w:tab/>
        <w:t xml:space="preserve">Sun BB, </w:t>
      </w:r>
      <w:proofErr w:type="spellStart"/>
      <w:r>
        <w:t>Maranville</w:t>
      </w:r>
      <w:proofErr w:type="spellEnd"/>
      <w:r>
        <w:t xml:space="preserve"> JC, Peters JE, et al. Genomic atlas of the human plasma proteome. </w:t>
      </w:r>
      <w:r>
        <w:rPr>
          <w:i/>
          <w:iCs/>
        </w:rPr>
        <w:t>Nature</w:t>
      </w:r>
      <w:r>
        <w:t>. 2018;558(7708):73-79. doi:10.1038/s41586-018-0175-2</w:t>
      </w:r>
    </w:p>
    <w:p w14:paraId="1419FB1F" w14:textId="77777777" w:rsidR="00E47E55" w:rsidRDefault="00E47E55" w:rsidP="00E47E55">
      <w:pPr>
        <w:widowControl w:val="0"/>
        <w:autoSpaceDE w:val="0"/>
        <w:autoSpaceDN w:val="0"/>
        <w:adjustRightInd w:val="0"/>
      </w:pPr>
      <w:r>
        <w:t>6.</w:t>
      </w:r>
      <w:r>
        <w:tab/>
        <w:t xml:space="preserve">Folkersen L, </w:t>
      </w:r>
      <w:proofErr w:type="spellStart"/>
      <w:r>
        <w:t>Fauman</w:t>
      </w:r>
      <w:proofErr w:type="spellEnd"/>
      <w:r>
        <w:t xml:space="preserve"> E, </w:t>
      </w:r>
      <w:proofErr w:type="spellStart"/>
      <w:r>
        <w:t>Sabater-Lleal</w:t>
      </w:r>
      <w:proofErr w:type="spellEnd"/>
      <w:r>
        <w:t xml:space="preserve"> M, et al. Mapping of 79 loci for 83 plasma protein biomarkers in cardiovascular disease. </w:t>
      </w:r>
      <w:proofErr w:type="spellStart"/>
      <w:r>
        <w:rPr>
          <w:i/>
          <w:iCs/>
        </w:rPr>
        <w:t>PLoS</w:t>
      </w:r>
      <w:proofErr w:type="spellEnd"/>
      <w:r>
        <w:rPr>
          <w:i/>
          <w:iCs/>
        </w:rPr>
        <w:t xml:space="preserve"> Genet</w:t>
      </w:r>
      <w:r>
        <w:t>. 2017;13(4</w:t>
      </w:r>
      <w:proofErr w:type="gramStart"/>
      <w:r>
        <w:t>):e</w:t>
      </w:r>
      <w:proofErr w:type="gramEnd"/>
      <w:r>
        <w:t xml:space="preserve">1006706. </w:t>
      </w:r>
      <w:proofErr w:type="gramStart"/>
      <w:r>
        <w:t>doi:10.1371/journal.pgen</w:t>
      </w:r>
      <w:proofErr w:type="gramEnd"/>
      <w:r>
        <w:t>.1006706</w:t>
      </w:r>
    </w:p>
    <w:p w14:paraId="43C39F57" w14:textId="77777777" w:rsidR="00E47E55" w:rsidRDefault="00E47E55" w:rsidP="00E47E55">
      <w:pPr>
        <w:widowControl w:val="0"/>
        <w:autoSpaceDE w:val="0"/>
        <w:autoSpaceDN w:val="0"/>
        <w:adjustRightInd w:val="0"/>
      </w:pPr>
      <w:r>
        <w:t>7.</w:t>
      </w:r>
      <w:r>
        <w:tab/>
        <w:t xml:space="preserve">Suhre K, Arnold M, Bhagwat AM, et al. Connecting genetic risk to disease end points through the human blood plasma proteome. </w:t>
      </w:r>
      <w:r>
        <w:rPr>
          <w:i/>
          <w:iCs/>
        </w:rPr>
        <w:t xml:space="preserve">Nat </w:t>
      </w:r>
      <w:proofErr w:type="spellStart"/>
      <w:r>
        <w:rPr>
          <w:i/>
          <w:iCs/>
        </w:rPr>
        <w:t>Commun</w:t>
      </w:r>
      <w:proofErr w:type="spellEnd"/>
      <w:r>
        <w:t xml:space="preserve">. </w:t>
      </w:r>
      <w:proofErr w:type="gramStart"/>
      <w:r>
        <w:t>2017;8:14357</w:t>
      </w:r>
      <w:proofErr w:type="gramEnd"/>
      <w:r>
        <w:t>. doi:10.1038/ncomms14357</w:t>
      </w:r>
    </w:p>
    <w:p w14:paraId="42C4A698" w14:textId="77777777" w:rsidR="00E47E55" w:rsidRDefault="00E47E55" w:rsidP="00E47E55">
      <w:pPr>
        <w:widowControl w:val="0"/>
        <w:autoSpaceDE w:val="0"/>
        <w:autoSpaceDN w:val="0"/>
        <w:adjustRightInd w:val="0"/>
      </w:pPr>
      <w:r>
        <w:t>8.</w:t>
      </w:r>
      <w:r>
        <w:tab/>
        <w:t xml:space="preserve">Yao C, Chen G, Song C, et al. Genome-wide mapping of plasma protein QTLs identifies putatively causal genes and pathways for cardiovascular disease. </w:t>
      </w:r>
      <w:r>
        <w:rPr>
          <w:i/>
          <w:iCs/>
        </w:rPr>
        <w:t xml:space="preserve">Nat </w:t>
      </w:r>
      <w:proofErr w:type="spellStart"/>
      <w:r>
        <w:rPr>
          <w:i/>
          <w:iCs/>
        </w:rPr>
        <w:t>Commun</w:t>
      </w:r>
      <w:proofErr w:type="spellEnd"/>
      <w:r>
        <w:t>. 2018;9(1):3268. doi:10.1038/s41467-018-05512-x</w:t>
      </w:r>
    </w:p>
    <w:p w14:paraId="0D37F4D5" w14:textId="77777777" w:rsidR="00E47E55" w:rsidRDefault="00E47E55" w:rsidP="00E47E55">
      <w:pPr>
        <w:widowControl w:val="0"/>
        <w:autoSpaceDE w:val="0"/>
        <w:autoSpaceDN w:val="0"/>
        <w:adjustRightInd w:val="0"/>
      </w:pPr>
      <w:r>
        <w:t>9.</w:t>
      </w:r>
      <w:r>
        <w:tab/>
      </w:r>
      <w:proofErr w:type="spellStart"/>
      <w:r>
        <w:t>Emilsson</w:t>
      </w:r>
      <w:proofErr w:type="spellEnd"/>
      <w:r>
        <w:t xml:space="preserve"> V, </w:t>
      </w:r>
      <w:proofErr w:type="spellStart"/>
      <w:r>
        <w:t>Ilkov</w:t>
      </w:r>
      <w:proofErr w:type="spellEnd"/>
      <w:r>
        <w:t xml:space="preserve"> M, Lamb JR, et al. Co-regulatory networks of human serum proteins link genetics to disease. </w:t>
      </w:r>
      <w:r>
        <w:rPr>
          <w:i/>
          <w:iCs/>
        </w:rPr>
        <w:t>Science</w:t>
      </w:r>
      <w:r>
        <w:t>. Published online August 2, 2018. doi:10.1126/</w:t>
      </w:r>
      <w:proofErr w:type="gramStart"/>
      <w:r>
        <w:t>science.aaq</w:t>
      </w:r>
      <w:proofErr w:type="gramEnd"/>
      <w:r>
        <w:t>1327</w:t>
      </w:r>
    </w:p>
    <w:p w14:paraId="36B83A2A" w14:textId="77777777" w:rsidR="00E47E55" w:rsidRDefault="00E47E55" w:rsidP="00E47E55">
      <w:pPr>
        <w:widowControl w:val="0"/>
        <w:autoSpaceDE w:val="0"/>
        <w:autoSpaceDN w:val="0"/>
        <w:adjustRightInd w:val="0"/>
      </w:pPr>
      <w:r>
        <w:t>10.</w:t>
      </w:r>
      <w:r>
        <w:tab/>
      </w:r>
      <w:proofErr w:type="spellStart"/>
      <w:r>
        <w:t>Võsa</w:t>
      </w:r>
      <w:proofErr w:type="spellEnd"/>
      <w:r>
        <w:t xml:space="preserve"> U, </w:t>
      </w:r>
      <w:proofErr w:type="spellStart"/>
      <w:r>
        <w:t>Claringbould</w:t>
      </w:r>
      <w:proofErr w:type="spellEnd"/>
      <w:r>
        <w:t xml:space="preserve"> A, </w:t>
      </w:r>
      <w:proofErr w:type="spellStart"/>
      <w:r>
        <w:t>Westra</w:t>
      </w:r>
      <w:proofErr w:type="spellEnd"/>
      <w:r>
        <w:t xml:space="preserve"> HJ, et al. Unraveling the polygenic architecture of complex traits using blood eQTL </w:t>
      </w:r>
      <w:proofErr w:type="spellStart"/>
      <w:r>
        <w:t>metaanalysis</w:t>
      </w:r>
      <w:proofErr w:type="spellEnd"/>
      <w:r>
        <w:t>. Published online October 19, 2018. doi:10.1101/447367</w:t>
      </w:r>
    </w:p>
    <w:p w14:paraId="549C2C3B" w14:textId="77777777" w:rsidR="00E47E55" w:rsidRDefault="00E47E55" w:rsidP="00E47E55">
      <w:pPr>
        <w:widowControl w:val="0"/>
        <w:autoSpaceDE w:val="0"/>
        <w:autoSpaceDN w:val="0"/>
        <w:adjustRightInd w:val="0"/>
      </w:pPr>
      <w:r>
        <w:t>11.</w:t>
      </w:r>
      <w:r>
        <w:tab/>
      </w:r>
      <w:proofErr w:type="spellStart"/>
      <w:r>
        <w:t>Aguet</w:t>
      </w:r>
      <w:proofErr w:type="spellEnd"/>
      <w:r>
        <w:t xml:space="preserve"> F, </w:t>
      </w:r>
      <w:proofErr w:type="spellStart"/>
      <w:r>
        <w:t>Barbeira</w:t>
      </w:r>
      <w:proofErr w:type="spellEnd"/>
      <w:r>
        <w:t xml:space="preserve"> AN, </w:t>
      </w:r>
      <w:proofErr w:type="spellStart"/>
      <w:r>
        <w:t>Bonazzola</w:t>
      </w:r>
      <w:proofErr w:type="spellEnd"/>
      <w:r>
        <w:t xml:space="preserve"> R, et al. The </w:t>
      </w:r>
      <w:proofErr w:type="spellStart"/>
      <w:r>
        <w:t>GTEx</w:t>
      </w:r>
      <w:proofErr w:type="spellEnd"/>
      <w:r>
        <w:t xml:space="preserve"> Consortium atlas of genetic regulatory effects across human tissues. Published online October 3, 2019. doi:10.1101/787903</w:t>
      </w:r>
    </w:p>
    <w:p w14:paraId="0659BE83" w14:textId="77777777" w:rsidR="00E47E55" w:rsidRDefault="00E47E55" w:rsidP="00E47E55">
      <w:pPr>
        <w:widowControl w:val="0"/>
        <w:autoSpaceDE w:val="0"/>
        <w:autoSpaceDN w:val="0"/>
        <w:adjustRightInd w:val="0"/>
      </w:pPr>
      <w:r>
        <w:t>12.</w:t>
      </w:r>
      <w:r>
        <w:tab/>
      </w:r>
      <w:proofErr w:type="spellStart"/>
      <w:r>
        <w:t>Giambartolomei</w:t>
      </w:r>
      <w:proofErr w:type="spellEnd"/>
      <w:r>
        <w:t xml:space="preserve"> C, </w:t>
      </w:r>
      <w:proofErr w:type="spellStart"/>
      <w:r>
        <w:t>Vukcevic</w:t>
      </w:r>
      <w:proofErr w:type="spellEnd"/>
      <w:r>
        <w:t xml:space="preserve"> D, </w:t>
      </w:r>
      <w:proofErr w:type="spellStart"/>
      <w:r>
        <w:t>Schadt</w:t>
      </w:r>
      <w:proofErr w:type="spellEnd"/>
      <w:r>
        <w:t xml:space="preserve"> EE, et al. Bayesian test for </w:t>
      </w:r>
      <w:proofErr w:type="spellStart"/>
      <w:r>
        <w:t>colocalisation</w:t>
      </w:r>
      <w:proofErr w:type="spellEnd"/>
      <w:r>
        <w:t xml:space="preserve"> between pairs of genetic association studies using summary statistics. </w:t>
      </w:r>
      <w:proofErr w:type="spellStart"/>
      <w:r>
        <w:rPr>
          <w:i/>
          <w:iCs/>
        </w:rPr>
        <w:t>PLoS</w:t>
      </w:r>
      <w:proofErr w:type="spellEnd"/>
      <w:r>
        <w:rPr>
          <w:i/>
          <w:iCs/>
        </w:rPr>
        <w:t xml:space="preserve"> Genet</w:t>
      </w:r>
      <w:r>
        <w:t>. 2014;10(5</w:t>
      </w:r>
      <w:proofErr w:type="gramStart"/>
      <w:r>
        <w:t>):e</w:t>
      </w:r>
      <w:proofErr w:type="gramEnd"/>
      <w:r>
        <w:t xml:space="preserve">1004383. </w:t>
      </w:r>
      <w:proofErr w:type="gramStart"/>
      <w:r>
        <w:t>doi:10.1371/journal.pgen</w:t>
      </w:r>
      <w:proofErr w:type="gramEnd"/>
      <w:r>
        <w:t>.1004383</w:t>
      </w:r>
    </w:p>
    <w:p w14:paraId="3BEE4A5B" w14:textId="77777777" w:rsidR="00E47E55" w:rsidRDefault="00E47E55" w:rsidP="00E47E55">
      <w:pPr>
        <w:widowControl w:val="0"/>
        <w:autoSpaceDE w:val="0"/>
        <w:autoSpaceDN w:val="0"/>
        <w:adjustRightInd w:val="0"/>
      </w:pPr>
      <w:r>
        <w:t>13.</w:t>
      </w:r>
      <w:r>
        <w:tab/>
        <w:t xml:space="preserve">Zheng J, Haberland V, Baird D, et al. Phenome-wide Mendelian randomization mapping the influence of the plasma proteome on complex diseases. </w:t>
      </w:r>
      <w:r>
        <w:rPr>
          <w:i/>
          <w:iCs/>
        </w:rPr>
        <w:t>Nat Genet</w:t>
      </w:r>
      <w:r>
        <w:t>. 2020;52(10):1122-1131. doi:10.1038/s41588-020-0682-6</w:t>
      </w:r>
    </w:p>
    <w:p w14:paraId="3FA769B0" w14:textId="77777777" w:rsidR="00E47E55" w:rsidRDefault="00E47E55" w:rsidP="00E47E55">
      <w:pPr>
        <w:widowControl w:val="0"/>
        <w:autoSpaceDE w:val="0"/>
        <w:autoSpaceDN w:val="0"/>
        <w:adjustRightInd w:val="0"/>
      </w:pPr>
      <w:r>
        <w:t>14.</w:t>
      </w:r>
      <w:r>
        <w:tab/>
        <w:t xml:space="preserve">Hemani G, Zheng J, </w:t>
      </w:r>
      <w:proofErr w:type="spellStart"/>
      <w:r>
        <w:t>Elsworth</w:t>
      </w:r>
      <w:proofErr w:type="spellEnd"/>
      <w:r>
        <w:t xml:space="preserve"> B, et al. The MR-Base platform supports systematic causal inference across the human phenome. </w:t>
      </w:r>
      <w:proofErr w:type="spellStart"/>
      <w:r>
        <w:rPr>
          <w:i/>
          <w:iCs/>
        </w:rPr>
        <w:t>Elife</w:t>
      </w:r>
      <w:proofErr w:type="spellEnd"/>
      <w:r>
        <w:t>. 2018;7. doi:10.7554/eLife.34408</w:t>
      </w:r>
    </w:p>
    <w:p w14:paraId="148E5C9B" w14:textId="77777777" w:rsidR="00E47E55" w:rsidRDefault="00E47E55" w:rsidP="00E47E55">
      <w:pPr>
        <w:widowControl w:val="0"/>
        <w:autoSpaceDE w:val="0"/>
        <w:autoSpaceDN w:val="0"/>
        <w:adjustRightInd w:val="0"/>
      </w:pPr>
      <w:r>
        <w:t>15.</w:t>
      </w:r>
      <w:r>
        <w:tab/>
        <w:t xml:space="preserve">Qi J, He P, Yao H, et al. Cancer risk among patients with type 2 diabetes: A real-world study in Shanghai, China. </w:t>
      </w:r>
      <w:r>
        <w:rPr>
          <w:i/>
          <w:iCs/>
        </w:rPr>
        <w:t>J Diabetes</w:t>
      </w:r>
      <w:r>
        <w:t>. 2019;11(11):878-883. doi:10.1111/1753-0407.12926</w:t>
      </w:r>
    </w:p>
    <w:p w14:paraId="34836DB7" w14:textId="77777777" w:rsidR="00E47E55" w:rsidRDefault="00E47E55" w:rsidP="00E47E55">
      <w:pPr>
        <w:widowControl w:val="0"/>
        <w:autoSpaceDE w:val="0"/>
        <w:autoSpaceDN w:val="0"/>
        <w:adjustRightInd w:val="0"/>
      </w:pPr>
      <w:r>
        <w:t>16.</w:t>
      </w:r>
      <w:r>
        <w:tab/>
        <w:t xml:space="preserve">Bi Y, Lu J, Wang W, et al. Cohort profile: risk evaluation of cancers in Chinese diabetic individuals: a longitudinal (REACTION) study. </w:t>
      </w:r>
      <w:r>
        <w:rPr>
          <w:i/>
          <w:iCs/>
        </w:rPr>
        <w:t>J Diabetes</w:t>
      </w:r>
      <w:r>
        <w:t>. 2014;6(2):147-157. doi:10.1111/1753-0407.12108</w:t>
      </w:r>
    </w:p>
    <w:p w14:paraId="3114E34B" w14:textId="77777777" w:rsidR="00E47E55" w:rsidRDefault="00E47E55" w:rsidP="00E47E55">
      <w:pPr>
        <w:widowControl w:val="0"/>
        <w:autoSpaceDE w:val="0"/>
        <w:autoSpaceDN w:val="0"/>
        <w:adjustRightInd w:val="0"/>
      </w:pPr>
      <w:r>
        <w:t>17.</w:t>
      </w:r>
      <w:r>
        <w:tab/>
        <w:t xml:space="preserve">Sun W, Lu J, Wu S, et al. Association of insulin resistance with breast, ovarian, </w:t>
      </w:r>
      <w:proofErr w:type="gramStart"/>
      <w:r>
        <w:t>endometrial</w:t>
      </w:r>
      <w:proofErr w:type="gramEnd"/>
      <w:r>
        <w:t xml:space="preserve"> and cervical cancers in non-diabetic women. </w:t>
      </w:r>
      <w:r>
        <w:rPr>
          <w:i/>
          <w:iCs/>
        </w:rPr>
        <w:t>Am J Cancer Res</w:t>
      </w:r>
      <w:r>
        <w:t>. 2016;6(10):2334-2344.</w:t>
      </w:r>
    </w:p>
    <w:p w14:paraId="0960779C" w14:textId="77777777" w:rsidR="00E47E55" w:rsidRDefault="00E47E55" w:rsidP="00E47E55">
      <w:pPr>
        <w:widowControl w:val="0"/>
        <w:autoSpaceDE w:val="0"/>
        <w:autoSpaceDN w:val="0"/>
        <w:adjustRightInd w:val="0"/>
      </w:pPr>
      <w:r>
        <w:t>18.</w:t>
      </w:r>
      <w:r>
        <w:tab/>
        <w:t xml:space="preserve">Lu J, Mu Y, </w:t>
      </w:r>
      <w:proofErr w:type="spellStart"/>
      <w:r>
        <w:t>Su</w:t>
      </w:r>
      <w:proofErr w:type="spellEnd"/>
      <w:r>
        <w:t xml:space="preserve"> Q, et al. Reduced Kidney Function Is Associated </w:t>
      </w:r>
      <w:proofErr w:type="gramStart"/>
      <w:r>
        <w:t>With</w:t>
      </w:r>
      <w:proofErr w:type="gramEnd"/>
      <w:r>
        <w:t xml:space="preserve"> Cardiometabolic Risk Factors, Prevalent and Predicted Risk of Cardiovascular Disease in Chinese Adults: Results From the REACTION Study. </w:t>
      </w:r>
      <w:r>
        <w:rPr>
          <w:i/>
          <w:iCs/>
        </w:rPr>
        <w:t>J Am Heart Assoc</w:t>
      </w:r>
      <w:r>
        <w:t xml:space="preserve">. 2016;5(7). </w:t>
      </w:r>
      <w:r>
        <w:lastRenderedPageBreak/>
        <w:t>doi:10.1161/JAHA.116.003328</w:t>
      </w:r>
    </w:p>
    <w:p w14:paraId="54D95A76" w14:textId="77777777" w:rsidR="00E47E55" w:rsidRDefault="00E47E55" w:rsidP="00E47E55">
      <w:pPr>
        <w:widowControl w:val="0"/>
        <w:autoSpaceDE w:val="0"/>
        <w:autoSpaceDN w:val="0"/>
        <w:adjustRightInd w:val="0"/>
      </w:pPr>
      <w:r>
        <w:t>19.</w:t>
      </w:r>
      <w:r>
        <w:tab/>
        <w:t xml:space="preserve">Sun J, Lu J, Wang W, et al. Prevalence of Diabetes and Cardiometabolic Disorders in Spouses of Diabetic Individuals. </w:t>
      </w:r>
      <w:r>
        <w:rPr>
          <w:i/>
          <w:iCs/>
        </w:rPr>
        <w:t>Am J Epidemiol</w:t>
      </w:r>
      <w:r>
        <w:t>. 2016;184(5):400-409. doi:10.1093/</w:t>
      </w:r>
      <w:proofErr w:type="spellStart"/>
      <w:r>
        <w:t>aje</w:t>
      </w:r>
      <w:proofErr w:type="spellEnd"/>
      <w:r>
        <w:t>/kwv330</w:t>
      </w:r>
    </w:p>
    <w:p w14:paraId="317042F3" w14:textId="77777777" w:rsidR="00E47E55" w:rsidRDefault="00E47E55" w:rsidP="00E47E55">
      <w:pPr>
        <w:widowControl w:val="0"/>
        <w:autoSpaceDE w:val="0"/>
        <w:autoSpaceDN w:val="0"/>
        <w:adjustRightInd w:val="0"/>
      </w:pPr>
      <w:r>
        <w:t>20.</w:t>
      </w:r>
      <w:r>
        <w:tab/>
        <w:t xml:space="preserve">Hu C, Zhang Y, Lin L, et al. Gestational </w:t>
      </w:r>
      <w:proofErr w:type="gramStart"/>
      <w:r>
        <w:t>hyperglycemia</w:t>
      </w:r>
      <w:proofErr w:type="gramEnd"/>
      <w:r>
        <w:t xml:space="preserve"> and the risk of cardiovascular diseases among elderly Chinese women: Findings from the REACTION study. </w:t>
      </w:r>
      <w:r>
        <w:rPr>
          <w:i/>
          <w:iCs/>
        </w:rPr>
        <w:t>J Diabetes</w:t>
      </w:r>
      <w:r>
        <w:t>. 2021;13(12):949-959. doi:10.1111/1753-0407.13222</w:t>
      </w:r>
    </w:p>
    <w:p w14:paraId="3AC53533" w14:textId="77777777" w:rsidR="00E47E55" w:rsidRDefault="00E47E55" w:rsidP="00E47E55">
      <w:pPr>
        <w:widowControl w:val="0"/>
        <w:autoSpaceDE w:val="0"/>
        <w:autoSpaceDN w:val="0"/>
        <w:adjustRightInd w:val="0"/>
      </w:pPr>
      <w:r>
        <w:t>21.</w:t>
      </w:r>
      <w:r>
        <w:tab/>
        <w:t xml:space="preserve">Davey Smith G, Holmes MV, Davies NM, Ebrahim S. Mendel’s laws, Mendelian </w:t>
      </w:r>
      <w:proofErr w:type="gramStart"/>
      <w:r>
        <w:t>randomization</w:t>
      </w:r>
      <w:proofErr w:type="gramEnd"/>
      <w:r>
        <w:t xml:space="preserve"> and causal inference in observational data: substantive and nomenclatural issues. </w:t>
      </w:r>
      <w:proofErr w:type="spellStart"/>
      <w:r>
        <w:rPr>
          <w:i/>
          <w:iCs/>
        </w:rPr>
        <w:t>Eur</w:t>
      </w:r>
      <w:proofErr w:type="spellEnd"/>
      <w:r>
        <w:rPr>
          <w:i/>
          <w:iCs/>
        </w:rPr>
        <w:t xml:space="preserve"> J Epidemiol</w:t>
      </w:r>
      <w:r>
        <w:t>. 2020;35(2):99-111. doi:10.1007/s10654-020-00622-7</w:t>
      </w:r>
    </w:p>
    <w:p w14:paraId="3A96C5F6" w14:textId="77777777" w:rsidR="00E47E55" w:rsidRDefault="00E47E55" w:rsidP="00E47E55">
      <w:pPr>
        <w:widowControl w:val="0"/>
        <w:autoSpaceDE w:val="0"/>
        <w:autoSpaceDN w:val="0"/>
        <w:adjustRightInd w:val="0"/>
      </w:pPr>
      <w:r>
        <w:t>22.</w:t>
      </w:r>
      <w:r>
        <w:tab/>
        <w:t xml:space="preserve">Burgess S, Zuber V, Valdes-Marquez E, Sun BB, Hopewell JC. Mendelian randomization with fine-mapped genetic data: Choosing from large numbers of correlated instrumental variables. </w:t>
      </w:r>
      <w:r>
        <w:rPr>
          <w:i/>
          <w:iCs/>
        </w:rPr>
        <w:t>Genet Epidemiol</w:t>
      </w:r>
      <w:r>
        <w:t>. 2017;41(8):714-725. doi:10.1002/gepi.22077</w:t>
      </w:r>
    </w:p>
    <w:p w14:paraId="45353F71" w14:textId="77777777" w:rsidR="00E47E55" w:rsidRDefault="00E47E55" w:rsidP="00E47E55">
      <w:pPr>
        <w:widowControl w:val="0"/>
        <w:autoSpaceDE w:val="0"/>
        <w:autoSpaceDN w:val="0"/>
        <w:adjustRightInd w:val="0"/>
      </w:pPr>
      <w:r>
        <w:t>23.</w:t>
      </w:r>
      <w:r>
        <w:tab/>
        <w:t xml:space="preserve">Burgess S, Thompson SG, CRP CHD Genetics Collaboration. Avoiding bias from weak instruments in Mendelian randomization studies. </w:t>
      </w:r>
      <w:r>
        <w:rPr>
          <w:i/>
          <w:iCs/>
        </w:rPr>
        <w:t>Int J Epidemiol</w:t>
      </w:r>
      <w:r>
        <w:t>. 2011;40(3):755-764. doi:10.1093/</w:t>
      </w:r>
      <w:proofErr w:type="spellStart"/>
      <w:r>
        <w:t>ije</w:t>
      </w:r>
      <w:proofErr w:type="spellEnd"/>
      <w:r>
        <w:t>/dyr036</w:t>
      </w:r>
    </w:p>
    <w:p w14:paraId="26CF9A0F" w14:textId="77777777" w:rsidR="00E47E55" w:rsidRDefault="00E47E55" w:rsidP="00E47E55">
      <w:pPr>
        <w:widowControl w:val="0"/>
        <w:autoSpaceDE w:val="0"/>
        <w:autoSpaceDN w:val="0"/>
        <w:adjustRightInd w:val="0"/>
      </w:pPr>
      <w:r>
        <w:t>24.</w:t>
      </w:r>
      <w:r>
        <w:tab/>
      </w:r>
      <w:proofErr w:type="spellStart"/>
      <w:r>
        <w:t>Elsworth</w:t>
      </w:r>
      <w:proofErr w:type="spellEnd"/>
      <w:r>
        <w:t xml:space="preserve"> B, Lyon M, Alexander T, et al. The MRC IEU OpenGWAS data infrastructure. Published online August 10, 2020. doi:10.1101/2020.08.10.244293</w:t>
      </w:r>
    </w:p>
    <w:p w14:paraId="0555FA49" w14:textId="77777777" w:rsidR="00E47E55" w:rsidRDefault="00E47E55" w:rsidP="00E47E55">
      <w:pPr>
        <w:widowControl w:val="0"/>
        <w:autoSpaceDE w:val="0"/>
        <w:autoSpaceDN w:val="0"/>
        <w:adjustRightInd w:val="0"/>
      </w:pPr>
      <w:r>
        <w:t>25.</w:t>
      </w:r>
      <w:r>
        <w:tab/>
        <w:t xml:space="preserve">Burgess S, Thompson SG. Multivariable Mendelian randomization: the use of pleiotropic genetic variants to estimate causal effects. </w:t>
      </w:r>
      <w:r>
        <w:rPr>
          <w:i/>
          <w:iCs/>
        </w:rPr>
        <w:t>Am J Epidemiol</w:t>
      </w:r>
      <w:r>
        <w:t>. 2015;181(4):251-260. doi:10.1093/</w:t>
      </w:r>
      <w:proofErr w:type="spellStart"/>
      <w:r>
        <w:t>aje</w:t>
      </w:r>
      <w:proofErr w:type="spellEnd"/>
      <w:r>
        <w:t>/kwu283</w:t>
      </w:r>
    </w:p>
    <w:p w14:paraId="4E6F64E9" w14:textId="77777777" w:rsidR="00E47E55" w:rsidRDefault="00E47E55" w:rsidP="00E47E55">
      <w:pPr>
        <w:widowControl w:val="0"/>
        <w:autoSpaceDE w:val="0"/>
        <w:autoSpaceDN w:val="0"/>
        <w:adjustRightInd w:val="0"/>
      </w:pPr>
      <w:r>
        <w:t>26.</w:t>
      </w:r>
      <w:r>
        <w:tab/>
        <w:t xml:space="preserve">Kazmi N, Haycock P, </w:t>
      </w:r>
      <w:proofErr w:type="spellStart"/>
      <w:r>
        <w:t>Tsilidis</w:t>
      </w:r>
      <w:proofErr w:type="spellEnd"/>
      <w:r>
        <w:t xml:space="preserve"> K, et al. Appraising causal relationships of dietary, </w:t>
      </w:r>
      <w:proofErr w:type="gramStart"/>
      <w:r>
        <w:t>nutritional</w:t>
      </w:r>
      <w:proofErr w:type="gramEnd"/>
      <w:r>
        <w:t xml:space="preserve"> and physical-activity exposures with overall and aggressive prostate cancer: two-sample Mendelian-randomization study based on 79 148 prostate-cancer cases and 61 106 controls. </w:t>
      </w:r>
      <w:r>
        <w:rPr>
          <w:i/>
          <w:iCs/>
        </w:rPr>
        <w:t>Int J Epidemiol</w:t>
      </w:r>
      <w:r>
        <w:t>. 2020;49(2):587-596. doi:10.1093/</w:t>
      </w:r>
      <w:proofErr w:type="spellStart"/>
      <w:r>
        <w:t>ije</w:t>
      </w:r>
      <w:proofErr w:type="spellEnd"/>
      <w:r>
        <w:t>/dyz235</w:t>
      </w:r>
    </w:p>
    <w:p w14:paraId="227F26CC" w14:textId="77777777" w:rsidR="00E47E55" w:rsidRDefault="00E47E55" w:rsidP="00E47E55">
      <w:pPr>
        <w:widowControl w:val="0"/>
        <w:autoSpaceDE w:val="0"/>
        <w:autoSpaceDN w:val="0"/>
        <w:adjustRightInd w:val="0"/>
      </w:pPr>
      <w:r>
        <w:t>27.</w:t>
      </w:r>
      <w:r>
        <w:tab/>
        <w:t xml:space="preserve">Bowden J, Del Greco M F, Minelli C, Davey Smith G, Sheehan N, Thompson J. A framework for the investigation of pleiotropy in two-sample summary data Mendelian randomization. </w:t>
      </w:r>
      <w:r>
        <w:rPr>
          <w:i/>
          <w:iCs/>
        </w:rPr>
        <w:t>Stat Med</w:t>
      </w:r>
      <w:r>
        <w:t>. 2017;36(11):1783-1802. doi:10.1002/sim.7221</w:t>
      </w:r>
    </w:p>
    <w:p w14:paraId="03002606" w14:textId="77777777" w:rsidR="00E47E55" w:rsidRDefault="00E47E55" w:rsidP="00E47E55">
      <w:pPr>
        <w:widowControl w:val="0"/>
        <w:autoSpaceDE w:val="0"/>
        <w:autoSpaceDN w:val="0"/>
        <w:adjustRightInd w:val="0"/>
      </w:pPr>
      <w:r>
        <w:t>28.</w:t>
      </w:r>
      <w:r>
        <w:tab/>
        <w:t>Bowden J, Del Greco M F, Minelli C, et al. Improving the accuracy of two-sample summary data Mendelian randomization: moving beyond the NOME assumption. Published online July 5, 2017. doi:10.1101/159442</w:t>
      </w:r>
    </w:p>
    <w:p w14:paraId="37BF535A" w14:textId="77777777" w:rsidR="00E47E55" w:rsidRDefault="00E47E55" w:rsidP="00E47E55">
      <w:pPr>
        <w:widowControl w:val="0"/>
        <w:autoSpaceDE w:val="0"/>
        <w:autoSpaceDN w:val="0"/>
        <w:adjustRightInd w:val="0"/>
      </w:pPr>
      <w:r>
        <w:t>29.</w:t>
      </w:r>
      <w:r>
        <w:tab/>
        <w:t xml:space="preserve">Bowden J, Davey Smith G, Haycock PC, Burgess S. Consistent Estimation in Mendelian Randomization with Some Invalid Instruments Using a Weighted Median Estimator. </w:t>
      </w:r>
      <w:r>
        <w:rPr>
          <w:i/>
          <w:iCs/>
        </w:rPr>
        <w:t>Genet Epidemiol</w:t>
      </w:r>
      <w:r>
        <w:t>. 2016;40(4):304-314. doi:10.1002/gepi.21965</w:t>
      </w:r>
    </w:p>
    <w:p w14:paraId="41ED6CC1" w14:textId="77777777" w:rsidR="00E47E55" w:rsidRDefault="00E47E55" w:rsidP="00E47E55">
      <w:pPr>
        <w:widowControl w:val="0"/>
        <w:autoSpaceDE w:val="0"/>
        <w:autoSpaceDN w:val="0"/>
        <w:adjustRightInd w:val="0"/>
      </w:pPr>
      <w:r>
        <w:t>30.</w:t>
      </w:r>
      <w:r>
        <w:tab/>
        <w:t xml:space="preserve">Hartwig FP, Davey Smith G, Bowden J. Robust inference in summary data Mendelian randomization via the zero modal pleiotropy assumption. </w:t>
      </w:r>
      <w:r>
        <w:rPr>
          <w:i/>
          <w:iCs/>
        </w:rPr>
        <w:t>Int J Epidemiol</w:t>
      </w:r>
      <w:r>
        <w:t>. Published online July 12, 2017. doi:10.1093/</w:t>
      </w:r>
      <w:proofErr w:type="spellStart"/>
      <w:r>
        <w:t>ije</w:t>
      </w:r>
      <w:proofErr w:type="spellEnd"/>
      <w:r>
        <w:t>/dyx102</w:t>
      </w:r>
    </w:p>
    <w:p w14:paraId="4C71F66A" w14:textId="77777777" w:rsidR="00E47E55" w:rsidRDefault="00E47E55" w:rsidP="00E47E55">
      <w:pPr>
        <w:widowControl w:val="0"/>
        <w:autoSpaceDE w:val="0"/>
        <w:autoSpaceDN w:val="0"/>
        <w:adjustRightInd w:val="0"/>
      </w:pPr>
      <w:r>
        <w:t>31.</w:t>
      </w:r>
      <w:r>
        <w:tab/>
        <w:t xml:space="preserve">Love MI, Huber W, Anders S. Moderated estimation of fold change and dispersion for RNA-seq data with DESeq2. </w:t>
      </w:r>
      <w:r>
        <w:rPr>
          <w:i/>
          <w:iCs/>
        </w:rPr>
        <w:t>Genome Biol</w:t>
      </w:r>
      <w:r>
        <w:t>. 2014;15(12):550. doi:10.1186/s13059-014-0550-8</w:t>
      </w:r>
    </w:p>
    <w:p w14:paraId="47EE7DF6" w14:textId="3A2A7990" w:rsidR="00545D1E" w:rsidRPr="00545D1E" w:rsidRDefault="00545D1E" w:rsidP="00833F76">
      <w:pPr>
        <w:jc w:val="both"/>
      </w:pPr>
    </w:p>
    <w:sectPr w:rsidR="00545D1E" w:rsidRPr="00545D1E" w:rsidSect="00B6377B">
      <w:pgSz w:w="11900" w:h="16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980199" w14:textId="77777777" w:rsidR="00B059BB" w:rsidRDefault="00B059BB" w:rsidP="0088636F">
      <w:r>
        <w:separator/>
      </w:r>
    </w:p>
  </w:endnote>
  <w:endnote w:type="continuationSeparator" w:id="0">
    <w:p w14:paraId="7488573B" w14:textId="77777777" w:rsidR="00B059BB" w:rsidRDefault="00B059BB" w:rsidP="008863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ACF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DengXian Light">
    <w:altName w:val="等线 Light"/>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6169902" w14:textId="77777777" w:rsidR="00B059BB" w:rsidRDefault="00B059BB" w:rsidP="0088636F">
      <w:r>
        <w:separator/>
      </w:r>
    </w:p>
  </w:footnote>
  <w:footnote w:type="continuationSeparator" w:id="0">
    <w:p w14:paraId="2C0D6BB8" w14:textId="77777777" w:rsidR="00B059BB" w:rsidRDefault="00B059BB" w:rsidP="0088636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FCA70D1"/>
    <w:multiLevelType w:val="hybridMultilevel"/>
    <w:tmpl w:val="B892610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69E6B77"/>
    <w:multiLevelType w:val="hybridMultilevel"/>
    <w:tmpl w:val="30E89C80"/>
    <w:lvl w:ilvl="0" w:tplc="21D658C0">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78564073">
    <w:abstractNumId w:val="1"/>
  </w:num>
  <w:num w:numId="2" w16cid:durableId="2025207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9"/>
  <w:doNotDisplayPageBoundaries/>
  <w:bordersDoNotSurroundHeader/>
  <w:bordersDoNotSurroundFooter/>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326B"/>
    <w:rsid w:val="000048B3"/>
    <w:rsid w:val="00006791"/>
    <w:rsid w:val="00022280"/>
    <w:rsid w:val="00030B76"/>
    <w:rsid w:val="0003180A"/>
    <w:rsid w:val="00035051"/>
    <w:rsid w:val="00041977"/>
    <w:rsid w:val="00045CBC"/>
    <w:rsid w:val="000469E9"/>
    <w:rsid w:val="00046A68"/>
    <w:rsid w:val="00046D51"/>
    <w:rsid w:val="00052B0E"/>
    <w:rsid w:val="00053F19"/>
    <w:rsid w:val="0006037A"/>
    <w:rsid w:val="00070971"/>
    <w:rsid w:val="0007315F"/>
    <w:rsid w:val="000767D1"/>
    <w:rsid w:val="000842CA"/>
    <w:rsid w:val="00086716"/>
    <w:rsid w:val="000921A8"/>
    <w:rsid w:val="00097E6C"/>
    <w:rsid w:val="000A2332"/>
    <w:rsid w:val="000A63AB"/>
    <w:rsid w:val="000A7CF4"/>
    <w:rsid w:val="000B03A1"/>
    <w:rsid w:val="000B3685"/>
    <w:rsid w:val="000B657E"/>
    <w:rsid w:val="000C25BA"/>
    <w:rsid w:val="000C4C89"/>
    <w:rsid w:val="000F58B8"/>
    <w:rsid w:val="001034B9"/>
    <w:rsid w:val="00105CE7"/>
    <w:rsid w:val="00116EAA"/>
    <w:rsid w:val="00126D04"/>
    <w:rsid w:val="001308E1"/>
    <w:rsid w:val="00136A3D"/>
    <w:rsid w:val="0014521B"/>
    <w:rsid w:val="00152810"/>
    <w:rsid w:val="00160444"/>
    <w:rsid w:val="0016081E"/>
    <w:rsid w:val="00163E3B"/>
    <w:rsid w:val="0017403B"/>
    <w:rsid w:val="00174DBC"/>
    <w:rsid w:val="00182CDF"/>
    <w:rsid w:val="00193360"/>
    <w:rsid w:val="001958B4"/>
    <w:rsid w:val="001B76CE"/>
    <w:rsid w:val="001D5865"/>
    <w:rsid w:val="00203B0D"/>
    <w:rsid w:val="002062B1"/>
    <w:rsid w:val="00212D95"/>
    <w:rsid w:val="0021774F"/>
    <w:rsid w:val="002177BB"/>
    <w:rsid w:val="00221CF1"/>
    <w:rsid w:val="00225213"/>
    <w:rsid w:val="002270B2"/>
    <w:rsid w:val="00256CA8"/>
    <w:rsid w:val="00272ACE"/>
    <w:rsid w:val="00275AE4"/>
    <w:rsid w:val="00280F4B"/>
    <w:rsid w:val="002825C9"/>
    <w:rsid w:val="002A4CF6"/>
    <w:rsid w:val="002E45F3"/>
    <w:rsid w:val="002F6FAF"/>
    <w:rsid w:val="003137E8"/>
    <w:rsid w:val="00330918"/>
    <w:rsid w:val="00332155"/>
    <w:rsid w:val="00332D7A"/>
    <w:rsid w:val="00334B4A"/>
    <w:rsid w:val="00334E24"/>
    <w:rsid w:val="00336559"/>
    <w:rsid w:val="003373D6"/>
    <w:rsid w:val="00343057"/>
    <w:rsid w:val="00345D74"/>
    <w:rsid w:val="0034654B"/>
    <w:rsid w:val="00356502"/>
    <w:rsid w:val="00357C74"/>
    <w:rsid w:val="00361C56"/>
    <w:rsid w:val="00365E5E"/>
    <w:rsid w:val="00370980"/>
    <w:rsid w:val="003724D9"/>
    <w:rsid w:val="003824BA"/>
    <w:rsid w:val="0039133E"/>
    <w:rsid w:val="0039272C"/>
    <w:rsid w:val="003931A2"/>
    <w:rsid w:val="003A2E3F"/>
    <w:rsid w:val="003A6F10"/>
    <w:rsid w:val="003C1BDF"/>
    <w:rsid w:val="003C42BF"/>
    <w:rsid w:val="003C5AA4"/>
    <w:rsid w:val="003C77ED"/>
    <w:rsid w:val="003C7F6F"/>
    <w:rsid w:val="003D2CB0"/>
    <w:rsid w:val="003D5CA0"/>
    <w:rsid w:val="003D6FE1"/>
    <w:rsid w:val="003D7409"/>
    <w:rsid w:val="003E6EBB"/>
    <w:rsid w:val="003F73C0"/>
    <w:rsid w:val="00403BD1"/>
    <w:rsid w:val="00413324"/>
    <w:rsid w:val="00415872"/>
    <w:rsid w:val="00431AC6"/>
    <w:rsid w:val="00436F47"/>
    <w:rsid w:val="004475C6"/>
    <w:rsid w:val="00450116"/>
    <w:rsid w:val="004512C9"/>
    <w:rsid w:val="00454C18"/>
    <w:rsid w:val="0047200A"/>
    <w:rsid w:val="00474436"/>
    <w:rsid w:val="004822A1"/>
    <w:rsid w:val="0048260E"/>
    <w:rsid w:val="00484E02"/>
    <w:rsid w:val="00492E71"/>
    <w:rsid w:val="004952F4"/>
    <w:rsid w:val="004A1C91"/>
    <w:rsid w:val="004A27E8"/>
    <w:rsid w:val="004A3E5B"/>
    <w:rsid w:val="004B5350"/>
    <w:rsid w:val="004B7BBB"/>
    <w:rsid w:val="004C1C65"/>
    <w:rsid w:val="004C42CE"/>
    <w:rsid w:val="004D3DE1"/>
    <w:rsid w:val="004D623F"/>
    <w:rsid w:val="004D6EF2"/>
    <w:rsid w:val="0050684E"/>
    <w:rsid w:val="005135CF"/>
    <w:rsid w:val="00514DC9"/>
    <w:rsid w:val="005212DA"/>
    <w:rsid w:val="00524E31"/>
    <w:rsid w:val="005326BA"/>
    <w:rsid w:val="005335C8"/>
    <w:rsid w:val="00533CF2"/>
    <w:rsid w:val="005350B4"/>
    <w:rsid w:val="00535879"/>
    <w:rsid w:val="005371FD"/>
    <w:rsid w:val="005374B1"/>
    <w:rsid w:val="005402BE"/>
    <w:rsid w:val="005455E5"/>
    <w:rsid w:val="00545D1E"/>
    <w:rsid w:val="00545DB9"/>
    <w:rsid w:val="00571BC0"/>
    <w:rsid w:val="00575126"/>
    <w:rsid w:val="00577FAB"/>
    <w:rsid w:val="00585E00"/>
    <w:rsid w:val="00590889"/>
    <w:rsid w:val="00590F82"/>
    <w:rsid w:val="005A0452"/>
    <w:rsid w:val="005B34B4"/>
    <w:rsid w:val="005C1AE2"/>
    <w:rsid w:val="005D4D65"/>
    <w:rsid w:val="005E0411"/>
    <w:rsid w:val="005E57C4"/>
    <w:rsid w:val="005F1F05"/>
    <w:rsid w:val="005F3429"/>
    <w:rsid w:val="005F60A4"/>
    <w:rsid w:val="005F720A"/>
    <w:rsid w:val="006006D4"/>
    <w:rsid w:val="0060326B"/>
    <w:rsid w:val="00634086"/>
    <w:rsid w:val="00636CB9"/>
    <w:rsid w:val="00636D75"/>
    <w:rsid w:val="00643927"/>
    <w:rsid w:val="00645AF1"/>
    <w:rsid w:val="00650D26"/>
    <w:rsid w:val="006531D1"/>
    <w:rsid w:val="00662A15"/>
    <w:rsid w:val="0067081B"/>
    <w:rsid w:val="00670C53"/>
    <w:rsid w:val="00674429"/>
    <w:rsid w:val="00675F99"/>
    <w:rsid w:val="00677AAE"/>
    <w:rsid w:val="00691E60"/>
    <w:rsid w:val="006A3F9D"/>
    <w:rsid w:val="006A4A7C"/>
    <w:rsid w:val="006B4526"/>
    <w:rsid w:val="006B452C"/>
    <w:rsid w:val="006B4C28"/>
    <w:rsid w:val="006C5D85"/>
    <w:rsid w:val="006D0949"/>
    <w:rsid w:val="006F42D5"/>
    <w:rsid w:val="007022F3"/>
    <w:rsid w:val="00703F3F"/>
    <w:rsid w:val="00710B75"/>
    <w:rsid w:val="00713E07"/>
    <w:rsid w:val="0073097F"/>
    <w:rsid w:val="0073462B"/>
    <w:rsid w:val="00735DFF"/>
    <w:rsid w:val="00737A99"/>
    <w:rsid w:val="0074380C"/>
    <w:rsid w:val="007476D3"/>
    <w:rsid w:val="00751114"/>
    <w:rsid w:val="0075200B"/>
    <w:rsid w:val="00755450"/>
    <w:rsid w:val="0075638C"/>
    <w:rsid w:val="007567B2"/>
    <w:rsid w:val="00763BD6"/>
    <w:rsid w:val="0076467D"/>
    <w:rsid w:val="00780A84"/>
    <w:rsid w:val="00782D80"/>
    <w:rsid w:val="00793002"/>
    <w:rsid w:val="007930B3"/>
    <w:rsid w:val="0079500D"/>
    <w:rsid w:val="007969B4"/>
    <w:rsid w:val="00796DDC"/>
    <w:rsid w:val="00796F32"/>
    <w:rsid w:val="007A1352"/>
    <w:rsid w:val="007A55FE"/>
    <w:rsid w:val="007B50D0"/>
    <w:rsid w:val="007B7C8C"/>
    <w:rsid w:val="007C703C"/>
    <w:rsid w:val="007D1EDA"/>
    <w:rsid w:val="007D7B12"/>
    <w:rsid w:val="007E11C0"/>
    <w:rsid w:val="007E3AA1"/>
    <w:rsid w:val="007F2245"/>
    <w:rsid w:val="007F55EF"/>
    <w:rsid w:val="007F7BF0"/>
    <w:rsid w:val="0080190C"/>
    <w:rsid w:val="00803EFE"/>
    <w:rsid w:val="00813314"/>
    <w:rsid w:val="00822A1F"/>
    <w:rsid w:val="0082391A"/>
    <w:rsid w:val="00823AF1"/>
    <w:rsid w:val="00824F76"/>
    <w:rsid w:val="00827106"/>
    <w:rsid w:val="00833F76"/>
    <w:rsid w:val="00834ABB"/>
    <w:rsid w:val="00846D85"/>
    <w:rsid w:val="008659B8"/>
    <w:rsid w:val="00876348"/>
    <w:rsid w:val="00876778"/>
    <w:rsid w:val="0088636F"/>
    <w:rsid w:val="00886A0D"/>
    <w:rsid w:val="00890196"/>
    <w:rsid w:val="008A098F"/>
    <w:rsid w:val="008A1590"/>
    <w:rsid w:val="008A5B6F"/>
    <w:rsid w:val="008B3400"/>
    <w:rsid w:val="008C3D5C"/>
    <w:rsid w:val="008C6791"/>
    <w:rsid w:val="008C6F65"/>
    <w:rsid w:val="008D6322"/>
    <w:rsid w:val="008D6C05"/>
    <w:rsid w:val="008D779B"/>
    <w:rsid w:val="008D7F94"/>
    <w:rsid w:val="008E51BA"/>
    <w:rsid w:val="008E61E0"/>
    <w:rsid w:val="008E764A"/>
    <w:rsid w:val="008F16AB"/>
    <w:rsid w:val="009102ED"/>
    <w:rsid w:val="00912CC1"/>
    <w:rsid w:val="00913E81"/>
    <w:rsid w:val="00914F62"/>
    <w:rsid w:val="009160FE"/>
    <w:rsid w:val="00916313"/>
    <w:rsid w:val="009169A8"/>
    <w:rsid w:val="00920C58"/>
    <w:rsid w:val="0092565D"/>
    <w:rsid w:val="0094091C"/>
    <w:rsid w:val="0094642C"/>
    <w:rsid w:val="00967397"/>
    <w:rsid w:val="0097557D"/>
    <w:rsid w:val="00983B38"/>
    <w:rsid w:val="009939BA"/>
    <w:rsid w:val="009A4EA4"/>
    <w:rsid w:val="009B6BF7"/>
    <w:rsid w:val="009C7422"/>
    <w:rsid w:val="009D2942"/>
    <w:rsid w:val="009D2955"/>
    <w:rsid w:val="009D2F55"/>
    <w:rsid w:val="009D637D"/>
    <w:rsid w:val="009E0284"/>
    <w:rsid w:val="009E1492"/>
    <w:rsid w:val="009E5836"/>
    <w:rsid w:val="009F2AE0"/>
    <w:rsid w:val="00A1668B"/>
    <w:rsid w:val="00A21D7B"/>
    <w:rsid w:val="00A22B32"/>
    <w:rsid w:val="00A31D46"/>
    <w:rsid w:val="00A365BE"/>
    <w:rsid w:val="00A429BB"/>
    <w:rsid w:val="00A432EB"/>
    <w:rsid w:val="00A43CAD"/>
    <w:rsid w:val="00A60E18"/>
    <w:rsid w:val="00A67B91"/>
    <w:rsid w:val="00A80016"/>
    <w:rsid w:val="00A95978"/>
    <w:rsid w:val="00A96FB7"/>
    <w:rsid w:val="00A976F3"/>
    <w:rsid w:val="00AA4A3A"/>
    <w:rsid w:val="00AB0EB2"/>
    <w:rsid w:val="00AB6732"/>
    <w:rsid w:val="00AC2A9B"/>
    <w:rsid w:val="00AC3CCB"/>
    <w:rsid w:val="00AC5DC6"/>
    <w:rsid w:val="00AF6073"/>
    <w:rsid w:val="00B035C7"/>
    <w:rsid w:val="00B059BB"/>
    <w:rsid w:val="00B109C6"/>
    <w:rsid w:val="00B141F8"/>
    <w:rsid w:val="00B174C2"/>
    <w:rsid w:val="00B17A26"/>
    <w:rsid w:val="00B2543A"/>
    <w:rsid w:val="00B3312F"/>
    <w:rsid w:val="00B342AD"/>
    <w:rsid w:val="00B355B8"/>
    <w:rsid w:val="00B5042E"/>
    <w:rsid w:val="00B513CA"/>
    <w:rsid w:val="00B5648A"/>
    <w:rsid w:val="00B6377B"/>
    <w:rsid w:val="00B64078"/>
    <w:rsid w:val="00B64E8B"/>
    <w:rsid w:val="00B65842"/>
    <w:rsid w:val="00B66D5D"/>
    <w:rsid w:val="00B729F7"/>
    <w:rsid w:val="00B73F17"/>
    <w:rsid w:val="00B758F9"/>
    <w:rsid w:val="00B77C3A"/>
    <w:rsid w:val="00B90293"/>
    <w:rsid w:val="00B90EA7"/>
    <w:rsid w:val="00B9578C"/>
    <w:rsid w:val="00B96315"/>
    <w:rsid w:val="00BB174B"/>
    <w:rsid w:val="00BB465F"/>
    <w:rsid w:val="00BF14BF"/>
    <w:rsid w:val="00BF1A36"/>
    <w:rsid w:val="00BF2697"/>
    <w:rsid w:val="00BF2A78"/>
    <w:rsid w:val="00BF6E72"/>
    <w:rsid w:val="00BF7850"/>
    <w:rsid w:val="00BF7F48"/>
    <w:rsid w:val="00C136B8"/>
    <w:rsid w:val="00C164C4"/>
    <w:rsid w:val="00C17D2C"/>
    <w:rsid w:val="00C24B4B"/>
    <w:rsid w:val="00C312FC"/>
    <w:rsid w:val="00C351BB"/>
    <w:rsid w:val="00C46CF5"/>
    <w:rsid w:val="00C5027F"/>
    <w:rsid w:val="00C72C16"/>
    <w:rsid w:val="00C769C8"/>
    <w:rsid w:val="00C86ED7"/>
    <w:rsid w:val="00C90FEA"/>
    <w:rsid w:val="00CA45C9"/>
    <w:rsid w:val="00CB393C"/>
    <w:rsid w:val="00CB74CF"/>
    <w:rsid w:val="00CC1F82"/>
    <w:rsid w:val="00CC2C0A"/>
    <w:rsid w:val="00CC7B7E"/>
    <w:rsid w:val="00CD0106"/>
    <w:rsid w:val="00CD28DD"/>
    <w:rsid w:val="00CD39E9"/>
    <w:rsid w:val="00CE46BE"/>
    <w:rsid w:val="00CF0422"/>
    <w:rsid w:val="00CF520F"/>
    <w:rsid w:val="00D058FE"/>
    <w:rsid w:val="00D05FE4"/>
    <w:rsid w:val="00D20537"/>
    <w:rsid w:val="00D21FCE"/>
    <w:rsid w:val="00D237AE"/>
    <w:rsid w:val="00D32FD9"/>
    <w:rsid w:val="00D343EE"/>
    <w:rsid w:val="00D42096"/>
    <w:rsid w:val="00D465A3"/>
    <w:rsid w:val="00D56CDD"/>
    <w:rsid w:val="00D6489A"/>
    <w:rsid w:val="00D712D6"/>
    <w:rsid w:val="00D72FD0"/>
    <w:rsid w:val="00D75303"/>
    <w:rsid w:val="00D91293"/>
    <w:rsid w:val="00DA75C8"/>
    <w:rsid w:val="00DB01EB"/>
    <w:rsid w:val="00DB2024"/>
    <w:rsid w:val="00DB6B4A"/>
    <w:rsid w:val="00DD1CC5"/>
    <w:rsid w:val="00DE03E0"/>
    <w:rsid w:val="00DE4DF5"/>
    <w:rsid w:val="00DE6FB7"/>
    <w:rsid w:val="00DE799C"/>
    <w:rsid w:val="00DF1298"/>
    <w:rsid w:val="00E06074"/>
    <w:rsid w:val="00E10D55"/>
    <w:rsid w:val="00E114C8"/>
    <w:rsid w:val="00E14BF2"/>
    <w:rsid w:val="00E2342E"/>
    <w:rsid w:val="00E265D0"/>
    <w:rsid w:val="00E27BAB"/>
    <w:rsid w:val="00E3405A"/>
    <w:rsid w:val="00E414A7"/>
    <w:rsid w:val="00E42020"/>
    <w:rsid w:val="00E47E55"/>
    <w:rsid w:val="00E51DE6"/>
    <w:rsid w:val="00E53676"/>
    <w:rsid w:val="00E60B54"/>
    <w:rsid w:val="00E633B1"/>
    <w:rsid w:val="00E66F9A"/>
    <w:rsid w:val="00E70152"/>
    <w:rsid w:val="00E71755"/>
    <w:rsid w:val="00E766CA"/>
    <w:rsid w:val="00E779D1"/>
    <w:rsid w:val="00E87580"/>
    <w:rsid w:val="00E902A1"/>
    <w:rsid w:val="00EB7F8C"/>
    <w:rsid w:val="00EC77CE"/>
    <w:rsid w:val="00ED4E06"/>
    <w:rsid w:val="00EE1B69"/>
    <w:rsid w:val="00EF0980"/>
    <w:rsid w:val="00EF198C"/>
    <w:rsid w:val="00EF6337"/>
    <w:rsid w:val="00F0030A"/>
    <w:rsid w:val="00F04AA4"/>
    <w:rsid w:val="00F062A3"/>
    <w:rsid w:val="00F06C67"/>
    <w:rsid w:val="00F10100"/>
    <w:rsid w:val="00F15061"/>
    <w:rsid w:val="00F17987"/>
    <w:rsid w:val="00F24F39"/>
    <w:rsid w:val="00F3483A"/>
    <w:rsid w:val="00F400A0"/>
    <w:rsid w:val="00F41930"/>
    <w:rsid w:val="00F4571D"/>
    <w:rsid w:val="00F463BB"/>
    <w:rsid w:val="00F500EC"/>
    <w:rsid w:val="00F614D3"/>
    <w:rsid w:val="00F73DA6"/>
    <w:rsid w:val="00F832D7"/>
    <w:rsid w:val="00F84F98"/>
    <w:rsid w:val="00FA0ACF"/>
    <w:rsid w:val="00FA3050"/>
    <w:rsid w:val="00FA7005"/>
    <w:rsid w:val="00FB1A90"/>
    <w:rsid w:val="00FB278D"/>
    <w:rsid w:val="00FD5067"/>
    <w:rsid w:val="00FD7ED8"/>
    <w:rsid w:val="00FE318F"/>
    <w:rsid w:val="00FE3B8E"/>
    <w:rsid w:val="00FE6631"/>
    <w:rsid w:val="00FF6F6B"/>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864C19"/>
  <w15:chartTrackingRefBased/>
  <w15:docId w15:val="{BA2D7D66-8F3F-A644-9785-5D1BA85708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GB"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6348"/>
    <w:rPr>
      <w:rFonts w:ascii="Times New Roman" w:eastAsia="Times New Roman" w:hAnsi="Times New Roman" w:cs="Times New Roman"/>
      <w:lang w:val="en-US"/>
    </w:rPr>
  </w:style>
  <w:style w:type="paragraph" w:styleId="Heading1">
    <w:name w:val="heading 1"/>
    <w:basedOn w:val="Normal"/>
    <w:next w:val="Normal"/>
    <w:link w:val="Heading1Char"/>
    <w:uiPriority w:val="9"/>
    <w:qFormat/>
    <w:rsid w:val="00B109C6"/>
    <w:pPr>
      <w:keepNext/>
      <w:keepLines/>
      <w:spacing w:before="240"/>
      <w:outlineLvl w:val="0"/>
    </w:pPr>
    <w:rPr>
      <w:rFonts w:asciiTheme="majorHAnsi" w:eastAsiaTheme="majorEastAsia" w:hAnsiTheme="majorHAnsi" w:cstheme="majorBidi"/>
      <w:color w:val="2F5496" w:themeColor="accent1" w:themeShade="BF"/>
      <w:sz w:val="32"/>
      <w:szCs w:val="32"/>
      <w:lang w:val="en-GB"/>
    </w:rPr>
  </w:style>
  <w:style w:type="paragraph" w:styleId="Heading2">
    <w:name w:val="heading 2"/>
    <w:basedOn w:val="Normal"/>
    <w:next w:val="Normal"/>
    <w:link w:val="Heading2Char"/>
    <w:uiPriority w:val="9"/>
    <w:unhideWhenUsed/>
    <w:qFormat/>
    <w:rsid w:val="008E51BA"/>
    <w:pPr>
      <w:keepNext/>
      <w:keepLines/>
      <w:spacing w:before="40"/>
      <w:outlineLvl w:val="1"/>
    </w:pPr>
    <w:rPr>
      <w:rFonts w:asciiTheme="majorHAnsi" w:eastAsiaTheme="majorEastAsia" w:hAnsiTheme="majorHAnsi" w:cstheme="majorBidi"/>
      <w:color w:val="2F5496" w:themeColor="accent1" w:themeShade="BF"/>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163E3B"/>
    <w:pPr>
      <w:ind w:left="720"/>
      <w:contextualSpacing/>
    </w:pPr>
    <w:rPr>
      <w:lang w:val="en-GB"/>
    </w:rPr>
  </w:style>
  <w:style w:type="character" w:customStyle="1" w:styleId="Heading2Char">
    <w:name w:val="Heading 2 Char"/>
    <w:basedOn w:val="DefaultParagraphFont"/>
    <w:link w:val="Heading2"/>
    <w:uiPriority w:val="9"/>
    <w:rsid w:val="008E51BA"/>
    <w:rPr>
      <w:rFonts w:asciiTheme="majorHAnsi" w:eastAsiaTheme="majorEastAsia" w:hAnsiTheme="majorHAnsi" w:cstheme="majorBidi"/>
      <w:color w:val="2F5496" w:themeColor="accent1" w:themeShade="BF"/>
      <w:sz w:val="26"/>
      <w:szCs w:val="26"/>
    </w:rPr>
  </w:style>
  <w:style w:type="paragraph" w:styleId="Bibliography">
    <w:name w:val="Bibliography"/>
    <w:basedOn w:val="Normal"/>
    <w:next w:val="Normal"/>
    <w:uiPriority w:val="37"/>
    <w:unhideWhenUsed/>
    <w:rsid w:val="00545D1E"/>
    <w:pPr>
      <w:tabs>
        <w:tab w:val="left" w:pos="500"/>
      </w:tabs>
      <w:spacing w:after="240"/>
      <w:ind w:left="504" w:hanging="504"/>
    </w:pPr>
    <w:rPr>
      <w:lang w:val="en-GB"/>
    </w:rPr>
  </w:style>
  <w:style w:type="paragraph" w:styleId="CommentText">
    <w:name w:val="annotation text"/>
    <w:basedOn w:val="Normal"/>
    <w:link w:val="CommentTextChar"/>
    <w:uiPriority w:val="99"/>
    <w:unhideWhenUsed/>
    <w:rsid w:val="0073097F"/>
    <w:rPr>
      <w:sz w:val="20"/>
      <w:szCs w:val="20"/>
      <w:lang w:val="en-GB"/>
    </w:rPr>
  </w:style>
  <w:style w:type="character" w:customStyle="1" w:styleId="CommentTextChar">
    <w:name w:val="Comment Text Char"/>
    <w:basedOn w:val="DefaultParagraphFont"/>
    <w:link w:val="CommentText"/>
    <w:uiPriority w:val="99"/>
    <w:rsid w:val="0073097F"/>
    <w:rPr>
      <w:rFonts w:ascii="Times New Roman" w:eastAsia="Times New Roman" w:hAnsi="Times New Roman" w:cs="Times New Roman"/>
      <w:sz w:val="20"/>
      <w:szCs w:val="20"/>
    </w:rPr>
  </w:style>
  <w:style w:type="character" w:styleId="CommentReference">
    <w:name w:val="annotation reference"/>
    <w:basedOn w:val="DefaultParagraphFont"/>
    <w:uiPriority w:val="99"/>
    <w:semiHidden/>
    <w:unhideWhenUsed/>
    <w:rsid w:val="00DE799C"/>
    <w:rPr>
      <w:sz w:val="16"/>
      <w:szCs w:val="16"/>
    </w:rPr>
  </w:style>
  <w:style w:type="character" w:customStyle="1" w:styleId="Heading1Char">
    <w:name w:val="Heading 1 Char"/>
    <w:basedOn w:val="DefaultParagraphFont"/>
    <w:link w:val="Heading1"/>
    <w:uiPriority w:val="9"/>
    <w:rsid w:val="00B109C6"/>
    <w:rPr>
      <w:rFonts w:asciiTheme="majorHAnsi" w:eastAsiaTheme="majorEastAsia" w:hAnsiTheme="majorHAnsi" w:cstheme="majorBidi"/>
      <w:color w:val="2F5496" w:themeColor="accent1" w:themeShade="BF"/>
      <w:sz w:val="32"/>
      <w:szCs w:val="32"/>
    </w:rPr>
  </w:style>
  <w:style w:type="character" w:styleId="Hyperlink">
    <w:name w:val="Hyperlink"/>
    <w:basedOn w:val="DefaultParagraphFont"/>
    <w:uiPriority w:val="99"/>
    <w:unhideWhenUsed/>
    <w:rsid w:val="00B109C6"/>
    <w:rPr>
      <w:color w:val="0563C1" w:themeColor="hyperlink"/>
      <w:u w:val="single"/>
    </w:rPr>
  </w:style>
  <w:style w:type="paragraph" w:styleId="CommentSubject">
    <w:name w:val="annotation subject"/>
    <w:basedOn w:val="CommentText"/>
    <w:next w:val="CommentText"/>
    <w:link w:val="CommentSubjectChar"/>
    <w:uiPriority w:val="99"/>
    <w:semiHidden/>
    <w:unhideWhenUsed/>
    <w:rsid w:val="00E51DE6"/>
    <w:rPr>
      <w:b/>
      <w:bCs/>
    </w:rPr>
  </w:style>
  <w:style w:type="character" w:customStyle="1" w:styleId="CommentSubjectChar">
    <w:name w:val="Comment Subject Char"/>
    <w:basedOn w:val="CommentTextChar"/>
    <w:link w:val="CommentSubject"/>
    <w:uiPriority w:val="99"/>
    <w:semiHidden/>
    <w:rsid w:val="00E51DE6"/>
    <w:rPr>
      <w:rFonts w:ascii="Times New Roman" w:eastAsia="Times New Roman" w:hAnsi="Times New Roman" w:cs="Times New Roman"/>
      <w:b/>
      <w:bCs/>
      <w:sz w:val="20"/>
      <w:szCs w:val="20"/>
    </w:rPr>
  </w:style>
  <w:style w:type="paragraph" w:styleId="Revision">
    <w:name w:val="Revision"/>
    <w:hidden/>
    <w:uiPriority w:val="99"/>
    <w:semiHidden/>
    <w:rsid w:val="00FF6F6B"/>
    <w:rPr>
      <w:rFonts w:ascii="Times New Roman" w:eastAsia="Times New Roman" w:hAnsi="Times New Roman" w:cs="Times New Roman"/>
    </w:rPr>
  </w:style>
  <w:style w:type="paragraph" w:styleId="Header">
    <w:name w:val="header"/>
    <w:basedOn w:val="Normal"/>
    <w:link w:val="HeaderChar"/>
    <w:uiPriority w:val="99"/>
    <w:unhideWhenUsed/>
    <w:rsid w:val="0088636F"/>
    <w:pPr>
      <w:pBdr>
        <w:bottom w:val="single" w:sz="6" w:space="1" w:color="auto"/>
      </w:pBdr>
      <w:tabs>
        <w:tab w:val="center" w:pos="4153"/>
        <w:tab w:val="right" w:pos="8306"/>
      </w:tabs>
      <w:snapToGrid w:val="0"/>
      <w:jc w:val="center"/>
    </w:pPr>
    <w:rPr>
      <w:sz w:val="18"/>
      <w:szCs w:val="18"/>
      <w:lang w:val="en-GB"/>
    </w:rPr>
  </w:style>
  <w:style w:type="character" w:customStyle="1" w:styleId="HeaderChar">
    <w:name w:val="Header Char"/>
    <w:basedOn w:val="DefaultParagraphFont"/>
    <w:link w:val="Header"/>
    <w:uiPriority w:val="99"/>
    <w:rsid w:val="0088636F"/>
    <w:rPr>
      <w:rFonts w:ascii="Times New Roman" w:eastAsia="Times New Roman" w:hAnsi="Times New Roman" w:cs="Times New Roman"/>
      <w:sz w:val="18"/>
      <w:szCs w:val="18"/>
    </w:rPr>
  </w:style>
  <w:style w:type="paragraph" w:styleId="Footer">
    <w:name w:val="footer"/>
    <w:basedOn w:val="Normal"/>
    <w:link w:val="FooterChar"/>
    <w:uiPriority w:val="99"/>
    <w:unhideWhenUsed/>
    <w:rsid w:val="0088636F"/>
    <w:pPr>
      <w:tabs>
        <w:tab w:val="center" w:pos="4153"/>
        <w:tab w:val="right" w:pos="8306"/>
      </w:tabs>
      <w:snapToGrid w:val="0"/>
    </w:pPr>
    <w:rPr>
      <w:sz w:val="18"/>
      <w:szCs w:val="18"/>
      <w:lang w:val="en-GB"/>
    </w:rPr>
  </w:style>
  <w:style w:type="character" w:customStyle="1" w:styleId="FooterChar">
    <w:name w:val="Footer Char"/>
    <w:basedOn w:val="DefaultParagraphFont"/>
    <w:link w:val="Footer"/>
    <w:uiPriority w:val="99"/>
    <w:rsid w:val="0088636F"/>
    <w:rPr>
      <w:rFonts w:ascii="Times New Roman" w:eastAsia="Times New Roman" w:hAnsi="Times New Roman" w:cs="Times New Roman"/>
      <w:sz w:val="18"/>
      <w:szCs w:val="18"/>
    </w:rPr>
  </w:style>
  <w:style w:type="paragraph" w:styleId="BalloonText">
    <w:name w:val="Balloon Text"/>
    <w:basedOn w:val="Normal"/>
    <w:link w:val="BalloonTextChar"/>
    <w:uiPriority w:val="99"/>
    <w:semiHidden/>
    <w:unhideWhenUsed/>
    <w:rsid w:val="001308E1"/>
    <w:rPr>
      <w:sz w:val="18"/>
      <w:szCs w:val="18"/>
      <w:lang w:val="en-GB"/>
    </w:rPr>
  </w:style>
  <w:style w:type="character" w:customStyle="1" w:styleId="BalloonTextChar">
    <w:name w:val="Balloon Text Char"/>
    <w:basedOn w:val="DefaultParagraphFont"/>
    <w:link w:val="BalloonText"/>
    <w:uiPriority w:val="99"/>
    <w:semiHidden/>
    <w:rsid w:val="001308E1"/>
    <w:rPr>
      <w:rFonts w:ascii="Times New Roman" w:eastAsia="Times New Roman" w:hAnsi="Times New Roman" w:cs="Times New Roman"/>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87807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9C69C2-5B1C-4625-8701-7BBB23A28E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13</Pages>
  <Words>24596</Words>
  <Characters>140201</Characters>
  <Application>Microsoft Office Word</Application>
  <DocSecurity>0</DocSecurity>
  <Lines>1168</Lines>
  <Paragraphs>328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Jie Zheng</dc:creator>
  <cp:keywords/>
  <dc:description/>
  <cp:lastModifiedBy>Jie Zheng</cp:lastModifiedBy>
  <cp:revision>4</cp:revision>
  <dcterms:created xsi:type="dcterms:W3CDTF">2023-09-01T15:41:00Z</dcterms:created>
  <dcterms:modified xsi:type="dcterms:W3CDTF">2023-09-12T09:42:00Z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zotero-version="6.0.26"&gt;&lt;session id="xmpeSjVn"/&gt;&lt;style id="http://www.zotero.org/styles/jama" hasBibliography="1" bibliographyStyleHasBeenSet="1"/&gt;&lt;prefs&gt;&lt;pref name="fieldType" value="Field"/&gt;&lt;pref name="delayCitationUpdates" value=</vt:lpwstr>
  </property>
  <property fmtid="{D5CDD505-2E9C-101B-9397-08002B2CF9AE}" pid="3" name="ZOTERO_PREF_2">
    <vt:lpwstr>"true"/&gt;&lt;pref name="dontAskDelayCitationUpdates" value="true"/&gt;&lt;/prefs&gt;&lt;/data&gt;</vt:lpwstr>
  </property>
</Properties>
</file>