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9C2F1" w14:textId="396D50F5" w:rsidR="005824E1" w:rsidRPr="005824E1" w:rsidRDefault="005824E1" w:rsidP="00986A74">
      <w:pPr>
        <w:spacing w:line="360" w:lineRule="auto"/>
        <w:rPr>
          <w:rFonts w:ascii="Times New Roman" w:hAnsi="Times New Roman" w:cs="Times New Roman"/>
          <w:sz w:val="24"/>
          <w:szCs w:val="28"/>
        </w:rPr>
      </w:pPr>
      <w:r w:rsidRPr="005824E1">
        <w:rPr>
          <w:rFonts w:ascii="Times New Roman" w:hAnsi="Times New Roman" w:cs="Times New Roman"/>
          <w:b/>
          <w:bCs/>
          <w:sz w:val="24"/>
          <w:szCs w:val="28"/>
        </w:rPr>
        <w:t>Figure S1 The primary screen revealed that molecules derived from rimonabant significantly reduced HPIP expression. A</w:t>
      </w:r>
      <w:r w:rsidRPr="005824E1">
        <w:rPr>
          <w:rFonts w:ascii="Times New Roman" w:hAnsi="Times New Roman" w:cs="Times New Roman"/>
          <w:sz w:val="24"/>
          <w:szCs w:val="28"/>
        </w:rPr>
        <w:t xml:space="preserve"> Summary of the cell viability of ZR75-1 cells stably expressing HPIP-copGFP treated with all compounds (10 </w:t>
      </w:r>
      <w:r w:rsidRPr="005824E1">
        <w:rPr>
          <w:rFonts w:ascii="Symbol" w:hAnsi="Symbol" w:cs="Times New Roman"/>
          <w:sz w:val="24"/>
          <w:szCs w:val="28"/>
        </w:rPr>
        <w:t>m</w:t>
      </w:r>
      <w:r w:rsidRPr="005824E1">
        <w:rPr>
          <w:rFonts w:ascii="Times New Roman" w:hAnsi="Times New Roman" w:cs="Times New Roman"/>
          <w:sz w:val="24"/>
          <w:szCs w:val="28"/>
        </w:rPr>
        <w:t xml:space="preserve">M). The red circle indicates cell viability &lt; 30% treated with the indicated compounds. </w:t>
      </w:r>
      <w:r w:rsidRPr="005824E1">
        <w:rPr>
          <w:rFonts w:ascii="Times New Roman" w:hAnsi="Times New Roman" w:cs="Times New Roman"/>
          <w:b/>
          <w:bCs/>
          <w:sz w:val="24"/>
          <w:szCs w:val="28"/>
        </w:rPr>
        <w:t>B</w:t>
      </w:r>
      <w:r w:rsidRPr="005824E1">
        <w:rPr>
          <w:rFonts w:ascii="Times New Roman" w:hAnsi="Times New Roman" w:cs="Times New Roman"/>
          <w:sz w:val="24"/>
          <w:szCs w:val="28"/>
        </w:rPr>
        <w:t xml:space="preserve"> Chemical structure of rimonabant derivatives inhibiting ZR75-1 cell viability. </w:t>
      </w:r>
      <w:r w:rsidRPr="005824E1">
        <w:rPr>
          <w:rFonts w:ascii="Times New Roman" w:hAnsi="Times New Roman" w:cs="Times New Roman"/>
          <w:b/>
          <w:bCs/>
          <w:sz w:val="24"/>
          <w:szCs w:val="28"/>
        </w:rPr>
        <w:t>C</w:t>
      </w:r>
      <w:r w:rsidRPr="005824E1">
        <w:rPr>
          <w:rFonts w:ascii="Times New Roman" w:hAnsi="Times New Roman" w:cs="Times New Roman"/>
          <w:sz w:val="24"/>
          <w:szCs w:val="28"/>
        </w:rPr>
        <w:t xml:space="preserve"> Representative images of ZR75-1 cells stably expressing HPIP-copGFP treated with the indicated TXX-1-10 observed by a fluorescence microscope, </w:t>
      </w:r>
      <w:r w:rsidRPr="00A44042">
        <w:rPr>
          <w:rFonts w:ascii="Times New Roman" w:hAnsi="Times New Roman" w:cs="Times New Roman"/>
          <w:sz w:val="24"/>
          <w:szCs w:val="28"/>
        </w:rPr>
        <w:t>Scale bars</w:t>
      </w:r>
      <w:r w:rsidR="000F2CF9" w:rsidRPr="00A44042">
        <w:rPr>
          <w:rFonts w:ascii="Times New Roman" w:hAnsi="Times New Roman" w:cs="Times New Roman"/>
          <w:sz w:val="24"/>
          <w:szCs w:val="28"/>
        </w:rPr>
        <w:t>:</w:t>
      </w:r>
      <w:r w:rsidRPr="00A44042">
        <w:rPr>
          <w:rFonts w:ascii="Times New Roman" w:hAnsi="Times New Roman" w:cs="Times New Roman"/>
          <w:sz w:val="24"/>
          <w:szCs w:val="28"/>
        </w:rPr>
        <w:t xml:space="preserve"> 100 </w:t>
      </w:r>
      <w:r w:rsidR="00A10FD2" w:rsidRPr="00A44042">
        <w:rPr>
          <w:rFonts w:ascii="Times New Roman" w:hAnsi="Times New Roman" w:cs="Times New Roman"/>
          <w:sz w:val="24"/>
          <w:szCs w:val="28"/>
        </w:rPr>
        <w:sym w:font="Symbol" w:char="F06D"/>
      </w:r>
      <w:r w:rsidRPr="00A44042">
        <w:rPr>
          <w:rFonts w:ascii="Times New Roman" w:hAnsi="Times New Roman" w:cs="Times New Roman"/>
          <w:sz w:val="24"/>
          <w:szCs w:val="28"/>
        </w:rPr>
        <w:t>m.</w:t>
      </w:r>
      <w:r w:rsidRPr="005824E1">
        <w:rPr>
          <w:rFonts w:ascii="Times New Roman" w:hAnsi="Times New Roman" w:cs="Times New Roman"/>
          <w:sz w:val="24"/>
          <w:szCs w:val="28"/>
        </w:rPr>
        <w:t xml:space="preserve"> </w:t>
      </w:r>
      <w:r w:rsidRPr="005824E1">
        <w:rPr>
          <w:rFonts w:ascii="Times New Roman" w:hAnsi="Times New Roman" w:cs="Times New Roman"/>
          <w:b/>
          <w:bCs/>
          <w:sz w:val="24"/>
          <w:szCs w:val="28"/>
        </w:rPr>
        <w:t>D</w:t>
      </w:r>
      <w:r w:rsidRPr="005824E1">
        <w:rPr>
          <w:rFonts w:ascii="Times New Roman" w:hAnsi="Times New Roman" w:cs="Times New Roman"/>
          <w:sz w:val="24"/>
          <w:szCs w:val="28"/>
        </w:rPr>
        <w:t xml:space="preserve"> Cell growth inhibitory activity of TXX-1-10 in 24 cell lines was determined by CCK8 cell growth assay. </w:t>
      </w:r>
      <w:r w:rsidRPr="005824E1">
        <w:rPr>
          <w:rFonts w:ascii="Times New Roman" w:hAnsi="Times New Roman" w:cs="Times New Roman"/>
          <w:b/>
          <w:bCs/>
          <w:sz w:val="24"/>
          <w:szCs w:val="28"/>
        </w:rPr>
        <w:t>E</w:t>
      </w:r>
      <w:r w:rsidRPr="005824E1">
        <w:rPr>
          <w:rFonts w:ascii="Times New Roman" w:hAnsi="Times New Roman" w:cs="Times New Roman"/>
          <w:sz w:val="24"/>
          <w:szCs w:val="28"/>
        </w:rPr>
        <w:t xml:space="preserve"> </w:t>
      </w:r>
      <w:r w:rsidR="00A44042">
        <w:rPr>
          <w:rFonts w:ascii="Times New Roman" w:hAnsi="Times New Roman" w:cs="Times New Roman"/>
          <w:sz w:val="24"/>
          <w:szCs w:val="28"/>
        </w:rPr>
        <w:t>Western blot</w:t>
      </w:r>
      <w:r w:rsidRPr="005824E1">
        <w:rPr>
          <w:rFonts w:ascii="Times New Roman" w:hAnsi="Times New Roman" w:cs="Times New Roman"/>
          <w:sz w:val="24"/>
          <w:szCs w:val="28"/>
        </w:rPr>
        <w:t xml:space="preserve"> assay of HPIP expression in the panel of breast cancer cell lines and normal breast cells treated with TXX-1-10 (10 </w:t>
      </w:r>
      <w:r w:rsidRPr="005824E1">
        <w:rPr>
          <w:rFonts w:ascii="Symbol" w:hAnsi="Symbol" w:cs="Times New Roman"/>
          <w:sz w:val="24"/>
          <w:szCs w:val="28"/>
        </w:rPr>
        <w:t>m</w:t>
      </w:r>
      <w:r w:rsidRPr="005824E1">
        <w:rPr>
          <w:rFonts w:ascii="Times New Roman" w:hAnsi="Times New Roman" w:cs="Times New Roman"/>
          <w:sz w:val="24"/>
          <w:szCs w:val="28"/>
        </w:rPr>
        <w:t>M)</w:t>
      </w:r>
      <w:r>
        <w:rPr>
          <w:rFonts w:ascii="Times New Roman" w:hAnsi="Times New Roman" w:cs="Times New Roman"/>
          <w:sz w:val="24"/>
          <w:szCs w:val="28"/>
        </w:rPr>
        <w:t xml:space="preserve"> for 24 h</w:t>
      </w:r>
      <w:r w:rsidRPr="005824E1">
        <w:rPr>
          <w:rFonts w:ascii="Times New Roman" w:hAnsi="Times New Roman" w:cs="Times New Roman"/>
          <w:sz w:val="24"/>
          <w:szCs w:val="28"/>
        </w:rPr>
        <w:t>. Data shown are mean ± SD of triplicate measurements that have been repeated 3 times with similar results. Statistical significance was assessed by two-tailed Student’s t test. *p &lt; 0.05, **p &lt; 0.01 versus the corresponding control.</w:t>
      </w:r>
    </w:p>
    <w:p w14:paraId="0715213B" w14:textId="584F8E72" w:rsidR="00A77760" w:rsidRDefault="00A77760" w:rsidP="00986A74">
      <w:pPr>
        <w:spacing w:line="360" w:lineRule="auto"/>
      </w:pPr>
    </w:p>
    <w:p w14:paraId="0DCD577A" w14:textId="3039BD47" w:rsidR="00A12B4D" w:rsidRPr="00A12B4D" w:rsidRDefault="00A12B4D" w:rsidP="00986A74">
      <w:pPr>
        <w:spacing w:line="360" w:lineRule="auto"/>
        <w:rPr>
          <w:rFonts w:ascii="Times New Roman" w:hAnsi="Times New Roman" w:cs="Times New Roman"/>
          <w:sz w:val="24"/>
          <w:szCs w:val="28"/>
        </w:rPr>
      </w:pPr>
      <w:r w:rsidRPr="00A12B4D">
        <w:rPr>
          <w:rFonts w:ascii="Times New Roman" w:hAnsi="Times New Roman" w:cs="Times New Roman"/>
          <w:b/>
          <w:bCs/>
          <w:sz w:val="24"/>
          <w:szCs w:val="28"/>
        </w:rPr>
        <w:t>Figure S2 The synthesis of TXX-1-10. A</w:t>
      </w:r>
      <w:r w:rsidRPr="00A12B4D">
        <w:rPr>
          <w:rFonts w:ascii="Times New Roman" w:hAnsi="Times New Roman" w:cs="Times New Roman"/>
          <w:sz w:val="24"/>
          <w:szCs w:val="28"/>
        </w:rPr>
        <w:t xml:space="preserve"> The synthetic route to TXX-1-10. “a” is a known chemical; “b” represents compound b; “c” represents compound c. </w:t>
      </w:r>
      <w:r w:rsidRPr="00A12B4D">
        <w:rPr>
          <w:rFonts w:ascii="Times New Roman" w:hAnsi="Times New Roman" w:cs="Times New Roman"/>
          <w:b/>
          <w:bCs/>
          <w:sz w:val="24"/>
          <w:szCs w:val="28"/>
        </w:rPr>
        <w:t>B</w:t>
      </w:r>
      <w:r w:rsidRPr="00A12B4D">
        <w:rPr>
          <w:rFonts w:ascii="Times New Roman" w:hAnsi="Times New Roman" w:cs="Times New Roman"/>
          <w:sz w:val="24"/>
          <w:szCs w:val="28"/>
        </w:rPr>
        <w:t xml:space="preserve"> </w:t>
      </w:r>
      <w:r w:rsidRPr="00A12B4D">
        <w:rPr>
          <w:rFonts w:ascii="Times New Roman" w:hAnsi="Times New Roman" w:cs="Times New Roman"/>
          <w:sz w:val="24"/>
          <w:szCs w:val="28"/>
          <w:vertAlign w:val="superscript"/>
        </w:rPr>
        <w:t>1</w:t>
      </w:r>
      <w:r w:rsidRPr="00A12B4D">
        <w:rPr>
          <w:rFonts w:ascii="Times New Roman" w:hAnsi="Times New Roman" w:cs="Times New Roman"/>
          <w:sz w:val="24"/>
          <w:szCs w:val="28"/>
        </w:rPr>
        <w:t>H NMR spectra (400 MHz, chloroform-</w:t>
      </w:r>
      <w:r w:rsidRPr="00A12B4D">
        <w:rPr>
          <w:rFonts w:ascii="Times New Roman" w:hAnsi="Times New Roman" w:cs="Times New Roman"/>
          <w:i/>
          <w:iCs/>
          <w:sz w:val="24"/>
          <w:szCs w:val="28"/>
        </w:rPr>
        <w:t>d</w:t>
      </w:r>
      <w:r w:rsidRPr="00A12B4D">
        <w:rPr>
          <w:rFonts w:ascii="Times New Roman" w:hAnsi="Times New Roman" w:cs="Times New Roman"/>
          <w:sz w:val="24"/>
          <w:szCs w:val="28"/>
        </w:rPr>
        <w:t xml:space="preserve">, 298 K) of </w:t>
      </w:r>
      <w:r w:rsidRPr="00A12B4D">
        <w:rPr>
          <w:rFonts w:ascii="Times New Roman" w:hAnsi="Times New Roman" w:cs="Times New Roman"/>
          <w:b/>
          <w:bCs/>
          <w:sz w:val="24"/>
          <w:szCs w:val="28"/>
        </w:rPr>
        <w:t>c</w:t>
      </w:r>
      <w:r w:rsidRPr="00A12B4D">
        <w:rPr>
          <w:rFonts w:ascii="Times New Roman" w:hAnsi="Times New Roman" w:cs="Times New Roman"/>
          <w:sz w:val="24"/>
          <w:szCs w:val="28"/>
        </w:rPr>
        <w:t xml:space="preserve">. </w:t>
      </w:r>
      <w:r w:rsidRPr="00A12B4D">
        <w:rPr>
          <w:rFonts w:ascii="Times New Roman" w:hAnsi="Times New Roman" w:cs="Times New Roman"/>
          <w:b/>
          <w:bCs/>
          <w:sz w:val="24"/>
          <w:szCs w:val="28"/>
        </w:rPr>
        <w:t>C</w:t>
      </w:r>
      <w:r w:rsidRPr="00A12B4D">
        <w:rPr>
          <w:rFonts w:ascii="Times New Roman" w:hAnsi="Times New Roman" w:cs="Times New Roman"/>
          <w:sz w:val="24"/>
          <w:szCs w:val="28"/>
        </w:rPr>
        <w:t xml:space="preserve"> Electrospray ionization mass spectrum of </w:t>
      </w:r>
      <w:r w:rsidRPr="00A12B4D">
        <w:rPr>
          <w:rFonts w:ascii="Times New Roman" w:hAnsi="Times New Roman" w:cs="Times New Roman"/>
          <w:b/>
          <w:bCs/>
          <w:sz w:val="24"/>
          <w:szCs w:val="28"/>
        </w:rPr>
        <w:t>c</w:t>
      </w:r>
      <w:r w:rsidRPr="00A12B4D">
        <w:rPr>
          <w:rFonts w:ascii="Times New Roman" w:hAnsi="Times New Roman" w:cs="Times New Roman"/>
          <w:sz w:val="24"/>
          <w:szCs w:val="28"/>
        </w:rPr>
        <w:t xml:space="preserve">. </w:t>
      </w:r>
      <w:r w:rsidRPr="00A12B4D">
        <w:rPr>
          <w:rFonts w:ascii="Times New Roman" w:hAnsi="Times New Roman" w:cs="Times New Roman"/>
          <w:b/>
          <w:bCs/>
          <w:sz w:val="24"/>
          <w:szCs w:val="28"/>
        </w:rPr>
        <w:t>D</w:t>
      </w:r>
      <w:r w:rsidR="00A44042">
        <w:rPr>
          <w:rFonts w:ascii="Times New Roman" w:hAnsi="Times New Roman" w:cs="Times New Roman"/>
          <w:b/>
          <w:bCs/>
          <w:sz w:val="24"/>
          <w:szCs w:val="28"/>
        </w:rPr>
        <w:t xml:space="preserve"> </w:t>
      </w:r>
      <w:r w:rsidRPr="00A12B4D">
        <w:rPr>
          <w:rFonts w:ascii="Times New Roman" w:hAnsi="Times New Roman" w:cs="Times New Roman"/>
          <w:sz w:val="24"/>
          <w:szCs w:val="28"/>
          <w:vertAlign w:val="superscript"/>
        </w:rPr>
        <w:t>1</w:t>
      </w:r>
      <w:r w:rsidRPr="00A12B4D">
        <w:rPr>
          <w:rFonts w:ascii="Times New Roman" w:hAnsi="Times New Roman" w:cs="Times New Roman"/>
          <w:sz w:val="24"/>
          <w:szCs w:val="28"/>
        </w:rPr>
        <w:t>H NMR spectra (400 MHz, chloroform-</w:t>
      </w:r>
      <w:r w:rsidRPr="00A12B4D">
        <w:rPr>
          <w:rFonts w:ascii="Times New Roman" w:hAnsi="Times New Roman" w:cs="Times New Roman"/>
          <w:i/>
          <w:iCs/>
          <w:sz w:val="24"/>
          <w:szCs w:val="28"/>
        </w:rPr>
        <w:t>d</w:t>
      </w:r>
      <w:r w:rsidRPr="00A12B4D">
        <w:rPr>
          <w:rFonts w:ascii="Times New Roman" w:hAnsi="Times New Roman" w:cs="Times New Roman"/>
          <w:sz w:val="24"/>
          <w:szCs w:val="28"/>
        </w:rPr>
        <w:t xml:space="preserve">, 298 K) of </w:t>
      </w:r>
      <w:r w:rsidRPr="00A12B4D">
        <w:rPr>
          <w:rFonts w:ascii="Times New Roman" w:hAnsi="Times New Roman" w:cs="Times New Roman"/>
          <w:b/>
          <w:bCs/>
          <w:sz w:val="24"/>
          <w:szCs w:val="28"/>
        </w:rPr>
        <w:t>TXX-1-10</w:t>
      </w:r>
      <w:r w:rsidRPr="00A12B4D">
        <w:rPr>
          <w:rFonts w:ascii="Times New Roman" w:hAnsi="Times New Roman" w:cs="Times New Roman"/>
          <w:sz w:val="24"/>
          <w:szCs w:val="28"/>
        </w:rPr>
        <w:t xml:space="preserve">. </w:t>
      </w:r>
      <w:r w:rsidRPr="00A12B4D">
        <w:rPr>
          <w:rFonts w:ascii="Times New Roman" w:hAnsi="Times New Roman" w:cs="Times New Roman"/>
          <w:b/>
          <w:bCs/>
          <w:sz w:val="24"/>
          <w:szCs w:val="28"/>
        </w:rPr>
        <w:t>E</w:t>
      </w:r>
      <w:r w:rsidRPr="00A12B4D">
        <w:rPr>
          <w:rFonts w:ascii="Times New Roman" w:hAnsi="Times New Roman" w:cs="Times New Roman"/>
          <w:sz w:val="24"/>
          <w:szCs w:val="28"/>
        </w:rPr>
        <w:t xml:space="preserve"> Electrospray ionization mass spectrum of </w:t>
      </w:r>
      <w:r w:rsidRPr="00A12B4D">
        <w:rPr>
          <w:rFonts w:ascii="Times New Roman" w:hAnsi="Times New Roman" w:cs="Times New Roman"/>
          <w:b/>
          <w:bCs/>
          <w:sz w:val="24"/>
          <w:szCs w:val="28"/>
        </w:rPr>
        <w:t>TXX-1-10</w:t>
      </w:r>
      <w:r w:rsidRPr="00A12B4D">
        <w:rPr>
          <w:rFonts w:ascii="Times New Roman" w:hAnsi="Times New Roman" w:cs="Times New Roman"/>
          <w:sz w:val="24"/>
          <w:szCs w:val="28"/>
        </w:rPr>
        <w:t>.</w:t>
      </w:r>
    </w:p>
    <w:p w14:paraId="7F188F11" w14:textId="47C0DC1A" w:rsidR="00A12B4D" w:rsidRPr="00E46404" w:rsidRDefault="00A12B4D" w:rsidP="00986A74">
      <w:pPr>
        <w:spacing w:line="360" w:lineRule="auto"/>
        <w:rPr>
          <w:rFonts w:ascii="Times New Roman" w:hAnsi="Times New Roman" w:cs="Times New Roman"/>
          <w:sz w:val="24"/>
          <w:szCs w:val="28"/>
        </w:rPr>
      </w:pPr>
    </w:p>
    <w:p w14:paraId="272FA712" w14:textId="598B95FE" w:rsidR="00E46404" w:rsidRPr="00E46404" w:rsidRDefault="00E46404" w:rsidP="00986A74">
      <w:pPr>
        <w:spacing w:line="360" w:lineRule="auto"/>
        <w:rPr>
          <w:rFonts w:ascii="Times New Roman" w:hAnsi="Times New Roman" w:cs="Times New Roman"/>
          <w:sz w:val="24"/>
          <w:szCs w:val="28"/>
        </w:rPr>
      </w:pPr>
      <w:r w:rsidRPr="00E46404">
        <w:rPr>
          <w:rFonts w:ascii="Times New Roman" w:hAnsi="Times New Roman" w:cs="Times New Roman"/>
          <w:b/>
          <w:bCs/>
          <w:sz w:val="24"/>
          <w:szCs w:val="28"/>
        </w:rPr>
        <w:t>Figure S3</w:t>
      </w:r>
      <w:r w:rsidRPr="00E46404">
        <w:rPr>
          <w:rFonts w:ascii="Times New Roman" w:hAnsi="Times New Roman" w:cs="Times New Roman"/>
          <w:sz w:val="24"/>
          <w:szCs w:val="28"/>
        </w:rPr>
        <w:t xml:space="preserve"> </w:t>
      </w:r>
      <w:r w:rsidRPr="00E46404">
        <w:rPr>
          <w:rFonts w:ascii="Times New Roman" w:hAnsi="Times New Roman" w:cs="Times New Roman"/>
          <w:b/>
          <w:bCs/>
          <w:sz w:val="24"/>
          <w:szCs w:val="28"/>
        </w:rPr>
        <w:t>Physico-chemical properties of TXX-1-10 and rimonabant predicted by ADMET Predictor 8.1 program</w:t>
      </w:r>
      <w:r w:rsidRPr="00E46404">
        <w:rPr>
          <w:rFonts w:ascii="Times New Roman" w:hAnsi="Times New Roman" w:cs="Times New Roman"/>
          <w:sz w:val="24"/>
          <w:szCs w:val="28"/>
        </w:rPr>
        <w:t xml:space="preserve">. </w:t>
      </w:r>
      <w:r w:rsidRPr="00E46404">
        <w:rPr>
          <w:rFonts w:ascii="Times New Roman" w:hAnsi="Times New Roman" w:cs="Times New Roman"/>
          <w:b/>
          <w:bCs/>
          <w:sz w:val="24"/>
          <w:szCs w:val="28"/>
        </w:rPr>
        <w:t>A</w:t>
      </w:r>
      <w:r w:rsidRPr="00E46404">
        <w:rPr>
          <w:rFonts w:ascii="Times New Roman" w:hAnsi="Times New Roman" w:cs="Times New Roman"/>
          <w:sz w:val="24"/>
          <w:szCs w:val="28"/>
        </w:rPr>
        <w:t xml:space="preserve"> LogBB, S+logP, S+logD of TXX-1-10 and rimonabant. </w:t>
      </w:r>
      <w:r w:rsidRPr="00E46404">
        <w:rPr>
          <w:rFonts w:ascii="Times New Roman" w:hAnsi="Times New Roman" w:cs="Times New Roman"/>
          <w:b/>
          <w:bCs/>
          <w:sz w:val="24"/>
          <w:szCs w:val="28"/>
        </w:rPr>
        <w:t>B</w:t>
      </w:r>
      <w:r w:rsidRPr="00E46404">
        <w:rPr>
          <w:rFonts w:ascii="Times New Roman" w:hAnsi="Times New Roman" w:cs="Times New Roman"/>
          <w:sz w:val="24"/>
          <w:szCs w:val="28"/>
        </w:rPr>
        <w:t xml:space="preserve"> The toxicity and physiochemical properties of TXX-1-10 and rimonabant.</w:t>
      </w:r>
    </w:p>
    <w:p w14:paraId="4CC8A9EF" w14:textId="492C2385" w:rsidR="00E46404" w:rsidRPr="00E46404" w:rsidRDefault="00E46404" w:rsidP="00986A74">
      <w:pPr>
        <w:spacing w:line="360" w:lineRule="auto"/>
      </w:pPr>
    </w:p>
    <w:p w14:paraId="6446553B" w14:textId="2D3F092B" w:rsidR="00E46404" w:rsidRPr="00E46404" w:rsidRDefault="00E46404" w:rsidP="00986A74">
      <w:pPr>
        <w:spacing w:line="360" w:lineRule="auto"/>
        <w:rPr>
          <w:rFonts w:ascii="Times New Roman" w:hAnsi="Times New Roman" w:cs="Times New Roman"/>
          <w:sz w:val="24"/>
          <w:szCs w:val="28"/>
        </w:rPr>
      </w:pPr>
      <w:r w:rsidRPr="00E46404">
        <w:rPr>
          <w:rFonts w:ascii="Times New Roman" w:hAnsi="Times New Roman" w:cs="Times New Roman"/>
          <w:b/>
          <w:bCs/>
          <w:sz w:val="24"/>
          <w:szCs w:val="28"/>
        </w:rPr>
        <w:t>Figure S4 TXX-1-10 significantly reduces blood-brain barrier (BBB) permeability compared to rimonabant. A</w:t>
      </w:r>
      <w:r w:rsidRPr="00E46404">
        <w:rPr>
          <w:rFonts w:ascii="Times New Roman" w:hAnsi="Times New Roman" w:cs="Times New Roman"/>
          <w:sz w:val="24"/>
          <w:szCs w:val="28"/>
        </w:rPr>
        <w:t xml:space="preserve"> Representative image of TXX-1-10 distribution in plasma (top) and brain tissue (bottom) measured by LCMS-8060 liquid chromatography-mass spectrometry. </w:t>
      </w:r>
      <w:r w:rsidRPr="00E46404">
        <w:rPr>
          <w:rFonts w:ascii="Times New Roman" w:hAnsi="Times New Roman" w:cs="Times New Roman"/>
          <w:b/>
          <w:bCs/>
          <w:sz w:val="24"/>
          <w:szCs w:val="28"/>
        </w:rPr>
        <w:t xml:space="preserve">B </w:t>
      </w:r>
      <w:r w:rsidRPr="00E46404">
        <w:rPr>
          <w:rFonts w:ascii="Times New Roman" w:hAnsi="Times New Roman" w:cs="Times New Roman"/>
          <w:sz w:val="24"/>
          <w:szCs w:val="28"/>
        </w:rPr>
        <w:t xml:space="preserve">Representative image of Rimonabant distribution in plasma (top) and brain tissue (bottom) measured by LCMS-8060 liquid chromatography-mass </w:t>
      </w:r>
      <w:r w:rsidRPr="00E46404">
        <w:rPr>
          <w:rFonts w:ascii="Times New Roman" w:hAnsi="Times New Roman" w:cs="Times New Roman"/>
          <w:sz w:val="24"/>
          <w:szCs w:val="28"/>
        </w:rPr>
        <w:lastRenderedPageBreak/>
        <w:t xml:space="preserve">spectrometry. </w:t>
      </w:r>
      <w:r w:rsidRPr="00E46404">
        <w:rPr>
          <w:rFonts w:ascii="Times New Roman" w:hAnsi="Times New Roman" w:cs="Times New Roman"/>
          <w:b/>
          <w:bCs/>
          <w:sz w:val="24"/>
          <w:szCs w:val="28"/>
        </w:rPr>
        <w:t xml:space="preserve">C </w:t>
      </w:r>
      <w:r w:rsidRPr="00E46404">
        <w:rPr>
          <w:rFonts w:ascii="Times New Roman" w:hAnsi="Times New Roman" w:cs="Times New Roman"/>
          <w:sz w:val="24"/>
          <w:szCs w:val="28"/>
        </w:rPr>
        <w:t xml:space="preserve">Quantification of distribution of TXX-1-10 (n = 4) and rimonabant (n = 3) in in paired plasma and brain tissue in the same rat measured by LCMS-8060 liquid chromatography-mass spectrometry. </w:t>
      </w:r>
      <w:r w:rsidRPr="00E46404">
        <w:rPr>
          <w:rFonts w:ascii="Times New Roman" w:hAnsi="Times New Roman" w:cs="Times New Roman"/>
          <w:b/>
          <w:bCs/>
          <w:sz w:val="24"/>
          <w:szCs w:val="28"/>
        </w:rPr>
        <w:t>D</w:t>
      </w:r>
      <w:r w:rsidRPr="00E46404">
        <w:rPr>
          <w:rFonts w:ascii="Times New Roman" w:hAnsi="Times New Roman" w:cs="Times New Roman"/>
          <w:sz w:val="24"/>
          <w:szCs w:val="28"/>
        </w:rPr>
        <w:t xml:space="preserve"> Histograms show the relative level TXX-1-10</w:t>
      </w:r>
      <w:r w:rsidR="00F7381E">
        <w:rPr>
          <w:rFonts w:ascii="Times New Roman" w:hAnsi="Times New Roman" w:cs="Times New Roman"/>
          <w:sz w:val="24"/>
          <w:szCs w:val="28"/>
        </w:rPr>
        <w:t xml:space="preserve"> </w:t>
      </w:r>
      <w:r w:rsidRPr="00E46404">
        <w:rPr>
          <w:rFonts w:ascii="Times New Roman" w:hAnsi="Times New Roman" w:cs="Times New Roman"/>
          <w:sz w:val="24"/>
          <w:szCs w:val="28"/>
        </w:rPr>
        <w:t xml:space="preserve">(n = 4) and rimonabant in plasma and brain tissue (n = 3). Statistical significance was assessed by two-tailed Student’s t test. *p &lt; 0.05, **p &lt; 0.01 versus the corresponding control. </w:t>
      </w:r>
    </w:p>
    <w:p w14:paraId="4403ED80" w14:textId="65BB0FBB" w:rsidR="00E46404" w:rsidRDefault="00E46404" w:rsidP="00986A74">
      <w:pPr>
        <w:spacing w:line="360" w:lineRule="auto"/>
      </w:pPr>
    </w:p>
    <w:p w14:paraId="33987722" w14:textId="398C5B7D" w:rsidR="00986A74" w:rsidRPr="002A4CFC" w:rsidRDefault="004E5775" w:rsidP="00986A74">
      <w:pPr>
        <w:spacing w:line="360" w:lineRule="auto"/>
        <w:rPr>
          <w:rFonts w:ascii="Times New Roman" w:hAnsi="Times New Roman" w:cs="Times New Roman"/>
          <w:sz w:val="24"/>
          <w:szCs w:val="24"/>
        </w:rPr>
      </w:pPr>
      <w:r w:rsidRPr="00E46404">
        <w:rPr>
          <w:rFonts w:ascii="Times New Roman" w:hAnsi="Times New Roman" w:cs="Times New Roman"/>
          <w:b/>
          <w:bCs/>
          <w:sz w:val="24"/>
          <w:szCs w:val="28"/>
        </w:rPr>
        <w:t>Figure S</w:t>
      </w:r>
      <w:r>
        <w:rPr>
          <w:rFonts w:ascii="Times New Roman" w:hAnsi="Times New Roman" w:cs="Times New Roman"/>
          <w:b/>
          <w:bCs/>
          <w:sz w:val="24"/>
          <w:szCs w:val="28"/>
        </w:rPr>
        <w:t>5</w:t>
      </w:r>
      <w:r w:rsidRPr="00E46404">
        <w:rPr>
          <w:rFonts w:ascii="Times New Roman" w:hAnsi="Times New Roman" w:cs="Times New Roman"/>
          <w:b/>
          <w:bCs/>
          <w:sz w:val="24"/>
          <w:szCs w:val="28"/>
        </w:rPr>
        <w:t xml:space="preserve"> </w:t>
      </w:r>
      <w:r>
        <w:rPr>
          <w:rFonts w:ascii="Times New Roman" w:hAnsi="Times New Roman" w:cs="Times New Roman"/>
          <w:b/>
          <w:bCs/>
          <w:sz w:val="24"/>
          <w:szCs w:val="28"/>
        </w:rPr>
        <w:t>Evaluation of stemness</w:t>
      </w:r>
      <w:r w:rsidRPr="00E46404">
        <w:rPr>
          <w:rFonts w:ascii="Times New Roman" w:hAnsi="Times New Roman" w:cs="Times New Roman"/>
          <w:b/>
          <w:bCs/>
          <w:sz w:val="24"/>
          <w:szCs w:val="28"/>
        </w:rPr>
        <w:t xml:space="preserve"> regulated by TXX-1-10. </w:t>
      </w:r>
      <w:r>
        <w:rPr>
          <w:rFonts w:ascii="Times New Roman" w:hAnsi="Times New Roman" w:cs="Times New Roman" w:hint="eastAsia"/>
          <w:b/>
          <w:bCs/>
          <w:sz w:val="24"/>
          <w:szCs w:val="28"/>
        </w:rPr>
        <w:t>A</w:t>
      </w:r>
      <w:r w:rsidRPr="004E5775">
        <w:rPr>
          <w:rFonts w:ascii="Times New Roman" w:hAnsi="Times New Roman" w:cs="Times New Roman"/>
          <w:sz w:val="24"/>
          <w:szCs w:val="24"/>
        </w:rPr>
        <w:t xml:space="preserve"> </w:t>
      </w:r>
      <w:r w:rsidRPr="002A4CFC">
        <w:rPr>
          <w:rFonts w:ascii="Times New Roman" w:hAnsi="Times New Roman" w:cs="Times New Roman"/>
          <w:sz w:val="24"/>
          <w:szCs w:val="24"/>
        </w:rPr>
        <w:t>The cell</w:t>
      </w:r>
      <w:r>
        <w:rPr>
          <w:rFonts w:ascii="Times New Roman" w:hAnsi="Times New Roman" w:cs="Times New Roman"/>
          <w:sz w:val="24"/>
          <w:szCs w:val="24"/>
        </w:rPr>
        <w:t xml:space="preserve"> stemness</w:t>
      </w:r>
      <w:r w:rsidRPr="002A4CFC">
        <w:rPr>
          <w:rFonts w:ascii="Times New Roman" w:hAnsi="Times New Roman" w:cs="Times New Roman"/>
          <w:sz w:val="24"/>
          <w:szCs w:val="24"/>
        </w:rPr>
        <w:t xml:space="preserve"> of ZR75-1</w:t>
      </w:r>
      <w:r>
        <w:rPr>
          <w:rFonts w:ascii="Times New Roman" w:hAnsi="Times New Roman" w:cs="Times New Roman"/>
          <w:sz w:val="24"/>
          <w:szCs w:val="24"/>
        </w:rPr>
        <w:t xml:space="preserve"> cells </w:t>
      </w:r>
      <w:r w:rsidRPr="002A4CFC">
        <w:rPr>
          <w:rFonts w:ascii="Times New Roman" w:hAnsi="Times New Roman" w:cs="Times New Roman"/>
          <w:sz w:val="24"/>
          <w:szCs w:val="24"/>
        </w:rPr>
        <w:t>treated with TXX-1-10, Rimonabant, or vehicle for 48 h.</w:t>
      </w:r>
      <w:r w:rsidRPr="004E5775">
        <w:rPr>
          <w:rFonts w:ascii="Times New Roman" w:hAnsi="Times New Roman" w:cs="Times New Roman"/>
          <w:sz w:val="24"/>
          <w:szCs w:val="24"/>
        </w:rPr>
        <w:t xml:space="preserve"> </w:t>
      </w:r>
      <w:r w:rsidRPr="002A4CFC">
        <w:rPr>
          <w:rFonts w:ascii="Times New Roman" w:hAnsi="Times New Roman" w:cs="Times New Roman"/>
          <w:sz w:val="24"/>
          <w:szCs w:val="24"/>
        </w:rPr>
        <w:t xml:space="preserve">Cell </w:t>
      </w:r>
      <w:r>
        <w:rPr>
          <w:rFonts w:ascii="Times New Roman" w:hAnsi="Times New Roman" w:cs="Times New Roman"/>
          <w:sz w:val="24"/>
          <w:szCs w:val="24"/>
        </w:rPr>
        <w:t xml:space="preserve">stemness </w:t>
      </w:r>
      <w:r w:rsidRPr="002A4CFC">
        <w:rPr>
          <w:rFonts w:ascii="Times New Roman" w:hAnsi="Times New Roman" w:cs="Times New Roman"/>
          <w:sz w:val="24"/>
          <w:szCs w:val="24"/>
        </w:rPr>
        <w:t xml:space="preserve">was evaluated by flow cytometry after staining with </w:t>
      </w:r>
      <w:r>
        <w:rPr>
          <w:rFonts w:ascii="Times New Roman" w:hAnsi="Times New Roman" w:cs="Times New Roman"/>
          <w:sz w:val="24"/>
          <w:szCs w:val="24"/>
        </w:rPr>
        <w:t>ALDEFLUOR</w:t>
      </w:r>
      <w:r w:rsidRPr="004E5775">
        <w:rPr>
          <w:rFonts w:ascii="Times New Roman" w:hAnsi="Times New Roman" w:cs="Times New Roman"/>
          <w:sz w:val="24"/>
          <w:szCs w:val="24"/>
          <w:vertAlign w:val="superscript"/>
        </w:rPr>
        <w:t>TM</w:t>
      </w:r>
      <w:r>
        <w:rPr>
          <w:rFonts w:ascii="Times New Roman" w:hAnsi="Times New Roman" w:cs="Times New Roman"/>
          <w:sz w:val="24"/>
          <w:szCs w:val="24"/>
        </w:rPr>
        <w:t xml:space="preserve"> Reagent </w:t>
      </w:r>
      <w:r w:rsidRPr="002A4CFC">
        <w:rPr>
          <w:rFonts w:ascii="Times New Roman" w:hAnsi="Times New Roman" w:cs="Times New Roman"/>
          <w:sz w:val="24"/>
          <w:szCs w:val="24"/>
        </w:rPr>
        <w:t>for 30 min at 37°C.</w:t>
      </w:r>
      <w:r w:rsidR="008711A1">
        <w:rPr>
          <w:rFonts w:ascii="Times New Roman" w:hAnsi="Times New Roman" w:cs="Times New Roman"/>
          <w:sz w:val="24"/>
          <w:szCs w:val="24"/>
        </w:rPr>
        <w:t xml:space="preserve"> The stained corresponding diethylaminobenzaldehyde (DEAB) is used to control for background fluorescence (upper)</w:t>
      </w:r>
      <w:r w:rsidR="00986A74">
        <w:rPr>
          <w:rFonts w:ascii="Times New Roman" w:hAnsi="Times New Roman" w:cs="Times New Roman" w:hint="eastAsia"/>
          <w:sz w:val="24"/>
          <w:szCs w:val="24"/>
        </w:rPr>
        <w:t>.</w:t>
      </w:r>
      <w:r w:rsidR="008711A1">
        <w:rPr>
          <w:rFonts w:ascii="Times New Roman" w:hAnsi="Times New Roman" w:cs="Times New Roman"/>
          <w:sz w:val="24"/>
          <w:szCs w:val="24"/>
        </w:rPr>
        <w:t xml:space="preserve"> </w:t>
      </w:r>
      <w:r w:rsidR="00986A74" w:rsidRPr="00986A74">
        <w:rPr>
          <w:rFonts w:ascii="Times New Roman" w:hAnsi="Times New Roman" w:cs="Times New Roman"/>
          <w:sz w:val="24"/>
          <w:szCs w:val="24"/>
        </w:rPr>
        <w:t xml:space="preserve">Histograms show the relative </w:t>
      </w:r>
      <w:r w:rsidR="00986A74">
        <w:rPr>
          <w:rFonts w:ascii="Times New Roman" w:hAnsi="Times New Roman" w:cs="Times New Roman"/>
          <w:sz w:val="24"/>
          <w:szCs w:val="24"/>
        </w:rPr>
        <w:t xml:space="preserve">positive stemness </w:t>
      </w:r>
      <w:r w:rsidR="00986A74" w:rsidRPr="00986A74">
        <w:rPr>
          <w:rFonts w:ascii="Times New Roman" w:hAnsi="Times New Roman" w:cs="Times New Roman"/>
          <w:sz w:val="24"/>
          <w:szCs w:val="24"/>
        </w:rPr>
        <w:t>cell (bottom).</w:t>
      </w:r>
      <w:r w:rsidR="00A44042">
        <w:rPr>
          <w:rFonts w:ascii="Times New Roman" w:hAnsi="Times New Roman" w:cs="Times New Roman"/>
          <w:sz w:val="24"/>
          <w:szCs w:val="24"/>
        </w:rPr>
        <w:t xml:space="preserve"> </w:t>
      </w:r>
      <w:r>
        <w:rPr>
          <w:rFonts w:ascii="Times New Roman" w:hAnsi="Times New Roman" w:cs="Times New Roman" w:hint="eastAsia"/>
          <w:b/>
          <w:bCs/>
          <w:sz w:val="24"/>
          <w:szCs w:val="28"/>
        </w:rPr>
        <w:t>B</w:t>
      </w:r>
      <w:r w:rsidRPr="004E5775">
        <w:rPr>
          <w:rFonts w:ascii="Times New Roman" w:hAnsi="Times New Roman" w:cs="Times New Roman"/>
          <w:sz w:val="24"/>
          <w:szCs w:val="24"/>
        </w:rPr>
        <w:t xml:space="preserve"> </w:t>
      </w:r>
      <w:r w:rsidR="008711A1" w:rsidRPr="002A4CFC">
        <w:rPr>
          <w:rFonts w:ascii="Times New Roman" w:hAnsi="Times New Roman" w:cs="Times New Roman"/>
          <w:sz w:val="24"/>
          <w:szCs w:val="24"/>
        </w:rPr>
        <w:t>The cell</w:t>
      </w:r>
      <w:r w:rsidR="008711A1">
        <w:rPr>
          <w:rFonts w:ascii="Times New Roman" w:hAnsi="Times New Roman" w:cs="Times New Roman"/>
          <w:sz w:val="24"/>
          <w:szCs w:val="24"/>
        </w:rPr>
        <w:t xml:space="preserve"> stemness</w:t>
      </w:r>
      <w:r w:rsidR="008711A1" w:rsidRPr="002A4CFC">
        <w:rPr>
          <w:rFonts w:ascii="Times New Roman" w:hAnsi="Times New Roman" w:cs="Times New Roman"/>
          <w:sz w:val="24"/>
          <w:szCs w:val="24"/>
        </w:rPr>
        <w:t xml:space="preserve"> of </w:t>
      </w:r>
      <w:r w:rsidR="008711A1">
        <w:rPr>
          <w:rFonts w:ascii="Times New Roman" w:hAnsi="Times New Roman" w:cs="Times New Roman"/>
          <w:sz w:val="24"/>
          <w:szCs w:val="24"/>
        </w:rPr>
        <w:t xml:space="preserve">MDA-MB-231 cells </w:t>
      </w:r>
      <w:r w:rsidR="008711A1" w:rsidRPr="002A4CFC">
        <w:rPr>
          <w:rFonts w:ascii="Times New Roman" w:hAnsi="Times New Roman" w:cs="Times New Roman"/>
          <w:sz w:val="24"/>
          <w:szCs w:val="24"/>
        </w:rPr>
        <w:t>treated with TXX-1-10, Rimonabant, or vehicle for 48 h.</w:t>
      </w:r>
      <w:r w:rsidR="008711A1" w:rsidRPr="004E5775">
        <w:rPr>
          <w:rFonts w:ascii="Times New Roman" w:hAnsi="Times New Roman" w:cs="Times New Roman"/>
          <w:sz w:val="24"/>
          <w:szCs w:val="24"/>
        </w:rPr>
        <w:t xml:space="preserve"> </w:t>
      </w:r>
      <w:r w:rsidR="008711A1" w:rsidRPr="002A4CFC">
        <w:rPr>
          <w:rFonts w:ascii="Times New Roman" w:hAnsi="Times New Roman" w:cs="Times New Roman"/>
          <w:sz w:val="24"/>
          <w:szCs w:val="24"/>
        </w:rPr>
        <w:t xml:space="preserve">Cell </w:t>
      </w:r>
      <w:r w:rsidR="008711A1">
        <w:rPr>
          <w:rFonts w:ascii="Times New Roman" w:hAnsi="Times New Roman" w:cs="Times New Roman"/>
          <w:sz w:val="24"/>
          <w:szCs w:val="24"/>
        </w:rPr>
        <w:t xml:space="preserve">stemness </w:t>
      </w:r>
      <w:r w:rsidR="008711A1" w:rsidRPr="002A4CFC">
        <w:rPr>
          <w:rFonts w:ascii="Times New Roman" w:hAnsi="Times New Roman" w:cs="Times New Roman"/>
          <w:sz w:val="24"/>
          <w:szCs w:val="24"/>
        </w:rPr>
        <w:t xml:space="preserve">was evaluated by flow cytometry after staining with </w:t>
      </w:r>
      <w:r w:rsidR="008711A1">
        <w:rPr>
          <w:rFonts w:ascii="Times New Roman" w:hAnsi="Times New Roman" w:cs="Times New Roman"/>
          <w:sz w:val="24"/>
          <w:szCs w:val="24"/>
        </w:rPr>
        <w:t>ALDEFLUOR</w:t>
      </w:r>
      <w:r w:rsidR="008711A1" w:rsidRPr="004E5775">
        <w:rPr>
          <w:rFonts w:ascii="Times New Roman" w:hAnsi="Times New Roman" w:cs="Times New Roman"/>
          <w:sz w:val="24"/>
          <w:szCs w:val="24"/>
          <w:vertAlign w:val="superscript"/>
        </w:rPr>
        <w:t>TM</w:t>
      </w:r>
      <w:r w:rsidR="008711A1">
        <w:rPr>
          <w:rFonts w:ascii="Times New Roman" w:hAnsi="Times New Roman" w:cs="Times New Roman"/>
          <w:sz w:val="24"/>
          <w:szCs w:val="24"/>
        </w:rPr>
        <w:t xml:space="preserve"> Reagent </w:t>
      </w:r>
      <w:r w:rsidR="008711A1" w:rsidRPr="002A4CFC">
        <w:rPr>
          <w:rFonts w:ascii="Times New Roman" w:hAnsi="Times New Roman" w:cs="Times New Roman"/>
          <w:sz w:val="24"/>
          <w:szCs w:val="24"/>
        </w:rPr>
        <w:t>for 30 min at 37°C.</w:t>
      </w:r>
      <w:r w:rsidR="008711A1">
        <w:rPr>
          <w:rFonts w:ascii="Times New Roman" w:hAnsi="Times New Roman" w:cs="Times New Roman"/>
          <w:sz w:val="24"/>
          <w:szCs w:val="24"/>
        </w:rPr>
        <w:t xml:space="preserve"> The stained corresponding diethylaminobenzaldehyde (DEAB) is used to control for background fluorescence (upper)</w:t>
      </w:r>
      <w:r w:rsidR="00986A74">
        <w:rPr>
          <w:rFonts w:ascii="Times New Roman" w:hAnsi="Times New Roman" w:cs="Times New Roman"/>
          <w:sz w:val="24"/>
          <w:szCs w:val="24"/>
        </w:rPr>
        <w:t>.</w:t>
      </w:r>
      <w:r w:rsidR="00986A74" w:rsidRPr="00986A74">
        <w:rPr>
          <w:rFonts w:ascii="Times New Roman" w:hAnsi="Times New Roman" w:cs="Times New Roman"/>
          <w:sz w:val="24"/>
          <w:szCs w:val="24"/>
        </w:rPr>
        <w:t xml:space="preserve"> Histograms show the relative </w:t>
      </w:r>
      <w:r w:rsidR="00986A74">
        <w:rPr>
          <w:rFonts w:ascii="Times New Roman" w:hAnsi="Times New Roman" w:cs="Times New Roman"/>
          <w:sz w:val="24"/>
          <w:szCs w:val="24"/>
        </w:rPr>
        <w:t xml:space="preserve">positive stemness </w:t>
      </w:r>
      <w:r w:rsidR="00986A74" w:rsidRPr="00986A74">
        <w:rPr>
          <w:rFonts w:ascii="Times New Roman" w:hAnsi="Times New Roman" w:cs="Times New Roman"/>
          <w:sz w:val="24"/>
          <w:szCs w:val="24"/>
        </w:rPr>
        <w:t>cell (bottom).</w:t>
      </w:r>
      <w:r w:rsidR="00986A74" w:rsidRPr="002A4CFC">
        <w:rPr>
          <w:rFonts w:ascii="Times New Roman" w:hAnsi="Times New Roman" w:cs="Times New Roman"/>
          <w:sz w:val="24"/>
          <w:szCs w:val="24"/>
        </w:rPr>
        <w:t>Data shown are mean ± SD of triplicate measurements that have been repeated 3 times with similar results. Statistical significance was assessed by two-tailed Student’s t test. *</w:t>
      </w:r>
      <w:r w:rsidR="00986A74" w:rsidRPr="002A4CFC">
        <w:rPr>
          <w:rFonts w:ascii="Times New Roman" w:hAnsi="Times New Roman" w:cs="Times New Roman"/>
          <w:i/>
          <w:iCs/>
          <w:sz w:val="24"/>
          <w:szCs w:val="24"/>
        </w:rPr>
        <w:t>p</w:t>
      </w:r>
      <w:r w:rsidR="00986A74" w:rsidRPr="002A4CFC">
        <w:rPr>
          <w:rFonts w:ascii="Times New Roman" w:hAnsi="Times New Roman" w:cs="Times New Roman"/>
          <w:sz w:val="24"/>
          <w:szCs w:val="24"/>
        </w:rPr>
        <w:t xml:space="preserve"> &lt; 0.05, **</w:t>
      </w:r>
      <w:r w:rsidR="00986A74" w:rsidRPr="002A4CFC">
        <w:rPr>
          <w:rFonts w:ascii="Times New Roman" w:hAnsi="Times New Roman" w:cs="Times New Roman"/>
          <w:i/>
          <w:iCs/>
          <w:sz w:val="24"/>
          <w:szCs w:val="24"/>
        </w:rPr>
        <w:t>p</w:t>
      </w:r>
      <w:r w:rsidR="00986A74" w:rsidRPr="002A4CFC">
        <w:rPr>
          <w:rFonts w:ascii="Times New Roman" w:hAnsi="Times New Roman" w:cs="Times New Roman"/>
          <w:sz w:val="24"/>
          <w:szCs w:val="24"/>
        </w:rPr>
        <w:t xml:space="preserve"> &lt; 0.01 versus the corresponding control.</w:t>
      </w:r>
    </w:p>
    <w:p w14:paraId="00669A77" w14:textId="77777777" w:rsidR="008711A1" w:rsidRDefault="008711A1" w:rsidP="00986A74">
      <w:pPr>
        <w:spacing w:line="360" w:lineRule="auto"/>
        <w:rPr>
          <w:rFonts w:ascii="Times New Roman" w:hAnsi="Times New Roman" w:cs="Times New Roman"/>
          <w:b/>
          <w:bCs/>
          <w:sz w:val="24"/>
          <w:szCs w:val="28"/>
        </w:rPr>
      </w:pPr>
    </w:p>
    <w:p w14:paraId="063E16C8" w14:textId="1A27CB71" w:rsidR="00694426" w:rsidRPr="002A4CFC" w:rsidRDefault="004E5775" w:rsidP="00986A74">
      <w:pPr>
        <w:spacing w:line="360" w:lineRule="auto"/>
        <w:rPr>
          <w:rFonts w:ascii="Times New Roman" w:hAnsi="Times New Roman" w:cs="Times New Roman"/>
          <w:bCs/>
          <w:sz w:val="24"/>
          <w:szCs w:val="24"/>
        </w:rPr>
      </w:pPr>
      <w:r w:rsidRPr="00E46404">
        <w:rPr>
          <w:rFonts w:ascii="Times New Roman" w:hAnsi="Times New Roman" w:cs="Times New Roman"/>
          <w:b/>
          <w:bCs/>
          <w:sz w:val="24"/>
          <w:szCs w:val="28"/>
        </w:rPr>
        <w:t>Figure S</w:t>
      </w:r>
      <w:r w:rsidRPr="00694426">
        <w:rPr>
          <w:rFonts w:ascii="Times New Roman" w:hAnsi="Times New Roman" w:cs="Times New Roman"/>
          <w:b/>
          <w:bCs/>
          <w:sz w:val="24"/>
          <w:szCs w:val="28"/>
        </w:rPr>
        <w:t>6</w:t>
      </w:r>
      <w:r w:rsidRPr="00E46404">
        <w:rPr>
          <w:rFonts w:ascii="Times New Roman" w:hAnsi="Times New Roman" w:cs="Times New Roman"/>
          <w:b/>
          <w:bCs/>
          <w:sz w:val="24"/>
          <w:szCs w:val="28"/>
        </w:rPr>
        <w:t xml:space="preserve"> </w:t>
      </w:r>
      <w:r w:rsidR="00694426" w:rsidRPr="00694426">
        <w:rPr>
          <w:rFonts w:ascii="Times New Roman" w:hAnsi="Times New Roman" w:cs="Times New Roman"/>
          <w:b/>
          <w:bCs/>
          <w:sz w:val="24"/>
          <w:szCs w:val="28"/>
        </w:rPr>
        <w:t xml:space="preserve">The effect of </w:t>
      </w:r>
      <w:r w:rsidRPr="00E46404">
        <w:rPr>
          <w:rFonts w:ascii="Times New Roman" w:hAnsi="Times New Roman" w:cs="Times New Roman"/>
          <w:b/>
          <w:bCs/>
          <w:sz w:val="24"/>
          <w:szCs w:val="28"/>
        </w:rPr>
        <w:t>TXX-1-10</w:t>
      </w:r>
      <w:r w:rsidR="00694426" w:rsidRPr="00694426">
        <w:rPr>
          <w:rFonts w:ascii="Times New Roman" w:hAnsi="Times New Roman" w:cs="Times New Roman"/>
          <w:b/>
          <w:bCs/>
          <w:sz w:val="24"/>
          <w:szCs w:val="28"/>
        </w:rPr>
        <w:t xml:space="preserve"> on HPIP-ERα </w:t>
      </w:r>
      <w:r w:rsidR="00694426" w:rsidRPr="00694426">
        <w:rPr>
          <w:rFonts w:ascii="Times New Roman" w:hAnsi="Times New Roman" w:cs="Times New Roman" w:hint="eastAsia"/>
          <w:b/>
          <w:bCs/>
          <w:sz w:val="24"/>
          <w:szCs w:val="28"/>
        </w:rPr>
        <w:t>interaction</w:t>
      </w:r>
      <w:r w:rsidR="00694426" w:rsidRPr="00694426">
        <w:rPr>
          <w:rFonts w:ascii="Times New Roman" w:hAnsi="Times New Roman" w:cs="Times New Roman"/>
          <w:b/>
          <w:bCs/>
          <w:sz w:val="24"/>
          <w:szCs w:val="28"/>
        </w:rPr>
        <w:t xml:space="preserve"> ERα </w:t>
      </w:r>
      <w:r w:rsidR="00694426" w:rsidRPr="00694426">
        <w:rPr>
          <w:rFonts w:ascii="Times New Roman" w:hAnsi="Times New Roman" w:cs="Times New Roman" w:hint="eastAsia"/>
          <w:b/>
          <w:bCs/>
          <w:sz w:val="24"/>
          <w:szCs w:val="28"/>
        </w:rPr>
        <w:t>target</w:t>
      </w:r>
      <w:r w:rsidR="00694426" w:rsidRPr="00694426">
        <w:rPr>
          <w:rFonts w:ascii="Times New Roman" w:hAnsi="Times New Roman" w:cs="Times New Roman"/>
          <w:b/>
          <w:bCs/>
          <w:sz w:val="24"/>
          <w:szCs w:val="28"/>
        </w:rPr>
        <w:t>ed genes</w:t>
      </w:r>
      <w:r w:rsidRPr="00E46404">
        <w:rPr>
          <w:rFonts w:ascii="Times New Roman" w:hAnsi="Times New Roman" w:cs="Times New Roman"/>
          <w:b/>
          <w:bCs/>
          <w:sz w:val="24"/>
          <w:szCs w:val="28"/>
        </w:rPr>
        <w:t xml:space="preserve">. </w:t>
      </w:r>
      <w:r w:rsidR="00694426" w:rsidRPr="00694426">
        <w:rPr>
          <w:rFonts w:ascii="Times New Roman" w:hAnsi="Times New Roman" w:cs="Times New Roman" w:hint="eastAsia"/>
          <w:b/>
          <w:bCs/>
          <w:sz w:val="24"/>
          <w:szCs w:val="28"/>
        </w:rPr>
        <w:t>A</w:t>
      </w:r>
      <w:r w:rsidR="000545D0" w:rsidRPr="000545D0">
        <w:t xml:space="preserve"> </w:t>
      </w:r>
      <w:r w:rsidR="000545D0" w:rsidRPr="000545D0">
        <w:rPr>
          <w:rFonts w:ascii="Times New Roman" w:hAnsi="Times New Roman" w:cs="Times New Roman"/>
          <w:sz w:val="24"/>
          <w:szCs w:val="28"/>
        </w:rPr>
        <w:t xml:space="preserve">Interaction of overexpressed HPIP with overexpressed </w:t>
      </w:r>
      <w:r w:rsidR="00E24208">
        <w:rPr>
          <w:rFonts w:ascii="Times New Roman" w:hAnsi="Times New Roman" w:cs="Times New Roman"/>
          <w:sz w:val="24"/>
          <w:szCs w:val="28"/>
        </w:rPr>
        <w:t>H</w:t>
      </w:r>
      <w:r w:rsidR="00E24208" w:rsidRPr="00E24208">
        <w:rPr>
          <w:rFonts w:ascii="Times New Roman" w:hAnsi="Times New Roman" w:cs="Times New Roman"/>
          <w:sz w:val="24"/>
          <w:szCs w:val="28"/>
        </w:rPr>
        <w:t>PIP</w:t>
      </w:r>
      <w:r w:rsidR="000545D0" w:rsidRPr="00E24208">
        <w:rPr>
          <w:rFonts w:ascii="Times New Roman" w:hAnsi="Times New Roman" w:cs="Times New Roman"/>
          <w:sz w:val="24"/>
          <w:szCs w:val="28"/>
        </w:rPr>
        <w:t xml:space="preserve"> or ER</w:t>
      </w:r>
      <w:r w:rsidR="00E24208" w:rsidRPr="00E24208">
        <w:rPr>
          <w:rFonts w:ascii="Times New Roman" w:hAnsi="Times New Roman" w:cs="Times New Roman"/>
          <w:sz w:val="24"/>
          <w:szCs w:val="28"/>
        </w:rPr>
        <w:t>α</w:t>
      </w:r>
      <w:r w:rsidR="000545D0" w:rsidRPr="00E24208">
        <w:rPr>
          <w:rFonts w:ascii="Times New Roman" w:hAnsi="Times New Roman" w:cs="Times New Roman"/>
          <w:sz w:val="24"/>
          <w:szCs w:val="28"/>
        </w:rPr>
        <w:t xml:space="preserve"> in </w:t>
      </w:r>
      <w:r w:rsidR="000545D0" w:rsidRPr="000545D0">
        <w:rPr>
          <w:rFonts w:ascii="Times New Roman" w:hAnsi="Times New Roman" w:cs="Times New Roman"/>
          <w:sz w:val="24"/>
          <w:szCs w:val="28"/>
        </w:rPr>
        <w:t xml:space="preserve">mammalian cells. </w:t>
      </w:r>
      <w:r w:rsidR="00E24208">
        <w:rPr>
          <w:rFonts w:ascii="Times New Roman" w:hAnsi="Times New Roman" w:cs="Times New Roman"/>
          <w:sz w:val="24"/>
          <w:szCs w:val="28"/>
        </w:rPr>
        <w:t>MCF-7</w:t>
      </w:r>
      <w:r w:rsidR="000545D0" w:rsidRPr="000545D0">
        <w:rPr>
          <w:rFonts w:ascii="Times New Roman" w:hAnsi="Times New Roman" w:cs="Times New Roman"/>
          <w:sz w:val="24"/>
          <w:szCs w:val="28"/>
        </w:rPr>
        <w:t xml:space="preserve"> cells were transfected with expression plasmids as</w:t>
      </w:r>
      <w:r w:rsidR="000545D0">
        <w:rPr>
          <w:rFonts w:ascii="Times New Roman" w:hAnsi="Times New Roman" w:cs="Times New Roman" w:hint="eastAsia"/>
          <w:sz w:val="24"/>
          <w:szCs w:val="28"/>
        </w:rPr>
        <w:t xml:space="preserve"> </w:t>
      </w:r>
      <w:r w:rsidR="000545D0" w:rsidRPr="000545D0">
        <w:rPr>
          <w:rFonts w:ascii="Times New Roman" w:hAnsi="Times New Roman" w:cs="Times New Roman"/>
          <w:sz w:val="24"/>
          <w:szCs w:val="28"/>
        </w:rPr>
        <w:t>indicated. Immunoprecipitation (IP) was</w:t>
      </w:r>
      <w:r w:rsidR="000545D0">
        <w:rPr>
          <w:rFonts w:ascii="Times New Roman" w:hAnsi="Times New Roman" w:cs="Times New Roman" w:hint="eastAsia"/>
          <w:sz w:val="24"/>
          <w:szCs w:val="28"/>
        </w:rPr>
        <w:t xml:space="preserve"> </w:t>
      </w:r>
      <w:r w:rsidR="000545D0" w:rsidRPr="000545D0">
        <w:rPr>
          <w:rFonts w:ascii="Times New Roman" w:hAnsi="Times New Roman" w:cs="Times New Roman"/>
          <w:sz w:val="24"/>
          <w:szCs w:val="28"/>
        </w:rPr>
        <w:t>performed using anti-F</w:t>
      </w:r>
      <w:r w:rsidR="00E54891">
        <w:rPr>
          <w:rFonts w:ascii="Times New Roman" w:hAnsi="Times New Roman" w:cs="Times New Roman"/>
          <w:sz w:val="24"/>
          <w:szCs w:val="28"/>
        </w:rPr>
        <w:t xml:space="preserve">lag </w:t>
      </w:r>
      <w:r w:rsidR="000545D0" w:rsidRPr="000545D0">
        <w:rPr>
          <w:rFonts w:ascii="Times New Roman" w:hAnsi="Times New Roman" w:cs="Times New Roman"/>
          <w:sz w:val="24"/>
          <w:szCs w:val="28"/>
        </w:rPr>
        <w:t>monoclonal antibody, and immunoblotted (IB) with</w:t>
      </w:r>
      <w:r w:rsidR="000545D0">
        <w:rPr>
          <w:rFonts w:ascii="Times New Roman" w:hAnsi="Times New Roman" w:cs="Times New Roman" w:hint="eastAsia"/>
          <w:sz w:val="24"/>
          <w:szCs w:val="28"/>
        </w:rPr>
        <w:t xml:space="preserve"> </w:t>
      </w:r>
      <w:r w:rsidR="00E54891" w:rsidRPr="000545D0">
        <w:rPr>
          <w:rFonts w:ascii="Times New Roman" w:hAnsi="Times New Roman" w:cs="Times New Roman"/>
          <w:sz w:val="24"/>
          <w:szCs w:val="28"/>
        </w:rPr>
        <w:t>anti-F</w:t>
      </w:r>
      <w:r w:rsidR="00E54891">
        <w:rPr>
          <w:rFonts w:ascii="Times New Roman" w:hAnsi="Times New Roman" w:cs="Times New Roman"/>
          <w:sz w:val="24"/>
          <w:szCs w:val="28"/>
        </w:rPr>
        <w:t xml:space="preserve">lag and </w:t>
      </w:r>
      <w:r w:rsidR="000545D0" w:rsidRPr="000545D0">
        <w:rPr>
          <w:rFonts w:ascii="Times New Roman" w:hAnsi="Times New Roman" w:cs="Times New Roman"/>
          <w:sz w:val="24"/>
          <w:szCs w:val="28"/>
        </w:rPr>
        <w:t>a</w:t>
      </w:r>
      <w:r w:rsidR="000545D0" w:rsidRPr="00E54891">
        <w:rPr>
          <w:rFonts w:ascii="Times New Roman" w:hAnsi="Times New Roman" w:cs="Times New Roman"/>
          <w:sz w:val="24"/>
          <w:szCs w:val="28"/>
        </w:rPr>
        <w:t>nti-</w:t>
      </w:r>
      <w:r w:rsidR="00E54891">
        <w:rPr>
          <w:rFonts w:ascii="Times New Roman" w:hAnsi="Times New Roman" w:cs="Times New Roman"/>
          <w:sz w:val="24"/>
          <w:szCs w:val="28"/>
        </w:rPr>
        <w:t xml:space="preserve">HA </w:t>
      </w:r>
      <w:r w:rsidR="00E54891" w:rsidRPr="000545D0">
        <w:rPr>
          <w:rFonts w:ascii="Times New Roman" w:hAnsi="Times New Roman" w:cs="Times New Roman"/>
          <w:sz w:val="24"/>
          <w:szCs w:val="28"/>
        </w:rPr>
        <w:t xml:space="preserve">monoclonal </w:t>
      </w:r>
      <w:r w:rsidR="000545D0" w:rsidRPr="000545D0">
        <w:rPr>
          <w:rFonts w:ascii="Times New Roman" w:hAnsi="Times New Roman" w:cs="Times New Roman"/>
          <w:sz w:val="24"/>
          <w:szCs w:val="28"/>
        </w:rPr>
        <w:t>antibody.</w:t>
      </w:r>
      <w:r w:rsidR="00A44042">
        <w:rPr>
          <w:rFonts w:ascii="Times New Roman" w:hAnsi="Times New Roman" w:cs="Times New Roman"/>
          <w:sz w:val="24"/>
          <w:szCs w:val="28"/>
        </w:rPr>
        <w:t xml:space="preserve"> </w:t>
      </w:r>
      <w:r w:rsidR="00694426" w:rsidRPr="00694426">
        <w:rPr>
          <w:rFonts w:ascii="Times New Roman" w:hAnsi="Times New Roman" w:cs="Times New Roman" w:hint="eastAsia"/>
          <w:b/>
          <w:bCs/>
          <w:sz w:val="24"/>
          <w:szCs w:val="28"/>
        </w:rPr>
        <w:t>B</w:t>
      </w:r>
      <w:r w:rsidR="00694426" w:rsidRPr="00694426">
        <w:rPr>
          <w:rFonts w:ascii="Times New Roman" w:hAnsi="Times New Roman" w:cs="Times New Roman"/>
          <w:bCs/>
          <w:sz w:val="24"/>
          <w:szCs w:val="24"/>
        </w:rPr>
        <w:t xml:space="preserve"> </w:t>
      </w:r>
      <w:r w:rsidR="00A44042">
        <w:rPr>
          <w:rFonts w:ascii="Times New Roman" w:hAnsi="Times New Roman" w:cs="Times New Roman"/>
          <w:bCs/>
          <w:sz w:val="24"/>
          <w:szCs w:val="24"/>
        </w:rPr>
        <w:t>Western blot</w:t>
      </w:r>
      <w:r w:rsidR="00694426" w:rsidRPr="00694426">
        <w:rPr>
          <w:rFonts w:ascii="Times New Roman" w:hAnsi="Times New Roman" w:cs="Times New Roman"/>
          <w:bCs/>
          <w:sz w:val="24"/>
          <w:szCs w:val="24"/>
        </w:rPr>
        <w:t xml:space="preserve"> analysis of ZR75-1 with TXX-1-10 (10 </w:t>
      </w:r>
      <w:r w:rsidR="00694426" w:rsidRPr="00694426">
        <w:rPr>
          <w:rFonts w:ascii="Symbol" w:hAnsi="Symbol" w:cs="Times New Roman"/>
          <w:bCs/>
          <w:sz w:val="24"/>
          <w:szCs w:val="24"/>
        </w:rPr>
        <w:t>m</w:t>
      </w:r>
      <w:r w:rsidR="00694426" w:rsidRPr="00694426">
        <w:rPr>
          <w:rFonts w:ascii="Times New Roman" w:hAnsi="Times New Roman" w:cs="Times New Roman"/>
          <w:bCs/>
          <w:sz w:val="24"/>
          <w:szCs w:val="24"/>
        </w:rPr>
        <w:t xml:space="preserve">M) treatment for 24 h or HPIP </w:t>
      </w:r>
      <w:r w:rsidR="00694426">
        <w:rPr>
          <w:rFonts w:ascii="Times New Roman" w:hAnsi="Times New Roman" w:cs="Times New Roman"/>
          <w:bCs/>
          <w:sz w:val="24"/>
          <w:szCs w:val="24"/>
        </w:rPr>
        <w:t>overexpression</w:t>
      </w:r>
      <w:r w:rsidR="00694426" w:rsidRPr="00694426">
        <w:rPr>
          <w:rFonts w:ascii="Times New Roman" w:hAnsi="Times New Roman" w:cs="Times New Roman"/>
          <w:bCs/>
          <w:sz w:val="24"/>
          <w:szCs w:val="24"/>
        </w:rPr>
        <w:t>.</w:t>
      </w:r>
    </w:p>
    <w:p w14:paraId="70147E14" w14:textId="77777777" w:rsidR="00694426" w:rsidRDefault="00694426" w:rsidP="00986A74">
      <w:pPr>
        <w:spacing w:line="360" w:lineRule="auto"/>
        <w:rPr>
          <w:rFonts w:ascii="Times New Roman" w:hAnsi="Times New Roman" w:cs="Times New Roman"/>
          <w:b/>
          <w:bCs/>
          <w:sz w:val="24"/>
          <w:szCs w:val="28"/>
        </w:rPr>
      </w:pPr>
    </w:p>
    <w:p w14:paraId="24B0059E" w14:textId="6A4735C7" w:rsidR="00E46404" w:rsidRPr="00E46404" w:rsidRDefault="00E46404" w:rsidP="00986A74">
      <w:pPr>
        <w:spacing w:line="360" w:lineRule="auto"/>
        <w:rPr>
          <w:rFonts w:ascii="Times New Roman" w:hAnsi="Times New Roman" w:cs="Times New Roman"/>
          <w:sz w:val="24"/>
          <w:szCs w:val="28"/>
        </w:rPr>
      </w:pPr>
      <w:r w:rsidRPr="00E46404">
        <w:rPr>
          <w:rFonts w:ascii="Times New Roman" w:hAnsi="Times New Roman" w:cs="Times New Roman"/>
          <w:b/>
          <w:bCs/>
          <w:sz w:val="24"/>
          <w:szCs w:val="28"/>
        </w:rPr>
        <w:t>Figure S</w:t>
      </w:r>
      <w:r>
        <w:rPr>
          <w:rFonts w:ascii="Times New Roman" w:hAnsi="Times New Roman" w:cs="Times New Roman"/>
          <w:b/>
          <w:bCs/>
          <w:sz w:val="24"/>
          <w:szCs w:val="28"/>
        </w:rPr>
        <w:t>7</w:t>
      </w:r>
      <w:r w:rsidRPr="00E46404">
        <w:rPr>
          <w:rFonts w:ascii="Times New Roman" w:hAnsi="Times New Roman" w:cs="Times New Roman"/>
          <w:b/>
          <w:bCs/>
          <w:sz w:val="24"/>
          <w:szCs w:val="28"/>
        </w:rPr>
        <w:t xml:space="preserve"> Analysis of genes regulated by TXX-1-10. A-B </w:t>
      </w:r>
      <w:r w:rsidRPr="00E46404">
        <w:rPr>
          <w:rFonts w:ascii="Times New Roman" w:hAnsi="Times New Roman" w:cs="Times New Roman"/>
          <w:sz w:val="24"/>
          <w:szCs w:val="28"/>
        </w:rPr>
        <w:t xml:space="preserve">A volcano plot illustrating differentially regulated gene expression from RNA-seq analysis between the control </w:t>
      </w:r>
      <w:r w:rsidRPr="00E46404">
        <w:rPr>
          <w:rFonts w:ascii="Times New Roman" w:hAnsi="Times New Roman" w:cs="Times New Roman"/>
          <w:sz w:val="24"/>
          <w:szCs w:val="28"/>
        </w:rPr>
        <w:lastRenderedPageBreak/>
        <w:t xml:space="preserve">Vehicle and TXX-1-10 treatment (C) and rimonabant treatment (D), respectively. Genes upregulated and downregulated are shown in red and green, respectively. Values are presented as the log2 of tag counts. Overlay plots of regulated mRNA expression of MDA-MB-231 cells treated with TXX-1-10 (TXX) and rimonabant (SR) treatment. </w:t>
      </w:r>
      <w:r w:rsidRPr="00E46404">
        <w:rPr>
          <w:rFonts w:ascii="Times New Roman" w:hAnsi="Times New Roman" w:cs="Times New Roman"/>
          <w:b/>
          <w:bCs/>
          <w:sz w:val="24"/>
          <w:szCs w:val="28"/>
        </w:rPr>
        <w:t xml:space="preserve">D-H </w:t>
      </w:r>
      <w:r w:rsidRPr="00E46404">
        <w:rPr>
          <w:rFonts w:ascii="Times New Roman" w:hAnsi="Times New Roman" w:cs="Times New Roman"/>
          <w:sz w:val="24"/>
          <w:szCs w:val="28"/>
        </w:rPr>
        <w:t>qRT-PCR validation analysis shows the mRNA expression fold change of DNA replication(D), cell cycle (E), apoptosis (F), cell adhesion(G) and cell migration/invasion/metastasis (H) associated genes with TXX-1-10, rimonabant or vehicle control treatment in ZR75-1 cells. Data shown are mean</w:t>
      </w:r>
      <w:r w:rsidR="007A6E36">
        <w:rPr>
          <w:rFonts w:ascii="Times New Roman" w:hAnsi="Times New Roman" w:cs="Times New Roman"/>
          <w:sz w:val="24"/>
          <w:szCs w:val="28"/>
        </w:rPr>
        <w:t xml:space="preserve"> </w:t>
      </w:r>
      <w:r w:rsidRPr="00E46404">
        <w:rPr>
          <w:rFonts w:ascii="Times New Roman" w:hAnsi="Times New Roman" w:cs="Times New Roman"/>
          <w:sz w:val="24"/>
          <w:szCs w:val="28"/>
        </w:rPr>
        <w:t>±</w:t>
      </w:r>
      <w:r w:rsidR="007A6E36">
        <w:rPr>
          <w:rFonts w:ascii="Times New Roman" w:hAnsi="Times New Roman" w:cs="Times New Roman"/>
          <w:sz w:val="24"/>
          <w:szCs w:val="28"/>
        </w:rPr>
        <w:t xml:space="preserve"> </w:t>
      </w:r>
      <w:r w:rsidRPr="00E46404">
        <w:rPr>
          <w:rFonts w:ascii="Times New Roman" w:hAnsi="Times New Roman" w:cs="Times New Roman"/>
          <w:sz w:val="24"/>
          <w:szCs w:val="28"/>
        </w:rPr>
        <w:t xml:space="preserve">SD of triplicate measurements that have been repeated 3 times with similar results. Statistical significance was assessed by two-tailed Student’s t test. *p &lt; 0.05, **p &lt; 0.01 versus the corresponding control. </w:t>
      </w:r>
    </w:p>
    <w:p w14:paraId="545756AB" w14:textId="77777777" w:rsidR="00E46404" w:rsidRDefault="00E46404" w:rsidP="00986A74">
      <w:pPr>
        <w:spacing w:line="360" w:lineRule="auto"/>
      </w:pPr>
    </w:p>
    <w:sectPr w:rsidR="00E464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3C1D7" w14:textId="77777777" w:rsidR="00B7443D" w:rsidRDefault="00B7443D" w:rsidP="005824E1">
      <w:r>
        <w:separator/>
      </w:r>
    </w:p>
  </w:endnote>
  <w:endnote w:type="continuationSeparator" w:id="0">
    <w:p w14:paraId="62A544CD" w14:textId="77777777" w:rsidR="00B7443D" w:rsidRDefault="00B7443D" w:rsidP="0058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A5D4E" w14:textId="77777777" w:rsidR="00B7443D" w:rsidRDefault="00B7443D" w:rsidP="005824E1">
      <w:r>
        <w:separator/>
      </w:r>
    </w:p>
  </w:footnote>
  <w:footnote w:type="continuationSeparator" w:id="0">
    <w:p w14:paraId="38FBA246" w14:textId="77777777" w:rsidR="00B7443D" w:rsidRDefault="00B7443D" w:rsidP="005824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B9"/>
    <w:rsid w:val="000545D0"/>
    <w:rsid w:val="000F2CF9"/>
    <w:rsid w:val="001F117C"/>
    <w:rsid w:val="004E5775"/>
    <w:rsid w:val="005442E9"/>
    <w:rsid w:val="005824E1"/>
    <w:rsid w:val="00694426"/>
    <w:rsid w:val="006F6CC3"/>
    <w:rsid w:val="007A6E36"/>
    <w:rsid w:val="008711A1"/>
    <w:rsid w:val="00986A74"/>
    <w:rsid w:val="00A10FD2"/>
    <w:rsid w:val="00A12B4D"/>
    <w:rsid w:val="00A44042"/>
    <w:rsid w:val="00A76EB9"/>
    <w:rsid w:val="00A77760"/>
    <w:rsid w:val="00AF3CCE"/>
    <w:rsid w:val="00B7443D"/>
    <w:rsid w:val="00E24208"/>
    <w:rsid w:val="00E46404"/>
    <w:rsid w:val="00E54891"/>
    <w:rsid w:val="00ED6573"/>
    <w:rsid w:val="00F55169"/>
    <w:rsid w:val="00F73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AB1632"/>
  <w15:chartTrackingRefBased/>
  <w15:docId w15:val="{09945957-EC76-4B4A-A210-50C48A49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24E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824E1"/>
    <w:rPr>
      <w:sz w:val="18"/>
      <w:szCs w:val="18"/>
    </w:rPr>
  </w:style>
  <w:style w:type="paragraph" w:styleId="a5">
    <w:name w:val="footer"/>
    <w:basedOn w:val="a"/>
    <w:link w:val="a6"/>
    <w:uiPriority w:val="99"/>
    <w:unhideWhenUsed/>
    <w:rsid w:val="005824E1"/>
    <w:pPr>
      <w:tabs>
        <w:tab w:val="center" w:pos="4153"/>
        <w:tab w:val="right" w:pos="8306"/>
      </w:tabs>
      <w:snapToGrid w:val="0"/>
      <w:jc w:val="left"/>
    </w:pPr>
    <w:rPr>
      <w:sz w:val="18"/>
      <w:szCs w:val="18"/>
    </w:rPr>
  </w:style>
  <w:style w:type="character" w:customStyle="1" w:styleId="a6">
    <w:name w:val="页脚 字符"/>
    <w:basedOn w:val="a0"/>
    <w:link w:val="a5"/>
    <w:uiPriority w:val="99"/>
    <w:rsid w:val="005824E1"/>
    <w:rPr>
      <w:sz w:val="18"/>
      <w:szCs w:val="18"/>
    </w:rPr>
  </w:style>
  <w:style w:type="paragraph" w:styleId="a7">
    <w:name w:val="List Paragraph"/>
    <w:basedOn w:val="a"/>
    <w:uiPriority w:val="34"/>
    <w:qFormat/>
    <w:rsid w:val="00E4640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21037">
      <w:bodyDiv w:val="1"/>
      <w:marLeft w:val="0"/>
      <w:marRight w:val="0"/>
      <w:marTop w:val="0"/>
      <w:marBottom w:val="0"/>
      <w:divBdr>
        <w:top w:val="none" w:sz="0" w:space="0" w:color="auto"/>
        <w:left w:val="none" w:sz="0" w:space="0" w:color="auto"/>
        <w:bottom w:val="none" w:sz="0" w:space="0" w:color="auto"/>
        <w:right w:val="none" w:sz="0" w:space="0" w:color="auto"/>
      </w:divBdr>
    </w:div>
    <w:div w:id="777598993">
      <w:bodyDiv w:val="1"/>
      <w:marLeft w:val="0"/>
      <w:marRight w:val="0"/>
      <w:marTop w:val="0"/>
      <w:marBottom w:val="0"/>
      <w:divBdr>
        <w:top w:val="none" w:sz="0" w:space="0" w:color="auto"/>
        <w:left w:val="none" w:sz="0" w:space="0" w:color="auto"/>
        <w:bottom w:val="none" w:sz="0" w:space="0" w:color="auto"/>
        <w:right w:val="none" w:sz="0" w:space="0" w:color="auto"/>
      </w:divBdr>
    </w:div>
    <w:div w:id="831601429">
      <w:bodyDiv w:val="1"/>
      <w:marLeft w:val="0"/>
      <w:marRight w:val="0"/>
      <w:marTop w:val="0"/>
      <w:marBottom w:val="0"/>
      <w:divBdr>
        <w:top w:val="none" w:sz="0" w:space="0" w:color="auto"/>
        <w:left w:val="none" w:sz="0" w:space="0" w:color="auto"/>
        <w:bottom w:val="none" w:sz="0" w:space="0" w:color="auto"/>
        <w:right w:val="none" w:sz="0" w:space="0" w:color="auto"/>
      </w:divBdr>
    </w:div>
    <w:div w:id="1631470168">
      <w:bodyDiv w:val="1"/>
      <w:marLeft w:val="0"/>
      <w:marRight w:val="0"/>
      <w:marTop w:val="0"/>
      <w:marBottom w:val="0"/>
      <w:divBdr>
        <w:top w:val="none" w:sz="0" w:space="0" w:color="auto"/>
        <w:left w:val="none" w:sz="0" w:space="0" w:color="auto"/>
        <w:bottom w:val="none" w:sz="0" w:space="0" w:color="auto"/>
        <w:right w:val="none" w:sz="0" w:space="0" w:color="auto"/>
      </w:divBdr>
    </w:div>
    <w:div w:id="203456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745</Words>
  <Characters>4253</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a31038</dc:creator>
  <cp:keywords/>
  <dc:description/>
  <cp:lastModifiedBy>lihua ding</cp:lastModifiedBy>
  <cp:revision>16</cp:revision>
  <dcterms:created xsi:type="dcterms:W3CDTF">2021-06-03T14:40:00Z</dcterms:created>
  <dcterms:modified xsi:type="dcterms:W3CDTF">2021-06-07T14:59:00Z</dcterms:modified>
</cp:coreProperties>
</file>