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712" w:rsidRPr="00AC6712" w:rsidRDefault="00AC6712" w:rsidP="00AC6712">
      <w:pPr>
        <w:spacing w:after="0" w:line="240" w:lineRule="auto"/>
        <w:rPr>
          <w:rFonts w:ascii="Book Antiqua" w:hAnsi="Book Antiqua" w:cs="Times New Roman"/>
          <w:sz w:val="20"/>
          <w:szCs w:val="20"/>
        </w:rPr>
      </w:pPr>
      <w:bookmarkStart w:id="0" w:name="_GoBack"/>
      <w:bookmarkEnd w:id="0"/>
      <w:r>
        <w:rPr>
          <w:rFonts w:ascii="Book Antiqua" w:hAnsi="Book Antiqua" w:cs="Times New Roman"/>
          <w:b/>
          <w:bCs/>
          <w:sz w:val="20"/>
          <w:szCs w:val="20"/>
        </w:rPr>
        <w:t>Supplementary t</w:t>
      </w:r>
      <w:r w:rsidRPr="00AC6712">
        <w:rPr>
          <w:rFonts w:ascii="Book Antiqua" w:hAnsi="Book Antiqua" w:cs="Times New Roman"/>
          <w:b/>
          <w:bCs/>
          <w:sz w:val="20"/>
          <w:szCs w:val="20"/>
        </w:rPr>
        <w:t>able 1.</w:t>
      </w:r>
      <w:r w:rsidRPr="00AC6712">
        <w:rPr>
          <w:rFonts w:ascii="Book Antiqua" w:hAnsi="Book Antiqua" w:cs="Times New Roman"/>
          <w:sz w:val="20"/>
          <w:szCs w:val="20"/>
        </w:rPr>
        <w:t xml:space="preserve">The sequence of primers for confirmation of </w:t>
      </w:r>
      <w:r w:rsidRPr="00AC6712">
        <w:rPr>
          <w:rFonts w:ascii="Book Antiqua" w:hAnsi="Book Antiqua" w:cs="Times New Roman"/>
          <w:i/>
          <w:iCs/>
          <w:sz w:val="20"/>
          <w:szCs w:val="20"/>
        </w:rPr>
        <w:t>A.muciniphila</w:t>
      </w:r>
    </w:p>
    <w:tbl>
      <w:tblPr>
        <w:tblW w:w="1377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8"/>
        <w:gridCol w:w="3261"/>
        <w:gridCol w:w="3118"/>
        <w:gridCol w:w="1559"/>
        <w:gridCol w:w="1843"/>
        <w:gridCol w:w="1276"/>
      </w:tblGrid>
      <w:tr w:rsidR="00AC6712" w:rsidRPr="00AC6712" w:rsidTr="00AC6712">
        <w:trPr>
          <w:trHeight w:val="236"/>
        </w:trPr>
        <w:tc>
          <w:tcPr>
            <w:tcW w:w="2718" w:type="dxa"/>
            <w:shd w:val="clear" w:color="auto" w:fill="auto"/>
          </w:tcPr>
          <w:p w:rsidR="00AC6712" w:rsidRPr="00AC6712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0"/>
                <w:szCs w:val="20"/>
              </w:rPr>
            </w:pPr>
            <w:r w:rsidRPr="00AC6712">
              <w:rPr>
                <w:rFonts w:ascii="Book Antiqua" w:hAnsi="Book Antiqua" w:cs="Times New Roman"/>
                <w:sz w:val="20"/>
                <w:szCs w:val="20"/>
              </w:rPr>
              <w:t>Primer Name</w:t>
            </w:r>
          </w:p>
        </w:tc>
        <w:tc>
          <w:tcPr>
            <w:tcW w:w="3261" w:type="dxa"/>
            <w:shd w:val="clear" w:color="auto" w:fill="auto"/>
          </w:tcPr>
          <w:p w:rsidR="00AC6712" w:rsidRPr="00AC6712" w:rsidRDefault="00AC6712" w:rsidP="009961B9">
            <w:pPr>
              <w:spacing w:after="0" w:line="240" w:lineRule="auto"/>
              <w:rPr>
                <w:rStyle w:val="SubtleEmphasis"/>
                <w:rFonts w:ascii="Book Antiqua" w:hAnsi="Book Antiqua" w:cs="Times New Roman"/>
                <w:i w:val="0"/>
                <w:iCs w:val="0"/>
                <w:sz w:val="20"/>
                <w:szCs w:val="20"/>
              </w:rPr>
            </w:pPr>
            <w:r w:rsidRPr="00AC6712">
              <w:rPr>
                <w:rStyle w:val="SubtleEmphasis"/>
                <w:rFonts w:ascii="Book Antiqua" w:hAnsi="Book Antiqua" w:cs="Times New Roman"/>
                <w:sz w:val="20"/>
                <w:szCs w:val="20"/>
              </w:rPr>
              <w:t xml:space="preserve">           </w:t>
            </w:r>
            <w:r w:rsidRPr="00AC6712">
              <w:rPr>
                <w:rStyle w:val="SubtleEmphasis"/>
                <w:rFonts w:ascii="Book Antiqua" w:hAnsi="Book Antiqua" w:cs="Times New Roman"/>
                <w:i w:val="0"/>
                <w:iCs w:val="0"/>
                <w:sz w:val="20"/>
                <w:szCs w:val="20"/>
              </w:rPr>
              <w:t xml:space="preserve">Forward Primer                                            </w:t>
            </w:r>
          </w:p>
        </w:tc>
        <w:tc>
          <w:tcPr>
            <w:tcW w:w="3118" w:type="dxa"/>
            <w:shd w:val="clear" w:color="auto" w:fill="auto"/>
          </w:tcPr>
          <w:p w:rsidR="00AC6712" w:rsidRPr="00AC6712" w:rsidRDefault="00AC6712" w:rsidP="009961B9">
            <w:pPr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  <w:r w:rsidRPr="00AC6712">
              <w:rPr>
                <w:rFonts w:ascii="Book Antiqua" w:hAnsi="Book Antiqua" w:cs="Times New Roman"/>
                <w:sz w:val="20"/>
                <w:szCs w:val="20"/>
              </w:rPr>
              <w:t xml:space="preserve">         Reverse Primer</w:t>
            </w:r>
          </w:p>
        </w:tc>
        <w:tc>
          <w:tcPr>
            <w:tcW w:w="1559" w:type="dxa"/>
            <w:shd w:val="clear" w:color="auto" w:fill="auto"/>
          </w:tcPr>
          <w:p w:rsidR="00AC6712" w:rsidRPr="00AC6712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0"/>
                <w:szCs w:val="20"/>
              </w:rPr>
            </w:pPr>
            <w:r w:rsidRPr="00AC6712">
              <w:rPr>
                <w:rFonts w:ascii="Book Antiqua" w:hAnsi="Book Antiqua" w:cs="Times New Roman"/>
                <w:sz w:val="20"/>
                <w:szCs w:val="20"/>
              </w:rPr>
              <w:t>Product Size</w:t>
            </w:r>
          </w:p>
        </w:tc>
        <w:tc>
          <w:tcPr>
            <w:tcW w:w="1843" w:type="dxa"/>
            <w:shd w:val="clear" w:color="auto" w:fill="auto"/>
          </w:tcPr>
          <w:p w:rsidR="00AC6712" w:rsidRPr="00AC6712" w:rsidRDefault="00AC6712" w:rsidP="00AC6712">
            <w:pPr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  <w:r w:rsidRPr="00AC6712">
              <w:rPr>
                <w:rFonts w:ascii="Book Antiqua" w:hAnsi="Book Antiqua" w:cs="Times New Roman"/>
                <w:sz w:val="20"/>
                <w:szCs w:val="20"/>
              </w:rPr>
              <w:t>Annealing Tm</w:t>
            </w:r>
          </w:p>
        </w:tc>
        <w:tc>
          <w:tcPr>
            <w:tcW w:w="1276" w:type="dxa"/>
            <w:shd w:val="clear" w:color="auto" w:fill="auto"/>
          </w:tcPr>
          <w:p w:rsidR="00AC6712" w:rsidRPr="00AC6712" w:rsidRDefault="00AC6712" w:rsidP="009961B9">
            <w:pPr>
              <w:spacing w:after="0" w:line="240" w:lineRule="auto"/>
              <w:rPr>
                <w:rFonts w:ascii="Book Antiqua" w:hAnsi="Book Antiqua" w:cs="Times New Roman"/>
                <w:sz w:val="20"/>
                <w:szCs w:val="20"/>
              </w:rPr>
            </w:pPr>
            <w:r w:rsidRPr="00AC6712">
              <w:rPr>
                <w:rFonts w:ascii="Book Antiqua" w:hAnsi="Book Antiqua" w:cs="Times New Roman"/>
                <w:sz w:val="20"/>
                <w:szCs w:val="20"/>
              </w:rPr>
              <w:t>Reference</w:t>
            </w:r>
          </w:p>
        </w:tc>
      </w:tr>
      <w:tr w:rsidR="00AC6712" w:rsidRPr="00AC6712" w:rsidTr="00AC6712">
        <w:trPr>
          <w:trHeight w:val="242"/>
        </w:trPr>
        <w:tc>
          <w:tcPr>
            <w:tcW w:w="2718" w:type="dxa"/>
            <w:shd w:val="clear" w:color="auto" w:fill="auto"/>
          </w:tcPr>
          <w:p w:rsidR="00AC6712" w:rsidRPr="00AC6712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  <w:sz w:val="20"/>
                <w:szCs w:val="20"/>
              </w:rPr>
            </w:pPr>
            <w:r w:rsidRPr="00AC6712">
              <w:rPr>
                <w:rFonts w:ascii="Book Antiqua" w:hAnsi="Book Antiqua" w:cs="Times New Roman"/>
                <w:i/>
                <w:iCs/>
                <w:color w:val="auto"/>
                <w:sz w:val="20"/>
                <w:szCs w:val="20"/>
              </w:rPr>
              <w:t xml:space="preserve">A.muciniphila </w:t>
            </w:r>
            <w:r w:rsidRPr="00AC6712">
              <w:rPr>
                <w:rFonts w:ascii="Book Antiqua" w:hAnsi="Book Antiqua" w:cs="Times New Roman"/>
                <w:color w:val="auto"/>
                <w:sz w:val="20"/>
                <w:szCs w:val="20"/>
              </w:rPr>
              <w:t>16s rRNA</w:t>
            </w:r>
          </w:p>
        </w:tc>
        <w:tc>
          <w:tcPr>
            <w:tcW w:w="3261" w:type="dxa"/>
            <w:shd w:val="clear" w:color="auto" w:fill="auto"/>
          </w:tcPr>
          <w:p w:rsidR="00AC6712" w:rsidRPr="00AC6712" w:rsidRDefault="00AC6712" w:rsidP="009961B9">
            <w:pPr>
              <w:pStyle w:val="DecimalAligned"/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 w:rsidRPr="00AC6712">
              <w:rPr>
                <w:rFonts w:ascii="Book Antiqua" w:hAnsi="Book Antiqua"/>
                <w:sz w:val="20"/>
                <w:szCs w:val="20"/>
              </w:rPr>
              <w:t>CAGCACGTGAAGGTGGGGAC</w:t>
            </w:r>
          </w:p>
        </w:tc>
        <w:tc>
          <w:tcPr>
            <w:tcW w:w="3118" w:type="dxa"/>
            <w:shd w:val="clear" w:color="auto" w:fill="auto"/>
          </w:tcPr>
          <w:p w:rsidR="00AC6712" w:rsidRPr="00AC6712" w:rsidRDefault="00AC6712" w:rsidP="009961B9">
            <w:pPr>
              <w:pStyle w:val="DecimalAligned"/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  <w:r w:rsidRPr="00AC6712">
              <w:rPr>
                <w:rFonts w:ascii="Book Antiqua" w:hAnsi="Book Antiqua"/>
                <w:sz w:val="20"/>
                <w:szCs w:val="20"/>
              </w:rPr>
              <w:t>CCTTGCGGTTGGCTTCAGAT</w:t>
            </w:r>
          </w:p>
        </w:tc>
        <w:tc>
          <w:tcPr>
            <w:tcW w:w="1559" w:type="dxa"/>
            <w:shd w:val="clear" w:color="auto" w:fill="auto"/>
          </w:tcPr>
          <w:p w:rsidR="00AC6712" w:rsidRPr="00AC6712" w:rsidRDefault="00AC6712" w:rsidP="009961B9">
            <w:pPr>
              <w:pStyle w:val="DecimalAligned"/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AC6712">
              <w:rPr>
                <w:rFonts w:ascii="Book Antiqua" w:hAnsi="Book Antiqua"/>
                <w:sz w:val="20"/>
                <w:szCs w:val="20"/>
              </w:rPr>
              <w:t>316</w:t>
            </w:r>
          </w:p>
        </w:tc>
        <w:tc>
          <w:tcPr>
            <w:tcW w:w="1843" w:type="dxa"/>
            <w:shd w:val="clear" w:color="auto" w:fill="auto"/>
          </w:tcPr>
          <w:p w:rsidR="00AC6712" w:rsidRPr="00AC6712" w:rsidRDefault="00AC6712" w:rsidP="009961B9">
            <w:pPr>
              <w:pStyle w:val="DecimalAligned"/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AC6712">
              <w:rPr>
                <w:rFonts w:ascii="Book Antiqua" w:hAnsi="Book Antiqua"/>
                <w:sz w:val="20"/>
                <w:szCs w:val="20"/>
              </w:rPr>
              <w:t>59°c</w:t>
            </w:r>
          </w:p>
        </w:tc>
        <w:tc>
          <w:tcPr>
            <w:tcW w:w="1276" w:type="dxa"/>
            <w:shd w:val="clear" w:color="auto" w:fill="auto"/>
          </w:tcPr>
          <w:p w:rsidR="00AC6712" w:rsidRPr="00AC6712" w:rsidRDefault="00712357" w:rsidP="009961B9">
            <w:pPr>
              <w:pStyle w:val="DecimalAligned"/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noProof/>
                <w:sz w:val="20"/>
                <w:szCs w:val="20"/>
              </w:rPr>
              <w:t>1</w:t>
            </w:r>
          </w:p>
        </w:tc>
      </w:tr>
    </w:tbl>
    <w:p w:rsidR="00D92D66" w:rsidRDefault="00D92D66"/>
    <w:p w:rsidR="00AC6712" w:rsidRDefault="00AC6712"/>
    <w:p w:rsidR="00AC6712" w:rsidRPr="00E2163C" w:rsidRDefault="00AC6712" w:rsidP="00AC6712">
      <w:pPr>
        <w:spacing w:after="0" w:line="240" w:lineRule="auto"/>
        <w:rPr>
          <w:rFonts w:ascii="Book Antiqua" w:hAnsi="Book Antiqua" w:cs="Times New Roman"/>
          <w:sz w:val="24"/>
          <w:szCs w:val="24"/>
          <w:rtl/>
          <w:lang w:val="en-US"/>
        </w:rPr>
      </w:pPr>
      <w:r w:rsidRPr="00AC6712">
        <w:rPr>
          <w:rFonts w:ascii="Book Antiqua" w:hAnsi="Book Antiqua" w:cs="Times New Roman"/>
          <w:b/>
          <w:bCs/>
          <w:sz w:val="24"/>
          <w:szCs w:val="24"/>
        </w:rPr>
        <w:t>Supplementary t</w:t>
      </w:r>
      <w:r>
        <w:rPr>
          <w:rFonts w:ascii="Book Antiqua" w:hAnsi="Book Antiqua" w:cs="Times New Roman"/>
          <w:b/>
          <w:bCs/>
          <w:sz w:val="24"/>
          <w:szCs w:val="24"/>
        </w:rPr>
        <w:t>able 2</w:t>
      </w:r>
      <w:r w:rsidRPr="00E2163C">
        <w:rPr>
          <w:rFonts w:ascii="Book Antiqua" w:hAnsi="Book Antiqua" w:cs="Times New Roman"/>
          <w:b/>
          <w:bCs/>
          <w:sz w:val="24"/>
          <w:szCs w:val="24"/>
          <w:lang w:val="en-US"/>
        </w:rPr>
        <w:t xml:space="preserve">. </w:t>
      </w:r>
      <w:r w:rsidRPr="00E2163C">
        <w:rPr>
          <w:rFonts w:ascii="Book Antiqua" w:hAnsi="Book Antiqua" w:cs="Times New Roman"/>
          <w:sz w:val="24"/>
          <w:szCs w:val="24"/>
          <w:lang w:val="en-US"/>
        </w:rPr>
        <w:t>Specifications of Primers Used in RT-qPCRs</w:t>
      </w:r>
    </w:p>
    <w:tbl>
      <w:tblPr>
        <w:tblW w:w="14225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150"/>
        <w:gridCol w:w="3150"/>
        <w:gridCol w:w="1742"/>
        <w:gridCol w:w="1843"/>
        <w:gridCol w:w="1842"/>
        <w:gridCol w:w="1418"/>
      </w:tblGrid>
      <w:tr w:rsidR="00AC6712" w:rsidRPr="00E2163C" w:rsidTr="00AC6712">
        <w:trPr>
          <w:trHeight w:val="462"/>
        </w:trPr>
        <w:tc>
          <w:tcPr>
            <w:tcW w:w="1080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</w:rPr>
              <w:t>Primer Name</w:t>
            </w:r>
          </w:p>
        </w:tc>
        <w:tc>
          <w:tcPr>
            <w:tcW w:w="3150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Style w:val="SubtleEmphasis"/>
                <w:rFonts w:ascii="Book Antiqua" w:hAnsi="Book Antiqua" w:cs="Times New Roman"/>
                <w:i w:val="0"/>
                <w:iCs w:val="0"/>
                <w:sz w:val="24"/>
                <w:szCs w:val="24"/>
              </w:rPr>
            </w:pPr>
            <w:r w:rsidRPr="00E2163C">
              <w:rPr>
                <w:rStyle w:val="SubtleEmphasis"/>
                <w:rFonts w:ascii="Book Antiqua" w:hAnsi="Book Antiqua" w:cs="Times New Roman"/>
                <w:sz w:val="24"/>
                <w:szCs w:val="24"/>
              </w:rPr>
              <w:t>Forward Primer</w:t>
            </w:r>
          </w:p>
        </w:tc>
        <w:tc>
          <w:tcPr>
            <w:tcW w:w="3150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</w:rPr>
              <w:t>Reverse Primer</w:t>
            </w:r>
          </w:p>
        </w:tc>
        <w:tc>
          <w:tcPr>
            <w:tcW w:w="1742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</w:rPr>
              <w:t>Product Size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</w:rPr>
              <w:t>(bp)</w:t>
            </w:r>
          </w:p>
        </w:tc>
        <w:tc>
          <w:tcPr>
            <w:tcW w:w="1843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</w:rPr>
              <w:t>Annealing Tm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</w:rPr>
              <w:t>(°c)</w:t>
            </w:r>
          </w:p>
        </w:tc>
        <w:tc>
          <w:tcPr>
            <w:tcW w:w="1842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</w:rPr>
              <w:t>GeneBank No.</w:t>
            </w:r>
          </w:p>
        </w:tc>
        <w:tc>
          <w:tcPr>
            <w:tcW w:w="1418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</w:rPr>
              <w:t>Reference</w:t>
            </w:r>
          </w:p>
        </w:tc>
      </w:tr>
      <w:tr w:rsidR="00AC6712" w:rsidRPr="00E2163C" w:rsidTr="00AC6712">
        <w:trPr>
          <w:trHeight w:val="1655"/>
        </w:trPr>
        <w:tc>
          <w:tcPr>
            <w:tcW w:w="1080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  <w:t>GAPDH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  <w:t>CBR1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  <w:t>CBR2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  <w:t>FAAH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  <w:t>PPAR α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i/>
                <w:iCs/>
                <w:sz w:val="24"/>
                <w:szCs w:val="24"/>
                <w:rtl/>
                <w:lang w:val="en-US"/>
              </w:rPr>
            </w:pPr>
            <w:r w:rsidRPr="00E2163C"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  <w:t>PPAR β/δ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i/>
                <w:iCs/>
                <w:sz w:val="24"/>
                <w:szCs w:val="24"/>
                <w:lang w:val="en-US"/>
              </w:rPr>
              <w:t xml:space="preserve">PPAR </w:t>
            </w:r>
            <w:r w:rsidRPr="00E2163C">
              <w:rPr>
                <w:rFonts w:ascii="Cambria" w:hAnsi="Cambria" w:cs="Cambria"/>
                <w:i/>
                <w:iCs/>
                <w:sz w:val="24"/>
                <w:szCs w:val="24"/>
                <w:lang w:val="en-US"/>
              </w:rPr>
              <w:t>ϒ</w:t>
            </w:r>
          </w:p>
        </w:tc>
        <w:tc>
          <w:tcPr>
            <w:tcW w:w="3150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  <w:t>AACAGCCTCAAGATCATCAGCAA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  <w:t>GATGTCTTTGGGAAGATGAACAAGC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</w:pPr>
            <w:r w:rsidRPr="00E2163C"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  <w:t>GCTATCCACCTTCCTACAAAGC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  <w:t>GTGGTGCTGACCCCCATGCTGG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CGGTGACTTATCCTGTGGTCC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ACTGAGTTCGCCAAGAGCATCGGGATCAGCTCCGTGGATCT</w:t>
            </w:r>
          </w:p>
        </w:tc>
        <w:tc>
          <w:tcPr>
            <w:tcW w:w="3150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  <w:t>GATGGCATGGACTGTGGTCAT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  <w:t>AGACGTGTCTGTGGACACAGACATGG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</w:pPr>
            <w:r w:rsidRPr="00E2163C"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  <w:t>CTCAGCAGGTAGTCATTGGGG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color w:val="auto"/>
                <w:sz w:val="24"/>
                <w:szCs w:val="24"/>
                <w:shd w:val="clear" w:color="auto" w:fill="auto"/>
                <w:lang w:val="en-US" w:bidi="ar-SA"/>
              </w:rPr>
              <w:t>TCCACCTCCCGCATGAACCGCAGACA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CCGCAGATTCTACATTCGATGTT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ACGCCATACTTGAGAAGGGTAATGCACTTTGGTACTCTTGAAGTT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</w:p>
        </w:tc>
        <w:tc>
          <w:tcPr>
            <w:tcW w:w="1742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120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309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172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302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79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77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186</w:t>
            </w:r>
          </w:p>
        </w:tc>
        <w:tc>
          <w:tcPr>
            <w:tcW w:w="1843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55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64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55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60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55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55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842" w:type="dxa"/>
            <w:shd w:val="clear" w:color="auto" w:fill="auto"/>
          </w:tcPr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001256799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001365874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001841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001441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001393947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001171819</w:t>
            </w:r>
          </w:p>
          <w:p w:rsidR="00AC6712" w:rsidRPr="00E2163C" w:rsidRDefault="00AC6712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 w:rsidRPr="00E2163C">
              <w:rPr>
                <w:rFonts w:ascii="Book Antiqua" w:hAnsi="Book Antiqua" w:cs="Times New Roman"/>
                <w:sz w:val="24"/>
                <w:szCs w:val="24"/>
                <w:lang w:val="en-US"/>
              </w:rPr>
              <w:t>001354666</w:t>
            </w:r>
          </w:p>
        </w:tc>
        <w:tc>
          <w:tcPr>
            <w:tcW w:w="1418" w:type="dxa"/>
            <w:shd w:val="clear" w:color="auto" w:fill="auto"/>
          </w:tcPr>
          <w:p w:rsidR="00AC6712" w:rsidRPr="00E2163C" w:rsidRDefault="00712357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2</w:t>
            </w:r>
          </w:p>
          <w:p w:rsidR="00AC6712" w:rsidRPr="00E2163C" w:rsidRDefault="00712357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3</w:t>
            </w:r>
          </w:p>
          <w:p w:rsidR="00AC6712" w:rsidRPr="00E2163C" w:rsidRDefault="00712357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4</w:t>
            </w:r>
          </w:p>
          <w:p w:rsidR="00AC6712" w:rsidRPr="00E2163C" w:rsidRDefault="00712357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  <w:p w:rsidR="00AC6712" w:rsidRPr="00E2163C" w:rsidRDefault="00712357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6</w:t>
            </w:r>
          </w:p>
          <w:p w:rsidR="00AC6712" w:rsidRPr="00E2163C" w:rsidRDefault="00712357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7</w:t>
            </w:r>
          </w:p>
          <w:p w:rsidR="00AC6712" w:rsidRPr="00E2163C" w:rsidRDefault="00712357" w:rsidP="009961B9">
            <w:pPr>
              <w:spacing w:after="0" w:line="240" w:lineRule="auto"/>
              <w:jc w:val="center"/>
              <w:rPr>
                <w:rFonts w:ascii="Book Antiqua" w:hAnsi="Book Antiqua" w:cs="Times New Roman"/>
                <w:sz w:val="24"/>
                <w:szCs w:val="24"/>
                <w:lang w:val="en-US"/>
              </w:rPr>
            </w:pPr>
            <w:r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  <w:lang w:val="en-US"/>
              </w:rPr>
              <w:t>8</w:t>
            </w:r>
          </w:p>
        </w:tc>
      </w:tr>
    </w:tbl>
    <w:p w:rsidR="00AC6712" w:rsidRDefault="00AC6712"/>
    <w:p w:rsidR="008A2C4A" w:rsidRPr="008A2C4A" w:rsidRDefault="008A2C4A">
      <w:pPr>
        <w:rPr>
          <w:rFonts w:ascii="Book Antiqua" w:hAnsi="Book Antiqua"/>
          <w:b/>
          <w:bCs/>
          <w:noProof/>
          <w:sz w:val="24"/>
          <w:szCs w:val="24"/>
        </w:rPr>
      </w:pPr>
      <w:r w:rsidRPr="008A2C4A">
        <w:rPr>
          <w:rFonts w:ascii="Book Antiqua" w:hAnsi="Book Antiqua"/>
          <w:b/>
          <w:bCs/>
          <w:noProof/>
          <w:sz w:val="24"/>
          <w:szCs w:val="24"/>
        </w:rPr>
        <w:t xml:space="preserve">References </w:t>
      </w:r>
    </w:p>
    <w:p w:rsidR="008A2C4A" w:rsidRPr="00DE15E1" w:rsidRDefault="008A2C4A" w:rsidP="008A2C4A">
      <w:pPr>
        <w:pStyle w:val="EndNoteBibliography"/>
        <w:spacing w:after="0"/>
        <w:ind w:left="720" w:hanging="720"/>
        <w:rPr>
          <w:rFonts w:ascii="Book Antiqua" w:hAnsi="Book Antiqua"/>
          <w:sz w:val="24"/>
          <w:szCs w:val="24"/>
        </w:rPr>
      </w:pPr>
      <w:r w:rsidRPr="00DE15E1">
        <w:rPr>
          <w:rFonts w:ascii="Book Antiqua" w:hAnsi="Book Antiqua"/>
          <w:sz w:val="24"/>
          <w:szCs w:val="24"/>
        </w:rPr>
        <w:t>1</w:t>
      </w:r>
      <w:r w:rsidRPr="00DE15E1">
        <w:rPr>
          <w:rFonts w:ascii="Book Antiqua" w:hAnsi="Book Antiqua"/>
          <w:sz w:val="24"/>
          <w:szCs w:val="24"/>
        </w:rPr>
        <w:tab/>
        <w:t>Zhai, R.</w:t>
      </w:r>
      <w:r w:rsidRPr="00DE15E1">
        <w:rPr>
          <w:rFonts w:ascii="Book Antiqua" w:hAnsi="Book Antiqua"/>
          <w:i/>
          <w:sz w:val="24"/>
          <w:szCs w:val="24"/>
        </w:rPr>
        <w:t xml:space="preserve"> et al.</w:t>
      </w:r>
      <w:r w:rsidRPr="00DE15E1">
        <w:rPr>
          <w:rFonts w:ascii="Book Antiqua" w:hAnsi="Book Antiqua"/>
          <w:sz w:val="24"/>
          <w:szCs w:val="24"/>
        </w:rPr>
        <w:t xml:space="preserve"> Strain-specific anti-inflammatory properties of two Akkermansia muciniphila strains on chronic colitis in mice. </w:t>
      </w:r>
      <w:r w:rsidRPr="00DE15E1">
        <w:rPr>
          <w:rFonts w:ascii="Book Antiqua" w:hAnsi="Book Antiqua"/>
          <w:i/>
          <w:sz w:val="24"/>
          <w:szCs w:val="24"/>
        </w:rPr>
        <w:t>Frontiers in cellular and infection microbiology</w:t>
      </w:r>
      <w:r w:rsidRPr="00DE15E1">
        <w:rPr>
          <w:rFonts w:ascii="Book Antiqua" w:hAnsi="Book Antiqua"/>
          <w:sz w:val="24"/>
          <w:szCs w:val="24"/>
        </w:rPr>
        <w:t xml:space="preserve"> </w:t>
      </w:r>
      <w:r w:rsidRPr="00DE15E1">
        <w:rPr>
          <w:rFonts w:ascii="Book Antiqua" w:hAnsi="Book Antiqua"/>
          <w:b/>
          <w:sz w:val="24"/>
          <w:szCs w:val="24"/>
        </w:rPr>
        <w:t>9</w:t>
      </w:r>
      <w:r w:rsidRPr="00DE15E1">
        <w:rPr>
          <w:rFonts w:ascii="Book Antiqua" w:hAnsi="Book Antiqua"/>
          <w:sz w:val="24"/>
          <w:szCs w:val="24"/>
        </w:rPr>
        <w:t>, 239 (2019).</w:t>
      </w:r>
    </w:p>
    <w:p w:rsidR="008A2C4A" w:rsidRPr="00DE15E1" w:rsidRDefault="008A2C4A" w:rsidP="008A2C4A">
      <w:pPr>
        <w:pStyle w:val="EndNoteBibliography"/>
        <w:spacing w:after="0"/>
        <w:ind w:left="720" w:hanging="720"/>
        <w:rPr>
          <w:rFonts w:ascii="Book Antiqua" w:hAnsi="Book Antiqua"/>
          <w:sz w:val="24"/>
          <w:szCs w:val="24"/>
        </w:rPr>
      </w:pPr>
      <w:r w:rsidRPr="00DE15E1">
        <w:rPr>
          <w:rFonts w:ascii="Book Antiqua" w:hAnsi="Book Antiqua"/>
          <w:sz w:val="24"/>
          <w:szCs w:val="24"/>
        </w:rPr>
        <w:lastRenderedPageBreak/>
        <w:t>2</w:t>
      </w:r>
      <w:r w:rsidRPr="00DE15E1">
        <w:rPr>
          <w:rFonts w:ascii="Book Antiqua" w:hAnsi="Book Antiqua"/>
          <w:sz w:val="24"/>
          <w:szCs w:val="24"/>
        </w:rPr>
        <w:tab/>
        <w:t xml:space="preserve">Ebnerasuly, F., Hajebrahimi, Z., Tabaie, S. M. &amp; Darbouy, M. Effect of simulated microgravity conditions on differentiation of adipose derived stem cells towards fibroblasts using connective tissue growth factor. </w:t>
      </w:r>
      <w:r w:rsidRPr="00DE15E1">
        <w:rPr>
          <w:rFonts w:ascii="Book Antiqua" w:hAnsi="Book Antiqua"/>
          <w:i/>
          <w:sz w:val="24"/>
          <w:szCs w:val="24"/>
        </w:rPr>
        <w:t>Iranian journal of biotechnology</w:t>
      </w:r>
      <w:r w:rsidRPr="00DE15E1">
        <w:rPr>
          <w:rFonts w:ascii="Book Antiqua" w:hAnsi="Book Antiqua"/>
          <w:sz w:val="24"/>
          <w:szCs w:val="24"/>
        </w:rPr>
        <w:t xml:space="preserve"> </w:t>
      </w:r>
      <w:r w:rsidRPr="00DE15E1">
        <w:rPr>
          <w:rFonts w:ascii="Book Antiqua" w:hAnsi="Book Antiqua"/>
          <w:b/>
          <w:sz w:val="24"/>
          <w:szCs w:val="24"/>
        </w:rPr>
        <w:t>15</w:t>
      </w:r>
      <w:r w:rsidRPr="00DE15E1">
        <w:rPr>
          <w:rFonts w:ascii="Book Antiqua" w:hAnsi="Book Antiqua"/>
          <w:sz w:val="24"/>
          <w:szCs w:val="24"/>
        </w:rPr>
        <w:t>, 241 (2017).</w:t>
      </w:r>
    </w:p>
    <w:p w:rsidR="008A2C4A" w:rsidRPr="00DE15E1" w:rsidRDefault="008A2C4A" w:rsidP="008A2C4A">
      <w:pPr>
        <w:pStyle w:val="EndNoteBibliography"/>
        <w:spacing w:after="0"/>
        <w:ind w:left="720" w:hanging="720"/>
        <w:rPr>
          <w:rFonts w:ascii="Book Antiqua" w:hAnsi="Book Antiqua"/>
          <w:sz w:val="24"/>
          <w:szCs w:val="24"/>
        </w:rPr>
      </w:pPr>
      <w:r w:rsidRPr="00DE15E1">
        <w:rPr>
          <w:rFonts w:ascii="Book Antiqua" w:hAnsi="Book Antiqua"/>
          <w:sz w:val="24"/>
          <w:szCs w:val="24"/>
        </w:rPr>
        <w:t>3</w:t>
      </w:r>
      <w:r w:rsidRPr="00DE15E1">
        <w:rPr>
          <w:rFonts w:ascii="Book Antiqua" w:hAnsi="Book Antiqua"/>
          <w:sz w:val="24"/>
          <w:szCs w:val="24"/>
        </w:rPr>
        <w:tab/>
        <w:t>Sarnataro, D.</w:t>
      </w:r>
      <w:r w:rsidRPr="00DE15E1">
        <w:rPr>
          <w:rFonts w:ascii="Book Antiqua" w:hAnsi="Book Antiqua"/>
          <w:i/>
          <w:sz w:val="24"/>
          <w:szCs w:val="24"/>
        </w:rPr>
        <w:t xml:space="preserve"> et al.</w:t>
      </w:r>
      <w:r w:rsidRPr="00DE15E1">
        <w:rPr>
          <w:rFonts w:ascii="Book Antiqua" w:hAnsi="Book Antiqua"/>
          <w:sz w:val="24"/>
          <w:szCs w:val="24"/>
        </w:rPr>
        <w:t xml:space="preserve"> Plasma membrane and lysosomal localization of CB1 cannabinoid receptor are dependent on lipid rafts and regulated by anandamide in human breast cancer cells. </w:t>
      </w:r>
      <w:r w:rsidRPr="00DE15E1">
        <w:rPr>
          <w:rFonts w:ascii="Book Antiqua" w:hAnsi="Book Antiqua"/>
          <w:i/>
          <w:sz w:val="24"/>
          <w:szCs w:val="24"/>
        </w:rPr>
        <w:t>FEBS letters</w:t>
      </w:r>
      <w:r w:rsidRPr="00DE15E1">
        <w:rPr>
          <w:rFonts w:ascii="Book Antiqua" w:hAnsi="Book Antiqua"/>
          <w:sz w:val="24"/>
          <w:szCs w:val="24"/>
        </w:rPr>
        <w:t xml:space="preserve"> </w:t>
      </w:r>
      <w:r w:rsidRPr="00DE15E1">
        <w:rPr>
          <w:rFonts w:ascii="Book Antiqua" w:hAnsi="Book Antiqua"/>
          <w:b/>
          <w:sz w:val="24"/>
          <w:szCs w:val="24"/>
        </w:rPr>
        <w:t>579</w:t>
      </w:r>
      <w:r w:rsidRPr="00DE15E1">
        <w:rPr>
          <w:rFonts w:ascii="Book Antiqua" w:hAnsi="Book Antiqua"/>
          <w:sz w:val="24"/>
          <w:szCs w:val="24"/>
        </w:rPr>
        <w:t>, 6343-6349 (2005).</w:t>
      </w:r>
    </w:p>
    <w:p w:rsidR="008A2C4A" w:rsidRPr="00DE15E1" w:rsidRDefault="008A2C4A" w:rsidP="008A2C4A">
      <w:pPr>
        <w:pStyle w:val="EndNoteBibliography"/>
        <w:spacing w:after="0"/>
        <w:ind w:left="720" w:hanging="720"/>
        <w:rPr>
          <w:rFonts w:ascii="Book Antiqua" w:hAnsi="Book Antiqua"/>
          <w:sz w:val="24"/>
          <w:szCs w:val="24"/>
        </w:rPr>
      </w:pPr>
      <w:r w:rsidRPr="00DE15E1">
        <w:rPr>
          <w:rFonts w:ascii="Book Antiqua" w:hAnsi="Book Antiqua"/>
          <w:sz w:val="24"/>
          <w:szCs w:val="24"/>
        </w:rPr>
        <w:t>4</w:t>
      </w:r>
      <w:r w:rsidRPr="00DE15E1">
        <w:rPr>
          <w:rFonts w:ascii="Book Antiqua" w:hAnsi="Book Antiqua"/>
          <w:sz w:val="24"/>
          <w:szCs w:val="24"/>
        </w:rPr>
        <w:tab/>
        <w:t>Aragão, L. G. H.</w:t>
      </w:r>
      <w:r w:rsidRPr="00DE15E1">
        <w:rPr>
          <w:rFonts w:ascii="Book Antiqua" w:hAnsi="Book Antiqua"/>
          <w:i/>
          <w:sz w:val="24"/>
          <w:szCs w:val="24"/>
        </w:rPr>
        <w:t xml:space="preserve"> et al.</w:t>
      </w:r>
      <w:r w:rsidRPr="00DE15E1">
        <w:rPr>
          <w:rFonts w:ascii="Book Antiqua" w:hAnsi="Book Antiqua"/>
          <w:sz w:val="24"/>
          <w:szCs w:val="24"/>
        </w:rPr>
        <w:t xml:space="preserve"> A cannabinoid receptor agonist shows anti-inflammatory and survival properties in human SARS-CoV-2-infected iPSC-derived cardiomyocytes. </w:t>
      </w:r>
      <w:r w:rsidRPr="00DE15E1">
        <w:rPr>
          <w:rFonts w:ascii="Book Antiqua" w:hAnsi="Book Antiqua"/>
          <w:i/>
          <w:sz w:val="24"/>
          <w:szCs w:val="24"/>
        </w:rPr>
        <w:t>bioRxiv</w:t>
      </w:r>
      <w:r w:rsidRPr="00DE15E1">
        <w:rPr>
          <w:rFonts w:ascii="Book Antiqua" w:hAnsi="Book Antiqua"/>
          <w:sz w:val="24"/>
          <w:szCs w:val="24"/>
        </w:rPr>
        <w:t xml:space="preserve"> (2021).</w:t>
      </w:r>
    </w:p>
    <w:p w:rsidR="008A2C4A" w:rsidRPr="00DE15E1" w:rsidRDefault="008A2C4A" w:rsidP="008A2C4A">
      <w:pPr>
        <w:pStyle w:val="EndNoteBibliography"/>
        <w:spacing w:after="0"/>
        <w:ind w:left="720" w:hanging="720"/>
        <w:rPr>
          <w:rFonts w:ascii="Book Antiqua" w:hAnsi="Book Antiqua"/>
          <w:sz w:val="24"/>
          <w:szCs w:val="24"/>
        </w:rPr>
      </w:pPr>
      <w:r w:rsidRPr="00DE15E1">
        <w:rPr>
          <w:rFonts w:ascii="Book Antiqua" w:hAnsi="Book Antiqua"/>
          <w:sz w:val="24"/>
          <w:szCs w:val="24"/>
        </w:rPr>
        <w:t>5</w:t>
      </w:r>
      <w:r w:rsidRPr="00DE15E1">
        <w:rPr>
          <w:rFonts w:ascii="Book Antiqua" w:hAnsi="Book Antiqua"/>
          <w:sz w:val="24"/>
          <w:szCs w:val="24"/>
        </w:rPr>
        <w:tab/>
        <w:t>Ligresti, A.</w:t>
      </w:r>
      <w:r w:rsidRPr="00DE15E1">
        <w:rPr>
          <w:rFonts w:ascii="Book Antiqua" w:hAnsi="Book Antiqua"/>
          <w:i/>
          <w:sz w:val="24"/>
          <w:szCs w:val="24"/>
        </w:rPr>
        <w:t xml:space="preserve"> et al.</w:t>
      </w:r>
      <w:r w:rsidRPr="00DE15E1">
        <w:rPr>
          <w:rFonts w:ascii="Book Antiqua" w:hAnsi="Book Antiqua"/>
          <w:sz w:val="24"/>
          <w:szCs w:val="24"/>
        </w:rPr>
        <w:t xml:space="preserve"> Possible endocannabinoid control of colorectal cancer growth. </w:t>
      </w:r>
      <w:r w:rsidRPr="00DE15E1">
        <w:rPr>
          <w:rFonts w:ascii="Book Antiqua" w:hAnsi="Book Antiqua"/>
          <w:i/>
          <w:sz w:val="24"/>
          <w:szCs w:val="24"/>
        </w:rPr>
        <w:t>Gastroenterology</w:t>
      </w:r>
      <w:r w:rsidRPr="00DE15E1">
        <w:rPr>
          <w:rFonts w:ascii="Book Antiqua" w:hAnsi="Book Antiqua"/>
          <w:sz w:val="24"/>
          <w:szCs w:val="24"/>
        </w:rPr>
        <w:t xml:space="preserve"> </w:t>
      </w:r>
      <w:r w:rsidRPr="00DE15E1">
        <w:rPr>
          <w:rFonts w:ascii="Book Antiqua" w:hAnsi="Book Antiqua"/>
          <w:b/>
          <w:sz w:val="24"/>
          <w:szCs w:val="24"/>
        </w:rPr>
        <w:t>125</w:t>
      </w:r>
      <w:r w:rsidRPr="00DE15E1">
        <w:rPr>
          <w:rFonts w:ascii="Book Antiqua" w:hAnsi="Book Antiqua"/>
          <w:sz w:val="24"/>
          <w:szCs w:val="24"/>
        </w:rPr>
        <w:t>, 677-687 (2003).</w:t>
      </w:r>
    </w:p>
    <w:p w:rsidR="008A2C4A" w:rsidRPr="00DE15E1" w:rsidRDefault="008A2C4A" w:rsidP="008A2C4A">
      <w:pPr>
        <w:pStyle w:val="EndNoteBibliography"/>
        <w:spacing w:after="0"/>
        <w:ind w:left="720" w:hanging="720"/>
        <w:rPr>
          <w:rFonts w:ascii="Book Antiqua" w:hAnsi="Book Antiqua"/>
          <w:sz w:val="24"/>
          <w:szCs w:val="24"/>
        </w:rPr>
      </w:pPr>
      <w:r w:rsidRPr="00DE15E1">
        <w:rPr>
          <w:rFonts w:ascii="Book Antiqua" w:hAnsi="Book Antiqua"/>
          <w:sz w:val="24"/>
          <w:szCs w:val="24"/>
        </w:rPr>
        <w:t>6</w:t>
      </w:r>
      <w:r w:rsidRPr="00DE15E1">
        <w:rPr>
          <w:rFonts w:ascii="Book Antiqua" w:hAnsi="Book Antiqua"/>
          <w:sz w:val="24"/>
          <w:szCs w:val="24"/>
        </w:rPr>
        <w:tab/>
        <w:t>Guan, C.-Y.</w:t>
      </w:r>
      <w:r w:rsidRPr="00DE15E1">
        <w:rPr>
          <w:rFonts w:ascii="Book Antiqua" w:hAnsi="Book Antiqua"/>
          <w:i/>
          <w:sz w:val="24"/>
          <w:szCs w:val="24"/>
        </w:rPr>
        <w:t xml:space="preserve"> et al.</w:t>
      </w:r>
      <w:r w:rsidRPr="00DE15E1">
        <w:rPr>
          <w:rFonts w:ascii="Book Antiqua" w:hAnsi="Book Antiqua"/>
          <w:sz w:val="24"/>
          <w:szCs w:val="24"/>
        </w:rPr>
        <w:t xml:space="preserve"> Down-Regulated miR-21 in Gestational Diabetes Mellitus Placenta Induces PPAR-α to Inhibit Cell Proliferation and Infiltration. </w:t>
      </w:r>
      <w:r w:rsidRPr="00DE15E1">
        <w:rPr>
          <w:rFonts w:ascii="Book Antiqua" w:hAnsi="Book Antiqua"/>
          <w:i/>
          <w:sz w:val="24"/>
          <w:szCs w:val="24"/>
        </w:rPr>
        <w:t>Diabetes, Metabolic Syndrome and Obesity: Targets and Therapy</w:t>
      </w:r>
      <w:r w:rsidRPr="00DE15E1">
        <w:rPr>
          <w:rFonts w:ascii="Book Antiqua" w:hAnsi="Book Antiqua"/>
          <w:sz w:val="24"/>
          <w:szCs w:val="24"/>
        </w:rPr>
        <w:t xml:space="preserve"> </w:t>
      </w:r>
      <w:r w:rsidRPr="00DE15E1">
        <w:rPr>
          <w:rFonts w:ascii="Book Antiqua" w:hAnsi="Book Antiqua"/>
          <w:b/>
          <w:sz w:val="24"/>
          <w:szCs w:val="24"/>
        </w:rPr>
        <w:t>13</w:t>
      </w:r>
      <w:r w:rsidRPr="00DE15E1">
        <w:rPr>
          <w:rFonts w:ascii="Book Antiqua" w:hAnsi="Book Antiqua"/>
          <w:sz w:val="24"/>
          <w:szCs w:val="24"/>
        </w:rPr>
        <w:t>, 3009 (2020).</w:t>
      </w:r>
    </w:p>
    <w:p w:rsidR="008A2C4A" w:rsidRPr="00DE15E1" w:rsidRDefault="008A2C4A" w:rsidP="008A2C4A">
      <w:pPr>
        <w:pStyle w:val="EndNoteBibliography"/>
        <w:spacing w:after="0"/>
        <w:ind w:left="720" w:hanging="720"/>
        <w:rPr>
          <w:rFonts w:ascii="Book Antiqua" w:hAnsi="Book Antiqua"/>
          <w:sz w:val="24"/>
          <w:szCs w:val="24"/>
        </w:rPr>
      </w:pPr>
      <w:r w:rsidRPr="00DE15E1">
        <w:rPr>
          <w:rFonts w:ascii="Book Antiqua" w:hAnsi="Book Antiqua"/>
          <w:sz w:val="24"/>
          <w:szCs w:val="24"/>
        </w:rPr>
        <w:t>7</w:t>
      </w:r>
      <w:r w:rsidRPr="00DE15E1">
        <w:rPr>
          <w:rFonts w:ascii="Book Antiqua" w:hAnsi="Book Antiqua"/>
          <w:sz w:val="24"/>
          <w:szCs w:val="24"/>
        </w:rPr>
        <w:tab/>
        <w:t>Wyckelsma, V. L.</w:t>
      </w:r>
      <w:r w:rsidRPr="00DE15E1">
        <w:rPr>
          <w:rFonts w:ascii="Book Antiqua" w:hAnsi="Book Antiqua"/>
          <w:i/>
          <w:sz w:val="24"/>
          <w:szCs w:val="24"/>
        </w:rPr>
        <w:t xml:space="preserve"> et al.</w:t>
      </w:r>
      <w:r w:rsidRPr="00DE15E1">
        <w:rPr>
          <w:rFonts w:ascii="Book Antiqua" w:hAnsi="Book Antiqua"/>
          <w:sz w:val="24"/>
          <w:szCs w:val="24"/>
        </w:rPr>
        <w:t xml:space="preserve"> Vitamin c and e treatment blunts sprint interval training–induced changes in inflammatory mediator-, calcium-, and mitochondria-related signaling in recreationally active elderly humans. </w:t>
      </w:r>
      <w:r w:rsidRPr="00DE15E1">
        <w:rPr>
          <w:rFonts w:ascii="Book Antiqua" w:hAnsi="Book Antiqua"/>
          <w:i/>
          <w:sz w:val="24"/>
          <w:szCs w:val="24"/>
        </w:rPr>
        <w:t>Antioxidants</w:t>
      </w:r>
      <w:r w:rsidRPr="00DE15E1">
        <w:rPr>
          <w:rFonts w:ascii="Book Antiqua" w:hAnsi="Book Antiqua"/>
          <w:sz w:val="24"/>
          <w:szCs w:val="24"/>
        </w:rPr>
        <w:t xml:space="preserve"> </w:t>
      </w:r>
      <w:r w:rsidRPr="00DE15E1">
        <w:rPr>
          <w:rFonts w:ascii="Book Antiqua" w:hAnsi="Book Antiqua"/>
          <w:b/>
          <w:sz w:val="24"/>
          <w:szCs w:val="24"/>
        </w:rPr>
        <w:t>9</w:t>
      </w:r>
      <w:r w:rsidRPr="00DE15E1">
        <w:rPr>
          <w:rFonts w:ascii="Book Antiqua" w:hAnsi="Book Antiqua"/>
          <w:sz w:val="24"/>
          <w:szCs w:val="24"/>
        </w:rPr>
        <w:t>, 879 (2020).</w:t>
      </w:r>
    </w:p>
    <w:p w:rsidR="008A2C4A" w:rsidRDefault="008A2C4A" w:rsidP="008A2C4A">
      <w:pPr>
        <w:pStyle w:val="EndNoteBibliography"/>
        <w:spacing w:after="0"/>
        <w:ind w:left="720" w:hanging="720"/>
        <w:rPr>
          <w:rFonts w:ascii="Book Antiqua" w:hAnsi="Book Antiqua"/>
          <w:sz w:val="24"/>
          <w:szCs w:val="24"/>
        </w:rPr>
      </w:pPr>
      <w:r w:rsidRPr="00DE15E1">
        <w:rPr>
          <w:rFonts w:ascii="Book Antiqua" w:hAnsi="Book Antiqua"/>
          <w:sz w:val="24"/>
          <w:szCs w:val="24"/>
        </w:rPr>
        <w:t>8</w:t>
      </w:r>
      <w:r w:rsidRPr="00DE15E1">
        <w:rPr>
          <w:rFonts w:ascii="Book Antiqua" w:hAnsi="Book Antiqua"/>
          <w:sz w:val="24"/>
          <w:szCs w:val="24"/>
        </w:rPr>
        <w:tab/>
        <w:t xml:space="preserve">Maeba, R. &amp; Nakahara, S.-i. Extrinsic effectors regulating genes for plasmalogen biosynthetic enzymes in HepG2 cells. </w:t>
      </w:r>
      <w:r w:rsidRPr="00DE15E1">
        <w:rPr>
          <w:rFonts w:ascii="Book Antiqua" w:hAnsi="Book Antiqua"/>
          <w:i/>
          <w:sz w:val="24"/>
          <w:szCs w:val="24"/>
        </w:rPr>
        <w:t>Biomed Res Clin Pract</w:t>
      </w:r>
      <w:r w:rsidRPr="00DE15E1">
        <w:rPr>
          <w:rFonts w:ascii="Book Antiqua" w:hAnsi="Book Antiqua"/>
          <w:sz w:val="24"/>
          <w:szCs w:val="24"/>
        </w:rPr>
        <w:t xml:space="preserve"> </w:t>
      </w:r>
      <w:r w:rsidRPr="00DE15E1">
        <w:rPr>
          <w:rFonts w:ascii="Book Antiqua" w:hAnsi="Book Antiqua"/>
          <w:b/>
          <w:sz w:val="24"/>
          <w:szCs w:val="24"/>
        </w:rPr>
        <w:t>2</w:t>
      </w:r>
      <w:r w:rsidRPr="00DE15E1">
        <w:rPr>
          <w:rFonts w:ascii="Book Antiqua" w:hAnsi="Book Antiqua"/>
          <w:sz w:val="24"/>
          <w:szCs w:val="24"/>
        </w:rPr>
        <w:t xml:space="preserve"> (2017).</w:t>
      </w:r>
    </w:p>
    <w:p w:rsidR="008A2C4A" w:rsidRDefault="008A2C4A"/>
    <w:sectPr w:rsidR="008A2C4A" w:rsidSect="00AC6712">
      <w:pgSz w:w="15840" w:h="12240" w:orient="landscape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712"/>
    <w:rsid w:val="00031D07"/>
    <w:rsid w:val="00712357"/>
    <w:rsid w:val="008A2C4A"/>
    <w:rsid w:val="00AC6712"/>
    <w:rsid w:val="00D06A74"/>
    <w:rsid w:val="00D9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712"/>
    <w:pPr>
      <w:jc w:val="both"/>
    </w:pPr>
    <w:rPr>
      <w:rFonts w:ascii="Calibri" w:eastAsia="Calibri" w:hAnsi="Calibri" w:cs="Calibri"/>
      <w:color w:val="000000"/>
      <w:sz w:val="32"/>
      <w:szCs w:val="32"/>
      <w:shd w:val="clear" w:color="auto" w:fill="FFFFFF"/>
      <w:lang w:val="en-GB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AC6712"/>
    <w:pPr>
      <w:tabs>
        <w:tab w:val="decimal" w:pos="360"/>
      </w:tabs>
      <w:spacing w:after="200" w:line="276" w:lineRule="auto"/>
      <w:jc w:val="left"/>
    </w:pPr>
    <w:rPr>
      <w:rFonts w:eastAsia="Times New Roman" w:cs="Times New Roman"/>
      <w:color w:val="auto"/>
      <w:sz w:val="22"/>
      <w:szCs w:val="22"/>
      <w:shd w:val="clear" w:color="auto" w:fill="auto"/>
      <w:lang w:val="en-US" w:bidi="ar-SA"/>
    </w:rPr>
  </w:style>
  <w:style w:type="character" w:styleId="SubtleEmphasis">
    <w:name w:val="Subtle Emphasis"/>
    <w:uiPriority w:val="19"/>
    <w:qFormat/>
    <w:rsid w:val="00AC6712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8A2C4A"/>
    <w:pPr>
      <w:spacing w:line="240" w:lineRule="auto"/>
    </w:pPr>
    <w:rPr>
      <w:noProof/>
      <w:sz w:val="22"/>
    </w:rPr>
  </w:style>
  <w:style w:type="character" w:customStyle="1" w:styleId="EndNoteBibliographyChar">
    <w:name w:val="EndNote Bibliography Char"/>
    <w:link w:val="EndNoteBibliography"/>
    <w:rsid w:val="008A2C4A"/>
    <w:rPr>
      <w:rFonts w:ascii="Calibri" w:eastAsia="Calibri" w:hAnsi="Calibri" w:cs="Calibri"/>
      <w:noProof/>
      <w:color w:val="000000"/>
      <w:szCs w:val="32"/>
      <w:lang w:val="en-GB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712"/>
    <w:pPr>
      <w:jc w:val="both"/>
    </w:pPr>
    <w:rPr>
      <w:rFonts w:ascii="Calibri" w:eastAsia="Calibri" w:hAnsi="Calibri" w:cs="Calibri"/>
      <w:color w:val="000000"/>
      <w:sz w:val="32"/>
      <w:szCs w:val="32"/>
      <w:shd w:val="clear" w:color="auto" w:fill="FFFFFF"/>
      <w:lang w:val="en-GB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AC6712"/>
    <w:pPr>
      <w:tabs>
        <w:tab w:val="decimal" w:pos="360"/>
      </w:tabs>
      <w:spacing w:after="200" w:line="276" w:lineRule="auto"/>
      <w:jc w:val="left"/>
    </w:pPr>
    <w:rPr>
      <w:rFonts w:eastAsia="Times New Roman" w:cs="Times New Roman"/>
      <w:color w:val="auto"/>
      <w:sz w:val="22"/>
      <w:szCs w:val="22"/>
      <w:shd w:val="clear" w:color="auto" w:fill="auto"/>
      <w:lang w:val="en-US" w:bidi="ar-SA"/>
    </w:rPr>
  </w:style>
  <w:style w:type="character" w:styleId="SubtleEmphasis">
    <w:name w:val="Subtle Emphasis"/>
    <w:uiPriority w:val="19"/>
    <w:qFormat/>
    <w:rsid w:val="00AC6712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8A2C4A"/>
    <w:pPr>
      <w:spacing w:line="240" w:lineRule="auto"/>
    </w:pPr>
    <w:rPr>
      <w:noProof/>
      <w:sz w:val="22"/>
    </w:rPr>
  </w:style>
  <w:style w:type="character" w:customStyle="1" w:styleId="EndNoteBibliographyChar">
    <w:name w:val="EndNote Bibliography Char"/>
    <w:link w:val="EndNoteBibliography"/>
    <w:rsid w:val="008A2C4A"/>
    <w:rPr>
      <w:rFonts w:ascii="Calibri" w:eastAsia="Calibri" w:hAnsi="Calibri" w:cs="Calibri"/>
      <w:noProof/>
      <w:color w:val="000000"/>
      <w:szCs w:val="32"/>
      <w:lang w:val="en-GB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abolfazlfateh</dc:creator>
  <cp:lastModifiedBy>Samira Tarashi</cp:lastModifiedBy>
  <cp:revision>2</cp:revision>
  <dcterms:created xsi:type="dcterms:W3CDTF">2022-06-15T02:46:00Z</dcterms:created>
  <dcterms:modified xsi:type="dcterms:W3CDTF">2022-06-15T02:46:00Z</dcterms:modified>
</cp:coreProperties>
</file>