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B942A" w14:textId="582B56D6" w:rsidR="00A31A67" w:rsidRDefault="00846ECB" w:rsidP="00846ECB">
      <w:pPr>
        <w:spacing w:before="360" w:after="120"/>
      </w:pPr>
      <w:r w:rsidRPr="00846ECB">
        <w:drawing>
          <wp:inline distT="0" distB="0" distL="0" distR="0" wp14:anchorId="7E32618D" wp14:editId="388CD80C">
            <wp:extent cx="5943600" cy="3075940"/>
            <wp:effectExtent l="0" t="0" r="0" b="0"/>
            <wp:docPr id="158244755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7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DFD5B1" w14:textId="77777777" w:rsidR="00A31A67" w:rsidRPr="00B80FB0" w:rsidRDefault="00A31A67" w:rsidP="00A31A67">
      <w:pPr>
        <w:spacing w:before="360" w:after="120"/>
        <w:rPr>
          <w:b/>
          <w:bCs/>
        </w:rPr>
      </w:pPr>
      <w:r w:rsidRPr="00B80FB0">
        <w:rPr>
          <w:b/>
          <w:bCs/>
        </w:rPr>
        <w:t>Supplementary Figure S1. Model discrimination across prediction landmarks.</w:t>
      </w:r>
    </w:p>
    <w:p w14:paraId="2E15B740" w14:textId="77777777" w:rsidR="00A31A67" w:rsidRDefault="00A31A67" w:rsidP="001B5638">
      <w:pPr>
        <w:spacing w:before="360" w:after="120"/>
        <w:jc w:val="both"/>
      </w:pPr>
      <w:r>
        <w:t>ROC (top) and precision–recall (bottom) curves for models M1–M5 evaluated at the 30-day (a, b), 6-month (c, d), 1-year (e, f), and 2-year (g, h) landmarks following type 2 diabetes diagnosis. Each model adds a successive layer of information: M1, intrinsic risk features only; M2, laboratory snapshots; M3, medication exposure; M4, longitudinal trajectories; M5, social determinants of health. All models were evaluated on an identical held-out test set under a fixed screening policy. The dashed horizontal line in each precision–recall panel indicates outcome prevalence at that landmark. AUC, area under the receiver operating characteristic curve; AUPRC, area under the precision–recall curve.</w:t>
      </w:r>
    </w:p>
    <w:p w14:paraId="1223E4D3" w14:textId="77777777" w:rsidR="00A31A67" w:rsidRDefault="00A31A67" w:rsidP="00A31A67">
      <w:pPr>
        <w:spacing w:before="360" w:after="120"/>
      </w:pPr>
    </w:p>
    <w:p w14:paraId="060E2C93" w14:textId="77777777" w:rsidR="00A31A67" w:rsidRDefault="00A31A67" w:rsidP="00A31A67">
      <w:pPr>
        <w:spacing w:before="360" w:after="120"/>
      </w:pPr>
    </w:p>
    <w:p w14:paraId="68D0C689" w14:textId="77777777" w:rsidR="00A31A67" w:rsidRDefault="00A31A67" w:rsidP="00A31A67">
      <w:pPr>
        <w:spacing w:before="360" w:after="120"/>
      </w:pPr>
    </w:p>
    <w:p w14:paraId="2C5D6C62" w14:textId="77777777" w:rsidR="00A31A67" w:rsidRDefault="00A31A67" w:rsidP="00A31A67">
      <w:pPr>
        <w:spacing w:before="360" w:after="120"/>
      </w:pPr>
    </w:p>
    <w:p w14:paraId="1713B3AF" w14:textId="77777777" w:rsidR="00A31A67" w:rsidRDefault="00A31A67" w:rsidP="00A31A67">
      <w:pPr>
        <w:spacing w:before="360" w:after="120"/>
      </w:pPr>
    </w:p>
    <w:p w14:paraId="69E1105F" w14:textId="77777777" w:rsidR="00A31A67" w:rsidRDefault="00A31A67" w:rsidP="00A31A67">
      <w:pPr>
        <w:spacing w:before="360" w:after="120"/>
      </w:pPr>
    </w:p>
    <w:p w14:paraId="7A3DF782" w14:textId="77777777" w:rsidR="00A31A67" w:rsidRDefault="00A31A67" w:rsidP="00A31A67">
      <w:pPr>
        <w:spacing w:before="360" w:after="120"/>
      </w:pPr>
    </w:p>
    <w:p w14:paraId="364D1EC1" w14:textId="77777777" w:rsidR="00A31A67" w:rsidRDefault="00A31A67" w:rsidP="00A31A67">
      <w:pPr>
        <w:spacing w:before="360" w:after="120"/>
      </w:pPr>
    </w:p>
    <w:p w14:paraId="47A19493" w14:textId="49100A25" w:rsidR="00A31A67" w:rsidRDefault="00DA3402" w:rsidP="00DA3402">
      <w:pPr>
        <w:spacing w:before="360" w:after="120"/>
      </w:pPr>
      <w:r w:rsidRPr="00DA3402">
        <w:lastRenderedPageBreak/>
        <w:drawing>
          <wp:inline distT="0" distB="0" distL="0" distR="0" wp14:anchorId="73BD33EA" wp14:editId="07620CAA">
            <wp:extent cx="5943600" cy="1882775"/>
            <wp:effectExtent l="0" t="0" r="0" b="3175"/>
            <wp:docPr id="62651988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88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DA9AA" w14:textId="77777777" w:rsidR="00A31A67" w:rsidRPr="00B80FB0" w:rsidRDefault="00A31A67" w:rsidP="00A31A67">
      <w:pPr>
        <w:spacing w:before="360" w:after="120"/>
        <w:rPr>
          <w:b/>
          <w:bCs/>
        </w:rPr>
      </w:pPr>
      <w:r w:rsidRPr="00B80FB0">
        <w:rPr>
          <w:b/>
          <w:bCs/>
        </w:rPr>
        <w:t>Supplementary Figure S2. Decision curve analysis across prediction landmarks.</w:t>
      </w:r>
    </w:p>
    <w:p w14:paraId="18F2A591" w14:textId="77777777" w:rsidR="00A31A67" w:rsidRDefault="00A31A67" w:rsidP="001B5638">
      <w:pPr>
        <w:spacing w:before="360" w:after="120"/>
        <w:jc w:val="both"/>
      </w:pPr>
      <w:r w:rsidRPr="00A26790">
        <w:t xml:space="preserve">Net benefit curves for models M1–M5, treat-all, and treat-none evaluated across a range of threshold probabilities at the 30-day (a), 6-month (b), 1-year (c), and 2-year (d) landmarks following type 2 diabetes diagnosis. Net </w:t>
      </w:r>
      <w:proofErr w:type="gramStart"/>
      <w:r w:rsidRPr="00A26790">
        <w:t>benefit is</w:t>
      </w:r>
      <w:proofErr w:type="gramEnd"/>
      <w:r w:rsidRPr="00A26790">
        <w:t xml:space="preserve"> defined as the true positive rate minus the false positive rate weighted by the odds of the threshold probability. The treat-all strategy assumes all individuals are screen-positive; the treat-</w:t>
      </w:r>
      <w:proofErr w:type="gramStart"/>
      <w:r w:rsidRPr="00A26790">
        <w:t>none</w:t>
      </w:r>
      <w:proofErr w:type="gramEnd"/>
      <w:r w:rsidRPr="00A26790">
        <w:t xml:space="preserve"> strategy assumes none are. Across all landmarks, models incorporating longitudinal trajectories (M4) and social determinants of health (M5) demonstrate consistently higher net benefit than earlier model layers and the treat-all strategy across the full range of clinically relevant thresholds. The incremental advantage of richer information layers over M1 and treat-all widens progressively from the 30-day to the 2-year landmark, reflecting the accumulation of longitudinal clinical signal over time.</w:t>
      </w:r>
    </w:p>
    <w:p w14:paraId="2FC6781B" w14:textId="77777777" w:rsidR="00A31A67" w:rsidRDefault="00A31A67" w:rsidP="00A31A67">
      <w:pPr>
        <w:spacing w:before="360" w:after="120"/>
      </w:pPr>
    </w:p>
    <w:p w14:paraId="6BFA61C6" w14:textId="77777777" w:rsidR="00A31A67" w:rsidRDefault="00A31A67" w:rsidP="00A31A67">
      <w:pPr>
        <w:spacing w:before="360" w:after="120"/>
      </w:pPr>
    </w:p>
    <w:p w14:paraId="7F85CB15" w14:textId="77777777" w:rsidR="00A31A67" w:rsidRDefault="00A31A67" w:rsidP="00A31A67">
      <w:pPr>
        <w:spacing w:before="360" w:after="120"/>
      </w:pPr>
    </w:p>
    <w:p w14:paraId="4ACCE308" w14:textId="77777777" w:rsidR="00A31A67" w:rsidRDefault="00A31A67" w:rsidP="00A31A67">
      <w:pPr>
        <w:spacing w:before="360" w:after="120"/>
      </w:pPr>
    </w:p>
    <w:p w14:paraId="312E943B" w14:textId="77777777" w:rsidR="00A31A67" w:rsidRDefault="00A31A67" w:rsidP="00A31A67">
      <w:pPr>
        <w:spacing w:before="360" w:after="120"/>
      </w:pPr>
    </w:p>
    <w:p w14:paraId="62F96B9B" w14:textId="77777777" w:rsidR="00A31A67" w:rsidRDefault="00A31A67" w:rsidP="00A31A67">
      <w:pPr>
        <w:spacing w:before="360" w:after="120"/>
      </w:pPr>
    </w:p>
    <w:p w14:paraId="15A200CA" w14:textId="77777777" w:rsidR="00A31A67" w:rsidRDefault="00A31A67" w:rsidP="00A31A67">
      <w:pPr>
        <w:spacing w:before="360" w:after="120"/>
      </w:pPr>
    </w:p>
    <w:p w14:paraId="0304F2F1" w14:textId="77777777" w:rsidR="00A31A67" w:rsidRDefault="00A31A67" w:rsidP="00A31A67">
      <w:pPr>
        <w:spacing w:before="80" w:after="60"/>
      </w:pPr>
    </w:p>
    <w:p w14:paraId="6FE8CBCF" w14:textId="77777777" w:rsidR="00A31A67" w:rsidRDefault="00A31A67" w:rsidP="00A31A67">
      <w:pPr>
        <w:spacing w:before="80" w:after="60"/>
      </w:pPr>
    </w:p>
    <w:p w14:paraId="50DFB03F" w14:textId="77777777" w:rsidR="00A31A67" w:rsidRDefault="00A31A67" w:rsidP="00A31A67">
      <w:pPr>
        <w:spacing w:before="80" w:after="60"/>
      </w:pPr>
    </w:p>
    <w:p w14:paraId="30794EF5" w14:textId="77777777" w:rsidR="00A31A67" w:rsidRDefault="00A31A67" w:rsidP="00A31A67">
      <w:pPr>
        <w:spacing w:before="80" w:after="60"/>
      </w:pPr>
    </w:p>
    <w:p w14:paraId="38D6E053" w14:textId="77777777" w:rsidR="00A31A67" w:rsidRDefault="00A31A67" w:rsidP="00A31A67">
      <w:pPr>
        <w:spacing w:before="80" w:after="60"/>
      </w:pPr>
    </w:p>
    <w:p w14:paraId="2668A965" w14:textId="77777777" w:rsidR="00A31A67" w:rsidRDefault="00A31A67" w:rsidP="00A31A67">
      <w:pPr>
        <w:spacing w:before="80" w:after="60"/>
      </w:pPr>
    </w:p>
    <w:p w14:paraId="567E44D2" w14:textId="77777777" w:rsidR="006056D1" w:rsidRPr="00A31A67" w:rsidRDefault="006056D1" w:rsidP="00A31A67"/>
    <w:sectPr w:rsidR="006056D1" w:rsidRPr="00A31A67" w:rsidSect="00A31A67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C5C09" w14:textId="77777777" w:rsidR="006F3F72" w:rsidRDefault="006F3F72" w:rsidP="00C65F1C">
      <w:r>
        <w:separator/>
      </w:r>
    </w:p>
  </w:endnote>
  <w:endnote w:type="continuationSeparator" w:id="0">
    <w:p w14:paraId="3A03781A" w14:textId="77777777" w:rsidR="006F3F72" w:rsidRDefault="006F3F72" w:rsidP="00C65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51873" w14:textId="77777777" w:rsidR="006F3F72" w:rsidRDefault="006F3F72" w:rsidP="00C65F1C">
      <w:r>
        <w:separator/>
      </w:r>
    </w:p>
  </w:footnote>
  <w:footnote w:type="continuationSeparator" w:id="0">
    <w:p w14:paraId="30705B9F" w14:textId="77777777" w:rsidR="006F3F72" w:rsidRDefault="006F3F72" w:rsidP="00C65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E47D69"/>
    <w:multiLevelType w:val="hybridMultilevel"/>
    <w:tmpl w:val="F4062896"/>
    <w:lvl w:ilvl="0" w:tplc="76BC8968">
      <w:start w:val="1"/>
      <w:numFmt w:val="bullet"/>
      <w:lvlText w:val="●"/>
      <w:lvlJc w:val="left"/>
      <w:pPr>
        <w:ind w:left="720" w:hanging="360"/>
      </w:pPr>
    </w:lvl>
    <w:lvl w:ilvl="1" w:tplc="FC90C0FC">
      <w:start w:val="1"/>
      <w:numFmt w:val="bullet"/>
      <w:lvlText w:val="○"/>
      <w:lvlJc w:val="left"/>
      <w:pPr>
        <w:ind w:left="1440" w:hanging="360"/>
      </w:pPr>
    </w:lvl>
    <w:lvl w:ilvl="2" w:tplc="323EF542">
      <w:start w:val="1"/>
      <w:numFmt w:val="bullet"/>
      <w:lvlText w:val="■"/>
      <w:lvlJc w:val="left"/>
      <w:pPr>
        <w:ind w:left="2160" w:hanging="360"/>
      </w:pPr>
    </w:lvl>
    <w:lvl w:ilvl="3" w:tplc="658292AC">
      <w:start w:val="1"/>
      <w:numFmt w:val="bullet"/>
      <w:lvlText w:val="●"/>
      <w:lvlJc w:val="left"/>
      <w:pPr>
        <w:ind w:left="2880" w:hanging="360"/>
      </w:pPr>
    </w:lvl>
    <w:lvl w:ilvl="4" w:tplc="640A4738">
      <w:start w:val="1"/>
      <w:numFmt w:val="bullet"/>
      <w:lvlText w:val="○"/>
      <w:lvlJc w:val="left"/>
      <w:pPr>
        <w:ind w:left="3600" w:hanging="360"/>
      </w:pPr>
    </w:lvl>
    <w:lvl w:ilvl="5" w:tplc="C53C2E5E">
      <w:start w:val="1"/>
      <w:numFmt w:val="bullet"/>
      <w:lvlText w:val="■"/>
      <w:lvlJc w:val="left"/>
      <w:pPr>
        <w:ind w:left="4320" w:hanging="360"/>
      </w:pPr>
    </w:lvl>
    <w:lvl w:ilvl="6" w:tplc="4A1C6204">
      <w:start w:val="1"/>
      <w:numFmt w:val="bullet"/>
      <w:lvlText w:val="●"/>
      <w:lvlJc w:val="left"/>
      <w:pPr>
        <w:ind w:left="5040" w:hanging="360"/>
      </w:pPr>
    </w:lvl>
    <w:lvl w:ilvl="7" w:tplc="C95A10A4">
      <w:start w:val="1"/>
      <w:numFmt w:val="bullet"/>
      <w:lvlText w:val="●"/>
      <w:lvlJc w:val="left"/>
      <w:pPr>
        <w:ind w:left="5760" w:hanging="360"/>
      </w:pPr>
    </w:lvl>
    <w:lvl w:ilvl="8" w:tplc="A02C49FE">
      <w:start w:val="1"/>
      <w:numFmt w:val="bullet"/>
      <w:lvlText w:val="●"/>
      <w:lvlJc w:val="left"/>
      <w:pPr>
        <w:ind w:left="6480" w:hanging="360"/>
      </w:pPr>
    </w:lvl>
  </w:abstractNum>
  <w:num w:numId="1" w16cid:durableId="201931213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D97"/>
    <w:rsid w:val="00020C4C"/>
    <w:rsid w:val="000266F6"/>
    <w:rsid w:val="00043941"/>
    <w:rsid w:val="000443B3"/>
    <w:rsid w:val="00050CC0"/>
    <w:rsid w:val="0007619A"/>
    <w:rsid w:val="000C2E28"/>
    <w:rsid w:val="00127183"/>
    <w:rsid w:val="001924C8"/>
    <w:rsid w:val="001B5638"/>
    <w:rsid w:val="001D7B06"/>
    <w:rsid w:val="001F5D79"/>
    <w:rsid w:val="0021436B"/>
    <w:rsid w:val="00233C63"/>
    <w:rsid w:val="00264DD0"/>
    <w:rsid w:val="002713ED"/>
    <w:rsid w:val="00275AFA"/>
    <w:rsid w:val="0030646F"/>
    <w:rsid w:val="00307A80"/>
    <w:rsid w:val="003168D0"/>
    <w:rsid w:val="003427F8"/>
    <w:rsid w:val="0034567A"/>
    <w:rsid w:val="00345BC5"/>
    <w:rsid w:val="003525BB"/>
    <w:rsid w:val="0036202A"/>
    <w:rsid w:val="00387225"/>
    <w:rsid w:val="003C2110"/>
    <w:rsid w:val="003D7FD6"/>
    <w:rsid w:val="003F7EAB"/>
    <w:rsid w:val="00403ADC"/>
    <w:rsid w:val="00414B65"/>
    <w:rsid w:val="00453987"/>
    <w:rsid w:val="004C3B8F"/>
    <w:rsid w:val="004C4CE5"/>
    <w:rsid w:val="004D42EA"/>
    <w:rsid w:val="00556F81"/>
    <w:rsid w:val="00574140"/>
    <w:rsid w:val="005B28DC"/>
    <w:rsid w:val="005C46FA"/>
    <w:rsid w:val="005D48BF"/>
    <w:rsid w:val="005E7F52"/>
    <w:rsid w:val="006018A7"/>
    <w:rsid w:val="006056D1"/>
    <w:rsid w:val="00613221"/>
    <w:rsid w:val="006218A1"/>
    <w:rsid w:val="00636036"/>
    <w:rsid w:val="00652E04"/>
    <w:rsid w:val="00680DFB"/>
    <w:rsid w:val="006B03A1"/>
    <w:rsid w:val="006B113F"/>
    <w:rsid w:val="006B75F7"/>
    <w:rsid w:val="006C2704"/>
    <w:rsid w:val="006F3F72"/>
    <w:rsid w:val="006F6967"/>
    <w:rsid w:val="0071121C"/>
    <w:rsid w:val="00712057"/>
    <w:rsid w:val="00712CC5"/>
    <w:rsid w:val="007428DF"/>
    <w:rsid w:val="007D5D52"/>
    <w:rsid w:val="007E6EFE"/>
    <w:rsid w:val="00824C40"/>
    <w:rsid w:val="00846ECB"/>
    <w:rsid w:val="00873D31"/>
    <w:rsid w:val="008A53E6"/>
    <w:rsid w:val="008C4AF4"/>
    <w:rsid w:val="008E4EF2"/>
    <w:rsid w:val="009015B0"/>
    <w:rsid w:val="00910ECE"/>
    <w:rsid w:val="0092330C"/>
    <w:rsid w:val="00940EDC"/>
    <w:rsid w:val="0095039D"/>
    <w:rsid w:val="0095234E"/>
    <w:rsid w:val="00956E2D"/>
    <w:rsid w:val="00964574"/>
    <w:rsid w:val="00964F9C"/>
    <w:rsid w:val="00983AE2"/>
    <w:rsid w:val="009A3C9B"/>
    <w:rsid w:val="009B5B79"/>
    <w:rsid w:val="009D3274"/>
    <w:rsid w:val="009E6941"/>
    <w:rsid w:val="00A1562F"/>
    <w:rsid w:val="00A167CF"/>
    <w:rsid w:val="00A26790"/>
    <w:rsid w:val="00A31A67"/>
    <w:rsid w:val="00A41DBA"/>
    <w:rsid w:val="00A4549A"/>
    <w:rsid w:val="00A56AE3"/>
    <w:rsid w:val="00A939D8"/>
    <w:rsid w:val="00AF2BE0"/>
    <w:rsid w:val="00B2500D"/>
    <w:rsid w:val="00B80FB0"/>
    <w:rsid w:val="00B82124"/>
    <w:rsid w:val="00B8740D"/>
    <w:rsid w:val="00BC641E"/>
    <w:rsid w:val="00BF7B9A"/>
    <w:rsid w:val="00C11C46"/>
    <w:rsid w:val="00C318DA"/>
    <w:rsid w:val="00C5315E"/>
    <w:rsid w:val="00C65F1C"/>
    <w:rsid w:val="00C80145"/>
    <w:rsid w:val="00C97DB5"/>
    <w:rsid w:val="00CA24FB"/>
    <w:rsid w:val="00D1174E"/>
    <w:rsid w:val="00DA3402"/>
    <w:rsid w:val="00DC2211"/>
    <w:rsid w:val="00DE2D97"/>
    <w:rsid w:val="00E31AE8"/>
    <w:rsid w:val="00E614FD"/>
    <w:rsid w:val="00E73577"/>
    <w:rsid w:val="00E8730B"/>
    <w:rsid w:val="00E960C9"/>
    <w:rsid w:val="00EC132A"/>
    <w:rsid w:val="00EC7055"/>
    <w:rsid w:val="00ED19D8"/>
    <w:rsid w:val="00F16DC6"/>
    <w:rsid w:val="00FB68D3"/>
    <w:rsid w:val="00FC2411"/>
    <w:rsid w:val="00FC595C"/>
    <w:rsid w:val="00FC746A"/>
    <w:rsid w:val="00FF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E22657"/>
  <w14:defaultImageDpi w14:val="32767"/>
  <w15:docId w15:val="{5FDC17CE-EC74-4536-8EE7-6670989E0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7F8"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link w:val="Heading2Char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link w:val="Heading3Char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link w:val="Heading4Char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link w:val="Heading5Char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link w:val="Heading6Char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link w:val="TitleChar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E7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E7F52"/>
  </w:style>
  <w:style w:type="character" w:customStyle="1" w:styleId="CommentTextChar">
    <w:name w:val="Comment Text Char"/>
    <w:basedOn w:val="DefaultParagraphFont"/>
    <w:link w:val="CommentText"/>
    <w:uiPriority w:val="99"/>
    <w:rsid w:val="005E7F5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F5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65F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5F1C"/>
  </w:style>
  <w:style w:type="paragraph" w:styleId="Footer">
    <w:name w:val="footer"/>
    <w:basedOn w:val="Normal"/>
    <w:link w:val="FooterChar"/>
    <w:uiPriority w:val="99"/>
    <w:unhideWhenUsed/>
    <w:rsid w:val="00C65F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5F1C"/>
  </w:style>
  <w:style w:type="character" w:customStyle="1" w:styleId="Heading1Char">
    <w:name w:val="Heading 1 Char"/>
    <w:basedOn w:val="DefaultParagraphFont"/>
    <w:link w:val="Heading1"/>
    <w:uiPriority w:val="9"/>
    <w:rsid w:val="00A31A67"/>
    <w:rPr>
      <w:color w:val="2E74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1A67"/>
    <w:rPr>
      <w:color w:val="2E74B5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1A67"/>
    <w:rPr>
      <w:color w:val="1F4D78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1A67"/>
    <w:rPr>
      <w:i/>
      <w:iCs/>
      <w:color w:val="2E74B5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1A67"/>
    <w:rPr>
      <w:color w:val="2E74B5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1A67"/>
    <w:rPr>
      <w:color w:val="1F4D78"/>
    </w:rPr>
  </w:style>
  <w:style w:type="character" w:customStyle="1" w:styleId="TitleChar">
    <w:name w:val="Title Char"/>
    <w:basedOn w:val="DefaultParagraphFont"/>
    <w:link w:val="Title"/>
    <w:uiPriority w:val="10"/>
    <w:rsid w:val="00A31A67"/>
    <w:rPr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C8DE40-17E6-42CF-A879-9524E7554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253</Words>
  <Characters>1561</Characters>
  <Application>Microsoft Office Word</Application>
  <DocSecurity>0</DocSecurity>
  <Lines>25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Khattab, Ahmed</cp:lastModifiedBy>
  <cp:revision>8</cp:revision>
  <cp:lastPrinted>2026-04-12T12:24:00Z</cp:lastPrinted>
  <dcterms:created xsi:type="dcterms:W3CDTF">2026-04-15T16:16:00Z</dcterms:created>
  <dcterms:modified xsi:type="dcterms:W3CDTF">2026-04-17T22:18:00Z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2026-03-06T19:16:56Z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0907ceff-9ee1-4973-9d2e-d9c307f65f48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  <property fmtid="{D5CDD505-2E9C-101B-9397-08002B2CF9AE}" pid="10" name="GrammarlyDocumentId">
    <vt:lpwstr>b2bc02be-44ae-49c7-9b49-f8a91d946a5c</vt:lpwstr>
  </property>
</Properties>
</file>