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310"/>
        <w:tblW w:w="5000" w:type="pct"/>
        <w:tblLook w:val="04A0" w:firstRow="1" w:lastRow="0" w:firstColumn="1" w:lastColumn="0" w:noHBand="0" w:noVBand="1"/>
      </w:tblPr>
      <w:tblGrid>
        <w:gridCol w:w="6206"/>
        <w:gridCol w:w="2820"/>
      </w:tblGrid>
      <w:tr w:rsidR="00C91653" w:rsidRPr="00963A16" w14:paraId="4E35A961" w14:textId="77777777" w:rsidTr="00E646B6">
        <w:tc>
          <w:tcPr>
            <w:tcW w:w="3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541DC" w14:textId="77777777" w:rsidR="00C91653" w:rsidRPr="00963A16" w:rsidRDefault="00C91653" w:rsidP="00E646B6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A16">
              <w:rPr>
                <w:rFonts w:ascii="Arial" w:hAnsi="Arial" w:cs="Arial"/>
                <w:b/>
                <w:bCs/>
                <w:sz w:val="22"/>
                <w:szCs w:val="22"/>
              </w:rPr>
              <w:t>Comorbidities</w:t>
            </w:r>
          </w:p>
        </w:tc>
        <w:tc>
          <w:tcPr>
            <w:tcW w:w="15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CC5716" w14:textId="77777777" w:rsidR="00C91653" w:rsidRPr="00963A16" w:rsidRDefault="00C91653" w:rsidP="00E646B6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3A16">
              <w:rPr>
                <w:rFonts w:ascii="Arial" w:hAnsi="Arial" w:cs="Arial"/>
                <w:b/>
                <w:bCs/>
                <w:sz w:val="22"/>
                <w:szCs w:val="22"/>
              </w:rPr>
              <w:t>n (%)</w:t>
            </w:r>
          </w:p>
        </w:tc>
      </w:tr>
      <w:tr w:rsidR="00C91653" w:rsidRPr="00963A16" w14:paraId="3F21584B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  <w:hideMark/>
          </w:tcPr>
          <w:p w14:paraId="7BAFC587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Anxiety/depression</w:t>
            </w:r>
          </w:p>
        </w:tc>
        <w:tc>
          <w:tcPr>
            <w:tcW w:w="1562" w:type="pct"/>
            <w:vAlign w:val="center"/>
          </w:tcPr>
          <w:p w14:paraId="2139BD56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302 (100.00%)</w:t>
            </w:r>
          </w:p>
        </w:tc>
      </w:tr>
      <w:tr w:rsidR="00C91653" w:rsidRPr="00963A16" w14:paraId="6A09FCC6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  <w:hideMark/>
          </w:tcPr>
          <w:p w14:paraId="7D451D18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Arthritis</w:t>
            </w:r>
          </w:p>
        </w:tc>
        <w:tc>
          <w:tcPr>
            <w:tcW w:w="1562" w:type="pct"/>
            <w:vAlign w:val="center"/>
          </w:tcPr>
          <w:p w14:paraId="5F7A187A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9 (2.98%)</w:t>
            </w:r>
          </w:p>
        </w:tc>
      </w:tr>
      <w:tr w:rsidR="00C91653" w:rsidRPr="00963A16" w14:paraId="4A524414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  <w:hideMark/>
          </w:tcPr>
          <w:p w14:paraId="1C332CD2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Cerebrovascular accident or transient ischemic attack</w:t>
            </w:r>
          </w:p>
        </w:tc>
        <w:tc>
          <w:tcPr>
            <w:tcW w:w="1562" w:type="pct"/>
            <w:vAlign w:val="center"/>
          </w:tcPr>
          <w:p w14:paraId="724B358D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1 (0.33%)</w:t>
            </w:r>
          </w:p>
        </w:tc>
      </w:tr>
      <w:tr w:rsidR="00C91653" w:rsidRPr="00963A16" w14:paraId="2ACA6D9C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  <w:hideMark/>
          </w:tcPr>
          <w:p w14:paraId="510A95A5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Chronic obstructive pulmonary disease</w:t>
            </w:r>
          </w:p>
        </w:tc>
        <w:tc>
          <w:tcPr>
            <w:tcW w:w="1562" w:type="pct"/>
            <w:vAlign w:val="center"/>
          </w:tcPr>
          <w:p w14:paraId="1E1BC7BD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4 (1.32%)</w:t>
            </w:r>
          </w:p>
        </w:tc>
      </w:tr>
      <w:tr w:rsidR="00C91653" w:rsidRPr="00963A16" w14:paraId="24A43656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  <w:hideMark/>
          </w:tcPr>
          <w:p w14:paraId="32DBCC3E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Congestive heart failure</w:t>
            </w:r>
          </w:p>
        </w:tc>
        <w:tc>
          <w:tcPr>
            <w:tcW w:w="1562" w:type="pct"/>
            <w:vAlign w:val="center"/>
          </w:tcPr>
          <w:p w14:paraId="353746CF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3 (0.99%)</w:t>
            </w:r>
          </w:p>
        </w:tc>
      </w:tr>
      <w:tr w:rsidR="00C91653" w:rsidRPr="00963A16" w14:paraId="797D9F5B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  <w:hideMark/>
          </w:tcPr>
          <w:p w14:paraId="4AC5517D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Connective tissue disease</w:t>
            </w:r>
          </w:p>
        </w:tc>
        <w:tc>
          <w:tcPr>
            <w:tcW w:w="1562" w:type="pct"/>
            <w:vAlign w:val="center"/>
          </w:tcPr>
          <w:p w14:paraId="0ED416DC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5 (1.66%)</w:t>
            </w:r>
          </w:p>
        </w:tc>
      </w:tr>
      <w:tr w:rsidR="00C91653" w:rsidRPr="00963A16" w14:paraId="0F193F6D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  <w:hideMark/>
          </w:tcPr>
          <w:p w14:paraId="6357510E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Dementia</w:t>
            </w:r>
          </w:p>
        </w:tc>
        <w:tc>
          <w:tcPr>
            <w:tcW w:w="1562" w:type="pct"/>
            <w:vAlign w:val="center"/>
          </w:tcPr>
          <w:p w14:paraId="27CD6E9D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1 (0.33%)</w:t>
            </w:r>
          </w:p>
        </w:tc>
      </w:tr>
      <w:tr w:rsidR="00C91653" w:rsidRPr="00963A16" w14:paraId="7FDCDE81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  <w:hideMark/>
          </w:tcPr>
          <w:p w14:paraId="56A2E986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562" w:type="pct"/>
            <w:vAlign w:val="center"/>
          </w:tcPr>
          <w:p w14:paraId="42E5AAF9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6 (1.99%)</w:t>
            </w:r>
          </w:p>
        </w:tc>
      </w:tr>
      <w:tr w:rsidR="00C91653" w:rsidRPr="00963A16" w14:paraId="61E393C6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57510913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Endocrine thyroid dysfunction</w:t>
            </w:r>
          </w:p>
        </w:tc>
        <w:tc>
          <w:tcPr>
            <w:tcW w:w="1562" w:type="pct"/>
            <w:vAlign w:val="center"/>
          </w:tcPr>
          <w:p w14:paraId="5AD614AA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10 (3.31%)</w:t>
            </w:r>
          </w:p>
        </w:tc>
      </w:tr>
      <w:tr w:rsidR="00C91653" w:rsidRPr="00963A16" w14:paraId="04F5BF40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72A900D9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Epilepsy</w:t>
            </w:r>
          </w:p>
        </w:tc>
        <w:tc>
          <w:tcPr>
            <w:tcW w:w="1562" w:type="pct"/>
            <w:vAlign w:val="center"/>
          </w:tcPr>
          <w:p w14:paraId="58927094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4 (1.32%)</w:t>
            </w:r>
          </w:p>
        </w:tc>
      </w:tr>
      <w:tr w:rsidR="00C91653" w:rsidRPr="00963A16" w14:paraId="4F93DE4F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62B6B9CA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Hemiplegia</w:t>
            </w:r>
          </w:p>
        </w:tc>
        <w:tc>
          <w:tcPr>
            <w:tcW w:w="1562" w:type="pct"/>
            <w:vAlign w:val="center"/>
          </w:tcPr>
          <w:p w14:paraId="1702556C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1 (0.33%)</w:t>
            </w:r>
          </w:p>
        </w:tc>
      </w:tr>
      <w:tr w:rsidR="00C91653" w:rsidRPr="00963A16" w14:paraId="3ECB7623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76C460E0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562" w:type="pct"/>
            <w:vAlign w:val="center"/>
          </w:tcPr>
          <w:p w14:paraId="66C56BF5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22 (7.28%)</w:t>
            </w:r>
          </w:p>
        </w:tc>
      </w:tr>
      <w:tr w:rsidR="00C91653" w:rsidRPr="00963A16" w14:paraId="63997BD9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1E7FF848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Liver disease</w:t>
            </w:r>
          </w:p>
        </w:tc>
        <w:tc>
          <w:tcPr>
            <w:tcW w:w="1562" w:type="pct"/>
            <w:vAlign w:val="center"/>
          </w:tcPr>
          <w:p w14:paraId="2E649449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3 (0.99%)</w:t>
            </w:r>
          </w:p>
        </w:tc>
      </w:tr>
      <w:tr w:rsidR="00C91653" w:rsidRPr="00963A16" w14:paraId="36978151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1231310A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Moderate to severe chronic kidney disease</w:t>
            </w:r>
          </w:p>
        </w:tc>
        <w:tc>
          <w:tcPr>
            <w:tcW w:w="1562" w:type="pct"/>
            <w:vAlign w:val="center"/>
          </w:tcPr>
          <w:p w14:paraId="0433141E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3 (0.99%)</w:t>
            </w:r>
          </w:p>
        </w:tc>
      </w:tr>
      <w:tr w:rsidR="00C91653" w:rsidRPr="00963A16" w14:paraId="2E434928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6D48BFAA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Myocardial infarction</w:t>
            </w:r>
          </w:p>
        </w:tc>
        <w:tc>
          <w:tcPr>
            <w:tcW w:w="1562" w:type="pct"/>
            <w:vAlign w:val="center"/>
          </w:tcPr>
          <w:p w14:paraId="1AEDC24A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1 (0.33%)</w:t>
            </w:r>
          </w:p>
        </w:tc>
      </w:tr>
      <w:tr w:rsidR="00C91653" w:rsidRPr="00963A16" w14:paraId="45CD7E60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665A46D1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Peptic ulcer disease</w:t>
            </w:r>
          </w:p>
        </w:tc>
        <w:tc>
          <w:tcPr>
            <w:tcW w:w="1562" w:type="pct"/>
            <w:vAlign w:val="center"/>
          </w:tcPr>
          <w:p w14:paraId="305B9E1D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3 (0.99%)</w:t>
            </w:r>
          </w:p>
        </w:tc>
      </w:tr>
      <w:tr w:rsidR="00C91653" w:rsidRPr="00963A16" w14:paraId="70EB7F1D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7775F96B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Peripheral vascular disease</w:t>
            </w:r>
          </w:p>
        </w:tc>
        <w:tc>
          <w:tcPr>
            <w:tcW w:w="1562" w:type="pct"/>
            <w:vAlign w:val="center"/>
          </w:tcPr>
          <w:p w14:paraId="03EE8831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1 (0.33%)</w:t>
            </w:r>
          </w:p>
        </w:tc>
      </w:tr>
      <w:tr w:rsidR="00C91653" w:rsidRPr="00963A16" w14:paraId="5D747406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noWrap/>
          </w:tcPr>
          <w:p w14:paraId="15786809" w14:textId="77777777" w:rsidR="00C91653" w:rsidRPr="00963A16" w:rsidRDefault="00C91653" w:rsidP="00E646B6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Solid tumour</w:t>
            </w:r>
          </w:p>
        </w:tc>
        <w:tc>
          <w:tcPr>
            <w:tcW w:w="1562" w:type="pct"/>
            <w:vAlign w:val="center"/>
          </w:tcPr>
          <w:p w14:paraId="473BD558" w14:textId="77777777" w:rsidR="00C91653" w:rsidRPr="00963A16" w:rsidRDefault="00C91653" w:rsidP="00E646B6">
            <w:pPr>
              <w:spacing w:before="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6 (1.99%)</w:t>
            </w:r>
          </w:p>
        </w:tc>
      </w:tr>
      <w:tr w:rsidR="00C91653" w:rsidRPr="00963A16" w14:paraId="6F2C9295" w14:textId="77777777" w:rsidTr="00E64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0"/>
        </w:trPr>
        <w:tc>
          <w:tcPr>
            <w:tcW w:w="3438" w:type="pct"/>
            <w:tcBorders>
              <w:bottom w:val="single" w:sz="4" w:space="0" w:color="auto"/>
            </w:tcBorders>
            <w:noWrap/>
          </w:tcPr>
          <w:p w14:paraId="5793E8F6" w14:textId="77777777" w:rsidR="00C91653" w:rsidRPr="00963A16" w:rsidRDefault="00C91653" w:rsidP="00E646B6">
            <w:pPr>
              <w:spacing w:before="12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VTE</w:t>
            </w:r>
          </w:p>
        </w:tc>
        <w:tc>
          <w:tcPr>
            <w:tcW w:w="1562" w:type="pct"/>
            <w:tcBorders>
              <w:bottom w:val="single" w:sz="4" w:space="0" w:color="auto"/>
            </w:tcBorders>
            <w:vAlign w:val="center"/>
          </w:tcPr>
          <w:p w14:paraId="605D1CF3" w14:textId="77777777" w:rsidR="00C91653" w:rsidRPr="00963A16" w:rsidRDefault="00C91653" w:rsidP="00E646B6">
            <w:pPr>
              <w:spacing w:before="120" w:after="6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63A16">
              <w:rPr>
                <w:rFonts w:ascii="Arial" w:hAnsi="Arial" w:cs="Arial"/>
                <w:color w:val="000000"/>
                <w:sz w:val="22"/>
                <w:szCs w:val="22"/>
              </w:rPr>
              <w:t>3 (0.99%)</w:t>
            </w:r>
          </w:p>
        </w:tc>
      </w:tr>
    </w:tbl>
    <w:p w14:paraId="525B34C8" w14:textId="26F44F4B" w:rsidR="00152D87" w:rsidRDefault="00C91653">
      <w:r w:rsidRPr="00963A16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92A5C0" wp14:editId="65ED5E63">
                <wp:simplePos x="0" y="0"/>
                <wp:positionH relativeFrom="margin">
                  <wp:posOffset>-264160</wp:posOffset>
                </wp:positionH>
                <wp:positionV relativeFrom="paragraph">
                  <wp:posOffset>0</wp:posOffset>
                </wp:positionV>
                <wp:extent cx="6259830" cy="414020"/>
                <wp:effectExtent l="0" t="0" r="0" b="0"/>
                <wp:wrapSquare wrapText="bothSides"/>
                <wp:docPr id="1621463332" name="Text Box 1621463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983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C72E29" w14:textId="77777777" w:rsidR="00C91653" w:rsidRPr="00EB15A3" w:rsidRDefault="00C91653" w:rsidP="00C91653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>Supplementary Table</w:t>
                            </w:r>
                            <w:r w:rsidRPr="00EB15A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>1</w:t>
                            </w:r>
                            <w:r w:rsidRPr="00EB15A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>Comorbidities</w:t>
                            </w:r>
                            <w:r w:rsidRPr="00EB15A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at baseline.</w:t>
                            </w:r>
                            <w:r w:rsidRPr="00EB15A3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Information on patient comorbidities was collect by clinicians at baseline. </w:t>
                            </w:r>
                            <w:r w:rsidRPr="00EB15A3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Data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are</w:t>
                            </w:r>
                            <w:r w:rsidRPr="00EB15A3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presented as n (%)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.</w:t>
                            </w:r>
                            <w:r w:rsidRPr="00EB15A3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n=302.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2A5C0" id="_x0000_t202" coordsize="21600,21600" o:spt="202" path="m,l,21600r21600,l21600,xe">
                <v:stroke joinstyle="miter"/>
                <v:path gradientshapeok="t" o:connecttype="rect"/>
              </v:shapetype>
              <v:shape id="Text Box 1621463332" o:spid="_x0000_s1026" type="#_x0000_t202" style="position:absolute;margin-left:-20.8pt;margin-top:0;width:492.9pt;height:32.6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" filled="f" stroked="f" strokeweight=".5pt">
                <v:textbox inset="2.5mm">
                  <w:txbxContent>
                    <w:p w14:paraId="1AC72E29" w14:textId="77777777" w:rsidR="00C91653" w:rsidRPr="00EB15A3" w:rsidRDefault="00C91653" w:rsidP="00C91653">
                      <w:pP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>Supplementary Table</w:t>
                      </w:r>
                      <w:r w:rsidRPr="00EB15A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>1</w:t>
                      </w:r>
                      <w:r w:rsidRPr="00EB15A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>Comorbidities</w:t>
                      </w:r>
                      <w:r w:rsidRPr="00EB15A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 xml:space="preserve"> at baseline.</w:t>
                      </w:r>
                      <w:r w:rsidRPr="00EB15A3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Information on patient comorbidities was collect by clinicians at baseline. </w:t>
                      </w:r>
                      <w:r w:rsidRPr="00EB15A3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Data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are</w:t>
                      </w:r>
                      <w:r w:rsidRPr="00EB15A3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 presented as n (%)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.</w:t>
                      </w:r>
                      <w:r w:rsidRPr="00EB15A3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 n=302.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52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80"/>
    <w:rsid w:val="00141570"/>
    <w:rsid w:val="00152D87"/>
    <w:rsid w:val="00192819"/>
    <w:rsid w:val="001A0226"/>
    <w:rsid w:val="001F28CD"/>
    <w:rsid w:val="00227BC6"/>
    <w:rsid w:val="00343048"/>
    <w:rsid w:val="003A5EE0"/>
    <w:rsid w:val="00401D4A"/>
    <w:rsid w:val="00460F9B"/>
    <w:rsid w:val="00504BBD"/>
    <w:rsid w:val="00523737"/>
    <w:rsid w:val="005C4919"/>
    <w:rsid w:val="00612DFC"/>
    <w:rsid w:val="00627735"/>
    <w:rsid w:val="006B5441"/>
    <w:rsid w:val="00772228"/>
    <w:rsid w:val="008824D3"/>
    <w:rsid w:val="008B32DF"/>
    <w:rsid w:val="009677B5"/>
    <w:rsid w:val="00974AF3"/>
    <w:rsid w:val="00A529A0"/>
    <w:rsid w:val="00B1353D"/>
    <w:rsid w:val="00C41980"/>
    <w:rsid w:val="00C91653"/>
    <w:rsid w:val="00CF7E5F"/>
    <w:rsid w:val="00DF0B98"/>
    <w:rsid w:val="00F8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E2976C"/>
  <w15:chartTrackingRefBased/>
  <w15:docId w15:val="{E1C409B6-9CB6-5E4B-8BFB-DDAD48709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65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5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531</Characters>
  <Application>Microsoft Office Word</Application>
  <DocSecurity>0</DocSecurity>
  <Lines>25</Lines>
  <Paragraphs>5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Matthew</dc:creator>
  <cp:keywords/>
  <dc:description/>
  <cp:lastModifiedBy>Murphy, Matthew</cp:lastModifiedBy>
  <cp:revision>2</cp:revision>
  <dcterms:created xsi:type="dcterms:W3CDTF">2023-11-16T16:35:00Z</dcterms:created>
  <dcterms:modified xsi:type="dcterms:W3CDTF">2023-11-16T16:40:00Z</dcterms:modified>
</cp:coreProperties>
</file>