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A04" w:rsidRDefault="00EB6A04" w:rsidP="00EB6A04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Figure S1.</w:t>
      </w:r>
      <w:r>
        <w:rPr>
          <w:rFonts w:cs="Times New Roman"/>
          <w:sz w:val="24"/>
          <w:szCs w:val="24"/>
        </w:rPr>
        <w:t xml:space="preserve"> Expression of </w:t>
      </w:r>
      <w:r>
        <w:rPr>
          <w:rFonts w:cs="Times New Roman"/>
          <w:i/>
          <w:iCs/>
          <w:sz w:val="24"/>
          <w:szCs w:val="24"/>
        </w:rPr>
        <w:t>CB2</w:t>
      </w:r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analyzed</w:t>
      </w:r>
      <w:proofErr w:type="spellEnd"/>
      <w:r>
        <w:rPr>
          <w:rFonts w:cs="Times New Roman"/>
          <w:sz w:val="24"/>
          <w:szCs w:val="24"/>
        </w:rPr>
        <w:t xml:space="preserve"> by </w:t>
      </w:r>
      <w:proofErr w:type="spellStart"/>
      <w:r>
        <w:rPr>
          <w:rFonts w:cs="Times New Roman"/>
          <w:sz w:val="24"/>
          <w:szCs w:val="24"/>
        </w:rPr>
        <w:t>immunohistochemical</w:t>
      </w:r>
      <w:proofErr w:type="spellEnd"/>
      <w:r>
        <w:rPr>
          <w:rFonts w:cs="Times New Roman"/>
          <w:sz w:val="24"/>
          <w:szCs w:val="24"/>
        </w:rPr>
        <w:t xml:space="preserve"> analysis. (A) The extent of </w:t>
      </w:r>
      <w:proofErr w:type="spellStart"/>
      <w:r>
        <w:rPr>
          <w:rFonts w:cs="Times New Roman"/>
          <w:sz w:val="24"/>
          <w:szCs w:val="24"/>
        </w:rPr>
        <w:t>immunohistochemical</w:t>
      </w:r>
      <w:proofErr w:type="spellEnd"/>
      <w:r>
        <w:rPr>
          <w:rFonts w:cs="Times New Roman"/>
          <w:sz w:val="24"/>
          <w:szCs w:val="24"/>
        </w:rPr>
        <w:t xml:space="preserve"> staining for </w:t>
      </w:r>
      <w:r>
        <w:rPr>
          <w:rFonts w:cs="Times New Roman" w:hint="eastAsia"/>
          <w:i/>
          <w:iCs/>
          <w:sz w:val="24"/>
          <w:szCs w:val="24"/>
        </w:rPr>
        <w:t>CB2</w:t>
      </w:r>
      <w:r>
        <w:rPr>
          <w:rFonts w:cs="Times New Roman"/>
          <w:sz w:val="24"/>
          <w:szCs w:val="24"/>
        </w:rPr>
        <w:t xml:space="preserve"> in </w:t>
      </w:r>
      <w:r>
        <w:rPr>
          <w:rFonts w:cs="Times New Roman" w:hint="eastAsia"/>
          <w:sz w:val="24"/>
          <w:szCs w:val="24"/>
        </w:rPr>
        <w:t>breast cancer</w:t>
      </w:r>
      <w:r>
        <w:rPr>
          <w:rFonts w:cs="Times New Roman"/>
          <w:sz w:val="24"/>
          <w:szCs w:val="24"/>
        </w:rPr>
        <w:t xml:space="preserve"> tissues, graded as 0-4. Grade 0 indicated no expression, grade 1–2 indicated low expression </w:t>
      </w:r>
      <w:proofErr w:type="gramStart"/>
      <w:r>
        <w:rPr>
          <w:rFonts w:cs="Times New Roman"/>
          <w:sz w:val="24"/>
          <w:szCs w:val="24"/>
        </w:rPr>
        <w:t xml:space="preserve">and </w:t>
      </w:r>
      <w:r>
        <w:rPr>
          <w:rFonts w:cs="Times New Roman"/>
          <w:sz w:val="24"/>
          <w:szCs w:val="24"/>
          <w:lang w:val="en-US"/>
        </w:rPr>
        <w:t xml:space="preserve"> grades</w:t>
      </w:r>
      <w:proofErr w:type="gramEnd"/>
      <w:r>
        <w:rPr>
          <w:rFonts w:cs="Times New Roman"/>
          <w:sz w:val="24"/>
          <w:szCs w:val="24"/>
          <w:lang w:val="en-US"/>
        </w:rPr>
        <w:t xml:space="preserve"> 3-4 were defined as high expression.</w:t>
      </w:r>
      <w:r>
        <w:rPr>
          <w:rFonts w:cs="Times New Roman"/>
          <w:sz w:val="24"/>
          <w:szCs w:val="24"/>
        </w:rPr>
        <w:t xml:space="preserve"> (B)</w:t>
      </w:r>
      <w:r>
        <w:rPr>
          <w:rFonts w:cs="Times New Roman" w:hint="eastAsia"/>
          <w:sz w:val="24"/>
          <w:szCs w:val="24"/>
          <w:lang w:val="en-US"/>
        </w:rPr>
        <w:t xml:space="preserve"> Protein expression of CB2 and </w:t>
      </w:r>
      <w:proofErr w:type="spellStart"/>
      <w:r>
        <w:rPr>
          <w:rFonts w:cs="Times New Roman" w:hint="eastAsia"/>
          <w:sz w:val="24"/>
          <w:szCs w:val="24"/>
          <w:lang w:val="en-US"/>
        </w:rPr>
        <w:t>densitometric</w:t>
      </w:r>
      <w:proofErr w:type="spellEnd"/>
      <w:r>
        <w:rPr>
          <w:rFonts w:cs="Times New Roman" w:hint="eastAsia"/>
          <w:sz w:val="24"/>
          <w:szCs w:val="24"/>
          <w:lang w:val="en-US"/>
        </w:rPr>
        <w:t xml:space="preserve"> quantification</w:t>
      </w:r>
      <w:proofErr w:type="gramStart"/>
      <w:r>
        <w:rPr>
          <w:rFonts w:cs="Times New Roman" w:hint="eastAsia"/>
          <w:sz w:val="24"/>
          <w:szCs w:val="24"/>
          <w:lang w:val="en-US"/>
        </w:rPr>
        <w:t>.</w:t>
      </w:r>
      <w:r>
        <w:rPr>
          <w:rFonts w:cs="Times New Roman"/>
          <w:sz w:val="24"/>
          <w:szCs w:val="24"/>
        </w:rPr>
        <w:t>(</w:t>
      </w:r>
      <w:proofErr w:type="gramEnd"/>
      <w:r>
        <w:rPr>
          <w:rFonts w:cs="Times New Roman" w:hint="eastAsia"/>
          <w:sz w:val="24"/>
          <w:szCs w:val="24"/>
          <w:lang w:val="en-US"/>
        </w:rPr>
        <w:t>C</w:t>
      </w:r>
      <w:r>
        <w:rPr>
          <w:rFonts w:cs="Times New Roman"/>
          <w:sz w:val="24"/>
          <w:szCs w:val="24"/>
        </w:rPr>
        <w:t xml:space="preserve">) Breast cancer patients with positive and negative </w:t>
      </w:r>
      <w:r>
        <w:rPr>
          <w:rFonts w:cs="Times New Roman"/>
          <w:i/>
          <w:iCs/>
          <w:sz w:val="24"/>
          <w:szCs w:val="24"/>
        </w:rPr>
        <w:t>CB2</w:t>
      </w:r>
      <w:r>
        <w:rPr>
          <w:rFonts w:cs="Times New Roman"/>
          <w:sz w:val="24"/>
          <w:szCs w:val="24"/>
        </w:rPr>
        <w:t xml:space="preserve"> expression. (C)</w:t>
      </w:r>
      <w:r>
        <w:t xml:space="preserve"> </w:t>
      </w:r>
      <w:r>
        <w:rPr>
          <w:rFonts w:cs="Times New Roman"/>
          <w:sz w:val="24"/>
          <w:szCs w:val="24"/>
        </w:rPr>
        <w:t xml:space="preserve">Expression of </w:t>
      </w:r>
      <w:r>
        <w:rPr>
          <w:rFonts w:cs="Times New Roman"/>
          <w:i/>
          <w:iCs/>
          <w:sz w:val="24"/>
          <w:szCs w:val="24"/>
        </w:rPr>
        <w:t>CB2</w:t>
      </w:r>
      <w:r>
        <w:rPr>
          <w:rFonts w:cs="Times New Roman"/>
          <w:sz w:val="24"/>
          <w:szCs w:val="24"/>
        </w:rPr>
        <w:t xml:space="preserve"> in BC and adjacent non-cancerous tissues. Black arrows represent the para-cancer tissue, red arrows represent cancer tissue. Scale bars: 500 µm, 40×; 50 µm, 400×.</w:t>
      </w:r>
    </w:p>
    <w:p w:rsidR="00EB6A04" w:rsidRDefault="00EB6A04" w:rsidP="00EB6A04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Figure S2.</w:t>
      </w:r>
      <w:r>
        <w:rPr>
          <w:rFonts w:cs="Times New Roman"/>
          <w:sz w:val="24"/>
          <w:szCs w:val="24"/>
        </w:rPr>
        <w:t xml:space="preserve"> CB2 expression validation in different types of breast cancer from 95 patients.</w:t>
      </w:r>
    </w:p>
    <w:p w:rsidR="00EB6A04" w:rsidRDefault="00EB6A04" w:rsidP="00EB6A04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Figure S</w:t>
      </w:r>
      <w:r>
        <w:rPr>
          <w:rFonts w:cs="Times New Roman" w:hint="eastAsia"/>
          <w:b/>
          <w:sz w:val="24"/>
          <w:szCs w:val="24"/>
          <w:lang w:val="en-US" w:eastAsia="zh-CN"/>
        </w:rPr>
        <w:t>3</w:t>
      </w:r>
      <w:r>
        <w:rPr>
          <w:rFonts w:cs="Times New Roman"/>
          <w:b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 w:hint="eastAsia"/>
          <w:sz w:val="24"/>
          <w:szCs w:val="24"/>
          <w:lang w:val="en-US" w:eastAsia="zh-CN"/>
        </w:rPr>
        <w:t xml:space="preserve">The cell cycle changes </w:t>
      </w:r>
      <w:proofErr w:type="spellStart"/>
      <w:r>
        <w:rPr>
          <w:rFonts w:cs="Times New Roman" w:hint="eastAsia"/>
          <w:sz w:val="24"/>
          <w:szCs w:val="24"/>
          <w:lang w:val="en-US" w:eastAsia="zh-CN"/>
        </w:rPr>
        <w:t>afte</w:t>
      </w:r>
      <w:proofErr w:type="spellEnd"/>
      <w:r>
        <w:rPr>
          <w:rFonts w:cs="Times New Roman" w:hint="eastAsia"/>
          <w:sz w:val="24"/>
          <w:szCs w:val="24"/>
          <w:lang w:val="en-US" w:eastAsia="zh-CN"/>
        </w:rPr>
        <w:t xml:space="preserve"> o</w:t>
      </w:r>
      <w:proofErr w:type="spellStart"/>
      <w:r>
        <w:rPr>
          <w:rFonts w:cs="Times New Roman" w:hint="eastAsia"/>
          <w:sz w:val="24"/>
          <w:szCs w:val="24"/>
        </w:rPr>
        <w:t>verexpression</w:t>
      </w:r>
      <w:proofErr w:type="spellEnd"/>
      <w:r>
        <w:rPr>
          <w:rFonts w:cs="Times New Roman" w:hint="eastAsia"/>
          <w:sz w:val="24"/>
          <w:szCs w:val="24"/>
        </w:rPr>
        <w:t xml:space="preserve"> of CB2 </w:t>
      </w:r>
      <w:r>
        <w:rPr>
          <w:rFonts w:cs="Times New Roman" w:hint="eastAsia"/>
          <w:sz w:val="24"/>
          <w:szCs w:val="24"/>
          <w:lang w:val="en-US" w:eastAsia="zh-CN"/>
        </w:rPr>
        <w:t>in</w:t>
      </w:r>
      <w:r>
        <w:rPr>
          <w:rFonts w:cs="Times New Roman" w:hint="eastAsia"/>
          <w:sz w:val="24"/>
          <w:szCs w:val="24"/>
        </w:rPr>
        <w:t xml:space="preserve"> MDA-MB-231 cell</w:t>
      </w:r>
      <w:r>
        <w:rPr>
          <w:rFonts w:cs="Times New Roman"/>
          <w:sz w:val="24"/>
          <w:szCs w:val="24"/>
        </w:rPr>
        <w:t>.</w:t>
      </w:r>
    </w:p>
    <w:p w:rsidR="00EB6A04" w:rsidRDefault="00EB6A04" w:rsidP="00EB6A04">
      <w:pPr>
        <w:spacing w:line="360" w:lineRule="auto"/>
        <w:rPr>
          <w:rFonts w:cs="Times New Roman" w:hint="eastAsia"/>
          <w:sz w:val="24"/>
          <w:szCs w:val="24"/>
        </w:rPr>
      </w:pPr>
      <w:r>
        <w:rPr>
          <w:rFonts w:cs="Times New Roman"/>
          <w:b/>
          <w:sz w:val="24"/>
          <w:szCs w:val="24"/>
        </w:rPr>
        <w:t>Figure S</w:t>
      </w:r>
      <w:r>
        <w:rPr>
          <w:rFonts w:cs="Times New Roman" w:hint="eastAsia"/>
          <w:b/>
          <w:sz w:val="24"/>
          <w:szCs w:val="24"/>
          <w:lang w:val="en-US" w:eastAsia="zh-CN"/>
        </w:rPr>
        <w:t>4</w:t>
      </w:r>
      <w:r>
        <w:rPr>
          <w:rFonts w:cs="Times New Roman"/>
          <w:b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Effects of JWH-015, CIS, DOX and DOC on cell proliferation of MCF-7 and MDA-MB-231 cells. (A, B) The cell proliferation</w:t>
      </w:r>
      <w:r>
        <w:t xml:space="preserve"> </w:t>
      </w:r>
      <w:r>
        <w:rPr>
          <w:rFonts w:cs="Times New Roman"/>
          <w:sz w:val="24"/>
          <w:szCs w:val="24"/>
        </w:rPr>
        <w:t>was analysed 24h, 48h and 72h after treated with different concentrations JWH-015 by CCK-8 assay in MCF-7 and MDA-MB-231cells, respectively. (C) Growth of BC cells treated with JWH-015 (5μ</w:t>
      </w:r>
      <w:r>
        <w:rPr>
          <w:rFonts w:cs="Times New Roman" w:hint="eastAsia"/>
          <w:sz w:val="24"/>
          <w:szCs w:val="24"/>
        </w:rPr>
        <w:t>g/ml</w:t>
      </w:r>
      <w:r>
        <w:rPr>
          <w:rFonts w:cs="Times New Roman"/>
          <w:sz w:val="24"/>
          <w:szCs w:val="24"/>
        </w:rPr>
        <w:t>) at 24h, 48h and 72h. (</w:t>
      </w:r>
      <w:r>
        <w:rPr>
          <w:rFonts w:cs="Times New Roman" w:hint="eastAsia"/>
          <w:sz w:val="24"/>
          <w:szCs w:val="24"/>
          <w:lang w:val="en-US"/>
        </w:rPr>
        <w:t>D</w:t>
      </w:r>
      <w:r>
        <w:rPr>
          <w:rFonts w:cs="Times New Roman"/>
          <w:sz w:val="24"/>
          <w:szCs w:val="24"/>
        </w:rPr>
        <w:t>)</w:t>
      </w:r>
      <w:r>
        <w:rPr>
          <w:rFonts w:cs="Times New Roman" w:hint="eastAsia"/>
          <w:sz w:val="24"/>
          <w:szCs w:val="24"/>
          <w:lang w:val="en-US"/>
        </w:rPr>
        <w:t xml:space="preserve"> CB2 expression in the xenografts by western blot. (E)Red fluorescence was observed in MDA-MB-231 cell transfected with CB2-knockdown plasmid. Scale bar: 200 µm, 100×. (F) </w:t>
      </w:r>
      <w:r>
        <w:rPr>
          <w:rFonts w:cs="Times New Roman"/>
          <w:i/>
          <w:iCs/>
          <w:sz w:val="24"/>
          <w:szCs w:val="24"/>
        </w:rPr>
        <w:t>CB2</w:t>
      </w:r>
      <w:r>
        <w:rPr>
          <w:rFonts w:cs="Times New Roman"/>
          <w:sz w:val="24"/>
          <w:szCs w:val="24"/>
        </w:rPr>
        <w:t xml:space="preserve"> mRNA expression level was determined in </w:t>
      </w:r>
      <w:r>
        <w:rPr>
          <w:rFonts w:cs="Times New Roman" w:hint="eastAsia"/>
          <w:sz w:val="24"/>
          <w:szCs w:val="24"/>
          <w:lang w:val="en-US"/>
        </w:rPr>
        <w:t>MDA-MB-231 cell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 w:hint="eastAsia"/>
          <w:sz w:val="24"/>
          <w:szCs w:val="24"/>
          <w:lang w:val="en-US"/>
        </w:rPr>
        <w:t xml:space="preserve">CB2-after knockdown </w:t>
      </w:r>
      <w:r>
        <w:rPr>
          <w:rFonts w:cs="Times New Roman"/>
          <w:sz w:val="24"/>
          <w:szCs w:val="24"/>
        </w:rPr>
        <w:t xml:space="preserve">by </w:t>
      </w:r>
      <w:proofErr w:type="spellStart"/>
      <w:r>
        <w:rPr>
          <w:rFonts w:cs="Times New Roman"/>
          <w:sz w:val="24"/>
          <w:szCs w:val="24"/>
        </w:rPr>
        <w:t>qRT</w:t>
      </w:r>
      <w:proofErr w:type="spellEnd"/>
      <w:r>
        <w:rPr>
          <w:rFonts w:cs="Times New Roman"/>
          <w:sz w:val="24"/>
          <w:szCs w:val="24"/>
        </w:rPr>
        <w:t>-PCR.</w:t>
      </w:r>
      <w:r>
        <w:rPr>
          <w:rFonts w:cs="Times New Roman" w:hint="eastAsia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</w:rPr>
        <w:t>(</w:t>
      </w:r>
      <w:r>
        <w:rPr>
          <w:rFonts w:cs="Times New Roman" w:hint="eastAsia"/>
          <w:sz w:val="24"/>
          <w:szCs w:val="24"/>
          <w:lang w:val="en-US"/>
        </w:rPr>
        <w:t>G</w:t>
      </w:r>
      <w:r>
        <w:rPr>
          <w:rFonts w:cs="Times New Roman"/>
          <w:sz w:val="24"/>
          <w:szCs w:val="24"/>
        </w:rPr>
        <w:t>-</w:t>
      </w:r>
      <w:r>
        <w:rPr>
          <w:rFonts w:cs="Times New Roman" w:hint="eastAsia"/>
          <w:sz w:val="24"/>
          <w:szCs w:val="24"/>
          <w:lang w:val="en-US"/>
        </w:rPr>
        <w:t>I</w:t>
      </w:r>
      <w:r>
        <w:rPr>
          <w:rFonts w:cs="Times New Roman"/>
          <w:sz w:val="24"/>
          <w:szCs w:val="24"/>
        </w:rPr>
        <w:t>) The cell proliferation</w:t>
      </w:r>
      <w:r>
        <w:t xml:space="preserve"> </w:t>
      </w:r>
      <w:r>
        <w:rPr>
          <w:rFonts w:cs="Times New Roman"/>
          <w:sz w:val="24"/>
          <w:szCs w:val="24"/>
        </w:rPr>
        <w:t>was analysed 24h, 48h and 72h after treated with different concentrations CIS, DOX and DOC by CCK-8 assay in MDA-MB-231cells, respectively.</w:t>
      </w:r>
    </w:p>
    <w:p w:rsidR="00B27271" w:rsidRDefault="00B27271">
      <w:bookmarkStart w:id="0" w:name="_GoBack"/>
      <w:bookmarkEnd w:id="0"/>
    </w:p>
    <w:sectPr w:rsidR="00B27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04"/>
    <w:rsid w:val="00892C4D"/>
    <w:rsid w:val="00B27271"/>
    <w:rsid w:val="00EB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40F8F-E620-4374-B174-79764951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Durairaj</dc:creator>
  <cp:keywords/>
  <dc:description/>
  <cp:lastModifiedBy>Divya Durairaj</cp:lastModifiedBy>
  <cp:revision>1</cp:revision>
  <dcterms:created xsi:type="dcterms:W3CDTF">2023-05-10T11:03:00Z</dcterms:created>
  <dcterms:modified xsi:type="dcterms:W3CDTF">2023-05-10T12:00:00Z</dcterms:modified>
</cp:coreProperties>
</file>