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76F0D" w14:textId="31E888FF" w:rsidR="008D4590" w:rsidRPr="00BE79EA" w:rsidRDefault="008D4590" w:rsidP="00087F24">
      <w:pPr>
        <w:pStyle w:val="Lgende"/>
        <w:rPr>
          <w:i/>
          <w:iCs/>
        </w:rPr>
      </w:pPr>
      <w:r w:rsidRPr="00F755B4">
        <w:rPr>
          <w:b/>
          <w:bCs/>
        </w:rPr>
        <w:t xml:space="preserve">Supplementary Table </w:t>
      </w:r>
      <w:r w:rsidRPr="00F755B4">
        <w:rPr>
          <w:b/>
          <w:bCs/>
          <w:i/>
          <w:iCs/>
        </w:rPr>
        <w:fldChar w:fldCharType="begin"/>
      </w:r>
      <w:r w:rsidRPr="00F755B4">
        <w:rPr>
          <w:b/>
          <w:bCs/>
        </w:rPr>
        <w:instrText xml:space="preserve"> SEQ Supplementary_Table \* ARABIC </w:instrText>
      </w:r>
      <w:r w:rsidRPr="00F755B4">
        <w:rPr>
          <w:b/>
          <w:bCs/>
          <w:i/>
          <w:iCs/>
        </w:rPr>
        <w:fldChar w:fldCharType="separate"/>
      </w:r>
      <w:r w:rsidRPr="00F755B4">
        <w:rPr>
          <w:b/>
          <w:bCs/>
          <w:noProof/>
        </w:rPr>
        <w:t>1</w:t>
      </w:r>
      <w:r w:rsidRPr="00F755B4">
        <w:rPr>
          <w:b/>
          <w:bCs/>
          <w:i/>
          <w:iCs/>
        </w:rPr>
        <w:fldChar w:fldCharType="end"/>
      </w:r>
      <w:r w:rsidRPr="00BE79EA">
        <w:t xml:space="preserve"> Characteristics of studies </w:t>
      </w:r>
      <w:r w:rsidR="00BE79EA" w:rsidRPr="00BE79EA">
        <w:t>included</w:t>
      </w:r>
    </w:p>
    <w:tbl>
      <w:tblPr>
        <w:tblW w:w="14270" w:type="dxa"/>
        <w:tblInd w:w="-709" w:type="dxa"/>
        <w:tblCellMar>
          <w:left w:w="70" w:type="dxa"/>
          <w:right w:w="70" w:type="dxa"/>
        </w:tblCellMar>
        <w:tblLook w:val="04A0" w:firstRow="1" w:lastRow="0" w:firstColumn="1" w:lastColumn="0" w:noHBand="0" w:noVBand="1"/>
      </w:tblPr>
      <w:tblGrid>
        <w:gridCol w:w="2411"/>
        <w:gridCol w:w="773"/>
        <w:gridCol w:w="1636"/>
        <w:gridCol w:w="1559"/>
        <w:gridCol w:w="1180"/>
        <w:gridCol w:w="1087"/>
        <w:gridCol w:w="1105"/>
        <w:gridCol w:w="1197"/>
        <w:gridCol w:w="882"/>
        <w:gridCol w:w="1077"/>
        <w:gridCol w:w="1352"/>
        <w:gridCol w:w="11"/>
      </w:tblGrid>
      <w:tr w:rsidR="00A40703" w:rsidRPr="00B93807" w14:paraId="4D006236" w14:textId="77777777" w:rsidTr="001132A6">
        <w:trPr>
          <w:trHeight w:val="290"/>
        </w:trPr>
        <w:tc>
          <w:tcPr>
            <w:tcW w:w="2411" w:type="dxa"/>
            <w:tcBorders>
              <w:top w:val="single" w:sz="12" w:space="0" w:color="auto"/>
              <w:left w:val="nil"/>
              <w:bottom w:val="single" w:sz="12" w:space="0" w:color="auto"/>
              <w:right w:val="nil"/>
            </w:tcBorders>
            <w:noWrap/>
            <w:hideMark/>
          </w:tcPr>
          <w:p w14:paraId="05B892DA" w14:textId="1B5F41AB"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Author</w:t>
            </w:r>
          </w:p>
        </w:tc>
        <w:tc>
          <w:tcPr>
            <w:tcW w:w="773" w:type="dxa"/>
            <w:tcBorders>
              <w:top w:val="single" w:sz="12" w:space="0" w:color="auto"/>
              <w:left w:val="nil"/>
              <w:bottom w:val="single" w:sz="12" w:space="0" w:color="auto"/>
              <w:right w:val="nil"/>
            </w:tcBorders>
            <w:noWrap/>
            <w:hideMark/>
          </w:tcPr>
          <w:p w14:paraId="14E65737" w14:textId="327BD72C"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Study year</w:t>
            </w:r>
            <w:r w:rsidR="00425445" w:rsidRPr="00B93807">
              <w:rPr>
                <w:rFonts w:ascii="Garamond" w:eastAsia="Times New Roman" w:hAnsi="Garamond" w:cs="Calibri"/>
                <w:i/>
                <w:iCs/>
                <w:color w:val="000000"/>
                <w:kern w:val="0"/>
                <w:sz w:val="20"/>
                <w:szCs w:val="20"/>
                <w:vertAlign w:val="superscript"/>
                <w:lang w:eastAsia="fr-FR"/>
                <w14:ligatures w14:val="none"/>
              </w:rPr>
              <w:t>1</w:t>
            </w:r>
          </w:p>
        </w:tc>
        <w:tc>
          <w:tcPr>
            <w:tcW w:w="1636" w:type="dxa"/>
            <w:tcBorders>
              <w:top w:val="single" w:sz="12" w:space="0" w:color="auto"/>
              <w:left w:val="nil"/>
              <w:bottom w:val="single" w:sz="12" w:space="0" w:color="auto"/>
              <w:right w:val="nil"/>
            </w:tcBorders>
            <w:noWrap/>
            <w:hideMark/>
          </w:tcPr>
          <w:p w14:paraId="63AC9E4A" w14:textId="516B614A"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Country</w:t>
            </w:r>
          </w:p>
        </w:tc>
        <w:tc>
          <w:tcPr>
            <w:tcW w:w="1559" w:type="dxa"/>
            <w:tcBorders>
              <w:top w:val="single" w:sz="12" w:space="0" w:color="auto"/>
              <w:left w:val="nil"/>
              <w:bottom w:val="single" w:sz="12" w:space="0" w:color="auto"/>
              <w:right w:val="nil"/>
            </w:tcBorders>
            <w:noWrap/>
            <w:hideMark/>
          </w:tcPr>
          <w:p w14:paraId="70415765" w14:textId="124490F2"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Design</w:t>
            </w:r>
          </w:p>
        </w:tc>
        <w:tc>
          <w:tcPr>
            <w:tcW w:w="1180" w:type="dxa"/>
            <w:tcBorders>
              <w:top w:val="single" w:sz="12" w:space="0" w:color="auto"/>
              <w:left w:val="nil"/>
              <w:bottom w:val="single" w:sz="12" w:space="0" w:color="auto"/>
              <w:right w:val="nil"/>
            </w:tcBorders>
            <w:noWrap/>
            <w:hideMark/>
          </w:tcPr>
          <w:p w14:paraId="15C2A7B8" w14:textId="25C603BC"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Setting</w:t>
            </w:r>
          </w:p>
        </w:tc>
        <w:tc>
          <w:tcPr>
            <w:tcW w:w="1087" w:type="dxa"/>
            <w:tcBorders>
              <w:top w:val="single" w:sz="12" w:space="0" w:color="auto"/>
              <w:left w:val="nil"/>
              <w:bottom w:val="single" w:sz="12" w:space="0" w:color="auto"/>
              <w:right w:val="nil"/>
            </w:tcBorders>
            <w:noWrap/>
            <w:hideMark/>
          </w:tcPr>
          <w:p w14:paraId="67A8F237" w14:textId="25029F99"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Participant</w:t>
            </w:r>
          </w:p>
        </w:tc>
        <w:tc>
          <w:tcPr>
            <w:tcW w:w="1105" w:type="dxa"/>
            <w:tcBorders>
              <w:top w:val="single" w:sz="12" w:space="0" w:color="auto"/>
              <w:left w:val="nil"/>
              <w:bottom w:val="single" w:sz="12" w:space="0" w:color="auto"/>
              <w:right w:val="nil"/>
            </w:tcBorders>
            <w:noWrap/>
            <w:hideMark/>
          </w:tcPr>
          <w:p w14:paraId="576126E8" w14:textId="612D1B8D"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Sampling</w:t>
            </w:r>
          </w:p>
        </w:tc>
        <w:tc>
          <w:tcPr>
            <w:tcW w:w="1197" w:type="dxa"/>
            <w:tcBorders>
              <w:top w:val="single" w:sz="12" w:space="0" w:color="auto"/>
              <w:left w:val="nil"/>
              <w:bottom w:val="single" w:sz="12" w:space="0" w:color="auto"/>
              <w:right w:val="nil"/>
            </w:tcBorders>
            <w:noWrap/>
            <w:hideMark/>
          </w:tcPr>
          <w:p w14:paraId="451E86F2" w14:textId="20E7E65F"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Mpox g</w:t>
            </w:r>
            <w:r w:rsidRPr="00732E62">
              <w:rPr>
                <w:rFonts w:ascii="Garamond" w:eastAsia="Times New Roman" w:hAnsi="Garamond" w:cs="Calibri"/>
                <w:color w:val="000000"/>
                <w:kern w:val="0"/>
                <w:sz w:val="20"/>
                <w:szCs w:val="20"/>
                <w:lang w:eastAsia="fr-FR"/>
                <w14:ligatures w14:val="none"/>
              </w:rPr>
              <w:t>ene</w:t>
            </w:r>
            <w:r w:rsidRPr="00B93807">
              <w:rPr>
                <w:rFonts w:ascii="Garamond" w:eastAsia="Times New Roman" w:hAnsi="Garamond" w:cs="Calibri"/>
                <w:color w:val="000000"/>
                <w:kern w:val="0"/>
                <w:sz w:val="20"/>
                <w:szCs w:val="20"/>
                <w:lang w:eastAsia="fr-FR"/>
                <w14:ligatures w14:val="none"/>
              </w:rPr>
              <w:t xml:space="preserve"> </w:t>
            </w:r>
            <w:r w:rsidRPr="00732E62">
              <w:rPr>
                <w:rFonts w:ascii="Garamond" w:eastAsia="Times New Roman" w:hAnsi="Garamond" w:cs="Calibri"/>
                <w:color w:val="000000"/>
                <w:kern w:val="0"/>
                <w:sz w:val="20"/>
                <w:szCs w:val="20"/>
                <w:lang w:eastAsia="fr-FR"/>
                <w14:ligatures w14:val="none"/>
              </w:rPr>
              <w:t>sequencing</w:t>
            </w:r>
          </w:p>
        </w:tc>
        <w:tc>
          <w:tcPr>
            <w:tcW w:w="882" w:type="dxa"/>
            <w:tcBorders>
              <w:top w:val="single" w:sz="12" w:space="0" w:color="auto"/>
              <w:left w:val="nil"/>
              <w:bottom w:val="single" w:sz="12" w:space="0" w:color="auto"/>
              <w:right w:val="nil"/>
            </w:tcBorders>
            <w:noWrap/>
            <w:hideMark/>
          </w:tcPr>
          <w:p w14:paraId="3F2BC4A3"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Risk of bias</w:t>
            </w:r>
          </w:p>
        </w:tc>
        <w:tc>
          <w:tcPr>
            <w:tcW w:w="1077" w:type="dxa"/>
            <w:tcBorders>
              <w:top w:val="single" w:sz="12" w:space="0" w:color="auto"/>
              <w:left w:val="nil"/>
              <w:bottom w:val="single" w:sz="12" w:space="0" w:color="auto"/>
              <w:right w:val="nil"/>
            </w:tcBorders>
            <w:noWrap/>
            <w:hideMark/>
          </w:tcPr>
          <w:p w14:paraId="0D236913" w14:textId="7DD997E4"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C</w:t>
            </w:r>
            <w:r w:rsidRPr="00732E62">
              <w:rPr>
                <w:rFonts w:ascii="Garamond" w:eastAsia="Times New Roman" w:hAnsi="Garamond" w:cs="Calibri"/>
                <w:color w:val="000000"/>
                <w:kern w:val="0"/>
                <w:sz w:val="20"/>
                <w:szCs w:val="20"/>
                <w:lang w:eastAsia="fr-FR"/>
                <w14:ligatures w14:val="none"/>
              </w:rPr>
              <w:t>onfirmed</w:t>
            </w:r>
            <w:r w:rsidRPr="00B93807">
              <w:rPr>
                <w:rFonts w:ascii="Garamond" w:eastAsia="Times New Roman" w:hAnsi="Garamond" w:cs="Calibri"/>
                <w:color w:val="000000"/>
                <w:kern w:val="0"/>
                <w:sz w:val="20"/>
                <w:szCs w:val="20"/>
                <w:lang w:eastAsia="fr-FR"/>
                <w14:ligatures w14:val="none"/>
              </w:rPr>
              <w:t xml:space="preserve"> </w:t>
            </w:r>
            <w:r w:rsidRPr="00732E62">
              <w:rPr>
                <w:rFonts w:ascii="Garamond" w:eastAsia="Times New Roman" w:hAnsi="Garamond" w:cs="Calibri"/>
                <w:color w:val="000000"/>
                <w:kern w:val="0"/>
                <w:sz w:val="20"/>
                <w:szCs w:val="20"/>
                <w:lang w:eastAsia="fr-FR"/>
                <w14:ligatures w14:val="none"/>
              </w:rPr>
              <w:t>case</w:t>
            </w:r>
            <w:r w:rsidRPr="00B93807">
              <w:rPr>
                <w:rFonts w:ascii="Garamond" w:eastAsia="Times New Roman" w:hAnsi="Garamond" w:cs="Calibri"/>
                <w:color w:val="000000"/>
                <w:kern w:val="0"/>
                <w:sz w:val="20"/>
                <w:szCs w:val="20"/>
                <w:lang w:eastAsia="fr-FR"/>
                <w14:ligatures w14:val="none"/>
              </w:rPr>
              <w:t>s</w:t>
            </w:r>
            <w:r w:rsidR="00A11B35">
              <w:rPr>
                <w:rFonts w:ascii="Garamond" w:eastAsia="Times New Roman" w:hAnsi="Garamond" w:cs="Calibri"/>
                <w:color w:val="000000"/>
                <w:kern w:val="0"/>
                <w:sz w:val="20"/>
                <w:szCs w:val="20"/>
                <w:lang w:eastAsia="fr-FR"/>
                <w14:ligatures w14:val="none"/>
              </w:rPr>
              <w:t xml:space="preserve"> (n)</w:t>
            </w:r>
          </w:p>
        </w:tc>
        <w:tc>
          <w:tcPr>
            <w:tcW w:w="1363" w:type="dxa"/>
            <w:gridSpan w:val="2"/>
            <w:tcBorders>
              <w:top w:val="single" w:sz="12" w:space="0" w:color="auto"/>
              <w:left w:val="nil"/>
              <w:bottom w:val="single" w:sz="12" w:space="0" w:color="auto"/>
              <w:right w:val="nil"/>
            </w:tcBorders>
            <w:noWrap/>
            <w:hideMark/>
          </w:tcPr>
          <w:p w14:paraId="0BF83B1C" w14:textId="10F0379B" w:rsidR="00A40703" w:rsidRPr="00732E62" w:rsidRDefault="000865F6" w:rsidP="00A40703">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color w:val="000000"/>
                <w:kern w:val="0"/>
                <w:sz w:val="20"/>
                <w:szCs w:val="20"/>
                <w:lang w:eastAsia="fr-FR"/>
                <w14:ligatures w14:val="none"/>
              </w:rPr>
              <w:t>Severe/grave cases rate</w:t>
            </w:r>
            <w:r w:rsidR="00D46672" w:rsidRPr="00B93807">
              <w:rPr>
                <w:rFonts w:ascii="Garamond" w:eastAsia="Times New Roman" w:hAnsi="Garamond" w:cs="Calibri"/>
                <w:color w:val="000000"/>
                <w:kern w:val="0"/>
                <w:sz w:val="20"/>
                <w:szCs w:val="20"/>
                <w:lang w:eastAsia="fr-FR"/>
                <w14:ligatures w14:val="none"/>
              </w:rPr>
              <w:t xml:space="preserve"> (%)</w:t>
            </w:r>
            <w:r w:rsidR="00A40703" w:rsidRPr="00732E62">
              <w:rPr>
                <w:rFonts w:ascii="Garamond" w:eastAsia="Times New Roman" w:hAnsi="Garamond" w:cs="Calibri"/>
                <w:color w:val="000000"/>
                <w:kern w:val="0"/>
                <w:sz w:val="20"/>
                <w:szCs w:val="20"/>
                <w:lang w:eastAsia="fr-FR"/>
                <w14:ligatures w14:val="none"/>
              </w:rPr>
              <w:t xml:space="preserve"> </w:t>
            </w:r>
          </w:p>
        </w:tc>
      </w:tr>
      <w:tr w:rsidR="00A40703" w:rsidRPr="00B93807" w14:paraId="50F0D3F2" w14:textId="77777777" w:rsidTr="001132A6">
        <w:trPr>
          <w:trHeight w:val="290"/>
        </w:trPr>
        <w:tc>
          <w:tcPr>
            <w:tcW w:w="2411" w:type="dxa"/>
            <w:tcBorders>
              <w:top w:val="single" w:sz="12" w:space="0" w:color="auto"/>
              <w:left w:val="nil"/>
              <w:bottom w:val="nil"/>
              <w:right w:val="nil"/>
            </w:tcBorders>
            <w:noWrap/>
            <w:hideMark/>
          </w:tcPr>
          <w:p w14:paraId="22C47E92" w14:textId="66C334EA" w:rsidR="00A40703" w:rsidRPr="00732E62" w:rsidRDefault="00A40703" w:rsidP="00FE331E">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Breman</w:t>
            </w:r>
            <w:r w:rsidR="00027135" w:rsidRPr="00B93807">
              <w:rPr>
                <w:rFonts w:ascii="Garamond" w:eastAsia="Times New Roman" w:hAnsi="Garamond" w:cs="Calibri"/>
                <w:color w:val="000000"/>
                <w:kern w:val="0"/>
                <w:sz w:val="20"/>
                <w:szCs w:val="20"/>
                <w:lang w:eastAsia="fr-FR"/>
                <w14:ligatures w14:val="none"/>
              </w:rPr>
              <w:t xml:space="preserve"> </w:t>
            </w:r>
            <w:r w:rsidR="00027135" w:rsidRPr="00B93807">
              <w:rPr>
                <w:rFonts w:ascii="Garamond" w:eastAsia="Times New Roman" w:hAnsi="Garamond" w:cs="Calibri"/>
                <w:i/>
                <w:iCs/>
                <w:color w:val="000000"/>
                <w:kern w:val="0"/>
                <w:sz w:val="20"/>
                <w:szCs w:val="20"/>
                <w:lang w:eastAsia="fr-FR"/>
                <w14:ligatures w14:val="none"/>
              </w:rPr>
              <w:t>et al.</w:t>
            </w:r>
            <w:r w:rsidR="00027135" w:rsidRPr="00B93807">
              <w:rPr>
                <w:rFonts w:ascii="Garamond" w:eastAsia="Times New Roman" w:hAnsi="Garamond" w:cs="Calibri"/>
                <w:color w:val="000000"/>
                <w:kern w:val="0"/>
                <w:sz w:val="20"/>
                <w:szCs w:val="20"/>
                <w:lang w:eastAsia="fr-FR"/>
                <w14:ligatures w14:val="none"/>
              </w:rPr>
              <w:t xml:space="preserve"> </w:t>
            </w:r>
            <w:r w:rsidR="00FE331E" w:rsidRPr="00B93807">
              <w:rPr>
                <w:rFonts w:ascii="Garamond" w:eastAsia="Times New Roman" w:hAnsi="Garamond" w:cs="Calibri"/>
                <w:color w:val="000000"/>
                <w:kern w:val="0"/>
                <w:sz w:val="20"/>
                <w:szCs w:val="20"/>
                <w:lang w:eastAsia="fr-FR"/>
                <w14:ligatures w14:val="none"/>
              </w:rPr>
              <w:fldChar w:fldCharType="begin"/>
            </w:r>
            <w:r w:rsidR="00FE331E" w:rsidRPr="00B93807">
              <w:rPr>
                <w:rFonts w:ascii="Garamond" w:eastAsia="Times New Roman" w:hAnsi="Garamond" w:cs="Calibri"/>
                <w:color w:val="000000"/>
                <w:kern w:val="0"/>
                <w:sz w:val="20"/>
                <w:szCs w:val="20"/>
                <w:lang w:eastAsia="fr-FR"/>
                <w14:ligatures w14:val="none"/>
              </w:rPr>
              <w:instrText xml:space="preserve"> ADDIN ZOTERO_ITEM CSL_CITATION {"citationID":"hjsIys2Q","properties":{"formattedCitation":"[1]","plainCitation":"[1]","noteIndex":0},"citationItems":[{"id":3843,"uris":["http://zotero.org/users/1791235/items/WJLXLDJ4"],"itemData":{"id":3843,"type":"article-journal","abstract":"Increasing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00FE331E" w:rsidRPr="00B93807">
              <w:rPr>
                <w:rFonts w:ascii="Garamond" w:eastAsia="Times New Roman" w:hAnsi="Garamond" w:cs="Calibri"/>
                <w:color w:val="000000"/>
                <w:kern w:val="0"/>
                <w:sz w:val="20"/>
                <w:szCs w:val="20"/>
                <w:lang w:eastAsia="fr-FR"/>
                <w14:ligatures w14:val="none"/>
              </w:rPr>
              <w:fldChar w:fldCharType="separate"/>
            </w:r>
            <w:r w:rsidR="00FE331E" w:rsidRPr="00B93807">
              <w:rPr>
                <w:rFonts w:ascii="Garamond" w:hAnsi="Garamond"/>
                <w:sz w:val="20"/>
                <w:szCs w:val="20"/>
              </w:rPr>
              <w:t>[1]</w:t>
            </w:r>
            <w:r w:rsidR="00FE331E"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single" w:sz="12" w:space="0" w:color="auto"/>
              <w:left w:val="nil"/>
              <w:bottom w:val="nil"/>
              <w:right w:val="nil"/>
            </w:tcBorders>
            <w:noWrap/>
            <w:hideMark/>
          </w:tcPr>
          <w:p w14:paraId="67386F6B"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1970</w:t>
            </w:r>
          </w:p>
        </w:tc>
        <w:tc>
          <w:tcPr>
            <w:tcW w:w="1636" w:type="dxa"/>
            <w:tcBorders>
              <w:top w:val="single" w:sz="12" w:space="0" w:color="auto"/>
              <w:left w:val="nil"/>
              <w:bottom w:val="nil"/>
              <w:right w:val="nil"/>
            </w:tcBorders>
            <w:noWrap/>
            <w:hideMark/>
          </w:tcPr>
          <w:p w14:paraId="7B17478A"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 xml:space="preserve">Liberia </w:t>
            </w:r>
          </w:p>
        </w:tc>
        <w:tc>
          <w:tcPr>
            <w:tcW w:w="1559" w:type="dxa"/>
            <w:tcBorders>
              <w:top w:val="single" w:sz="12" w:space="0" w:color="auto"/>
              <w:left w:val="nil"/>
              <w:bottom w:val="nil"/>
              <w:right w:val="nil"/>
            </w:tcBorders>
            <w:noWrap/>
            <w:hideMark/>
          </w:tcPr>
          <w:p w14:paraId="47207A02"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single" w:sz="12" w:space="0" w:color="auto"/>
              <w:left w:val="nil"/>
              <w:bottom w:val="nil"/>
              <w:right w:val="nil"/>
            </w:tcBorders>
            <w:noWrap/>
            <w:hideMark/>
          </w:tcPr>
          <w:p w14:paraId="43F588C0"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single" w:sz="12" w:space="0" w:color="auto"/>
              <w:left w:val="nil"/>
              <w:bottom w:val="nil"/>
              <w:right w:val="nil"/>
            </w:tcBorders>
            <w:noWrap/>
            <w:hideMark/>
          </w:tcPr>
          <w:p w14:paraId="3D8C086A"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single" w:sz="12" w:space="0" w:color="auto"/>
              <w:left w:val="nil"/>
              <w:bottom w:val="nil"/>
              <w:right w:val="nil"/>
            </w:tcBorders>
            <w:noWrap/>
            <w:hideMark/>
          </w:tcPr>
          <w:p w14:paraId="402B9C1B"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single" w:sz="12" w:space="0" w:color="auto"/>
              <w:left w:val="nil"/>
              <w:bottom w:val="nil"/>
              <w:right w:val="nil"/>
            </w:tcBorders>
            <w:noWrap/>
            <w:hideMark/>
          </w:tcPr>
          <w:p w14:paraId="64108A3A"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single" w:sz="12" w:space="0" w:color="auto"/>
              <w:left w:val="nil"/>
              <w:bottom w:val="nil"/>
              <w:right w:val="nil"/>
            </w:tcBorders>
            <w:noWrap/>
            <w:hideMark/>
          </w:tcPr>
          <w:p w14:paraId="6993CBC7" w14:textId="3E8DE056"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00D46672" w:rsidRPr="00B93807">
              <w:rPr>
                <w:rFonts w:ascii="Garamond" w:eastAsia="Times New Roman" w:hAnsi="Garamond" w:cs="Calibri"/>
                <w:color w:val="000000"/>
                <w:kern w:val="0"/>
                <w:sz w:val="20"/>
                <w:szCs w:val="20"/>
                <w:lang w:eastAsia="fr-FR"/>
                <w14:ligatures w14:val="none"/>
              </w:rPr>
              <w:t>ow</w:t>
            </w:r>
          </w:p>
        </w:tc>
        <w:tc>
          <w:tcPr>
            <w:tcW w:w="1077" w:type="dxa"/>
            <w:tcBorders>
              <w:top w:val="single" w:sz="12" w:space="0" w:color="auto"/>
              <w:left w:val="nil"/>
              <w:bottom w:val="nil"/>
              <w:right w:val="nil"/>
            </w:tcBorders>
            <w:noWrap/>
            <w:hideMark/>
          </w:tcPr>
          <w:p w14:paraId="65FD8308" w14:textId="261A110D"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4</w:t>
            </w:r>
          </w:p>
        </w:tc>
        <w:tc>
          <w:tcPr>
            <w:tcW w:w="1363" w:type="dxa"/>
            <w:gridSpan w:val="2"/>
            <w:tcBorders>
              <w:top w:val="single" w:sz="12" w:space="0" w:color="auto"/>
              <w:left w:val="nil"/>
              <w:bottom w:val="nil"/>
              <w:right w:val="nil"/>
            </w:tcBorders>
            <w:noWrap/>
            <w:hideMark/>
          </w:tcPr>
          <w:p w14:paraId="0401B7B2" w14:textId="0BDC2B32"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38E4E0D8" w14:textId="77777777" w:rsidTr="001132A6">
        <w:trPr>
          <w:trHeight w:val="290"/>
        </w:trPr>
        <w:tc>
          <w:tcPr>
            <w:tcW w:w="2411" w:type="dxa"/>
            <w:tcBorders>
              <w:top w:val="nil"/>
              <w:left w:val="nil"/>
              <w:bottom w:val="nil"/>
              <w:right w:val="nil"/>
            </w:tcBorders>
            <w:noWrap/>
            <w:hideMark/>
          </w:tcPr>
          <w:p w14:paraId="41FFD22A" w14:textId="1CFE2836"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Breman</w:t>
            </w:r>
            <w:r w:rsidR="00FE331E" w:rsidRPr="00B93807">
              <w:rPr>
                <w:rFonts w:ascii="Garamond" w:eastAsia="Times New Roman" w:hAnsi="Garamond" w:cs="Calibri"/>
                <w:color w:val="000000"/>
                <w:kern w:val="0"/>
                <w:sz w:val="20"/>
                <w:szCs w:val="20"/>
                <w:lang w:eastAsia="fr-FR"/>
                <w14:ligatures w14:val="none"/>
              </w:rPr>
              <w:t xml:space="preserve"> </w:t>
            </w:r>
            <w:r w:rsidR="00FE331E" w:rsidRPr="00B93807">
              <w:rPr>
                <w:rFonts w:ascii="Garamond" w:eastAsia="Times New Roman" w:hAnsi="Garamond" w:cs="Calibri"/>
                <w:i/>
                <w:iCs/>
                <w:color w:val="000000"/>
                <w:kern w:val="0"/>
                <w:sz w:val="20"/>
                <w:szCs w:val="20"/>
                <w:lang w:eastAsia="fr-FR"/>
                <w14:ligatures w14:val="none"/>
              </w:rPr>
              <w:t>et al.</w:t>
            </w:r>
            <w:r w:rsidR="00FE331E" w:rsidRPr="00B93807">
              <w:rPr>
                <w:rFonts w:ascii="Garamond" w:eastAsia="Times New Roman" w:hAnsi="Garamond" w:cs="Calibri"/>
                <w:color w:val="000000"/>
                <w:kern w:val="0"/>
                <w:sz w:val="20"/>
                <w:szCs w:val="20"/>
                <w:lang w:eastAsia="fr-FR"/>
                <w14:ligatures w14:val="none"/>
              </w:rPr>
              <w:t xml:space="preserve"> </w:t>
            </w:r>
            <w:r w:rsidR="00FE331E" w:rsidRPr="00B93807">
              <w:rPr>
                <w:rFonts w:ascii="Garamond" w:eastAsia="Times New Roman" w:hAnsi="Garamond" w:cs="Calibri"/>
                <w:color w:val="000000"/>
                <w:kern w:val="0"/>
                <w:sz w:val="20"/>
                <w:szCs w:val="20"/>
                <w:lang w:eastAsia="fr-FR"/>
                <w14:ligatures w14:val="none"/>
              </w:rPr>
              <w:fldChar w:fldCharType="begin"/>
            </w:r>
            <w:r w:rsidR="00FE331E" w:rsidRPr="00B93807">
              <w:rPr>
                <w:rFonts w:ascii="Garamond" w:eastAsia="Times New Roman" w:hAnsi="Garamond" w:cs="Calibri"/>
                <w:color w:val="000000"/>
                <w:kern w:val="0"/>
                <w:sz w:val="20"/>
                <w:szCs w:val="20"/>
                <w:lang w:eastAsia="fr-FR"/>
                <w14:ligatures w14:val="none"/>
              </w:rPr>
              <w:instrText xml:space="preserve"> ADDIN ZOTERO_ITEM CSL_CITATION {"citationID":"K2lL0RSo","properties":{"formattedCitation":"[1]","plainCitation":"[1]","noteIndex":0},"citationItems":[{"id":3843,"uris":["http://zotero.org/users/1791235/items/WJLXLDJ4"],"itemData":{"id":3843,"type":"article-journal","abstract":"Increasing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00FE331E" w:rsidRPr="00B93807">
              <w:rPr>
                <w:rFonts w:ascii="Garamond" w:eastAsia="Times New Roman" w:hAnsi="Garamond" w:cs="Calibri"/>
                <w:color w:val="000000"/>
                <w:kern w:val="0"/>
                <w:sz w:val="20"/>
                <w:szCs w:val="20"/>
                <w:lang w:eastAsia="fr-FR"/>
                <w14:ligatures w14:val="none"/>
              </w:rPr>
              <w:fldChar w:fldCharType="separate"/>
            </w:r>
            <w:r w:rsidR="00FE331E" w:rsidRPr="00B93807">
              <w:rPr>
                <w:rFonts w:ascii="Garamond" w:hAnsi="Garamond"/>
                <w:sz w:val="20"/>
                <w:szCs w:val="20"/>
              </w:rPr>
              <w:t>[1]</w:t>
            </w:r>
            <w:r w:rsidR="00FE331E"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0E2E7AA4"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1971</w:t>
            </w:r>
          </w:p>
        </w:tc>
        <w:tc>
          <w:tcPr>
            <w:tcW w:w="1636" w:type="dxa"/>
            <w:tcBorders>
              <w:top w:val="nil"/>
              <w:left w:val="nil"/>
              <w:bottom w:val="nil"/>
              <w:right w:val="nil"/>
            </w:tcBorders>
            <w:noWrap/>
            <w:hideMark/>
          </w:tcPr>
          <w:p w14:paraId="28238FD7"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Nigeria</w:t>
            </w:r>
          </w:p>
        </w:tc>
        <w:tc>
          <w:tcPr>
            <w:tcW w:w="1559" w:type="dxa"/>
            <w:tcBorders>
              <w:top w:val="nil"/>
              <w:left w:val="nil"/>
              <w:bottom w:val="nil"/>
              <w:right w:val="nil"/>
            </w:tcBorders>
            <w:noWrap/>
            <w:hideMark/>
          </w:tcPr>
          <w:p w14:paraId="7751EFA9"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1D642E5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2751A01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01772A7D"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3A59D4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138EA806" w14:textId="6A661779"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2D0B236" w14:textId="76EEFC1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w:t>
            </w:r>
          </w:p>
        </w:tc>
        <w:tc>
          <w:tcPr>
            <w:tcW w:w="1363" w:type="dxa"/>
            <w:gridSpan w:val="2"/>
            <w:tcBorders>
              <w:top w:val="nil"/>
              <w:left w:val="nil"/>
              <w:bottom w:val="nil"/>
              <w:right w:val="nil"/>
            </w:tcBorders>
            <w:noWrap/>
            <w:hideMark/>
          </w:tcPr>
          <w:p w14:paraId="0A1DEB9F" w14:textId="63C239B4"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50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1219ED78" w14:textId="77777777" w:rsidTr="001132A6">
        <w:trPr>
          <w:trHeight w:val="290"/>
        </w:trPr>
        <w:tc>
          <w:tcPr>
            <w:tcW w:w="2411" w:type="dxa"/>
            <w:tcBorders>
              <w:top w:val="nil"/>
              <w:left w:val="nil"/>
              <w:bottom w:val="nil"/>
              <w:right w:val="nil"/>
            </w:tcBorders>
            <w:noWrap/>
            <w:hideMark/>
          </w:tcPr>
          <w:p w14:paraId="3F928D25" w14:textId="60BEF6F9"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Breman</w:t>
            </w:r>
            <w:r w:rsidR="00FE331E" w:rsidRPr="00B93807">
              <w:rPr>
                <w:rFonts w:ascii="Garamond" w:eastAsia="Times New Roman" w:hAnsi="Garamond" w:cs="Calibri"/>
                <w:color w:val="000000"/>
                <w:kern w:val="0"/>
                <w:sz w:val="20"/>
                <w:szCs w:val="20"/>
                <w:lang w:eastAsia="fr-FR"/>
                <w14:ligatures w14:val="none"/>
              </w:rPr>
              <w:t xml:space="preserve"> </w:t>
            </w:r>
            <w:r w:rsidR="00FE331E" w:rsidRPr="00B93807">
              <w:rPr>
                <w:rFonts w:ascii="Garamond" w:eastAsia="Times New Roman" w:hAnsi="Garamond" w:cs="Calibri"/>
                <w:i/>
                <w:iCs/>
                <w:color w:val="000000"/>
                <w:kern w:val="0"/>
                <w:sz w:val="20"/>
                <w:szCs w:val="20"/>
                <w:lang w:eastAsia="fr-FR"/>
                <w14:ligatures w14:val="none"/>
              </w:rPr>
              <w:t>et al.</w:t>
            </w:r>
            <w:r w:rsidR="00FE331E" w:rsidRPr="00B93807">
              <w:rPr>
                <w:rFonts w:ascii="Garamond" w:eastAsia="Times New Roman" w:hAnsi="Garamond" w:cs="Calibri"/>
                <w:color w:val="000000"/>
                <w:kern w:val="0"/>
                <w:sz w:val="20"/>
                <w:szCs w:val="20"/>
                <w:lang w:eastAsia="fr-FR"/>
                <w14:ligatures w14:val="none"/>
              </w:rPr>
              <w:t xml:space="preserve"> </w:t>
            </w:r>
            <w:r w:rsidR="00FE331E" w:rsidRPr="00B93807">
              <w:rPr>
                <w:rFonts w:ascii="Garamond" w:eastAsia="Times New Roman" w:hAnsi="Garamond" w:cs="Calibri"/>
                <w:color w:val="000000"/>
                <w:kern w:val="0"/>
                <w:sz w:val="20"/>
                <w:szCs w:val="20"/>
                <w:lang w:eastAsia="fr-FR"/>
                <w14:ligatures w14:val="none"/>
              </w:rPr>
              <w:fldChar w:fldCharType="begin"/>
            </w:r>
            <w:r w:rsidR="00FE331E" w:rsidRPr="00B93807">
              <w:rPr>
                <w:rFonts w:ascii="Garamond" w:eastAsia="Times New Roman" w:hAnsi="Garamond" w:cs="Calibri"/>
                <w:color w:val="000000"/>
                <w:kern w:val="0"/>
                <w:sz w:val="20"/>
                <w:szCs w:val="20"/>
                <w:lang w:eastAsia="fr-FR"/>
                <w14:ligatures w14:val="none"/>
              </w:rPr>
              <w:instrText xml:space="preserve"> ADDIN ZOTERO_ITEM CSL_CITATION {"citationID":"zDCcXTWG","properties":{"formattedCitation":"[1]","plainCitation":"[1]","noteIndex":0},"citationItems":[{"id":3843,"uris":["http://zotero.org/users/1791235/items/WJLXLDJ4"],"itemData":{"id":3843,"type":"article-journal","abstract":"Increasing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00FE331E" w:rsidRPr="00B93807">
              <w:rPr>
                <w:rFonts w:ascii="Garamond" w:eastAsia="Times New Roman" w:hAnsi="Garamond" w:cs="Calibri"/>
                <w:color w:val="000000"/>
                <w:kern w:val="0"/>
                <w:sz w:val="20"/>
                <w:szCs w:val="20"/>
                <w:lang w:eastAsia="fr-FR"/>
                <w14:ligatures w14:val="none"/>
              </w:rPr>
              <w:fldChar w:fldCharType="separate"/>
            </w:r>
            <w:r w:rsidR="00FE331E" w:rsidRPr="00B93807">
              <w:rPr>
                <w:rFonts w:ascii="Garamond" w:hAnsi="Garamond"/>
                <w:sz w:val="20"/>
                <w:szCs w:val="20"/>
              </w:rPr>
              <w:t>[1]</w:t>
            </w:r>
            <w:r w:rsidR="00FE331E"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43D93A3"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1979</w:t>
            </w:r>
          </w:p>
        </w:tc>
        <w:tc>
          <w:tcPr>
            <w:tcW w:w="1636" w:type="dxa"/>
            <w:tcBorders>
              <w:top w:val="nil"/>
              <w:left w:val="nil"/>
              <w:bottom w:val="nil"/>
              <w:right w:val="nil"/>
            </w:tcBorders>
            <w:noWrap/>
            <w:hideMark/>
          </w:tcPr>
          <w:p w14:paraId="7955D430" w14:textId="00C281FA" w:rsidR="00D46672" w:rsidRPr="00732E62" w:rsidRDefault="001132A6" w:rsidP="00D46672">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6CBA3EEE"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400D164A"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511CE907"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D248AB5"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DEA2170"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A119DCD" w14:textId="24F37231"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10DFB2B1" w14:textId="33C66795"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38</w:t>
            </w:r>
          </w:p>
        </w:tc>
        <w:tc>
          <w:tcPr>
            <w:tcW w:w="1363" w:type="dxa"/>
            <w:gridSpan w:val="2"/>
            <w:tcBorders>
              <w:top w:val="nil"/>
              <w:left w:val="nil"/>
              <w:bottom w:val="nil"/>
              <w:right w:val="nil"/>
            </w:tcBorders>
            <w:noWrap/>
            <w:hideMark/>
          </w:tcPr>
          <w:p w14:paraId="01937C73" w14:textId="211129FF"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57</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9</w:t>
            </w:r>
          </w:p>
        </w:tc>
      </w:tr>
      <w:tr w:rsidR="00D46672" w:rsidRPr="00B93807" w14:paraId="18FEAB13" w14:textId="77777777" w:rsidTr="001132A6">
        <w:trPr>
          <w:trHeight w:val="290"/>
        </w:trPr>
        <w:tc>
          <w:tcPr>
            <w:tcW w:w="2411" w:type="dxa"/>
            <w:tcBorders>
              <w:top w:val="nil"/>
              <w:left w:val="nil"/>
              <w:bottom w:val="nil"/>
              <w:right w:val="nil"/>
            </w:tcBorders>
            <w:noWrap/>
            <w:hideMark/>
          </w:tcPr>
          <w:p w14:paraId="07B7D616" w14:textId="6B862DC0" w:rsidR="00D46672" w:rsidRPr="00732E62" w:rsidRDefault="00D46672" w:rsidP="00FE331E">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Arita</w:t>
            </w:r>
            <w:r w:rsidR="00FE331E" w:rsidRPr="00B93807">
              <w:rPr>
                <w:rFonts w:ascii="Garamond" w:eastAsia="Times New Roman" w:hAnsi="Garamond" w:cs="Calibri"/>
                <w:color w:val="000000"/>
                <w:kern w:val="0"/>
                <w:sz w:val="20"/>
                <w:szCs w:val="20"/>
                <w:lang w:eastAsia="fr-FR"/>
                <w14:ligatures w14:val="none"/>
              </w:rPr>
              <w:t xml:space="preserve"> </w:t>
            </w:r>
            <w:r w:rsidR="00FE331E" w:rsidRPr="00B93807">
              <w:rPr>
                <w:rFonts w:ascii="Garamond" w:eastAsia="Times New Roman" w:hAnsi="Garamond" w:cs="Calibri"/>
                <w:i/>
                <w:iCs/>
                <w:color w:val="000000"/>
                <w:kern w:val="0"/>
                <w:sz w:val="20"/>
                <w:szCs w:val="20"/>
                <w:lang w:eastAsia="fr-FR"/>
                <w14:ligatures w14:val="none"/>
              </w:rPr>
              <w:t>et al.</w:t>
            </w:r>
            <w:r w:rsidR="00FE331E" w:rsidRPr="00B93807">
              <w:rPr>
                <w:rFonts w:ascii="Garamond" w:eastAsia="Times New Roman" w:hAnsi="Garamond" w:cs="Calibri"/>
                <w:color w:val="000000"/>
                <w:kern w:val="0"/>
                <w:sz w:val="20"/>
                <w:szCs w:val="20"/>
                <w:lang w:eastAsia="fr-FR"/>
                <w14:ligatures w14:val="none"/>
              </w:rPr>
              <w:t xml:space="preserve"> </w:t>
            </w:r>
            <w:r w:rsidR="00FE331E" w:rsidRPr="00B93807">
              <w:rPr>
                <w:rFonts w:ascii="Garamond" w:eastAsia="Times New Roman" w:hAnsi="Garamond" w:cs="Calibri"/>
                <w:color w:val="000000"/>
                <w:kern w:val="0"/>
                <w:sz w:val="20"/>
                <w:szCs w:val="20"/>
                <w:lang w:eastAsia="fr-FR"/>
                <w14:ligatures w14:val="none"/>
              </w:rPr>
              <w:fldChar w:fldCharType="begin"/>
            </w:r>
            <w:r w:rsidR="00FE331E" w:rsidRPr="00B93807">
              <w:rPr>
                <w:rFonts w:ascii="Garamond" w:eastAsia="Times New Roman" w:hAnsi="Garamond" w:cs="Calibri"/>
                <w:color w:val="000000"/>
                <w:kern w:val="0"/>
                <w:sz w:val="20"/>
                <w:szCs w:val="20"/>
                <w:lang w:eastAsia="fr-FR"/>
                <w14:ligatures w14:val="none"/>
              </w:rPr>
              <w:instrText xml:space="preserve"> ADDIN ZOTERO_ITEM CSL_CITATION {"citationID":"QCVqOY8F","properties":{"formattedCitation":"[2]","plainCitation":"[2]","noteIndex":0},"citationItems":[{"id":4490,"uris":["http://zotero.org/users/1791235/items/XFE6XBUB"],"itemData":{"id":4490,"type":"article-journal","container-title":"The American journal of tropical medicine and hygiene","issue":"4","page":"781–789","source":"Google Scholar","title":"Human monkeypox: a newly emerged orthopoxvirus zoonosis in the tropical rain forests of Africa.","title-short":"Human monkeypox","volume":"34","author":[{"family":"Arita","given":"I."},{"family":"Jezek","given":"Z."},{"family":"Khodakevich","given":"L."},{"family":"Ruti","given":"Kalisa"}],"issued":{"date-parts":[["1985"]]}}}],"schema":"https://github.com/citation-style-language/schema/raw/master/csl-citation.json"} </w:instrText>
            </w:r>
            <w:r w:rsidR="00FE331E" w:rsidRPr="00B93807">
              <w:rPr>
                <w:rFonts w:ascii="Garamond" w:eastAsia="Times New Roman" w:hAnsi="Garamond" w:cs="Calibri"/>
                <w:color w:val="000000"/>
                <w:kern w:val="0"/>
                <w:sz w:val="20"/>
                <w:szCs w:val="20"/>
                <w:lang w:eastAsia="fr-FR"/>
                <w14:ligatures w14:val="none"/>
              </w:rPr>
              <w:fldChar w:fldCharType="separate"/>
            </w:r>
            <w:r w:rsidR="00FE331E" w:rsidRPr="00B93807">
              <w:rPr>
                <w:rFonts w:ascii="Garamond" w:hAnsi="Garamond"/>
                <w:sz w:val="20"/>
                <w:szCs w:val="20"/>
              </w:rPr>
              <w:t>[2]</w:t>
            </w:r>
            <w:r w:rsidR="00FE331E"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29CBF88"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1983</w:t>
            </w:r>
          </w:p>
        </w:tc>
        <w:tc>
          <w:tcPr>
            <w:tcW w:w="1636" w:type="dxa"/>
            <w:tcBorders>
              <w:top w:val="nil"/>
              <w:left w:val="nil"/>
              <w:bottom w:val="nil"/>
              <w:right w:val="nil"/>
            </w:tcBorders>
            <w:noWrap/>
            <w:hideMark/>
          </w:tcPr>
          <w:p w14:paraId="426C82B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Multinational</w:t>
            </w:r>
          </w:p>
        </w:tc>
        <w:tc>
          <w:tcPr>
            <w:tcW w:w="1559" w:type="dxa"/>
            <w:tcBorders>
              <w:top w:val="nil"/>
              <w:left w:val="nil"/>
              <w:bottom w:val="nil"/>
              <w:right w:val="nil"/>
            </w:tcBorders>
            <w:noWrap/>
            <w:hideMark/>
          </w:tcPr>
          <w:p w14:paraId="57DF481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BDD4C8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63CED83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114AE1F9"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0CBD55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6C33F52" w14:textId="39F09834"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2B60FDCA" w14:textId="25884129"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131</w:t>
            </w:r>
          </w:p>
        </w:tc>
        <w:tc>
          <w:tcPr>
            <w:tcW w:w="1363" w:type="dxa"/>
            <w:gridSpan w:val="2"/>
            <w:tcBorders>
              <w:top w:val="nil"/>
              <w:left w:val="nil"/>
              <w:bottom w:val="nil"/>
              <w:right w:val="nil"/>
            </w:tcBorders>
            <w:noWrap/>
            <w:hideMark/>
          </w:tcPr>
          <w:p w14:paraId="4B4B0B55" w14:textId="448037E8"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59</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5</w:t>
            </w:r>
          </w:p>
        </w:tc>
      </w:tr>
      <w:tr w:rsidR="001132A6" w:rsidRPr="00B93807" w14:paraId="22185B0C" w14:textId="77777777" w:rsidTr="001132A6">
        <w:trPr>
          <w:trHeight w:val="290"/>
        </w:trPr>
        <w:tc>
          <w:tcPr>
            <w:tcW w:w="2411" w:type="dxa"/>
            <w:tcBorders>
              <w:top w:val="nil"/>
              <w:left w:val="nil"/>
              <w:bottom w:val="nil"/>
              <w:right w:val="nil"/>
            </w:tcBorders>
            <w:noWrap/>
            <w:hideMark/>
          </w:tcPr>
          <w:p w14:paraId="7CF5C0A8" w14:textId="005F389C"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Jezek</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et al.</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color w:val="000000"/>
                <w:kern w:val="0"/>
                <w:sz w:val="20"/>
                <w:szCs w:val="20"/>
                <w:lang w:eastAsia="fr-FR"/>
                <w14:ligatures w14:val="none"/>
              </w:rPr>
              <w:fldChar w:fldCharType="begin"/>
            </w:r>
            <w:r w:rsidRPr="00B93807">
              <w:rPr>
                <w:rFonts w:ascii="Garamond" w:eastAsia="Times New Roman" w:hAnsi="Garamond" w:cs="Calibri"/>
                <w:color w:val="000000"/>
                <w:kern w:val="0"/>
                <w:sz w:val="20"/>
                <w:szCs w:val="20"/>
                <w:lang w:eastAsia="fr-FR"/>
                <w14:ligatures w14:val="none"/>
              </w:rPr>
              <w:instrText xml:space="preserve"> ADDIN ZOTERO_ITEM CSL_CITATION {"citationID":"0X6sC7PL","properties":{"formattedCitation":"[3]","plainCitation":"[3]","noteIndex":0},"citationItems":[{"id":3584,"uris":["http://zotero.org/users/1791235/items/S59Z6XAW"],"itemData":{"id":3584,"type":"article-journal","container-title":"Journal of Infectious Diseases","DOI":"10.1093/infdis/154.4.551","ISSN":"0022-1899, 1537-6613","issue":"4","journalAbbreviation":"Journal of Infectious Diseases","language":"en","page":"551-5","source":"DOI.org (Crossref)","title":"Human Monkeypox: A Study of 2,510 Contacts of 214 Patients","title-short":"Human Monkeypox","volume":"154","author":[{"family":"Jezek","given":"Z."},{"family":"Marennikova","given":"S. S."},{"family":"Mutumbo","given":"M."},{"family":"Nakano","given":"J. H."},{"family":"Paluku","given":"K. M."},{"family":"Szczeniowski","given":"M."}],"issued":{"date-parts":[["1986"]]}}}],"schema":"https://github.com/citation-style-language/schema/raw/master/csl-citation.json"} </w:instrText>
            </w:r>
            <w:r w:rsidRPr="00B93807">
              <w:rPr>
                <w:rFonts w:ascii="Garamond" w:eastAsia="Times New Roman" w:hAnsi="Garamond" w:cs="Calibri"/>
                <w:color w:val="000000"/>
                <w:kern w:val="0"/>
                <w:sz w:val="20"/>
                <w:szCs w:val="20"/>
                <w:lang w:eastAsia="fr-FR"/>
                <w14:ligatures w14:val="none"/>
              </w:rPr>
              <w:fldChar w:fldCharType="separate"/>
            </w:r>
            <w:r w:rsidRPr="00B93807">
              <w:rPr>
                <w:rFonts w:ascii="Garamond" w:hAnsi="Garamond"/>
                <w:sz w:val="20"/>
                <w:szCs w:val="20"/>
              </w:rPr>
              <w:t>[3]</w:t>
            </w:r>
            <w:r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AECD52E"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1985</w:t>
            </w:r>
          </w:p>
        </w:tc>
        <w:tc>
          <w:tcPr>
            <w:tcW w:w="1636" w:type="dxa"/>
            <w:tcBorders>
              <w:top w:val="nil"/>
              <w:left w:val="nil"/>
              <w:bottom w:val="nil"/>
              <w:right w:val="nil"/>
            </w:tcBorders>
            <w:noWrap/>
            <w:hideMark/>
          </w:tcPr>
          <w:p w14:paraId="6ABB3221" w14:textId="035BE29C"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D96A7B">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2A7F15E6"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6877E055"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59E61D88"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C07BF86"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04B5EB6"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667D164D" w14:textId="07454D70"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7CD6BED" w14:textId="4FF80146"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282</w:t>
            </w:r>
          </w:p>
        </w:tc>
        <w:tc>
          <w:tcPr>
            <w:tcW w:w="1363" w:type="dxa"/>
            <w:gridSpan w:val="2"/>
            <w:tcBorders>
              <w:top w:val="nil"/>
              <w:left w:val="nil"/>
              <w:bottom w:val="nil"/>
              <w:right w:val="nil"/>
            </w:tcBorders>
            <w:noWrap/>
            <w:hideMark/>
          </w:tcPr>
          <w:p w14:paraId="2AC6A799" w14:textId="04B3C77C"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39</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1132A6" w:rsidRPr="00B93807" w14:paraId="2F03238D" w14:textId="77777777" w:rsidTr="001132A6">
        <w:trPr>
          <w:trHeight w:val="290"/>
        </w:trPr>
        <w:tc>
          <w:tcPr>
            <w:tcW w:w="2411" w:type="dxa"/>
            <w:tcBorders>
              <w:top w:val="nil"/>
              <w:left w:val="nil"/>
              <w:bottom w:val="nil"/>
              <w:right w:val="nil"/>
            </w:tcBorders>
            <w:noWrap/>
            <w:hideMark/>
          </w:tcPr>
          <w:p w14:paraId="1B699342" w14:textId="4393AA15"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Meyer</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et al.</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color w:val="000000"/>
                <w:kern w:val="0"/>
                <w:sz w:val="20"/>
                <w:szCs w:val="20"/>
                <w:lang w:eastAsia="fr-FR"/>
                <w14:ligatures w14:val="none"/>
              </w:rPr>
              <w:fldChar w:fldCharType="begin"/>
            </w:r>
            <w:r w:rsidRPr="00B93807">
              <w:rPr>
                <w:rFonts w:ascii="Garamond" w:eastAsia="Times New Roman" w:hAnsi="Garamond" w:cs="Calibri"/>
                <w:color w:val="000000"/>
                <w:kern w:val="0"/>
                <w:sz w:val="20"/>
                <w:szCs w:val="20"/>
                <w:lang w:eastAsia="fr-FR"/>
                <w14:ligatures w14:val="none"/>
              </w:rPr>
              <w:instrText xml:space="preserve"> ADDIN ZOTERO_ITEM CSL_CITATION {"citationID":"vUqGrFaE","properties":{"formattedCitation":"[4]","plainCitation":"[4]","noteIndex":0},"citationItems":[{"id":3560,"uris":["http://zotero.org/users/1791235/items/IAXJMCZP"],"itemData":{"id":3560,"type":"article-journal","abstract":"Seven outbreaks of disease characterized by a pustular rash and suspected to have been caused by human monkeypox virus were investigated. The outbreaks occurred between February and August 2001 in the province of Equateur in the Democratic Republic of Congo. The outbreaks involved a total of 31 persons and caused five deaths. Specimens from 14 patients were available and were analyzed by electron microscopy, virus isolation, and PCR assays specific for monkeypox virus and varicella-zoster virus. We provide evidence that two outbreaks were indeed caused by monkeypox virus (16 cases, with four deaths), that in two outbreaks both monkeypox and varicella-zoster virus were involved (seven cases, with one death), and that two outbreaks were cases of chickenpox caused by infection with varicella-zoster virus (six cases, with no deaths). In one outbreak, no evidence for either monkeypox or chickenpox was found (two cases, with no deaths).","container-title":"Journal of Clinical Microbiology","DOI":"10.1128/JCM.40.8.2919-2921.2002","ISSN":"0095-1137","issue":"8","journalAbbreviation":"J Clin Microbiol","note":"PMID: 12149352\nPMCID: PMC120683","page":"2919-21","source":"PubMed Central","title":"Outbreaks of Disease Suspected of Being Due to Human Monkeypox Virus Infection in the Democratic Republic of Congo in 2001","volume":"40","author":[{"family":"Meyer","given":"Hermann"},{"family":"Perrichot","given":"Mathilde"},{"family":"Stemmler","given":"Markus"},{"family":"Emmerich","given":"Petra"},{"family":"Schmitz","given":"Herbert"},{"family":"Varaine","given":"Francis"},{"family":"Shungu","given":"Robert"},{"family":"Tshioko","given":"Florimond"},{"family":"Formenty","given":"Pierre"}],"issued":{"date-parts":[["2002"]]}}}],"schema":"https://github.com/citation-style-language/schema/raw/master/csl-citation.json"} </w:instrText>
            </w:r>
            <w:r w:rsidRPr="00B93807">
              <w:rPr>
                <w:rFonts w:ascii="Garamond" w:eastAsia="Times New Roman" w:hAnsi="Garamond" w:cs="Calibri"/>
                <w:color w:val="000000"/>
                <w:kern w:val="0"/>
                <w:sz w:val="20"/>
                <w:szCs w:val="20"/>
                <w:lang w:eastAsia="fr-FR"/>
                <w14:ligatures w14:val="none"/>
              </w:rPr>
              <w:fldChar w:fldCharType="separate"/>
            </w:r>
            <w:r w:rsidRPr="00B93807">
              <w:rPr>
                <w:rFonts w:ascii="Garamond" w:hAnsi="Garamond"/>
                <w:sz w:val="20"/>
                <w:szCs w:val="20"/>
              </w:rPr>
              <w:t>[4]</w:t>
            </w:r>
            <w:r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C4311C9"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2001</w:t>
            </w:r>
          </w:p>
        </w:tc>
        <w:tc>
          <w:tcPr>
            <w:tcW w:w="1636" w:type="dxa"/>
            <w:tcBorders>
              <w:top w:val="nil"/>
              <w:left w:val="nil"/>
              <w:bottom w:val="nil"/>
              <w:right w:val="nil"/>
            </w:tcBorders>
            <w:noWrap/>
            <w:hideMark/>
          </w:tcPr>
          <w:p w14:paraId="740E1872" w14:textId="67FF06AA"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D96A7B">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5BCCB1BE"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56CBA841"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5E02A479"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66C8E26"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D9619A1"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261F673" w14:textId="2853D3D8"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33388620" w14:textId="0A1CD650"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16</w:t>
            </w:r>
          </w:p>
        </w:tc>
        <w:tc>
          <w:tcPr>
            <w:tcW w:w="1363" w:type="dxa"/>
            <w:gridSpan w:val="2"/>
            <w:tcBorders>
              <w:top w:val="nil"/>
              <w:left w:val="nil"/>
              <w:bottom w:val="nil"/>
              <w:right w:val="nil"/>
            </w:tcBorders>
            <w:noWrap/>
            <w:hideMark/>
          </w:tcPr>
          <w:p w14:paraId="795AE4A9" w14:textId="7D7FB603"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68</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8</w:t>
            </w:r>
          </w:p>
        </w:tc>
      </w:tr>
      <w:tr w:rsidR="00D46672" w:rsidRPr="00B93807" w14:paraId="401FE1E7" w14:textId="77777777" w:rsidTr="001132A6">
        <w:trPr>
          <w:trHeight w:val="290"/>
        </w:trPr>
        <w:tc>
          <w:tcPr>
            <w:tcW w:w="2411" w:type="dxa"/>
            <w:tcBorders>
              <w:top w:val="nil"/>
              <w:left w:val="nil"/>
              <w:bottom w:val="nil"/>
              <w:right w:val="nil"/>
            </w:tcBorders>
            <w:noWrap/>
            <w:hideMark/>
          </w:tcPr>
          <w:p w14:paraId="2677B150" w14:textId="68912866" w:rsidR="00D46672" w:rsidRPr="00732E62" w:rsidRDefault="00D46672" w:rsidP="00D26625">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Boumandouki</w:t>
            </w:r>
            <w:proofErr w:type="spellEnd"/>
            <w:r w:rsidR="00892CF0" w:rsidRPr="00B93807">
              <w:rPr>
                <w:rFonts w:ascii="Garamond" w:eastAsia="Times New Roman" w:hAnsi="Garamond" w:cs="Calibri"/>
                <w:color w:val="000000"/>
                <w:kern w:val="0"/>
                <w:sz w:val="20"/>
                <w:szCs w:val="20"/>
                <w:lang w:eastAsia="fr-FR"/>
                <w14:ligatures w14:val="none"/>
              </w:rPr>
              <w:t xml:space="preserve"> </w:t>
            </w:r>
            <w:r w:rsidR="00892CF0" w:rsidRPr="00B93807">
              <w:rPr>
                <w:rFonts w:ascii="Garamond" w:eastAsia="Times New Roman" w:hAnsi="Garamond" w:cs="Calibri"/>
                <w:i/>
                <w:iCs/>
                <w:color w:val="000000"/>
                <w:kern w:val="0"/>
                <w:sz w:val="20"/>
                <w:szCs w:val="20"/>
                <w:lang w:eastAsia="fr-FR"/>
                <w14:ligatures w14:val="none"/>
              </w:rPr>
              <w:t>et al.</w:t>
            </w:r>
            <w:r w:rsidR="00892CF0" w:rsidRPr="00B93807">
              <w:rPr>
                <w:rFonts w:ascii="Garamond" w:eastAsia="Times New Roman" w:hAnsi="Garamond" w:cs="Calibri"/>
                <w:color w:val="000000"/>
                <w:kern w:val="0"/>
                <w:sz w:val="20"/>
                <w:szCs w:val="20"/>
                <w:lang w:eastAsia="fr-FR"/>
                <w14:ligatures w14:val="none"/>
              </w:rPr>
              <w:t xml:space="preserve"> </w:t>
            </w:r>
            <w:r w:rsidR="00892CF0" w:rsidRPr="00B93807">
              <w:rPr>
                <w:rFonts w:ascii="Garamond" w:eastAsia="Times New Roman" w:hAnsi="Garamond" w:cs="Calibri"/>
                <w:color w:val="000000"/>
                <w:kern w:val="0"/>
                <w:sz w:val="20"/>
                <w:szCs w:val="20"/>
                <w:lang w:eastAsia="fr-FR"/>
                <w14:ligatures w14:val="none"/>
              </w:rPr>
              <w:fldChar w:fldCharType="begin"/>
            </w:r>
            <w:r w:rsidR="00D26625" w:rsidRPr="00B93807">
              <w:rPr>
                <w:rFonts w:ascii="Garamond" w:eastAsia="Times New Roman" w:hAnsi="Garamond" w:cs="Calibri"/>
                <w:color w:val="000000"/>
                <w:kern w:val="0"/>
                <w:sz w:val="20"/>
                <w:szCs w:val="20"/>
                <w:lang w:eastAsia="fr-FR"/>
                <w14:ligatures w14:val="none"/>
              </w:rPr>
              <w:instrText xml:space="preserve"> ADDIN ZOTERO_ITEM CSL_CITATION {"citationID":"6bIlyBMe","properties":{"formattedCitation":"[5]","plainCitation":"[5]","noteIndex":0},"citationItems":[{"id":4723,"uris":["http://zotero.org/users/1791235/items/WXFECLD7"],"itemData":{"id":4723,"type":"article-journal","abstract":"Monkeypox or simian smallpox is a viral disease whose clinical manifestations are similar to the human smallpox. In this study authors describe the care management and follow up of eight patients hospitalized at the Impfondo hospital in Congo. It was a transversal study conducted from the 23rd of May till the 7th of July 2003 at the District Hospital of Impfondo (Likouala province, Republic of Congo). We have analyzed 81 patient files hospitalized during that period. Using the Atlanta CDC criteria of case definition modified in 2003, monkeypox has been diagnosed in 8 patients. Our series has 4 male and 4 female patients. The mean age is 9.05 +/- 5.86 with extremes ranging from 5 months to 18 years old. The clinical manifestations included fever (n = 7), rash (n=8), articulations and muscles pains (n=2), mumps (n=4) and pruritus (n=6). 7 patients recovered among them 5 without complications and 2 with persistent hypochromic lesions for more than 6 weeks. The monkeypox strain responsible for these infections appeared not to be lethal to humans. However this study shows that monkeypox is an endemic public health risk in the sanitary district of Impfondo, within the Congo River basin. The endemic presence of monkeypox in the Congo basin could trigger a new outbreak if the viral strains involved here became lethal.","container-title":"Bulletin De La Societe De Pathologie Exotique (1990)","ISSN":"0037-9085","issue":"1","journalAbbreviation":"Bull Soc Pathol Exot","language":"fre","note":"PMID: 17402687","page":"17-21","source":"PubMed","title":"[Simian smallpox (or monkey smallpox): study of 8 cases observed at Impfondo Hospital in Republic of Congo]","title-short":"[Simian smallpox (or monkey smallpox)","volume":"100","author":[{"family":"Boumandouki","given":"P."},{"family":"Bileckot","given":"R."},{"family":"Ibara","given":"J. R."},{"family":"Satounkazi","given":"C."},{"family":"Wassa Wassa","given":"D."},{"family":"Libama","given":"E."},{"family":"Moudzeo","given":"H."},{"family":"Bolanda","given":"J. D."},{"family":"Ngokaba","given":"C."}],"issued":{"date-parts":[["2007"]]}}}],"schema":"https://github.com/citation-style-language/schema/raw/master/csl-citation.json"} </w:instrText>
            </w:r>
            <w:r w:rsidR="00892CF0" w:rsidRPr="00B93807">
              <w:rPr>
                <w:rFonts w:ascii="Garamond" w:eastAsia="Times New Roman" w:hAnsi="Garamond" w:cs="Calibri"/>
                <w:color w:val="000000"/>
                <w:kern w:val="0"/>
                <w:sz w:val="20"/>
                <w:szCs w:val="20"/>
                <w:lang w:eastAsia="fr-FR"/>
                <w14:ligatures w14:val="none"/>
              </w:rPr>
              <w:fldChar w:fldCharType="separate"/>
            </w:r>
            <w:r w:rsidR="00D26625" w:rsidRPr="00B93807">
              <w:rPr>
                <w:rFonts w:ascii="Garamond" w:hAnsi="Garamond"/>
                <w:sz w:val="20"/>
                <w:szCs w:val="20"/>
              </w:rPr>
              <w:t>[5]</w:t>
            </w:r>
            <w:r w:rsidR="00892CF0"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58DA22C7"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2003</w:t>
            </w:r>
          </w:p>
        </w:tc>
        <w:tc>
          <w:tcPr>
            <w:tcW w:w="1636" w:type="dxa"/>
            <w:tcBorders>
              <w:top w:val="nil"/>
              <w:left w:val="nil"/>
              <w:bottom w:val="nil"/>
              <w:right w:val="nil"/>
            </w:tcBorders>
            <w:noWrap/>
            <w:hideMark/>
          </w:tcPr>
          <w:p w14:paraId="43750888"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Congo</w:t>
            </w:r>
          </w:p>
        </w:tc>
        <w:tc>
          <w:tcPr>
            <w:tcW w:w="1559" w:type="dxa"/>
            <w:tcBorders>
              <w:top w:val="nil"/>
              <w:left w:val="nil"/>
              <w:bottom w:val="nil"/>
              <w:right w:val="nil"/>
            </w:tcBorders>
            <w:noWrap/>
            <w:hideMark/>
          </w:tcPr>
          <w:p w14:paraId="7BD513E2" w14:textId="3BDF0923" w:rsidR="00D46672" w:rsidRPr="00732E62" w:rsidRDefault="00AC2364" w:rsidP="00D46672">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hideMark/>
          </w:tcPr>
          <w:p w14:paraId="3868B412"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23D0F0D4"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1B3CA23"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95E6162"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04CA96B7" w14:textId="282EC53D"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B04A11A" w14:textId="017F79F2"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w:t>
            </w:r>
          </w:p>
        </w:tc>
        <w:tc>
          <w:tcPr>
            <w:tcW w:w="1363" w:type="dxa"/>
            <w:gridSpan w:val="2"/>
            <w:tcBorders>
              <w:top w:val="nil"/>
              <w:left w:val="nil"/>
              <w:bottom w:val="nil"/>
              <w:right w:val="nil"/>
            </w:tcBorders>
            <w:noWrap/>
            <w:hideMark/>
          </w:tcPr>
          <w:p w14:paraId="7F6AD2A4" w14:textId="0BC4AF95"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100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6FEB38C5" w14:textId="77777777" w:rsidTr="001132A6">
        <w:trPr>
          <w:trHeight w:val="290"/>
        </w:trPr>
        <w:tc>
          <w:tcPr>
            <w:tcW w:w="2411" w:type="dxa"/>
            <w:tcBorders>
              <w:top w:val="nil"/>
              <w:left w:val="nil"/>
              <w:bottom w:val="nil"/>
              <w:right w:val="nil"/>
            </w:tcBorders>
            <w:noWrap/>
            <w:hideMark/>
          </w:tcPr>
          <w:p w14:paraId="222A2C5E" w14:textId="78FCCF8B" w:rsidR="00D46672" w:rsidRPr="00732E62" w:rsidRDefault="00D46672" w:rsidP="00D26625">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Forment</w:t>
            </w:r>
            <w:r w:rsidR="00D26625" w:rsidRPr="00B93807">
              <w:rPr>
                <w:rFonts w:ascii="Garamond" w:eastAsia="Times New Roman" w:hAnsi="Garamond" w:cs="Calibri"/>
                <w:color w:val="000000"/>
                <w:kern w:val="0"/>
                <w:sz w:val="20"/>
                <w:szCs w:val="20"/>
                <w:lang w:eastAsia="fr-FR"/>
                <w14:ligatures w14:val="none"/>
              </w:rPr>
              <w:t>y</w:t>
            </w:r>
            <w:proofErr w:type="spellEnd"/>
            <w:r w:rsidR="00D26625" w:rsidRPr="00B93807">
              <w:rPr>
                <w:rFonts w:ascii="Garamond" w:eastAsia="Times New Roman" w:hAnsi="Garamond" w:cs="Calibri"/>
                <w:color w:val="000000"/>
                <w:kern w:val="0"/>
                <w:sz w:val="20"/>
                <w:szCs w:val="20"/>
                <w:lang w:eastAsia="fr-FR"/>
                <w14:ligatures w14:val="none"/>
              </w:rPr>
              <w:t xml:space="preserve"> </w:t>
            </w:r>
            <w:r w:rsidR="00D26625" w:rsidRPr="00B93807">
              <w:rPr>
                <w:rFonts w:ascii="Garamond" w:eastAsia="Times New Roman" w:hAnsi="Garamond" w:cs="Calibri"/>
                <w:i/>
                <w:iCs/>
                <w:color w:val="000000"/>
                <w:kern w:val="0"/>
                <w:sz w:val="20"/>
                <w:szCs w:val="20"/>
                <w:lang w:eastAsia="fr-FR"/>
                <w14:ligatures w14:val="none"/>
              </w:rPr>
              <w:t>et al.</w:t>
            </w:r>
            <w:r w:rsidR="00D26625" w:rsidRPr="00B93807">
              <w:rPr>
                <w:rFonts w:ascii="Garamond" w:eastAsia="Times New Roman" w:hAnsi="Garamond" w:cs="Calibri"/>
                <w:color w:val="000000"/>
                <w:kern w:val="0"/>
                <w:sz w:val="20"/>
                <w:szCs w:val="20"/>
                <w:lang w:eastAsia="fr-FR"/>
                <w14:ligatures w14:val="none"/>
              </w:rPr>
              <w:t xml:space="preserve"> </w:t>
            </w:r>
            <w:r w:rsidR="00D26625" w:rsidRPr="00B93807">
              <w:rPr>
                <w:rFonts w:ascii="Garamond" w:eastAsia="Times New Roman" w:hAnsi="Garamond" w:cs="Calibri"/>
                <w:color w:val="000000"/>
                <w:kern w:val="0"/>
                <w:sz w:val="20"/>
                <w:szCs w:val="20"/>
                <w:lang w:eastAsia="fr-FR"/>
                <w14:ligatures w14:val="none"/>
              </w:rPr>
              <w:fldChar w:fldCharType="begin"/>
            </w:r>
            <w:r w:rsidR="006B6CB4" w:rsidRPr="00B93807">
              <w:rPr>
                <w:rFonts w:ascii="Garamond" w:eastAsia="Times New Roman" w:hAnsi="Garamond" w:cs="Calibri"/>
                <w:color w:val="000000"/>
                <w:kern w:val="0"/>
                <w:sz w:val="20"/>
                <w:szCs w:val="20"/>
                <w:lang w:eastAsia="fr-FR"/>
                <w14:ligatures w14:val="none"/>
              </w:rPr>
              <w:instrText xml:space="preserve"> ADDIN ZOTERO_ITEM CSL_CITATION {"citationID":"ysc4e191","properties":{"formattedCitation":"[5]","plainCitation":"[5]","noteIndex":0},"citationItems":[{"id":4723,"uris":["http://zotero.org/users/1791235/items/WXFECLD7"],"itemData":{"id":4723,"type":"article-journal","abstract":"Monkeypox or simian smallpox is a viral disease whose clinical manifestations are similar to the human smallpox. In this study authors describe the care management and follow up of eight patients hospitalized at the Impfondo hospital in Congo. It was a transversal study conducted from the 23rd of May till the 7th of July 2003 at the District Hospital of Impfondo (Likouala province, Republic of Congo). We have analyzed 81 patient files hospitalized during that period. Using the Atlanta CDC criteria of case definition modified in 2003, monkeypox has been diagnosed in 8 patients. Our series has 4 male and 4 female patients. The mean age is 9.05 +/- 5.86 with extremes ranging from 5 months to 18 years old. The clinical manifestations included fever (n = 7), rash (n=8), articulations and muscles pains (n=2), mumps (n=4) and pruritus (n=6). 7 patients recovered among them 5 without complications and 2 with persistent hypochromic lesions for more than 6 weeks. The monkeypox strain responsible for these infections appeared not to be lethal to humans. However this study shows that monkeypox is an endemic public health risk in the sanitary district of Impfondo, within the Congo River basin. The endemic presence of monkeypox in the Congo basin could trigger a new outbreak if the viral strains involved here became lethal.","container-title":"Bulletin De La Societe De Pathologie Exotique (1990)","ISSN":"0037-9085","issue":"1","journalAbbreviation":"Bull Soc Pathol Exot","language":"fre","note":"PMID: 17402687","page":"17-21","source":"PubMed","title":"[Simian smallpox (or monkey smallpox): study of 8 cases observed at Impfondo Hospital in Republic of Congo]","title-short":"[Simian smallpox (or monkey smallpox)","volume":"100","author":[{"family":"Boumandouki","given":"P."},{"family":"Bileckot","given":"R."},{"family":"Ibara","given":"J. R."},{"family":"Satounkazi","given":"C."},{"family":"Wassa Wassa","given":"D."},{"family":"Libama","given":"E."},{"family":"Moudzeo","given":"H."},{"family":"Bolanda","given":"J. D."},{"family":"Ngokaba","given":"C."}],"issued":{"date-parts":[["2007"]]}}}],"schema":"https://github.com/citation-style-language/schema/raw/master/csl-citation.json"} </w:instrText>
            </w:r>
            <w:r w:rsidR="00D26625" w:rsidRPr="00B93807">
              <w:rPr>
                <w:rFonts w:ascii="Garamond" w:eastAsia="Times New Roman" w:hAnsi="Garamond" w:cs="Calibri"/>
                <w:color w:val="000000"/>
                <w:kern w:val="0"/>
                <w:sz w:val="20"/>
                <w:szCs w:val="20"/>
                <w:lang w:eastAsia="fr-FR"/>
                <w14:ligatures w14:val="none"/>
              </w:rPr>
              <w:fldChar w:fldCharType="separate"/>
            </w:r>
            <w:r w:rsidR="00D26625" w:rsidRPr="00B93807">
              <w:rPr>
                <w:rFonts w:ascii="Garamond" w:hAnsi="Garamond"/>
                <w:sz w:val="20"/>
                <w:szCs w:val="20"/>
              </w:rPr>
              <w:t>[5]</w:t>
            </w:r>
            <w:r w:rsidR="00D26625"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6F4D6A2"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2005</w:t>
            </w:r>
          </w:p>
        </w:tc>
        <w:tc>
          <w:tcPr>
            <w:tcW w:w="1636" w:type="dxa"/>
            <w:tcBorders>
              <w:top w:val="nil"/>
              <w:left w:val="nil"/>
              <w:bottom w:val="nil"/>
              <w:right w:val="nil"/>
            </w:tcBorders>
            <w:noWrap/>
            <w:hideMark/>
          </w:tcPr>
          <w:p w14:paraId="39DADF7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Sudan</w:t>
            </w:r>
          </w:p>
        </w:tc>
        <w:tc>
          <w:tcPr>
            <w:tcW w:w="1559" w:type="dxa"/>
            <w:tcBorders>
              <w:top w:val="nil"/>
              <w:left w:val="nil"/>
              <w:bottom w:val="nil"/>
              <w:right w:val="nil"/>
            </w:tcBorders>
            <w:noWrap/>
            <w:hideMark/>
          </w:tcPr>
          <w:p w14:paraId="1CBABCA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42E535C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6E4BFF15"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485BDE4"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9D2B802"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hideMark/>
          </w:tcPr>
          <w:p w14:paraId="33E9F906" w14:textId="41DFA79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32031BEB" w14:textId="536D2DCF"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10</w:t>
            </w:r>
          </w:p>
        </w:tc>
        <w:tc>
          <w:tcPr>
            <w:tcW w:w="1363" w:type="dxa"/>
            <w:gridSpan w:val="2"/>
            <w:tcBorders>
              <w:top w:val="nil"/>
              <w:left w:val="nil"/>
              <w:bottom w:val="nil"/>
              <w:right w:val="nil"/>
            </w:tcBorders>
            <w:noWrap/>
            <w:hideMark/>
          </w:tcPr>
          <w:p w14:paraId="52144D6D" w14:textId="2CB6276C"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4853EB5E" w14:textId="77777777" w:rsidTr="001132A6">
        <w:trPr>
          <w:trHeight w:val="290"/>
        </w:trPr>
        <w:tc>
          <w:tcPr>
            <w:tcW w:w="2411" w:type="dxa"/>
            <w:tcBorders>
              <w:top w:val="nil"/>
              <w:left w:val="nil"/>
              <w:bottom w:val="nil"/>
              <w:right w:val="nil"/>
            </w:tcBorders>
            <w:noWrap/>
            <w:hideMark/>
          </w:tcPr>
          <w:p w14:paraId="2DEDC62B" w14:textId="148903AB" w:rsidR="00D46672" w:rsidRPr="00732E62" w:rsidRDefault="00D46672" w:rsidP="006B6CB4">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Damon</w:t>
            </w:r>
            <w:r w:rsidR="006B6CB4" w:rsidRPr="00B93807">
              <w:rPr>
                <w:rFonts w:ascii="Garamond" w:eastAsia="Times New Roman" w:hAnsi="Garamond" w:cs="Calibri"/>
                <w:color w:val="000000"/>
                <w:kern w:val="0"/>
                <w:sz w:val="20"/>
                <w:szCs w:val="20"/>
                <w:lang w:eastAsia="fr-FR"/>
                <w14:ligatures w14:val="none"/>
              </w:rPr>
              <w:t xml:space="preserve"> </w:t>
            </w:r>
            <w:r w:rsidR="006B6CB4" w:rsidRPr="00B93807">
              <w:rPr>
                <w:rFonts w:ascii="Garamond" w:eastAsia="Times New Roman" w:hAnsi="Garamond" w:cs="Calibri"/>
                <w:i/>
                <w:iCs/>
                <w:color w:val="000000"/>
                <w:kern w:val="0"/>
                <w:sz w:val="20"/>
                <w:szCs w:val="20"/>
                <w:lang w:eastAsia="fr-FR"/>
                <w14:ligatures w14:val="none"/>
              </w:rPr>
              <w:t xml:space="preserve">et al. </w:t>
            </w:r>
            <w:r w:rsidR="006B6CB4" w:rsidRPr="00B93807">
              <w:rPr>
                <w:rFonts w:ascii="Garamond" w:eastAsia="Times New Roman" w:hAnsi="Garamond" w:cs="Calibri"/>
                <w:color w:val="000000"/>
                <w:kern w:val="0"/>
                <w:sz w:val="20"/>
                <w:szCs w:val="20"/>
                <w:lang w:eastAsia="fr-FR"/>
                <w14:ligatures w14:val="none"/>
              </w:rPr>
              <w:fldChar w:fldCharType="begin"/>
            </w:r>
            <w:r w:rsidR="006B6CB4" w:rsidRPr="00B93807">
              <w:rPr>
                <w:rFonts w:ascii="Garamond" w:eastAsia="Times New Roman" w:hAnsi="Garamond" w:cs="Calibri"/>
                <w:color w:val="000000"/>
                <w:kern w:val="0"/>
                <w:sz w:val="20"/>
                <w:szCs w:val="20"/>
                <w:lang w:eastAsia="fr-FR"/>
                <w14:ligatures w14:val="none"/>
              </w:rPr>
              <w:instrText xml:space="preserve"> ADDIN ZOTERO_ITEM CSL_CITATION {"citationID":"IODZlf1b","properties":{"formattedCitation":"[6]","plainCitation":"[6]","noteIndex":0},"citationItems":[{"id":3511,"uris":["http://zotero.org/users/1791235/items/YESWT3GR"],"itemData":{"id":3511,"type":"article-journal","abstract":"To the Editor: On November 4, 2005, the Poxvirus Program at the Centers for Disease Control and Prevention (CDC), a World Health Organization (WHO) Collaborating Center for Smallpox and other Poxvirus Infections, was contacted by a former volunteer with Médecins sans Frontières (MSF) with a request for information regarding a child with a generalized pustular rash illness in southern Sudan. On the basis of a review of a photograph of the child (Figure 1), dated October 28, 2005, and limited clinical information describing a febrile period of disease, it was agreed that the findings were suggestive of a systemic orthopoxvirus . . .","container-title":"New England Journal of Medicine","DOI":"10.1056/NEJMc060792","ISSN":"0028-4793","issue":"9","note":"publisher: Massachusetts Medical Society\n_eprint: https://www.nejm.org/doi/pdf/10.1056/NEJMc060792","page":"962-63","source":"Taylor and Francis+NEJM","title":"Discovery of Monkeypox in Sudan","volume":"355","author":[{"family":"Damon","given":"Inger K."},{"family":"Roth","given":"Cathy E."},{"family":"Chowdhary","given":"Vipul"}],"issued":{"date-parts":[["2006"]]}}}],"schema":"https://github.com/citation-style-language/schema/raw/master/csl-citation.json"} </w:instrText>
            </w:r>
            <w:r w:rsidR="006B6CB4" w:rsidRPr="00B93807">
              <w:rPr>
                <w:rFonts w:ascii="Garamond" w:eastAsia="Times New Roman" w:hAnsi="Garamond" w:cs="Calibri"/>
                <w:color w:val="000000"/>
                <w:kern w:val="0"/>
                <w:sz w:val="20"/>
                <w:szCs w:val="20"/>
                <w:lang w:eastAsia="fr-FR"/>
                <w14:ligatures w14:val="none"/>
              </w:rPr>
              <w:fldChar w:fldCharType="separate"/>
            </w:r>
            <w:r w:rsidR="006B6CB4" w:rsidRPr="00B93807">
              <w:rPr>
                <w:rFonts w:ascii="Garamond" w:hAnsi="Garamond"/>
                <w:sz w:val="20"/>
                <w:szCs w:val="20"/>
              </w:rPr>
              <w:t>[6]</w:t>
            </w:r>
            <w:r w:rsidR="006B6CB4"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15D828F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2005</w:t>
            </w:r>
          </w:p>
        </w:tc>
        <w:tc>
          <w:tcPr>
            <w:tcW w:w="1636" w:type="dxa"/>
            <w:tcBorders>
              <w:top w:val="nil"/>
              <w:left w:val="nil"/>
              <w:bottom w:val="nil"/>
              <w:right w:val="nil"/>
            </w:tcBorders>
            <w:noWrap/>
            <w:hideMark/>
          </w:tcPr>
          <w:p w14:paraId="20A8D1FE"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Sudan</w:t>
            </w:r>
          </w:p>
        </w:tc>
        <w:tc>
          <w:tcPr>
            <w:tcW w:w="1559" w:type="dxa"/>
            <w:tcBorders>
              <w:top w:val="nil"/>
              <w:left w:val="nil"/>
              <w:bottom w:val="nil"/>
              <w:right w:val="nil"/>
            </w:tcBorders>
            <w:noWrap/>
            <w:hideMark/>
          </w:tcPr>
          <w:p w14:paraId="078CC895"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Case report</w:t>
            </w:r>
          </w:p>
        </w:tc>
        <w:tc>
          <w:tcPr>
            <w:tcW w:w="1180" w:type="dxa"/>
            <w:tcBorders>
              <w:top w:val="nil"/>
              <w:left w:val="nil"/>
              <w:bottom w:val="nil"/>
              <w:right w:val="nil"/>
            </w:tcBorders>
            <w:noWrap/>
            <w:hideMark/>
          </w:tcPr>
          <w:p w14:paraId="3EF79E4C"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3C809CD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D0E4FD5"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191962C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hideMark/>
          </w:tcPr>
          <w:p w14:paraId="7DEFB300" w14:textId="2B006FDB"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FB2FC1C" w14:textId="2A4A81F2"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w:t>
            </w:r>
          </w:p>
        </w:tc>
        <w:tc>
          <w:tcPr>
            <w:tcW w:w="1363" w:type="dxa"/>
            <w:gridSpan w:val="2"/>
            <w:tcBorders>
              <w:top w:val="nil"/>
              <w:left w:val="nil"/>
              <w:bottom w:val="nil"/>
              <w:right w:val="nil"/>
            </w:tcBorders>
            <w:noWrap/>
            <w:hideMark/>
          </w:tcPr>
          <w:p w14:paraId="58D040D4" w14:textId="71C779D3"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50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6E69B6C5" w14:textId="77777777" w:rsidTr="001132A6">
        <w:trPr>
          <w:trHeight w:val="290"/>
        </w:trPr>
        <w:tc>
          <w:tcPr>
            <w:tcW w:w="2411" w:type="dxa"/>
            <w:tcBorders>
              <w:top w:val="nil"/>
              <w:left w:val="nil"/>
              <w:bottom w:val="nil"/>
              <w:right w:val="nil"/>
            </w:tcBorders>
            <w:noWrap/>
            <w:hideMark/>
          </w:tcPr>
          <w:p w14:paraId="567953A2" w14:textId="27C1451F" w:rsidR="00D46672" w:rsidRPr="00732E62" w:rsidRDefault="00D46672" w:rsidP="006B6CB4">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Hoff</w:t>
            </w:r>
            <w:r w:rsidR="006B6CB4" w:rsidRPr="00B93807">
              <w:rPr>
                <w:rFonts w:ascii="Garamond" w:eastAsia="Times New Roman" w:hAnsi="Garamond" w:cs="Calibri"/>
                <w:color w:val="000000"/>
                <w:kern w:val="0"/>
                <w:sz w:val="20"/>
                <w:szCs w:val="20"/>
                <w:lang w:eastAsia="fr-FR"/>
                <w14:ligatures w14:val="none"/>
              </w:rPr>
              <w:t xml:space="preserve"> </w:t>
            </w:r>
            <w:r w:rsidR="006B6CB4" w:rsidRPr="00B93807">
              <w:rPr>
                <w:rFonts w:ascii="Garamond" w:eastAsia="Times New Roman" w:hAnsi="Garamond" w:cs="Calibri"/>
                <w:i/>
                <w:iCs/>
                <w:color w:val="000000"/>
                <w:kern w:val="0"/>
                <w:sz w:val="20"/>
                <w:szCs w:val="20"/>
                <w:lang w:eastAsia="fr-FR"/>
                <w14:ligatures w14:val="none"/>
              </w:rPr>
              <w:t>et al.</w:t>
            </w:r>
            <w:r w:rsidR="006B6CB4" w:rsidRPr="00B93807">
              <w:rPr>
                <w:rFonts w:ascii="Garamond" w:eastAsia="Times New Roman" w:hAnsi="Garamond" w:cs="Calibri"/>
                <w:color w:val="000000"/>
                <w:kern w:val="0"/>
                <w:sz w:val="20"/>
                <w:szCs w:val="20"/>
                <w:lang w:eastAsia="fr-FR"/>
                <w14:ligatures w14:val="none"/>
              </w:rPr>
              <w:t xml:space="preserve"> </w:t>
            </w:r>
            <w:r w:rsidR="006B6CB4" w:rsidRPr="00B93807">
              <w:rPr>
                <w:rFonts w:ascii="Garamond" w:eastAsia="Times New Roman" w:hAnsi="Garamond" w:cs="Calibri"/>
                <w:color w:val="000000"/>
                <w:kern w:val="0"/>
                <w:sz w:val="20"/>
                <w:szCs w:val="20"/>
                <w:lang w:eastAsia="fr-FR"/>
                <w14:ligatures w14:val="none"/>
              </w:rPr>
              <w:fldChar w:fldCharType="begin"/>
            </w:r>
            <w:r w:rsidR="006B6CB4" w:rsidRPr="00B93807">
              <w:rPr>
                <w:rFonts w:ascii="Garamond" w:eastAsia="Times New Roman" w:hAnsi="Garamond" w:cs="Calibri"/>
                <w:color w:val="000000"/>
                <w:kern w:val="0"/>
                <w:sz w:val="20"/>
                <w:szCs w:val="20"/>
                <w:lang w:eastAsia="fr-FR"/>
                <w14:ligatures w14:val="none"/>
              </w:rPr>
              <w:instrText xml:space="preserve"> ADDIN ZOTERO_ITEM CSL_CITATION {"citationID":"kCI236oM","properties":{"formattedCitation":"[7]","plainCitation":"[7]","noteIndex":0},"citationItems":[{"id":3622,"uris":["http://zotero.org/users/1791235/items/GPFVFK8F"],"itemData":{"id":3622,"type":"article-journal","abstract":"From 2006 to 2007, an active surveillance program for human monkeypox (MPX) in the Democratic Republic of the Congo identified 151 cases of coinfection with monkeypox virus and varicella zoster virus from 1158 suspected cases of human MPX (13%). Using clinical and socio-demographic data collected with standardized instruments by trained, local nurse supervisors, we examined a variety of hypotheses to explain the unexpectedly high proportion of coinfections among the sample, including the hypothesis that the two viruses occur independently. The probabilities of disease incidence and selection necessary to yield the observed sample proportion of coinfections under an assumption of independence are plausible given what is known and assumed about human MPX incidence. Cases of human MPX are expected to be underreported, and more coinfections are expected with improved surveillance.","container-title":"EcoHealth","DOI":"10.1007/s10393-017-1266-5","ISSN":"1612-9210","issue":"3","journalAbbreviation":"EcoHealth","language":"en","page":"564-74","source":"Springer Link","title":"Varicella Coinfection in Patients with Active Monkeypox in the Democratic Republic of the Congo","volume":"14","author":[{"family":"Hoff","given":"Nicole A."},{"family":"Morier","given":"Douglas S."},{"family":"Kisalu","given":"Neville K."},{"family":"Johnston","given":"Sara C."},{"family":"Doshi","given":"Reena H."},{"family":"Hensley","given":"Lisa E."},{"family":"Okitolonda-Wemakoy","given":"Emile"},{"family":"Muyembe-Tamfum","given":"Jean Jacques"},{"family":"Lloyd-Smith","given":"James O."},{"family":"Rimoin","given":"Anne W."}],"issued":{"date-parts":[["2017"]]}}}],"schema":"https://github.com/citation-style-language/schema/raw/master/csl-citation.json"} </w:instrText>
            </w:r>
            <w:r w:rsidR="006B6CB4" w:rsidRPr="00B93807">
              <w:rPr>
                <w:rFonts w:ascii="Garamond" w:eastAsia="Times New Roman" w:hAnsi="Garamond" w:cs="Calibri"/>
                <w:color w:val="000000"/>
                <w:kern w:val="0"/>
                <w:sz w:val="20"/>
                <w:szCs w:val="20"/>
                <w:lang w:eastAsia="fr-FR"/>
                <w14:ligatures w14:val="none"/>
              </w:rPr>
              <w:fldChar w:fldCharType="separate"/>
            </w:r>
            <w:r w:rsidR="006B6CB4" w:rsidRPr="00B93807">
              <w:rPr>
                <w:rFonts w:ascii="Garamond" w:hAnsi="Garamond"/>
                <w:sz w:val="20"/>
                <w:szCs w:val="20"/>
              </w:rPr>
              <w:t>[7]</w:t>
            </w:r>
            <w:r w:rsidR="006B6CB4"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078A499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2007</w:t>
            </w:r>
          </w:p>
        </w:tc>
        <w:tc>
          <w:tcPr>
            <w:tcW w:w="1636" w:type="dxa"/>
            <w:tcBorders>
              <w:top w:val="nil"/>
              <w:left w:val="nil"/>
              <w:bottom w:val="nil"/>
              <w:right w:val="nil"/>
            </w:tcBorders>
            <w:noWrap/>
            <w:hideMark/>
          </w:tcPr>
          <w:p w14:paraId="5F34FFBD" w14:textId="12AC4F71" w:rsidR="00D46672" w:rsidRPr="00732E62" w:rsidRDefault="001132A6" w:rsidP="00D46672">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0F43DB1E"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3939BF2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7766156C"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250D888"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128F9C78"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A7270E0" w14:textId="2506C745"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03610D95" w14:textId="36938342"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785</w:t>
            </w:r>
          </w:p>
        </w:tc>
        <w:tc>
          <w:tcPr>
            <w:tcW w:w="1363" w:type="dxa"/>
            <w:gridSpan w:val="2"/>
            <w:tcBorders>
              <w:top w:val="nil"/>
              <w:left w:val="nil"/>
              <w:bottom w:val="nil"/>
              <w:right w:val="nil"/>
            </w:tcBorders>
            <w:noWrap/>
            <w:hideMark/>
          </w:tcPr>
          <w:p w14:paraId="29243DF5" w14:textId="76F5D67A"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36</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7</w:t>
            </w:r>
          </w:p>
        </w:tc>
      </w:tr>
      <w:tr w:rsidR="00D46672" w:rsidRPr="00B93807" w14:paraId="376EBCCC" w14:textId="77777777" w:rsidTr="001132A6">
        <w:trPr>
          <w:trHeight w:val="290"/>
        </w:trPr>
        <w:tc>
          <w:tcPr>
            <w:tcW w:w="2411" w:type="dxa"/>
            <w:tcBorders>
              <w:top w:val="nil"/>
              <w:left w:val="nil"/>
              <w:bottom w:val="nil"/>
              <w:right w:val="nil"/>
            </w:tcBorders>
            <w:noWrap/>
            <w:hideMark/>
          </w:tcPr>
          <w:p w14:paraId="68958A71" w14:textId="518A33DE" w:rsidR="00D46672" w:rsidRPr="00732E62" w:rsidRDefault="00D46672" w:rsidP="002973F1">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Berthet</w:t>
            </w:r>
            <w:r w:rsidR="006B6CB4" w:rsidRPr="00B93807">
              <w:rPr>
                <w:rFonts w:ascii="Garamond" w:eastAsia="Times New Roman" w:hAnsi="Garamond" w:cs="Calibri"/>
                <w:color w:val="000000"/>
                <w:kern w:val="0"/>
                <w:sz w:val="20"/>
                <w:szCs w:val="20"/>
                <w:lang w:eastAsia="fr-FR"/>
                <w14:ligatures w14:val="none"/>
              </w:rPr>
              <w:t xml:space="preserve"> </w:t>
            </w:r>
            <w:r w:rsidR="006B6CB4" w:rsidRPr="00B93807">
              <w:rPr>
                <w:rFonts w:ascii="Garamond" w:eastAsia="Times New Roman" w:hAnsi="Garamond" w:cs="Calibri"/>
                <w:i/>
                <w:iCs/>
                <w:color w:val="000000"/>
                <w:kern w:val="0"/>
                <w:sz w:val="20"/>
                <w:szCs w:val="20"/>
                <w:lang w:eastAsia="fr-FR"/>
                <w14:ligatures w14:val="none"/>
              </w:rPr>
              <w:t xml:space="preserve">et al. </w:t>
            </w:r>
            <w:r w:rsidR="006B6CB4" w:rsidRPr="00B93807">
              <w:rPr>
                <w:rFonts w:ascii="Garamond" w:eastAsia="Times New Roman" w:hAnsi="Garamond" w:cs="Calibri"/>
                <w:i/>
                <w:iCs/>
                <w:color w:val="000000"/>
                <w:kern w:val="0"/>
                <w:sz w:val="20"/>
                <w:szCs w:val="20"/>
                <w:lang w:eastAsia="fr-FR"/>
                <w14:ligatures w14:val="none"/>
              </w:rPr>
              <w:fldChar w:fldCharType="begin"/>
            </w:r>
            <w:r w:rsidR="002973F1" w:rsidRPr="00B93807">
              <w:rPr>
                <w:rFonts w:ascii="Garamond" w:eastAsia="Times New Roman" w:hAnsi="Garamond" w:cs="Calibri"/>
                <w:i/>
                <w:iCs/>
                <w:color w:val="000000"/>
                <w:kern w:val="0"/>
                <w:sz w:val="20"/>
                <w:szCs w:val="20"/>
                <w:lang w:eastAsia="fr-FR"/>
                <w14:ligatures w14:val="none"/>
              </w:rPr>
              <w:instrText xml:space="preserve"> ADDIN ZOTERO_ITEM CSL_CITATION {"citationID":"MhBShJqT","properties":{"formattedCitation":"[8]","plainCitation":"[8]","noteIndex":0},"citationItems":[{"id":4433,"uris":["http://zotero.org/users/1791235/items/MWY7ZPWH"],"itemData":{"id":4433,"type":"article-journal","container-title":"The Lancet","DOI":"10.1016/S0140-6736(11)61142-2","ISSN":"0140-6736, 1474-547X","issue":"9799","journalAbbreviation":"The Lancet","language":"English","note":"publisher: Elsevier\nPMID: 21982097","page":"1354","source":"www.thelancet.com","title":"Maculopapular lesions in the Central African Republic","volume":"378","author":[{"family":"Berthet","given":"Nicolas"},{"family":"Nakouné","given":"Emmanuel"},{"family":"Whist","given":"Eline"},{"family":"Selekon","given":"Benjamin"},{"family":"Burguière","given":"Ana-Maria"},{"family":"Manuguerra","given":"Jean-Claude"},{"family":"Gessain","given":"Antoine"},{"family":"Kazanji","given":"Mirdad"}],"issued":{"date-parts":[["2011"]]}}}],"schema":"https://github.com/citation-style-language/schema/raw/master/csl-citation.json"} </w:instrText>
            </w:r>
            <w:r w:rsidR="006B6CB4" w:rsidRPr="00B93807">
              <w:rPr>
                <w:rFonts w:ascii="Garamond" w:eastAsia="Times New Roman" w:hAnsi="Garamond" w:cs="Calibri"/>
                <w:i/>
                <w:iCs/>
                <w:color w:val="000000"/>
                <w:kern w:val="0"/>
                <w:sz w:val="20"/>
                <w:szCs w:val="20"/>
                <w:lang w:eastAsia="fr-FR"/>
                <w14:ligatures w14:val="none"/>
              </w:rPr>
              <w:fldChar w:fldCharType="separate"/>
            </w:r>
            <w:r w:rsidR="002973F1" w:rsidRPr="00B93807">
              <w:rPr>
                <w:rFonts w:ascii="Garamond" w:hAnsi="Garamond"/>
                <w:sz w:val="20"/>
                <w:szCs w:val="20"/>
              </w:rPr>
              <w:t>[8]</w:t>
            </w:r>
            <w:r w:rsidR="006B6CB4"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BECFA0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2010</w:t>
            </w:r>
          </w:p>
        </w:tc>
        <w:tc>
          <w:tcPr>
            <w:tcW w:w="1636" w:type="dxa"/>
            <w:tcBorders>
              <w:top w:val="nil"/>
              <w:left w:val="nil"/>
              <w:bottom w:val="nil"/>
              <w:right w:val="nil"/>
            </w:tcBorders>
            <w:noWrap/>
            <w:hideMark/>
          </w:tcPr>
          <w:p w14:paraId="5D40A460" w14:textId="62FDB433" w:rsidR="00D46672" w:rsidRPr="00732E62" w:rsidRDefault="004B58EB" w:rsidP="00D46672">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Central African Republic</w:t>
            </w:r>
          </w:p>
        </w:tc>
        <w:tc>
          <w:tcPr>
            <w:tcW w:w="1559" w:type="dxa"/>
            <w:tcBorders>
              <w:top w:val="nil"/>
              <w:left w:val="nil"/>
              <w:bottom w:val="nil"/>
              <w:right w:val="nil"/>
            </w:tcBorders>
            <w:noWrap/>
            <w:hideMark/>
          </w:tcPr>
          <w:p w14:paraId="13EEDBCE"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Case report</w:t>
            </w:r>
          </w:p>
        </w:tc>
        <w:tc>
          <w:tcPr>
            <w:tcW w:w="1180" w:type="dxa"/>
            <w:tcBorders>
              <w:top w:val="nil"/>
              <w:left w:val="nil"/>
              <w:bottom w:val="nil"/>
              <w:right w:val="nil"/>
            </w:tcBorders>
            <w:noWrap/>
            <w:hideMark/>
          </w:tcPr>
          <w:p w14:paraId="4D733B03"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58ABBF60"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FD9A52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6BA2D7B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hideMark/>
          </w:tcPr>
          <w:p w14:paraId="613A4093" w14:textId="6A39872A"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12CC3121" w14:textId="4F8A38AB"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w:t>
            </w:r>
          </w:p>
        </w:tc>
        <w:tc>
          <w:tcPr>
            <w:tcW w:w="1363" w:type="dxa"/>
            <w:gridSpan w:val="2"/>
            <w:tcBorders>
              <w:top w:val="nil"/>
              <w:left w:val="nil"/>
              <w:bottom w:val="nil"/>
              <w:right w:val="nil"/>
            </w:tcBorders>
            <w:noWrap/>
            <w:hideMark/>
          </w:tcPr>
          <w:p w14:paraId="22371D60" w14:textId="2A1735AB"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1132A6" w:rsidRPr="00B93807" w14:paraId="75B50DCD" w14:textId="77777777" w:rsidTr="001132A6">
        <w:trPr>
          <w:trHeight w:val="290"/>
        </w:trPr>
        <w:tc>
          <w:tcPr>
            <w:tcW w:w="2411" w:type="dxa"/>
            <w:tcBorders>
              <w:top w:val="nil"/>
              <w:left w:val="nil"/>
              <w:bottom w:val="nil"/>
              <w:right w:val="nil"/>
            </w:tcBorders>
            <w:noWrap/>
            <w:hideMark/>
          </w:tcPr>
          <w:p w14:paraId="2E4DBE8B" w14:textId="231D887F"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Pittman</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{"citationID":"OtQKknrI","properties":{"formattedCitation":"[9]","plainCitation":"[9]","noteIndex":0},"citationItems":[{"id":3623,"uris":["http://zotero.org/users/1791235/items/E27F6G2V"],"itemData":{"id":3623,"type":"article-journal","abstract":"We describe the results of a prospective observational study of the clinical natural history of human monkeypox (mpox) virus (MPXV) infections at the remote L’Hopital General de Reference de Kole (Kole hospital), the rainforest of the Congo River basin of the Democratic Republic of the Congo (DRC) from March 2007 until August 2011. The research was conducted jointly by the Institute National de Recherche Biomedical (INRB) and the US Army Medical Research Institute of Infectious Diseases (USAMRIID). The Kole hospital was one of the two previous WHO Mpox study sites (1981–1986). The hospital is staffed by a Spanish Order of Catholic Nuns from La Congregation Des Soeurs Missionnaires Du Christ Jesus including two Spanish physicians, who were members of the Order as well, were part of the WHO study on human mpox. Of 244 patients admitted with a clinical diagnosis of MPXV infection, 216 were positive in both the Pan-Orthopox and MPXV specific PCR. The cardinal observations of these 216 patients are summarized in this report. There were three deaths (3/216) among these hospitalized patients; fetal death occurred in 3 of 4 patients who were pregnant at admission, with the placenta of one fetus demonstrating prominent MPXV infection of the chorionic villi. The most common complaints were rash (96.8%), malaise (85.2%), sore throat (78.2%), and lymphadenopathy/adenopathy (57.4%). The most common physical exam findings were mpox rash (99.5%) and lymphadenopathy (98.6%). The single patient without the classic mpox rash had been previously vaccinated against smallpox. Age group of less than 5 years had the highest lesion count. Primary household cases tended to have higher lesion counts than secondary or later same household cases. Of the 216 patients, 200 were tested for IgM &amp; IgG antibodies (Abs) to Orthopoxviruses. All 200 patients had anti-orthopoxvirus IgG Abs; whereas 189/200 were positive for IgM. Patients with hypoalbuminemia had a high risk of severe disease. Patients with fatal disease had higher maximum geometric mean values than survivors for the following variables, respectively: viral DNA in blood (DNAemia); maximum lesion count; day of admission mean AST and ALT.","container-title":"PLOS Neglected Tropical Diseases","DOI":"10.1371/journal.pntd.0010384","ISSN":"1935-2735","issue":"4","journalAbbreviation":"PLoS Negl Trop Dis","language":"en","page":"e0010384","source":"DOI.org (Crossref)","title":"Clinical characterization and placental pathology of mpox infection in hospitalized patients in the Democratic Republic of the Congo","volume":"17","author":[{"family":"Pittman","given":"Phillip R."},{"family":"Martin","given":"James W."},{"family":"Kingebeni","given":"Placide Mbala"},{"family":"Tamfum","given":"Jean-Jacques Muyembe"},{"family":"Mwema","given":"Gaston"},{"family":"Wan","given":"Qingwen"},{"family":"Ewala","given":"Pierre"},{"family":"Alonga","given":"Jules"},{"family":"Bilulu","given":"Guy"},{"family":"Reynolds","given":"Mary G."},{"family":"Quinn","given":"Xiaofei"},{"family":"Norris","given":"Sarah"},{"family":"Townsend","given":"Michael B."},{"family":"Satheshkumar","given":"Panayampalli S."},{"family":"Wadding","given":"James"},{"family":"Soltis","given":"Bryony"},{"family":"Honko","given":"Anna"},{"family":"Güereña","given":"Fernando B."},{"family":"Korman","given":"Lawrence"},{"family":"Patterson","given":"Kerry"},{"family":"Schwartz","given":"David A."},{"family":"Huggins","given":"John W."},{"literal":"on behalf of The Kole Human Mpox Infection Study Group"}],"editor":[{"family":"Bowman","given":"Natalie"}],"issued":{"date-parts":[["2023"]]}}}],"schema":"https://github.com/citation-style-language/schema/raw/master/csl-citation.json"}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[9]</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793AB91"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2011</w:t>
            </w:r>
          </w:p>
        </w:tc>
        <w:tc>
          <w:tcPr>
            <w:tcW w:w="1636" w:type="dxa"/>
            <w:tcBorders>
              <w:top w:val="nil"/>
              <w:left w:val="nil"/>
              <w:bottom w:val="nil"/>
              <w:right w:val="nil"/>
            </w:tcBorders>
            <w:noWrap/>
            <w:hideMark/>
          </w:tcPr>
          <w:p w14:paraId="7729C80B" w14:textId="5924D6B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6D07EA">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18EC3D44"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39F72981"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59FFFE7F"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CD336A9"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DE4DA25"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F9194BC" w14:textId="31F4A70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M</w:t>
            </w:r>
            <w:r w:rsidRPr="00B93807">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hideMark/>
          </w:tcPr>
          <w:p w14:paraId="7F03BB39" w14:textId="75F6D0EA"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216</w:t>
            </w:r>
          </w:p>
        </w:tc>
        <w:tc>
          <w:tcPr>
            <w:tcW w:w="1363" w:type="dxa"/>
            <w:gridSpan w:val="2"/>
            <w:tcBorders>
              <w:top w:val="nil"/>
              <w:left w:val="nil"/>
              <w:bottom w:val="nil"/>
              <w:right w:val="nil"/>
            </w:tcBorders>
            <w:noWrap/>
            <w:hideMark/>
          </w:tcPr>
          <w:p w14:paraId="226AC930" w14:textId="63900E2C"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63</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9</w:t>
            </w:r>
          </w:p>
        </w:tc>
      </w:tr>
      <w:tr w:rsidR="001132A6" w:rsidRPr="00B93807" w14:paraId="177015EE" w14:textId="77777777" w:rsidTr="001132A6">
        <w:trPr>
          <w:trHeight w:val="290"/>
        </w:trPr>
        <w:tc>
          <w:tcPr>
            <w:tcW w:w="2411" w:type="dxa"/>
            <w:tcBorders>
              <w:top w:val="nil"/>
              <w:left w:val="nil"/>
              <w:bottom w:val="nil"/>
              <w:right w:val="nil"/>
            </w:tcBorders>
            <w:noWrap/>
            <w:hideMark/>
          </w:tcPr>
          <w:p w14:paraId="3DDF69BC" w14:textId="56D26BCA"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Hughes</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{"citationID":"9IAmBXI5","properties":{"formattedCitation":"[10]","plainCitation":"[10]","noteIndex":0},"citationItems":[{"id":3675,"uris":["http://zotero.org/users/1791235/items/NAUYWKNJ"],"itemData":{"id":3675,"type":"article-journal","abstract":"Recent enhanced monkeypox (MPX) surveillance in the Democratic Republic of Congo, where MPX is endemic, has uncovered multiple cases of MPX and varicella zoster virus (VZV) coinfections. The purpose of this study was to verify if coinfections occur and to characterize the clinical nature of these cases. Clinical, epidemiological, and laboratory results were used to investigate MPX/VZV coinfections. A coinfection was deﬁned as a patient with at least one Orthopoxvirus/MPX-positive sample and at least one VZV-positive sample within the same disease event. Between September 2009 and April 2014, 134 of the 1,107 (12.1%) suspected MPX cases were conﬁrmed as MPX/VZV coinfections. Coinfections were more likely to report symptoms than VZV-alone cases and less likely than MPX-alone cases. Signiﬁcantly higher lesion counts were observed for coinfection cases than for VZV-alone but less than MPX-alone cases. Discernible differences in symptom and rash severity were detected for coinfection cases compared with those with MPX or VZV alone. Findings indicate infection with both MPX and VZV could modulate infection severity. Collection of multiple lesion samples allows for the opportunity to detect coinfections. As this program continues, it will be important to continue these procedures to assess variations in the proportion of coinfected cases over time.","container-title":"The American Journal of Tropical Medicine and Hygiene","DOI":"10.4269/ajtmh.20-0589","ISSN":"0002-9637, 1476-1645","issue":"2","language":"en","license":"https://creativecommons.org/licenses/by-nc/4.0/","page":"604-11","source":"DOI.org (Crossref)","title":"A Tale of Two Viruses: Coinfections of Monkeypox and Varicella Zoster Virus in the Democratic Republic of Congo","title-short":"A Tale of Two Viruses","volume":"104","author":[{"family":"Hughes","given":"Christine M."},{"family":"Liu","given":"Lindy"},{"family":"Davidson","given":"Whitni B."},{"family":"Radford","given":"Kay W."},{"family":"Wilkins","given":"Kimberly"},{"family":"Monroe","given":"Benjamin"},{"family":"Metcalfe","given":"Maureen G."},{"family":"Likafi","given":"Toutou"},{"family":"Lushima","given":"Robert Shongo"},{"family":"Kabamba","given":"Joelle"},{"family":"Nguete","given":"Beatrice"},{"family":"Malekani","given":"Jean"},{"family":"Pukuta","given":"Elisabeth"},{"family":"Karhemere","given":"Stomy"},{"family":"Muyembe Tamfum","given":"Jean-Jacques"},{"family":"Okitolonda Wemakoy","given":"Emile"},{"family":"Reynolds","given":"Mary G."},{"family":"Schmid","given":"D. Scott"},{"family":"McCollum","given":"Andrea M."}],"issued":{"date-parts":[["2021"]]}}}],"schema":"https://github.com/citation-style-language/schema/raw/master/csl-citation.json"}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[10]</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EE8194E"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2014</w:t>
            </w:r>
          </w:p>
        </w:tc>
        <w:tc>
          <w:tcPr>
            <w:tcW w:w="1636" w:type="dxa"/>
            <w:tcBorders>
              <w:top w:val="nil"/>
              <w:left w:val="nil"/>
              <w:bottom w:val="nil"/>
              <w:right w:val="nil"/>
            </w:tcBorders>
            <w:noWrap/>
            <w:hideMark/>
          </w:tcPr>
          <w:p w14:paraId="691F8E2A" w14:textId="4DE8C55F"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6D07EA">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7A9DD060"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134FDB07"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79926199"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FB72469"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FFCDDD6"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12D720CE" w14:textId="048CA995"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2122BF1" w14:textId="22FA76EB"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534</w:t>
            </w:r>
          </w:p>
        </w:tc>
        <w:tc>
          <w:tcPr>
            <w:tcW w:w="1363" w:type="dxa"/>
            <w:gridSpan w:val="2"/>
            <w:tcBorders>
              <w:top w:val="nil"/>
              <w:left w:val="nil"/>
              <w:bottom w:val="nil"/>
              <w:right w:val="nil"/>
            </w:tcBorders>
            <w:noWrap/>
            <w:hideMark/>
          </w:tcPr>
          <w:p w14:paraId="4191F4FB" w14:textId="4F33BBA4"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36</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5</w:t>
            </w:r>
          </w:p>
        </w:tc>
      </w:tr>
      <w:tr w:rsidR="001132A6" w:rsidRPr="00B93807" w14:paraId="1DF8B5BE" w14:textId="77777777" w:rsidTr="001132A6">
        <w:trPr>
          <w:trHeight w:val="290"/>
        </w:trPr>
        <w:tc>
          <w:tcPr>
            <w:tcW w:w="2411" w:type="dxa"/>
            <w:tcBorders>
              <w:top w:val="nil"/>
              <w:left w:val="nil"/>
              <w:bottom w:val="nil"/>
              <w:right w:val="nil"/>
            </w:tcBorders>
            <w:noWrap/>
            <w:hideMark/>
          </w:tcPr>
          <w:p w14:paraId="42060FA5" w14:textId="643016A6"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Osadebe</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color w:val="000000"/>
                <w:kern w:val="0"/>
                <w:sz w:val="20"/>
                <w:szCs w:val="20"/>
                <w:lang w:eastAsia="fr-FR"/>
                <w14:ligatures w14:val="none"/>
              </w:rPr>
              <w:fldChar w:fldCharType="begin"/>
            </w:r>
            <w:r w:rsidRPr="00B93807">
              <w:rPr>
                <w:rFonts w:ascii="Garamond" w:eastAsia="Times New Roman" w:hAnsi="Garamond" w:cs="Calibri"/>
                <w:color w:val="000000"/>
                <w:kern w:val="0"/>
                <w:sz w:val="20"/>
                <w:szCs w:val="20"/>
                <w:lang w:eastAsia="fr-FR"/>
                <w14:ligatures w14:val="none"/>
              </w:rPr>
              <w:instrText xml:space="preserve"> ADDIN ZOTERO_ITEM CSL_CITATION {"citationID":"xPnk8aZt","properties":{"formattedCitation":"[11]","plainCitation":"[11]","noteIndex":0},"citationItems":[{"id":3681,"uris":["http://zotero.org/users/1791235/items/FA9RAJCI"],"itemData":{"id":3681,"type":"article-journal","container-title":"PLOS Neglected Tropical Diseases","DOI":"10.1371/journal.pntd.0005857","ISSN":"1935-2735","issue":"9","journalAbbreviation":"PLoS Negl Trop Dis","language":"en","page":"e0005857","source":"DOI.org (Crossref)","title":"Enhancing case definitions for surveillance of human monkeypox in the Democratic Republic of Congo","volume":"11","author":[{"family":"Osadebe","given":"Lynda"},{"family":"Hughes","given":"Christine M."},{"family":"Shongo Lushima","given":"Robert"},{"family":"Kabamba","given":"Joelle"},{"family":"Nguete","given":"Beatrice"},{"family":"Malekani","given":"Jean"},{"family":"Pukuta","given":"Elisabeth"},{"family":"Karhemere","given":"Stomy"},{"family":"Muyembe Tamfum","given":"Jean-Jacques"},{"family":"Wemakoy Okitolonda","given":"Emile"},{"family":"Reynolds","given":"Mary G."},{"family":"McCollum","given":"Andrea M."}],"editor":[{"family":"Kasper","given":"Matthew"}],"issued":{"date-parts":[["2017"]]}}}],"schema":"https://github.com/citation-style-language/schema/raw/master/csl-citation.json"} </w:instrText>
            </w:r>
            <w:r w:rsidRPr="00B93807">
              <w:rPr>
                <w:rFonts w:ascii="Garamond" w:eastAsia="Times New Roman" w:hAnsi="Garamond" w:cs="Calibri"/>
                <w:color w:val="000000"/>
                <w:kern w:val="0"/>
                <w:sz w:val="20"/>
                <w:szCs w:val="20"/>
                <w:lang w:eastAsia="fr-FR"/>
                <w14:ligatures w14:val="none"/>
              </w:rPr>
              <w:fldChar w:fldCharType="separate"/>
            </w:r>
            <w:r w:rsidRPr="00B93807">
              <w:rPr>
                <w:rFonts w:ascii="Garamond" w:hAnsi="Garamond"/>
                <w:sz w:val="20"/>
                <w:szCs w:val="20"/>
              </w:rPr>
              <w:t>[11]</w:t>
            </w:r>
            <w:r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D931204"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2014</w:t>
            </w:r>
          </w:p>
        </w:tc>
        <w:tc>
          <w:tcPr>
            <w:tcW w:w="1636" w:type="dxa"/>
            <w:tcBorders>
              <w:top w:val="nil"/>
              <w:left w:val="nil"/>
              <w:bottom w:val="nil"/>
              <w:right w:val="nil"/>
            </w:tcBorders>
            <w:noWrap/>
            <w:hideMark/>
          </w:tcPr>
          <w:p w14:paraId="0E2724EF" w14:textId="7CE9D104"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6D07EA">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0EC09382"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0CE79BED"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2C558154"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74F5020"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68C1C8F1"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6D46C646" w14:textId="2CA741C6"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4F316DE1" w14:textId="075FE198"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333</w:t>
            </w:r>
          </w:p>
        </w:tc>
        <w:tc>
          <w:tcPr>
            <w:tcW w:w="1363" w:type="dxa"/>
            <w:gridSpan w:val="2"/>
            <w:tcBorders>
              <w:top w:val="nil"/>
              <w:left w:val="nil"/>
              <w:bottom w:val="nil"/>
              <w:right w:val="nil"/>
            </w:tcBorders>
            <w:noWrap/>
            <w:hideMark/>
          </w:tcPr>
          <w:p w14:paraId="6439F1A8" w14:textId="69AA7C66"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28</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5</w:t>
            </w:r>
          </w:p>
        </w:tc>
      </w:tr>
      <w:tr w:rsidR="00D46672" w:rsidRPr="00B93807" w14:paraId="6E301FDD" w14:textId="77777777" w:rsidTr="001132A6">
        <w:trPr>
          <w:trHeight w:val="290"/>
        </w:trPr>
        <w:tc>
          <w:tcPr>
            <w:tcW w:w="2411" w:type="dxa"/>
            <w:tcBorders>
              <w:top w:val="nil"/>
              <w:left w:val="nil"/>
              <w:bottom w:val="nil"/>
              <w:right w:val="nil"/>
            </w:tcBorders>
            <w:noWrap/>
            <w:hideMark/>
          </w:tcPr>
          <w:p w14:paraId="6960E93A" w14:textId="4BB2D8A0" w:rsidR="00D46672" w:rsidRPr="00732E62" w:rsidRDefault="00D46672" w:rsidP="002973F1">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Kalthan</w:t>
            </w:r>
            <w:proofErr w:type="spellEnd"/>
            <w:r w:rsidR="002973F1" w:rsidRPr="00B93807">
              <w:rPr>
                <w:rFonts w:ascii="Garamond" w:eastAsia="Times New Roman" w:hAnsi="Garamond" w:cs="Calibri"/>
                <w:color w:val="000000"/>
                <w:kern w:val="0"/>
                <w:sz w:val="20"/>
                <w:szCs w:val="20"/>
                <w:lang w:eastAsia="fr-FR"/>
                <w14:ligatures w14:val="none"/>
              </w:rPr>
              <w:t xml:space="preserve"> </w:t>
            </w:r>
            <w:r w:rsidR="002973F1" w:rsidRPr="00B93807">
              <w:rPr>
                <w:rFonts w:ascii="Garamond" w:eastAsia="Times New Roman" w:hAnsi="Garamond" w:cs="Calibri"/>
                <w:i/>
                <w:iCs/>
                <w:color w:val="000000"/>
                <w:kern w:val="0"/>
                <w:sz w:val="20"/>
                <w:szCs w:val="20"/>
                <w:lang w:eastAsia="fr-FR"/>
                <w14:ligatures w14:val="none"/>
              </w:rPr>
              <w:t xml:space="preserve">et al. </w:t>
            </w:r>
            <w:r w:rsidR="002973F1" w:rsidRPr="00B93807">
              <w:rPr>
                <w:rFonts w:ascii="Garamond" w:eastAsia="Times New Roman" w:hAnsi="Garamond" w:cs="Calibri"/>
                <w:i/>
                <w:iCs/>
                <w:color w:val="000000"/>
                <w:kern w:val="0"/>
                <w:sz w:val="20"/>
                <w:szCs w:val="20"/>
                <w:lang w:eastAsia="fr-FR"/>
                <w14:ligatures w14:val="none"/>
              </w:rPr>
              <w:fldChar w:fldCharType="begin"/>
            </w:r>
            <w:r w:rsidR="002973F1" w:rsidRPr="00B93807">
              <w:rPr>
                <w:rFonts w:ascii="Garamond" w:eastAsia="Times New Roman" w:hAnsi="Garamond" w:cs="Calibri"/>
                <w:i/>
                <w:iCs/>
                <w:color w:val="000000"/>
                <w:kern w:val="0"/>
                <w:sz w:val="20"/>
                <w:szCs w:val="20"/>
                <w:lang w:eastAsia="fr-FR"/>
                <w14:ligatures w14:val="none"/>
              </w:rPr>
              <w:instrText xml:space="preserve"> ADDIN ZOTERO_ITEM CSL_CITATION {"citationID":"RTkXODLv","properties":{"formattedCitation":"[12]","plainCitation":"[12]","noteIndex":0},"citationItems":[{"id":3514,"uris":["http://zotero.org/users/1791235/items/SNFPH456"],"itemData":{"id":3514,"type":"article-journal","abstract":"Une épidémie de maladie à virus monkeypox ou « variole du singe » a sévi fin 2015 dans le district de Bangassou. Une enquête a été réalisée dont l’objectif était de décrire l’épidémie selon les temps, les lieux et les personnes, et de déterminer son incidence et sa létalité. La collecte des données a été faite par interview. L’entretien a été réalisé avec les malades ou les parents des enfants malades. Des prélèvements ont été faits pour confirmation au laboratoire de l’Institut Pasteur de Bangui. Nos données ont été analysées avec Epi info7. Au total, 12 malades ont été enregistrés, dont 9 cas secondaires. Les tranches d’âge de 31 à 40 ans et de moins de 10 ans étaient les plus atteintes. La maladie a touché davantage les adultes. La moyenne d’âge était de 25 ans, allant de 15 mois à 41 ans. Le taux d’attaque et la létalité étaient respectivement de 0,2 pour 1 000 habitants et de 25 %. Plus de la moitié de la létalité frappait les enfants de moins de 10 ans. La fièvre et l’éruption cutanée étaient les symptômes dominants. Les adénopathies cervicales étaient présentes chez plus de la moitié des patients. Dix malades sur 12 ont dû être hospitalisés. La durée moyenne d’hospitalisation était de 13 jours. La maladie à virus monkeypox reste, comme la variole, une maladie grave, parfois mortelle. Une identification précise des souches virales s’avère indispensable. Lors d’une épidémie, une bonne communication et l’isolement des malades permettent de diminuer la transmission. D’autres mesures visant à limiter le contact avec la faune forestière pouvant être un réservoir de virus sont à encourager.","container-title":"Bulletin de la Société de pathologie exotique","DOI":"10.1007/s13149-016-0516-z","ISSN":"1961-9049","issue":"5","journalAbbreviation":"Bull. Soc. Pathol. Exot.","language":"fr","page":"358-63","source":"Springer Link","title":"Epidémie de 12 cas de maladie à virus monkeypox dans le district de Bangassou en République Centrafricaine en décembre 2015","volume":"109","author":[{"family":"Kalthan","given":"E."},{"family":"Dondo-Fongbia","given":"J. P."},{"family":"Yambele","given":"S."},{"family":"Dieu-Creer","given":"L. R."},{"family":"Zepio","given":"R."},{"family":"Pamatika","given":"C. M."}],"issued":{"date-parts":[["2016"]]}}}],"schema":"https://github.com/citation-style-language/schema/raw/master/csl-citation.json"} </w:instrText>
            </w:r>
            <w:r w:rsidR="002973F1" w:rsidRPr="00B93807">
              <w:rPr>
                <w:rFonts w:ascii="Garamond" w:eastAsia="Times New Roman" w:hAnsi="Garamond" w:cs="Calibri"/>
                <w:i/>
                <w:iCs/>
                <w:color w:val="000000"/>
                <w:kern w:val="0"/>
                <w:sz w:val="20"/>
                <w:szCs w:val="20"/>
                <w:lang w:eastAsia="fr-FR"/>
                <w14:ligatures w14:val="none"/>
              </w:rPr>
              <w:fldChar w:fldCharType="separate"/>
            </w:r>
            <w:r w:rsidR="002973F1" w:rsidRPr="00B93807">
              <w:rPr>
                <w:rFonts w:ascii="Garamond" w:hAnsi="Garamond"/>
                <w:sz w:val="20"/>
                <w:szCs w:val="20"/>
              </w:rPr>
              <w:t>[12]</w:t>
            </w:r>
            <w:r w:rsidR="002973F1"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5E0408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2015</w:t>
            </w:r>
          </w:p>
        </w:tc>
        <w:tc>
          <w:tcPr>
            <w:tcW w:w="1636" w:type="dxa"/>
            <w:tcBorders>
              <w:top w:val="nil"/>
              <w:left w:val="nil"/>
              <w:bottom w:val="nil"/>
              <w:right w:val="nil"/>
            </w:tcBorders>
            <w:noWrap/>
            <w:hideMark/>
          </w:tcPr>
          <w:p w14:paraId="4718F29B" w14:textId="526A9E62" w:rsidR="00D46672" w:rsidRPr="00732E62" w:rsidRDefault="004B58EB" w:rsidP="00D46672">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Central African Republic</w:t>
            </w:r>
          </w:p>
        </w:tc>
        <w:tc>
          <w:tcPr>
            <w:tcW w:w="1559" w:type="dxa"/>
            <w:tcBorders>
              <w:top w:val="nil"/>
              <w:left w:val="nil"/>
              <w:bottom w:val="nil"/>
              <w:right w:val="nil"/>
            </w:tcBorders>
            <w:noWrap/>
            <w:hideMark/>
          </w:tcPr>
          <w:p w14:paraId="2320038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1E34C02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68BCEED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332370F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71B0A849"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134F773" w14:textId="51B27C5C"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0805C53B" w14:textId="2FD01F3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12</w:t>
            </w:r>
          </w:p>
        </w:tc>
        <w:tc>
          <w:tcPr>
            <w:tcW w:w="1363" w:type="dxa"/>
            <w:gridSpan w:val="2"/>
            <w:tcBorders>
              <w:top w:val="nil"/>
              <w:left w:val="nil"/>
              <w:bottom w:val="nil"/>
              <w:right w:val="nil"/>
            </w:tcBorders>
            <w:noWrap/>
            <w:hideMark/>
          </w:tcPr>
          <w:p w14:paraId="2F7D1F8D" w14:textId="7AACAF6B"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83</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3</w:t>
            </w:r>
          </w:p>
        </w:tc>
      </w:tr>
      <w:tr w:rsidR="00D46672" w:rsidRPr="00B93807" w14:paraId="1789A40B" w14:textId="77777777" w:rsidTr="001132A6">
        <w:trPr>
          <w:trHeight w:val="290"/>
        </w:trPr>
        <w:tc>
          <w:tcPr>
            <w:tcW w:w="2411" w:type="dxa"/>
            <w:tcBorders>
              <w:top w:val="nil"/>
              <w:left w:val="nil"/>
              <w:bottom w:val="nil"/>
              <w:right w:val="nil"/>
            </w:tcBorders>
            <w:noWrap/>
            <w:hideMark/>
          </w:tcPr>
          <w:p w14:paraId="4743519A" w14:textId="31A73BCA" w:rsidR="00D46672" w:rsidRPr="00732E62" w:rsidRDefault="00D46672" w:rsidP="00E8593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Whitehouse</w:t>
            </w:r>
            <w:r w:rsidR="002973F1" w:rsidRPr="00B93807">
              <w:rPr>
                <w:rFonts w:ascii="Garamond" w:eastAsia="Times New Roman" w:hAnsi="Garamond" w:cs="Calibri"/>
                <w:color w:val="000000"/>
                <w:kern w:val="0"/>
                <w:sz w:val="20"/>
                <w:szCs w:val="20"/>
                <w:lang w:eastAsia="fr-FR"/>
                <w14:ligatures w14:val="none"/>
              </w:rPr>
              <w:t xml:space="preserve"> </w:t>
            </w:r>
            <w:r w:rsidR="002973F1" w:rsidRPr="00B93807">
              <w:rPr>
                <w:rFonts w:ascii="Garamond" w:eastAsia="Times New Roman" w:hAnsi="Garamond" w:cs="Calibri"/>
                <w:i/>
                <w:iCs/>
                <w:color w:val="000000"/>
                <w:kern w:val="0"/>
                <w:sz w:val="20"/>
                <w:szCs w:val="20"/>
                <w:lang w:eastAsia="fr-FR"/>
                <w14:ligatures w14:val="none"/>
              </w:rPr>
              <w:t xml:space="preserve">et al. </w:t>
            </w:r>
            <w:r w:rsidR="002973F1" w:rsidRPr="00B93807">
              <w:rPr>
                <w:rFonts w:ascii="Garamond" w:eastAsia="Times New Roman" w:hAnsi="Garamond" w:cs="Calibri"/>
                <w:i/>
                <w:iCs/>
                <w:color w:val="000000"/>
                <w:kern w:val="0"/>
                <w:sz w:val="20"/>
                <w:szCs w:val="20"/>
                <w:lang w:eastAsia="fr-FR"/>
                <w14:ligatures w14:val="none"/>
              </w:rPr>
              <w:fldChar w:fldCharType="begin"/>
            </w:r>
            <w:r w:rsidR="00E8593B" w:rsidRPr="00B93807">
              <w:rPr>
                <w:rFonts w:ascii="Garamond" w:eastAsia="Times New Roman" w:hAnsi="Garamond" w:cs="Calibri"/>
                <w:i/>
                <w:iCs/>
                <w:color w:val="000000"/>
                <w:kern w:val="0"/>
                <w:sz w:val="20"/>
                <w:szCs w:val="20"/>
                <w:lang w:eastAsia="fr-FR"/>
                <w14:ligatures w14:val="none"/>
              </w:rPr>
              <w:instrText xml:space="preserve"> ADDIN ZOTERO_ITEM CSL_CITATION {"citationID":"knycW808","properties":{"formattedCitation":"[13]","plainCitation":"[13]","noteIndex":0},"citationItems":[{"id":3688,"uris":["http://zotero.org/users/1791235/items/CDVGA7VY"],"itemData":{"id":3688,"type":"article-journal","abstract":"Background.  Monkeypox is a poorly described emerging zoonosis endemic to Central and Western Africa.\nMethods.  Using surveillance data from Tshuapa Province, Democratic Republic of the Congo during 2011–2015, we evaluated differences in incidence, exposures, and clinical presentation of polymerase chain reaction–confirmed cases by sex and age.\nResults.  We report 1057 confirmed cases. The average annual incidence was 14.1 per 100</w:instrText>
            </w:r>
            <w:r w:rsidR="00E8593B" w:rsidRPr="00B93807">
              <w:rPr>
                <w:rFonts w:ascii="Times New Roman" w:eastAsia="Times New Roman" w:hAnsi="Times New Roman" w:cs="Times New Roman"/>
                <w:i/>
                <w:iCs/>
                <w:color w:val="000000"/>
                <w:kern w:val="0"/>
                <w:sz w:val="20"/>
                <w:szCs w:val="20"/>
                <w:lang w:eastAsia="fr-FR"/>
                <w14:ligatures w14:val="none"/>
              </w:rPr>
              <w:instrText> </w:instrText>
            </w:r>
            <w:r w:rsidR="00E8593B" w:rsidRPr="00B93807">
              <w:rPr>
                <w:rFonts w:ascii="Garamond" w:eastAsia="Times New Roman" w:hAnsi="Garamond" w:cs="Calibri"/>
                <w:i/>
                <w:iCs/>
                <w:color w:val="000000"/>
                <w:kern w:val="0"/>
                <w:sz w:val="20"/>
                <w:szCs w:val="20"/>
                <w:lang w:eastAsia="fr-FR"/>
                <w14:ligatures w14:val="none"/>
              </w:rPr>
              <w:instrText>000 (95% confidence interval, 13.3</w:instrText>
            </w:r>
            <w:r w:rsidR="00E8593B" w:rsidRPr="00B93807">
              <w:rPr>
                <w:rFonts w:ascii="Garamond" w:eastAsia="Times New Roman" w:hAnsi="Garamond" w:cs="Garamond"/>
                <w:i/>
                <w:iCs/>
                <w:color w:val="000000"/>
                <w:kern w:val="0"/>
                <w:sz w:val="20"/>
                <w:szCs w:val="20"/>
                <w:lang w:eastAsia="fr-FR"/>
                <w14:ligatures w14:val="none"/>
              </w:rPr>
              <w:instrText>–</w:instrText>
            </w:r>
            <w:r w:rsidR="00E8593B" w:rsidRPr="00B93807">
              <w:rPr>
                <w:rFonts w:ascii="Garamond" w:eastAsia="Times New Roman" w:hAnsi="Garamond" w:cs="Calibri"/>
                <w:i/>
                <w:iCs/>
                <w:color w:val="000000"/>
                <w:kern w:val="0"/>
                <w:sz w:val="20"/>
                <w:szCs w:val="20"/>
                <w:lang w:eastAsia="fr-FR"/>
                <w14:ligatures w14:val="none"/>
              </w:rPr>
              <w:instrText xml:space="preserve">15.0). The incidence was higher in male patients (incidence rate ratio comparing males to females, 1.21; 95% confidence interval, 1.07–1.37), except among those 20–29 years old (0.70; .51–.95). Females aged 20–29 years also reported a high frequency of exposures (26.2%) to people with monkeypox-like symptoms.The highest incidence was among 10–19-year-old males, the cohort reporting the highest proportion of animal exposures (37.5%). The incidence was lower among those presumed to have received smallpox vaccination than among those presumed unvaccinated. No differences were observed by age group in lesion count or lesion severity score.\nConclusions.  Monkeypox incidence was twice that reported during 1980–1985, an increase possibly linked to declining immunity provided by smallpox vaccination. The high proportion of cases attributed to human exposures suggests changing exposure patterns. Cases were distributed across age and sex, suggesting frequent exposures that follow sociocultural norms.","container-title":"The Journal of Infectious Diseases","DOI":"10.1093/infdis/jiab133","ISSN":"0022-1899, 1537-6613","issue":"11","language":"en","page":"1870-8","source":"DOI.org (Crossref)","title":"Clinical and Epidemiological Findings from Enhanced Monkeypox Surveillance in Tshuapa Province, Democratic Republic of the Congo During 2011–2015","volume":"223","author":[{"family":"Whitehouse","given":"Erin R"},{"family":"Bonwitt","given":"Jesse"},{"family":"Hughes","given":"Christine M"},{"family":"Lushima","given":"Robert Shongo"},{"family":"Likafi","given":"Toutou"},{"family":"Nguete","given":"Beatrice"},{"family":"Kabamba","given":"Joelle"},{"family":"Monroe","given":"Benjamin"},{"family":"Doty","given":"Jeffrey B"},{"family":"Nakazawa","given":"Yoshinori"},{"family":"Damon","given":"Inger"},{"family":"Malekani","given":"Jean"},{"family":"Davidson","given":"Whitni"},{"family":"Wilkins","given":"Kimberly"},{"family":"Li","given":"Yu"},{"family":"Radford","given":"Kay W"},{"family":"Schmid","given":"D Scott"},{"family":"Pukuta","given":"Elisabeth"},{"family":"Muyamuna","given":"Elisabeth"},{"family":"Karhemere","given":"Stomy"},{"family":"Tamfum","given":"Jean-Jacques Muyembe"},{"family":"Okitolonda","given":"Emile Wemakoy"},{"family":"McCollum","given":"Andrea M"},{"family":"Reynolds","given":"Mary G"}],"issued":{"date-parts":[["2021"]]}}}],"schema":"https://github.com/citation-style-language/schema/raw/master/csl-citation.json"} </w:instrText>
            </w:r>
            <w:r w:rsidR="002973F1" w:rsidRPr="00B93807">
              <w:rPr>
                <w:rFonts w:ascii="Garamond" w:eastAsia="Times New Roman" w:hAnsi="Garamond" w:cs="Calibri"/>
                <w:i/>
                <w:iCs/>
                <w:color w:val="000000"/>
                <w:kern w:val="0"/>
                <w:sz w:val="20"/>
                <w:szCs w:val="20"/>
                <w:lang w:eastAsia="fr-FR"/>
                <w14:ligatures w14:val="none"/>
              </w:rPr>
              <w:fldChar w:fldCharType="separate"/>
            </w:r>
            <w:r w:rsidR="00E8593B" w:rsidRPr="00B93807">
              <w:rPr>
                <w:rFonts w:ascii="Garamond" w:hAnsi="Garamond"/>
                <w:sz w:val="20"/>
                <w:szCs w:val="20"/>
              </w:rPr>
              <w:t>[13]</w:t>
            </w:r>
            <w:r w:rsidR="002973F1"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C9E6592"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2015</w:t>
            </w:r>
          </w:p>
        </w:tc>
        <w:tc>
          <w:tcPr>
            <w:tcW w:w="1636" w:type="dxa"/>
            <w:tcBorders>
              <w:top w:val="nil"/>
              <w:left w:val="nil"/>
              <w:bottom w:val="nil"/>
              <w:right w:val="nil"/>
            </w:tcBorders>
            <w:noWrap/>
            <w:hideMark/>
          </w:tcPr>
          <w:p w14:paraId="63AB9011" w14:textId="2B51906F" w:rsidR="00D46672" w:rsidRPr="00732E62" w:rsidRDefault="001132A6" w:rsidP="00D46672">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47C2CA18"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16CFE678"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40C944B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045DE00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067FAD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500F71A2" w14:textId="57F2E002"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7B873807" w14:textId="6174AB09"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1057</w:t>
            </w:r>
          </w:p>
        </w:tc>
        <w:tc>
          <w:tcPr>
            <w:tcW w:w="1363" w:type="dxa"/>
            <w:gridSpan w:val="2"/>
            <w:tcBorders>
              <w:top w:val="nil"/>
              <w:left w:val="nil"/>
              <w:bottom w:val="nil"/>
              <w:right w:val="nil"/>
            </w:tcBorders>
            <w:noWrap/>
            <w:hideMark/>
          </w:tcPr>
          <w:p w14:paraId="1DB72EC3" w14:textId="2491ED0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50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4</w:t>
            </w:r>
          </w:p>
        </w:tc>
      </w:tr>
      <w:tr w:rsidR="004B58EB" w:rsidRPr="00B93807" w14:paraId="57B7F921" w14:textId="77777777" w:rsidTr="001132A6">
        <w:trPr>
          <w:trHeight w:val="290"/>
        </w:trPr>
        <w:tc>
          <w:tcPr>
            <w:tcW w:w="2411" w:type="dxa"/>
            <w:tcBorders>
              <w:top w:val="nil"/>
              <w:left w:val="nil"/>
              <w:bottom w:val="nil"/>
              <w:right w:val="nil"/>
            </w:tcBorders>
            <w:noWrap/>
            <w:hideMark/>
          </w:tcPr>
          <w:p w14:paraId="1666EC20" w14:textId="3895FE33"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Kalthan</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{"citationID":"NgQGGeBa","properties":{"formattedCitation":"[14]","plainCitation":"[14]","noteIndex":0},"citationItems":[{"id":4436,"uris":["http://zotero.org/users/1791235/items/4ZPHHLT3"],"itemData":{"id":4436,"type":"article-journal","abstract":"Background\nMonkeypox is a zoonosis caused by an Orthopoxvirus of the Poxviridae family. Human infections are often severe and are a public health problem.\nPatients and method\nWe conducted a monkeypox outbreak investigation of suspected case patients in five villages of the Alindao-Mingala Health District following blood sample confirmation of the virus by the Institut Pasteur in Bangui. We aimed to determine disease characteristics, to describe the context and the risk factors, and to measure the incidence and case fatality. Patients were reported in the villages of Rehou 4, 5, Dalakere 1, Kongbo, and Pavika from August to October 2016. Data was collected on individual records when interviewing patients or parents.\nResults\nA total of 26 patients were identified. The</w:instrText>
            </w:r>
            <w:r w:rsidRPr="00B93807">
              <w:rPr>
                <w:rFonts w:ascii="Times New Roman" w:eastAsia="Times New Roman" w:hAnsi="Times New Roman" w:cs="Times New Roman"/>
                <w:i/>
                <w:iCs/>
                <w:color w:val="000000"/>
                <w:kern w:val="0"/>
                <w:sz w:val="20"/>
                <w:szCs w:val="20"/>
                <w:lang w:eastAsia="fr-FR"/>
                <w14:ligatures w14:val="none"/>
              </w:rPr>
              <w:instrText>˂</w:instrText>
            </w:r>
            <w:r w:rsidRPr="00B93807">
              <w:rPr>
                <w:rFonts w:ascii="Garamond" w:eastAsia="Times New Roman" w:hAnsi="Garamond" w:cs="Calibri"/>
                <w:i/>
                <w:iCs/>
                <w:color w:val="000000"/>
                <w:kern w:val="0"/>
                <w:sz w:val="20"/>
                <w:szCs w:val="20"/>
                <w:lang w:eastAsia="fr-FR"/>
                <w14:ligatures w14:val="none"/>
              </w:rPr>
              <w:instrText>10 years and 21</w:instrText>
            </w:r>
            <w:r w:rsidRPr="00B93807">
              <w:rPr>
                <w:rFonts w:ascii="Garamond" w:eastAsia="Times New Roman" w:hAnsi="Garamond" w:cs="Garamond"/>
                <w:i/>
                <w:iCs/>
                <w:color w:val="000000"/>
                <w:kern w:val="0"/>
                <w:sz w:val="20"/>
                <w:szCs w:val="20"/>
                <w:lang w:eastAsia="fr-FR"/>
                <w14:ligatures w14:val="none"/>
              </w:rPr>
              <w:instrText>–</w:instrText>
            </w:r>
            <w:r w:rsidRPr="00B93807">
              <w:rPr>
                <w:rFonts w:ascii="Garamond" w:eastAsia="Times New Roman" w:hAnsi="Garamond" w:cs="Calibri"/>
                <w:i/>
                <w:iCs/>
                <w:color w:val="000000"/>
                <w:kern w:val="0"/>
                <w:sz w:val="20"/>
                <w:szCs w:val="20"/>
                <w:lang w:eastAsia="fr-FR"/>
                <w14:ligatures w14:val="none"/>
              </w:rPr>
              <w:instrText xml:space="preserve">30 years age groups were the most affected. The overall attack rate was 5 per 1000 inhabitants and the case fatality was 7.7%. Young age and the absence of smallpox vaccination were associated with severe presentations in 87.5% of cases.\nConclusion\nThe annual number of monkeypox outbreaks increases in the Central African Republic with severe presentations and a high case fatality especially in children. Reinforcing the surveillance and characterization of circulating strains will provide information on the need for vaccine production.\nRésumé\nContexte\nLe monkeypox est une zoonose due à un Orthopoxvirus de la famille des Poxviridae. L’infection humaine est souvent grave et constitue un problème de santé publique.\nPatients et méthodes\nUne investigation d’épidémie de monkeypox a été réalisée dans le district sanitaire d’Alindao-Mingala, République centre Africaine, autour des cas suspects de cinq villages suite à la confirmation du virus par l’institut Pasteur de Bangui sur prélèvements sanguins. L’objectif était de déterminer les caractéristiques de la maladie, décrire le contexte et les facteurs favorisants et déterminer l’incidence et la létalité. Les cas ont été recensés dans les villages de Rehou 4, 5, Dalakere 1, Kongbo et Pavika d’août à octobre 2016. Les données ont été collectées sur une fiche individuelle par interview des patients et parents.\nRésultats\nAu total, 26 patients ont été recensés. Les tranches d’âge de moins de 10 ans et de 21–30 ans étaient les plus touchées. Le taux d’attaque global était de 5 pour 1000 habitants et la létalité de 7,7 %. Le jeune âge et l’absence de vaccination contre la variole étaient associés aux formes graves de la maladie dans 87,5 % des cas.\nConclusion\nLe nombre annuel de flambée épidémique de monkeypox augmente en République centrafricaine avec des formes graves et une forte létalité en particulier chez les enfants. Le renforcement de la surveillance et la caractérisation des souches circulantes pourront donner des informations sur la nécessité d’une production de vaccin.","container-title":"Médecine et Maladies Infectieuses","DOI":"10.1016/j.medmal.2018.02.010","ISSN":"0399-077X","issue":"4","journalAbbreviation":"Médecine et Maladies Infectieuses","page":"263-268","source":"ScienceDirect","title":"Investigation of an outbreak of monkeypox in an area occupied by armed groups, Central African Republic","volume":"48","author":[{"family":"Kalthan","given":"E."},{"family":"Tenguere","given":"J."},{"family":"Ndjapou","given":"S. G."},{"family":"Koyazengbe","given":"T. A."},{"family":"Mbomba","given":"J."},{"family":"Marada","given":"R. M."},{"family":"Rombebe","given":"P."},{"family":"Yangueme","given":"P."},{"family":"Babamingui","given":"M."},{"family":"Sambella","given":"A."},{"family":"Nakoune","given":"E. R."}],"issued":{"date-parts":[["2018"]]}}}],"schema":"https://github.com/citation-style-language/schema/raw/master/csl-citation.json"}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[14]</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057D4EF6"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2016</w:t>
            </w:r>
          </w:p>
        </w:tc>
        <w:tc>
          <w:tcPr>
            <w:tcW w:w="1636" w:type="dxa"/>
            <w:tcBorders>
              <w:top w:val="nil"/>
              <w:left w:val="nil"/>
              <w:bottom w:val="nil"/>
              <w:right w:val="nil"/>
            </w:tcBorders>
            <w:noWrap/>
            <w:hideMark/>
          </w:tcPr>
          <w:p w14:paraId="334AE3D9" w14:textId="65AB4BDC"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B279CC">
              <w:rPr>
                <w:rFonts w:ascii="Garamond" w:eastAsia="Times New Roman" w:hAnsi="Garamond" w:cs="Calibri"/>
                <w:color w:val="000000"/>
                <w:kern w:val="0"/>
                <w:sz w:val="20"/>
                <w:szCs w:val="20"/>
                <w:lang w:eastAsia="fr-FR"/>
                <w14:ligatures w14:val="none"/>
              </w:rPr>
              <w:t>Central African Republic</w:t>
            </w:r>
          </w:p>
        </w:tc>
        <w:tc>
          <w:tcPr>
            <w:tcW w:w="1559" w:type="dxa"/>
            <w:tcBorders>
              <w:top w:val="nil"/>
              <w:left w:val="nil"/>
              <w:bottom w:val="nil"/>
              <w:right w:val="nil"/>
            </w:tcBorders>
            <w:noWrap/>
            <w:hideMark/>
          </w:tcPr>
          <w:p w14:paraId="5B13C350"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038B8D8"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3B17F5B5"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13A0649"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A0FD6B7"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5CAD0D29" w14:textId="62A7576E"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75DEC033" w14:textId="472907E5"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26</w:t>
            </w:r>
          </w:p>
        </w:tc>
        <w:tc>
          <w:tcPr>
            <w:tcW w:w="1363" w:type="dxa"/>
            <w:gridSpan w:val="2"/>
            <w:tcBorders>
              <w:top w:val="nil"/>
              <w:left w:val="nil"/>
              <w:bottom w:val="nil"/>
              <w:right w:val="nil"/>
            </w:tcBorders>
            <w:noWrap/>
            <w:hideMark/>
          </w:tcPr>
          <w:p w14:paraId="3DB15934" w14:textId="40CA72F6"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61</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5</w:t>
            </w:r>
          </w:p>
        </w:tc>
      </w:tr>
      <w:tr w:rsidR="004B58EB" w:rsidRPr="00B93807" w14:paraId="44789B12" w14:textId="77777777" w:rsidTr="001132A6">
        <w:trPr>
          <w:trHeight w:val="290"/>
        </w:trPr>
        <w:tc>
          <w:tcPr>
            <w:tcW w:w="2411" w:type="dxa"/>
            <w:tcBorders>
              <w:top w:val="nil"/>
              <w:left w:val="nil"/>
              <w:bottom w:val="nil"/>
              <w:right w:val="nil"/>
            </w:tcBorders>
            <w:noWrap/>
            <w:hideMark/>
          </w:tcPr>
          <w:p w14:paraId="47DD4DA4" w14:textId="0EA7FE70"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Nakoune</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{"citationID":"JpvDPhwA","properties":{"formattedCitation":"[15]","plainCitation":"[15]","noteIndex":0},"citationItems":[{"id":3697,"uris":["http://zotero.org/users/1791235/items/LJMRJHPG"],"itemData":{"id":3697,"type":"article-journal","abstract":"Abstract\n            An outbreak of familial monkeypox occurred in the Central African Republic in 2015/2016 by 3 transmission modes: familial, health care–related, and transport-related. Ten people (3 children and 7 adults) were infected. Most presented with cutaneous lesions and fever, and 2 children died. The viral strain responsible was a Zaire genotype strain.","container-title":"Open Forum Infectious Diseases","DOI":"10.1093/ofid/ofx168","ISSN":"2328-8957","issue":"4","language":"en","license":"http://creativecommons.org/licenses/by-nc-nd/4.0","page":"ofx168","source":"DOI.org (Crossref)","title":"A Nosocomial Outbreak of Human Monkeypox in the Central African Republic","volume":"4","author":[{"family":"Nakoune","given":"Emmanuel"},{"family":"Lampaert","given":"Emmanuel"},{"family":"Ndjapou","given":"Séverin Gervais"},{"family":"Janssens","given":"Carole"},{"family":"Zuniga","given":"Isabel"},{"family":"Van Herp","given":"Michel"},{"family":"Fongbia","given":"Jean Paul"},{"family":"Koyazegbe","given":"Thomas Daquin"},{"family":"Selekon","given":"Benjamin"},{"family":"Komoyo","given":"Giscard Francis"},{"family":"Garba-Ouangole","given":"Sandra Miriella"},{"family":"Manengu","given":"Casimir"},{"family":"Manuguerra","given":"Jean-Claude"},{"family":"Kazanji","given":"Mirdad"},{"family":"Gessain","given":"Antoine"},{"family":"Berthet","given":"Nicolas"}],"issued":{"date-parts":[["2017"]]}}}],"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[15]</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0FF86093"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2016</w:t>
            </w:r>
          </w:p>
        </w:tc>
        <w:tc>
          <w:tcPr>
            <w:tcW w:w="1636" w:type="dxa"/>
            <w:tcBorders>
              <w:top w:val="nil"/>
              <w:left w:val="nil"/>
              <w:bottom w:val="nil"/>
              <w:right w:val="nil"/>
            </w:tcBorders>
            <w:noWrap/>
            <w:hideMark/>
          </w:tcPr>
          <w:p w14:paraId="469DB2A1" w14:textId="0AF6295F"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B279CC">
              <w:rPr>
                <w:rFonts w:ascii="Garamond" w:eastAsia="Times New Roman" w:hAnsi="Garamond" w:cs="Calibri"/>
                <w:color w:val="000000"/>
                <w:kern w:val="0"/>
                <w:sz w:val="20"/>
                <w:szCs w:val="20"/>
                <w:lang w:eastAsia="fr-FR"/>
                <w14:ligatures w14:val="none"/>
              </w:rPr>
              <w:t>Central African Republic</w:t>
            </w:r>
          </w:p>
        </w:tc>
        <w:tc>
          <w:tcPr>
            <w:tcW w:w="1559" w:type="dxa"/>
            <w:tcBorders>
              <w:top w:val="nil"/>
              <w:left w:val="nil"/>
              <w:bottom w:val="nil"/>
              <w:right w:val="nil"/>
            </w:tcBorders>
            <w:noWrap/>
            <w:hideMark/>
          </w:tcPr>
          <w:p w14:paraId="2ADAB26A"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2FB63E0"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21335A46"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 and HCWs</w:t>
            </w:r>
          </w:p>
        </w:tc>
        <w:tc>
          <w:tcPr>
            <w:tcW w:w="1105" w:type="dxa"/>
            <w:tcBorders>
              <w:top w:val="nil"/>
              <w:left w:val="nil"/>
              <w:bottom w:val="nil"/>
              <w:right w:val="nil"/>
            </w:tcBorders>
            <w:noWrap/>
            <w:hideMark/>
          </w:tcPr>
          <w:p w14:paraId="4A1AF75C"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7906CA7" w14:textId="77777777"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4AA4E92E" w14:textId="55CD2D60"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M</w:t>
            </w:r>
            <w:r w:rsidRPr="00B93807">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hideMark/>
          </w:tcPr>
          <w:p w14:paraId="3392717D" w14:textId="5E391F79"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10</w:t>
            </w:r>
          </w:p>
        </w:tc>
        <w:tc>
          <w:tcPr>
            <w:tcW w:w="1363" w:type="dxa"/>
            <w:gridSpan w:val="2"/>
            <w:tcBorders>
              <w:top w:val="nil"/>
              <w:left w:val="nil"/>
              <w:bottom w:val="nil"/>
              <w:right w:val="nil"/>
            </w:tcBorders>
            <w:noWrap/>
            <w:hideMark/>
          </w:tcPr>
          <w:p w14:paraId="0D9FBF3F" w14:textId="3F15AF51" w:rsidR="004B58EB" w:rsidRPr="00732E62" w:rsidRDefault="004B58EB" w:rsidP="004B58E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70</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A40703" w:rsidRPr="00B93807" w14:paraId="777792C8" w14:textId="77777777" w:rsidTr="001132A6">
        <w:trPr>
          <w:trHeight w:val="290"/>
        </w:trPr>
        <w:tc>
          <w:tcPr>
            <w:tcW w:w="2411" w:type="dxa"/>
            <w:tcBorders>
              <w:top w:val="nil"/>
              <w:left w:val="nil"/>
              <w:bottom w:val="nil"/>
              <w:right w:val="nil"/>
            </w:tcBorders>
            <w:noWrap/>
            <w:hideMark/>
          </w:tcPr>
          <w:p w14:paraId="61E1CA71" w14:textId="081B111C" w:rsidR="00A40703" w:rsidRPr="00732E62" w:rsidRDefault="00A40703" w:rsidP="00E8593B">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Doshi</w:t>
            </w:r>
            <w:r w:rsidR="00E8593B" w:rsidRPr="00B93807">
              <w:rPr>
                <w:rFonts w:ascii="Garamond" w:eastAsia="Times New Roman" w:hAnsi="Garamond" w:cs="Calibri"/>
                <w:color w:val="000000"/>
                <w:kern w:val="0"/>
                <w:sz w:val="20"/>
                <w:szCs w:val="20"/>
                <w:lang w:eastAsia="fr-FR"/>
                <w14:ligatures w14:val="none"/>
              </w:rPr>
              <w:t xml:space="preserve"> </w:t>
            </w:r>
            <w:r w:rsidR="00E8593B" w:rsidRPr="00B93807">
              <w:rPr>
                <w:rFonts w:ascii="Garamond" w:eastAsia="Times New Roman" w:hAnsi="Garamond" w:cs="Calibri"/>
                <w:i/>
                <w:iCs/>
                <w:color w:val="000000"/>
                <w:kern w:val="0"/>
                <w:sz w:val="20"/>
                <w:szCs w:val="20"/>
                <w:lang w:eastAsia="fr-FR"/>
                <w14:ligatures w14:val="none"/>
              </w:rPr>
              <w:t xml:space="preserve">et al. </w:t>
            </w:r>
            <w:r w:rsidR="00E8593B" w:rsidRPr="00B93807">
              <w:rPr>
                <w:rFonts w:ascii="Garamond" w:eastAsia="Times New Roman" w:hAnsi="Garamond" w:cs="Calibri"/>
                <w:i/>
                <w:iCs/>
                <w:color w:val="000000"/>
                <w:kern w:val="0"/>
                <w:sz w:val="20"/>
                <w:szCs w:val="20"/>
                <w:lang w:eastAsia="fr-FR"/>
                <w14:ligatures w14:val="none"/>
              </w:rPr>
              <w:fldChar w:fldCharType="begin"/>
            </w:r>
            <w:r w:rsidR="00E8593B" w:rsidRPr="00B93807">
              <w:rPr>
                <w:rFonts w:ascii="Garamond" w:eastAsia="Times New Roman" w:hAnsi="Garamond" w:cs="Calibri"/>
                <w:i/>
                <w:iCs/>
                <w:color w:val="000000"/>
                <w:kern w:val="0"/>
                <w:sz w:val="20"/>
                <w:szCs w:val="20"/>
                <w:lang w:eastAsia="fr-FR"/>
                <w14:ligatures w14:val="none"/>
              </w:rPr>
              <w:instrText xml:space="preserve"> ADDIN ZOTERO_ITEM CSL_CITATION {"citationID":"8vk4QwGK","properties":{"formattedCitation":"[16]","plainCitation":"[16]","noteIndex":0},"citationItems":[{"id":3848,"uris":["http://zotero.org/users/1791235/items/46QPL842"],"itemData":{"id":3848,"type":"article-journal","container-title":"Emerging Infectious Diseases","DOI":"10.3201/eid2406.180248","ISSN":"1080-6040, 1080-6059","issue":"6","journalAbbreviation":"Emerg. Infect. Dis.","language":"en","page":"1158-60","source":"DOI.org (Crossref)","title":"Strengthening of Surveillance during Monkeypox Outbreak, Republic of the Congo, 2017","volume":"24","author":[{"family":"Doshi","given":"Reena H."},{"family":"Guagliardo","given":"Sarah Anne J."},{"family":"Dzabatou-Babeaux","given":"Angelie"},{"family":"Likouayoulou","given":"Camille"},{"family":"Ndakala","given":"Nestor"},{"family":"Moses","given":"Cynthia"},{"family":"Olson","given":"Victoria"},{"family":"McCollum","given":"Andrea M."},{"family":"Petersen","given":"Brett W."}],"issued":{"date-parts":[["2018"]]}}}],"schema":"https://github.com/citation-style-language/schema/raw/master/csl-citation.json"} </w:instrText>
            </w:r>
            <w:r w:rsidR="00E8593B" w:rsidRPr="00B93807">
              <w:rPr>
                <w:rFonts w:ascii="Garamond" w:eastAsia="Times New Roman" w:hAnsi="Garamond" w:cs="Calibri"/>
                <w:i/>
                <w:iCs/>
                <w:color w:val="000000"/>
                <w:kern w:val="0"/>
                <w:sz w:val="20"/>
                <w:szCs w:val="20"/>
                <w:lang w:eastAsia="fr-FR"/>
                <w14:ligatures w14:val="none"/>
              </w:rPr>
              <w:fldChar w:fldCharType="separate"/>
            </w:r>
            <w:r w:rsidR="00E8593B" w:rsidRPr="00B93807">
              <w:rPr>
                <w:rFonts w:ascii="Garamond" w:hAnsi="Garamond"/>
                <w:sz w:val="20"/>
                <w:szCs w:val="20"/>
              </w:rPr>
              <w:t>[16]</w:t>
            </w:r>
            <w:r w:rsidR="00E8593B"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2E204724"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2017</w:t>
            </w:r>
          </w:p>
        </w:tc>
        <w:tc>
          <w:tcPr>
            <w:tcW w:w="1636" w:type="dxa"/>
            <w:tcBorders>
              <w:top w:val="nil"/>
              <w:left w:val="nil"/>
              <w:bottom w:val="nil"/>
              <w:right w:val="nil"/>
            </w:tcBorders>
            <w:noWrap/>
            <w:hideMark/>
          </w:tcPr>
          <w:p w14:paraId="2755EDBF"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Congo</w:t>
            </w:r>
          </w:p>
        </w:tc>
        <w:tc>
          <w:tcPr>
            <w:tcW w:w="1559" w:type="dxa"/>
            <w:tcBorders>
              <w:top w:val="nil"/>
              <w:left w:val="nil"/>
              <w:bottom w:val="nil"/>
              <w:right w:val="nil"/>
            </w:tcBorders>
            <w:noWrap/>
            <w:hideMark/>
          </w:tcPr>
          <w:p w14:paraId="268E7EAC" w14:textId="13A4C975"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Case serie</w:t>
            </w:r>
            <w:r w:rsidR="009831DA">
              <w:rPr>
                <w:rFonts w:ascii="Garamond" w:eastAsia="Times New Roman" w:hAnsi="Garamond" w:cs="Calibri"/>
                <w:color w:val="000000"/>
                <w:kern w:val="0"/>
                <w:sz w:val="20"/>
                <w:szCs w:val="20"/>
                <w:lang w:eastAsia="fr-FR"/>
                <w14:ligatures w14:val="none"/>
              </w:rPr>
              <w:t>s</w:t>
            </w:r>
          </w:p>
        </w:tc>
        <w:tc>
          <w:tcPr>
            <w:tcW w:w="1180" w:type="dxa"/>
            <w:tcBorders>
              <w:top w:val="nil"/>
              <w:left w:val="nil"/>
              <w:bottom w:val="nil"/>
              <w:right w:val="nil"/>
            </w:tcBorders>
            <w:noWrap/>
            <w:hideMark/>
          </w:tcPr>
          <w:p w14:paraId="439E4E7F"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2B3638F4"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A33A1CF"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9D372BF" w14:textId="77777777"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0FE5B61F" w14:textId="592B3C6F" w:rsidR="00A40703" w:rsidRPr="00732E62" w:rsidRDefault="00BE79EA"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M</w:t>
            </w:r>
            <w:r w:rsidRPr="00B93807">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hideMark/>
          </w:tcPr>
          <w:p w14:paraId="7A888798" w14:textId="58C68E9F"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7</w:t>
            </w:r>
          </w:p>
        </w:tc>
        <w:tc>
          <w:tcPr>
            <w:tcW w:w="1363" w:type="dxa"/>
            <w:gridSpan w:val="2"/>
            <w:tcBorders>
              <w:top w:val="nil"/>
              <w:left w:val="nil"/>
              <w:bottom w:val="nil"/>
              <w:right w:val="nil"/>
            </w:tcBorders>
            <w:noWrap/>
            <w:hideMark/>
          </w:tcPr>
          <w:p w14:paraId="7E8961BD" w14:textId="42A20182" w:rsidR="00A40703" w:rsidRPr="00732E62" w:rsidRDefault="00A40703" w:rsidP="00A40703">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85</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7</w:t>
            </w:r>
          </w:p>
        </w:tc>
      </w:tr>
      <w:tr w:rsidR="00D46672" w:rsidRPr="00B93807" w14:paraId="5451C823" w14:textId="77777777" w:rsidTr="001132A6">
        <w:trPr>
          <w:trHeight w:val="290"/>
        </w:trPr>
        <w:tc>
          <w:tcPr>
            <w:tcW w:w="2411" w:type="dxa"/>
            <w:tcBorders>
              <w:top w:val="nil"/>
              <w:left w:val="nil"/>
              <w:bottom w:val="nil"/>
              <w:right w:val="nil"/>
            </w:tcBorders>
            <w:noWrap/>
            <w:hideMark/>
          </w:tcPr>
          <w:p w14:paraId="4146FE10" w14:textId="7BAB9CBC" w:rsidR="00D46672" w:rsidRPr="00732E62" w:rsidRDefault="00D46672" w:rsidP="00962B7C">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lastRenderedPageBreak/>
              <w:t>Ogoina</w:t>
            </w:r>
            <w:proofErr w:type="spellEnd"/>
            <w:r w:rsidR="00E8593B" w:rsidRPr="00B93807">
              <w:rPr>
                <w:rFonts w:ascii="Garamond" w:eastAsia="Times New Roman" w:hAnsi="Garamond" w:cs="Calibri"/>
                <w:color w:val="000000"/>
                <w:kern w:val="0"/>
                <w:sz w:val="20"/>
                <w:szCs w:val="20"/>
                <w:lang w:eastAsia="fr-FR"/>
                <w14:ligatures w14:val="none"/>
              </w:rPr>
              <w:t xml:space="preserve"> </w:t>
            </w:r>
            <w:r w:rsidR="00E8593B" w:rsidRPr="00B93807">
              <w:rPr>
                <w:rFonts w:ascii="Garamond" w:eastAsia="Times New Roman" w:hAnsi="Garamond" w:cs="Calibri"/>
                <w:i/>
                <w:iCs/>
                <w:color w:val="000000"/>
                <w:kern w:val="0"/>
                <w:sz w:val="20"/>
                <w:szCs w:val="20"/>
                <w:lang w:eastAsia="fr-FR"/>
                <w14:ligatures w14:val="none"/>
              </w:rPr>
              <w:t xml:space="preserve">et al. </w:t>
            </w:r>
            <w:r w:rsidR="00E8593B" w:rsidRPr="00B93807">
              <w:rPr>
                <w:rFonts w:ascii="Garamond" w:eastAsia="Times New Roman" w:hAnsi="Garamond" w:cs="Calibri"/>
                <w:i/>
                <w:iCs/>
                <w:color w:val="000000"/>
                <w:kern w:val="0"/>
                <w:sz w:val="20"/>
                <w:szCs w:val="20"/>
                <w:lang w:eastAsia="fr-FR"/>
                <w14:ligatures w14:val="none"/>
              </w:rPr>
              <w:fldChar w:fldCharType="begin"/>
            </w:r>
            <w:r w:rsidR="00962B7C" w:rsidRPr="00B93807">
              <w:rPr>
                <w:rFonts w:ascii="Garamond" w:eastAsia="Times New Roman" w:hAnsi="Garamond" w:cs="Calibri"/>
                <w:i/>
                <w:iCs/>
                <w:color w:val="000000"/>
                <w:kern w:val="0"/>
                <w:sz w:val="20"/>
                <w:szCs w:val="20"/>
                <w:lang w:eastAsia="fr-FR"/>
                <w14:ligatures w14:val="none"/>
              </w:rPr>
              <w:instrText xml:space="preserve"> ADDIN ZOTERO_ITEM CSL_CITATION {"citationID":"knrUNKoH","properties":{"formattedCitation":"[17]","plainCitation":"[17]","noteIndex":0},"citationItems":[{"id":4728,"uris":["http://zotero.org/users/1791235/items/4P5ZVXCH"],"itemData":{"id":4728,"type":"article-journal","abstract":"Abstract\n            In a retrospective review of hospital records of 40 human monkeypox cases from Nigeria, the majority developed fever and self-limiting vesiculopustular skin eruptions. Five deaths were reported. Compared to human immunodeficiency virus (HIV)–negative cases, HIV type 1–coinfected cases had more prolonged illness, larger lesions, and higher rates of both secondary bacterial skin infections and genital ulcers.","container-title":"Clinical Infectious Diseases","DOI":"10.1093/cid/ciaa143","ISSN":"1058-4838, 1537-6591","issue":"8","language":"en","license":"https://academic.oup.com/journals/pages/open_access/funder_policies/chorus/standard_publication_model","page":"e210-e214","source":"DOI.org (Crossref)","title":"Clinical Course and Outcome of Human Monkeypox in Nigeria","volume":"71","author":[{"family":"Ogoina","given":"Dimie"},{"family":"Iroezindu","given":"Michael"},{"family":"James","given":"Hendris Izibewule"},{"family":"Oladokun","given":"Regina"},{"family":"Yinka-Ogunleye","given":"Adesola"},{"family":"Wakama","given":"Paul"},{"family":"Otike-odibi","given":"Bolaji"},{"family":"Usman","given":"Liman Muhammed"},{"family":"Obazee","given":"Emmanuel"},{"family":"Aruna","given":"Olusola"},{"family":"Ihekweazu","given":"Chikwe"}],"issued":{"date-parts":[["2020"]]}}}],"schema":"https://github.com/citation-style-language/schema/raw/master/csl-citation.json"} </w:instrText>
            </w:r>
            <w:r w:rsidR="00E8593B" w:rsidRPr="00B93807">
              <w:rPr>
                <w:rFonts w:ascii="Garamond" w:eastAsia="Times New Roman" w:hAnsi="Garamond" w:cs="Calibri"/>
                <w:i/>
                <w:iCs/>
                <w:color w:val="000000"/>
                <w:kern w:val="0"/>
                <w:sz w:val="20"/>
                <w:szCs w:val="20"/>
                <w:lang w:eastAsia="fr-FR"/>
                <w14:ligatures w14:val="none"/>
              </w:rPr>
              <w:fldChar w:fldCharType="separate"/>
            </w:r>
            <w:r w:rsidR="00962B7C" w:rsidRPr="00B93807">
              <w:rPr>
                <w:rFonts w:ascii="Garamond" w:hAnsi="Garamond"/>
                <w:sz w:val="20"/>
                <w:szCs w:val="20"/>
              </w:rPr>
              <w:t>[17]</w:t>
            </w:r>
            <w:r w:rsidR="00E8593B"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5B8D8BF2"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2017</w:t>
            </w:r>
          </w:p>
        </w:tc>
        <w:tc>
          <w:tcPr>
            <w:tcW w:w="1636" w:type="dxa"/>
            <w:tcBorders>
              <w:top w:val="nil"/>
              <w:left w:val="nil"/>
              <w:bottom w:val="nil"/>
              <w:right w:val="nil"/>
            </w:tcBorders>
            <w:noWrap/>
            <w:hideMark/>
          </w:tcPr>
          <w:p w14:paraId="603E9E7A"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Nigeria</w:t>
            </w:r>
          </w:p>
        </w:tc>
        <w:tc>
          <w:tcPr>
            <w:tcW w:w="1559" w:type="dxa"/>
            <w:tcBorders>
              <w:top w:val="nil"/>
              <w:left w:val="nil"/>
              <w:bottom w:val="nil"/>
              <w:right w:val="nil"/>
            </w:tcBorders>
            <w:noWrap/>
            <w:hideMark/>
          </w:tcPr>
          <w:p w14:paraId="5D5286C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420AA0E5"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2CCB4809"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0D9748C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7FCED28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3C6F6AA5" w14:textId="7002FFF6"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195B2179" w14:textId="2858A02B"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18</w:t>
            </w:r>
          </w:p>
        </w:tc>
        <w:tc>
          <w:tcPr>
            <w:tcW w:w="1363" w:type="dxa"/>
            <w:gridSpan w:val="2"/>
            <w:tcBorders>
              <w:top w:val="nil"/>
              <w:left w:val="nil"/>
              <w:bottom w:val="nil"/>
              <w:right w:val="nil"/>
            </w:tcBorders>
            <w:noWrap/>
            <w:hideMark/>
          </w:tcPr>
          <w:p w14:paraId="588DD5D9" w14:textId="6ACF8534"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72</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2</w:t>
            </w:r>
          </w:p>
        </w:tc>
      </w:tr>
      <w:tr w:rsidR="00D46672" w:rsidRPr="00B93807" w14:paraId="7D602AD3" w14:textId="77777777" w:rsidTr="001132A6">
        <w:trPr>
          <w:trHeight w:val="290"/>
        </w:trPr>
        <w:tc>
          <w:tcPr>
            <w:tcW w:w="2411" w:type="dxa"/>
            <w:tcBorders>
              <w:top w:val="nil"/>
              <w:left w:val="nil"/>
              <w:bottom w:val="nil"/>
              <w:right w:val="nil"/>
            </w:tcBorders>
            <w:noWrap/>
            <w:hideMark/>
          </w:tcPr>
          <w:p w14:paraId="6077CC8A" w14:textId="193A10E4" w:rsidR="00D46672" w:rsidRPr="00732E62" w:rsidRDefault="00D46672" w:rsidP="00F52C7C">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Vaughan</w:t>
            </w:r>
            <w:r w:rsidR="00962B7C" w:rsidRPr="00B93807">
              <w:rPr>
                <w:rFonts w:ascii="Garamond" w:eastAsia="Times New Roman" w:hAnsi="Garamond" w:cs="Calibri"/>
                <w:color w:val="000000"/>
                <w:kern w:val="0"/>
                <w:sz w:val="20"/>
                <w:szCs w:val="20"/>
                <w:lang w:eastAsia="fr-FR"/>
                <w14:ligatures w14:val="none"/>
              </w:rPr>
              <w:t xml:space="preserve"> </w:t>
            </w:r>
            <w:r w:rsidR="00962B7C" w:rsidRPr="00B93807">
              <w:rPr>
                <w:rFonts w:ascii="Garamond" w:eastAsia="Times New Roman" w:hAnsi="Garamond" w:cs="Calibri"/>
                <w:i/>
                <w:iCs/>
                <w:color w:val="000000"/>
                <w:kern w:val="0"/>
                <w:sz w:val="20"/>
                <w:szCs w:val="20"/>
                <w:lang w:eastAsia="fr-FR"/>
                <w14:ligatures w14:val="none"/>
              </w:rPr>
              <w:t xml:space="preserve">et al. </w:t>
            </w:r>
            <w:r w:rsidR="00F52C7C" w:rsidRPr="00B93807">
              <w:rPr>
                <w:rFonts w:ascii="Garamond" w:eastAsia="Times New Roman" w:hAnsi="Garamond" w:cs="Calibri"/>
                <w:i/>
                <w:iCs/>
                <w:color w:val="000000"/>
                <w:kern w:val="0"/>
                <w:sz w:val="20"/>
                <w:szCs w:val="20"/>
                <w:lang w:eastAsia="fr-FR"/>
                <w14:ligatures w14:val="none"/>
              </w:rPr>
              <w:fldChar w:fldCharType="begin"/>
            </w:r>
            <w:r w:rsidR="00F52C7C" w:rsidRPr="00B93807">
              <w:rPr>
                <w:rFonts w:ascii="Garamond" w:eastAsia="Times New Roman" w:hAnsi="Garamond" w:cs="Calibri"/>
                <w:i/>
                <w:iCs/>
                <w:color w:val="000000"/>
                <w:kern w:val="0"/>
                <w:sz w:val="20"/>
                <w:szCs w:val="20"/>
                <w:lang w:eastAsia="fr-FR"/>
                <w14:ligatures w14:val="none"/>
              </w:rPr>
              <w:instrText xml:space="preserve"> ADDIN ZOTERO_ITEM CSL_CITATION {"citationID":"GedIojjB","properties":{"formattedCitation":"[18]","plainCitation":"[18]","noteIndex":0},"citationItems":[{"id":4733,"uris":["http://zotero.org/users/1791235/items/X4DC36IN"],"itemData":{"id":4733,"type":"article-journal","abstract":"In early September 2018, two cases of monkeypox were reported in the United Kingdom (UK), diagnosed on 7 September in Cornwall (South West England) and 11 September in Blackpool (North West England). The cases were epidemiologically unconnected and had recently travelled to the UK from Nigeria, where monkeypox is currently circulating. We describe the epidemiology and the public health response for the first diagnosed cases outside the African continent since 2003.","container-title":"Eurosurveillance","DOI":"10.2807/1560-7917.ES.2018.23.38.1800509","ISSN":"1560-7917","issue":"38","language":"en","note":"publisher: European Centre for Disease Prevention and Control","page":"1800509","source":"www.eurosurveillance.org","title":"Two cases of monkeypox imported to the United Kingdom, September 2018","volume":"23","author":[{"family":"Vaughan","given":"Aisling"},{"family":"Aarons","given":"Emma"},{"family":"Astbury","given":"John"},{"family":"Balasegaram","given":"Sooria"},{"family":"Beadsworth","given":"Mike"},{"family":"Beck","given":"Charles R."},{"family":"Chand","given":"Meera"},{"family":"O’Connor","given":"Catherine"},{"family":"Dunning","given":"Jake"},{"family":"Ghebrehewet","given":"Sam"},{"family":"Harper","given":"Nick"},{"family":"Howlett-Shipley","given":"Ruth"},{"family":"Ihekweazu","given":"Chikwe"},{"family":"Jacobs","given":"Michael"},{"family":"Kaindama","given":"Lukeki"},{"family":"Katwa","given":"Parisha"},{"family":"Khoo","given":"Saye"},{"family":"Lamb","given":"Lucy"},{"family":"Mawdsley","given":"Sharon"},{"family":"Morgan","given":"Dilys"},{"family":"Palmer","given":"Ruth"},{"family":"Phin","given":"Nick"},{"family":"Russell","given":"Katherine"},{"family":"Said","given":"Bengü"},{"family":"Simpson","given":"Andrew"},{"family":"Vivancos","given":"Roberto"},{"family":"Wade","given":"Michael"},{"family":"Walsh","given":"Amanda"},{"family":"Wilburn","given":"Jennifer"}],"issued":{"date-parts":[["2018"]]}}}],"schema":"https://github.com/citation-style-language/schema/raw/master/csl-citation.json"} </w:instrText>
            </w:r>
            <w:r w:rsidR="00F52C7C" w:rsidRPr="00B93807">
              <w:rPr>
                <w:rFonts w:ascii="Garamond" w:eastAsia="Times New Roman" w:hAnsi="Garamond" w:cs="Calibri"/>
                <w:i/>
                <w:iCs/>
                <w:color w:val="000000"/>
                <w:kern w:val="0"/>
                <w:sz w:val="20"/>
                <w:szCs w:val="20"/>
                <w:lang w:eastAsia="fr-FR"/>
                <w14:ligatures w14:val="none"/>
              </w:rPr>
              <w:fldChar w:fldCharType="separate"/>
            </w:r>
            <w:r w:rsidR="00F52C7C" w:rsidRPr="00B93807">
              <w:rPr>
                <w:rFonts w:ascii="Garamond" w:hAnsi="Garamond"/>
                <w:sz w:val="20"/>
                <w:szCs w:val="20"/>
              </w:rPr>
              <w:t>[18]</w:t>
            </w:r>
            <w:r w:rsidR="00F52C7C"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6EEEC490"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2018</w:t>
            </w:r>
          </w:p>
        </w:tc>
        <w:tc>
          <w:tcPr>
            <w:tcW w:w="1636" w:type="dxa"/>
            <w:tcBorders>
              <w:top w:val="nil"/>
              <w:left w:val="nil"/>
              <w:bottom w:val="nil"/>
              <w:right w:val="nil"/>
            </w:tcBorders>
            <w:noWrap/>
            <w:hideMark/>
          </w:tcPr>
          <w:p w14:paraId="58F7C0D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Nigeria</w:t>
            </w:r>
          </w:p>
        </w:tc>
        <w:tc>
          <w:tcPr>
            <w:tcW w:w="1559" w:type="dxa"/>
            <w:tcBorders>
              <w:top w:val="nil"/>
              <w:left w:val="nil"/>
              <w:bottom w:val="nil"/>
              <w:right w:val="nil"/>
            </w:tcBorders>
            <w:noWrap/>
            <w:hideMark/>
          </w:tcPr>
          <w:p w14:paraId="33AF0EE4"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Case report</w:t>
            </w:r>
          </w:p>
        </w:tc>
        <w:tc>
          <w:tcPr>
            <w:tcW w:w="1180" w:type="dxa"/>
            <w:tcBorders>
              <w:top w:val="nil"/>
              <w:left w:val="nil"/>
              <w:bottom w:val="nil"/>
              <w:right w:val="nil"/>
            </w:tcBorders>
            <w:noWrap/>
            <w:hideMark/>
          </w:tcPr>
          <w:p w14:paraId="5DDB1F89"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3A55BB63"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06029F08"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D9BB61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II</w:t>
            </w:r>
          </w:p>
        </w:tc>
        <w:tc>
          <w:tcPr>
            <w:tcW w:w="882" w:type="dxa"/>
            <w:tcBorders>
              <w:top w:val="nil"/>
              <w:left w:val="nil"/>
              <w:bottom w:val="nil"/>
              <w:right w:val="nil"/>
            </w:tcBorders>
            <w:noWrap/>
            <w:hideMark/>
          </w:tcPr>
          <w:p w14:paraId="49A6904A" w14:textId="4BD95C4D"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15FA363C" w14:textId="4643CA3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w:t>
            </w:r>
          </w:p>
        </w:tc>
        <w:tc>
          <w:tcPr>
            <w:tcW w:w="1363" w:type="dxa"/>
            <w:gridSpan w:val="2"/>
            <w:tcBorders>
              <w:top w:val="nil"/>
              <w:left w:val="nil"/>
              <w:bottom w:val="nil"/>
              <w:right w:val="nil"/>
            </w:tcBorders>
            <w:noWrap/>
            <w:hideMark/>
          </w:tcPr>
          <w:p w14:paraId="719F0A6F" w14:textId="5145E00E"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1EF62472" w14:textId="77777777" w:rsidTr="001132A6">
        <w:trPr>
          <w:trHeight w:val="290"/>
        </w:trPr>
        <w:tc>
          <w:tcPr>
            <w:tcW w:w="2411" w:type="dxa"/>
            <w:tcBorders>
              <w:top w:val="nil"/>
              <w:left w:val="nil"/>
              <w:bottom w:val="nil"/>
              <w:right w:val="nil"/>
            </w:tcBorders>
            <w:noWrap/>
            <w:hideMark/>
          </w:tcPr>
          <w:p w14:paraId="62A207DF" w14:textId="0AE536E6" w:rsidR="00AC4C9C" w:rsidRPr="00B93807" w:rsidRDefault="00D46672" w:rsidP="00355608">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Ogoina</w:t>
            </w:r>
            <w:proofErr w:type="spellEnd"/>
            <w:r w:rsidR="00AC4C9C" w:rsidRPr="00B93807">
              <w:rPr>
                <w:rFonts w:ascii="Garamond" w:eastAsia="Times New Roman" w:hAnsi="Garamond" w:cs="Calibri"/>
                <w:color w:val="000000"/>
                <w:kern w:val="0"/>
                <w:sz w:val="20"/>
                <w:szCs w:val="20"/>
                <w:lang w:eastAsia="fr-FR"/>
                <w14:ligatures w14:val="none"/>
              </w:rPr>
              <w:t xml:space="preserve"> </w:t>
            </w:r>
            <w:r w:rsidR="00AC4C9C" w:rsidRPr="00B93807">
              <w:rPr>
                <w:rFonts w:ascii="Garamond" w:eastAsia="Times New Roman" w:hAnsi="Garamond" w:cs="Calibri"/>
                <w:i/>
                <w:iCs/>
                <w:color w:val="000000"/>
                <w:kern w:val="0"/>
                <w:sz w:val="20"/>
                <w:szCs w:val="20"/>
                <w:lang w:eastAsia="fr-FR"/>
                <w14:ligatures w14:val="none"/>
              </w:rPr>
              <w:t xml:space="preserve">et al. </w:t>
            </w:r>
            <w:r w:rsidR="00AC4C9C" w:rsidRPr="00B93807">
              <w:rPr>
                <w:rFonts w:ascii="Garamond" w:eastAsia="Times New Roman" w:hAnsi="Garamond" w:cs="Calibri"/>
                <w:i/>
                <w:iCs/>
                <w:color w:val="000000"/>
                <w:kern w:val="0"/>
                <w:sz w:val="20"/>
                <w:szCs w:val="20"/>
                <w:lang w:eastAsia="fr-FR"/>
                <w14:ligatures w14:val="none"/>
              </w:rPr>
              <w:fldChar w:fldCharType="begin"/>
            </w:r>
            <w:r w:rsidR="00355608" w:rsidRPr="00B93807">
              <w:rPr>
                <w:rFonts w:ascii="Garamond" w:eastAsia="Times New Roman" w:hAnsi="Garamond" w:cs="Calibri"/>
                <w:i/>
                <w:iCs/>
                <w:color w:val="000000"/>
                <w:kern w:val="0"/>
                <w:sz w:val="20"/>
                <w:szCs w:val="20"/>
                <w:lang w:eastAsia="fr-FR"/>
                <w14:ligatures w14:val="none"/>
              </w:rPr>
              <w:instrText xml:space="preserve"> ADDIN ZOTERO_ITEM CSL_CITATION {"citationID":"ky8XnJ18","properties":{"formattedCitation":"[19]","plainCitation":"[19]","noteIndex":0},"citationItems":[{"id":3513,"uris":["http://zotero.org/users/1791235/items/9Q3XPD3R"],"itemData":{"id":3513,"type":"article-journal","abstract":"Background: Human monkeypox (HMPX) is currently spreading outside endemic countries in Africa and the majority of those affected are gay and bisexual men within interconnected sexual networks. We investigated the sexual history of HMPX cases seen at a tertiary hospital in Bayelsa State during the 2017–2018 outbreak in Nigeria.\n            Method: A cross-sectional study was conducted between 20 October 2017 and 2 January 2019 among adult confirmed/probable HMPX cases. A questionnaire was used to collect data on the sexual history of participants, including sexual contact in relation to the first symptom, and high-risk behaviours (HRB) such as a history of condomless casual sex, multiple sexual partners, and transactional sex.\n            Results: Of 21 patients, 16 (76.2%) gave consent to participate in the study: age range of 22–43 years, 75% males, three (18.8%) HIV-1 positive, and 13 (81.2%) with genital ulcers. Nine (56.2%) of participants reported HRB, and all were male heterosexuals. Eight of the 16 participants (50%) reported having sex within a month before their first symptom, and five (62.5%) of this number reported HRB. There were two cases of sex with a partner with a non-genital rash, and a spouse who developed a vulval ulcer four days after sex with her husband.\n            Conclusion: Our results support the role of sexual contact in the transmission of monkeypox among some confirmed cases from Nigeria. However, future elaborate studies are required to confirm if sexual behaviour and sexual transmission are associated with HMPX in Nigeria.","container-title":"International Journal of STD &amp; AIDS","DOI":"10.1177/09564624221119335","ISSN":"0956-4624, 1758-1052","issue":"10","journalAbbreviation":"Int J STD AIDS","language":"en","page":"928-32","source":"DOI.org (Crossref)","title":"Sexual history of human monkeypox patients seen at a tertiary hospital in Bayelsa, Nigeria.","volume":"33","author":[{"family":"Ogoina","given":"Dimie"},{"family":"Yinka-Ogunleye","given":"Adesola"}],"issued":{"date-parts":[["2022"]]}}}],"schema":"https://github.com/citation-style-language/schema/raw/master/csl-citation.json"} </w:instrText>
            </w:r>
            <w:r w:rsidR="00AC4C9C" w:rsidRPr="00B93807">
              <w:rPr>
                <w:rFonts w:ascii="Garamond" w:eastAsia="Times New Roman" w:hAnsi="Garamond" w:cs="Calibri"/>
                <w:i/>
                <w:iCs/>
                <w:color w:val="000000"/>
                <w:kern w:val="0"/>
                <w:sz w:val="20"/>
                <w:szCs w:val="20"/>
                <w:lang w:eastAsia="fr-FR"/>
                <w14:ligatures w14:val="none"/>
              </w:rPr>
              <w:fldChar w:fldCharType="separate"/>
            </w:r>
            <w:r w:rsidR="00355608" w:rsidRPr="00B93807">
              <w:rPr>
                <w:rFonts w:ascii="Garamond" w:hAnsi="Garamond"/>
                <w:sz w:val="20"/>
                <w:szCs w:val="20"/>
              </w:rPr>
              <w:t>[19]</w:t>
            </w:r>
            <w:r w:rsidR="00AC4C9C" w:rsidRPr="00B93807">
              <w:rPr>
                <w:rFonts w:ascii="Garamond" w:eastAsia="Times New Roman" w:hAnsi="Garamond" w:cs="Calibri"/>
                <w:i/>
                <w:iCs/>
                <w:color w:val="000000"/>
                <w:kern w:val="0"/>
                <w:sz w:val="20"/>
                <w:szCs w:val="20"/>
                <w:lang w:eastAsia="fr-FR"/>
                <w14:ligatures w14:val="none"/>
              </w:rPr>
              <w:fldChar w:fldCharType="end"/>
            </w:r>
          </w:p>
          <w:p w14:paraId="6D57CD12" w14:textId="442D35E2" w:rsidR="00D46672" w:rsidRPr="00732E62" w:rsidRDefault="00D46672" w:rsidP="00AC4C9C">
            <w:pPr>
              <w:spacing w:after="0" w:line="240" w:lineRule="auto"/>
              <w:rPr>
                <w:rFonts w:ascii="Garamond" w:eastAsia="Times New Roman" w:hAnsi="Garamond" w:cs="Calibri"/>
                <w:color w:val="000000"/>
                <w:kern w:val="0"/>
                <w:sz w:val="20"/>
                <w:szCs w:val="20"/>
                <w:lang w:eastAsia="fr-FR"/>
                <w14:ligatures w14:val="none"/>
              </w:rPr>
            </w:pPr>
          </w:p>
        </w:tc>
        <w:tc>
          <w:tcPr>
            <w:tcW w:w="773" w:type="dxa"/>
            <w:tcBorders>
              <w:top w:val="nil"/>
              <w:left w:val="nil"/>
              <w:bottom w:val="nil"/>
              <w:right w:val="nil"/>
            </w:tcBorders>
            <w:noWrap/>
            <w:hideMark/>
          </w:tcPr>
          <w:p w14:paraId="5C632572"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2018</w:t>
            </w:r>
          </w:p>
        </w:tc>
        <w:tc>
          <w:tcPr>
            <w:tcW w:w="1636" w:type="dxa"/>
            <w:tcBorders>
              <w:top w:val="nil"/>
              <w:left w:val="nil"/>
              <w:bottom w:val="nil"/>
              <w:right w:val="nil"/>
            </w:tcBorders>
            <w:noWrap/>
            <w:hideMark/>
          </w:tcPr>
          <w:p w14:paraId="62A074A2"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Nigeria</w:t>
            </w:r>
          </w:p>
        </w:tc>
        <w:tc>
          <w:tcPr>
            <w:tcW w:w="1559" w:type="dxa"/>
            <w:tcBorders>
              <w:top w:val="nil"/>
              <w:left w:val="nil"/>
              <w:bottom w:val="nil"/>
              <w:right w:val="nil"/>
            </w:tcBorders>
            <w:noWrap/>
            <w:hideMark/>
          </w:tcPr>
          <w:p w14:paraId="40A74C1C"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6D1F9F2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712A1C05"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781DF2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C59E3C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F85488D" w14:textId="3D6BC36E"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273D2696" w14:textId="031F21FF"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40</w:t>
            </w:r>
          </w:p>
        </w:tc>
        <w:tc>
          <w:tcPr>
            <w:tcW w:w="1363" w:type="dxa"/>
            <w:gridSpan w:val="2"/>
            <w:tcBorders>
              <w:top w:val="nil"/>
              <w:left w:val="nil"/>
              <w:bottom w:val="nil"/>
              <w:right w:val="nil"/>
            </w:tcBorders>
            <w:noWrap/>
            <w:hideMark/>
          </w:tcPr>
          <w:p w14:paraId="7F95554B" w14:textId="2CD2CAC4"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60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661669F9" w14:textId="77777777" w:rsidTr="001132A6">
        <w:trPr>
          <w:trHeight w:val="290"/>
        </w:trPr>
        <w:tc>
          <w:tcPr>
            <w:tcW w:w="2411" w:type="dxa"/>
            <w:tcBorders>
              <w:top w:val="nil"/>
              <w:left w:val="nil"/>
              <w:bottom w:val="nil"/>
              <w:right w:val="nil"/>
            </w:tcBorders>
            <w:noWrap/>
            <w:hideMark/>
          </w:tcPr>
          <w:p w14:paraId="63E0E92D" w14:textId="61A4B005" w:rsidR="00D46672" w:rsidRPr="00732E62" w:rsidRDefault="00D46672" w:rsidP="00355608">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Echekwube</w:t>
            </w:r>
            <w:proofErr w:type="spellEnd"/>
            <w:r w:rsidR="00355608" w:rsidRPr="00B93807">
              <w:rPr>
                <w:rFonts w:ascii="Garamond" w:eastAsia="Times New Roman" w:hAnsi="Garamond" w:cs="Calibri"/>
                <w:color w:val="000000"/>
                <w:kern w:val="0"/>
                <w:sz w:val="20"/>
                <w:szCs w:val="20"/>
                <w:lang w:eastAsia="fr-FR"/>
                <w14:ligatures w14:val="none"/>
              </w:rPr>
              <w:t xml:space="preserve"> </w:t>
            </w:r>
            <w:r w:rsidR="00355608" w:rsidRPr="00B93807">
              <w:rPr>
                <w:rFonts w:ascii="Garamond" w:eastAsia="Times New Roman" w:hAnsi="Garamond" w:cs="Calibri"/>
                <w:i/>
                <w:iCs/>
                <w:color w:val="000000"/>
                <w:kern w:val="0"/>
                <w:sz w:val="20"/>
                <w:szCs w:val="20"/>
                <w:lang w:eastAsia="fr-FR"/>
                <w14:ligatures w14:val="none"/>
              </w:rPr>
              <w:t xml:space="preserve">et al. </w:t>
            </w:r>
            <w:r w:rsidR="00355608" w:rsidRPr="00B93807">
              <w:rPr>
                <w:rFonts w:ascii="Garamond" w:eastAsia="Times New Roman" w:hAnsi="Garamond" w:cs="Calibri"/>
                <w:color w:val="000000"/>
                <w:kern w:val="0"/>
                <w:sz w:val="20"/>
                <w:szCs w:val="20"/>
                <w:lang w:eastAsia="fr-FR"/>
                <w14:ligatures w14:val="none"/>
              </w:rPr>
              <w:t xml:space="preserve"> </w:t>
            </w:r>
            <w:r w:rsidR="00355608" w:rsidRPr="00B93807">
              <w:rPr>
                <w:rFonts w:ascii="Garamond" w:eastAsia="Times New Roman" w:hAnsi="Garamond" w:cs="Calibri"/>
                <w:color w:val="000000"/>
                <w:kern w:val="0"/>
                <w:sz w:val="20"/>
                <w:szCs w:val="20"/>
                <w:lang w:eastAsia="fr-FR"/>
                <w14:ligatures w14:val="none"/>
              </w:rPr>
              <w:fldChar w:fldCharType="begin"/>
            </w:r>
            <w:r w:rsidR="00355608" w:rsidRPr="00B93807">
              <w:rPr>
                <w:rFonts w:ascii="Garamond" w:eastAsia="Times New Roman" w:hAnsi="Garamond" w:cs="Calibri"/>
                <w:color w:val="000000"/>
                <w:kern w:val="0"/>
                <w:sz w:val="20"/>
                <w:szCs w:val="20"/>
                <w:lang w:eastAsia="fr-FR"/>
                <w14:ligatures w14:val="none"/>
              </w:rPr>
              <w:instrText xml:space="preserve"> ADDIN ZOTERO_ITEM CSL_CITATION {"citationID":"jyklM48x","properties":{"formattedCitation":"[20]","plainCitation":"[20]","noteIndex":0},"citationItems":[{"id":4729,"uris":["http://zotero.org/users/1791235/items/G37ZUUHC"],"itemData":{"id":4729,"type":"article-journal","container-title":"Journal of BioMedical Research and Clinical Practice","issue":"2","page":"375–381","source":"Google Scholar","title":"Human monkeypox and human immunodeficiency virus co-infection: a case series in Makurdi, Benue State, Nigeria","title-short":"Human monkeypox and human immunodeficiency virus co-infection","volume":"3","author":[{"family":"Echekwube","given":"P. O."},{"family":"Mbaave","given":"P. T."},{"family":"Abidakun","given":"O. A."},{"family":"Utoo","given":"B. T."},{"family":"Swende","given":"T. Z."}],"issued":{"date-parts":[["2020"]]}}}],"schema":"https://github.com/citation-style-language/schema/raw/master/csl-citation.json"} </w:instrText>
            </w:r>
            <w:r w:rsidR="00355608" w:rsidRPr="00B93807">
              <w:rPr>
                <w:rFonts w:ascii="Garamond" w:eastAsia="Times New Roman" w:hAnsi="Garamond" w:cs="Calibri"/>
                <w:color w:val="000000"/>
                <w:kern w:val="0"/>
                <w:sz w:val="20"/>
                <w:szCs w:val="20"/>
                <w:lang w:eastAsia="fr-FR"/>
                <w14:ligatures w14:val="none"/>
              </w:rPr>
              <w:fldChar w:fldCharType="separate"/>
            </w:r>
            <w:r w:rsidR="00355608" w:rsidRPr="00B93807">
              <w:rPr>
                <w:rFonts w:ascii="Garamond" w:hAnsi="Garamond"/>
                <w:sz w:val="20"/>
                <w:szCs w:val="20"/>
              </w:rPr>
              <w:t>[20]</w:t>
            </w:r>
            <w:r w:rsidR="00355608"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65E534A"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2018</w:t>
            </w:r>
          </w:p>
        </w:tc>
        <w:tc>
          <w:tcPr>
            <w:tcW w:w="1636" w:type="dxa"/>
            <w:tcBorders>
              <w:top w:val="nil"/>
              <w:left w:val="nil"/>
              <w:bottom w:val="nil"/>
              <w:right w:val="nil"/>
            </w:tcBorders>
            <w:noWrap/>
            <w:hideMark/>
          </w:tcPr>
          <w:p w14:paraId="2BAE25F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Nigeria</w:t>
            </w:r>
          </w:p>
        </w:tc>
        <w:tc>
          <w:tcPr>
            <w:tcW w:w="1559" w:type="dxa"/>
            <w:tcBorders>
              <w:top w:val="nil"/>
              <w:left w:val="nil"/>
              <w:bottom w:val="nil"/>
              <w:right w:val="nil"/>
            </w:tcBorders>
            <w:noWrap/>
            <w:hideMark/>
          </w:tcPr>
          <w:p w14:paraId="52F30D4E" w14:textId="2BA09156" w:rsidR="00D46672" w:rsidRPr="00732E62" w:rsidRDefault="009831DA"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Case serie</w:t>
            </w:r>
            <w:r>
              <w:rPr>
                <w:rFonts w:ascii="Garamond" w:eastAsia="Times New Roman" w:hAnsi="Garamond" w:cs="Calibri"/>
                <w:color w:val="000000"/>
                <w:kern w:val="0"/>
                <w:sz w:val="20"/>
                <w:szCs w:val="20"/>
                <w:lang w:eastAsia="fr-FR"/>
                <w14:ligatures w14:val="none"/>
              </w:rPr>
              <w:t>s</w:t>
            </w:r>
          </w:p>
        </w:tc>
        <w:tc>
          <w:tcPr>
            <w:tcW w:w="1180" w:type="dxa"/>
            <w:tcBorders>
              <w:top w:val="nil"/>
              <w:left w:val="nil"/>
              <w:bottom w:val="nil"/>
              <w:right w:val="nil"/>
            </w:tcBorders>
            <w:noWrap/>
            <w:hideMark/>
          </w:tcPr>
          <w:p w14:paraId="5152595A"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5F3AC0BD"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C00F3D7"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7B976F7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B9D46A8" w14:textId="170FAE9C"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5BAC8E0B" w14:textId="18ACDA20"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4</w:t>
            </w:r>
          </w:p>
        </w:tc>
        <w:tc>
          <w:tcPr>
            <w:tcW w:w="1363" w:type="dxa"/>
            <w:gridSpan w:val="2"/>
            <w:tcBorders>
              <w:top w:val="nil"/>
              <w:left w:val="nil"/>
              <w:bottom w:val="nil"/>
              <w:right w:val="nil"/>
            </w:tcBorders>
            <w:noWrap/>
            <w:hideMark/>
          </w:tcPr>
          <w:p w14:paraId="6C53CE18" w14:textId="3F6D6C7F"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25</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01AC95F6" w14:textId="77777777" w:rsidTr="001132A6">
        <w:trPr>
          <w:trHeight w:val="290"/>
        </w:trPr>
        <w:tc>
          <w:tcPr>
            <w:tcW w:w="2411" w:type="dxa"/>
            <w:tcBorders>
              <w:top w:val="nil"/>
              <w:left w:val="nil"/>
              <w:bottom w:val="nil"/>
              <w:right w:val="nil"/>
            </w:tcBorders>
            <w:noWrap/>
            <w:hideMark/>
          </w:tcPr>
          <w:p w14:paraId="04EC6E05" w14:textId="0A20A163" w:rsidR="00D46672" w:rsidRPr="00732E62" w:rsidRDefault="00D46672" w:rsidP="00355608">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Mande</w:t>
            </w:r>
            <w:r w:rsidR="00355608" w:rsidRPr="00B93807">
              <w:rPr>
                <w:rFonts w:ascii="Garamond" w:eastAsia="Times New Roman" w:hAnsi="Garamond" w:cs="Calibri"/>
                <w:color w:val="000000"/>
                <w:kern w:val="0"/>
                <w:sz w:val="20"/>
                <w:szCs w:val="20"/>
                <w:lang w:eastAsia="fr-FR"/>
                <w14:ligatures w14:val="none"/>
              </w:rPr>
              <w:t xml:space="preserve"> </w:t>
            </w:r>
            <w:r w:rsidR="00355608" w:rsidRPr="00B93807">
              <w:rPr>
                <w:rFonts w:ascii="Garamond" w:eastAsia="Times New Roman" w:hAnsi="Garamond" w:cs="Calibri"/>
                <w:i/>
                <w:iCs/>
                <w:color w:val="000000"/>
                <w:kern w:val="0"/>
                <w:sz w:val="20"/>
                <w:szCs w:val="20"/>
                <w:lang w:eastAsia="fr-FR"/>
                <w14:ligatures w14:val="none"/>
              </w:rPr>
              <w:t xml:space="preserve">et al. </w:t>
            </w:r>
            <w:r w:rsidR="00355608" w:rsidRPr="00B93807">
              <w:rPr>
                <w:rFonts w:ascii="Garamond" w:eastAsia="Times New Roman" w:hAnsi="Garamond" w:cs="Calibri"/>
                <w:i/>
                <w:iCs/>
                <w:color w:val="000000"/>
                <w:kern w:val="0"/>
                <w:sz w:val="20"/>
                <w:szCs w:val="20"/>
                <w:lang w:eastAsia="fr-FR"/>
                <w14:ligatures w14:val="none"/>
              </w:rPr>
              <w:fldChar w:fldCharType="begin"/>
            </w:r>
            <w:r w:rsidR="00355608" w:rsidRPr="00B93807">
              <w:rPr>
                <w:rFonts w:ascii="Garamond" w:eastAsia="Times New Roman" w:hAnsi="Garamond" w:cs="Calibri"/>
                <w:i/>
                <w:iCs/>
                <w:color w:val="000000"/>
                <w:kern w:val="0"/>
                <w:sz w:val="20"/>
                <w:szCs w:val="20"/>
                <w:lang w:eastAsia="fr-FR"/>
                <w14:ligatures w14:val="none"/>
              </w:rPr>
              <w:instrText xml:space="preserve"> ADDIN ZOTERO_ITEM CSL_CITATION {"citationID":"F8DUUfDg","properties":{"formattedCitation":"[21]","plainCitation":"[21]","noteIndex":0},"citationItems":[{"id":3568,"uris":["http://zotero.org/users/1791235/items/X8ZT9GHX"],"itemData":{"id":3568,"type":"article-journal","container-title":"International Journal of Infectious Diseases","DOI":"10.1016/j.ijid.2022.06.060","ISSN":"1201-9712","journalAbbreviation":"International Journal of Infectious Diseases","language":"English","note":"publisher: Elsevier\nPMID: 35809857","page":"647-55","source":"www.ijidonline.com","title":"Enhanced surveillance of monkeypox in Bas-Uélé, Democratic Republic of Congo: the limitations of symptom-based case definitions","title-short":"Enhanced surveillance of monkeypox in Bas-Uélé, Democratic Republic of Congo","volume":"122","author":[{"family":"Mande","given":"Gaspard"},{"family":"Akonda","given":"Innocent"},{"family":"Weggheleire","given":"Anja De"},{"family":"Brosius","given":"Isabel"},{"family":"Liesenborghs","given":"Laurens"},{"family":"Bottieau","given":"Emmanuel"},{"family":"Ross","given":"Noam"},{"family":"Gembu","given":"Guy-Crispin"},{"family":"Colebunders","given":"Robert"},{"family":"Verheyen","given":"Erik"},{"family":"Ngonda","given":"Dauly"},{"family":"Leirs","given":"Herwig"},{"family":"Laudisoit","given":"Anne"}],"issued":{"date-parts":[["2022"]]}}}],"schema":"https://github.com/citation-style-language/schema/raw/master/csl-citation.json"} </w:instrText>
            </w:r>
            <w:r w:rsidR="00355608" w:rsidRPr="00B93807">
              <w:rPr>
                <w:rFonts w:ascii="Garamond" w:eastAsia="Times New Roman" w:hAnsi="Garamond" w:cs="Calibri"/>
                <w:i/>
                <w:iCs/>
                <w:color w:val="000000"/>
                <w:kern w:val="0"/>
                <w:sz w:val="20"/>
                <w:szCs w:val="20"/>
                <w:lang w:eastAsia="fr-FR"/>
                <w14:ligatures w14:val="none"/>
              </w:rPr>
              <w:fldChar w:fldCharType="separate"/>
            </w:r>
            <w:r w:rsidR="00355608" w:rsidRPr="00B93807">
              <w:rPr>
                <w:rFonts w:ascii="Garamond" w:hAnsi="Garamond"/>
                <w:sz w:val="20"/>
                <w:szCs w:val="20"/>
              </w:rPr>
              <w:t>[21]</w:t>
            </w:r>
            <w:r w:rsidR="00355608"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D45734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2019</w:t>
            </w:r>
          </w:p>
        </w:tc>
        <w:tc>
          <w:tcPr>
            <w:tcW w:w="1636" w:type="dxa"/>
            <w:tcBorders>
              <w:top w:val="nil"/>
              <w:left w:val="nil"/>
              <w:bottom w:val="nil"/>
              <w:right w:val="nil"/>
            </w:tcBorders>
            <w:noWrap/>
            <w:hideMark/>
          </w:tcPr>
          <w:p w14:paraId="6C6382B7" w14:textId="7B35AAD9" w:rsidR="00D46672" w:rsidRPr="00732E62" w:rsidRDefault="001132A6" w:rsidP="00D46672">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409A9B4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06446CFB"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0A159FC5"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A9F0016"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0D33CAF"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02CBE69C" w14:textId="556F4882"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35AAAC3" w14:textId="2FC8F7C2"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21</w:t>
            </w:r>
          </w:p>
        </w:tc>
        <w:tc>
          <w:tcPr>
            <w:tcW w:w="1363" w:type="dxa"/>
            <w:gridSpan w:val="2"/>
            <w:tcBorders>
              <w:top w:val="nil"/>
              <w:left w:val="nil"/>
              <w:bottom w:val="nil"/>
              <w:right w:val="nil"/>
            </w:tcBorders>
            <w:noWrap/>
            <w:hideMark/>
          </w:tcPr>
          <w:p w14:paraId="03AF9325" w14:textId="59C60D8C"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38</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1</w:t>
            </w:r>
          </w:p>
        </w:tc>
      </w:tr>
      <w:tr w:rsidR="00D46672" w:rsidRPr="00B93807" w14:paraId="6AB13EB4" w14:textId="77777777" w:rsidTr="001132A6">
        <w:trPr>
          <w:trHeight w:val="290"/>
        </w:trPr>
        <w:tc>
          <w:tcPr>
            <w:tcW w:w="2411" w:type="dxa"/>
            <w:tcBorders>
              <w:top w:val="nil"/>
              <w:left w:val="nil"/>
              <w:bottom w:val="nil"/>
              <w:right w:val="nil"/>
            </w:tcBorders>
            <w:noWrap/>
            <w:hideMark/>
          </w:tcPr>
          <w:p w14:paraId="5501B597" w14:textId="32FC3AB1" w:rsidR="00D46672" w:rsidRPr="00732E62" w:rsidRDefault="00D46672" w:rsidP="00355608">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Hobson</w:t>
            </w:r>
            <w:r w:rsidR="00355608" w:rsidRPr="00B93807">
              <w:rPr>
                <w:rFonts w:ascii="Garamond" w:eastAsia="Times New Roman" w:hAnsi="Garamond" w:cs="Calibri"/>
                <w:color w:val="000000"/>
                <w:kern w:val="0"/>
                <w:sz w:val="20"/>
                <w:szCs w:val="20"/>
                <w:lang w:eastAsia="fr-FR"/>
                <w14:ligatures w14:val="none"/>
              </w:rPr>
              <w:t xml:space="preserve"> </w:t>
            </w:r>
            <w:r w:rsidR="00355608" w:rsidRPr="00B93807">
              <w:rPr>
                <w:rFonts w:ascii="Garamond" w:eastAsia="Times New Roman" w:hAnsi="Garamond" w:cs="Calibri"/>
                <w:i/>
                <w:iCs/>
                <w:color w:val="000000"/>
                <w:kern w:val="0"/>
                <w:sz w:val="20"/>
                <w:szCs w:val="20"/>
                <w:lang w:eastAsia="fr-FR"/>
                <w14:ligatures w14:val="none"/>
              </w:rPr>
              <w:t xml:space="preserve">et al. </w:t>
            </w:r>
            <w:r w:rsidR="00355608" w:rsidRPr="00B93807">
              <w:rPr>
                <w:rFonts w:ascii="Garamond" w:eastAsia="Times New Roman" w:hAnsi="Garamond" w:cs="Calibri"/>
                <w:i/>
                <w:iCs/>
                <w:color w:val="000000"/>
                <w:kern w:val="0"/>
                <w:sz w:val="20"/>
                <w:szCs w:val="20"/>
                <w:lang w:eastAsia="fr-FR"/>
                <w14:ligatures w14:val="none"/>
              </w:rPr>
              <w:fldChar w:fldCharType="begin"/>
            </w:r>
            <w:r w:rsidR="00355608" w:rsidRPr="00B93807">
              <w:rPr>
                <w:rFonts w:ascii="Garamond" w:eastAsia="Times New Roman" w:hAnsi="Garamond" w:cs="Calibri"/>
                <w:i/>
                <w:iCs/>
                <w:color w:val="000000"/>
                <w:kern w:val="0"/>
                <w:sz w:val="20"/>
                <w:szCs w:val="20"/>
                <w:lang w:eastAsia="fr-FR"/>
                <w14:ligatures w14:val="none"/>
              </w:rPr>
              <w:instrText xml:space="preserve"> ADDIN ZOTERO_ITEM CSL_CITATION {"citationID":"PTRSZbSS","properties":{"formattedCitation":"[22]","plainCitation":"[22]","noteIndex":0},"citationItems":[{"id":4491,"uris":["http://zotero.org/users/1791235/items/KGLAQ3PR"],"itemData":{"id":4491,"type":"article-journal","container-title":"Eurosurveillance","issue":"32","page":"2100745","source":"Google Scholar","title":"Family cluster of three cases of monkeypox imported from Nigeria to the United Kingdom, May 2021","volume":"26","author":[{"family":"Hobson","given":"Gemma"},{"family":"Adamson","given":"James"},{"family":"Adler","given":"Hugh"},{"family":"Firth","given":"Richard"},{"family":"Gould","given":"Susan"},{"family":"Houlihan","given":"Catherine"},{"family":"Johnson","given":"Christopher"},{"family":"Porter","given":"David"},{"family":"Rampling","given":"Tommy"},{"family":"Ratcliffe","given":"Libuse"}],"issued":{"date-parts":[["2021"]]}}}],"schema":"https://github.com/citation-style-language/schema/raw/master/csl-citation.json"} </w:instrText>
            </w:r>
            <w:r w:rsidR="00355608" w:rsidRPr="00B93807">
              <w:rPr>
                <w:rFonts w:ascii="Garamond" w:eastAsia="Times New Roman" w:hAnsi="Garamond" w:cs="Calibri"/>
                <w:i/>
                <w:iCs/>
                <w:color w:val="000000"/>
                <w:kern w:val="0"/>
                <w:sz w:val="20"/>
                <w:szCs w:val="20"/>
                <w:lang w:eastAsia="fr-FR"/>
                <w14:ligatures w14:val="none"/>
              </w:rPr>
              <w:fldChar w:fldCharType="separate"/>
            </w:r>
            <w:r w:rsidR="00355608" w:rsidRPr="00B93807">
              <w:rPr>
                <w:rFonts w:ascii="Garamond" w:hAnsi="Garamond"/>
                <w:sz w:val="20"/>
                <w:szCs w:val="20"/>
              </w:rPr>
              <w:t>[22]</w:t>
            </w:r>
            <w:r w:rsidR="00355608"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DA036AD"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2021</w:t>
            </w:r>
          </w:p>
        </w:tc>
        <w:tc>
          <w:tcPr>
            <w:tcW w:w="1636" w:type="dxa"/>
            <w:tcBorders>
              <w:top w:val="nil"/>
              <w:left w:val="nil"/>
              <w:bottom w:val="nil"/>
              <w:right w:val="nil"/>
            </w:tcBorders>
            <w:noWrap/>
            <w:hideMark/>
          </w:tcPr>
          <w:p w14:paraId="465E6D0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Nigeria</w:t>
            </w:r>
          </w:p>
        </w:tc>
        <w:tc>
          <w:tcPr>
            <w:tcW w:w="1559" w:type="dxa"/>
            <w:tcBorders>
              <w:top w:val="nil"/>
              <w:left w:val="nil"/>
              <w:bottom w:val="nil"/>
              <w:right w:val="nil"/>
            </w:tcBorders>
            <w:noWrap/>
            <w:hideMark/>
          </w:tcPr>
          <w:p w14:paraId="2F889741"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Case report</w:t>
            </w:r>
          </w:p>
        </w:tc>
        <w:tc>
          <w:tcPr>
            <w:tcW w:w="1180" w:type="dxa"/>
            <w:tcBorders>
              <w:top w:val="nil"/>
              <w:left w:val="nil"/>
              <w:bottom w:val="nil"/>
              <w:right w:val="nil"/>
            </w:tcBorders>
            <w:noWrap/>
            <w:hideMark/>
          </w:tcPr>
          <w:p w14:paraId="261F74ED"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1FD5798C"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BA4B458"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8A76E8E"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II</w:t>
            </w:r>
          </w:p>
        </w:tc>
        <w:tc>
          <w:tcPr>
            <w:tcW w:w="882" w:type="dxa"/>
            <w:tcBorders>
              <w:top w:val="nil"/>
              <w:left w:val="nil"/>
              <w:bottom w:val="nil"/>
              <w:right w:val="nil"/>
            </w:tcBorders>
            <w:noWrap/>
            <w:hideMark/>
          </w:tcPr>
          <w:p w14:paraId="2A492E94" w14:textId="36868BC3"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548CBA4F" w14:textId="5F5276A8"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w:t>
            </w:r>
          </w:p>
        </w:tc>
        <w:tc>
          <w:tcPr>
            <w:tcW w:w="1363" w:type="dxa"/>
            <w:gridSpan w:val="2"/>
            <w:tcBorders>
              <w:top w:val="nil"/>
              <w:left w:val="nil"/>
              <w:bottom w:val="nil"/>
              <w:right w:val="nil"/>
            </w:tcBorders>
            <w:noWrap/>
            <w:hideMark/>
          </w:tcPr>
          <w:p w14:paraId="29DBA763" w14:textId="62ACA194"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D46672" w:rsidRPr="00B93807" w14:paraId="3E7037EE" w14:textId="77777777" w:rsidTr="001132A6">
        <w:trPr>
          <w:trHeight w:val="290"/>
        </w:trPr>
        <w:tc>
          <w:tcPr>
            <w:tcW w:w="2411" w:type="dxa"/>
            <w:tcBorders>
              <w:top w:val="nil"/>
              <w:left w:val="nil"/>
              <w:bottom w:val="nil"/>
              <w:right w:val="nil"/>
            </w:tcBorders>
            <w:noWrap/>
            <w:hideMark/>
          </w:tcPr>
          <w:p w14:paraId="2CBF7302" w14:textId="500F9974" w:rsidR="00D46672" w:rsidRPr="00732E62" w:rsidRDefault="00D46672" w:rsidP="00885959">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Amao</w:t>
            </w:r>
            <w:r w:rsidR="00885959" w:rsidRPr="00B93807">
              <w:rPr>
                <w:rFonts w:ascii="Garamond" w:eastAsia="Times New Roman" w:hAnsi="Garamond" w:cs="Calibri"/>
                <w:color w:val="000000"/>
                <w:kern w:val="0"/>
                <w:sz w:val="20"/>
                <w:szCs w:val="20"/>
                <w:lang w:eastAsia="fr-FR"/>
                <w14:ligatures w14:val="none"/>
              </w:rPr>
              <w:t xml:space="preserve"> </w:t>
            </w:r>
            <w:r w:rsidR="00885959" w:rsidRPr="00B93807">
              <w:rPr>
                <w:rFonts w:ascii="Garamond" w:eastAsia="Times New Roman" w:hAnsi="Garamond" w:cs="Calibri"/>
                <w:i/>
                <w:iCs/>
                <w:color w:val="000000"/>
                <w:kern w:val="0"/>
                <w:sz w:val="20"/>
                <w:szCs w:val="20"/>
                <w:lang w:eastAsia="fr-FR"/>
                <w14:ligatures w14:val="none"/>
              </w:rPr>
              <w:t xml:space="preserve">et al. </w:t>
            </w:r>
            <w:r w:rsidR="00885959" w:rsidRPr="00B93807">
              <w:rPr>
                <w:rFonts w:ascii="Garamond" w:eastAsia="Times New Roman" w:hAnsi="Garamond" w:cs="Calibri"/>
                <w:i/>
                <w:iCs/>
                <w:color w:val="000000"/>
                <w:kern w:val="0"/>
                <w:sz w:val="20"/>
                <w:szCs w:val="20"/>
                <w:lang w:eastAsia="fr-FR"/>
                <w14:ligatures w14:val="none"/>
              </w:rPr>
              <w:fldChar w:fldCharType="begin"/>
            </w:r>
            <w:r w:rsidR="00885959" w:rsidRPr="00B93807">
              <w:rPr>
                <w:rFonts w:ascii="Garamond" w:eastAsia="Times New Roman" w:hAnsi="Garamond" w:cs="Calibri"/>
                <w:i/>
                <w:iCs/>
                <w:color w:val="000000"/>
                <w:kern w:val="0"/>
                <w:sz w:val="20"/>
                <w:szCs w:val="20"/>
                <w:lang w:eastAsia="fr-FR"/>
                <w14:ligatures w14:val="none"/>
              </w:rPr>
              <w:instrText xml:space="preserve"> ADDIN ZOTERO_ITEM CSL_CITATION {"citationID":"J1LpcMGl","properties":{"formattedCitation":"[23]","plainCitation":"[23]","noteIndex":0},"citationItems":[{"id":4731,"uris":["http://zotero.org/users/1791235/items/LQYF4XF2"],"itemData":{"id":4731,"type":"article-journal","container-title":"Journal of public health in Africa","issue":"1","page":"2184","source":"Google Scholar","title":"Trend and enhanced surveillance of Monkeypox during COVID-19 pandemic in Nigeria","volume":"13","author":[{"family":"Amao","given":"Lateefat Kikelomo"},{"family":"Olatunji","given":"David Idowu"},{"family":"Igbodo","given":"Gordon"},{"family":"Okoli","given":"Solomon Chieloka"},{"family":"Amaechi","given":"Ifeanyichukwu"},{"family":"Goni","given":"Muhammad Isa"},{"family":"Ehiakhamen","given":"Odianosen"},{"family":"Aderinola","given":"Olaolu"},{"family":"Ogunleye","given":"Adesola"},{"family":"Ogunbode","given":"Oladipo"}],"issued":{"date-parts":[["2022"]]}}}],"schema":"https://github.com/citation-style-language/schema/raw/master/csl-citation.json"} </w:instrText>
            </w:r>
            <w:r w:rsidR="00885959" w:rsidRPr="00B93807">
              <w:rPr>
                <w:rFonts w:ascii="Garamond" w:eastAsia="Times New Roman" w:hAnsi="Garamond" w:cs="Calibri"/>
                <w:i/>
                <w:iCs/>
                <w:color w:val="000000"/>
                <w:kern w:val="0"/>
                <w:sz w:val="20"/>
                <w:szCs w:val="20"/>
                <w:lang w:eastAsia="fr-FR"/>
                <w14:ligatures w14:val="none"/>
              </w:rPr>
              <w:fldChar w:fldCharType="separate"/>
            </w:r>
            <w:r w:rsidR="00885959" w:rsidRPr="00B93807">
              <w:rPr>
                <w:rFonts w:ascii="Garamond" w:hAnsi="Garamond"/>
                <w:sz w:val="20"/>
                <w:szCs w:val="20"/>
              </w:rPr>
              <w:t>[23]</w:t>
            </w:r>
            <w:r w:rsidR="00885959"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7ABD19E"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2021</w:t>
            </w:r>
          </w:p>
        </w:tc>
        <w:tc>
          <w:tcPr>
            <w:tcW w:w="1636" w:type="dxa"/>
            <w:tcBorders>
              <w:top w:val="nil"/>
              <w:left w:val="nil"/>
              <w:bottom w:val="nil"/>
              <w:right w:val="nil"/>
            </w:tcBorders>
            <w:noWrap/>
            <w:hideMark/>
          </w:tcPr>
          <w:p w14:paraId="25957597"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Nigeria</w:t>
            </w:r>
          </w:p>
        </w:tc>
        <w:tc>
          <w:tcPr>
            <w:tcW w:w="1559" w:type="dxa"/>
            <w:tcBorders>
              <w:top w:val="nil"/>
              <w:left w:val="nil"/>
              <w:bottom w:val="nil"/>
              <w:right w:val="nil"/>
            </w:tcBorders>
            <w:noWrap/>
            <w:hideMark/>
          </w:tcPr>
          <w:p w14:paraId="71CCD780"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5A744BCD"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3A8CCC84"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68EC403"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6E027BAE" w14:textId="77777777"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04FC52F" w14:textId="11C50D3B"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3F4C8965" w14:textId="6096A6FC"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w:t>
            </w:r>
          </w:p>
        </w:tc>
        <w:tc>
          <w:tcPr>
            <w:tcW w:w="1363" w:type="dxa"/>
            <w:gridSpan w:val="2"/>
            <w:tcBorders>
              <w:top w:val="nil"/>
              <w:left w:val="nil"/>
              <w:bottom w:val="nil"/>
              <w:right w:val="nil"/>
            </w:tcBorders>
            <w:noWrap/>
            <w:hideMark/>
          </w:tcPr>
          <w:p w14:paraId="07074F0C" w14:textId="36857204" w:rsidR="00D46672" w:rsidRPr="00732E62" w:rsidRDefault="00D46672" w:rsidP="00D46672">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3F3497" w:rsidRPr="00B93807" w14:paraId="04E26039" w14:textId="77777777" w:rsidTr="001132A6">
        <w:trPr>
          <w:trHeight w:val="290"/>
        </w:trPr>
        <w:tc>
          <w:tcPr>
            <w:tcW w:w="2411" w:type="dxa"/>
            <w:tcBorders>
              <w:top w:val="nil"/>
              <w:left w:val="nil"/>
              <w:bottom w:val="nil"/>
              <w:right w:val="nil"/>
            </w:tcBorders>
            <w:noWrap/>
            <w:hideMark/>
          </w:tcPr>
          <w:p w14:paraId="721E849E" w14:textId="170ED7F3"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Djuic</w:t>
            </w:r>
            <w:r>
              <w:rPr>
                <w:rFonts w:ascii="Garamond" w:eastAsia="Times New Roman" w:hAnsi="Garamond" w:cs="Calibri"/>
                <w:color w:val="000000"/>
                <w:kern w:val="0"/>
                <w:sz w:val="20"/>
                <w:szCs w:val="20"/>
                <w:lang w:eastAsia="fr-FR"/>
                <w14:ligatures w14:val="none"/>
              </w:rPr>
              <w:t>y</w:t>
            </w:r>
            <w:proofErr w:type="spellEnd"/>
            <w:r>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{"citationID":"bmsECLLm","properties":{"formattedCitation":"[24]","plainCitation":"[24]","noteIndex":0},"citationItems":[{"id":4072,"uris":["http://zotero.org/users/1791235/items/SGC6E9JM"],"itemData":{"id":4072,"type":"article-journal","container-title":"Emerging Infectious Diseases","DOI":"10.3201/eid3003.230861","ISSN":"1080-6040, 1080-6059","issue":"3","journalAbbreviation":"Emerg. Infect. Dis.","page":"433-43","source":"DOI.org (Crossref)","title":"Concurrent Clade I and Clade II Monkeypox Virus Circulation, Cameroon, 1979–2022","volume":"30","author":[{"family":"Djuicy","given":"Delia D."},{"family":"Sadeuh-Mba","given":"Serge A."},{"family":"Bilounga","given":"Chanceline N."},{"family":"Yonga","given":"Martial G."},{"family":"Tchatchueng-Mbougua","given":"Jules B."},{"family":"Essima","given":"Gael D."},{"family":"Esso","given":"Linda"},{"family":"Nguidjol","given":"Inès M.E."},{"family":"Metomb","given":"Steve F."},{"family":"Chebo","given":"Cornelius"},{"family":"Agwe","given":"Samuel M."},{"family":"Ankone","given":"Placide A."},{"family":"Ngonla","given":"Firmin N.N."},{"family":"Mossi","given":"Hans M."},{"family":"Etoundi","given":"Alain G.M."},{"family":"Eyangoh","given":"Sara I."},{"family":"Kazanji","given":"Mirdad"},{"family":"Njouom","given":"Richard"}],"issued":{"date-parts":[["2024"]]}}}],"schema":"https://github.com/citation-style-language/schema/raw/master/csl-citation.json"}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[24]</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17D29577"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2022</w:t>
            </w:r>
          </w:p>
        </w:tc>
        <w:tc>
          <w:tcPr>
            <w:tcW w:w="1636" w:type="dxa"/>
            <w:tcBorders>
              <w:top w:val="nil"/>
              <w:left w:val="nil"/>
              <w:bottom w:val="nil"/>
              <w:right w:val="nil"/>
            </w:tcBorders>
            <w:noWrap/>
            <w:hideMark/>
          </w:tcPr>
          <w:p w14:paraId="04BCB7A6"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Cameroon</w:t>
            </w:r>
          </w:p>
        </w:tc>
        <w:tc>
          <w:tcPr>
            <w:tcW w:w="1559" w:type="dxa"/>
            <w:tcBorders>
              <w:top w:val="nil"/>
              <w:left w:val="nil"/>
              <w:bottom w:val="nil"/>
              <w:right w:val="nil"/>
            </w:tcBorders>
            <w:noWrap/>
            <w:hideMark/>
          </w:tcPr>
          <w:p w14:paraId="56DDFE5F"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1D745CA7"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 and hospital</w:t>
            </w:r>
          </w:p>
        </w:tc>
        <w:tc>
          <w:tcPr>
            <w:tcW w:w="1087" w:type="dxa"/>
            <w:tcBorders>
              <w:top w:val="nil"/>
              <w:left w:val="nil"/>
              <w:bottom w:val="nil"/>
              <w:right w:val="nil"/>
            </w:tcBorders>
            <w:noWrap/>
            <w:hideMark/>
          </w:tcPr>
          <w:p w14:paraId="141339DA"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09F291A"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vAlign w:val="bottom"/>
            <w:hideMark/>
          </w:tcPr>
          <w:p w14:paraId="34F89A2C" w14:textId="12556675"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CA160F">
              <w:rPr>
                <w:rFonts w:ascii="Garamond" w:hAnsi="Garamond" w:cs="Calibri"/>
                <w:color w:val="000000"/>
                <w:sz w:val="20"/>
                <w:szCs w:val="20"/>
              </w:rPr>
              <w:t>Clade I and II</w:t>
            </w:r>
          </w:p>
        </w:tc>
        <w:tc>
          <w:tcPr>
            <w:tcW w:w="882" w:type="dxa"/>
            <w:tcBorders>
              <w:top w:val="nil"/>
              <w:left w:val="nil"/>
              <w:bottom w:val="nil"/>
              <w:right w:val="nil"/>
            </w:tcBorders>
            <w:noWrap/>
            <w:hideMark/>
          </w:tcPr>
          <w:p w14:paraId="403F47A7" w14:textId="46814B4C"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56AC97F3" w14:textId="68414B08"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32</w:t>
            </w:r>
          </w:p>
        </w:tc>
        <w:tc>
          <w:tcPr>
            <w:tcW w:w="1363" w:type="dxa"/>
            <w:gridSpan w:val="2"/>
            <w:tcBorders>
              <w:top w:val="nil"/>
              <w:left w:val="nil"/>
              <w:bottom w:val="nil"/>
              <w:right w:val="nil"/>
            </w:tcBorders>
            <w:noWrap/>
            <w:hideMark/>
          </w:tcPr>
          <w:p w14:paraId="703A3A7A" w14:textId="4C76C08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37</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5</w:t>
            </w:r>
          </w:p>
        </w:tc>
      </w:tr>
      <w:tr w:rsidR="003F3497" w:rsidRPr="00B93807" w14:paraId="41687DED" w14:textId="77777777" w:rsidTr="001132A6">
        <w:trPr>
          <w:trHeight w:val="290"/>
        </w:trPr>
        <w:tc>
          <w:tcPr>
            <w:tcW w:w="2411" w:type="dxa"/>
            <w:tcBorders>
              <w:top w:val="nil"/>
              <w:left w:val="nil"/>
              <w:bottom w:val="nil"/>
              <w:right w:val="nil"/>
            </w:tcBorders>
            <w:noWrap/>
            <w:hideMark/>
          </w:tcPr>
          <w:p w14:paraId="7B920E98" w14:textId="755936A5"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Yadouleton</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color w:val="000000"/>
                <w:kern w:val="0"/>
                <w:sz w:val="20"/>
                <w:szCs w:val="20"/>
                <w:lang w:eastAsia="fr-FR"/>
                <w14:ligatures w14:val="none"/>
              </w:rPr>
              <w:fldChar w:fldCharType="begin"/>
            </w:r>
            <w:r w:rsidRPr="00B93807">
              <w:rPr>
                <w:rFonts w:ascii="Garamond" w:eastAsia="Times New Roman" w:hAnsi="Garamond" w:cs="Calibri"/>
                <w:color w:val="000000"/>
                <w:kern w:val="0"/>
                <w:sz w:val="20"/>
                <w:szCs w:val="20"/>
                <w:lang w:eastAsia="fr-FR"/>
                <w14:ligatures w14:val="none"/>
              </w:rPr>
              <w:instrText xml:space="preserve"> ADDIN ZOTERO_ITEM CSL_CITATION {"citationID":"U4juLNJh","properties":{"formattedCitation":"[25]","plainCitation":"[25]","noteIndex":0},"citationItems":[{"id":4736,"uris":["http://zotero.org/users/1791235/items/T6VZ7434"],"itemData":{"id":4736,"type":"article-journal","container-title":"Military Medical Research","DOI":"10.1186/s40779-022-00424-w","ISSN":"2054-9369","issue":"1","journalAbbreviation":"Military Med Res","language":"en","page":"63","source":"DOI.org (Crossref)","title":"Introduction of monkeypox virus in Benin, 2022","volume":"9","author":[{"family":"Yadouleton","given":"Anges"},{"family":"Faye","given":"Martin"},{"family":"Tchibozo","given":"Carine"},{"family":"Oke","given":"Mariam"},{"family":"Faye","given":"Oumar"},{"family":"Lawale","given":"Thierry"},{"family":"Denon","given":"Eric"},{"family":"Keke","given":"René"},{"family":"Dossou","given":"Ange"},{"family":"Zohoun","given":"Alban"},{"family":"Dossou","given":"Francis"},{"family":"Diagne","given":"Moussa Moise"},{"family":"Salifou","given":"Sourakou"},{"family":"Diatta","given":"Khadija Leila"},{"family":"Ndiaye","given":"Mignane"},{"family":"Sankhe","given":"Safietou"},{"family":"Diallo","given":"Amadou"},{"family":"Bedie","given":"Sonia"},{"family":"Glele-Kakai","given":"Clément"},{"family":"Onifade","given":"Al Fattah"},{"family":"Saizonou","given":"Raoul"},{"family":"Hounkanrin","given":"Gildas"},{"family":"Quenum","given":"Olga"},{"family":"Badou","given":"Yvette"},{"family":"Hounkpatin","given":"Benjamin"},{"family":"Sall","given":"Amadou Alpha"},{"family":"Faye","given":"Ousmane"}],"issued":{"date-parts":[["2022",11,9]]}}}],"schema":"https://github.com/citation-style-language/schema/raw/master/csl-citation.json"} </w:instrText>
            </w:r>
            <w:r w:rsidRPr="00B93807">
              <w:rPr>
                <w:rFonts w:ascii="Garamond" w:eastAsia="Times New Roman" w:hAnsi="Garamond" w:cs="Calibri"/>
                <w:color w:val="000000"/>
                <w:kern w:val="0"/>
                <w:sz w:val="20"/>
                <w:szCs w:val="20"/>
                <w:lang w:eastAsia="fr-FR"/>
                <w14:ligatures w14:val="none"/>
              </w:rPr>
              <w:fldChar w:fldCharType="separate"/>
            </w:r>
            <w:r w:rsidRPr="00B93807">
              <w:rPr>
                <w:rFonts w:ascii="Garamond" w:hAnsi="Garamond"/>
                <w:sz w:val="20"/>
                <w:szCs w:val="20"/>
              </w:rPr>
              <w:t>[25]</w:t>
            </w:r>
            <w:r w:rsidRPr="00B93807">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2D46DDA6"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2022</w:t>
            </w:r>
          </w:p>
        </w:tc>
        <w:tc>
          <w:tcPr>
            <w:tcW w:w="1636" w:type="dxa"/>
            <w:tcBorders>
              <w:top w:val="nil"/>
              <w:left w:val="nil"/>
              <w:bottom w:val="nil"/>
              <w:right w:val="nil"/>
            </w:tcBorders>
            <w:noWrap/>
            <w:hideMark/>
          </w:tcPr>
          <w:p w14:paraId="12B1E9AC"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Benin</w:t>
            </w:r>
          </w:p>
        </w:tc>
        <w:tc>
          <w:tcPr>
            <w:tcW w:w="1559" w:type="dxa"/>
            <w:tcBorders>
              <w:top w:val="nil"/>
              <w:left w:val="nil"/>
              <w:bottom w:val="nil"/>
              <w:right w:val="nil"/>
            </w:tcBorders>
            <w:noWrap/>
            <w:hideMark/>
          </w:tcPr>
          <w:p w14:paraId="4E5E2015" w14:textId="6EB9490A" w:rsidR="003F3497" w:rsidRPr="00732E62" w:rsidRDefault="00AC2364" w:rsidP="003F3497">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hideMark/>
          </w:tcPr>
          <w:p w14:paraId="0C01B31A"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3840AE62"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46EB973"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6CD2E12"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II</w:t>
            </w:r>
          </w:p>
        </w:tc>
        <w:tc>
          <w:tcPr>
            <w:tcW w:w="882" w:type="dxa"/>
            <w:tcBorders>
              <w:top w:val="nil"/>
              <w:left w:val="nil"/>
              <w:bottom w:val="nil"/>
              <w:right w:val="nil"/>
            </w:tcBorders>
            <w:noWrap/>
            <w:hideMark/>
          </w:tcPr>
          <w:p w14:paraId="486D3258" w14:textId="52C003B9"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20313097" w14:textId="0D5D85A5"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3</w:t>
            </w:r>
          </w:p>
        </w:tc>
        <w:tc>
          <w:tcPr>
            <w:tcW w:w="1363" w:type="dxa"/>
            <w:gridSpan w:val="2"/>
            <w:tcBorders>
              <w:top w:val="nil"/>
              <w:left w:val="nil"/>
              <w:bottom w:val="nil"/>
              <w:right w:val="nil"/>
            </w:tcBorders>
            <w:noWrap/>
            <w:hideMark/>
          </w:tcPr>
          <w:p w14:paraId="1C53441B" w14:textId="5289C665"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3F3497" w:rsidRPr="00B93807" w14:paraId="003A4287" w14:textId="77777777" w:rsidTr="001132A6">
        <w:trPr>
          <w:trHeight w:val="290"/>
        </w:trPr>
        <w:tc>
          <w:tcPr>
            <w:tcW w:w="2411" w:type="dxa"/>
            <w:tcBorders>
              <w:top w:val="nil"/>
              <w:left w:val="nil"/>
              <w:bottom w:val="nil"/>
              <w:right w:val="nil"/>
            </w:tcBorders>
            <w:noWrap/>
            <w:hideMark/>
          </w:tcPr>
          <w:p w14:paraId="60B3B6D3" w14:textId="0E1B995B" w:rsidR="003F3497" w:rsidRPr="00732E62" w:rsidRDefault="003F3497" w:rsidP="003F3497">
            <w:pPr>
              <w:spacing w:after="0" w:line="240" w:lineRule="auto"/>
              <w:rPr>
                <w:rFonts w:ascii="Garamond" w:eastAsia="Times New Roman" w:hAnsi="Garamond" w:cs="Calibri"/>
                <w:color w:val="000000"/>
                <w:kern w:val="0"/>
                <w:sz w:val="20"/>
                <w:szCs w:val="20"/>
                <w:lang w:val="fr-FR" w:eastAsia="fr-FR"/>
                <w14:ligatures w14:val="none"/>
              </w:rPr>
            </w:pPr>
            <w:proofErr w:type="spellStart"/>
            <w:r w:rsidRPr="00732E62">
              <w:rPr>
                <w:rFonts w:ascii="Garamond" w:eastAsia="Times New Roman" w:hAnsi="Garamond" w:cs="Calibri"/>
                <w:color w:val="000000"/>
                <w:kern w:val="0"/>
                <w:sz w:val="20"/>
                <w:szCs w:val="20"/>
                <w:lang w:val="fr-FR" w:eastAsia="fr-FR"/>
                <w14:ligatures w14:val="none"/>
              </w:rPr>
              <w:t>Besombes</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hAnsi="Garamond" w:cs="MyriadPro-Regular"/>
                <w:kern w:val="0"/>
                <w:sz w:val="20"/>
                <w:szCs w:val="20"/>
                <w:lang w:val="fr-FR"/>
              </w:rPr>
              <w:t xml:space="preserve"> </w:t>
            </w:r>
            <w:r w:rsidRPr="00B93807">
              <w:rPr>
                <w:rFonts w:ascii="Garamond" w:hAnsi="Garamond" w:cs="MyriadPro-Regular"/>
                <w:kern w:val="0"/>
                <w:sz w:val="20"/>
                <w:szCs w:val="20"/>
                <w:lang w:val="fr-FR"/>
              </w:rPr>
              <w:fldChar w:fldCharType="begin"/>
            </w:r>
            <w:r w:rsidRPr="00B93807">
              <w:rPr>
                <w:rFonts w:ascii="Garamond" w:hAnsi="Garamond" w:cs="MyriadPro-Regular"/>
                <w:kern w:val="0"/>
                <w:sz w:val="20"/>
                <w:szCs w:val="20"/>
                <w:lang w:val="fr-FR"/>
              </w:rPr>
              <w:instrText xml:space="preserve"> ADDIN ZOTERO_ITEM CSL_CITATION {"citationID":"tbmVFuWW","properties":{"formattedCitation":"[26]","plainCitation":"[26]","noteIndex":0},"citationItems":[{"id":4449,"uris":["http://zotero.org/users/1791235/items/YMPMF22V"],"itemData":{"id":4449,"type":"article-journal","abstract":"Human monkeypox virus is spreading globally, and more information is required about its epidemiological and clinical disease characteristics in endemic countries. We report the investigation of an outbreak in November 2021 in Central African Republic (CAR). The primary case, a hunter, fell ill after contact with a non-human primate at the frontier between forest and savannah. The ensuing investigation in a small nearby town concerned two families and four waves of inter-human transmission, with 14 confirmed cases, 11 suspected cases and 17 non-infected contacts, and a secondary attack rate of 59.5% (25/42). Complications were observed in 12 of the 19 (63.2%) confirmed and suspected cases with available clinical follow-up data: eight cases of bronchopneumonia, two of severe dehydration, one corneal ulcer, one abscess, two cutaneous superinfections, and six cutaneous sequelae (cheloid scars, or depigmentation). There was one death, giving a case fatality ratio of 1/25 (4.0%) for confirmed and suspected cases. This outbreak, with the largest number of confirmed cases ever described in CAR, confirms the potential severity of the disease associated with clade I monkeypox viruses, and highlights the need for rapid control over virus circulation to prevent the further national and international spread of infection.","container-title":"One Health","DOI":"10.1016/j.onehlt.2023.100523","ISSN":"2352-7714","journalAbbreviation":"One Health","page":"100523","source":"ScienceDirect","title":"Investigation of a mpox outbreak in Central African Republic, 2021-2022","volume":"16","author":[{"family":"Besombes","given":"C."},{"family":"Mbrenga","given":"F."},{"family":"Malaka","given":"C."},{"family":"Gonofio","given":"E."},{"family":"Schaeffer","given":"L."},{"family":"Konamna","given":"X."},{"family":"Selekon","given":"B."},{"family":"Namsenei-Dankpea","given":"J."},{"family":"Gildas Lemon","given":"C."},{"family":"Landier","given":"J."},{"family":"Platen","given":"C.","non-dropping-particle":"von"},{"family":"Gessain","given":"A."},{"family":"Manuguerra","given":"J. C."},{"family":"Fontanet","given":"A."},{"family":"Nakouné","given":"E."}],"issued":{"date-parts":[["2023"]]}}}],"schema":"https://github.com/citation-style-language/schema/raw/master/csl-citation.json"} </w:instrText>
            </w:r>
            <w:r w:rsidRPr="00B93807">
              <w:rPr>
                <w:rFonts w:ascii="Garamond" w:hAnsi="Garamond" w:cs="MyriadPro-Regular"/>
                <w:kern w:val="0"/>
                <w:sz w:val="20"/>
                <w:szCs w:val="20"/>
                <w:lang w:val="fr-FR"/>
              </w:rPr>
              <w:fldChar w:fldCharType="separate"/>
            </w:r>
            <w:r w:rsidRPr="00B93807">
              <w:rPr>
                <w:rFonts w:ascii="Garamond" w:hAnsi="Garamond"/>
                <w:sz w:val="20"/>
                <w:szCs w:val="20"/>
              </w:rPr>
              <w:t>[26]</w:t>
            </w:r>
            <w:r w:rsidRPr="00B93807">
              <w:rPr>
                <w:rFonts w:ascii="Garamond" w:hAnsi="Garamond" w:cs="MyriadPro-Regular"/>
                <w:kern w:val="0"/>
                <w:sz w:val="20"/>
                <w:szCs w:val="20"/>
                <w:lang w:val="fr-FR"/>
              </w:rPr>
              <w:fldChar w:fldCharType="end"/>
            </w:r>
          </w:p>
        </w:tc>
        <w:tc>
          <w:tcPr>
            <w:tcW w:w="773" w:type="dxa"/>
            <w:tcBorders>
              <w:top w:val="nil"/>
              <w:left w:val="nil"/>
              <w:bottom w:val="nil"/>
              <w:right w:val="nil"/>
            </w:tcBorders>
            <w:noWrap/>
            <w:hideMark/>
          </w:tcPr>
          <w:p w14:paraId="6979B2AA"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2022</w:t>
            </w:r>
          </w:p>
        </w:tc>
        <w:tc>
          <w:tcPr>
            <w:tcW w:w="1636" w:type="dxa"/>
            <w:tcBorders>
              <w:top w:val="nil"/>
              <w:left w:val="nil"/>
              <w:bottom w:val="nil"/>
              <w:right w:val="nil"/>
            </w:tcBorders>
            <w:noWrap/>
            <w:hideMark/>
          </w:tcPr>
          <w:p w14:paraId="7CC800D1" w14:textId="36A47A19"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w:t>
            </w:r>
            <w:r w:rsidR="001132A6">
              <w:rPr>
                <w:rFonts w:ascii="Garamond" w:eastAsia="Times New Roman" w:hAnsi="Garamond" w:cs="Calibri"/>
                <w:color w:val="000000"/>
                <w:kern w:val="0"/>
                <w:sz w:val="20"/>
                <w:szCs w:val="20"/>
                <w:lang w:eastAsia="fr-FR"/>
                <w14:ligatures w14:val="none"/>
              </w:rPr>
              <w:t>entral African Republic</w:t>
            </w:r>
          </w:p>
        </w:tc>
        <w:tc>
          <w:tcPr>
            <w:tcW w:w="1559" w:type="dxa"/>
            <w:tcBorders>
              <w:top w:val="nil"/>
              <w:left w:val="nil"/>
              <w:bottom w:val="nil"/>
              <w:right w:val="nil"/>
            </w:tcBorders>
            <w:noWrap/>
            <w:hideMark/>
          </w:tcPr>
          <w:p w14:paraId="1FD442B2"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D0F6861"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4324102E"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98D7E5D"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435A4D5"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hideMark/>
          </w:tcPr>
          <w:p w14:paraId="39013A33" w14:textId="764123E8"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7F22808E" w14:textId="4917B0D6"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14</w:t>
            </w:r>
          </w:p>
        </w:tc>
        <w:tc>
          <w:tcPr>
            <w:tcW w:w="1363" w:type="dxa"/>
            <w:gridSpan w:val="2"/>
            <w:tcBorders>
              <w:top w:val="nil"/>
              <w:left w:val="nil"/>
              <w:bottom w:val="nil"/>
              <w:right w:val="nil"/>
            </w:tcBorders>
            <w:noWrap/>
            <w:hideMark/>
          </w:tcPr>
          <w:p w14:paraId="54A605D3" w14:textId="5DAEEDD1"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42</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9</w:t>
            </w:r>
          </w:p>
        </w:tc>
      </w:tr>
      <w:tr w:rsidR="003F3497" w:rsidRPr="00B93807" w14:paraId="0F0AA079" w14:textId="77777777" w:rsidTr="001132A6">
        <w:trPr>
          <w:trHeight w:val="290"/>
        </w:trPr>
        <w:tc>
          <w:tcPr>
            <w:tcW w:w="2411" w:type="dxa"/>
            <w:tcBorders>
              <w:top w:val="nil"/>
              <w:left w:val="nil"/>
              <w:bottom w:val="nil"/>
              <w:right w:val="nil"/>
            </w:tcBorders>
            <w:noWrap/>
            <w:hideMark/>
          </w:tcPr>
          <w:p w14:paraId="5616E479" w14:textId="28D8FE6A"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Kibungu</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{"citationID":"Sn8zEsZp","properties":{"formattedCitation":"[27]","plainCitation":"[27]","noteIndex":0},"citationItems":[{"id":3572,"uris":["http://zotero.org/users/1791235/items/ZLADRLXQ"],"itemData":{"id":3572,"type":"article-journal","container-title":"Emerging Infectious Diseases","DOI":"10.3201/eid3001.231164","ISSN":"1080-6040, 1080-6059","issue":"1","journalAbbreviation":"Emerg. Infect. Dis.","page":"172-6","source":"DOI.org (Crossref)","title":"Clade I–Associated Mpox Cases Associated with Sexual Contact, the Democratic Republic of the Congo","volume":"30","author":[{"family":"Kibungu","given":"Emile M."},{"family":"Vakaniaki","given":"Emmanuel H."},{"family":"Kinganda-Lusamaki","given":"Eddy"},{"family":"Kalonji-Mukendi","given":"Thierry"},{"family":"Pukuta","given":"Elisabeth"},{"family":"Hoff","given":"Nicole A."},{"family":"Bogoch","given":"Isaac I."},{"family":"Cevik","given":"Muge"},{"family":"Gonsalves","given":"Gregg S."},{"family":"Hensley","given":"Lisa E."},{"family":"Low","given":"Nicola"},{"family":"Shaw","given":"Souradet Y."},{"family":"Schillberg","given":"Erin"},{"family":"Hunter","given":"Mikayla"},{"family":"Lunyanga","given":"Lygie"},{"family":"Linsuke","given":"Sylvie"},{"family":"Madinga","given":"Joule"},{"family":"Peeters","given":"Martine"},{"family":"Cigolo","given":"Jean-Claude Makangara"},{"family":"Ahuka-Mundeke","given":"Steve"},{"family":"Muyembe","given":"Jean-Jacques"},{"family":"Rimoin","given":"Anne W."},{"family":"Kindrachuk","given":"Jason"},{"family":"Mbala-Kingebeni","given":"Placide"},{"family":"Lushima","given":"Robert S."},{"literal":"International Mpox Research Consortium"}],"issued":{"date-parts":[["2024"]]}}}],"schema":"https://github.com/citation-style-language/schema/raw/master/csl-citation.json"}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[27]</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747CEF9"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2023</w:t>
            </w:r>
          </w:p>
        </w:tc>
        <w:tc>
          <w:tcPr>
            <w:tcW w:w="1636" w:type="dxa"/>
            <w:tcBorders>
              <w:top w:val="nil"/>
              <w:left w:val="nil"/>
              <w:bottom w:val="nil"/>
              <w:right w:val="nil"/>
            </w:tcBorders>
            <w:noWrap/>
            <w:hideMark/>
          </w:tcPr>
          <w:p w14:paraId="28DC0697" w14:textId="6AD51A3A" w:rsidR="003F3497" w:rsidRPr="00732E62" w:rsidRDefault="001132A6" w:rsidP="003F3497">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1BF5AA6C" w14:textId="43DEC334" w:rsidR="003F3497" w:rsidRPr="00732E62" w:rsidRDefault="00AC2364" w:rsidP="003F3497">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hideMark/>
          </w:tcPr>
          <w:p w14:paraId="3A97A35D"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6662EE1D"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C55CBBD"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275FF82"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hideMark/>
          </w:tcPr>
          <w:p w14:paraId="03D7DCCC" w14:textId="20C387D4"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0B3E24EE" w14:textId="58E21224"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5</w:t>
            </w:r>
          </w:p>
        </w:tc>
        <w:tc>
          <w:tcPr>
            <w:tcW w:w="1363" w:type="dxa"/>
            <w:gridSpan w:val="2"/>
            <w:tcBorders>
              <w:top w:val="nil"/>
              <w:left w:val="nil"/>
              <w:bottom w:val="nil"/>
              <w:right w:val="nil"/>
            </w:tcBorders>
            <w:noWrap/>
            <w:hideMark/>
          </w:tcPr>
          <w:p w14:paraId="38256E70" w14:textId="12725C24"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0</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0</w:t>
            </w:r>
          </w:p>
        </w:tc>
      </w:tr>
      <w:tr w:rsidR="003F3497" w:rsidRPr="00B93807" w14:paraId="670113BD" w14:textId="77777777" w:rsidTr="001132A6">
        <w:trPr>
          <w:trHeight w:val="290"/>
        </w:trPr>
        <w:tc>
          <w:tcPr>
            <w:tcW w:w="2411" w:type="dxa"/>
            <w:tcBorders>
              <w:top w:val="nil"/>
              <w:left w:val="nil"/>
              <w:bottom w:val="nil"/>
              <w:right w:val="nil"/>
            </w:tcBorders>
            <w:noWrap/>
            <w:hideMark/>
          </w:tcPr>
          <w:p w14:paraId="25BAF702" w14:textId="1B38E692"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Mmerem</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{"citationID":"yGuy51A6","properties":{"formattedCitation":"[28]","plainCitation":"[28]","noteIndex":0},"citationItems":[{"id":4040,"uris":["http://zotero.org/users/1791235/items/Z9ZK9VF9"],"itemData":{"id":4040,"type":"article-journal","abstract":"Abstract\n            \n              Background\n              We describe clinicoepidemiologic characteristics of mpox-chickenpox coinfection in Nigeria.\n            \n            \n              Methods\n              A retrospective cohort analysis was performed of confirmed mpox cases in Nigeria from January 2022 to March 2023. Mpox and chickenpox were confirmed by real-time polymerase chain reaction (RT-PCR).\n            \n            \n              Results\n              Of 94 (60.0%) suspected cases, 56 had confirmed mpox, of whom 16 (28.6%) had chickenpox coinfection. The median age of confirmed mpox cases was 29 years (interquartile range, 20–37 years), 24 were men (60.7%), 6 (10.7%) were bisexual, and 5 (8.9%) died. Mpox-chickenpox–coinfected patients had more complications than mpox-monoinfected cases (56.3% vs 22.5%, P = .015).\n            \n            \n              Conclusions\n              The high frequency of mpox-chickenpox coinfection argues for accelerated access to mpox and chickenpox vaccines in Africa.","container-title":"The Journal of Infectious Diseases","DOI":"10.1093/infdis/jiad556","ISSN":"0022-1899, 1537-6613","issue":"Supplement_2","language":"en","license":"https://academic.oup.com/pages/standard-publication-reuse-rights","page":"S260-4","source":"DOI.org (Crossref)","title":"Mpox and Chickenpox Coinfection: Case Series From Southern Nigeria","title-short":"Mpox and Chickenpox Coinfection","volume":"229","author":[{"family":"Mmerem","given":"Juliet I"},{"family":"Umenzekwe","given":"Chukwudi C"},{"family":"Johnson","given":"Simon M"},{"family":"Onukak","given":"Asukwo E"},{"family":"Chika-Igwenyi","given":"Nneka M"},{"family":"Chukwu","given":"Sunday K"},{"family":"Onyeaghala","given":"Chizaram A"},{"family":"Ozougwu","given":"Jideofor J"},{"family":"Alasia","given":"Datonye"},{"family":"Ehiakhamen","given":"Odianosen"},{"family":"Nwankwo","given":"Henry M"},{"family":"Ezejiofor","given":"Ogochukwu I"},{"family":"Unigwe","given":"Uche S"},{"family":"Iroezindu","given":"Michael O"}],"issued":{"date-parts":[["2024"]]}}}],"schema":"https://github.com/citation-style-language/schema/raw/master/csl-citation.json"}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[28]</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10A2D249"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2023</w:t>
            </w:r>
          </w:p>
        </w:tc>
        <w:tc>
          <w:tcPr>
            <w:tcW w:w="1636" w:type="dxa"/>
            <w:tcBorders>
              <w:top w:val="nil"/>
              <w:left w:val="nil"/>
              <w:bottom w:val="nil"/>
              <w:right w:val="nil"/>
            </w:tcBorders>
            <w:noWrap/>
            <w:hideMark/>
          </w:tcPr>
          <w:p w14:paraId="5169E3BB"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Nigeria</w:t>
            </w:r>
          </w:p>
        </w:tc>
        <w:tc>
          <w:tcPr>
            <w:tcW w:w="1559" w:type="dxa"/>
            <w:tcBorders>
              <w:top w:val="nil"/>
              <w:left w:val="nil"/>
              <w:bottom w:val="nil"/>
              <w:right w:val="nil"/>
            </w:tcBorders>
            <w:noWrap/>
            <w:hideMark/>
          </w:tcPr>
          <w:p w14:paraId="66525306"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Cohort study</w:t>
            </w:r>
          </w:p>
        </w:tc>
        <w:tc>
          <w:tcPr>
            <w:tcW w:w="1180" w:type="dxa"/>
            <w:tcBorders>
              <w:top w:val="nil"/>
              <w:left w:val="nil"/>
              <w:bottom w:val="nil"/>
              <w:right w:val="nil"/>
            </w:tcBorders>
            <w:noWrap/>
            <w:hideMark/>
          </w:tcPr>
          <w:p w14:paraId="7F480210"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08842DCE"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1DDF367"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ACF9FC4"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1A310AE1" w14:textId="648BC4CF"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67B2A0F" w14:textId="45F3E3DA"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56</w:t>
            </w:r>
          </w:p>
        </w:tc>
        <w:tc>
          <w:tcPr>
            <w:tcW w:w="1363" w:type="dxa"/>
            <w:gridSpan w:val="2"/>
            <w:tcBorders>
              <w:top w:val="nil"/>
              <w:left w:val="nil"/>
              <w:bottom w:val="nil"/>
              <w:right w:val="nil"/>
            </w:tcBorders>
            <w:noWrap/>
            <w:hideMark/>
          </w:tcPr>
          <w:p w14:paraId="6C21C7F6" w14:textId="2ED8634D"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66</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1</w:t>
            </w:r>
          </w:p>
        </w:tc>
      </w:tr>
      <w:tr w:rsidR="003F3497" w:rsidRPr="00B93807" w14:paraId="3D7E72B8" w14:textId="77777777" w:rsidTr="001132A6">
        <w:trPr>
          <w:trHeight w:val="290"/>
        </w:trPr>
        <w:tc>
          <w:tcPr>
            <w:tcW w:w="2411" w:type="dxa"/>
            <w:tcBorders>
              <w:top w:val="nil"/>
              <w:left w:val="nil"/>
              <w:bottom w:val="nil"/>
              <w:right w:val="nil"/>
            </w:tcBorders>
            <w:noWrap/>
            <w:hideMark/>
          </w:tcPr>
          <w:p w14:paraId="2F5F1EBD" w14:textId="43B07AA5"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Nizigiyimana</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{"citationID":"syzswlWK","properties":{"formattedCitation":"[29]","plainCitation":"[29]","noteIndex":0},"citationItems":[{"id":4738,"uris":["http://zotero.org/users/1791235/items/FSZCC3W5"],"itemData":{"id":4738,"type":"article-journal","abstract":"We analysed mpox cases in Burundi from July to September 2024, following the introduction of Clade Ib virus. Of 607 samples from the whole population of suspected cases, 154 were PCR-positive, of whom 85 were children under 15 years, with a higher proportion of female children testing positive. Geographical analysis demonstrates case concentration in Bujumbura Mairie (91/154). Age- and sex-specific interventions, as well as community engagement, are important for outbreak containment, as are targeted public health strategies in Burundi.","container-title":"Eurosurveillance","DOI":"10.2807/1560-7917.ES.2024.29.42.2400647","ISSN":"1560-7917","issue":"42","language":"en","note":"publisher: European Centre for Disease Prevention and Control","page":"2400647","source":"www.eurosurveillance.org","title":"Epidemiological analysis of confirmed mpox cases, Burundi, 3 July to 9 September 2024","volume":"29","author":[{"family":"Nizigiyimana","given":"Alexis"},{"family":"Ndikumwenayo","given":"Francois"},{"family":"Houben","given":"Sarah"},{"family":"Manirakiza","given":"Martin"},{"family":"Lettow","given":"Monique","dropping-particle":"van"},{"family":"Liesenborghs","given":"Laurens"},{"family":"Mbala-Kingebeni","given":"Placide"},{"family":"Rimoin","given":"Anne W."},{"family":"Bogoch","given":"Isaac I."},{"family":"Kindrachuk","given":"Jason"}],"issued":{"date-parts":[["2024"]]}}}],"schema":"https://github.com/citation-style-language/schema/raw/master/csl-citation.json"}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[29]</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6F2B13C5"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2024</w:t>
            </w:r>
          </w:p>
        </w:tc>
        <w:tc>
          <w:tcPr>
            <w:tcW w:w="1636" w:type="dxa"/>
            <w:tcBorders>
              <w:top w:val="nil"/>
              <w:left w:val="nil"/>
              <w:bottom w:val="nil"/>
              <w:right w:val="nil"/>
            </w:tcBorders>
            <w:noWrap/>
            <w:hideMark/>
          </w:tcPr>
          <w:p w14:paraId="62A267F9"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Burundi</w:t>
            </w:r>
          </w:p>
        </w:tc>
        <w:tc>
          <w:tcPr>
            <w:tcW w:w="1559" w:type="dxa"/>
            <w:tcBorders>
              <w:top w:val="nil"/>
              <w:left w:val="nil"/>
              <w:bottom w:val="nil"/>
              <w:right w:val="nil"/>
            </w:tcBorders>
            <w:noWrap/>
            <w:hideMark/>
          </w:tcPr>
          <w:p w14:paraId="0B7B9B98"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00CCB6C"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25E4A05D"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EE8D71E"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59170BD" w14:textId="77777777"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Ib</w:t>
            </w:r>
          </w:p>
        </w:tc>
        <w:tc>
          <w:tcPr>
            <w:tcW w:w="882" w:type="dxa"/>
            <w:tcBorders>
              <w:top w:val="nil"/>
              <w:left w:val="nil"/>
              <w:bottom w:val="nil"/>
              <w:right w:val="nil"/>
            </w:tcBorders>
            <w:noWrap/>
            <w:hideMark/>
          </w:tcPr>
          <w:p w14:paraId="479EF081" w14:textId="5EB96811"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377D69A5" w14:textId="1497B4E0"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154</w:t>
            </w:r>
          </w:p>
        </w:tc>
        <w:tc>
          <w:tcPr>
            <w:tcW w:w="1363" w:type="dxa"/>
            <w:gridSpan w:val="2"/>
            <w:tcBorders>
              <w:top w:val="nil"/>
              <w:left w:val="nil"/>
              <w:bottom w:val="nil"/>
              <w:right w:val="nil"/>
            </w:tcBorders>
            <w:noWrap/>
            <w:hideMark/>
          </w:tcPr>
          <w:p w14:paraId="06A3303E" w14:textId="7615E1FC" w:rsidR="003F3497" w:rsidRPr="00732E62" w:rsidRDefault="003F3497" w:rsidP="003F3497">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29</w:t>
            </w:r>
            <w:r w:rsidR="005E4AC6">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2</w:t>
            </w:r>
          </w:p>
        </w:tc>
      </w:tr>
      <w:tr w:rsidR="001132A6" w:rsidRPr="00B93807" w14:paraId="7C236F6C" w14:textId="77777777" w:rsidTr="001132A6">
        <w:trPr>
          <w:trHeight w:val="290"/>
        </w:trPr>
        <w:tc>
          <w:tcPr>
            <w:tcW w:w="2411" w:type="dxa"/>
            <w:tcBorders>
              <w:top w:val="nil"/>
              <w:left w:val="nil"/>
              <w:bottom w:val="nil"/>
              <w:right w:val="nil"/>
            </w:tcBorders>
            <w:noWrap/>
            <w:hideMark/>
          </w:tcPr>
          <w:p w14:paraId="3703DF86" w14:textId="365DFD5B"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Brosius</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{"citationID":"oUYBdteq","properties":{"formattedCitation":"[30]","plainCitation":"[30]","noteIndex":0},"citationItems":[{"id":3575,"uris":["http://zotero.org/users/1791235/items/JJVH2HZE"],"itemData":{"id":3575,"type":"article-journal","container-title":"The Lancet","DOI":"10.1016/S0140-6736(25)00047-9","ISSN":"0140-6736, 1474-547X","issue":"10478","journalAbbreviation":"The Lancet","language":"English","note":"publisher: Elsevier\nPMID: 39892407","page":"547-59","source":"www.thelancet.com","title":"Epidemiological and clinical features of mpox during the clade Ib outbreak in South Kivu, Democratic Republic of the Congo: a prospective cohort study","title-short":"Epidemiological and clinical features of mpox during the clade Ib outbreak in South Kivu, Democratic Republic of the Congo","volume":"405","author":[{"family":"Brosius","given":"Isabel"},{"family":"Vakaniaki","given":"Emmanuel Hasivirwe"},{"family":"Mukari","given":"Guy"},{"family":"Munganga","given":"Papy"},{"family":"Tshomba","given":"Jean Claude"},{"family":"Vos","given":"Elise De"},{"family":"Bangwen","given":"Eugene"},{"family":"Mujula","given":"Yves"},{"family":"Tsoumanis","given":"Achilleas"},{"family":"Dijck","given":"Christophe Van"},{"family":"Alengo","given":"Aimé"},{"family":"Mutimbwa-Mambo","given":"Léandre"},{"family":"Kumbana","given":"Franklin Mweshi"},{"family":"Munga","given":"Jenestin Babingwa"},{"family":"Mambo","given":"Divin Mazambi"},{"family":"Zangilwa","given":"James Wakilongo"},{"family":"Kitwanda","given":"Steeven Bilembo"},{"family":"Houben","given":"Sarah"},{"family":"Hoff","given":"Nicole A."},{"family":"Makangara-Cigolo","given":"Jean-Claude"},{"family":"Kinganda-Lusamaki","given":"Eddy"},{"family":"Peeters","given":"Martine"},{"family":"Rimoin","given":"Anne W."},{"family":"Kindrachuk","given":"Jason"},{"family":"Low","given":"Nicola"},{"family":"Katoto","given":"Patrick D. M. C."},{"family":"Malembaka","given":"Espoir Bwenge"},{"family":"Amuasi","given":"John H."},{"family":"Tshiani-Mbaya","given":"Olivier"},{"family":"Kambaji","given":"Dally Muamba"},{"family":"Kojan","given":"Richard"},{"family":"Kacita","given":"Cris"},{"family":"Mukadi-Bamuleka","given":"Daniel"},{"family":"Ahuka-Mundeke","given":"Steve"},{"family":"Vercauteren","given":"Koen"},{"family":"Wawina-Bokalanga","given":"Tony"},{"family":"Muyembe-Tamfum","given":"Jean-Jacques"},{"family":"Nundu","given":"Sabin Sabiti"},{"family":"Liesenborghs","given":"Laurens"},{"family":"Mbala-Kingebeni","given":"Placide"}],"issued":{"date-parts":[["2025"]]}}}],"schema":"https://github.com/citation-style-language/schema/raw/master/csl-citation.json"}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[30]</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2AA2F9FD"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2024</w:t>
            </w:r>
          </w:p>
        </w:tc>
        <w:tc>
          <w:tcPr>
            <w:tcW w:w="1636" w:type="dxa"/>
            <w:tcBorders>
              <w:top w:val="nil"/>
              <w:left w:val="nil"/>
              <w:bottom w:val="nil"/>
              <w:right w:val="nil"/>
            </w:tcBorders>
            <w:noWrap/>
            <w:hideMark/>
          </w:tcPr>
          <w:p w14:paraId="495D1E60" w14:textId="11541B35"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038FA">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14631CF3"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Cohort study</w:t>
            </w:r>
          </w:p>
        </w:tc>
        <w:tc>
          <w:tcPr>
            <w:tcW w:w="1180" w:type="dxa"/>
            <w:tcBorders>
              <w:top w:val="nil"/>
              <w:left w:val="nil"/>
              <w:bottom w:val="nil"/>
              <w:right w:val="nil"/>
            </w:tcBorders>
            <w:noWrap/>
            <w:hideMark/>
          </w:tcPr>
          <w:p w14:paraId="395A421C"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Hospital</w:t>
            </w:r>
          </w:p>
        </w:tc>
        <w:tc>
          <w:tcPr>
            <w:tcW w:w="1087" w:type="dxa"/>
            <w:tcBorders>
              <w:top w:val="nil"/>
              <w:left w:val="nil"/>
              <w:bottom w:val="nil"/>
              <w:right w:val="nil"/>
            </w:tcBorders>
            <w:noWrap/>
            <w:hideMark/>
          </w:tcPr>
          <w:p w14:paraId="56A70FFA"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21CC18F"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43A7FB1"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Ib</w:t>
            </w:r>
          </w:p>
        </w:tc>
        <w:tc>
          <w:tcPr>
            <w:tcW w:w="882" w:type="dxa"/>
            <w:tcBorders>
              <w:top w:val="nil"/>
              <w:left w:val="nil"/>
              <w:bottom w:val="nil"/>
              <w:right w:val="nil"/>
            </w:tcBorders>
            <w:noWrap/>
            <w:hideMark/>
          </w:tcPr>
          <w:p w14:paraId="53415CA0" w14:textId="74CC5342"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M</w:t>
            </w:r>
            <w:r w:rsidRPr="00B93807">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hideMark/>
          </w:tcPr>
          <w:p w14:paraId="0D8B503A" w14:textId="51A13305"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431</w:t>
            </w:r>
          </w:p>
        </w:tc>
        <w:tc>
          <w:tcPr>
            <w:tcW w:w="1363" w:type="dxa"/>
            <w:gridSpan w:val="2"/>
            <w:tcBorders>
              <w:top w:val="nil"/>
              <w:left w:val="nil"/>
              <w:bottom w:val="nil"/>
              <w:right w:val="nil"/>
            </w:tcBorders>
            <w:noWrap/>
            <w:hideMark/>
          </w:tcPr>
          <w:p w14:paraId="4C5BE315" w14:textId="40561443"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24</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8</w:t>
            </w:r>
          </w:p>
        </w:tc>
      </w:tr>
      <w:tr w:rsidR="001132A6" w:rsidRPr="00B93807" w14:paraId="532B8644" w14:textId="77777777" w:rsidTr="001132A6">
        <w:trPr>
          <w:trHeight w:val="290"/>
        </w:trPr>
        <w:tc>
          <w:tcPr>
            <w:tcW w:w="2411" w:type="dxa"/>
            <w:tcBorders>
              <w:top w:val="nil"/>
              <w:left w:val="nil"/>
              <w:bottom w:val="nil"/>
              <w:right w:val="nil"/>
            </w:tcBorders>
            <w:noWrap/>
            <w:hideMark/>
          </w:tcPr>
          <w:p w14:paraId="7676776B" w14:textId="7411F4C6"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Mukadi-</w:t>
            </w:r>
            <w:proofErr w:type="spellStart"/>
            <w:r w:rsidRPr="00732E62">
              <w:rPr>
                <w:rFonts w:ascii="Garamond" w:eastAsia="Times New Roman" w:hAnsi="Garamond" w:cs="Calibri"/>
                <w:color w:val="000000"/>
                <w:kern w:val="0"/>
                <w:sz w:val="20"/>
                <w:szCs w:val="20"/>
                <w:lang w:eastAsia="fr-FR"/>
                <w14:ligatures w14:val="none"/>
              </w:rPr>
              <w:t>Bamuleka</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{"citationID":"SU4J5fAz","properties":{"formattedCitation":"[31]","plainCitation":"[31]","noteIndex":0},"citationItems":[{"id":3580,"uris":["http://zotero.org/users/1791235/items/ATT8FU22"],"itemData":{"id":3580,"type":"article","abstract":"ABSTRACT\n          The ongoing national mpox outbreak in the Democratic Republic of the Congo has resulted in more &gt;30,000 suspected cases in the country from January 2023 to August 2024. While these historic case totals have been driven by primarily by zoonosis, the emergence of Clade Ib monkeypox virus (MPXV), which is connected to more sustained human-to-human transmission, has been associated with increasing public health impacts in eastern DRC. First identified in South Kivu province, Clade Ib MPXV has been identified in multiple non-endemic East African countries for the first time. In DRC, there have been concerns over broader Clade Ib expansion in the country that could further complicate containment and mitigation responses. Here, we report the first introductions of Clade Ib into North Kivu province, including within internal displacement camps, with suspected close contact transmission that includes non-intimate contacts and children. These findings demonstrate that mpox case investigations and community messaging campaigns should include considerations for non-sexual contact-mediated transmission of Clade Ib that includes children &lt;15 years.","DOI":"10.1101/2024.09.12.24313188","language":"en","license":"http://creativecommons.org/licenses/by-nc-nd/4.0/","publisher":"medRxiv","source":"Infectious Diseases (except HIV/AIDS)","title":"First imported Cases of MPXV Clade Ib in Goma, Democratic Republic of the Congo: Implications for Global Surveillance and Transmission Dynamics","title-short":"First imported Cases of MPXV Clade Ib in Goma, Democratic Republic of the Congo","URL":"http://medrxiv.org/lookup/doi/10.1101/2024.09.12.24313188","author":[{"family":"Mukadi-Bamuleka","given":"Daniel"},{"family":"Kinganda-Lusamaki","given":"Eddy"},{"family":"Mulopo-Mukanya","given":"Noella"},{"family":"Amuri-Aziza","given":"Adrienne"},{"family":"O’Toole","given":"Áine"},{"family":"Modadra-Madakpa","given":"Brigitte"},{"family":"Ndongala","given":"Guy Mutombo"},{"family":"Vakaniaki","given":"Emmanuel Hasivirwe"},{"family":"Merritt","given":"Sydney"},{"family":"Kacita","given":"Cris"},{"family":"Maboko","given":"Gaston Lubambo"},{"family":"Makangara-Cigolo","given":"Jean-Claude"},{"family":"Ngimba","given":"Michel"},{"family":"Lokilo","given":"Emmanuel"},{"family":"Pukuta-Simbu","given":"Elisabeth"},{"family":"Luakanda","given":"Gradi"},{"family":"Bodisa-Matamu","given":"Tavia"},{"family":"Kalimuli","given":"Zephanie Paluku"},{"family":"Akil-Bandali","given":"Prince"},{"family":"Kavira","given":"Sifa"},{"family":"Jansen","given":"Daan"},{"family":"Kamaliro","given":"Adèle Kavira"},{"family":"Muhindo-Milonde","given":"Emile"},{"family":"Mufungizi","given":"Jeriel"},{"family":"Hamisi","given":"Yves Birindwa"},{"family":"Kavunga","given":"Hugo"},{"family":"Tshiani","given":"Olivier"},{"family":"Nundu","given":"Sabin S."},{"family":"Liesenborghs","given":"Laurens"},{"family":"Hoff","given":"Nicole A."},{"family":"Nachega","given":"Jean"},{"family":"Shongo","given":"Robert"},{"family":"Ayouba","given":"Ahidjo"},{"family":"Pilarowski","given":"Genay"},{"family":"Mangolopa","given":"Alain Kakule"},{"family":"Ebondo","given":"Amos Kiuka"},{"family":"Low","given":"Nicola"},{"family":"Shaw","given":"Souradet Y."},{"family":"Wilkinson","given":"Sam"},{"family":"Tessema","given":"Sofonias Kifle"},{"family":"Subissi","given":"Lorenzo"},{"family":"Delaporte","given":"Eric"},{"family":"Vercauteren","given":"Koen"},{"family":"Wawina-Bokalanga","given":"Tony"},{"family":"Rimoin","given":"Anne W"},{"family":"Peeters","given":"Martine"},{"family":"Loman","given":"Nicholas"},{"family":"Rambaut","given":"Andrew"},{"family":"Muyembe-Tamfum","given":"Jean-Jacques"},{"family":"Hensley","given":"Lisa E."},{"family":"Kindrachuk","given":"Jason"},{"family":"Mbala-Kingebeni","given":"Placide"},{"family":"Ahuka-Mundeke","given":"Steve"}],"accessed":{"date-parts":[["2025",2,24]]},"issued":{"date-parts":[["2024"]]}}}],"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[31]</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9D0475F"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2024</w:t>
            </w:r>
          </w:p>
        </w:tc>
        <w:tc>
          <w:tcPr>
            <w:tcW w:w="1636" w:type="dxa"/>
            <w:tcBorders>
              <w:top w:val="nil"/>
              <w:left w:val="nil"/>
              <w:bottom w:val="nil"/>
              <w:right w:val="nil"/>
            </w:tcBorders>
            <w:noWrap/>
            <w:hideMark/>
          </w:tcPr>
          <w:p w14:paraId="064ED8F6" w14:textId="597FE409"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038FA">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19E619DB"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B7A9AC9"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1990DBA7"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54745D8"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7A4F67CD"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Ib</w:t>
            </w:r>
          </w:p>
        </w:tc>
        <w:tc>
          <w:tcPr>
            <w:tcW w:w="882" w:type="dxa"/>
            <w:tcBorders>
              <w:top w:val="nil"/>
              <w:left w:val="nil"/>
              <w:bottom w:val="nil"/>
              <w:right w:val="nil"/>
            </w:tcBorders>
            <w:noWrap/>
            <w:hideMark/>
          </w:tcPr>
          <w:p w14:paraId="534E18BC" w14:textId="309DC72C"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7617C879" w14:textId="1BF613D8"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9</w:t>
            </w:r>
          </w:p>
        </w:tc>
        <w:tc>
          <w:tcPr>
            <w:tcW w:w="1363" w:type="dxa"/>
            <w:gridSpan w:val="2"/>
            <w:tcBorders>
              <w:top w:val="nil"/>
              <w:left w:val="nil"/>
              <w:bottom w:val="nil"/>
              <w:right w:val="nil"/>
            </w:tcBorders>
            <w:noWrap/>
            <w:hideMark/>
          </w:tcPr>
          <w:p w14:paraId="12EAC245" w14:textId="5442E222"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66</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7</w:t>
            </w:r>
          </w:p>
        </w:tc>
      </w:tr>
      <w:tr w:rsidR="001132A6" w:rsidRPr="00B93807" w14:paraId="5ACB794A" w14:textId="77777777" w:rsidTr="001132A6">
        <w:trPr>
          <w:trHeight w:val="290"/>
        </w:trPr>
        <w:tc>
          <w:tcPr>
            <w:tcW w:w="2411" w:type="dxa"/>
            <w:tcBorders>
              <w:top w:val="nil"/>
              <w:left w:val="nil"/>
              <w:bottom w:val="nil"/>
              <w:right w:val="nil"/>
            </w:tcBorders>
            <w:noWrap/>
            <w:hideMark/>
          </w:tcPr>
          <w:p w14:paraId="47CAB731" w14:textId="6E0F391B"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proofErr w:type="spellStart"/>
            <w:r w:rsidRPr="00732E62">
              <w:rPr>
                <w:rFonts w:ascii="Garamond" w:eastAsia="Times New Roman" w:hAnsi="Garamond" w:cs="Calibri"/>
                <w:color w:val="000000"/>
                <w:kern w:val="0"/>
                <w:sz w:val="20"/>
                <w:szCs w:val="20"/>
                <w:lang w:eastAsia="fr-FR"/>
                <w14:ligatures w14:val="none"/>
              </w:rPr>
              <w:t>Kombozi</w:t>
            </w:r>
            <w:proofErr w:type="spellEnd"/>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{"citationID":"VB332WMX","properties":{"formattedCitation":"[32]","plainCitation":"[32]","noteIndex":0},"citationItems":[{"id":3613,"uris":["http://zotero.org/users/1791235/items/8VIEHH6P"],"itemData":{"id":3613,"type":"article-journal","abstract":"Introduction: The Mpox epidemic in non-endemic regions is now attracting global attention. The DRC alone reports nearly 85% of known human cases. In the Tshopo province, the Isangi Territory has experienced outbreaks of this disease in recent years. The objective of this study was to assess the link between the disease and various associated factors. Methods: An analytical cross-sectional study was conducted in three health zones of the Isangi territory (Yakusu, Yahisuli, and Yabaondo health zone) from January 2023 to January 2024. It included 460 subjects, and data was collected using investigation forms and guided interviews with a survey questionnaire. A bivariate analysis was conducted to determine the factors associated with Mpox infection. With a significance level of 5%, odds ratios were calculated with their corresponding confidence intervals. Results: Factors associated with Mpox infection were hunting, fishing, agriculture, Wildlife Trade, poverty, contact with an infected animal, interaction with a sick person, and sharing a bed with a sick person. Conclusion: Mpox epidemics are recurrent in Isangi due to various identified factors. Community sensitization, case investigation, and notification are essential for the prevention and control of this disease in Isangi.","container-title":"International Journal of Applied Science and Engineering Review","DOI":"10.52267/IJASER.2024.5503","ISSN":"25826271","issue":"5","journalAbbreviation":"IJASER","page":"27-43","source":"DOI.org (Crossref)","title":"MPOX: EPIDEMIOLOGICAL PROFILE AND FACTORS ASSOCIATED WITH ITS EMERGENCE IN THE ISANGI TERRITORY, DEMOCRATIC REPUBLIC OF CONGO","title-short":"MPOX","volume":"5","author":[{"family":"Kombozi","given":"Yaya Dieu-Merci."},{"family":"Singa Valentin.","given":"Bolekaleka"},{"family":"Ley.","given":"Befeno Liande"},{"family":"Antoine.","given":"Ependja Towaka"},{"family":"Guild.","given":"Amosi Kikwata"},{"family":"Lwanga.","given":"Kakule"},{"family":"Venance.","given":"Feruzi Kikuni"},{"family":"Théopiste.","given":"Maloko Lotomba"},{"family":"Franck","given":"Mebwa Mohala"},{"family":"Longembe Eugène.","given":"Basandja"},{"family":"Tungipame Alliance.","given":"Tagoto"},{"family":"Kitronza","given":"Panda Lukongo"},{"family":"Joris.","given":"Losimba Likwela"}],"issued":{"date-parts":[["2024"]]}}}],"schema":"https://github.com/citation-style-language/schema/raw/master/csl-citation.json"}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[32]</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6E2C07F"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2024</w:t>
            </w:r>
          </w:p>
        </w:tc>
        <w:tc>
          <w:tcPr>
            <w:tcW w:w="1636" w:type="dxa"/>
            <w:tcBorders>
              <w:top w:val="nil"/>
              <w:left w:val="nil"/>
              <w:bottom w:val="nil"/>
              <w:right w:val="nil"/>
            </w:tcBorders>
            <w:noWrap/>
            <w:hideMark/>
          </w:tcPr>
          <w:p w14:paraId="03FF9EFC" w14:textId="5A696DBC"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038FA">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bottom w:val="nil"/>
              <w:right w:val="nil"/>
            </w:tcBorders>
            <w:noWrap/>
            <w:hideMark/>
          </w:tcPr>
          <w:p w14:paraId="0082CAAB"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34A5C08A"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bottom w:val="nil"/>
              <w:right w:val="nil"/>
            </w:tcBorders>
            <w:noWrap/>
            <w:hideMark/>
          </w:tcPr>
          <w:p w14:paraId="55D82D5F"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151868A"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Probabilistic</w:t>
            </w:r>
          </w:p>
        </w:tc>
        <w:tc>
          <w:tcPr>
            <w:tcW w:w="1197" w:type="dxa"/>
            <w:tcBorders>
              <w:top w:val="nil"/>
              <w:left w:val="nil"/>
              <w:bottom w:val="nil"/>
              <w:right w:val="nil"/>
            </w:tcBorders>
            <w:noWrap/>
            <w:hideMark/>
          </w:tcPr>
          <w:p w14:paraId="0FA34962"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0642E1A3" w14:textId="7472C076"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4ED6E40F" w14:textId="781E6FE9"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230</w:t>
            </w:r>
          </w:p>
        </w:tc>
        <w:tc>
          <w:tcPr>
            <w:tcW w:w="1363" w:type="dxa"/>
            <w:gridSpan w:val="2"/>
            <w:tcBorders>
              <w:top w:val="nil"/>
              <w:left w:val="nil"/>
              <w:bottom w:val="nil"/>
              <w:right w:val="nil"/>
            </w:tcBorders>
            <w:noWrap/>
            <w:hideMark/>
          </w:tcPr>
          <w:p w14:paraId="57A4728D" w14:textId="427ADE9E"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44</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3</w:t>
            </w:r>
          </w:p>
        </w:tc>
      </w:tr>
      <w:tr w:rsidR="001132A6" w:rsidRPr="00B93807" w14:paraId="1F2E40A2" w14:textId="77777777" w:rsidTr="001132A6">
        <w:trPr>
          <w:trHeight w:val="290"/>
        </w:trPr>
        <w:tc>
          <w:tcPr>
            <w:tcW w:w="2411" w:type="dxa"/>
            <w:tcBorders>
              <w:top w:val="nil"/>
              <w:left w:val="nil"/>
              <w:right w:val="nil"/>
            </w:tcBorders>
            <w:noWrap/>
            <w:hideMark/>
          </w:tcPr>
          <w:p w14:paraId="4AF90591" w14:textId="379FEB3A"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Vakaniaki</w:t>
            </w:r>
            <w:r w:rsidRPr="00B93807">
              <w:rPr>
                <w:rFonts w:ascii="Garamond" w:eastAsia="Times New Roman" w:hAnsi="Garamond" w:cs="Calibri"/>
                <w:color w:val="000000"/>
                <w:kern w:val="0"/>
                <w:sz w:val="20"/>
                <w:szCs w:val="20"/>
                <w:lang w:eastAsia="fr-FR"/>
                <w14:ligatures w14:val="none"/>
              </w:rPr>
              <w:t xml:space="preserve"> </w:t>
            </w:r>
            <w:r w:rsidRPr="00B93807">
              <w:rPr>
                <w:rFonts w:ascii="Garamond" w:eastAsia="Times New Roman" w:hAnsi="Garamond" w:cs="Calibri"/>
                <w:i/>
                <w:iCs/>
                <w:color w:val="000000"/>
                <w:kern w:val="0"/>
                <w:sz w:val="20"/>
                <w:szCs w:val="20"/>
                <w:lang w:eastAsia="fr-FR"/>
                <w14:ligatures w14:val="none"/>
              </w:rPr>
              <w:t xml:space="preserve">et al. </w:t>
            </w:r>
            <w:r w:rsidRPr="00B93807">
              <w:rPr>
                <w:rFonts w:ascii="Garamond" w:eastAsia="Times New Roman" w:hAnsi="Garamond" w:cs="Calibri"/>
                <w:i/>
                <w:iCs/>
                <w:color w:val="000000"/>
                <w:kern w:val="0"/>
                <w:sz w:val="20"/>
                <w:szCs w:val="20"/>
                <w:lang w:eastAsia="fr-FR"/>
                <w14:ligatures w14:val="none"/>
              </w:rPr>
              <w:fldChar w:fldCharType="begin"/>
            </w:r>
            <w:r w:rsidRPr="00B93807">
              <w:rPr>
                <w:rFonts w:ascii="Garamond" w:eastAsia="Times New Roman" w:hAnsi="Garamond" w:cs="Calibri"/>
                <w:i/>
                <w:iCs/>
                <w:color w:val="000000"/>
                <w:kern w:val="0"/>
                <w:sz w:val="20"/>
                <w:szCs w:val="20"/>
                <w:lang w:eastAsia="fr-FR"/>
                <w14:ligatures w14:val="none"/>
              </w:rPr>
              <w:instrText xml:space="preserve"> ADDIN ZOTERO_ITEM CSL_CITATION {"citationID":"tDKSkkgM","properties":{"formattedCitation":"[33]","plainCitation":"[33]","noteIndex":0},"citationItems":[{"id":3614,"uris":["http://zotero.org/users/1791235/items/7JLY89V2"],"itemData":{"id":3614,"type":"article-journal","abstract":"Abstract\n            Outbreaks of monkeypox (mpox) have historically resulted from zoonotic spillover of clade I monkeypox virus (MPXV) in Central Africa and clade II MPXV in West Africa. In 2022, subclade IIb caused a global epidemic linked to transmission through sexual contact. Here we describe the epidemiological and genomic features of an mpox outbreak in a mining region in eastern Democratic Republic of the Congo, caused by clade I MPXV. Surveillance data collected between September 2023 and January 2024 identified 241 suspected cases. Genomic analysis demonstrates a distinct clade I lineage divergent from previously circulating strains in the Democratic Republic of the Congo. Of the 108 polymerase chain reaction-confirmed mpox cases, the median age of individuals was 22</w:instrText>
            </w:r>
            <w:r w:rsidRPr="00B93807">
              <w:rPr>
                <w:rFonts w:ascii="Times New Roman" w:eastAsia="Times New Roman" w:hAnsi="Times New Roman" w:cs="Times New Roman"/>
                <w:i/>
                <w:iCs/>
                <w:color w:val="000000"/>
                <w:kern w:val="0"/>
                <w:sz w:val="20"/>
                <w:szCs w:val="20"/>
                <w:lang w:eastAsia="fr-FR"/>
                <w14:ligatures w14:val="none"/>
              </w:rPr>
              <w:instrText> </w:instrText>
            </w:r>
            <w:r w:rsidRPr="00B93807">
              <w:rPr>
                <w:rFonts w:ascii="Garamond" w:eastAsia="Times New Roman" w:hAnsi="Garamond" w:cs="Calibri"/>
                <w:i/>
                <w:iCs/>
                <w:color w:val="000000"/>
                <w:kern w:val="0"/>
                <w:sz w:val="20"/>
                <w:szCs w:val="20"/>
                <w:lang w:eastAsia="fr-FR"/>
                <w14:ligatures w14:val="none"/>
              </w:rPr>
              <w:instrText xml:space="preserve">years, 51.9% were female and 29% were sex workers, suggesting a potential role for sexual transmission. The predominance of APOBEC3-type mutations and the estimated emergence time around mid-September 2023 imply recent sustained human-to-human transmission.","container-title":"Nature Medicine","DOI":"10.1038/s41591-024-03130-3","ISSN":"1078-8956, 1546-170X","issue":"10","journalAbbreviation":"Nat Med","language":"en","page":"2791-5","source":"DOI.org (Crossref)","title":"Sustained human outbreak of a new MPXV clade I lineage in eastern Democratic Republic of the Congo","volume":"30","author":[{"family":"Vakaniaki","given":"Emmanuel Hasivirwe"},{"family":"Kacita","given":"Cris"},{"family":"Kinganda-Lusamaki","given":"Eddy"},{"family":"O’Toole","given":"Áine"},{"family":"Wawina-Bokalanga","given":"Tony"},{"family":"Mukadi-Bamuleka","given":"Daniel"},{"family":"Amuri-Aziza","given":"Adrienne"},{"family":"Malyamungu-Bubala","given":"Nadine"},{"family":"Mweshi-Kumbana","given":"Franklin"},{"family":"Mutimbwa-Mambo","given":"Léandre"},{"family":"Belesi-Siangoli","given":"Freddy"},{"family":"Mujula","given":"Yves"},{"family":"Parker","given":"Edyth"},{"family":"Muswamba-Kayembe","given":"Pauline-Chloé"},{"family":"Nundu","given":"Sabin S."},{"family":"Lushima","given":"Robert S."},{"family":"Makangara-Cigolo","given":"Jean-Claude"},{"family":"Mulopo-Mukanya","given":"Noella"},{"family":"Pukuta-Simbu","given":"Elisabeth"},{"family":"Akil-Bandali","given":"Prince"},{"family":"Kavunga","given":"Hugo"},{"family":"Abdramane","given":"Ombotimbe"},{"family":"Brosius","given":"Isabel"},{"family":"Bangwen","given":"Eugene"},{"family":"Vercauteren","given":"Koen"},{"family":"Sam-Agudu","given":"Nadia A."},{"family":"Mills","given":"Edward J."},{"family":"Tshiani-Mbaya","given":"Olivier"},{"family":"Hoff","given":"Nicole A."},{"family":"Rimoin","given":"Anne W."},{"family":"Hensley","given":"Lisa E."},{"family":"Kindrachuk","given":"Jason"},{"family":"Baxter","given":"Cheryl"},{"family":"De Oliveira","given":"Tulio"},{"family":"Ayouba","given":"Ahidjo"},{"family":"Peeters","given":"Martine"},{"family":"Delaporte","given":"Eric"},{"family":"Ahuka-Mundeke","given":"Steve"},{"family":"Mohr","given":"Emma L."},{"family":"Sullivan","given":"Nancy J."},{"family":"Muyembe-Tamfum","given":"Jean-Jacques"},{"family":"Nachega","given":"Jean B."},{"family":"Rambaut","given":"Andrew"},{"family":"Liesenborghs","given":"Laurens"},{"family":"Mbala-Kingebeni","given":"Placide"}],"issued":{"date-parts":[["2024"]]}}}],"schema":"https://github.com/citation-style-language/schema/raw/master/csl-citation.json"} </w:instrText>
            </w:r>
            <w:r w:rsidRPr="00B93807">
              <w:rPr>
                <w:rFonts w:ascii="Garamond" w:eastAsia="Times New Roman" w:hAnsi="Garamond" w:cs="Calibri"/>
                <w:i/>
                <w:iCs/>
                <w:color w:val="000000"/>
                <w:kern w:val="0"/>
                <w:sz w:val="20"/>
                <w:szCs w:val="20"/>
                <w:lang w:eastAsia="fr-FR"/>
                <w14:ligatures w14:val="none"/>
              </w:rPr>
              <w:fldChar w:fldCharType="separate"/>
            </w:r>
            <w:r w:rsidRPr="00B93807">
              <w:rPr>
                <w:rFonts w:ascii="Garamond" w:hAnsi="Garamond"/>
                <w:sz w:val="20"/>
                <w:szCs w:val="20"/>
              </w:rPr>
              <w:t>[33]</w:t>
            </w:r>
            <w:r w:rsidRPr="00B93807">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right w:val="nil"/>
            </w:tcBorders>
            <w:noWrap/>
            <w:hideMark/>
          </w:tcPr>
          <w:p w14:paraId="4E5764EA"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2024</w:t>
            </w:r>
          </w:p>
        </w:tc>
        <w:tc>
          <w:tcPr>
            <w:tcW w:w="1636" w:type="dxa"/>
            <w:tcBorders>
              <w:top w:val="nil"/>
              <w:left w:val="nil"/>
              <w:right w:val="nil"/>
            </w:tcBorders>
            <w:noWrap/>
            <w:hideMark/>
          </w:tcPr>
          <w:p w14:paraId="09C74BAA" w14:textId="37EB730E"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038FA">
              <w:rPr>
                <w:rFonts w:ascii="Garamond" w:eastAsia="Times New Roman" w:hAnsi="Garamond" w:cs="Calibri"/>
                <w:color w:val="000000"/>
                <w:kern w:val="0"/>
                <w:sz w:val="20"/>
                <w:szCs w:val="20"/>
                <w:lang w:eastAsia="fr-FR"/>
                <w14:ligatures w14:val="none"/>
              </w:rPr>
              <w:t>Democratic Republic of Congo</w:t>
            </w:r>
          </w:p>
        </w:tc>
        <w:tc>
          <w:tcPr>
            <w:tcW w:w="1559" w:type="dxa"/>
            <w:tcBorders>
              <w:top w:val="nil"/>
              <w:left w:val="nil"/>
              <w:right w:val="nil"/>
            </w:tcBorders>
            <w:noWrap/>
            <w:hideMark/>
          </w:tcPr>
          <w:p w14:paraId="3DAE6664"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right w:val="nil"/>
            </w:tcBorders>
            <w:noWrap/>
            <w:hideMark/>
          </w:tcPr>
          <w:p w14:paraId="669AD58E"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top w:val="nil"/>
              <w:left w:val="nil"/>
              <w:right w:val="nil"/>
            </w:tcBorders>
            <w:noWrap/>
            <w:hideMark/>
          </w:tcPr>
          <w:p w14:paraId="5CFF9083"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right w:val="nil"/>
            </w:tcBorders>
            <w:noWrap/>
            <w:hideMark/>
          </w:tcPr>
          <w:p w14:paraId="5357C8F5"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right w:val="nil"/>
            </w:tcBorders>
            <w:noWrap/>
            <w:hideMark/>
          </w:tcPr>
          <w:p w14:paraId="69C530E6" w14:textId="7777777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Ib</w:t>
            </w:r>
          </w:p>
        </w:tc>
        <w:tc>
          <w:tcPr>
            <w:tcW w:w="882" w:type="dxa"/>
            <w:tcBorders>
              <w:top w:val="nil"/>
              <w:left w:val="nil"/>
              <w:right w:val="nil"/>
            </w:tcBorders>
            <w:noWrap/>
            <w:hideMark/>
          </w:tcPr>
          <w:p w14:paraId="4CF1D5D9" w14:textId="65BABD4E"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L</w:t>
            </w:r>
            <w:r w:rsidRPr="00B93807">
              <w:rPr>
                <w:rFonts w:ascii="Garamond" w:eastAsia="Times New Roman" w:hAnsi="Garamond" w:cs="Calibri"/>
                <w:color w:val="000000"/>
                <w:kern w:val="0"/>
                <w:sz w:val="20"/>
                <w:szCs w:val="20"/>
                <w:lang w:eastAsia="fr-FR"/>
                <w14:ligatures w14:val="none"/>
              </w:rPr>
              <w:t>ow</w:t>
            </w:r>
          </w:p>
        </w:tc>
        <w:tc>
          <w:tcPr>
            <w:tcW w:w="1077" w:type="dxa"/>
            <w:tcBorders>
              <w:top w:val="nil"/>
              <w:left w:val="nil"/>
              <w:right w:val="nil"/>
            </w:tcBorders>
            <w:noWrap/>
            <w:hideMark/>
          </w:tcPr>
          <w:p w14:paraId="74A5CE0E" w14:textId="30B684C1"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108</w:t>
            </w:r>
          </w:p>
        </w:tc>
        <w:tc>
          <w:tcPr>
            <w:tcW w:w="1363" w:type="dxa"/>
            <w:gridSpan w:val="2"/>
            <w:tcBorders>
              <w:top w:val="nil"/>
              <w:left w:val="nil"/>
              <w:right w:val="nil"/>
            </w:tcBorders>
            <w:noWrap/>
            <w:hideMark/>
          </w:tcPr>
          <w:p w14:paraId="5C9D7214" w14:textId="6F755B4D"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9</w:t>
            </w:r>
            <w:r>
              <w:rPr>
                <w:rFonts w:ascii="Garamond" w:eastAsia="Times New Roman" w:hAnsi="Garamond" w:cs="Calibri"/>
                <w:color w:val="000000"/>
                <w:kern w:val="0"/>
                <w:sz w:val="20"/>
                <w:szCs w:val="20"/>
                <w:lang w:eastAsia="fr-FR"/>
                <w14:ligatures w14:val="none"/>
              </w:rPr>
              <w:t>.</w:t>
            </w:r>
            <w:r w:rsidRPr="00732E62">
              <w:rPr>
                <w:rFonts w:ascii="Garamond" w:eastAsia="Times New Roman" w:hAnsi="Garamond" w:cs="Calibri"/>
                <w:color w:val="000000"/>
                <w:kern w:val="0"/>
                <w:sz w:val="20"/>
                <w:szCs w:val="20"/>
                <w:lang w:eastAsia="fr-FR"/>
                <w14:ligatures w14:val="none"/>
              </w:rPr>
              <w:t>3</w:t>
            </w:r>
          </w:p>
        </w:tc>
      </w:tr>
      <w:tr w:rsidR="001132A6" w:rsidRPr="00B93807" w14:paraId="0150996C" w14:textId="77777777" w:rsidTr="001132A6">
        <w:trPr>
          <w:trHeight w:val="290"/>
        </w:trPr>
        <w:tc>
          <w:tcPr>
            <w:tcW w:w="2411" w:type="dxa"/>
            <w:tcBorders>
              <w:left w:val="nil"/>
              <w:bottom w:val="single" w:sz="12" w:space="0" w:color="auto"/>
              <w:right w:val="nil"/>
            </w:tcBorders>
            <w:noWrap/>
          </w:tcPr>
          <w:p w14:paraId="05778D82" w14:textId="137565B4"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 xml:space="preserve">Malembi </w:t>
            </w:r>
            <w:r w:rsidRPr="004974FC">
              <w:rPr>
                <w:rFonts w:ascii="Garamond" w:eastAsia="Times New Roman" w:hAnsi="Garamond" w:cs="Calibri"/>
                <w:i/>
                <w:iCs/>
                <w:color w:val="000000"/>
                <w:kern w:val="0"/>
                <w:sz w:val="20"/>
                <w:szCs w:val="20"/>
                <w:lang w:eastAsia="fr-FR"/>
                <w14:ligatures w14:val="none"/>
              </w:rPr>
              <w:t>et al.</w:t>
            </w:r>
            <w:r>
              <w:rPr>
                <w:rFonts w:ascii="Garamond" w:eastAsia="Times New Roman" w:hAnsi="Garamond" w:cs="Calibri"/>
                <w:color w:val="000000"/>
                <w:kern w:val="0"/>
                <w:sz w:val="20"/>
                <w:szCs w:val="20"/>
                <w:lang w:eastAsia="fr-FR"/>
                <w14:ligatures w14:val="none"/>
              </w:rPr>
              <w:t xml:space="preserve"> </w:t>
            </w:r>
            <w:r>
              <w:rPr>
                <w:rFonts w:ascii="Garamond" w:eastAsia="Times New Roman" w:hAnsi="Garamond" w:cs="Calibri"/>
                <w:color w:val="000000"/>
                <w:kern w:val="0"/>
                <w:sz w:val="20"/>
                <w:szCs w:val="20"/>
                <w:lang w:eastAsia="fr-FR"/>
                <w14:ligatures w14:val="none"/>
              </w:rPr>
              <w:fldChar w:fldCharType="begin"/>
            </w:r>
            <w:r>
              <w:rPr>
                <w:rFonts w:ascii="Garamond" w:eastAsia="Times New Roman" w:hAnsi="Garamond" w:cs="Calibri"/>
                <w:color w:val="000000"/>
                <w:kern w:val="0"/>
                <w:sz w:val="20"/>
                <w:szCs w:val="20"/>
                <w:lang w:eastAsia="fr-FR"/>
                <w14:ligatures w14:val="none"/>
              </w:rPr>
              <w:instrText xml:space="preserve"> ADDIN ZOTERO_ITEM CSL_CITATION {"citationID":"djvjpR2N","properties":{"formattedCitation":"[34]","plainCitation":"[34]","noteIndex":0},"citationItems":[{"id":4753,"uris":["http://zotero.org/users/1791235/items/L7ZLHSXT"],"itemData":{"id":4753,"type":"article-journal","container-title":"The Lancet","DOI":"10.1016/S0140-6736(25)00152-7","ISSN":"0140-6736, 1474-547X","issue":"10490","journalAbbreviation":"The Lancet","language":"English","note":"publisher: Elsevier\nPMID: 40222380","page":"1666-1675","source":"www.thelancet.com","title":"Clinical presentation and epidemiological assessment of confirmed human mpox cases in DR Congo: a surveillance-based observational study","title-short":"Clinical presentation and epidemiological assessment of confirmed human mpox cases in DR Congo","volume":"405","author":[{"family":"Malembi","given":"Emile"},{"family":"Escrig-Sarreta","given":"Roser"},{"family":"Ntumba","given":"Jackie"},{"family":"Beiras","given":"Camila G."},{"family":"Shongo","given":"Robert"},{"family":"Bengehya","given":"Justin"},{"family":"Nselaka","given":"Charles"},{"family":"Pukuta","given":"Elisabeth"},{"family":"Mukadi-Bamuleka","given":"Daniel"},{"family":"Mulopo-Mukanya","given":"Noëlla"},{"family":"Leng","given":"Xinying"},{"family":"Pérez-Mañá","given":"Clara"},{"family":"Galván-Casas","given":"Cristina"},{"family":"Muñoz","given":"Susana"},{"family":"Bilembo-Kitwanda","given":"Steeven"},{"family":"Kitha","given":"Pierre"},{"family":"Maketa","given":"Vivi"},{"family":"Mitashi","given":"Patrick"},{"family":"Abedi","given":"Aruna"},{"family":"Nsio","given":"Justus"},{"family":"Ahuka-Mundeke","given":"Steve"},{"family":"Mbala-Kingebeni","given":"Placide"},{"family":"Muyembe","given":"Jean-Jacques"},{"family":"Marks","given":"Michael"},{"family":"Muhindo-Mavoko","given":"Hypolite"},{"family":"Mitjà","given":"Oriol"},{"family":"Kalonji","given":"Thierry"},{"family":"Tshisuaka","given":"Derrick"},{"family":"Misima","given":"Bob"},{"family":"Mukaba","given":"Junior"},{"family":"Bikioli","given":"Freddy"},{"family":"Umba","given":"Aimé"},{"family":"Delphin","given":"Phanzu M."},{"family":"Makuma","given":"Olivier"},{"family":"Rodriguez","given":"Bandu Bola"},{"family":"Kanda","given":"Innocent"},{"family":"Linsuke","given":"Sylvie"},{"family":"Madinga","given":"Joules"},{"family":"Kalowa","given":"John"},{"family":"Català","given":"Alba"},{"family":"Torres","given":"María Jesús"},{"family":"Carrion","given":"Astrid"},{"family":"Capella","given":"Pere"},{"family":"Chakkour","given":"Lobna"},{"family":"Dermoumi","given":"Maruan"},{"family":"Garay","given":"Juan"},{"family":"Roig","given":"Narcís"},{"family":"Rimoine","given":"Anne"},{"family":"Hoff","given":"Nicole"},{"family":"Muhindo-Milonde","given":"Emile"},{"family":"Nsimire-Bahasa","given":"Noëlla"},{"family":"Bodisa-Matamu","given":"Tavia"},{"family":"Paluku-Kalimuli","given":"Zéphanie"},{"family":"Ngimba","given":"Michel"},{"family":"Mupanga","given":"Laetitia Nyinya","dropping-particle":"wa"},{"family":"Modadra-Madakpa","given":"Brigitte"},{"family":"Kavira-Kamaliro","given":"Adèle"},{"family":"Muhindo-Karungu","given":"Patrick"},{"family":"Cinyabuuma","given":"Jacques Daudi"}],"issued":{"date-parts":[["2025"]]}}}],"schema":"https://github.com/citation-style-language/schema/raw/master/csl-citation.json"} </w:instrText>
            </w:r>
            <w:r>
              <w:rPr>
                <w:rFonts w:ascii="Garamond" w:eastAsia="Times New Roman" w:hAnsi="Garamond" w:cs="Calibri"/>
                <w:color w:val="000000"/>
                <w:kern w:val="0"/>
                <w:sz w:val="20"/>
                <w:szCs w:val="20"/>
                <w:lang w:eastAsia="fr-FR"/>
                <w14:ligatures w14:val="none"/>
              </w:rPr>
              <w:fldChar w:fldCharType="separate"/>
            </w:r>
            <w:r w:rsidRPr="003F0BDF">
              <w:rPr>
                <w:rFonts w:ascii="Garamond" w:hAnsi="Garamond"/>
                <w:sz w:val="20"/>
              </w:rPr>
              <w:t>[34]</w:t>
            </w:r>
            <w:r>
              <w:rPr>
                <w:rFonts w:ascii="Garamond" w:eastAsia="Times New Roman" w:hAnsi="Garamond" w:cs="Calibri"/>
                <w:color w:val="000000"/>
                <w:kern w:val="0"/>
                <w:sz w:val="20"/>
                <w:szCs w:val="20"/>
                <w:lang w:eastAsia="fr-FR"/>
                <w14:ligatures w14:val="none"/>
              </w:rPr>
              <w:fldChar w:fldCharType="end"/>
            </w:r>
          </w:p>
        </w:tc>
        <w:tc>
          <w:tcPr>
            <w:tcW w:w="773" w:type="dxa"/>
            <w:tcBorders>
              <w:left w:val="nil"/>
              <w:bottom w:val="single" w:sz="12" w:space="0" w:color="auto"/>
              <w:right w:val="nil"/>
            </w:tcBorders>
            <w:noWrap/>
          </w:tcPr>
          <w:p w14:paraId="567C6C7F" w14:textId="2291BA81"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2024</w:t>
            </w:r>
          </w:p>
        </w:tc>
        <w:tc>
          <w:tcPr>
            <w:tcW w:w="1636" w:type="dxa"/>
            <w:tcBorders>
              <w:left w:val="nil"/>
              <w:bottom w:val="single" w:sz="12" w:space="0" w:color="auto"/>
              <w:right w:val="nil"/>
            </w:tcBorders>
            <w:noWrap/>
          </w:tcPr>
          <w:p w14:paraId="7E5B2DC8" w14:textId="311201FA" w:rsidR="001132A6"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038FA">
              <w:rPr>
                <w:rFonts w:ascii="Garamond" w:eastAsia="Times New Roman" w:hAnsi="Garamond" w:cs="Calibri"/>
                <w:color w:val="000000"/>
                <w:kern w:val="0"/>
                <w:sz w:val="20"/>
                <w:szCs w:val="20"/>
                <w:lang w:eastAsia="fr-FR"/>
                <w14:ligatures w14:val="none"/>
              </w:rPr>
              <w:t>Democratic Republic of Congo</w:t>
            </w:r>
          </w:p>
        </w:tc>
        <w:tc>
          <w:tcPr>
            <w:tcW w:w="1559" w:type="dxa"/>
            <w:tcBorders>
              <w:left w:val="nil"/>
              <w:bottom w:val="single" w:sz="12" w:space="0" w:color="auto"/>
              <w:right w:val="nil"/>
            </w:tcBorders>
            <w:noWrap/>
          </w:tcPr>
          <w:p w14:paraId="0AF85635" w14:textId="1ABFA30F"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Cross-sectional</w:t>
            </w:r>
          </w:p>
        </w:tc>
        <w:tc>
          <w:tcPr>
            <w:tcW w:w="1180" w:type="dxa"/>
            <w:tcBorders>
              <w:left w:val="nil"/>
              <w:bottom w:val="single" w:sz="12" w:space="0" w:color="auto"/>
              <w:right w:val="nil"/>
            </w:tcBorders>
            <w:noWrap/>
          </w:tcPr>
          <w:p w14:paraId="740FEF2A" w14:textId="44DF2CEC"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Community</w:t>
            </w:r>
          </w:p>
        </w:tc>
        <w:tc>
          <w:tcPr>
            <w:tcW w:w="1087" w:type="dxa"/>
            <w:tcBorders>
              <w:left w:val="nil"/>
              <w:bottom w:val="single" w:sz="12" w:space="0" w:color="auto"/>
              <w:right w:val="nil"/>
            </w:tcBorders>
            <w:noWrap/>
          </w:tcPr>
          <w:p w14:paraId="22571C24" w14:textId="40CB3599"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General population</w:t>
            </w:r>
          </w:p>
        </w:tc>
        <w:tc>
          <w:tcPr>
            <w:tcW w:w="1105" w:type="dxa"/>
            <w:tcBorders>
              <w:left w:val="nil"/>
              <w:bottom w:val="single" w:sz="12" w:space="0" w:color="auto"/>
              <w:right w:val="nil"/>
            </w:tcBorders>
            <w:noWrap/>
          </w:tcPr>
          <w:p w14:paraId="02DF4A8D" w14:textId="4ED3FC95"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Non-probabilistic</w:t>
            </w:r>
          </w:p>
        </w:tc>
        <w:tc>
          <w:tcPr>
            <w:tcW w:w="1197" w:type="dxa"/>
            <w:tcBorders>
              <w:left w:val="nil"/>
              <w:bottom w:val="single" w:sz="12" w:space="0" w:color="auto"/>
              <w:right w:val="nil"/>
            </w:tcBorders>
            <w:noWrap/>
          </w:tcPr>
          <w:p w14:paraId="4B3BC2E9" w14:textId="358DBD57"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sidRPr="00732E62">
              <w:rPr>
                <w:rFonts w:ascii="Garamond" w:eastAsia="Times New Roman" w:hAnsi="Garamond" w:cs="Calibri"/>
                <w:color w:val="000000"/>
                <w:kern w:val="0"/>
                <w:sz w:val="20"/>
                <w:szCs w:val="20"/>
                <w:lang w:eastAsia="fr-FR"/>
                <w14:ligatures w14:val="none"/>
              </w:rPr>
              <w:t>Clade Ib</w:t>
            </w:r>
          </w:p>
        </w:tc>
        <w:tc>
          <w:tcPr>
            <w:tcW w:w="882" w:type="dxa"/>
            <w:tcBorders>
              <w:left w:val="nil"/>
              <w:bottom w:val="single" w:sz="12" w:space="0" w:color="auto"/>
              <w:right w:val="nil"/>
            </w:tcBorders>
            <w:noWrap/>
          </w:tcPr>
          <w:p w14:paraId="4EB14D9F" w14:textId="170DB692"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Low</w:t>
            </w:r>
          </w:p>
        </w:tc>
        <w:tc>
          <w:tcPr>
            <w:tcW w:w="1077" w:type="dxa"/>
            <w:tcBorders>
              <w:left w:val="nil"/>
              <w:bottom w:val="single" w:sz="12" w:space="0" w:color="auto"/>
              <w:right w:val="nil"/>
            </w:tcBorders>
            <w:noWrap/>
          </w:tcPr>
          <w:p w14:paraId="02FBA99A" w14:textId="4AA48E28" w:rsidR="001132A6" w:rsidRPr="00732E62" w:rsidRDefault="001132A6" w:rsidP="001132A6">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814</w:t>
            </w:r>
          </w:p>
        </w:tc>
        <w:tc>
          <w:tcPr>
            <w:tcW w:w="1363" w:type="dxa"/>
            <w:gridSpan w:val="2"/>
            <w:tcBorders>
              <w:left w:val="nil"/>
              <w:bottom w:val="single" w:sz="12" w:space="0" w:color="auto"/>
              <w:right w:val="nil"/>
            </w:tcBorders>
            <w:noWrap/>
          </w:tcPr>
          <w:p w14:paraId="0BA62E73" w14:textId="2279F45B" w:rsidR="001132A6" w:rsidRPr="005E4AC6" w:rsidRDefault="001132A6" w:rsidP="001132A6">
            <w:pPr>
              <w:rPr>
                <w:rFonts w:ascii="Garamond" w:eastAsia="Times New Roman" w:hAnsi="Garamond" w:cs="Calibri"/>
                <w:color w:val="000000"/>
                <w:kern w:val="0"/>
                <w:sz w:val="20"/>
                <w:szCs w:val="20"/>
                <w:lang w:eastAsia="fr-FR"/>
                <w14:ligatures w14:val="none"/>
              </w:rPr>
            </w:pPr>
            <w:r w:rsidRPr="005E4AC6">
              <w:rPr>
                <w:rFonts w:ascii="Garamond" w:eastAsia="Times New Roman" w:hAnsi="Garamond" w:cs="Calibri"/>
                <w:color w:val="000000"/>
                <w:kern w:val="0"/>
                <w:sz w:val="20"/>
                <w:szCs w:val="20"/>
                <w:lang w:eastAsia="fr-FR"/>
                <w14:ligatures w14:val="none"/>
              </w:rPr>
              <w:t>48</w:t>
            </w:r>
            <w:r>
              <w:rPr>
                <w:rFonts w:ascii="Garamond" w:eastAsia="Times New Roman" w:hAnsi="Garamond" w:cs="Calibri"/>
                <w:color w:val="000000"/>
                <w:kern w:val="0"/>
                <w:sz w:val="20"/>
                <w:szCs w:val="20"/>
                <w:lang w:eastAsia="fr-FR"/>
                <w14:ligatures w14:val="none"/>
              </w:rPr>
              <w:t>.</w:t>
            </w:r>
            <w:r w:rsidRPr="005E4AC6">
              <w:rPr>
                <w:rFonts w:ascii="Garamond" w:eastAsia="Times New Roman" w:hAnsi="Garamond" w:cs="Calibri"/>
                <w:color w:val="000000"/>
                <w:kern w:val="0"/>
                <w:sz w:val="20"/>
                <w:szCs w:val="20"/>
                <w:lang w:eastAsia="fr-FR"/>
                <w14:ligatures w14:val="none"/>
              </w:rPr>
              <w:t>9</w:t>
            </w:r>
          </w:p>
        </w:tc>
      </w:tr>
      <w:tr w:rsidR="003F0BDF" w:rsidRPr="00B93807" w14:paraId="4BE8E90A" w14:textId="77777777" w:rsidTr="001132A6">
        <w:trPr>
          <w:gridAfter w:val="1"/>
          <w:wAfter w:w="11" w:type="dxa"/>
          <w:trHeight w:val="290"/>
        </w:trPr>
        <w:tc>
          <w:tcPr>
            <w:tcW w:w="14259" w:type="dxa"/>
            <w:gridSpan w:val="11"/>
            <w:tcBorders>
              <w:top w:val="single" w:sz="12" w:space="0" w:color="auto"/>
              <w:left w:val="nil"/>
              <w:bottom w:val="nil"/>
              <w:right w:val="nil"/>
            </w:tcBorders>
            <w:noWrap/>
          </w:tcPr>
          <w:p w14:paraId="3CC0CF99" w14:textId="771ACAE4" w:rsidR="003F0BDF" w:rsidRPr="00B93807" w:rsidRDefault="003F0BDF" w:rsidP="003F0BDF">
            <w:pPr>
              <w:spacing w:after="0" w:line="240" w:lineRule="auto"/>
              <w:rPr>
                <w:rFonts w:ascii="Garamond" w:eastAsia="Times New Roman" w:hAnsi="Garamond" w:cs="Calibri"/>
                <w:color w:val="000000"/>
                <w:kern w:val="0"/>
                <w:sz w:val="20"/>
                <w:szCs w:val="20"/>
                <w:lang w:eastAsia="fr-FR"/>
                <w14:ligatures w14:val="none"/>
              </w:rPr>
            </w:pPr>
            <w:r w:rsidRPr="00B93807">
              <w:rPr>
                <w:rFonts w:ascii="Garamond" w:eastAsia="Times New Roman" w:hAnsi="Garamond" w:cs="Calibri"/>
                <w:i/>
                <w:iCs/>
                <w:color w:val="000000"/>
                <w:kern w:val="0"/>
                <w:sz w:val="20"/>
                <w:szCs w:val="20"/>
                <w:lang w:eastAsia="fr-FR"/>
                <w14:ligatures w14:val="none"/>
              </w:rPr>
              <w:t>1</w:t>
            </w:r>
            <w:r w:rsidRPr="00B93807">
              <w:rPr>
                <w:rFonts w:ascii="Garamond" w:eastAsia="Times New Roman" w:hAnsi="Garamond" w:cs="Calibri"/>
                <w:color w:val="000000"/>
                <w:kern w:val="0"/>
                <w:sz w:val="20"/>
                <w:szCs w:val="20"/>
                <w:lang w:eastAsia="fr-FR"/>
                <w14:ligatures w14:val="none"/>
              </w:rPr>
              <w:t>: Last year</w:t>
            </w:r>
            <w:r>
              <w:rPr>
                <w:rFonts w:ascii="Garamond" w:eastAsia="Times New Roman" w:hAnsi="Garamond" w:cs="Calibri"/>
                <w:color w:val="000000"/>
                <w:kern w:val="0"/>
                <w:sz w:val="20"/>
                <w:szCs w:val="20"/>
                <w:lang w:eastAsia="fr-FR"/>
                <w14:ligatures w14:val="none"/>
              </w:rPr>
              <w:t xml:space="preserve"> of </w:t>
            </w:r>
            <w:r w:rsidRPr="00B93807">
              <w:rPr>
                <w:rFonts w:ascii="Garamond" w:eastAsia="Times New Roman" w:hAnsi="Garamond" w:cs="Calibri"/>
                <w:color w:val="000000"/>
                <w:kern w:val="0"/>
                <w:sz w:val="20"/>
                <w:szCs w:val="20"/>
                <w:lang w:eastAsia="fr-FR"/>
                <w14:ligatures w14:val="none"/>
              </w:rPr>
              <w:t xml:space="preserve">study </w:t>
            </w:r>
            <w:r>
              <w:rPr>
                <w:rFonts w:ascii="Garamond" w:eastAsia="Times New Roman" w:hAnsi="Garamond" w:cs="Calibri"/>
                <w:color w:val="000000"/>
                <w:kern w:val="0"/>
                <w:sz w:val="20"/>
                <w:szCs w:val="20"/>
                <w:lang w:eastAsia="fr-FR"/>
                <w14:ligatures w14:val="none"/>
              </w:rPr>
              <w:t xml:space="preserve">implementation; </w:t>
            </w:r>
          </w:p>
        </w:tc>
      </w:tr>
    </w:tbl>
    <w:p w14:paraId="335CE46C" w14:textId="77777777" w:rsidR="000338E3" w:rsidRDefault="000338E3"/>
    <w:p w14:paraId="105B8E41" w14:textId="77777777" w:rsidR="00B30E1A" w:rsidRDefault="00B30E1A"/>
    <w:p w14:paraId="28C42618" w14:textId="77777777" w:rsidR="00551F28" w:rsidRDefault="00551F28">
      <w:pPr>
        <w:sectPr w:rsidR="00551F28" w:rsidSect="00551F28">
          <w:footerReference w:type="default" r:id="rId7"/>
          <w:pgSz w:w="15840" w:h="12240" w:orient="landscape"/>
          <w:pgMar w:top="851" w:right="1417" w:bottom="1417" w:left="1417" w:header="708" w:footer="708" w:gutter="0"/>
          <w:cols w:space="708"/>
          <w:docGrid w:linePitch="360"/>
        </w:sectPr>
      </w:pPr>
    </w:p>
    <w:p w14:paraId="5B5F8A20" w14:textId="4EE52832" w:rsidR="00B30E1A" w:rsidRPr="00C243E9" w:rsidRDefault="00E213CB">
      <w:pPr>
        <w:rPr>
          <w:rFonts w:ascii="Gill Sans MT" w:hAnsi="Gill Sans MT"/>
          <w:b/>
          <w:bCs/>
          <w:noProof/>
          <w:u w:val="single"/>
        </w:rPr>
      </w:pPr>
      <w:r>
        <w:rPr>
          <w:rFonts w:ascii="Gill Sans MT" w:hAnsi="Gill Sans MT"/>
          <w:b/>
          <w:bCs/>
          <w:noProof/>
          <w:u w:val="single"/>
        </w:rPr>
        <w:lastRenderedPageBreak/>
        <mc:AlternateContent>
          <mc:Choice Requires="wps">
            <w:drawing>
              <wp:anchor distT="0" distB="0" distL="114300" distR="114300" simplePos="0" relativeHeight="251661312" behindDoc="0" locked="0" layoutInCell="1" allowOverlap="1" wp14:anchorId="1143A2DF" wp14:editId="76F1CF39">
                <wp:simplePos x="0" y="0"/>
                <wp:positionH relativeFrom="column">
                  <wp:posOffset>4631872</wp:posOffset>
                </wp:positionH>
                <wp:positionV relativeFrom="paragraph">
                  <wp:posOffset>202364</wp:posOffset>
                </wp:positionV>
                <wp:extent cx="977775" cy="238125"/>
                <wp:effectExtent l="0" t="0" r="0" b="9525"/>
                <wp:wrapNone/>
                <wp:docPr id="1542632538" name="Zone de texte 2"/>
                <wp:cNvGraphicFramePr/>
                <a:graphic xmlns:a="http://schemas.openxmlformats.org/drawingml/2006/main">
                  <a:graphicData uri="http://schemas.microsoft.com/office/word/2010/wordprocessingShape">
                    <wps:wsp>
                      <wps:cNvSpPr txBox="1"/>
                      <wps:spPr>
                        <a:xfrm>
                          <a:off x="0" y="0"/>
                          <a:ext cx="977775" cy="238125"/>
                        </a:xfrm>
                        <a:prstGeom prst="rect">
                          <a:avLst/>
                        </a:prstGeom>
                        <a:solidFill>
                          <a:schemeClr val="bg1"/>
                        </a:solidFill>
                        <a:ln w="6350">
                          <a:noFill/>
                        </a:ln>
                      </wps:spPr>
                      <wps:txbx>
                        <w:txbxContent>
                          <w:p w14:paraId="62B92C03" w14:textId="4A01FEF1" w:rsidR="00435AE3" w:rsidRPr="006E64E2" w:rsidRDefault="00435AE3" w:rsidP="00435AE3">
                            <w:pPr>
                              <w:rPr>
                                <w:rFonts w:asciiTheme="minorBidi" w:hAnsiTheme="minorBidi" w:cstheme="minorBidi"/>
                                <w:b/>
                                <w:bCs/>
                                <w:sz w:val="18"/>
                                <w:szCs w:val="18"/>
                              </w:rPr>
                            </w:pPr>
                            <w:r w:rsidRPr="006E64E2">
                              <w:rPr>
                                <w:rFonts w:asciiTheme="minorBidi" w:hAnsiTheme="minorBidi" w:cstheme="minorBidi"/>
                                <w:b/>
                                <w:bCs/>
                                <w:sz w:val="18"/>
                                <w:szCs w:val="18"/>
                              </w:rPr>
                              <w:t>Event rate</w:t>
                            </w:r>
                            <w:r w:rsidR="00E213CB">
                              <w:rPr>
                                <w:rFonts w:asciiTheme="minorBidi" w:hAnsiTheme="minorBidi" w:cstheme="minorBidi"/>
                                <w:b/>
                                <w:bCs/>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43A2DF" id="_x0000_t202" coordsize="21600,21600" o:spt="202" path="m,l,21600r21600,l21600,xe">
                <v:stroke joinstyle="miter"/>
                <v:path gradientshapeok="t" o:connecttype="rect"/>
              </v:shapetype>
              <v:shape id="Zone de texte 2" o:spid="_x0000_s1026" type="#_x0000_t202" style="position:absolute;margin-left:364.7pt;margin-top:15.95pt;width:77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" fillcolor="white [3212]" stroked="f" strokeweight=".5pt">
                <v:textbox>
                  <w:txbxContent>
                    <w:p w14:paraId="62B92C03" w14:textId="4A01FEF1" w:rsidR="00435AE3" w:rsidRPr="006E64E2" w:rsidRDefault="00435AE3" w:rsidP="00435AE3">
                      <w:pPr>
                        <w:rPr>
                          <w:rFonts w:asciiTheme="minorBidi" w:hAnsiTheme="minorBidi" w:cstheme="minorBidi"/>
                          <w:b/>
                          <w:bCs/>
                          <w:sz w:val="18"/>
                          <w:szCs w:val="18"/>
                        </w:rPr>
                      </w:pPr>
                      <w:r w:rsidRPr="006E64E2">
                        <w:rPr>
                          <w:rFonts w:asciiTheme="minorBidi" w:hAnsiTheme="minorBidi" w:cstheme="minorBidi"/>
                          <w:b/>
                          <w:bCs/>
                          <w:sz w:val="18"/>
                          <w:szCs w:val="18"/>
                        </w:rPr>
                        <w:t>Event rate</w:t>
                      </w:r>
                      <w:r w:rsidR="00E213CB">
                        <w:rPr>
                          <w:rFonts w:asciiTheme="minorBidi" w:hAnsiTheme="minorBidi" w:cstheme="minorBidi"/>
                          <w:b/>
                          <w:bCs/>
                          <w:sz w:val="18"/>
                          <w:szCs w:val="18"/>
                        </w:rPr>
                        <w:t xml:space="preserve"> (%)</w:t>
                      </w:r>
                    </w:p>
                  </w:txbxContent>
                </v:textbox>
              </v:shape>
            </w:pict>
          </mc:Fallback>
        </mc:AlternateContent>
      </w:r>
      <w:r>
        <w:rPr>
          <w:rFonts w:ascii="Gill Sans MT" w:hAnsi="Gill Sans MT"/>
          <w:b/>
          <w:bCs/>
          <w:noProof/>
          <w:u w:val="single"/>
        </w:rPr>
        <mc:AlternateContent>
          <mc:Choice Requires="wps">
            <w:drawing>
              <wp:anchor distT="0" distB="0" distL="114300" distR="114300" simplePos="0" relativeHeight="251659264" behindDoc="0" locked="0" layoutInCell="1" allowOverlap="1" wp14:anchorId="5E7A7AE7" wp14:editId="293538A1">
                <wp:simplePos x="0" y="0"/>
                <wp:positionH relativeFrom="column">
                  <wp:posOffset>3346279</wp:posOffset>
                </wp:positionH>
                <wp:positionV relativeFrom="paragraph">
                  <wp:posOffset>202364</wp:posOffset>
                </wp:positionV>
                <wp:extent cx="1140737" cy="238125"/>
                <wp:effectExtent l="0" t="0" r="2540" b="9525"/>
                <wp:wrapNone/>
                <wp:docPr id="1644739522" name="Zone de texte 2"/>
                <wp:cNvGraphicFramePr/>
                <a:graphic xmlns:a="http://schemas.openxmlformats.org/drawingml/2006/main">
                  <a:graphicData uri="http://schemas.microsoft.com/office/word/2010/wordprocessingShape">
                    <wps:wsp>
                      <wps:cNvSpPr txBox="1"/>
                      <wps:spPr>
                        <a:xfrm>
                          <a:off x="0" y="0"/>
                          <a:ext cx="1140737" cy="238125"/>
                        </a:xfrm>
                        <a:prstGeom prst="rect">
                          <a:avLst/>
                        </a:prstGeom>
                        <a:solidFill>
                          <a:schemeClr val="bg1"/>
                        </a:solidFill>
                        <a:ln w="6350">
                          <a:noFill/>
                        </a:ln>
                      </wps:spPr>
                      <wps:txbx>
                        <w:txbxContent>
                          <w:p w14:paraId="55D9DB2C" w14:textId="1C24B24F" w:rsidR="00435AE3" w:rsidRPr="006E64E2" w:rsidRDefault="00435AE3">
                            <w:pPr>
                              <w:rPr>
                                <w:rFonts w:asciiTheme="minorBidi" w:hAnsiTheme="minorBidi" w:cstheme="minorBidi"/>
                                <w:b/>
                                <w:bCs/>
                                <w:sz w:val="18"/>
                                <w:szCs w:val="18"/>
                              </w:rPr>
                            </w:pPr>
                            <w:r w:rsidRPr="006E64E2">
                              <w:rPr>
                                <w:rFonts w:asciiTheme="minorBidi" w:hAnsiTheme="minorBidi" w:cstheme="minorBidi"/>
                                <w:b/>
                                <w:bCs/>
                                <w:sz w:val="18"/>
                                <w:szCs w:val="18"/>
                              </w:rPr>
                              <w:t>Severity rate</w:t>
                            </w:r>
                            <w:r w:rsidR="00E213CB">
                              <w:rPr>
                                <w:rFonts w:asciiTheme="minorBidi" w:hAnsiTheme="minorBidi" w:cstheme="minorBidi"/>
                                <w:b/>
                                <w:bCs/>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A7AE7" id="_x0000_s1027" type="#_x0000_t202" style="position:absolute;margin-left:263.5pt;margin-top:15.95pt;width:89.8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" fillcolor="white [3212]" stroked="f" strokeweight=".5pt">
                <v:textbox>
                  <w:txbxContent>
                    <w:p w14:paraId="55D9DB2C" w14:textId="1C24B24F" w:rsidR="00435AE3" w:rsidRPr="006E64E2" w:rsidRDefault="00435AE3">
                      <w:pPr>
                        <w:rPr>
                          <w:rFonts w:asciiTheme="minorBidi" w:hAnsiTheme="minorBidi" w:cstheme="minorBidi"/>
                          <w:b/>
                          <w:bCs/>
                          <w:sz w:val="18"/>
                          <w:szCs w:val="18"/>
                        </w:rPr>
                      </w:pPr>
                      <w:r w:rsidRPr="006E64E2">
                        <w:rPr>
                          <w:rFonts w:asciiTheme="minorBidi" w:hAnsiTheme="minorBidi" w:cstheme="minorBidi"/>
                          <w:b/>
                          <w:bCs/>
                          <w:sz w:val="18"/>
                          <w:szCs w:val="18"/>
                        </w:rPr>
                        <w:t>Severity rate</w:t>
                      </w:r>
                      <w:r w:rsidR="00E213CB">
                        <w:rPr>
                          <w:rFonts w:asciiTheme="minorBidi" w:hAnsiTheme="minorBidi" w:cstheme="minorBidi"/>
                          <w:b/>
                          <w:bCs/>
                          <w:sz w:val="18"/>
                          <w:szCs w:val="18"/>
                        </w:rPr>
                        <w:t xml:space="preserve"> (%)</w:t>
                      </w:r>
                    </w:p>
                  </w:txbxContent>
                </v:textbox>
              </v:shape>
            </w:pict>
          </mc:Fallback>
        </mc:AlternateContent>
      </w:r>
      <w:r w:rsidR="00C243E9" w:rsidRPr="00C243E9">
        <w:rPr>
          <w:rFonts w:ascii="Gill Sans MT" w:hAnsi="Gill Sans MT"/>
          <w:b/>
          <w:bCs/>
          <w:noProof/>
          <w:u w:val="single"/>
        </w:rPr>
        <w:t>Study year</w:t>
      </w:r>
    </w:p>
    <w:p w14:paraId="5FC1E032" w14:textId="66D11FD8" w:rsidR="00C243E9" w:rsidRDefault="006E64E2" w:rsidP="00127924">
      <w:r>
        <w:rPr>
          <w:noProof/>
        </w:rPr>
        <w:drawing>
          <wp:inline distT="0" distB="0" distL="0" distR="0" wp14:anchorId="6733B380" wp14:editId="58E19637">
            <wp:extent cx="6121400" cy="7229116"/>
            <wp:effectExtent l="0" t="0" r="0" b="0"/>
            <wp:docPr id="75696942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780"/>
                    <a:stretch>
                      <a:fillRect/>
                    </a:stretch>
                  </pic:blipFill>
                  <pic:spPr bwMode="auto">
                    <a:xfrm>
                      <a:off x="0" y="0"/>
                      <a:ext cx="6121400" cy="7229116"/>
                    </a:xfrm>
                    <a:prstGeom prst="rect">
                      <a:avLst/>
                    </a:prstGeom>
                    <a:noFill/>
                    <a:ln>
                      <a:noFill/>
                    </a:ln>
                    <a:extLst>
                      <a:ext uri="{53640926-AAD7-44D8-BBD7-CCE9431645EC}">
                        <a14:shadowObscured xmlns:a14="http://schemas.microsoft.com/office/drawing/2010/main"/>
                      </a:ext>
                    </a:extLst>
                  </pic:spPr>
                </pic:pic>
              </a:graphicData>
            </a:graphic>
          </wp:inline>
        </w:drawing>
      </w:r>
    </w:p>
    <w:p w14:paraId="07E6C4A3" w14:textId="3CF80247" w:rsidR="000338E3" w:rsidRPr="001E0B29" w:rsidRDefault="00F755B4" w:rsidP="00F755B4">
      <w:pPr>
        <w:pStyle w:val="Lgende"/>
        <w:rPr>
          <w:i/>
          <w:iCs/>
        </w:rPr>
      </w:pPr>
      <w:r w:rsidRPr="00F755B4">
        <w:rPr>
          <w:b/>
          <w:bCs/>
        </w:rPr>
        <w:t xml:space="preserve">Supplementary Fig. </w:t>
      </w:r>
      <w:r w:rsidRPr="00F755B4">
        <w:rPr>
          <w:b/>
          <w:bCs/>
        </w:rPr>
        <w:fldChar w:fldCharType="begin"/>
      </w:r>
      <w:r w:rsidRPr="00F755B4">
        <w:rPr>
          <w:b/>
          <w:bCs/>
        </w:rPr>
        <w:instrText xml:space="preserve"> SEQ Supplementary_Fig. \* ARABIC </w:instrText>
      </w:r>
      <w:r w:rsidRPr="00F755B4">
        <w:rPr>
          <w:b/>
          <w:bCs/>
        </w:rPr>
        <w:fldChar w:fldCharType="separate"/>
      </w:r>
      <w:r w:rsidR="00A36449">
        <w:rPr>
          <w:b/>
          <w:bCs/>
          <w:noProof/>
        </w:rPr>
        <w:t>1</w:t>
      </w:r>
      <w:r w:rsidRPr="00F755B4">
        <w:rPr>
          <w:b/>
          <w:bCs/>
        </w:rPr>
        <w:fldChar w:fldCharType="end"/>
      </w:r>
      <w:r>
        <w:t xml:space="preserve"> </w:t>
      </w:r>
      <w:r w:rsidR="00C062D9" w:rsidRPr="001E0B29">
        <w:t>Mpox disease severity rate in Africa by study period</w:t>
      </w:r>
      <w:r w:rsidR="00B62FAC">
        <w:t>s</w:t>
      </w:r>
    </w:p>
    <w:p w14:paraId="47427340" w14:textId="77777777" w:rsidR="00B30E1A" w:rsidRDefault="00B30E1A"/>
    <w:p w14:paraId="575E3509" w14:textId="77777777" w:rsidR="00087F24" w:rsidRDefault="00087F24"/>
    <w:p w14:paraId="6A886E78" w14:textId="77777777" w:rsidR="002A2E7F" w:rsidRDefault="002A2E7F"/>
    <w:p w14:paraId="17EDC690" w14:textId="2FAAF64B" w:rsidR="00B30E1A" w:rsidRPr="00AA2D8E" w:rsidRDefault="00E213CB">
      <w:pPr>
        <w:rPr>
          <w:rFonts w:ascii="Gill Sans MT" w:hAnsi="Gill Sans MT"/>
          <w:b/>
          <w:bCs/>
          <w:u w:val="single"/>
        </w:rPr>
      </w:pPr>
      <w:r>
        <w:rPr>
          <w:rFonts w:ascii="Gill Sans MT" w:hAnsi="Gill Sans MT"/>
          <w:b/>
          <w:bCs/>
          <w:noProof/>
          <w:u w:val="single"/>
        </w:rPr>
        <w:lastRenderedPageBreak/>
        <mc:AlternateContent>
          <mc:Choice Requires="wps">
            <w:drawing>
              <wp:anchor distT="0" distB="0" distL="114300" distR="114300" simplePos="0" relativeHeight="251665408" behindDoc="0" locked="0" layoutInCell="1" allowOverlap="1" wp14:anchorId="425D1D62" wp14:editId="1CF7C9FA">
                <wp:simplePos x="0" y="0"/>
                <wp:positionH relativeFrom="column">
                  <wp:posOffset>3291639</wp:posOffset>
                </wp:positionH>
                <wp:positionV relativeFrom="paragraph">
                  <wp:posOffset>219874</wp:posOffset>
                </wp:positionV>
                <wp:extent cx="941560" cy="273849"/>
                <wp:effectExtent l="0" t="0" r="0" b="0"/>
                <wp:wrapNone/>
                <wp:docPr id="1549920433" name="Zone de texte 2"/>
                <wp:cNvGraphicFramePr/>
                <a:graphic xmlns:a="http://schemas.openxmlformats.org/drawingml/2006/main">
                  <a:graphicData uri="http://schemas.microsoft.com/office/word/2010/wordprocessingShape">
                    <wps:wsp>
                      <wps:cNvSpPr txBox="1"/>
                      <wps:spPr>
                        <a:xfrm>
                          <a:off x="0" y="0"/>
                          <a:ext cx="941560" cy="273849"/>
                        </a:xfrm>
                        <a:prstGeom prst="rect">
                          <a:avLst/>
                        </a:prstGeom>
                        <a:solidFill>
                          <a:schemeClr val="bg1"/>
                        </a:solidFill>
                        <a:ln w="6350">
                          <a:noFill/>
                        </a:ln>
                      </wps:spPr>
                      <wps:txbx>
                        <w:txbxContent>
                          <w:p w14:paraId="704AA8EF" w14:textId="30B570F9" w:rsidR="002A2E7F" w:rsidRPr="00E213CB" w:rsidRDefault="002A2E7F" w:rsidP="002A2E7F">
                            <w:pPr>
                              <w:rPr>
                                <w:rFonts w:asciiTheme="minorBidi" w:hAnsiTheme="minorBidi" w:cstheme="minorBidi"/>
                                <w:b/>
                                <w:bCs/>
                                <w:sz w:val="16"/>
                                <w:szCs w:val="16"/>
                              </w:rPr>
                            </w:pPr>
                            <w:r w:rsidRPr="00E213CB">
                              <w:rPr>
                                <w:rFonts w:asciiTheme="minorBidi" w:hAnsiTheme="minorBidi" w:cstheme="minorBidi"/>
                                <w:b/>
                                <w:bCs/>
                                <w:sz w:val="16"/>
                                <w:szCs w:val="16"/>
                              </w:rPr>
                              <w:t>Event rate</w:t>
                            </w:r>
                            <w:r w:rsidR="00E213CB" w:rsidRPr="00E213CB">
                              <w:rPr>
                                <w:rFonts w:asciiTheme="minorBidi" w:hAnsiTheme="minorBidi" w:cstheme="minorBidi"/>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D1D62" id="_x0000_s1028" type="#_x0000_t202" style="position:absolute;margin-left:259.2pt;margin-top:17.3pt;width:74.15pt;height:2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" fillcolor="white [3212]" stroked="f" strokeweight=".5pt">
                <v:textbox>
                  <w:txbxContent>
                    <w:p w14:paraId="704AA8EF" w14:textId="30B570F9" w:rsidR="002A2E7F" w:rsidRPr="00E213CB" w:rsidRDefault="002A2E7F" w:rsidP="002A2E7F">
                      <w:pPr>
                        <w:rPr>
                          <w:rFonts w:asciiTheme="minorBidi" w:hAnsiTheme="minorBidi" w:cstheme="minorBidi"/>
                          <w:b/>
                          <w:bCs/>
                          <w:sz w:val="16"/>
                          <w:szCs w:val="16"/>
                        </w:rPr>
                      </w:pPr>
                      <w:r w:rsidRPr="00E213CB">
                        <w:rPr>
                          <w:rFonts w:asciiTheme="minorBidi" w:hAnsiTheme="minorBidi" w:cstheme="minorBidi"/>
                          <w:b/>
                          <w:bCs/>
                          <w:sz w:val="16"/>
                          <w:szCs w:val="16"/>
                        </w:rPr>
                        <w:t>Event rate</w:t>
                      </w:r>
                      <w:r w:rsidR="00E213CB" w:rsidRPr="00E213CB">
                        <w:rPr>
                          <w:rFonts w:asciiTheme="minorBidi" w:hAnsiTheme="minorBidi" w:cstheme="minorBidi"/>
                          <w:b/>
                          <w:bCs/>
                          <w:sz w:val="16"/>
                          <w:szCs w:val="16"/>
                        </w:rPr>
                        <w:t xml:space="preserve"> (%)</w:t>
                      </w:r>
                    </w:p>
                  </w:txbxContent>
                </v:textbox>
              </v:shape>
            </w:pict>
          </mc:Fallback>
        </mc:AlternateContent>
      </w:r>
      <w:r>
        <w:rPr>
          <w:rFonts w:ascii="Gill Sans MT" w:hAnsi="Gill Sans MT"/>
          <w:b/>
          <w:bCs/>
          <w:noProof/>
          <w:u w:val="single"/>
        </w:rPr>
        <mc:AlternateContent>
          <mc:Choice Requires="wps">
            <w:drawing>
              <wp:anchor distT="0" distB="0" distL="114300" distR="114300" simplePos="0" relativeHeight="251663360" behindDoc="0" locked="0" layoutInCell="1" allowOverlap="1" wp14:anchorId="5CE10761" wp14:editId="786CA638">
                <wp:simplePos x="0" y="0"/>
                <wp:positionH relativeFrom="column">
                  <wp:posOffset>2386613</wp:posOffset>
                </wp:positionH>
                <wp:positionV relativeFrom="paragraph">
                  <wp:posOffset>220471</wp:posOffset>
                </wp:positionV>
                <wp:extent cx="1041148" cy="265285"/>
                <wp:effectExtent l="0" t="0" r="6985" b="1905"/>
                <wp:wrapNone/>
                <wp:docPr id="481410398" name="Zone de texte 2"/>
                <wp:cNvGraphicFramePr/>
                <a:graphic xmlns:a="http://schemas.openxmlformats.org/drawingml/2006/main">
                  <a:graphicData uri="http://schemas.microsoft.com/office/word/2010/wordprocessingShape">
                    <wps:wsp>
                      <wps:cNvSpPr txBox="1"/>
                      <wps:spPr>
                        <a:xfrm>
                          <a:off x="0" y="0"/>
                          <a:ext cx="1041148" cy="265285"/>
                        </a:xfrm>
                        <a:prstGeom prst="rect">
                          <a:avLst/>
                        </a:prstGeom>
                        <a:solidFill>
                          <a:schemeClr val="bg1"/>
                        </a:solidFill>
                        <a:ln w="6350">
                          <a:noFill/>
                        </a:ln>
                      </wps:spPr>
                      <wps:txbx>
                        <w:txbxContent>
                          <w:p w14:paraId="73DE1A5B" w14:textId="15E444D8" w:rsidR="002A2E7F" w:rsidRPr="00E213CB" w:rsidRDefault="002A2E7F" w:rsidP="002A2E7F">
                            <w:pPr>
                              <w:rPr>
                                <w:rFonts w:asciiTheme="minorBidi" w:hAnsiTheme="minorBidi" w:cstheme="minorBidi"/>
                                <w:b/>
                                <w:bCs/>
                                <w:sz w:val="16"/>
                                <w:szCs w:val="16"/>
                              </w:rPr>
                            </w:pPr>
                            <w:r w:rsidRPr="00E213CB">
                              <w:rPr>
                                <w:rFonts w:asciiTheme="minorBidi" w:hAnsiTheme="minorBidi" w:cstheme="minorBidi"/>
                                <w:b/>
                                <w:bCs/>
                                <w:sz w:val="16"/>
                                <w:szCs w:val="16"/>
                              </w:rPr>
                              <w:t>Severity rate</w:t>
                            </w:r>
                            <w:r w:rsidR="00E213CB" w:rsidRPr="00E213CB">
                              <w:rPr>
                                <w:rFonts w:asciiTheme="minorBidi" w:hAnsiTheme="minorBidi" w:cstheme="minorBidi"/>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10761" id="_x0000_s1029" type="#_x0000_t202" style="position:absolute;margin-left:187.9pt;margin-top:17.35pt;width:82pt;height:2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" fillcolor="white [3212]" stroked="f" strokeweight=".5pt">
                <v:textbox>
                  <w:txbxContent>
                    <w:p w14:paraId="73DE1A5B" w14:textId="15E444D8" w:rsidR="002A2E7F" w:rsidRPr="00E213CB" w:rsidRDefault="002A2E7F" w:rsidP="002A2E7F">
                      <w:pPr>
                        <w:rPr>
                          <w:rFonts w:asciiTheme="minorBidi" w:hAnsiTheme="minorBidi" w:cstheme="minorBidi"/>
                          <w:b/>
                          <w:bCs/>
                          <w:sz w:val="16"/>
                          <w:szCs w:val="16"/>
                        </w:rPr>
                      </w:pPr>
                      <w:r w:rsidRPr="00E213CB">
                        <w:rPr>
                          <w:rFonts w:asciiTheme="minorBidi" w:hAnsiTheme="minorBidi" w:cstheme="minorBidi"/>
                          <w:b/>
                          <w:bCs/>
                          <w:sz w:val="16"/>
                          <w:szCs w:val="16"/>
                        </w:rPr>
                        <w:t>Severity rate</w:t>
                      </w:r>
                      <w:r w:rsidR="00E213CB" w:rsidRPr="00E213CB">
                        <w:rPr>
                          <w:rFonts w:asciiTheme="minorBidi" w:hAnsiTheme="minorBidi" w:cstheme="minorBidi"/>
                          <w:b/>
                          <w:bCs/>
                          <w:sz w:val="16"/>
                          <w:szCs w:val="16"/>
                        </w:rPr>
                        <w:t xml:space="preserve"> (%)</w:t>
                      </w:r>
                    </w:p>
                  </w:txbxContent>
                </v:textbox>
              </v:shape>
            </w:pict>
          </mc:Fallback>
        </mc:AlternateContent>
      </w:r>
      <w:r w:rsidR="00AA2D8E" w:rsidRPr="00AA2D8E">
        <w:rPr>
          <w:rFonts w:ascii="Gill Sans MT" w:hAnsi="Gill Sans MT"/>
          <w:b/>
          <w:bCs/>
          <w:u w:val="single"/>
        </w:rPr>
        <w:t>Country</w:t>
      </w:r>
    </w:p>
    <w:p w14:paraId="2971CE78" w14:textId="2F1920F8" w:rsidR="00551F28" w:rsidRDefault="00AA2D8E" w:rsidP="003F0BDF">
      <w:pPr>
        <w:pStyle w:val="Bibliographie"/>
      </w:pPr>
      <w:r>
        <w:rPr>
          <w:noProof/>
        </w:rPr>
        <w:drawing>
          <wp:inline distT="0" distB="0" distL="0" distR="0" wp14:anchorId="1C46C148" wp14:editId="6944B9E0">
            <wp:extent cx="4581286" cy="7776376"/>
            <wp:effectExtent l="0" t="0" r="0" b="0"/>
            <wp:docPr id="22226328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755" b="2081"/>
                    <a:stretch>
                      <a:fillRect/>
                    </a:stretch>
                  </pic:blipFill>
                  <pic:spPr bwMode="auto">
                    <a:xfrm>
                      <a:off x="0" y="0"/>
                      <a:ext cx="4581525" cy="7776781"/>
                    </a:xfrm>
                    <a:prstGeom prst="rect">
                      <a:avLst/>
                    </a:prstGeom>
                    <a:noFill/>
                    <a:ln>
                      <a:noFill/>
                    </a:ln>
                    <a:extLst>
                      <a:ext uri="{53640926-AAD7-44D8-BBD7-CCE9431645EC}">
                        <a14:shadowObscured xmlns:a14="http://schemas.microsoft.com/office/drawing/2010/main"/>
                      </a:ext>
                    </a:extLst>
                  </pic:spPr>
                </pic:pic>
              </a:graphicData>
            </a:graphic>
          </wp:inline>
        </w:drawing>
      </w:r>
    </w:p>
    <w:p w14:paraId="466BC085" w14:textId="5F907470" w:rsidR="00551F28" w:rsidRDefault="00F755B4" w:rsidP="00087F24">
      <w:pPr>
        <w:pStyle w:val="Lgende"/>
      </w:pPr>
      <w:r w:rsidRPr="00F755B4">
        <w:rPr>
          <w:b/>
          <w:bCs/>
        </w:rPr>
        <w:t xml:space="preserve">Supplementary Fig. </w:t>
      </w:r>
      <w:r w:rsidRPr="00F755B4">
        <w:rPr>
          <w:b/>
          <w:bCs/>
        </w:rPr>
        <w:fldChar w:fldCharType="begin"/>
      </w:r>
      <w:r w:rsidRPr="00F755B4">
        <w:rPr>
          <w:b/>
          <w:bCs/>
        </w:rPr>
        <w:instrText xml:space="preserve"> SEQ Supplementary_Fig. \* ARABIC </w:instrText>
      </w:r>
      <w:r w:rsidRPr="00F755B4">
        <w:rPr>
          <w:b/>
          <w:bCs/>
        </w:rPr>
        <w:fldChar w:fldCharType="separate"/>
      </w:r>
      <w:r w:rsidR="00A36449">
        <w:rPr>
          <w:b/>
          <w:bCs/>
          <w:noProof/>
        </w:rPr>
        <w:t>2</w:t>
      </w:r>
      <w:r w:rsidRPr="00F755B4">
        <w:rPr>
          <w:b/>
          <w:bCs/>
        </w:rPr>
        <w:fldChar w:fldCharType="end"/>
      </w:r>
      <w:r>
        <w:rPr>
          <w:b/>
          <w:bCs/>
        </w:rPr>
        <w:t xml:space="preserve"> </w:t>
      </w:r>
      <w:r w:rsidR="008F35E1" w:rsidRPr="001E0B29">
        <w:t xml:space="preserve">Mpox disease severity rate in Africa by </w:t>
      </w:r>
      <w:r w:rsidR="008F35E1">
        <w:t>countr</w:t>
      </w:r>
      <w:r w:rsidR="00B62FAC">
        <w:t>ies</w:t>
      </w:r>
    </w:p>
    <w:p w14:paraId="21FA8852" w14:textId="77777777" w:rsidR="001E42F7" w:rsidRDefault="001E42F7" w:rsidP="001E42F7"/>
    <w:p w14:paraId="44E412BA" w14:textId="63B5B610" w:rsidR="001E42F7" w:rsidRPr="001E42F7" w:rsidRDefault="00586CA6" w:rsidP="001E42F7">
      <w:pPr>
        <w:rPr>
          <w:rFonts w:ascii="Gill Sans MT" w:hAnsi="Gill Sans MT"/>
          <w:b/>
          <w:bCs/>
          <w:u w:val="single"/>
        </w:rPr>
      </w:pPr>
      <w:r>
        <w:rPr>
          <w:rFonts w:ascii="Gill Sans MT" w:hAnsi="Gill Sans MT"/>
          <w:b/>
          <w:bCs/>
          <w:noProof/>
          <w:u w:val="single"/>
        </w:rPr>
        <w:lastRenderedPageBreak/>
        <mc:AlternateContent>
          <mc:Choice Requires="wps">
            <w:drawing>
              <wp:anchor distT="0" distB="0" distL="114300" distR="114300" simplePos="0" relativeHeight="251683840" behindDoc="0" locked="0" layoutInCell="1" allowOverlap="1" wp14:anchorId="0C792B20" wp14:editId="66D1AFB3">
                <wp:simplePos x="0" y="0"/>
                <wp:positionH relativeFrom="column">
                  <wp:posOffset>4541520</wp:posOffset>
                </wp:positionH>
                <wp:positionV relativeFrom="paragraph">
                  <wp:posOffset>275446</wp:posOffset>
                </wp:positionV>
                <wp:extent cx="1004935" cy="265285"/>
                <wp:effectExtent l="0" t="0" r="5080" b="1905"/>
                <wp:wrapNone/>
                <wp:docPr id="326035406" name="Zone de texte 2"/>
                <wp:cNvGraphicFramePr/>
                <a:graphic xmlns:a="http://schemas.openxmlformats.org/drawingml/2006/main">
                  <a:graphicData uri="http://schemas.microsoft.com/office/word/2010/wordprocessingShape">
                    <wps:wsp>
                      <wps:cNvSpPr txBox="1"/>
                      <wps:spPr>
                        <a:xfrm>
                          <a:off x="0" y="0"/>
                          <a:ext cx="1004935" cy="265285"/>
                        </a:xfrm>
                        <a:prstGeom prst="rect">
                          <a:avLst/>
                        </a:prstGeom>
                        <a:solidFill>
                          <a:schemeClr val="bg1"/>
                        </a:solidFill>
                        <a:ln w="6350">
                          <a:noFill/>
                        </a:ln>
                      </wps:spPr>
                      <wps:txbx>
                        <w:txbxContent>
                          <w:p w14:paraId="38A96153"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Event rate</w:t>
                            </w:r>
                            <w:r>
                              <w:rPr>
                                <w:rFonts w:asciiTheme="minorBidi" w:hAnsiTheme="minorBidi" w:cstheme="minorBidi"/>
                                <w:b/>
                                <w:bCs/>
                                <w:sz w:val="18"/>
                                <w:szCs w:val="18"/>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92B20" id="_x0000_s1030" type="#_x0000_t202" style="position:absolute;margin-left:357.6pt;margin-top:21.7pt;width:79.15pt;height:20.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" fillcolor="white [3212]" stroked="f" strokeweight=".5pt">
                <v:textbox>
                  <w:txbxContent>
                    <w:p w14:paraId="38A96153"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Event rate</w:t>
                      </w:r>
                      <w:r>
                        <w:rPr>
                          <w:rFonts w:asciiTheme="minorBidi" w:hAnsiTheme="minorBidi" w:cstheme="minorBidi"/>
                          <w:b/>
                          <w:bCs/>
                          <w:sz w:val="18"/>
                          <w:szCs w:val="18"/>
                        </w:rPr>
                        <w:t xml:space="preserve"> (%) </w:t>
                      </w:r>
                    </w:p>
                  </w:txbxContent>
                </v:textbox>
              </v:shape>
            </w:pict>
          </mc:Fallback>
        </mc:AlternateContent>
      </w:r>
      <w:r w:rsidR="00E213CB">
        <w:rPr>
          <w:rFonts w:ascii="Gill Sans MT" w:hAnsi="Gill Sans MT"/>
          <w:b/>
          <w:bCs/>
          <w:noProof/>
          <w:u w:val="single"/>
        </w:rPr>
        <mc:AlternateContent>
          <mc:Choice Requires="wps">
            <w:drawing>
              <wp:anchor distT="0" distB="0" distL="114300" distR="114300" simplePos="0" relativeHeight="251681792" behindDoc="0" locked="0" layoutInCell="1" allowOverlap="1" wp14:anchorId="6A24AFD8" wp14:editId="638709D1">
                <wp:simplePos x="0" y="0"/>
                <wp:positionH relativeFrom="column">
                  <wp:posOffset>3265126</wp:posOffset>
                </wp:positionH>
                <wp:positionV relativeFrom="paragraph">
                  <wp:posOffset>274955</wp:posOffset>
                </wp:positionV>
                <wp:extent cx="1086416" cy="238125"/>
                <wp:effectExtent l="0" t="0" r="0" b="9525"/>
                <wp:wrapNone/>
                <wp:docPr id="1211882675" name="Zone de texte 2"/>
                <wp:cNvGraphicFramePr/>
                <a:graphic xmlns:a="http://schemas.openxmlformats.org/drawingml/2006/main">
                  <a:graphicData uri="http://schemas.microsoft.com/office/word/2010/wordprocessingShape">
                    <wps:wsp>
                      <wps:cNvSpPr txBox="1"/>
                      <wps:spPr>
                        <a:xfrm>
                          <a:off x="0" y="0"/>
                          <a:ext cx="1086416" cy="238125"/>
                        </a:xfrm>
                        <a:prstGeom prst="rect">
                          <a:avLst/>
                        </a:prstGeom>
                        <a:solidFill>
                          <a:schemeClr val="bg1"/>
                        </a:solidFill>
                        <a:ln w="6350">
                          <a:noFill/>
                        </a:ln>
                      </wps:spPr>
                      <wps:txbx>
                        <w:txbxContent>
                          <w:p w14:paraId="1C581053" w14:textId="77777777" w:rsidR="00E213CB" w:rsidRPr="006E64E2" w:rsidRDefault="00E213CB" w:rsidP="00E213CB">
                            <w:pPr>
                              <w:rPr>
                                <w:rFonts w:asciiTheme="minorBidi" w:hAnsiTheme="minorBidi" w:cstheme="minorBidi"/>
                                <w:b/>
                                <w:bCs/>
                                <w:sz w:val="18"/>
                                <w:szCs w:val="18"/>
                              </w:rPr>
                            </w:pPr>
                            <w:r w:rsidRPr="006E64E2">
                              <w:rPr>
                                <w:rFonts w:asciiTheme="minorBidi" w:hAnsiTheme="minorBidi" w:cstheme="minorBidi"/>
                                <w:b/>
                                <w:bCs/>
                                <w:sz w:val="18"/>
                                <w:szCs w:val="18"/>
                              </w:rPr>
                              <w:t>Severity rate</w:t>
                            </w:r>
                            <w:r>
                              <w:rPr>
                                <w:rFonts w:asciiTheme="minorBidi" w:hAnsiTheme="minorBidi" w:cstheme="minorBidi"/>
                                <w:b/>
                                <w:bCs/>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4AFD8" id="_x0000_s1031" type="#_x0000_t202" style="position:absolute;margin-left:257.1pt;margin-top:21.65pt;width:85.55pt;height:18.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" fillcolor="white [3212]" stroked="f" strokeweight=".5pt">
                <v:textbox>
                  <w:txbxContent>
                    <w:p w14:paraId="1C581053" w14:textId="77777777" w:rsidR="00E213CB" w:rsidRPr="006E64E2" w:rsidRDefault="00E213CB" w:rsidP="00E213CB">
                      <w:pPr>
                        <w:rPr>
                          <w:rFonts w:asciiTheme="minorBidi" w:hAnsiTheme="minorBidi" w:cstheme="minorBidi"/>
                          <w:b/>
                          <w:bCs/>
                          <w:sz w:val="18"/>
                          <w:szCs w:val="18"/>
                        </w:rPr>
                      </w:pPr>
                      <w:r w:rsidRPr="006E64E2">
                        <w:rPr>
                          <w:rFonts w:asciiTheme="minorBidi" w:hAnsiTheme="minorBidi" w:cstheme="minorBidi"/>
                          <w:b/>
                          <w:bCs/>
                          <w:sz w:val="18"/>
                          <w:szCs w:val="18"/>
                        </w:rPr>
                        <w:t>Severity rate</w:t>
                      </w:r>
                      <w:r>
                        <w:rPr>
                          <w:rFonts w:asciiTheme="minorBidi" w:hAnsiTheme="minorBidi" w:cstheme="minorBidi"/>
                          <w:b/>
                          <w:bCs/>
                          <w:sz w:val="18"/>
                          <w:szCs w:val="18"/>
                        </w:rPr>
                        <w:t xml:space="preserve"> (%)</w:t>
                      </w:r>
                    </w:p>
                  </w:txbxContent>
                </v:textbox>
              </v:shape>
            </w:pict>
          </mc:Fallback>
        </mc:AlternateContent>
      </w:r>
      <w:r w:rsidR="00E44C0F">
        <w:rPr>
          <w:rFonts w:ascii="Gill Sans MT" w:hAnsi="Gill Sans MT"/>
          <w:b/>
          <w:bCs/>
          <w:u w:val="single"/>
        </w:rPr>
        <w:t>WHO Afro r</w:t>
      </w:r>
      <w:r w:rsidR="001E42F7" w:rsidRPr="001E42F7">
        <w:rPr>
          <w:rFonts w:ascii="Gill Sans MT" w:hAnsi="Gill Sans MT"/>
          <w:b/>
          <w:bCs/>
          <w:u w:val="single"/>
        </w:rPr>
        <w:t>egion</w:t>
      </w:r>
    </w:p>
    <w:p w14:paraId="3D168FBC" w14:textId="574C8FD7" w:rsidR="001E42F7" w:rsidRPr="001E42F7" w:rsidRDefault="001E42F7" w:rsidP="001E42F7">
      <w:r>
        <w:rPr>
          <w:noProof/>
        </w:rPr>
        <w:drawing>
          <wp:inline distT="0" distB="0" distL="0" distR="0" wp14:anchorId="0D3E12FB" wp14:editId="71ADA140">
            <wp:extent cx="6121345" cy="8038214"/>
            <wp:effectExtent l="0" t="0" r="0" b="1270"/>
            <wp:docPr id="26414775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532"/>
                    <a:stretch>
                      <a:fillRect/>
                    </a:stretch>
                  </pic:blipFill>
                  <pic:spPr bwMode="auto">
                    <a:xfrm>
                      <a:off x="0" y="0"/>
                      <a:ext cx="6124300" cy="8042095"/>
                    </a:xfrm>
                    <a:prstGeom prst="rect">
                      <a:avLst/>
                    </a:prstGeom>
                    <a:noFill/>
                    <a:ln>
                      <a:noFill/>
                    </a:ln>
                    <a:extLst>
                      <a:ext uri="{53640926-AAD7-44D8-BBD7-CCE9431645EC}">
                        <a14:shadowObscured xmlns:a14="http://schemas.microsoft.com/office/drawing/2010/main"/>
                      </a:ext>
                    </a:extLst>
                  </pic:spPr>
                </pic:pic>
              </a:graphicData>
            </a:graphic>
          </wp:inline>
        </w:drawing>
      </w:r>
    </w:p>
    <w:p w14:paraId="035CD81B" w14:textId="04C43D8D" w:rsidR="002A2E7F" w:rsidRDefault="00F755B4" w:rsidP="001E42F7">
      <w:pPr>
        <w:pStyle w:val="Lgende"/>
      </w:pPr>
      <w:r w:rsidRPr="00F755B4">
        <w:rPr>
          <w:b/>
          <w:bCs/>
        </w:rPr>
        <w:t xml:space="preserve">Supplementary Fig. </w:t>
      </w:r>
      <w:r w:rsidRPr="00F755B4">
        <w:rPr>
          <w:b/>
          <w:bCs/>
        </w:rPr>
        <w:fldChar w:fldCharType="begin"/>
      </w:r>
      <w:r w:rsidRPr="00F755B4">
        <w:rPr>
          <w:b/>
          <w:bCs/>
        </w:rPr>
        <w:instrText xml:space="preserve"> SEQ Supplementary_Fig. \* ARABIC </w:instrText>
      </w:r>
      <w:r w:rsidRPr="00F755B4">
        <w:rPr>
          <w:b/>
          <w:bCs/>
        </w:rPr>
        <w:fldChar w:fldCharType="separate"/>
      </w:r>
      <w:r w:rsidR="00A36449">
        <w:rPr>
          <w:b/>
          <w:bCs/>
          <w:noProof/>
        </w:rPr>
        <w:t>3</w:t>
      </w:r>
      <w:r w:rsidRPr="00F755B4">
        <w:rPr>
          <w:b/>
          <w:bCs/>
        </w:rPr>
        <w:fldChar w:fldCharType="end"/>
      </w:r>
      <w:r w:rsidR="001E42F7">
        <w:t xml:space="preserve"> </w:t>
      </w:r>
      <w:r w:rsidR="001E42F7" w:rsidRPr="001E0B29">
        <w:t xml:space="preserve">Mpox disease severity rate in Africa by </w:t>
      </w:r>
      <w:r w:rsidR="001E42F7">
        <w:t>WHO Afro region</w:t>
      </w:r>
      <w:r w:rsidR="00B62FAC">
        <w:t>s</w:t>
      </w:r>
    </w:p>
    <w:p w14:paraId="69E00564" w14:textId="2CEC11DE" w:rsidR="00551F28" w:rsidRPr="007B04C0" w:rsidRDefault="00E213CB" w:rsidP="00C84BAB">
      <w:pPr>
        <w:pStyle w:val="Bibliographie"/>
        <w:rPr>
          <w:rFonts w:ascii="Gill Sans MT" w:hAnsi="Gill Sans MT"/>
          <w:b/>
          <w:bCs/>
          <w:u w:val="single"/>
        </w:rPr>
      </w:pPr>
      <w:r>
        <w:rPr>
          <w:rFonts w:ascii="Gill Sans MT" w:hAnsi="Gill Sans MT"/>
          <w:b/>
          <w:bCs/>
          <w:noProof/>
          <w:u w:val="single"/>
        </w:rPr>
        <w:lastRenderedPageBreak/>
        <mc:AlternateContent>
          <mc:Choice Requires="wps">
            <w:drawing>
              <wp:anchor distT="0" distB="0" distL="114300" distR="114300" simplePos="0" relativeHeight="251669504" behindDoc="0" locked="0" layoutInCell="1" allowOverlap="1" wp14:anchorId="2124A116" wp14:editId="4A25AFFB">
                <wp:simplePos x="0" y="0"/>
                <wp:positionH relativeFrom="column">
                  <wp:posOffset>4568190</wp:posOffset>
                </wp:positionH>
                <wp:positionV relativeFrom="paragraph">
                  <wp:posOffset>265285</wp:posOffset>
                </wp:positionV>
                <wp:extent cx="1004935" cy="265285"/>
                <wp:effectExtent l="0" t="0" r="5080" b="1905"/>
                <wp:wrapNone/>
                <wp:docPr id="686681920" name="Zone de texte 2"/>
                <wp:cNvGraphicFramePr/>
                <a:graphic xmlns:a="http://schemas.openxmlformats.org/drawingml/2006/main">
                  <a:graphicData uri="http://schemas.microsoft.com/office/word/2010/wordprocessingShape">
                    <wps:wsp>
                      <wps:cNvSpPr txBox="1"/>
                      <wps:spPr>
                        <a:xfrm>
                          <a:off x="0" y="0"/>
                          <a:ext cx="1004935" cy="265285"/>
                        </a:xfrm>
                        <a:prstGeom prst="rect">
                          <a:avLst/>
                        </a:prstGeom>
                        <a:solidFill>
                          <a:schemeClr val="bg1"/>
                        </a:solidFill>
                        <a:ln w="6350">
                          <a:noFill/>
                        </a:ln>
                      </wps:spPr>
                      <wps:txbx>
                        <w:txbxContent>
                          <w:p w14:paraId="1C240B8C" w14:textId="21D406D9" w:rsidR="002A2E7F" w:rsidRPr="006E64E2" w:rsidRDefault="002A2E7F" w:rsidP="002A2E7F">
                            <w:pPr>
                              <w:rPr>
                                <w:rFonts w:asciiTheme="minorBidi" w:hAnsiTheme="minorBidi" w:cstheme="minorBidi"/>
                                <w:b/>
                                <w:bCs/>
                                <w:sz w:val="18"/>
                                <w:szCs w:val="18"/>
                              </w:rPr>
                            </w:pPr>
                            <w:r w:rsidRPr="006E64E2">
                              <w:rPr>
                                <w:rFonts w:asciiTheme="minorBidi" w:hAnsiTheme="minorBidi" w:cstheme="minorBidi"/>
                                <w:b/>
                                <w:bCs/>
                                <w:sz w:val="18"/>
                                <w:szCs w:val="18"/>
                              </w:rPr>
                              <w:t>Event rate</w:t>
                            </w:r>
                            <w:r w:rsidR="00586CA6">
                              <w:rPr>
                                <w:rFonts w:asciiTheme="minorBidi" w:hAnsiTheme="minorBidi" w:cstheme="minorBidi"/>
                                <w:b/>
                                <w:bCs/>
                                <w:sz w:val="18"/>
                                <w:szCs w:val="18"/>
                              </w:rPr>
                              <w:t xml:space="preserve"> (%)</w:t>
                            </w:r>
                            <w:r w:rsidR="00E213CB">
                              <w:rPr>
                                <w:rFonts w:asciiTheme="minorBidi" w:hAnsiTheme="minorBidi" w:cstheme="minorBidi"/>
                                <w:b/>
                                <w:bCs/>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4A116" id="_x0000_s1032" type="#_x0000_t202" style="position:absolute;left:0;text-align:left;margin-left:359.7pt;margin-top:20.9pt;width:79.15pt;height:2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" fillcolor="white [3212]" stroked="f" strokeweight=".5pt">
                <v:textbox>
                  <w:txbxContent>
                    <w:p w14:paraId="1C240B8C" w14:textId="21D406D9" w:rsidR="002A2E7F" w:rsidRPr="006E64E2" w:rsidRDefault="002A2E7F" w:rsidP="002A2E7F">
                      <w:pPr>
                        <w:rPr>
                          <w:rFonts w:asciiTheme="minorBidi" w:hAnsiTheme="minorBidi" w:cstheme="minorBidi"/>
                          <w:b/>
                          <w:bCs/>
                          <w:sz w:val="18"/>
                          <w:szCs w:val="18"/>
                        </w:rPr>
                      </w:pPr>
                      <w:r w:rsidRPr="006E64E2">
                        <w:rPr>
                          <w:rFonts w:asciiTheme="minorBidi" w:hAnsiTheme="minorBidi" w:cstheme="minorBidi"/>
                          <w:b/>
                          <w:bCs/>
                          <w:sz w:val="18"/>
                          <w:szCs w:val="18"/>
                        </w:rPr>
                        <w:t>Event rate</w:t>
                      </w:r>
                      <w:r w:rsidR="00586CA6">
                        <w:rPr>
                          <w:rFonts w:asciiTheme="minorBidi" w:hAnsiTheme="minorBidi" w:cstheme="minorBidi"/>
                          <w:b/>
                          <w:bCs/>
                          <w:sz w:val="18"/>
                          <w:szCs w:val="18"/>
                        </w:rPr>
                        <w:t xml:space="preserve"> (%)</w:t>
                      </w:r>
                      <w:r w:rsidR="00E213CB">
                        <w:rPr>
                          <w:rFonts w:asciiTheme="minorBidi" w:hAnsiTheme="minorBidi" w:cstheme="minorBidi"/>
                          <w:b/>
                          <w:bCs/>
                          <w:sz w:val="18"/>
                          <w:szCs w:val="18"/>
                        </w:rPr>
                        <w:t xml:space="preserve"> </w:t>
                      </w:r>
                    </w:p>
                  </w:txbxContent>
                </v:textbox>
              </v:shape>
            </w:pict>
          </mc:Fallback>
        </mc:AlternateContent>
      </w:r>
      <w:r>
        <w:rPr>
          <w:rFonts w:ascii="Gill Sans MT" w:hAnsi="Gill Sans MT"/>
          <w:b/>
          <w:bCs/>
          <w:noProof/>
          <w:u w:val="single"/>
        </w:rPr>
        <mc:AlternateContent>
          <mc:Choice Requires="wps">
            <w:drawing>
              <wp:anchor distT="0" distB="0" distL="114300" distR="114300" simplePos="0" relativeHeight="251667456" behindDoc="0" locked="0" layoutInCell="1" allowOverlap="1" wp14:anchorId="143F16AE" wp14:editId="5807322B">
                <wp:simplePos x="0" y="0"/>
                <wp:positionH relativeFrom="column">
                  <wp:posOffset>3310066</wp:posOffset>
                </wp:positionH>
                <wp:positionV relativeFrom="paragraph">
                  <wp:posOffset>265738</wp:posOffset>
                </wp:positionV>
                <wp:extent cx="1086416" cy="238125"/>
                <wp:effectExtent l="0" t="0" r="0" b="9525"/>
                <wp:wrapNone/>
                <wp:docPr id="225627413" name="Zone de texte 2"/>
                <wp:cNvGraphicFramePr/>
                <a:graphic xmlns:a="http://schemas.openxmlformats.org/drawingml/2006/main">
                  <a:graphicData uri="http://schemas.microsoft.com/office/word/2010/wordprocessingShape">
                    <wps:wsp>
                      <wps:cNvSpPr txBox="1"/>
                      <wps:spPr>
                        <a:xfrm>
                          <a:off x="0" y="0"/>
                          <a:ext cx="1086416" cy="238125"/>
                        </a:xfrm>
                        <a:prstGeom prst="rect">
                          <a:avLst/>
                        </a:prstGeom>
                        <a:solidFill>
                          <a:schemeClr val="bg1"/>
                        </a:solidFill>
                        <a:ln w="6350">
                          <a:noFill/>
                        </a:ln>
                      </wps:spPr>
                      <wps:txbx>
                        <w:txbxContent>
                          <w:p w14:paraId="2B364658" w14:textId="15D52D62" w:rsidR="002A2E7F" w:rsidRPr="006E64E2" w:rsidRDefault="002A2E7F" w:rsidP="002A2E7F">
                            <w:pPr>
                              <w:rPr>
                                <w:rFonts w:asciiTheme="minorBidi" w:hAnsiTheme="minorBidi" w:cstheme="minorBidi"/>
                                <w:b/>
                                <w:bCs/>
                                <w:sz w:val="18"/>
                                <w:szCs w:val="18"/>
                              </w:rPr>
                            </w:pPr>
                            <w:r w:rsidRPr="006E64E2">
                              <w:rPr>
                                <w:rFonts w:asciiTheme="minorBidi" w:hAnsiTheme="minorBidi" w:cstheme="minorBidi"/>
                                <w:b/>
                                <w:bCs/>
                                <w:sz w:val="18"/>
                                <w:szCs w:val="18"/>
                              </w:rPr>
                              <w:t>Severity rate</w:t>
                            </w:r>
                            <w:r w:rsidR="00E213CB">
                              <w:rPr>
                                <w:rFonts w:asciiTheme="minorBidi" w:hAnsiTheme="minorBidi" w:cstheme="minorBidi"/>
                                <w:b/>
                                <w:bCs/>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F16AE" id="_x0000_s1033" type="#_x0000_t202" style="position:absolute;left:0;text-align:left;margin-left:260.65pt;margin-top:20.9pt;width:85.5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" fillcolor="white [3212]" stroked="f" strokeweight=".5pt">
                <v:textbox>
                  <w:txbxContent>
                    <w:p w14:paraId="2B364658" w14:textId="15D52D62" w:rsidR="002A2E7F" w:rsidRPr="006E64E2" w:rsidRDefault="002A2E7F" w:rsidP="002A2E7F">
                      <w:pPr>
                        <w:rPr>
                          <w:rFonts w:asciiTheme="minorBidi" w:hAnsiTheme="minorBidi" w:cstheme="minorBidi"/>
                          <w:b/>
                          <w:bCs/>
                          <w:sz w:val="18"/>
                          <w:szCs w:val="18"/>
                        </w:rPr>
                      </w:pPr>
                      <w:r w:rsidRPr="006E64E2">
                        <w:rPr>
                          <w:rFonts w:asciiTheme="minorBidi" w:hAnsiTheme="minorBidi" w:cstheme="minorBidi"/>
                          <w:b/>
                          <w:bCs/>
                          <w:sz w:val="18"/>
                          <w:szCs w:val="18"/>
                        </w:rPr>
                        <w:t>Severity rate</w:t>
                      </w:r>
                      <w:r w:rsidR="00E213CB">
                        <w:rPr>
                          <w:rFonts w:asciiTheme="minorBidi" w:hAnsiTheme="minorBidi" w:cstheme="minorBidi"/>
                          <w:b/>
                          <w:bCs/>
                          <w:sz w:val="18"/>
                          <w:szCs w:val="18"/>
                        </w:rPr>
                        <w:t xml:space="preserve"> (%)</w:t>
                      </w:r>
                    </w:p>
                  </w:txbxContent>
                </v:textbox>
              </v:shape>
            </w:pict>
          </mc:Fallback>
        </mc:AlternateContent>
      </w:r>
      <w:r w:rsidR="007B04C0" w:rsidRPr="007B04C0">
        <w:rPr>
          <w:rFonts w:ascii="Gill Sans MT" w:hAnsi="Gill Sans MT"/>
          <w:b/>
          <w:bCs/>
          <w:u w:val="single"/>
        </w:rPr>
        <w:t>Study design</w:t>
      </w:r>
    </w:p>
    <w:p w14:paraId="5AF82FB3" w14:textId="4F38D7BC" w:rsidR="00551F28" w:rsidRDefault="007B04C0" w:rsidP="003F0BDF">
      <w:pPr>
        <w:pStyle w:val="Bibliographie"/>
      </w:pPr>
      <w:r>
        <w:rPr>
          <w:noProof/>
        </w:rPr>
        <w:drawing>
          <wp:inline distT="0" distB="0" distL="0" distR="0" wp14:anchorId="3F8B216C" wp14:editId="1B906237">
            <wp:extent cx="6043295" cy="8173941"/>
            <wp:effectExtent l="0" t="0" r="0" b="0"/>
            <wp:docPr id="63721372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704"/>
                    <a:stretch>
                      <a:fillRect/>
                    </a:stretch>
                  </pic:blipFill>
                  <pic:spPr bwMode="auto">
                    <a:xfrm>
                      <a:off x="0" y="0"/>
                      <a:ext cx="6054708" cy="8189377"/>
                    </a:xfrm>
                    <a:prstGeom prst="rect">
                      <a:avLst/>
                    </a:prstGeom>
                    <a:noFill/>
                    <a:ln>
                      <a:noFill/>
                    </a:ln>
                    <a:extLst>
                      <a:ext uri="{53640926-AAD7-44D8-BBD7-CCE9431645EC}">
                        <a14:shadowObscured xmlns:a14="http://schemas.microsoft.com/office/drawing/2010/main"/>
                      </a:ext>
                    </a:extLst>
                  </pic:spPr>
                </pic:pic>
              </a:graphicData>
            </a:graphic>
          </wp:inline>
        </w:drawing>
      </w:r>
    </w:p>
    <w:p w14:paraId="14A9B995" w14:textId="3DBCB4E4" w:rsidR="00551F28" w:rsidRDefault="00F755B4" w:rsidP="0062633E">
      <w:pPr>
        <w:pStyle w:val="Lgende"/>
      </w:pPr>
      <w:r w:rsidRPr="00F755B4">
        <w:rPr>
          <w:b/>
          <w:bCs/>
        </w:rPr>
        <w:t xml:space="preserve">Supplementary Fig. </w:t>
      </w:r>
      <w:r w:rsidRPr="00F755B4">
        <w:rPr>
          <w:b/>
          <w:bCs/>
        </w:rPr>
        <w:fldChar w:fldCharType="begin"/>
      </w:r>
      <w:r w:rsidRPr="00F755B4">
        <w:rPr>
          <w:b/>
          <w:bCs/>
        </w:rPr>
        <w:instrText xml:space="preserve"> SEQ Supplementary_Fig. \* ARABIC </w:instrText>
      </w:r>
      <w:r w:rsidRPr="00F755B4">
        <w:rPr>
          <w:b/>
          <w:bCs/>
        </w:rPr>
        <w:fldChar w:fldCharType="separate"/>
      </w:r>
      <w:r w:rsidR="00A36449">
        <w:rPr>
          <w:b/>
          <w:bCs/>
          <w:noProof/>
        </w:rPr>
        <w:t>4</w:t>
      </w:r>
      <w:r w:rsidRPr="00F755B4">
        <w:rPr>
          <w:b/>
          <w:bCs/>
        </w:rPr>
        <w:fldChar w:fldCharType="end"/>
      </w:r>
      <w:r w:rsidR="0062633E">
        <w:t xml:space="preserve"> Mpox severity rate in Africa by type of study design</w:t>
      </w:r>
      <w:r w:rsidR="00B62FAC">
        <w:t>s</w:t>
      </w:r>
    </w:p>
    <w:p w14:paraId="38E9CA88" w14:textId="64BD0B1B" w:rsidR="00551F28" w:rsidRPr="00C84BAB" w:rsidRDefault="00586CA6" w:rsidP="003F0BDF">
      <w:pPr>
        <w:pStyle w:val="Bibliographie"/>
        <w:rPr>
          <w:rFonts w:ascii="Gill Sans MT" w:hAnsi="Gill Sans MT"/>
          <w:b/>
          <w:bCs/>
          <w:u w:val="single"/>
        </w:rPr>
      </w:pPr>
      <w:r>
        <w:rPr>
          <w:rFonts w:ascii="Gill Sans MT" w:hAnsi="Gill Sans MT"/>
          <w:b/>
          <w:bCs/>
          <w:noProof/>
          <w:u w:val="single"/>
        </w:rPr>
        <w:lastRenderedPageBreak/>
        <mc:AlternateContent>
          <mc:Choice Requires="wps">
            <w:drawing>
              <wp:anchor distT="0" distB="0" distL="114300" distR="114300" simplePos="0" relativeHeight="251687936" behindDoc="0" locked="0" layoutInCell="1" allowOverlap="1" wp14:anchorId="6C91F01D" wp14:editId="0D66DCB2">
                <wp:simplePos x="0" y="0"/>
                <wp:positionH relativeFrom="column">
                  <wp:posOffset>4550410</wp:posOffset>
                </wp:positionH>
                <wp:positionV relativeFrom="paragraph">
                  <wp:posOffset>248140</wp:posOffset>
                </wp:positionV>
                <wp:extent cx="1004935" cy="265285"/>
                <wp:effectExtent l="0" t="0" r="5080" b="1905"/>
                <wp:wrapNone/>
                <wp:docPr id="62656086" name="Zone de texte 2"/>
                <wp:cNvGraphicFramePr/>
                <a:graphic xmlns:a="http://schemas.openxmlformats.org/drawingml/2006/main">
                  <a:graphicData uri="http://schemas.microsoft.com/office/word/2010/wordprocessingShape">
                    <wps:wsp>
                      <wps:cNvSpPr txBox="1"/>
                      <wps:spPr>
                        <a:xfrm>
                          <a:off x="0" y="0"/>
                          <a:ext cx="1004935" cy="265285"/>
                        </a:xfrm>
                        <a:prstGeom prst="rect">
                          <a:avLst/>
                        </a:prstGeom>
                        <a:solidFill>
                          <a:schemeClr val="bg1"/>
                        </a:solidFill>
                        <a:ln w="6350">
                          <a:noFill/>
                        </a:ln>
                      </wps:spPr>
                      <wps:txbx>
                        <w:txbxContent>
                          <w:p w14:paraId="4CE9F055"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Event rate</w:t>
                            </w:r>
                            <w:r>
                              <w:rPr>
                                <w:rFonts w:asciiTheme="minorBidi" w:hAnsiTheme="minorBidi" w:cstheme="minorBidi"/>
                                <w:b/>
                                <w:bCs/>
                                <w:sz w:val="18"/>
                                <w:szCs w:val="18"/>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1F01D" id="_x0000_s1034" type="#_x0000_t202" style="position:absolute;left:0;text-align:left;margin-left:358.3pt;margin-top:19.55pt;width:79.15pt;height:20.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" fillcolor="white [3212]" stroked="f" strokeweight=".5pt">
                <v:textbox>
                  <w:txbxContent>
                    <w:p w14:paraId="4CE9F055"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Event rate</w:t>
                      </w:r>
                      <w:r>
                        <w:rPr>
                          <w:rFonts w:asciiTheme="minorBidi" w:hAnsiTheme="minorBidi" w:cstheme="minorBidi"/>
                          <w:b/>
                          <w:bCs/>
                          <w:sz w:val="18"/>
                          <w:szCs w:val="18"/>
                        </w:rPr>
                        <w:t xml:space="preserve"> (%) </w:t>
                      </w:r>
                    </w:p>
                  </w:txbxContent>
                </v:textbox>
              </v:shape>
            </w:pict>
          </mc:Fallback>
        </mc:AlternateContent>
      </w:r>
      <w:r>
        <w:rPr>
          <w:rFonts w:ascii="Gill Sans MT" w:hAnsi="Gill Sans MT"/>
          <w:b/>
          <w:bCs/>
          <w:noProof/>
          <w:u w:val="single"/>
        </w:rPr>
        <mc:AlternateContent>
          <mc:Choice Requires="wps">
            <w:drawing>
              <wp:anchor distT="0" distB="0" distL="114300" distR="114300" simplePos="0" relativeHeight="251685888" behindDoc="0" locked="0" layoutInCell="1" allowOverlap="1" wp14:anchorId="30EDD1EB" wp14:editId="7C4AD4C6">
                <wp:simplePos x="0" y="0"/>
                <wp:positionH relativeFrom="column">
                  <wp:posOffset>3232087</wp:posOffset>
                </wp:positionH>
                <wp:positionV relativeFrom="paragraph">
                  <wp:posOffset>246544</wp:posOffset>
                </wp:positionV>
                <wp:extent cx="1086416" cy="238125"/>
                <wp:effectExtent l="0" t="0" r="0" b="9525"/>
                <wp:wrapNone/>
                <wp:docPr id="1005178098" name="Zone de texte 2"/>
                <wp:cNvGraphicFramePr/>
                <a:graphic xmlns:a="http://schemas.openxmlformats.org/drawingml/2006/main">
                  <a:graphicData uri="http://schemas.microsoft.com/office/word/2010/wordprocessingShape">
                    <wps:wsp>
                      <wps:cNvSpPr txBox="1"/>
                      <wps:spPr>
                        <a:xfrm>
                          <a:off x="0" y="0"/>
                          <a:ext cx="1086416" cy="238125"/>
                        </a:xfrm>
                        <a:prstGeom prst="rect">
                          <a:avLst/>
                        </a:prstGeom>
                        <a:solidFill>
                          <a:schemeClr val="bg1"/>
                        </a:solidFill>
                        <a:ln w="6350">
                          <a:noFill/>
                        </a:ln>
                      </wps:spPr>
                      <wps:txbx>
                        <w:txbxContent>
                          <w:p w14:paraId="711A789A"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Severity rate</w:t>
                            </w:r>
                            <w:r>
                              <w:rPr>
                                <w:rFonts w:asciiTheme="minorBidi" w:hAnsiTheme="minorBidi" w:cstheme="minorBidi"/>
                                <w:b/>
                                <w:bCs/>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DD1EB" id="_x0000_s1035" type="#_x0000_t202" style="position:absolute;left:0;text-align:left;margin-left:254.5pt;margin-top:19.4pt;width:85.55pt;height:1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" fillcolor="white [3212]" stroked="f" strokeweight=".5pt">
                <v:textbox>
                  <w:txbxContent>
                    <w:p w14:paraId="711A789A"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Severity rate</w:t>
                      </w:r>
                      <w:r>
                        <w:rPr>
                          <w:rFonts w:asciiTheme="minorBidi" w:hAnsiTheme="minorBidi" w:cstheme="minorBidi"/>
                          <w:b/>
                          <w:bCs/>
                          <w:sz w:val="18"/>
                          <w:szCs w:val="18"/>
                        </w:rPr>
                        <w:t xml:space="preserve"> (%)</w:t>
                      </w:r>
                    </w:p>
                  </w:txbxContent>
                </v:textbox>
              </v:shape>
            </w:pict>
          </mc:Fallback>
        </mc:AlternateContent>
      </w:r>
      <w:r w:rsidR="00E44C0F">
        <w:rPr>
          <w:rFonts w:ascii="Gill Sans MT" w:hAnsi="Gill Sans MT"/>
          <w:b/>
          <w:bCs/>
          <w:u w:val="single"/>
        </w:rPr>
        <w:t>Study s</w:t>
      </w:r>
      <w:r w:rsidR="00C84BAB" w:rsidRPr="00C84BAB">
        <w:rPr>
          <w:rFonts w:ascii="Gill Sans MT" w:hAnsi="Gill Sans MT"/>
          <w:b/>
          <w:bCs/>
          <w:u w:val="single"/>
        </w:rPr>
        <w:t>etting</w:t>
      </w:r>
    </w:p>
    <w:p w14:paraId="638E17B7" w14:textId="3664B885" w:rsidR="00551F28" w:rsidRDefault="00C84BAB" w:rsidP="003F0BDF">
      <w:pPr>
        <w:pStyle w:val="Bibliographie"/>
      </w:pPr>
      <w:r>
        <w:rPr>
          <w:noProof/>
        </w:rPr>
        <w:drawing>
          <wp:inline distT="0" distB="0" distL="0" distR="0" wp14:anchorId="2EE4C582" wp14:editId="6F3B5265">
            <wp:extent cx="6121400" cy="7836195"/>
            <wp:effectExtent l="0" t="0" r="0" b="0"/>
            <wp:docPr id="54036768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309"/>
                    <a:stretch>
                      <a:fillRect/>
                    </a:stretch>
                  </pic:blipFill>
                  <pic:spPr bwMode="auto">
                    <a:xfrm>
                      <a:off x="0" y="0"/>
                      <a:ext cx="6125777" cy="7841798"/>
                    </a:xfrm>
                    <a:prstGeom prst="rect">
                      <a:avLst/>
                    </a:prstGeom>
                    <a:noFill/>
                    <a:ln>
                      <a:noFill/>
                    </a:ln>
                    <a:extLst>
                      <a:ext uri="{53640926-AAD7-44D8-BBD7-CCE9431645EC}">
                        <a14:shadowObscured xmlns:a14="http://schemas.microsoft.com/office/drawing/2010/main"/>
                      </a:ext>
                    </a:extLst>
                  </pic:spPr>
                </pic:pic>
              </a:graphicData>
            </a:graphic>
          </wp:inline>
        </w:drawing>
      </w:r>
    </w:p>
    <w:p w14:paraId="1BAAC907" w14:textId="5F8AA14C" w:rsidR="00C84BAB" w:rsidRDefault="006907F0" w:rsidP="00C84BAB">
      <w:pPr>
        <w:pStyle w:val="Lgende"/>
      </w:pPr>
      <w:r w:rsidRPr="00F755B4">
        <w:rPr>
          <w:b/>
          <w:bCs/>
        </w:rPr>
        <w:t xml:space="preserve">Supplementary Fig. </w:t>
      </w:r>
      <w:r w:rsidRPr="00F755B4">
        <w:rPr>
          <w:b/>
          <w:bCs/>
        </w:rPr>
        <w:fldChar w:fldCharType="begin"/>
      </w:r>
      <w:r w:rsidRPr="00F755B4">
        <w:rPr>
          <w:b/>
          <w:bCs/>
        </w:rPr>
        <w:instrText xml:space="preserve"> SEQ Supplementary_Fig. \* ARABIC </w:instrText>
      </w:r>
      <w:r w:rsidRPr="00F755B4">
        <w:rPr>
          <w:b/>
          <w:bCs/>
        </w:rPr>
        <w:fldChar w:fldCharType="separate"/>
      </w:r>
      <w:r w:rsidR="00A36449">
        <w:rPr>
          <w:b/>
          <w:bCs/>
          <w:noProof/>
        </w:rPr>
        <w:t>5</w:t>
      </w:r>
      <w:r w:rsidRPr="00F755B4">
        <w:rPr>
          <w:b/>
          <w:bCs/>
        </w:rPr>
        <w:fldChar w:fldCharType="end"/>
      </w:r>
      <w:r w:rsidR="00C84BAB">
        <w:t xml:space="preserve"> Mpox severity rate in Africa by type of study setting</w:t>
      </w:r>
      <w:r w:rsidR="00B62FAC">
        <w:t>s</w:t>
      </w:r>
    </w:p>
    <w:p w14:paraId="49349D56" w14:textId="77777777" w:rsidR="00083A00" w:rsidRDefault="00083A00" w:rsidP="00083A00">
      <w:pPr>
        <w:pStyle w:val="Bibliographie"/>
        <w:rPr>
          <w:rFonts w:ascii="Gill Sans MT" w:hAnsi="Gill Sans MT"/>
          <w:b/>
          <w:bCs/>
          <w:u w:val="single"/>
        </w:rPr>
      </w:pPr>
    </w:p>
    <w:p w14:paraId="78AD2987" w14:textId="4A1101BD" w:rsidR="00C84BAB" w:rsidRPr="00083A00" w:rsidRDefault="00586CA6" w:rsidP="00083A00">
      <w:pPr>
        <w:pStyle w:val="Bibliographie"/>
        <w:rPr>
          <w:rFonts w:ascii="Gill Sans MT" w:hAnsi="Gill Sans MT"/>
          <w:b/>
          <w:bCs/>
          <w:u w:val="single"/>
        </w:rPr>
      </w:pPr>
      <w:r>
        <w:rPr>
          <w:rFonts w:ascii="Gill Sans MT" w:hAnsi="Gill Sans MT"/>
          <w:b/>
          <w:bCs/>
          <w:noProof/>
          <w:u w:val="single"/>
        </w:rPr>
        <w:lastRenderedPageBreak/>
        <mc:AlternateContent>
          <mc:Choice Requires="wps">
            <w:drawing>
              <wp:anchor distT="0" distB="0" distL="114300" distR="114300" simplePos="0" relativeHeight="251692032" behindDoc="0" locked="0" layoutInCell="1" allowOverlap="1" wp14:anchorId="49712746" wp14:editId="6021E57E">
                <wp:simplePos x="0" y="0"/>
                <wp:positionH relativeFrom="column">
                  <wp:posOffset>4599160</wp:posOffset>
                </wp:positionH>
                <wp:positionV relativeFrom="paragraph">
                  <wp:posOffset>255107</wp:posOffset>
                </wp:positionV>
                <wp:extent cx="1004935" cy="265285"/>
                <wp:effectExtent l="0" t="0" r="5080" b="1905"/>
                <wp:wrapNone/>
                <wp:docPr id="1513389775" name="Zone de texte 2"/>
                <wp:cNvGraphicFramePr/>
                <a:graphic xmlns:a="http://schemas.openxmlformats.org/drawingml/2006/main">
                  <a:graphicData uri="http://schemas.microsoft.com/office/word/2010/wordprocessingShape">
                    <wps:wsp>
                      <wps:cNvSpPr txBox="1"/>
                      <wps:spPr>
                        <a:xfrm>
                          <a:off x="0" y="0"/>
                          <a:ext cx="1004935" cy="265285"/>
                        </a:xfrm>
                        <a:prstGeom prst="rect">
                          <a:avLst/>
                        </a:prstGeom>
                        <a:solidFill>
                          <a:schemeClr val="bg1"/>
                        </a:solidFill>
                        <a:ln w="6350">
                          <a:noFill/>
                        </a:ln>
                      </wps:spPr>
                      <wps:txbx>
                        <w:txbxContent>
                          <w:p w14:paraId="6E367807"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Event rate</w:t>
                            </w:r>
                            <w:r>
                              <w:rPr>
                                <w:rFonts w:asciiTheme="minorBidi" w:hAnsiTheme="minorBidi" w:cstheme="minorBidi"/>
                                <w:b/>
                                <w:bCs/>
                                <w:sz w:val="18"/>
                                <w:szCs w:val="18"/>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12746" id="_x0000_s1036" type="#_x0000_t202" style="position:absolute;left:0;text-align:left;margin-left:362.15pt;margin-top:20.1pt;width:79.15pt;height:20.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" fillcolor="white [3212]" stroked="f" strokeweight=".5pt">
                <v:textbox>
                  <w:txbxContent>
                    <w:p w14:paraId="6E367807"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Event rate</w:t>
                      </w:r>
                      <w:r>
                        <w:rPr>
                          <w:rFonts w:asciiTheme="minorBidi" w:hAnsiTheme="minorBidi" w:cstheme="minorBidi"/>
                          <w:b/>
                          <w:bCs/>
                          <w:sz w:val="18"/>
                          <w:szCs w:val="18"/>
                        </w:rPr>
                        <w:t xml:space="preserve"> (%) </w:t>
                      </w:r>
                    </w:p>
                  </w:txbxContent>
                </v:textbox>
              </v:shape>
            </w:pict>
          </mc:Fallback>
        </mc:AlternateContent>
      </w:r>
      <w:r>
        <w:rPr>
          <w:rFonts w:ascii="Gill Sans MT" w:hAnsi="Gill Sans MT"/>
          <w:b/>
          <w:bCs/>
          <w:noProof/>
          <w:u w:val="single"/>
        </w:rPr>
        <mc:AlternateContent>
          <mc:Choice Requires="wps">
            <w:drawing>
              <wp:anchor distT="0" distB="0" distL="114300" distR="114300" simplePos="0" relativeHeight="251689984" behindDoc="0" locked="0" layoutInCell="1" allowOverlap="1" wp14:anchorId="6AEBA5A6" wp14:editId="6F43DA38">
                <wp:simplePos x="0" y="0"/>
                <wp:positionH relativeFrom="column">
                  <wp:posOffset>3259247</wp:posOffset>
                </wp:positionH>
                <wp:positionV relativeFrom="paragraph">
                  <wp:posOffset>234754</wp:posOffset>
                </wp:positionV>
                <wp:extent cx="1086416" cy="238125"/>
                <wp:effectExtent l="0" t="0" r="0" b="9525"/>
                <wp:wrapNone/>
                <wp:docPr id="1859469264" name="Zone de texte 2"/>
                <wp:cNvGraphicFramePr/>
                <a:graphic xmlns:a="http://schemas.openxmlformats.org/drawingml/2006/main">
                  <a:graphicData uri="http://schemas.microsoft.com/office/word/2010/wordprocessingShape">
                    <wps:wsp>
                      <wps:cNvSpPr txBox="1"/>
                      <wps:spPr>
                        <a:xfrm>
                          <a:off x="0" y="0"/>
                          <a:ext cx="1086416" cy="238125"/>
                        </a:xfrm>
                        <a:prstGeom prst="rect">
                          <a:avLst/>
                        </a:prstGeom>
                        <a:solidFill>
                          <a:schemeClr val="bg1"/>
                        </a:solidFill>
                        <a:ln w="6350">
                          <a:noFill/>
                        </a:ln>
                      </wps:spPr>
                      <wps:txbx>
                        <w:txbxContent>
                          <w:p w14:paraId="03BF6E0C"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Severity rate</w:t>
                            </w:r>
                            <w:r>
                              <w:rPr>
                                <w:rFonts w:asciiTheme="minorBidi" w:hAnsiTheme="minorBidi" w:cstheme="minorBidi"/>
                                <w:b/>
                                <w:bCs/>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BA5A6" id="_x0000_s1037" type="#_x0000_t202" style="position:absolute;left:0;text-align:left;margin-left:256.65pt;margin-top:18.5pt;width:85.55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" fillcolor="white [3212]" stroked="f" strokeweight=".5pt">
                <v:textbox>
                  <w:txbxContent>
                    <w:p w14:paraId="03BF6E0C" w14:textId="77777777" w:rsidR="00586CA6" w:rsidRPr="006E64E2" w:rsidRDefault="00586CA6" w:rsidP="00586CA6">
                      <w:pPr>
                        <w:rPr>
                          <w:rFonts w:asciiTheme="minorBidi" w:hAnsiTheme="minorBidi" w:cstheme="minorBidi"/>
                          <w:b/>
                          <w:bCs/>
                          <w:sz w:val="18"/>
                          <w:szCs w:val="18"/>
                        </w:rPr>
                      </w:pPr>
                      <w:r w:rsidRPr="006E64E2">
                        <w:rPr>
                          <w:rFonts w:asciiTheme="minorBidi" w:hAnsiTheme="minorBidi" w:cstheme="minorBidi"/>
                          <w:b/>
                          <w:bCs/>
                          <w:sz w:val="18"/>
                          <w:szCs w:val="18"/>
                        </w:rPr>
                        <w:t>Severity rate</w:t>
                      </w:r>
                      <w:r>
                        <w:rPr>
                          <w:rFonts w:asciiTheme="minorBidi" w:hAnsiTheme="minorBidi" w:cstheme="minorBidi"/>
                          <w:b/>
                          <w:bCs/>
                          <w:sz w:val="18"/>
                          <w:szCs w:val="18"/>
                        </w:rPr>
                        <w:t xml:space="preserve"> (%)</w:t>
                      </w:r>
                    </w:p>
                  </w:txbxContent>
                </v:textbox>
              </v:shape>
            </w:pict>
          </mc:Fallback>
        </mc:AlternateContent>
      </w:r>
      <w:r w:rsidR="00083A00" w:rsidRPr="00083A00">
        <w:rPr>
          <w:rFonts w:ascii="Gill Sans MT" w:hAnsi="Gill Sans MT"/>
          <w:b/>
          <w:bCs/>
          <w:u w:val="single"/>
        </w:rPr>
        <w:t>Mpox clade</w:t>
      </w:r>
      <w:r w:rsidR="00E44C0F">
        <w:rPr>
          <w:rFonts w:ascii="Gill Sans MT" w:hAnsi="Gill Sans MT"/>
          <w:b/>
          <w:bCs/>
          <w:u w:val="single"/>
        </w:rPr>
        <w:t xml:space="preserve"> stratification</w:t>
      </w:r>
    </w:p>
    <w:p w14:paraId="4CACB297" w14:textId="5828928F" w:rsidR="00083A00" w:rsidRDefault="00083A00" w:rsidP="00C84BAB">
      <w:r>
        <w:rPr>
          <w:noProof/>
        </w:rPr>
        <w:drawing>
          <wp:inline distT="0" distB="0" distL="0" distR="0" wp14:anchorId="36835242" wp14:editId="798C27FB">
            <wp:extent cx="6120555" cy="7823807"/>
            <wp:effectExtent l="0" t="0" r="0" b="6350"/>
            <wp:docPr id="22892118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478"/>
                    <a:stretch>
                      <a:fillRect/>
                    </a:stretch>
                  </pic:blipFill>
                  <pic:spPr bwMode="auto">
                    <a:xfrm>
                      <a:off x="0" y="0"/>
                      <a:ext cx="6128540" cy="7834015"/>
                    </a:xfrm>
                    <a:prstGeom prst="rect">
                      <a:avLst/>
                    </a:prstGeom>
                    <a:noFill/>
                    <a:ln>
                      <a:noFill/>
                    </a:ln>
                    <a:extLst>
                      <a:ext uri="{53640926-AAD7-44D8-BBD7-CCE9431645EC}">
                        <a14:shadowObscured xmlns:a14="http://schemas.microsoft.com/office/drawing/2010/main"/>
                      </a:ext>
                    </a:extLst>
                  </pic:spPr>
                </pic:pic>
              </a:graphicData>
            </a:graphic>
          </wp:inline>
        </w:drawing>
      </w:r>
    </w:p>
    <w:p w14:paraId="1B63528E" w14:textId="4CAC2FCF" w:rsidR="00083A00" w:rsidRDefault="006907F0" w:rsidP="00C84BAB">
      <w:r w:rsidRPr="00F755B4">
        <w:rPr>
          <w:b/>
          <w:bCs/>
        </w:rPr>
        <w:t xml:space="preserve">Supplementary Fig. </w:t>
      </w:r>
      <w:r w:rsidRPr="00F755B4">
        <w:rPr>
          <w:b/>
          <w:bCs/>
        </w:rPr>
        <w:fldChar w:fldCharType="begin"/>
      </w:r>
      <w:r w:rsidRPr="00F755B4">
        <w:rPr>
          <w:b/>
          <w:bCs/>
        </w:rPr>
        <w:instrText xml:space="preserve"> SEQ Supplementary_Fig. \* ARABIC </w:instrText>
      </w:r>
      <w:r w:rsidRPr="00F755B4">
        <w:rPr>
          <w:b/>
          <w:bCs/>
        </w:rPr>
        <w:fldChar w:fldCharType="separate"/>
      </w:r>
      <w:r w:rsidR="00A36449">
        <w:rPr>
          <w:b/>
          <w:bCs/>
          <w:noProof/>
        </w:rPr>
        <w:t>6</w:t>
      </w:r>
      <w:r w:rsidRPr="00F755B4">
        <w:rPr>
          <w:b/>
          <w:bCs/>
        </w:rPr>
        <w:fldChar w:fldCharType="end"/>
      </w:r>
      <w:r>
        <w:rPr>
          <w:b/>
          <w:bCs/>
        </w:rPr>
        <w:t xml:space="preserve"> </w:t>
      </w:r>
      <w:r w:rsidR="00AF0F20">
        <w:t xml:space="preserve">Mpox severity rate in Africa by </w:t>
      </w:r>
      <w:r w:rsidR="00FE568E">
        <w:t xml:space="preserve">clade </w:t>
      </w:r>
      <w:r w:rsidR="00E6150B">
        <w:t>stratification</w:t>
      </w:r>
      <w:r w:rsidR="00B62FAC">
        <w:t>s</w:t>
      </w:r>
    </w:p>
    <w:p w14:paraId="663DC5A0" w14:textId="77777777" w:rsidR="006907F0" w:rsidRDefault="006907F0" w:rsidP="00C84BAB"/>
    <w:p w14:paraId="4FC030C2" w14:textId="3F8CED41" w:rsidR="006907F0" w:rsidRPr="006907F0" w:rsidRDefault="006907F0" w:rsidP="006907F0">
      <w:pPr>
        <w:pStyle w:val="Bibliographie"/>
        <w:rPr>
          <w:rFonts w:ascii="Gill Sans MT" w:hAnsi="Gill Sans MT"/>
          <w:b/>
          <w:bCs/>
          <w:u w:val="single"/>
        </w:rPr>
      </w:pPr>
      <w:r w:rsidRPr="006907F0">
        <w:rPr>
          <w:rFonts w:ascii="Gill Sans MT" w:hAnsi="Gill Sans MT"/>
          <w:b/>
          <w:bCs/>
          <w:u w:val="single"/>
        </w:rPr>
        <w:lastRenderedPageBreak/>
        <w:t>Publication bias assessment</w:t>
      </w:r>
    </w:p>
    <w:p w14:paraId="310D1158" w14:textId="2151D41B" w:rsidR="008A6378" w:rsidRDefault="007F486A" w:rsidP="00C84BAB">
      <w:r>
        <w:rPr>
          <w:noProof/>
        </w:rPr>
        <mc:AlternateContent>
          <mc:Choice Requires="wps">
            <w:drawing>
              <wp:anchor distT="0" distB="0" distL="114300" distR="114300" simplePos="0" relativeHeight="251679744" behindDoc="0" locked="0" layoutInCell="1" allowOverlap="1" wp14:anchorId="5B42E527" wp14:editId="47269725">
                <wp:simplePos x="0" y="0"/>
                <wp:positionH relativeFrom="column">
                  <wp:posOffset>576247</wp:posOffset>
                </wp:positionH>
                <wp:positionV relativeFrom="paragraph">
                  <wp:posOffset>87360</wp:posOffset>
                </wp:positionV>
                <wp:extent cx="1550505" cy="405516"/>
                <wp:effectExtent l="0" t="0" r="0" b="0"/>
                <wp:wrapNone/>
                <wp:docPr id="2100459307" name="Zone de texte 16"/>
                <wp:cNvGraphicFramePr/>
                <a:graphic xmlns:a="http://schemas.openxmlformats.org/drawingml/2006/main">
                  <a:graphicData uri="http://schemas.microsoft.com/office/word/2010/wordprocessingShape">
                    <wps:wsp>
                      <wps:cNvSpPr txBox="1"/>
                      <wps:spPr>
                        <a:xfrm>
                          <a:off x="0" y="0"/>
                          <a:ext cx="1550505" cy="405516"/>
                        </a:xfrm>
                        <a:prstGeom prst="rect">
                          <a:avLst/>
                        </a:prstGeom>
                        <a:noFill/>
                        <a:ln w="6350">
                          <a:noFill/>
                        </a:ln>
                      </wps:spPr>
                      <wps:txbx>
                        <w:txbxContent>
                          <w:p w14:paraId="6E6C74FA" w14:textId="6840918E" w:rsidR="007F486A" w:rsidRPr="00EC7872" w:rsidRDefault="007F486A" w:rsidP="007F486A">
                            <w:pPr>
                              <w:spacing w:after="0" w:line="240" w:lineRule="auto"/>
                              <w:rPr>
                                <w:sz w:val="16"/>
                                <w:szCs w:val="16"/>
                              </w:rPr>
                            </w:pPr>
                            <w:r w:rsidRPr="00EC7872">
                              <w:rPr>
                                <w:sz w:val="16"/>
                                <w:szCs w:val="16"/>
                              </w:rPr>
                              <w:t xml:space="preserve">Egger’s test </w:t>
                            </w:r>
                            <w:r w:rsidRPr="002452EF">
                              <w:rPr>
                                <w:i/>
                                <w:iCs/>
                                <w:sz w:val="16"/>
                                <w:szCs w:val="16"/>
                              </w:rPr>
                              <w:t>p</w:t>
                            </w:r>
                            <w:r w:rsidRPr="00EC7872">
                              <w:rPr>
                                <w:sz w:val="16"/>
                                <w:szCs w:val="16"/>
                              </w:rPr>
                              <w:t>-value = 0.8</w:t>
                            </w:r>
                            <w:r w:rsidR="00BD142E">
                              <w:rPr>
                                <w:sz w:val="16"/>
                                <w:szCs w:val="16"/>
                              </w:rPr>
                              <w:t>91</w:t>
                            </w:r>
                          </w:p>
                          <w:p w14:paraId="51D08DC3" w14:textId="24BD17DF" w:rsidR="007F486A" w:rsidRPr="00EC7872" w:rsidRDefault="007F486A" w:rsidP="007F486A">
                            <w:pPr>
                              <w:spacing w:after="0" w:line="240" w:lineRule="auto"/>
                              <w:rPr>
                                <w:sz w:val="16"/>
                                <w:szCs w:val="16"/>
                              </w:rPr>
                            </w:pPr>
                            <w:r w:rsidRPr="00EC7872">
                              <w:rPr>
                                <w:sz w:val="16"/>
                                <w:szCs w:val="16"/>
                              </w:rPr>
                              <w:t xml:space="preserve">Begg’s test </w:t>
                            </w:r>
                            <w:r w:rsidRPr="002452EF">
                              <w:rPr>
                                <w:i/>
                                <w:iCs/>
                                <w:sz w:val="16"/>
                                <w:szCs w:val="16"/>
                              </w:rPr>
                              <w:t>p</w:t>
                            </w:r>
                            <w:r w:rsidRPr="00EC7872">
                              <w:rPr>
                                <w:sz w:val="16"/>
                                <w:szCs w:val="16"/>
                              </w:rPr>
                              <w:t>-value = 0.3</w:t>
                            </w:r>
                            <w:r w:rsidR="00BD142E">
                              <w:rPr>
                                <w:sz w:val="16"/>
                                <w:szCs w:val="16"/>
                              </w:rPr>
                              <w:t>26</w:t>
                            </w:r>
                          </w:p>
                          <w:p w14:paraId="48DB54D2" w14:textId="77777777" w:rsidR="007F486A" w:rsidRPr="00EC7872" w:rsidRDefault="007F486A" w:rsidP="007F486A">
                            <w:pPr>
                              <w:spacing w:after="0"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2E527" id="Zone de texte 16" o:spid="_x0000_s1038" type="#_x0000_t202" style="position:absolute;margin-left:45.35pt;margin-top:6.9pt;width:122.1pt;height:3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" filled="f" stroked="f" strokeweight=".5pt">
                <v:textbox>
                  <w:txbxContent>
                    <w:p w14:paraId="6E6C74FA" w14:textId="6840918E" w:rsidR="007F486A" w:rsidRPr="00EC7872" w:rsidRDefault="007F486A" w:rsidP="007F486A">
                      <w:pPr>
                        <w:spacing w:after="0" w:line="240" w:lineRule="auto"/>
                        <w:rPr>
                          <w:sz w:val="16"/>
                          <w:szCs w:val="16"/>
                        </w:rPr>
                      </w:pPr>
                      <w:r w:rsidRPr="00EC7872">
                        <w:rPr>
                          <w:sz w:val="16"/>
                          <w:szCs w:val="16"/>
                        </w:rPr>
                        <w:t xml:space="preserve">Egger’s test </w:t>
                      </w:r>
                      <w:r w:rsidRPr="002452EF">
                        <w:rPr>
                          <w:i/>
                          <w:iCs/>
                          <w:sz w:val="16"/>
                          <w:szCs w:val="16"/>
                        </w:rPr>
                        <w:t>p</w:t>
                      </w:r>
                      <w:r w:rsidRPr="00EC7872">
                        <w:rPr>
                          <w:sz w:val="16"/>
                          <w:szCs w:val="16"/>
                        </w:rPr>
                        <w:t>-value = 0.8</w:t>
                      </w:r>
                      <w:r w:rsidR="00BD142E">
                        <w:rPr>
                          <w:sz w:val="16"/>
                          <w:szCs w:val="16"/>
                        </w:rPr>
                        <w:t>91</w:t>
                      </w:r>
                    </w:p>
                    <w:p w14:paraId="51D08DC3" w14:textId="24BD17DF" w:rsidR="007F486A" w:rsidRPr="00EC7872" w:rsidRDefault="007F486A" w:rsidP="007F486A">
                      <w:pPr>
                        <w:spacing w:after="0" w:line="240" w:lineRule="auto"/>
                        <w:rPr>
                          <w:sz w:val="16"/>
                          <w:szCs w:val="16"/>
                        </w:rPr>
                      </w:pPr>
                      <w:r w:rsidRPr="00EC7872">
                        <w:rPr>
                          <w:sz w:val="16"/>
                          <w:szCs w:val="16"/>
                        </w:rPr>
                        <w:t xml:space="preserve">Begg’s test </w:t>
                      </w:r>
                      <w:r w:rsidRPr="002452EF">
                        <w:rPr>
                          <w:i/>
                          <w:iCs/>
                          <w:sz w:val="16"/>
                          <w:szCs w:val="16"/>
                        </w:rPr>
                        <w:t>p</w:t>
                      </w:r>
                      <w:r w:rsidRPr="00EC7872">
                        <w:rPr>
                          <w:sz w:val="16"/>
                          <w:szCs w:val="16"/>
                        </w:rPr>
                        <w:t>-value = 0.3</w:t>
                      </w:r>
                      <w:r w:rsidR="00BD142E">
                        <w:rPr>
                          <w:sz w:val="16"/>
                          <w:szCs w:val="16"/>
                        </w:rPr>
                        <w:t>26</w:t>
                      </w:r>
                    </w:p>
                    <w:p w14:paraId="48DB54D2" w14:textId="77777777" w:rsidR="007F486A" w:rsidRPr="00EC7872" w:rsidRDefault="007F486A" w:rsidP="007F486A">
                      <w:pPr>
                        <w:spacing w:after="0" w:line="240" w:lineRule="auto"/>
                        <w:rPr>
                          <w:sz w:val="16"/>
                          <w:szCs w:val="16"/>
                        </w:rPr>
                      </w:pPr>
                    </w:p>
                  </w:txbxContent>
                </v:textbox>
              </v:shape>
            </w:pict>
          </mc:Fallback>
        </mc:AlternateContent>
      </w:r>
      <w:r w:rsidR="00B46963">
        <w:rPr>
          <w:noProof/>
        </w:rPr>
        <w:drawing>
          <wp:inline distT="0" distB="0" distL="0" distR="0" wp14:anchorId="5AB5DA3D" wp14:editId="02ED8DFB">
            <wp:extent cx="6121400" cy="2468880"/>
            <wp:effectExtent l="0" t="0" r="0" b="7620"/>
            <wp:docPr id="10081114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11424" name=""/>
                    <pic:cNvPicPr/>
                  </pic:nvPicPr>
                  <pic:blipFill>
                    <a:blip r:embed="rId14"/>
                    <a:stretch>
                      <a:fillRect/>
                    </a:stretch>
                  </pic:blipFill>
                  <pic:spPr>
                    <a:xfrm>
                      <a:off x="0" y="0"/>
                      <a:ext cx="6121400" cy="2468880"/>
                    </a:xfrm>
                    <a:prstGeom prst="rect">
                      <a:avLst/>
                    </a:prstGeom>
                  </pic:spPr>
                </pic:pic>
              </a:graphicData>
            </a:graphic>
          </wp:inline>
        </w:drawing>
      </w:r>
    </w:p>
    <w:p w14:paraId="6EFA3FC0" w14:textId="77777777" w:rsidR="00BD142E" w:rsidRDefault="00BD142E" w:rsidP="008A6378">
      <w:pPr>
        <w:pStyle w:val="Bibliographie"/>
        <w:rPr>
          <w:rFonts w:ascii="Gill Sans MT" w:hAnsi="Gill Sans MT"/>
          <w:b/>
          <w:bCs/>
          <w:u w:val="single"/>
        </w:rPr>
      </w:pPr>
    </w:p>
    <w:p w14:paraId="7E5A9529" w14:textId="1AB34FAE" w:rsidR="00A36449" w:rsidRPr="00A36449" w:rsidRDefault="00A36449" w:rsidP="00A36449">
      <w:pPr>
        <w:pStyle w:val="Lgende"/>
        <w:rPr>
          <w:iCs/>
        </w:rPr>
      </w:pPr>
      <w:r w:rsidRPr="00A36449">
        <w:rPr>
          <w:b/>
          <w:bCs/>
        </w:rPr>
        <w:t xml:space="preserve">Supplementary Fig. </w:t>
      </w:r>
      <w:r w:rsidRPr="00A36449">
        <w:rPr>
          <w:b/>
          <w:bCs/>
        </w:rPr>
        <w:fldChar w:fldCharType="begin"/>
      </w:r>
      <w:r w:rsidRPr="00A36449">
        <w:rPr>
          <w:b/>
          <w:bCs/>
        </w:rPr>
        <w:instrText xml:space="preserve"> SEQ Supplementary_Fig. \* ARABIC </w:instrText>
      </w:r>
      <w:r w:rsidRPr="00A36449">
        <w:rPr>
          <w:b/>
          <w:bCs/>
        </w:rPr>
        <w:fldChar w:fldCharType="separate"/>
      </w:r>
      <w:r w:rsidRPr="00A36449">
        <w:rPr>
          <w:b/>
          <w:bCs/>
          <w:noProof/>
        </w:rPr>
        <w:t>7</w:t>
      </w:r>
      <w:r w:rsidRPr="00A36449">
        <w:rPr>
          <w:b/>
          <w:bCs/>
        </w:rPr>
        <w:fldChar w:fldCharType="end"/>
      </w:r>
      <w:r w:rsidRPr="00A36449">
        <w:rPr>
          <w:b/>
          <w:bCs/>
        </w:rPr>
        <w:t xml:space="preserve"> </w:t>
      </w:r>
      <w:r w:rsidRPr="00A36449">
        <w:rPr>
          <w:iCs/>
        </w:rPr>
        <w:t>Funnel plot displaying the pseudo 95% confidence limits and tests assessing the publication bias of studies included</w:t>
      </w:r>
    </w:p>
    <w:p w14:paraId="10EAE6C5" w14:textId="74194425" w:rsidR="00BD142E" w:rsidRPr="00A36449" w:rsidRDefault="00BD142E" w:rsidP="00A36449">
      <w:pPr>
        <w:pStyle w:val="Lgende"/>
        <w:rPr>
          <w:rFonts w:ascii="Gill Sans MT" w:hAnsi="Gill Sans MT"/>
          <w:b/>
          <w:bCs/>
          <w:u w:val="single"/>
        </w:rPr>
      </w:pPr>
    </w:p>
    <w:p w14:paraId="0D0657F0" w14:textId="77777777" w:rsidR="00BD142E" w:rsidRDefault="00BD142E" w:rsidP="008A6378">
      <w:pPr>
        <w:pStyle w:val="Bibliographie"/>
        <w:rPr>
          <w:rFonts w:ascii="Gill Sans MT" w:hAnsi="Gill Sans MT"/>
          <w:b/>
          <w:bCs/>
          <w:u w:val="single"/>
        </w:rPr>
      </w:pPr>
    </w:p>
    <w:p w14:paraId="06AFB7A6" w14:textId="77777777" w:rsidR="00BD142E" w:rsidRDefault="00BD142E" w:rsidP="008A6378">
      <w:pPr>
        <w:pStyle w:val="Bibliographie"/>
        <w:rPr>
          <w:rFonts w:ascii="Gill Sans MT" w:hAnsi="Gill Sans MT"/>
          <w:b/>
          <w:bCs/>
          <w:u w:val="single"/>
        </w:rPr>
      </w:pPr>
    </w:p>
    <w:p w14:paraId="0EC8FF6D" w14:textId="77777777" w:rsidR="00BD142E" w:rsidRDefault="00BD142E" w:rsidP="008A6378">
      <w:pPr>
        <w:pStyle w:val="Bibliographie"/>
        <w:rPr>
          <w:rFonts w:ascii="Gill Sans MT" w:hAnsi="Gill Sans MT"/>
          <w:b/>
          <w:bCs/>
          <w:u w:val="single"/>
        </w:rPr>
      </w:pPr>
    </w:p>
    <w:p w14:paraId="0660F6EE" w14:textId="77777777" w:rsidR="00BD142E" w:rsidRDefault="00BD142E" w:rsidP="008A6378">
      <w:pPr>
        <w:pStyle w:val="Bibliographie"/>
        <w:rPr>
          <w:rFonts w:ascii="Gill Sans MT" w:hAnsi="Gill Sans MT"/>
          <w:b/>
          <w:bCs/>
          <w:u w:val="single"/>
        </w:rPr>
      </w:pPr>
    </w:p>
    <w:p w14:paraId="4B415881" w14:textId="77777777" w:rsidR="00BD142E" w:rsidRDefault="00BD142E" w:rsidP="008A6378">
      <w:pPr>
        <w:pStyle w:val="Bibliographie"/>
        <w:rPr>
          <w:rFonts w:ascii="Gill Sans MT" w:hAnsi="Gill Sans MT"/>
          <w:b/>
          <w:bCs/>
          <w:u w:val="single"/>
        </w:rPr>
      </w:pPr>
    </w:p>
    <w:p w14:paraId="3BF7D646" w14:textId="77777777" w:rsidR="00BD142E" w:rsidRDefault="00BD142E" w:rsidP="008A6378">
      <w:pPr>
        <w:pStyle w:val="Bibliographie"/>
        <w:rPr>
          <w:rFonts w:ascii="Gill Sans MT" w:hAnsi="Gill Sans MT"/>
          <w:b/>
          <w:bCs/>
          <w:u w:val="single"/>
        </w:rPr>
      </w:pPr>
    </w:p>
    <w:p w14:paraId="2297E3A9" w14:textId="77777777" w:rsidR="00BD142E" w:rsidRDefault="00BD142E" w:rsidP="008A6378">
      <w:pPr>
        <w:pStyle w:val="Bibliographie"/>
        <w:rPr>
          <w:rFonts w:ascii="Gill Sans MT" w:hAnsi="Gill Sans MT"/>
          <w:b/>
          <w:bCs/>
          <w:u w:val="single"/>
        </w:rPr>
      </w:pPr>
    </w:p>
    <w:p w14:paraId="4B21477A" w14:textId="77777777" w:rsidR="00BD142E" w:rsidRDefault="00BD142E" w:rsidP="008A6378">
      <w:pPr>
        <w:pStyle w:val="Bibliographie"/>
        <w:rPr>
          <w:rFonts w:ascii="Gill Sans MT" w:hAnsi="Gill Sans MT"/>
          <w:b/>
          <w:bCs/>
          <w:u w:val="single"/>
        </w:rPr>
      </w:pPr>
    </w:p>
    <w:p w14:paraId="1DCE9A7D" w14:textId="77777777" w:rsidR="00BD142E" w:rsidRDefault="00BD142E" w:rsidP="008A6378">
      <w:pPr>
        <w:pStyle w:val="Bibliographie"/>
        <w:rPr>
          <w:rFonts w:ascii="Gill Sans MT" w:hAnsi="Gill Sans MT"/>
          <w:b/>
          <w:bCs/>
          <w:u w:val="single"/>
        </w:rPr>
      </w:pPr>
    </w:p>
    <w:p w14:paraId="7796F673" w14:textId="77777777" w:rsidR="00BD142E" w:rsidRDefault="00BD142E" w:rsidP="008A6378">
      <w:pPr>
        <w:pStyle w:val="Bibliographie"/>
        <w:rPr>
          <w:rFonts w:ascii="Gill Sans MT" w:hAnsi="Gill Sans MT"/>
          <w:b/>
          <w:bCs/>
          <w:u w:val="single"/>
        </w:rPr>
      </w:pPr>
    </w:p>
    <w:p w14:paraId="532F39DC" w14:textId="77777777" w:rsidR="00BD142E" w:rsidRDefault="00BD142E" w:rsidP="008A6378">
      <w:pPr>
        <w:pStyle w:val="Bibliographie"/>
        <w:rPr>
          <w:rFonts w:ascii="Gill Sans MT" w:hAnsi="Gill Sans MT"/>
          <w:b/>
          <w:bCs/>
          <w:u w:val="single"/>
        </w:rPr>
      </w:pPr>
    </w:p>
    <w:p w14:paraId="7EE916E2" w14:textId="77777777" w:rsidR="00BD142E" w:rsidRDefault="00BD142E" w:rsidP="008A6378">
      <w:pPr>
        <w:pStyle w:val="Bibliographie"/>
        <w:rPr>
          <w:rFonts w:ascii="Gill Sans MT" w:hAnsi="Gill Sans MT"/>
          <w:b/>
          <w:bCs/>
          <w:u w:val="single"/>
        </w:rPr>
      </w:pPr>
    </w:p>
    <w:p w14:paraId="14A9AA35" w14:textId="77777777" w:rsidR="00BD142E" w:rsidRDefault="00BD142E" w:rsidP="008A6378">
      <w:pPr>
        <w:pStyle w:val="Bibliographie"/>
        <w:rPr>
          <w:rFonts w:ascii="Gill Sans MT" w:hAnsi="Gill Sans MT"/>
          <w:b/>
          <w:bCs/>
          <w:u w:val="single"/>
        </w:rPr>
      </w:pPr>
    </w:p>
    <w:p w14:paraId="536B4919" w14:textId="77777777" w:rsidR="00BD142E" w:rsidRDefault="00BD142E" w:rsidP="008A6378">
      <w:pPr>
        <w:pStyle w:val="Bibliographie"/>
        <w:rPr>
          <w:rFonts w:ascii="Gill Sans MT" w:hAnsi="Gill Sans MT"/>
          <w:b/>
          <w:bCs/>
          <w:u w:val="single"/>
        </w:rPr>
      </w:pPr>
    </w:p>
    <w:p w14:paraId="1144DFC8" w14:textId="77777777" w:rsidR="00BD142E" w:rsidRDefault="00BD142E" w:rsidP="008A6378">
      <w:pPr>
        <w:pStyle w:val="Bibliographie"/>
        <w:rPr>
          <w:rFonts w:ascii="Gill Sans MT" w:hAnsi="Gill Sans MT"/>
          <w:b/>
          <w:bCs/>
          <w:u w:val="single"/>
        </w:rPr>
      </w:pPr>
    </w:p>
    <w:p w14:paraId="4D5E0B92" w14:textId="4206BC56" w:rsidR="008A6378" w:rsidRPr="008A6378" w:rsidRDefault="008A6378" w:rsidP="008A6378">
      <w:pPr>
        <w:pStyle w:val="Bibliographie"/>
        <w:rPr>
          <w:rFonts w:ascii="Gill Sans MT" w:hAnsi="Gill Sans MT"/>
          <w:b/>
          <w:bCs/>
          <w:u w:val="single"/>
        </w:rPr>
      </w:pPr>
      <w:r w:rsidRPr="008A6378">
        <w:rPr>
          <w:rFonts w:ascii="Gill Sans MT" w:hAnsi="Gill Sans MT"/>
          <w:b/>
          <w:bCs/>
          <w:u w:val="single"/>
        </w:rPr>
        <w:lastRenderedPageBreak/>
        <w:t>Sensitivity analysis</w:t>
      </w:r>
    </w:p>
    <w:p w14:paraId="0559BB0A" w14:textId="1ABB8F0E" w:rsidR="00083A00" w:rsidRDefault="000A347F" w:rsidP="00C84BAB">
      <w:r>
        <w:rPr>
          <w:noProof/>
        </w:rPr>
        <w:drawing>
          <wp:inline distT="0" distB="0" distL="0" distR="0" wp14:anchorId="286BBE71" wp14:editId="4875AAED">
            <wp:extent cx="5711825" cy="5767058"/>
            <wp:effectExtent l="0" t="0" r="3175" b="5715"/>
            <wp:docPr id="127972632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550" t="3377" r="3121" b="2392"/>
                    <a:stretch>
                      <a:fillRect/>
                    </a:stretch>
                  </pic:blipFill>
                  <pic:spPr bwMode="auto">
                    <a:xfrm>
                      <a:off x="0" y="0"/>
                      <a:ext cx="5712990" cy="5768234"/>
                    </a:xfrm>
                    <a:prstGeom prst="rect">
                      <a:avLst/>
                    </a:prstGeom>
                    <a:noFill/>
                    <a:ln>
                      <a:noFill/>
                    </a:ln>
                    <a:extLst>
                      <a:ext uri="{53640926-AAD7-44D8-BBD7-CCE9431645EC}">
                        <a14:shadowObscured xmlns:a14="http://schemas.microsoft.com/office/drawing/2010/main"/>
                      </a:ext>
                    </a:extLst>
                  </pic:spPr>
                </pic:pic>
              </a:graphicData>
            </a:graphic>
          </wp:inline>
        </w:drawing>
      </w:r>
    </w:p>
    <w:p w14:paraId="5034108C" w14:textId="259DCA8A" w:rsidR="000A347F" w:rsidRPr="00A36449" w:rsidRDefault="006907F0" w:rsidP="000A347F">
      <w:pPr>
        <w:spacing w:after="200" w:line="240" w:lineRule="auto"/>
        <w:rPr>
          <w:sz w:val="24"/>
          <w:szCs w:val="24"/>
        </w:rPr>
      </w:pPr>
      <w:r w:rsidRPr="00A36449">
        <w:rPr>
          <w:b/>
          <w:bCs/>
          <w:sz w:val="24"/>
          <w:szCs w:val="24"/>
        </w:rPr>
        <w:t xml:space="preserve">Supplementary Fig. </w:t>
      </w:r>
      <w:r w:rsidRPr="00A36449">
        <w:rPr>
          <w:b/>
          <w:bCs/>
          <w:sz w:val="24"/>
          <w:szCs w:val="24"/>
        </w:rPr>
        <w:fldChar w:fldCharType="begin"/>
      </w:r>
      <w:r w:rsidRPr="00A36449">
        <w:rPr>
          <w:b/>
          <w:bCs/>
          <w:sz w:val="24"/>
          <w:szCs w:val="24"/>
        </w:rPr>
        <w:instrText xml:space="preserve"> SEQ Supplementary_Fig. \* ARABIC </w:instrText>
      </w:r>
      <w:r w:rsidRPr="00A36449">
        <w:rPr>
          <w:b/>
          <w:bCs/>
          <w:sz w:val="24"/>
          <w:szCs w:val="24"/>
        </w:rPr>
        <w:fldChar w:fldCharType="separate"/>
      </w:r>
      <w:r w:rsidR="00A36449" w:rsidRPr="00A36449">
        <w:rPr>
          <w:b/>
          <w:bCs/>
          <w:noProof/>
          <w:sz w:val="24"/>
          <w:szCs w:val="24"/>
        </w:rPr>
        <w:t>8</w:t>
      </w:r>
      <w:r w:rsidRPr="00A36449">
        <w:rPr>
          <w:b/>
          <w:bCs/>
          <w:sz w:val="24"/>
          <w:szCs w:val="24"/>
        </w:rPr>
        <w:fldChar w:fldCharType="end"/>
      </w:r>
      <w:r w:rsidR="000A347F" w:rsidRPr="00A36449">
        <w:rPr>
          <w:sz w:val="24"/>
          <w:szCs w:val="24"/>
        </w:rPr>
        <w:t xml:space="preserve"> Sensitivity analysis of the </w:t>
      </w:r>
      <w:r w:rsidR="00F755B4" w:rsidRPr="00A36449">
        <w:rPr>
          <w:sz w:val="24"/>
          <w:szCs w:val="24"/>
        </w:rPr>
        <w:t>m</w:t>
      </w:r>
      <w:r w:rsidR="000A347F" w:rsidRPr="00A36449">
        <w:rPr>
          <w:sz w:val="24"/>
          <w:szCs w:val="24"/>
        </w:rPr>
        <w:t xml:space="preserve">pox </w:t>
      </w:r>
      <w:r w:rsidR="00F755B4" w:rsidRPr="00A36449">
        <w:rPr>
          <w:sz w:val="24"/>
          <w:szCs w:val="24"/>
        </w:rPr>
        <w:t xml:space="preserve">disease severity rate </w:t>
      </w:r>
      <w:r w:rsidR="000A347F" w:rsidRPr="00A36449">
        <w:rPr>
          <w:sz w:val="24"/>
          <w:szCs w:val="24"/>
        </w:rPr>
        <w:t>in Africa</w:t>
      </w:r>
    </w:p>
    <w:p w14:paraId="4782A740" w14:textId="786B9A94" w:rsidR="008A6378" w:rsidRDefault="008A6378" w:rsidP="008A6378">
      <w:pPr>
        <w:pStyle w:val="Lgende"/>
      </w:pPr>
    </w:p>
    <w:p w14:paraId="1A10F527" w14:textId="77777777" w:rsidR="00BD142E" w:rsidRDefault="00BD142E" w:rsidP="00BD142E"/>
    <w:p w14:paraId="788489CF" w14:textId="77777777" w:rsidR="00BD142E" w:rsidRDefault="00BD142E" w:rsidP="00BD142E"/>
    <w:p w14:paraId="31FB8F60" w14:textId="77777777" w:rsidR="00BD142E" w:rsidRDefault="00BD142E" w:rsidP="00BD142E"/>
    <w:p w14:paraId="2827E45A" w14:textId="77777777" w:rsidR="00BD142E" w:rsidRDefault="00BD142E" w:rsidP="00BD142E"/>
    <w:p w14:paraId="6F65263F" w14:textId="77777777" w:rsidR="00BD142E" w:rsidRDefault="00BD142E" w:rsidP="00BD142E"/>
    <w:p w14:paraId="41D8654F" w14:textId="77777777" w:rsidR="00BD142E" w:rsidRDefault="00BD142E" w:rsidP="00BD142E"/>
    <w:p w14:paraId="6FE24395" w14:textId="77777777" w:rsidR="00BD142E" w:rsidRPr="00BD142E" w:rsidRDefault="00BD142E" w:rsidP="00BD142E"/>
    <w:p w14:paraId="0F818C8A" w14:textId="653C6247" w:rsidR="00C84BAB" w:rsidRPr="00A777D8" w:rsidRDefault="00B86B31" w:rsidP="00C84BAB">
      <w:pPr>
        <w:rPr>
          <w:rFonts w:ascii="Gill Sans MT" w:hAnsi="Gill Sans MT"/>
          <w:b/>
          <w:bCs/>
        </w:rPr>
      </w:pPr>
      <w:r w:rsidRPr="00A777D8">
        <w:rPr>
          <w:rFonts w:ascii="Gill Sans MT" w:hAnsi="Gill Sans MT"/>
          <w:b/>
          <w:bCs/>
        </w:rPr>
        <w:lastRenderedPageBreak/>
        <w:t>References</w:t>
      </w:r>
    </w:p>
    <w:p w14:paraId="411D60A8" w14:textId="5D30A49D" w:rsidR="003F0BDF" w:rsidRPr="003F0BDF" w:rsidRDefault="005C2186" w:rsidP="003F0BDF">
      <w:pPr>
        <w:pStyle w:val="Bibliographie"/>
      </w:pPr>
      <w:r>
        <w:fldChar w:fldCharType="begin"/>
      </w:r>
      <w:r>
        <w:instrText xml:space="preserve"> ADDIN ZOTERO_BIBL {"uncited":[],"omitted":[],"custom":[]} CSL_BIBLIOGRAPHY </w:instrText>
      </w:r>
      <w:r>
        <w:fldChar w:fldCharType="separate"/>
      </w:r>
      <w:r w:rsidR="003F0BDF" w:rsidRPr="003F0BDF">
        <w:t xml:space="preserve">1. </w:t>
      </w:r>
      <w:r w:rsidR="003F0BDF" w:rsidRPr="003F0BDF">
        <w:tab/>
        <w:t xml:space="preserve">Breman JG, Kalisa-Ruti, Steniowski MV, Zanotto E, Gromyko AI, Arita I. Human monkeypox, 1970-79. Bull World Health Organ. 1980;58(2):165–82. </w:t>
      </w:r>
    </w:p>
    <w:p w14:paraId="1F11DA6F" w14:textId="77777777" w:rsidR="003F0BDF" w:rsidRPr="003F0BDF" w:rsidRDefault="003F0BDF" w:rsidP="003F0BDF">
      <w:pPr>
        <w:pStyle w:val="Bibliographie"/>
      </w:pPr>
      <w:r w:rsidRPr="003F0BDF">
        <w:t xml:space="preserve">2. </w:t>
      </w:r>
      <w:r w:rsidRPr="003F0BDF">
        <w:tab/>
        <w:t xml:space="preserve">Arita I, Jezek Z, Khodakevich L, Ruti K. Human monkeypox: a newly emerged orthopoxvirus zoonosis in the tropical rain forests of Africa. Am J Trop Med Hyg. 1985;34(4):781–9. </w:t>
      </w:r>
    </w:p>
    <w:p w14:paraId="0AF5A028" w14:textId="77777777" w:rsidR="003F0BDF" w:rsidRPr="003F0BDF" w:rsidRDefault="003F0BDF" w:rsidP="003F0BDF">
      <w:pPr>
        <w:pStyle w:val="Bibliographie"/>
      </w:pPr>
      <w:r w:rsidRPr="003F0BDF">
        <w:t xml:space="preserve">3. </w:t>
      </w:r>
      <w:r w:rsidRPr="003F0BDF">
        <w:tab/>
        <w:t xml:space="preserve">Jezek Z, Marennikova SS, Mutumbo M, Nakano JH, Paluku KM, Szczeniowski M. Human Monkeypox: A Study of 2,510 Contacts of 214 Patients. J Infect Dis. 1986;154(4):551–5. </w:t>
      </w:r>
    </w:p>
    <w:p w14:paraId="0C0DCB1E" w14:textId="77777777" w:rsidR="003F0BDF" w:rsidRPr="003F0BDF" w:rsidRDefault="003F0BDF" w:rsidP="003F0BDF">
      <w:pPr>
        <w:pStyle w:val="Bibliographie"/>
      </w:pPr>
      <w:r w:rsidRPr="003F0BDF">
        <w:t xml:space="preserve">4. </w:t>
      </w:r>
      <w:r w:rsidRPr="003F0BDF">
        <w:tab/>
        <w:t xml:space="preserve">Meyer H, Perrichot M, Stemmler M, Emmerich P, Schmitz H, Varaine F, et al. Outbreaks of Disease Suspected of Being Due to Human Monkeypox Virus Infection in the Democratic Republic of Congo in 2001. J Clin Microbiol. 2002;40(8):2919–21. </w:t>
      </w:r>
    </w:p>
    <w:p w14:paraId="0835F44D" w14:textId="77777777" w:rsidR="003F0BDF" w:rsidRPr="003F0BDF" w:rsidRDefault="003F0BDF" w:rsidP="003F0BDF">
      <w:pPr>
        <w:pStyle w:val="Bibliographie"/>
      </w:pPr>
      <w:r w:rsidRPr="003F0BDF">
        <w:t xml:space="preserve">5. </w:t>
      </w:r>
      <w:r w:rsidRPr="003F0BDF">
        <w:tab/>
        <w:t xml:space="preserve">Boumandouki P, Bileckot R, Ibara JR, Satounkazi C, Wassa Wassa D, Libama E, et al. [Simian smallpox (or monkey smallpox): study of 8 cases observed at Impfondo Hospital in Republic of Congo]. Bull Soc Pathol Exot 1990. 2007;100(1):17–21. </w:t>
      </w:r>
    </w:p>
    <w:p w14:paraId="18E9DC81" w14:textId="77777777" w:rsidR="003F0BDF" w:rsidRPr="003F0BDF" w:rsidRDefault="003F0BDF" w:rsidP="003F0BDF">
      <w:pPr>
        <w:pStyle w:val="Bibliographie"/>
      </w:pPr>
      <w:r w:rsidRPr="003F0BDF">
        <w:t xml:space="preserve">6. </w:t>
      </w:r>
      <w:r w:rsidRPr="003F0BDF">
        <w:tab/>
        <w:t xml:space="preserve">Damon IK, Roth CE, Chowdhary V. Discovery of Monkeypox in Sudan. N Engl J Med. 2006;355(9):962–3. </w:t>
      </w:r>
    </w:p>
    <w:p w14:paraId="5EBD12FC" w14:textId="77777777" w:rsidR="003F0BDF" w:rsidRPr="003F0BDF" w:rsidRDefault="003F0BDF" w:rsidP="003F0BDF">
      <w:pPr>
        <w:pStyle w:val="Bibliographie"/>
      </w:pPr>
      <w:r w:rsidRPr="003F0BDF">
        <w:t xml:space="preserve">7. </w:t>
      </w:r>
      <w:r w:rsidRPr="003F0BDF">
        <w:tab/>
        <w:t xml:space="preserve">Hoff NA, Morier DS, Kisalu NK, Johnston SC, Doshi RH, Hensley LE, et al. Varicella Coinfection in Patients with Active Monkeypox in the Democratic Republic of the Congo. EcoHealth. 2017;14(3):564–74. </w:t>
      </w:r>
    </w:p>
    <w:p w14:paraId="168E2A63" w14:textId="77777777" w:rsidR="003F0BDF" w:rsidRPr="003F0BDF" w:rsidRDefault="003F0BDF" w:rsidP="003F0BDF">
      <w:pPr>
        <w:pStyle w:val="Bibliographie"/>
      </w:pPr>
      <w:r w:rsidRPr="003F0BDF">
        <w:t xml:space="preserve">8. </w:t>
      </w:r>
      <w:r w:rsidRPr="003F0BDF">
        <w:tab/>
      </w:r>
      <w:r w:rsidRPr="00B30E1A">
        <w:t xml:space="preserve">Berthet N, Nakouné E, Whist E, Selekon B, Burguière AM, Manuguerra JC, et al. </w:t>
      </w:r>
      <w:r w:rsidRPr="003F0BDF">
        <w:t xml:space="preserve">Maculopapular lesions in the Central African Republic. The Lancet. 2011;378(9799):1354. </w:t>
      </w:r>
    </w:p>
    <w:p w14:paraId="66FCCD76" w14:textId="77777777" w:rsidR="003F0BDF" w:rsidRPr="003F0BDF" w:rsidRDefault="003F0BDF" w:rsidP="003F0BDF">
      <w:pPr>
        <w:pStyle w:val="Bibliographie"/>
      </w:pPr>
      <w:r w:rsidRPr="003F0BDF">
        <w:t xml:space="preserve">9. </w:t>
      </w:r>
      <w:r w:rsidRPr="003F0BDF">
        <w:tab/>
        <w:t xml:space="preserve">Pittman PR, Martin JW, Kingebeni PM, Tamfum JJM, Mwema G, Wan Q, et al. Clinical characterization and placental pathology of mpox infection in hospitalized patients in the Democratic Republic of the Congo. Bowman N, editor. PLoS Negl Trop Dis. 2023;17(4):e0010384. </w:t>
      </w:r>
    </w:p>
    <w:p w14:paraId="0B631C3C" w14:textId="77777777" w:rsidR="003F0BDF" w:rsidRPr="003F0BDF" w:rsidRDefault="003F0BDF" w:rsidP="003F0BDF">
      <w:pPr>
        <w:pStyle w:val="Bibliographie"/>
      </w:pPr>
      <w:r w:rsidRPr="003F0BDF">
        <w:t xml:space="preserve">10. </w:t>
      </w:r>
      <w:r w:rsidRPr="003F0BDF">
        <w:tab/>
        <w:t xml:space="preserve">Hughes CM, Liu L, Davidson WB, Radford KW, Wilkins K, Monroe B, et al. A Tale of Two Viruses: Coinfections of Monkeypox and Varicella Zoster Virus in the Democratic Republic of Congo. Am J Trop Med Hyg. 2021;104(2):604–11. </w:t>
      </w:r>
    </w:p>
    <w:p w14:paraId="743EE0A4" w14:textId="77777777" w:rsidR="003F0BDF" w:rsidRPr="003F0BDF" w:rsidRDefault="003F0BDF" w:rsidP="003F0BDF">
      <w:pPr>
        <w:pStyle w:val="Bibliographie"/>
      </w:pPr>
      <w:r w:rsidRPr="003F0BDF">
        <w:t xml:space="preserve">11. </w:t>
      </w:r>
      <w:r w:rsidRPr="003F0BDF">
        <w:tab/>
        <w:t xml:space="preserve">Osadebe L, Hughes CM, Shongo Lushima R, Kabamba J, Nguete B, Malekani J, et al. Enhancing case definitions for surveillance of human monkeypox in the Democratic Republic of Congo. Kasper M, editor. PLoS Negl Trop Dis. 2017;11(9):e0005857. </w:t>
      </w:r>
    </w:p>
    <w:p w14:paraId="2B3CF249" w14:textId="77777777" w:rsidR="003F0BDF" w:rsidRPr="003F0BDF" w:rsidRDefault="003F0BDF" w:rsidP="003F0BDF">
      <w:pPr>
        <w:pStyle w:val="Bibliographie"/>
      </w:pPr>
      <w:r w:rsidRPr="003F0BDF">
        <w:t xml:space="preserve">12. </w:t>
      </w:r>
      <w:r w:rsidRPr="003F0BDF">
        <w:tab/>
        <w:t xml:space="preserve">Kalthan E, Dondo-Fongbia JP, Yambele S, Dieu-Creer LR, Zepio R, Pamatika CM. </w:t>
      </w:r>
      <w:r w:rsidRPr="003F0BDF">
        <w:rPr>
          <w:lang w:val="fr-FR"/>
        </w:rPr>
        <w:t xml:space="preserve">Epidémie de 12 cas de maladie à virus monkeypox dans le district de Bangassou en République Centrafricaine en décembre 2015. </w:t>
      </w:r>
      <w:r w:rsidRPr="003F0BDF">
        <w:t xml:space="preserve">Bull Société Pathol Exot. 2016;109(5):358–63. </w:t>
      </w:r>
    </w:p>
    <w:p w14:paraId="5C2793FD" w14:textId="77777777" w:rsidR="003F0BDF" w:rsidRPr="003F0BDF" w:rsidRDefault="003F0BDF" w:rsidP="003F0BDF">
      <w:pPr>
        <w:pStyle w:val="Bibliographie"/>
      </w:pPr>
      <w:r w:rsidRPr="003F0BDF">
        <w:t xml:space="preserve">13. </w:t>
      </w:r>
      <w:r w:rsidRPr="003F0BDF">
        <w:tab/>
        <w:t xml:space="preserve">Whitehouse ER, Bonwitt J, Hughes CM, Lushima RS, Likafi T, Nguete B, et al. Clinical and Epidemiological Findings from Enhanced Monkeypox Surveillance in Tshuapa Province, Democratic Republic of the Congo During 2011–2015. J Infect Dis. 2021;223(11):1870–8. </w:t>
      </w:r>
    </w:p>
    <w:p w14:paraId="756536F6" w14:textId="77777777" w:rsidR="003F0BDF" w:rsidRPr="003F0BDF" w:rsidRDefault="003F0BDF" w:rsidP="003F0BDF">
      <w:pPr>
        <w:pStyle w:val="Bibliographie"/>
      </w:pPr>
      <w:r w:rsidRPr="003F0BDF">
        <w:lastRenderedPageBreak/>
        <w:t xml:space="preserve">14. </w:t>
      </w:r>
      <w:r w:rsidRPr="003F0BDF">
        <w:tab/>
        <w:t xml:space="preserve">Kalthan E, Tenguere J, Ndjapou SG, Koyazengbe TA, Mbomba J, Marada RM, et al. Investigation of an outbreak of monkeypox in an area occupied by armed groups, Central African Republic. Médecine Mal Infect. 2018;48(4):263–8. </w:t>
      </w:r>
    </w:p>
    <w:p w14:paraId="46FA6457" w14:textId="77777777" w:rsidR="003F0BDF" w:rsidRPr="003F0BDF" w:rsidRDefault="003F0BDF" w:rsidP="003F0BDF">
      <w:pPr>
        <w:pStyle w:val="Bibliographie"/>
      </w:pPr>
      <w:r w:rsidRPr="003F0BDF">
        <w:t xml:space="preserve">15. </w:t>
      </w:r>
      <w:r w:rsidRPr="003F0BDF">
        <w:tab/>
        <w:t xml:space="preserve">Nakoune E, Lampaert E, Ndjapou SG, Janssens C, Zuniga I, Van Herp M, et al. A Nosocomial Outbreak of Human Monkeypox in the Central African Republic. Open Forum Infect Dis. 2017;4(4):ofx168. </w:t>
      </w:r>
    </w:p>
    <w:p w14:paraId="0EE849E1" w14:textId="77777777" w:rsidR="003F0BDF" w:rsidRPr="003F0BDF" w:rsidRDefault="003F0BDF" w:rsidP="003F0BDF">
      <w:pPr>
        <w:pStyle w:val="Bibliographie"/>
      </w:pPr>
      <w:r w:rsidRPr="003F0BDF">
        <w:t xml:space="preserve">16. </w:t>
      </w:r>
      <w:r w:rsidRPr="003F0BDF">
        <w:tab/>
        <w:t xml:space="preserve">Doshi RH, Guagliardo SAJ, Dzabatou-Babeaux A, Likouayoulou C, Ndakala N, Moses C, et al. Strengthening of Surveillance during Monkeypox Outbreak, Republic of the Congo, 2017. Emerg Infect Dis. 2018;24(6):1158–60. </w:t>
      </w:r>
    </w:p>
    <w:p w14:paraId="00670247" w14:textId="77777777" w:rsidR="003F0BDF" w:rsidRPr="003F0BDF" w:rsidRDefault="003F0BDF" w:rsidP="003F0BDF">
      <w:pPr>
        <w:pStyle w:val="Bibliographie"/>
      </w:pPr>
      <w:r w:rsidRPr="003F0BDF">
        <w:t xml:space="preserve">17. </w:t>
      </w:r>
      <w:r w:rsidRPr="003F0BDF">
        <w:tab/>
        <w:t xml:space="preserve">Ogoina D, Iroezindu M, James HI, Oladokun R, Yinka-Ogunleye A, Wakama P, et al. Clinical Course and Outcome of Human Monkeypox in Nigeria. Clin Infect Dis. 2020;71(8):e210–4. </w:t>
      </w:r>
    </w:p>
    <w:p w14:paraId="0ACF007D" w14:textId="77777777" w:rsidR="003F0BDF" w:rsidRPr="003F0BDF" w:rsidRDefault="003F0BDF" w:rsidP="003F0BDF">
      <w:pPr>
        <w:pStyle w:val="Bibliographie"/>
      </w:pPr>
      <w:r w:rsidRPr="003F0BDF">
        <w:t xml:space="preserve">18. </w:t>
      </w:r>
      <w:r w:rsidRPr="003F0BDF">
        <w:tab/>
        <w:t xml:space="preserve">Vaughan A, Aarons E, Astbury J, Balasegaram S, Beadsworth M, Beck CR, et al. Two cases of monkeypox imported to the United Kingdom, September 2018. Eurosurveillance. 2018;23(38):1800509. </w:t>
      </w:r>
    </w:p>
    <w:p w14:paraId="425272B5" w14:textId="77777777" w:rsidR="003F0BDF" w:rsidRPr="003F0BDF" w:rsidRDefault="003F0BDF" w:rsidP="003F0BDF">
      <w:pPr>
        <w:pStyle w:val="Bibliographie"/>
      </w:pPr>
      <w:r w:rsidRPr="003F0BDF">
        <w:t xml:space="preserve">19. </w:t>
      </w:r>
      <w:r w:rsidRPr="003F0BDF">
        <w:tab/>
        <w:t xml:space="preserve">Ogoina D, Yinka-Ogunleye A. Sexual history of human monkeypox patients seen at a tertiary hospital in Bayelsa, Nigeria. Int J STD AIDS. 2022;33(10):928–32. </w:t>
      </w:r>
    </w:p>
    <w:p w14:paraId="700773EA" w14:textId="77777777" w:rsidR="003F0BDF" w:rsidRPr="003F0BDF" w:rsidRDefault="003F0BDF" w:rsidP="003F0BDF">
      <w:pPr>
        <w:pStyle w:val="Bibliographie"/>
      </w:pPr>
      <w:r w:rsidRPr="003F0BDF">
        <w:t xml:space="preserve">20. </w:t>
      </w:r>
      <w:r w:rsidRPr="003F0BDF">
        <w:tab/>
        <w:t xml:space="preserve">Echekwube PO, Mbaave PT, Abidakun OA, Utoo BT, Swende TZ. Human monkeypox and human immunodeficiency virus co-infection: a case series in Makurdi, Benue State, Nigeria. J Biomed Res Clin Pract. 2020;3(2):375–81. </w:t>
      </w:r>
    </w:p>
    <w:p w14:paraId="68F6D7AF" w14:textId="77777777" w:rsidR="003F0BDF" w:rsidRPr="003F0BDF" w:rsidRDefault="003F0BDF" w:rsidP="003F0BDF">
      <w:pPr>
        <w:pStyle w:val="Bibliographie"/>
      </w:pPr>
      <w:r w:rsidRPr="003F0BDF">
        <w:t xml:space="preserve">21. </w:t>
      </w:r>
      <w:r w:rsidRPr="003F0BDF">
        <w:tab/>
        <w:t xml:space="preserve">Mande G, Akonda I, Weggheleire AD, Brosius I, Liesenborghs L, Bottieau E, et al. Enhanced surveillance of monkeypox in Bas-Uélé, Democratic Republic of Congo: the limitations of symptom-based case definitions. Int J Infect Dis. 2022;122:647–55. </w:t>
      </w:r>
    </w:p>
    <w:p w14:paraId="60BD4231" w14:textId="77777777" w:rsidR="003F0BDF" w:rsidRPr="003F0BDF" w:rsidRDefault="003F0BDF" w:rsidP="003F0BDF">
      <w:pPr>
        <w:pStyle w:val="Bibliographie"/>
      </w:pPr>
      <w:r w:rsidRPr="003F0BDF">
        <w:t xml:space="preserve">22. </w:t>
      </w:r>
      <w:r w:rsidRPr="003F0BDF">
        <w:tab/>
        <w:t xml:space="preserve">Hobson G, Adamson J, Adler H, Firth R, Gould S, Houlihan C, et al. Family cluster of three cases of monkeypox imported from Nigeria to the United Kingdom, May 2021. Eurosurveillance. 2021;26(32):2100745. </w:t>
      </w:r>
    </w:p>
    <w:p w14:paraId="57A14809" w14:textId="77777777" w:rsidR="003F0BDF" w:rsidRPr="003F0BDF" w:rsidRDefault="003F0BDF" w:rsidP="003F0BDF">
      <w:pPr>
        <w:pStyle w:val="Bibliographie"/>
      </w:pPr>
      <w:r w:rsidRPr="003F0BDF">
        <w:t xml:space="preserve">23. </w:t>
      </w:r>
      <w:r w:rsidRPr="003F0BDF">
        <w:tab/>
        <w:t xml:space="preserve">Amao LK, Olatunji DI, Igbodo G, Okoli SC, Amaechi I, Goni MI, et al. Trend and enhanced surveillance of Monkeypox during COVID-19 pandemic in Nigeria. J Public Health Afr. 2022;13(1):2184. </w:t>
      </w:r>
    </w:p>
    <w:p w14:paraId="6155733C" w14:textId="77777777" w:rsidR="003F0BDF" w:rsidRPr="003F0BDF" w:rsidRDefault="003F0BDF" w:rsidP="003F0BDF">
      <w:pPr>
        <w:pStyle w:val="Bibliographie"/>
      </w:pPr>
      <w:r w:rsidRPr="003F0BDF">
        <w:t xml:space="preserve">24. </w:t>
      </w:r>
      <w:r w:rsidRPr="003F0BDF">
        <w:tab/>
        <w:t xml:space="preserve">Djuicy DD, Sadeuh-Mba SA, Bilounga CN, Yonga MG, Tchatchueng-Mbougua JB, Essima GD, et al. Concurrent Clade I and Clade II Monkeypox Virus Circulation, Cameroon, 1979–2022. Emerg Infect Dis. 2024;30(3):433–43. </w:t>
      </w:r>
    </w:p>
    <w:p w14:paraId="2632A934" w14:textId="77777777" w:rsidR="003F0BDF" w:rsidRPr="00B30E1A" w:rsidRDefault="003F0BDF" w:rsidP="003F0BDF">
      <w:pPr>
        <w:pStyle w:val="Bibliographie"/>
        <w:rPr>
          <w:lang w:val="de-DE"/>
        </w:rPr>
      </w:pPr>
      <w:r w:rsidRPr="003F0BDF">
        <w:t xml:space="preserve">25. </w:t>
      </w:r>
      <w:r w:rsidRPr="003F0BDF">
        <w:tab/>
        <w:t xml:space="preserve">Yadouleton A, Faye M, Tchibozo C, Oke M, Faye O, Lawale T, et al. Introduction of monkeypox virus in Benin, 2022. </w:t>
      </w:r>
      <w:r w:rsidRPr="00B30E1A">
        <w:rPr>
          <w:lang w:val="de-DE"/>
        </w:rPr>
        <w:t xml:space="preserve">Mil Med Res. 2022 Nov 9;9(1):63. </w:t>
      </w:r>
    </w:p>
    <w:p w14:paraId="0091F2A8" w14:textId="77777777" w:rsidR="003F0BDF" w:rsidRPr="003F0BDF" w:rsidRDefault="003F0BDF" w:rsidP="003F0BDF">
      <w:pPr>
        <w:pStyle w:val="Bibliographie"/>
        <w:rPr>
          <w:lang w:val="de-DE"/>
        </w:rPr>
      </w:pPr>
      <w:r w:rsidRPr="00B30E1A">
        <w:rPr>
          <w:lang w:val="de-DE"/>
        </w:rPr>
        <w:t xml:space="preserve">26. </w:t>
      </w:r>
      <w:r w:rsidRPr="00B30E1A">
        <w:rPr>
          <w:lang w:val="de-DE"/>
        </w:rPr>
        <w:tab/>
      </w:r>
      <w:r w:rsidRPr="003F0BDF">
        <w:rPr>
          <w:lang w:val="de-DE"/>
        </w:rPr>
        <w:t xml:space="preserve">Besombes C, Mbrenga F, Malaka C, Gonofio E, Schaeffer L, Konamna X, et al. </w:t>
      </w:r>
      <w:r w:rsidRPr="003F0BDF">
        <w:t xml:space="preserve">Investigation of a mpox outbreak in Central African Republic, 2021-2022. One Health. </w:t>
      </w:r>
      <w:r w:rsidRPr="003F0BDF">
        <w:rPr>
          <w:lang w:val="de-DE"/>
        </w:rPr>
        <w:t xml:space="preserve">2023;16:100523. </w:t>
      </w:r>
    </w:p>
    <w:p w14:paraId="7A16C46F" w14:textId="77777777" w:rsidR="003F0BDF" w:rsidRPr="003F0BDF" w:rsidRDefault="003F0BDF" w:rsidP="003F0BDF">
      <w:pPr>
        <w:pStyle w:val="Bibliographie"/>
      </w:pPr>
      <w:r w:rsidRPr="003F0BDF">
        <w:rPr>
          <w:lang w:val="de-DE"/>
        </w:rPr>
        <w:lastRenderedPageBreak/>
        <w:t xml:space="preserve">27. </w:t>
      </w:r>
      <w:r w:rsidRPr="003F0BDF">
        <w:rPr>
          <w:lang w:val="de-DE"/>
        </w:rPr>
        <w:tab/>
        <w:t xml:space="preserve">Kibungu EM, Vakaniaki EH, Kinganda-Lusamaki E, Kalonji-Mukendi T, Pukuta E, Hoff NA, et al. </w:t>
      </w:r>
      <w:r w:rsidRPr="003F0BDF">
        <w:t xml:space="preserve">Clade I–Associated Mpox Cases Associated with Sexual Contact, the Democratic Republic of the Congo. Emerg Infect Dis. 2024;30(1):172–6. </w:t>
      </w:r>
    </w:p>
    <w:p w14:paraId="567AD960" w14:textId="77777777" w:rsidR="003F0BDF" w:rsidRPr="003F0BDF" w:rsidRDefault="003F0BDF" w:rsidP="003F0BDF">
      <w:pPr>
        <w:pStyle w:val="Bibliographie"/>
      </w:pPr>
      <w:r w:rsidRPr="003F0BDF">
        <w:t xml:space="preserve">28. </w:t>
      </w:r>
      <w:r w:rsidRPr="003F0BDF">
        <w:tab/>
        <w:t xml:space="preserve">Mmerem JI, Umenzekwe CC, Johnson SM, Onukak AE, Chika-Igwenyi NM, Chukwu SK, et al. Mpox and Chickenpox Coinfection: Case Series From Southern Nigeria. J Infect Dis. 2024;229(Supplement_2):S260-4. </w:t>
      </w:r>
    </w:p>
    <w:p w14:paraId="41F2116A" w14:textId="77777777" w:rsidR="003F0BDF" w:rsidRPr="003F0BDF" w:rsidRDefault="003F0BDF" w:rsidP="003F0BDF">
      <w:pPr>
        <w:pStyle w:val="Bibliographie"/>
      </w:pPr>
      <w:r w:rsidRPr="003F0BDF">
        <w:t xml:space="preserve">29. </w:t>
      </w:r>
      <w:r w:rsidRPr="003F0BDF">
        <w:tab/>
        <w:t xml:space="preserve">Nizigiyimana A, Ndikumwenayo F, Houben S, Manirakiza M, Lettow M van, Liesenborghs L, et al. Epidemiological analysis of confirmed mpox cases, Burundi, 3 July to 9 September 2024. Eurosurveillance. 2024;29(42):2400647. </w:t>
      </w:r>
    </w:p>
    <w:p w14:paraId="7E92EBAB" w14:textId="77777777" w:rsidR="003F0BDF" w:rsidRPr="003F0BDF" w:rsidRDefault="003F0BDF" w:rsidP="003F0BDF">
      <w:pPr>
        <w:pStyle w:val="Bibliographie"/>
      </w:pPr>
      <w:r w:rsidRPr="003F0BDF">
        <w:t xml:space="preserve">30. </w:t>
      </w:r>
      <w:r w:rsidRPr="003F0BDF">
        <w:tab/>
        <w:t xml:space="preserve">Brosius I, Vakaniaki EH, Mukari G, Munganga P, Tshomba JC, Vos ED, et al. Epidemiological and clinical features of mpox during the clade Ib outbreak in South Kivu, Democratic Republic of the Congo: a prospective cohort study. The Lancet. 2025;405(10478):547–59. </w:t>
      </w:r>
    </w:p>
    <w:p w14:paraId="6567E8FE" w14:textId="77777777" w:rsidR="003F0BDF" w:rsidRPr="003F0BDF" w:rsidRDefault="003F0BDF" w:rsidP="003F0BDF">
      <w:pPr>
        <w:pStyle w:val="Bibliographie"/>
        <w:rPr>
          <w:lang w:val="fr-FR"/>
        </w:rPr>
      </w:pPr>
      <w:r w:rsidRPr="003F0BDF">
        <w:t xml:space="preserve">31. </w:t>
      </w:r>
      <w:r w:rsidRPr="003F0BDF">
        <w:tab/>
        <w:t xml:space="preserve">Mukadi-Bamuleka D, Kinganda-Lusamaki E, Mulopo-Mukanya N, Amuri-Aziza A, O’Toole Á, Modadra-Madakpa B, et al. First imported Cases of MPXV Clade Ib in Goma, Democratic Republic of the Congo: Implications for Global Surveillance and Transmission Dynamics [Internet]. medRxiv; 2024 [cited 2025 Feb 24]. </w:t>
      </w:r>
      <w:r w:rsidRPr="003F0BDF">
        <w:rPr>
          <w:lang w:val="fr-FR"/>
        </w:rPr>
        <w:t>Available from: http://medrxiv.org/lookup/doi/10.1101/2024.09.12.24313188</w:t>
      </w:r>
    </w:p>
    <w:p w14:paraId="5E624B70" w14:textId="77777777" w:rsidR="003F0BDF" w:rsidRPr="003F0BDF" w:rsidRDefault="003F0BDF" w:rsidP="003F0BDF">
      <w:pPr>
        <w:pStyle w:val="Bibliographie"/>
      </w:pPr>
      <w:r w:rsidRPr="003F0BDF">
        <w:rPr>
          <w:lang w:val="fr-FR"/>
        </w:rPr>
        <w:t xml:space="preserve">32. </w:t>
      </w:r>
      <w:r w:rsidRPr="003F0BDF">
        <w:rPr>
          <w:lang w:val="fr-FR"/>
        </w:rPr>
        <w:tab/>
        <w:t xml:space="preserve">Kombozi YDMerci, Singa Valentin. B, Ley. BL, Antoine. ET, Guild. </w:t>
      </w:r>
      <w:r w:rsidRPr="003F0BDF">
        <w:t xml:space="preserve">AK, Lwanga. K, et al. MPOX: EPIDEMIOLOGICAL PROFILE AND FACTORS ASSOCIATED WITH ITS EMERGENCE IN THE ISANGI TERRITORY, DEMOCRATIC REPUBLIC OF CONGO. Int J Appl Sci Eng Rev. 2024;5(5):27–43. </w:t>
      </w:r>
    </w:p>
    <w:p w14:paraId="7BF4E87E" w14:textId="77777777" w:rsidR="003F0BDF" w:rsidRPr="003F0BDF" w:rsidRDefault="003F0BDF" w:rsidP="003F0BDF">
      <w:pPr>
        <w:pStyle w:val="Bibliographie"/>
      </w:pPr>
      <w:r w:rsidRPr="003F0BDF">
        <w:t xml:space="preserve">33. </w:t>
      </w:r>
      <w:r w:rsidRPr="003F0BDF">
        <w:tab/>
        <w:t xml:space="preserve">Vakaniaki EH, Kacita C, Kinganda-Lusamaki E, O’Toole Á, Wawina-Bokalanga T, Mukadi-Bamuleka D, et al. Sustained human outbreak of a new MPXV clade I lineage in eastern Democratic Republic of the Congo. Nat Med. 2024;30(10):2791–5. </w:t>
      </w:r>
    </w:p>
    <w:p w14:paraId="7D881DAF" w14:textId="77777777" w:rsidR="003F0BDF" w:rsidRPr="003F0BDF" w:rsidRDefault="003F0BDF" w:rsidP="003F0BDF">
      <w:pPr>
        <w:pStyle w:val="Bibliographie"/>
      </w:pPr>
      <w:r w:rsidRPr="003F0BDF">
        <w:t xml:space="preserve">34. </w:t>
      </w:r>
      <w:r w:rsidRPr="003F0BDF">
        <w:tab/>
        <w:t xml:space="preserve">Malembi E, Escrig-Sarreta R, Ntumba J, Beiras CG, Shongo R, Bengehya J, et al. Clinical presentation and epidemiological assessment of confirmed human mpox cases in DR Congo: a surveillance-based observational study. The Lancet. 2025;405(10490):1666–75. </w:t>
      </w:r>
    </w:p>
    <w:p w14:paraId="44D97A3E" w14:textId="4D1545FD" w:rsidR="000338E3" w:rsidRPr="00425445" w:rsidRDefault="005C2186">
      <w:r>
        <w:fldChar w:fldCharType="end"/>
      </w:r>
    </w:p>
    <w:sectPr w:rsidR="000338E3" w:rsidRPr="00425445" w:rsidSect="0062633E">
      <w:pgSz w:w="12240" w:h="15840"/>
      <w:pgMar w:top="993" w:right="1183" w:bottom="851" w:left="1417"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01072" w14:textId="77777777" w:rsidR="005571CA" w:rsidRDefault="005571CA" w:rsidP="008D4590">
      <w:pPr>
        <w:spacing w:after="0" w:line="240" w:lineRule="auto"/>
      </w:pPr>
      <w:r>
        <w:separator/>
      </w:r>
    </w:p>
  </w:endnote>
  <w:endnote w:type="continuationSeparator" w:id="0">
    <w:p w14:paraId="600054AF" w14:textId="77777777" w:rsidR="005571CA" w:rsidRDefault="005571CA" w:rsidP="008D4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yriadPro-Regular">
    <w:altName w:val="Calibri"/>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144483"/>
      <w:docPartObj>
        <w:docPartGallery w:val="Page Numbers (Bottom of Page)"/>
        <w:docPartUnique/>
      </w:docPartObj>
    </w:sdtPr>
    <w:sdtContent>
      <w:p w14:paraId="3C894677" w14:textId="1E03E8F2" w:rsidR="008D4590" w:rsidRDefault="008D4590">
        <w:pPr>
          <w:pStyle w:val="Pieddepage"/>
          <w:jc w:val="right"/>
        </w:pPr>
        <w:r>
          <w:fldChar w:fldCharType="begin"/>
        </w:r>
        <w:r>
          <w:instrText>PAGE   \* MERGEFORMAT</w:instrText>
        </w:r>
        <w:r>
          <w:fldChar w:fldCharType="separate"/>
        </w:r>
        <w:r>
          <w:rPr>
            <w:lang w:val="fr-FR"/>
          </w:rPr>
          <w:t>2</w:t>
        </w:r>
        <w:r>
          <w:fldChar w:fldCharType="end"/>
        </w:r>
      </w:p>
    </w:sdtContent>
  </w:sdt>
  <w:p w14:paraId="1B109887" w14:textId="77777777" w:rsidR="008D4590" w:rsidRDefault="008D45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17E37" w14:textId="77777777" w:rsidR="005571CA" w:rsidRDefault="005571CA" w:rsidP="008D4590">
      <w:pPr>
        <w:spacing w:after="0" w:line="240" w:lineRule="auto"/>
      </w:pPr>
      <w:r>
        <w:separator/>
      </w:r>
    </w:p>
  </w:footnote>
  <w:footnote w:type="continuationSeparator" w:id="0">
    <w:p w14:paraId="253571BE" w14:textId="77777777" w:rsidR="005571CA" w:rsidRDefault="005571CA" w:rsidP="008D45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D10"/>
    <w:rsid w:val="00027135"/>
    <w:rsid w:val="000315AB"/>
    <w:rsid w:val="000338E3"/>
    <w:rsid w:val="00083A00"/>
    <w:rsid w:val="000865F6"/>
    <w:rsid w:val="00087F24"/>
    <w:rsid w:val="000A347F"/>
    <w:rsid w:val="000B1E4B"/>
    <w:rsid w:val="000F5921"/>
    <w:rsid w:val="0010640F"/>
    <w:rsid w:val="00106CE8"/>
    <w:rsid w:val="001132A6"/>
    <w:rsid w:val="00127924"/>
    <w:rsid w:val="00142D79"/>
    <w:rsid w:val="00153A9D"/>
    <w:rsid w:val="0015773E"/>
    <w:rsid w:val="00165898"/>
    <w:rsid w:val="00174FC3"/>
    <w:rsid w:val="0018329B"/>
    <w:rsid w:val="00193733"/>
    <w:rsid w:val="001E0B29"/>
    <w:rsid w:val="001E42F7"/>
    <w:rsid w:val="001F3C01"/>
    <w:rsid w:val="00206AD3"/>
    <w:rsid w:val="00236F91"/>
    <w:rsid w:val="00260ACF"/>
    <w:rsid w:val="00290930"/>
    <w:rsid w:val="002973F1"/>
    <w:rsid w:val="002A0D84"/>
    <w:rsid w:val="002A2E7F"/>
    <w:rsid w:val="002B4F07"/>
    <w:rsid w:val="002C634B"/>
    <w:rsid w:val="002D0CB3"/>
    <w:rsid w:val="002D4549"/>
    <w:rsid w:val="002D7B88"/>
    <w:rsid w:val="002E3111"/>
    <w:rsid w:val="002E3A1C"/>
    <w:rsid w:val="00311A6E"/>
    <w:rsid w:val="0032131F"/>
    <w:rsid w:val="003317F1"/>
    <w:rsid w:val="0034015B"/>
    <w:rsid w:val="00355608"/>
    <w:rsid w:val="00370F3E"/>
    <w:rsid w:val="003A77AA"/>
    <w:rsid w:val="003C5C0E"/>
    <w:rsid w:val="003F0BDF"/>
    <w:rsid w:val="003F3497"/>
    <w:rsid w:val="00404244"/>
    <w:rsid w:val="00425445"/>
    <w:rsid w:val="00435AE3"/>
    <w:rsid w:val="004361EB"/>
    <w:rsid w:val="00462509"/>
    <w:rsid w:val="004709D2"/>
    <w:rsid w:val="00496DCC"/>
    <w:rsid w:val="004974FC"/>
    <w:rsid w:val="004B58EB"/>
    <w:rsid w:val="004B7C63"/>
    <w:rsid w:val="004C756C"/>
    <w:rsid w:val="00500204"/>
    <w:rsid w:val="00532915"/>
    <w:rsid w:val="00551F28"/>
    <w:rsid w:val="005531C4"/>
    <w:rsid w:val="005571CA"/>
    <w:rsid w:val="005618B1"/>
    <w:rsid w:val="00586CA6"/>
    <w:rsid w:val="005B5BC9"/>
    <w:rsid w:val="005C2186"/>
    <w:rsid w:val="005E4AC6"/>
    <w:rsid w:val="0062633E"/>
    <w:rsid w:val="00627D24"/>
    <w:rsid w:val="00632EDC"/>
    <w:rsid w:val="006631E3"/>
    <w:rsid w:val="00690692"/>
    <w:rsid w:val="006907F0"/>
    <w:rsid w:val="006B6CB4"/>
    <w:rsid w:val="006E64E2"/>
    <w:rsid w:val="00732E62"/>
    <w:rsid w:val="00793FF8"/>
    <w:rsid w:val="007B04C0"/>
    <w:rsid w:val="007F486A"/>
    <w:rsid w:val="008002E0"/>
    <w:rsid w:val="0080510F"/>
    <w:rsid w:val="008640B2"/>
    <w:rsid w:val="00885959"/>
    <w:rsid w:val="00892CF0"/>
    <w:rsid w:val="008A2801"/>
    <w:rsid w:val="008A6378"/>
    <w:rsid w:val="008D4590"/>
    <w:rsid w:val="008E592F"/>
    <w:rsid w:val="008F35E1"/>
    <w:rsid w:val="008F441B"/>
    <w:rsid w:val="00933A44"/>
    <w:rsid w:val="00956FC2"/>
    <w:rsid w:val="00962B7C"/>
    <w:rsid w:val="009831DA"/>
    <w:rsid w:val="00992439"/>
    <w:rsid w:val="00994D8C"/>
    <w:rsid w:val="009A69B5"/>
    <w:rsid w:val="009C0B26"/>
    <w:rsid w:val="009C16D3"/>
    <w:rsid w:val="009C3071"/>
    <w:rsid w:val="009C4E97"/>
    <w:rsid w:val="009D12DB"/>
    <w:rsid w:val="009E651B"/>
    <w:rsid w:val="00A11749"/>
    <w:rsid w:val="00A11B35"/>
    <w:rsid w:val="00A14E77"/>
    <w:rsid w:val="00A241D8"/>
    <w:rsid w:val="00A32BFC"/>
    <w:rsid w:val="00A36449"/>
    <w:rsid w:val="00A40703"/>
    <w:rsid w:val="00A70880"/>
    <w:rsid w:val="00A777D8"/>
    <w:rsid w:val="00A937B1"/>
    <w:rsid w:val="00AA2D8E"/>
    <w:rsid w:val="00AC2364"/>
    <w:rsid w:val="00AC4C9C"/>
    <w:rsid w:val="00AE5FAE"/>
    <w:rsid w:val="00AF0F20"/>
    <w:rsid w:val="00B0498F"/>
    <w:rsid w:val="00B120BB"/>
    <w:rsid w:val="00B27AAE"/>
    <w:rsid w:val="00B30E1A"/>
    <w:rsid w:val="00B31D2A"/>
    <w:rsid w:val="00B46963"/>
    <w:rsid w:val="00B62FAC"/>
    <w:rsid w:val="00B82733"/>
    <w:rsid w:val="00B86620"/>
    <w:rsid w:val="00B86B31"/>
    <w:rsid w:val="00B90207"/>
    <w:rsid w:val="00B91D75"/>
    <w:rsid w:val="00B93807"/>
    <w:rsid w:val="00B93F39"/>
    <w:rsid w:val="00BD0F12"/>
    <w:rsid w:val="00BD142E"/>
    <w:rsid w:val="00BE79EA"/>
    <w:rsid w:val="00BF4D10"/>
    <w:rsid w:val="00C062D9"/>
    <w:rsid w:val="00C1119F"/>
    <w:rsid w:val="00C243E9"/>
    <w:rsid w:val="00C46E3A"/>
    <w:rsid w:val="00C84BAB"/>
    <w:rsid w:val="00C929D6"/>
    <w:rsid w:val="00CB7428"/>
    <w:rsid w:val="00CF0702"/>
    <w:rsid w:val="00D26588"/>
    <w:rsid w:val="00D26625"/>
    <w:rsid w:val="00D27D68"/>
    <w:rsid w:val="00D46672"/>
    <w:rsid w:val="00D57180"/>
    <w:rsid w:val="00E14140"/>
    <w:rsid w:val="00E213CB"/>
    <w:rsid w:val="00E44C0F"/>
    <w:rsid w:val="00E52D8B"/>
    <w:rsid w:val="00E6150B"/>
    <w:rsid w:val="00E65B2E"/>
    <w:rsid w:val="00E67F37"/>
    <w:rsid w:val="00E7490C"/>
    <w:rsid w:val="00E8593B"/>
    <w:rsid w:val="00E85A0E"/>
    <w:rsid w:val="00EB2C13"/>
    <w:rsid w:val="00EC57A6"/>
    <w:rsid w:val="00EC5AE2"/>
    <w:rsid w:val="00EE2801"/>
    <w:rsid w:val="00EF6034"/>
    <w:rsid w:val="00F07B66"/>
    <w:rsid w:val="00F26DC3"/>
    <w:rsid w:val="00F34AFC"/>
    <w:rsid w:val="00F52C7C"/>
    <w:rsid w:val="00F61855"/>
    <w:rsid w:val="00F74D66"/>
    <w:rsid w:val="00F755B4"/>
    <w:rsid w:val="00F77430"/>
    <w:rsid w:val="00F923AE"/>
    <w:rsid w:val="00FC3DC1"/>
    <w:rsid w:val="00FD5CA2"/>
    <w:rsid w:val="00FE331E"/>
    <w:rsid w:val="00FE56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0E669"/>
  <w15:chartTrackingRefBased/>
  <w15:docId w15:val="{EF906632-2F98-4FB3-B9E1-4A7501712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F4D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F4D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F4D1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F4D1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BF4D10"/>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BF4D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BF4D10"/>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BF4D10"/>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BF4D10"/>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F4D1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F4D1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F4D10"/>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BF4D10"/>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BF4D10"/>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BF4D10"/>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BF4D10"/>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BF4D10"/>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BF4D10"/>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BF4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F4D1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F4D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F4D10"/>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BF4D10"/>
    <w:pPr>
      <w:spacing w:before="160"/>
      <w:jc w:val="center"/>
    </w:pPr>
    <w:rPr>
      <w:i/>
      <w:iCs/>
      <w:color w:val="404040" w:themeColor="text1" w:themeTint="BF"/>
    </w:rPr>
  </w:style>
  <w:style w:type="character" w:customStyle="1" w:styleId="CitationCar">
    <w:name w:val="Citation Car"/>
    <w:basedOn w:val="Policepardfaut"/>
    <w:link w:val="Citation"/>
    <w:uiPriority w:val="29"/>
    <w:rsid w:val="00BF4D10"/>
    <w:rPr>
      <w:i/>
      <w:iCs/>
      <w:color w:val="404040" w:themeColor="text1" w:themeTint="BF"/>
    </w:rPr>
  </w:style>
  <w:style w:type="paragraph" w:styleId="Paragraphedeliste">
    <w:name w:val="List Paragraph"/>
    <w:basedOn w:val="Normal"/>
    <w:uiPriority w:val="34"/>
    <w:qFormat/>
    <w:rsid w:val="00BF4D10"/>
    <w:pPr>
      <w:ind w:left="720"/>
      <w:contextualSpacing/>
    </w:pPr>
  </w:style>
  <w:style w:type="character" w:styleId="Accentuationintense">
    <w:name w:val="Intense Emphasis"/>
    <w:basedOn w:val="Policepardfaut"/>
    <w:uiPriority w:val="21"/>
    <w:qFormat/>
    <w:rsid w:val="00BF4D10"/>
    <w:rPr>
      <w:i/>
      <w:iCs/>
      <w:color w:val="2F5496" w:themeColor="accent1" w:themeShade="BF"/>
    </w:rPr>
  </w:style>
  <w:style w:type="paragraph" w:styleId="Citationintense">
    <w:name w:val="Intense Quote"/>
    <w:basedOn w:val="Normal"/>
    <w:next w:val="Normal"/>
    <w:link w:val="CitationintenseCar"/>
    <w:uiPriority w:val="30"/>
    <w:qFormat/>
    <w:rsid w:val="00BF4D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F4D10"/>
    <w:rPr>
      <w:i/>
      <w:iCs/>
      <w:color w:val="2F5496" w:themeColor="accent1" w:themeShade="BF"/>
    </w:rPr>
  </w:style>
  <w:style w:type="character" w:styleId="Rfrenceintense">
    <w:name w:val="Intense Reference"/>
    <w:basedOn w:val="Policepardfaut"/>
    <w:uiPriority w:val="32"/>
    <w:qFormat/>
    <w:rsid w:val="00BF4D10"/>
    <w:rPr>
      <w:b/>
      <w:bCs/>
      <w:smallCaps/>
      <w:color w:val="2F5496" w:themeColor="accent1" w:themeShade="BF"/>
      <w:spacing w:val="5"/>
    </w:rPr>
  </w:style>
  <w:style w:type="paragraph" w:styleId="En-tte">
    <w:name w:val="header"/>
    <w:basedOn w:val="Normal"/>
    <w:link w:val="En-tteCar"/>
    <w:uiPriority w:val="99"/>
    <w:unhideWhenUsed/>
    <w:rsid w:val="008D4590"/>
    <w:pPr>
      <w:tabs>
        <w:tab w:val="center" w:pos="4703"/>
        <w:tab w:val="right" w:pos="9406"/>
      </w:tabs>
      <w:spacing w:after="0" w:line="240" w:lineRule="auto"/>
    </w:pPr>
  </w:style>
  <w:style w:type="character" w:customStyle="1" w:styleId="En-tteCar">
    <w:name w:val="En-tête Car"/>
    <w:basedOn w:val="Policepardfaut"/>
    <w:link w:val="En-tte"/>
    <w:uiPriority w:val="99"/>
    <w:rsid w:val="008D4590"/>
  </w:style>
  <w:style w:type="paragraph" w:styleId="Pieddepage">
    <w:name w:val="footer"/>
    <w:basedOn w:val="Normal"/>
    <w:link w:val="PieddepageCar"/>
    <w:uiPriority w:val="99"/>
    <w:unhideWhenUsed/>
    <w:rsid w:val="008D4590"/>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8D4590"/>
  </w:style>
  <w:style w:type="paragraph" w:styleId="Lgende">
    <w:name w:val="caption"/>
    <w:basedOn w:val="Normal"/>
    <w:next w:val="Normal"/>
    <w:uiPriority w:val="35"/>
    <w:unhideWhenUsed/>
    <w:qFormat/>
    <w:rsid w:val="00087F24"/>
    <w:pPr>
      <w:spacing w:after="200" w:line="240" w:lineRule="auto"/>
    </w:pPr>
    <w:rPr>
      <w:sz w:val="24"/>
      <w:szCs w:val="24"/>
    </w:rPr>
  </w:style>
  <w:style w:type="paragraph" w:styleId="Bibliographie">
    <w:name w:val="Bibliography"/>
    <w:basedOn w:val="Normal"/>
    <w:next w:val="Normal"/>
    <w:uiPriority w:val="37"/>
    <w:unhideWhenUsed/>
    <w:rsid w:val="005C2186"/>
    <w:pPr>
      <w:tabs>
        <w:tab w:val="left" w:pos="504"/>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FF846-B574-4887-AAD7-ACFAB41E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13</Pages>
  <Words>14643</Words>
  <Characters>80539</Characters>
  <Application>Microsoft Office Word</Application>
  <DocSecurity>0</DocSecurity>
  <Lines>671</Lines>
  <Paragraphs>189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Cheuyem Zobel</dc:creator>
  <cp:keywords/>
  <dc:description/>
  <cp:lastModifiedBy>Dr. Cheuyem Zobel</cp:lastModifiedBy>
  <cp:revision>19</cp:revision>
  <dcterms:created xsi:type="dcterms:W3CDTF">2025-09-13T18:01:00Z</dcterms:created>
  <dcterms:modified xsi:type="dcterms:W3CDTF">2025-10-03T14:24:00Z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id="5c287qdF"/&gt;&lt;style id="http://www.zotero.org/styles/vancouver-brackets"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